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7DC5D" w14:textId="77777777" w:rsidR="0038132A" w:rsidRDefault="0038132A" w:rsidP="0038132A">
      <w:pPr>
        <w:pStyle w:val="Heading1"/>
        <w:spacing w:before="52" w:line="274" w:lineRule="exact"/>
        <w:ind w:left="3230" w:right="1312" w:hanging="1517"/>
        <w:rPr>
          <w:b w:val="0"/>
          <w:bCs w:val="0"/>
        </w:rPr>
      </w:pPr>
      <w:bookmarkStart w:id="0" w:name="_GoBack"/>
      <w:bookmarkEnd w:id="0"/>
      <w:r>
        <w:t>Supporting Statement for a Request for OMB Review under the Paperwork Reduction Act</w:t>
      </w:r>
    </w:p>
    <w:p w14:paraId="69DD8CA3" w14:textId="77777777" w:rsidR="0038132A" w:rsidRDefault="0038132A" w:rsidP="0038132A">
      <w:pPr>
        <w:spacing w:before="9"/>
        <w:rPr>
          <w:rFonts w:ascii="Times New Roman" w:eastAsia="Times New Roman" w:hAnsi="Times New Roman" w:cs="Times New Roman"/>
          <w:b/>
          <w:bCs/>
          <w:sz w:val="23"/>
          <w:szCs w:val="23"/>
        </w:rPr>
      </w:pPr>
    </w:p>
    <w:p w14:paraId="73693389" w14:textId="77777777" w:rsidR="0038132A" w:rsidRDefault="0038132A" w:rsidP="008A5ECC">
      <w:pPr>
        <w:numPr>
          <w:ilvl w:val="0"/>
          <w:numId w:val="47"/>
        </w:numPr>
        <w:tabs>
          <w:tab w:val="left" w:pos="840"/>
          <w:tab w:val="left" w:pos="1440"/>
        </w:tabs>
        <w:spacing w:line="480" w:lineRule="auto"/>
        <w:ind w:left="1440" w:hanging="1350"/>
        <w:rPr>
          <w:rFonts w:ascii="Times New Roman" w:eastAsia="Times New Roman" w:hAnsi="Times New Roman" w:cs="Times New Roman"/>
          <w:sz w:val="24"/>
          <w:szCs w:val="24"/>
        </w:rPr>
      </w:pPr>
      <w:r>
        <w:rPr>
          <w:rFonts w:ascii="Times New Roman"/>
          <w:b/>
          <w:sz w:val="24"/>
        </w:rPr>
        <w:t>IDENTIFICATION OF THE INFORMATION COLLECTION</w:t>
      </w:r>
    </w:p>
    <w:p w14:paraId="25EB054F" w14:textId="77777777" w:rsidR="0038132A" w:rsidRDefault="0038132A" w:rsidP="0038132A">
      <w:pPr>
        <w:tabs>
          <w:tab w:val="left" w:pos="840"/>
          <w:tab w:val="left" w:pos="1559"/>
        </w:tabs>
        <w:spacing w:line="480" w:lineRule="auto"/>
        <w:ind w:left="840"/>
        <w:rPr>
          <w:rFonts w:ascii="Times New Roman" w:eastAsia="Times New Roman" w:hAnsi="Times New Roman" w:cs="Times New Roman"/>
          <w:sz w:val="24"/>
          <w:szCs w:val="24"/>
        </w:rPr>
      </w:pPr>
      <w:r>
        <w:rPr>
          <w:rFonts w:ascii="Times New Roman"/>
          <w:b/>
          <w:spacing w:val="-1"/>
          <w:sz w:val="24"/>
        </w:rPr>
        <w:t>1(a)</w:t>
      </w:r>
      <w:r>
        <w:rPr>
          <w:rFonts w:ascii="Times New Roman"/>
          <w:b/>
          <w:spacing w:val="-1"/>
          <w:sz w:val="24"/>
        </w:rPr>
        <w:tab/>
      </w:r>
      <w:r>
        <w:rPr>
          <w:rFonts w:ascii="Times New Roman"/>
          <w:b/>
          <w:sz w:val="24"/>
        </w:rPr>
        <w:t>Title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z w:val="24"/>
        </w:rPr>
        <w:t>Information</w:t>
      </w:r>
      <w:r>
        <w:rPr>
          <w:rFonts w:ascii="Times New Roman"/>
          <w:b/>
          <w:spacing w:val="-1"/>
          <w:sz w:val="24"/>
        </w:rPr>
        <w:t xml:space="preserve"> </w:t>
      </w:r>
      <w:r>
        <w:rPr>
          <w:rFonts w:ascii="Times New Roman"/>
          <w:b/>
          <w:sz w:val="24"/>
        </w:rPr>
        <w:t>Collection</w:t>
      </w:r>
    </w:p>
    <w:p w14:paraId="443768D0" w14:textId="77777777" w:rsidR="0038132A" w:rsidRDefault="0038132A" w:rsidP="008A5ECC">
      <w:pPr>
        <w:tabs>
          <w:tab w:val="left" w:pos="1710"/>
        </w:tabs>
        <w:spacing w:before="10"/>
        <w:ind w:left="2280" w:right="218" w:hanging="1440"/>
        <w:rPr>
          <w:rFonts w:ascii="Times New Roman" w:eastAsia="Times New Roman" w:hAnsi="Times New Roman" w:cs="Times New Roman"/>
          <w:b/>
          <w:szCs w:val="24"/>
        </w:rPr>
      </w:pPr>
      <w:r>
        <w:rPr>
          <w:rFonts w:ascii="Times New Roman" w:hAnsi="Times New Roman" w:cs="Times New Roman"/>
          <w:b/>
        </w:rPr>
        <w:t>TITLE:</w:t>
      </w:r>
      <w:r>
        <w:rPr>
          <w:rFonts w:ascii="Times New Roman" w:hAnsi="Times New Roman" w:cs="Times New Roman"/>
          <w:b/>
        </w:rPr>
        <w:tab/>
        <w:t>TSCA Section 8(b) Reporting Requirements for TSCA Inventory Notifications</w:t>
      </w:r>
    </w:p>
    <w:p w14:paraId="1CBCC77C" w14:textId="77777777" w:rsidR="0038132A" w:rsidRDefault="0038132A" w:rsidP="0038132A">
      <w:pPr>
        <w:rPr>
          <w:rFonts w:ascii="Times New Roman" w:eastAsia="Times New Roman" w:hAnsi="Times New Roman" w:cs="Times New Roman"/>
          <w:b/>
          <w:bCs/>
          <w:sz w:val="24"/>
          <w:szCs w:val="24"/>
        </w:rPr>
      </w:pPr>
    </w:p>
    <w:p w14:paraId="113DA44F" w14:textId="17CB45B5" w:rsidR="0038132A" w:rsidRDefault="0038132A" w:rsidP="0038132A">
      <w:pPr>
        <w:tabs>
          <w:tab w:val="left" w:pos="3719"/>
        </w:tabs>
        <w:ind w:left="840"/>
        <w:rPr>
          <w:rFonts w:ascii="Times New Roman"/>
          <w:b/>
          <w:spacing w:val="-1"/>
          <w:sz w:val="24"/>
        </w:rPr>
      </w:pPr>
      <w:r>
        <w:rPr>
          <w:rFonts w:ascii="Times New Roman"/>
          <w:b/>
          <w:spacing w:val="-1"/>
          <w:sz w:val="24"/>
        </w:rPr>
        <w:t>EPA ICR No</w:t>
      </w:r>
      <w:r w:rsidR="008348EC">
        <w:rPr>
          <w:rFonts w:ascii="Times New Roman"/>
          <w:b/>
          <w:spacing w:val="-1"/>
          <w:sz w:val="24"/>
        </w:rPr>
        <w:t>.</w:t>
      </w:r>
      <w:r>
        <w:rPr>
          <w:rFonts w:ascii="Times New Roman"/>
          <w:b/>
          <w:sz w:val="24"/>
        </w:rPr>
        <w:t>: 2565.01</w:t>
      </w:r>
      <w:r>
        <w:rPr>
          <w:rFonts w:ascii="Times New Roman"/>
          <w:b/>
          <w:sz w:val="24"/>
        </w:rPr>
        <w:tab/>
      </w:r>
      <w:r>
        <w:rPr>
          <w:rFonts w:ascii="Times New Roman"/>
          <w:b/>
          <w:spacing w:val="-1"/>
          <w:sz w:val="24"/>
        </w:rPr>
        <w:t>OMB Control No.:</w:t>
      </w:r>
      <w:r>
        <w:rPr>
          <w:rFonts w:ascii="Times New Roman"/>
          <w:b/>
          <w:color w:val="FF0000"/>
          <w:spacing w:val="-1"/>
          <w:sz w:val="24"/>
        </w:rPr>
        <w:t xml:space="preserve"> </w:t>
      </w:r>
      <w:r>
        <w:rPr>
          <w:rFonts w:ascii="Times New Roman"/>
          <w:b/>
          <w:spacing w:val="-1"/>
          <w:sz w:val="24"/>
        </w:rPr>
        <w:t>2070-</w:t>
      </w:r>
      <w:r w:rsidR="008348EC">
        <w:rPr>
          <w:rFonts w:ascii="Times New Roman"/>
          <w:b/>
          <w:spacing w:val="-1"/>
          <w:sz w:val="24"/>
        </w:rPr>
        <w:t>0201</w:t>
      </w:r>
    </w:p>
    <w:p w14:paraId="21241E9E" w14:textId="13153252" w:rsidR="008348EC" w:rsidRDefault="008348EC" w:rsidP="0038132A">
      <w:pPr>
        <w:tabs>
          <w:tab w:val="left" w:pos="3719"/>
        </w:tabs>
        <w:ind w:left="840"/>
        <w:rPr>
          <w:rFonts w:ascii="Times New Roman"/>
          <w:b/>
          <w:spacing w:val="-1"/>
          <w:sz w:val="24"/>
        </w:rPr>
      </w:pPr>
    </w:p>
    <w:p w14:paraId="2F383EB8" w14:textId="68833237" w:rsidR="008348EC" w:rsidRDefault="008348EC" w:rsidP="0038132A">
      <w:pPr>
        <w:tabs>
          <w:tab w:val="left" w:pos="3719"/>
        </w:tabs>
        <w:ind w:left="840"/>
        <w:rPr>
          <w:rFonts w:ascii="Times New Roman" w:eastAsia="Times New Roman" w:hAnsi="Times New Roman" w:cs="Times New Roman"/>
          <w:sz w:val="24"/>
          <w:szCs w:val="24"/>
        </w:rPr>
      </w:pPr>
      <w:r>
        <w:rPr>
          <w:rFonts w:ascii="Times New Roman"/>
          <w:b/>
          <w:spacing w:val="-1"/>
          <w:sz w:val="24"/>
        </w:rPr>
        <w:t xml:space="preserve">Docket ID No.: </w:t>
      </w:r>
      <w:r w:rsidRPr="008348EC">
        <w:rPr>
          <w:rFonts w:ascii="Times New Roman"/>
          <w:b/>
          <w:spacing w:val="-1"/>
          <w:sz w:val="24"/>
        </w:rPr>
        <w:t>EPA-HQ-OPPT-2016-0426</w:t>
      </w:r>
    </w:p>
    <w:p w14:paraId="04D53063" w14:textId="77777777" w:rsidR="0038132A" w:rsidRDefault="0038132A" w:rsidP="0038132A">
      <w:pPr>
        <w:rPr>
          <w:rFonts w:ascii="Times New Roman" w:eastAsia="Times New Roman" w:hAnsi="Times New Roman" w:cs="Times New Roman"/>
          <w:b/>
          <w:bCs/>
          <w:sz w:val="24"/>
          <w:szCs w:val="24"/>
        </w:rPr>
      </w:pPr>
    </w:p>
    <w:p w14:paraId="01ADF699" w14:textId="77777777" w:rsidR="0038132A" w:rsidRDefault="0038132A" w:rsidP="0038132A">
      <w:pPr>
        <w:tabs>
          <w:tab w:val="left" w:pos="1559"/>
        </w:tabs>
        <w:ind w:left="840"/>
        <w:rPr>
          <w:rFonts w:ascii="Times New Roman" w:eastAsia="Times New Roman" w:hAnsi="Times New Roman" w:cs="Times New Roman"/>
          <w:sz w:val="24"/>
          <w:szCs w:val="24"/>
        </w:rPr>
      </w:pPr>
      <w:r>
        <w:rPr>
          <w:rFonts w:ascii="Times New Roman"/>
          <w:b/>
          <w:sz w:val="24"/>
        </w:rPr>
        <w:t>1(b)</w:t>
      </w:r>
      <w:r>
        <w:rPr>
          <w:rFonts w:ascii="Times New Roman"/>
          <w:b/>
          <w:sz w:val="24"/>
        </w:rPr>
        <w:tab/>
      </w:r>
      <w:r>
        <w:rPr>
          <w:rFonts w:ascii="Times New Roman"/>
          <w:b/>
          <w:spacing w:val="-1"/>
          <w:sz w:val="24"/>
        </w:rPr>
        <w:t>Short Characterization</w:t>
      </w:r>
    </w:p>
    <w:p w14:paraId="09D9FAA4" w14:textId="77777777" w:rsidR="0038132A" w:rsidRDefault="0038132A" w:rsidP="0038132A">
      <w:pPr>
        <w:spacing w:before="7"/>
        <w:rPr>
          <w:rFonts w:ascii="Times New Roman" w:eastAsia="Times New Roman" w:hAnsi="Times New Roman" w:cs="Times New Roman"/>
          <w:b/>
          <w:bCs/>
          <w:sz w:val="23"/>
          <w:szCs w:val="23"/>
        </w:rPr>
      </w:pPr>
    </w:p>
    <w:p w14:paraId="0A711BC2" w14:textId="30ECFF9A" w:rsidR="0038132A" w:rsidRDefault="0038132A" w:rsidP="0038132A">
      <w:pPr>
        <w:pStyle w:val="BodyText"/>
        <w:ind w:left="120" w:right="218"/>
      </w:pPr>
      <w:r>
        <w:rPr>
          <w:spacing w:val="-1"/>
        </w:rPr>
        <w:t>This information collection request addresses the reporting and</w:t>
      </w:r>
      <w:r>
        <w:rPr>
          <w:spacing w:val="29"/>
        </w:rPr>
        <w:t xml:space="preserve"> </w:t>
      </w:r>
      <w:r>
        <w:rPr>
          <w:spacing w:val="-1"/>
        </w:rPr>
        <w:t>recordkeeping</w:t>
      </w:r>
      <w:r>
        <w:t xml:space="preserve"> requirements </w:t>
      </w:r>
      <w:r w:rsidR="00800AD0">
        <w:t xml:space="preserve">under section 8(b) of the Toxic Substances Control Act (TSCA) </w:t>
      </w:r>
      <w:r>
        <w:t>associated with chemical substances on the TSCA Chemical Substance Inventory,</w:t>
      </w:r>
      <w:r>
        <w:rPr>
          <w:spacing w:val="28"/>
        </w:rPr>
        <w:t xml:space="preserve"> </w:t>
      </w:r>
      <w:r>
        <w:rPr>
          <w:spacing w:val="-1"/>
        </w:rPr>
        <w:t xml:space="preserve">as </w:t>
      </w:r>
      <w:r w:rsidR="00800AD0">
        <w:t>prescribed in the final rule entitled: “</w:t>
      </w:r>
      <w:r w:rsidR="00380869" w:rsidRPr="00EA7EEC">
        <w:rPr>
          <w:b/>
          <w:bCs/>
          <w:color w:val="000000" w:themeColor="text1"/>
        </w:rPr>
        <w:t>TSCA Inventory Notification (Active-Inactive) Requirements</w:t>
      </w:r>
      <w:r w:rsidR="00800AD0">
        <w:t>”</w:t>
      </w:r>
      <w:r w:rsidR="00380869">
        <w:t xml:space="preserve"> </w:t>
      </w:r>
      <w:r w:rsidR="00800AD0">
        <w:t>and codified in 40 CFR Part 710</w:t>
      </w:r>
      <w:r w:rsidR="00380869">
        <w:rPr>
          <w:spacing w:val="-1"/>
        </w:rPr>
        <w:t>.</w:t>
      </w:r>
      <w:r w:rsidR="00380869">
        <w:rPr>
          <w:rStyle w:val="FootnoteReference"/>
          <w:spacing w:val="-1"/>
        </w:rPr>
        <w:footnoteReference w:id="1"/>
      </w:r>
    </w:p>
    <w:p w14:paraId="30429219" w14:textId="77777777" w:rsidR="0038132A" w:rsidRDefault="0038132A" w:rsidP="0038132A">
      <w:pPr>
        <w:rPr>
          <w:rFonts w:ascii="Times New Roman" w:eastAsia="Times New Roman" w:hAnsi="Times New Roman" w:cs="Times New Roman"/>
          <w:sz w:val="24"/>
          <w:szCs w:val="24"/>
        </w:rPr>
      </w:pPr>
    </w:p>
    <w:p w14:paraId="04EB8F3F" w14:textId="3FB2CEB2" w:rsidR="0038132A" w:rsidRDefault="0038132A" w:rsidP="0038132A">
      <w:pPr>
        <w:pStyle w:val="BodyText"/>
        <w:spacing w:line="276" w:lineRule="exact"/>
        <w:ind w:left="120" w:right="118"/>
        <w:rPr>
          <w:spacing w:val="-1"/>
        </w:rPr>
      </w:pPr>
      <w:r>
        <w:t>The Environmental Protection Agency</w:t>
      </w:r>
      <w:r>
        <w:rPr>
          <w:spacing w:val="-6"/>
        </w:rPr>
        <w:t xml:space="preserve"> </w:t>
      </w:r>
      <w:r>
        <w:t>(EPA) manages the TSCA Chemical Substance Inventory (“Inventory”) under TSCA section 8(b)</w:t>
      </w:r>
      <w:r>
        <w:rPr>
          <w:spacing w:val="-1"/>
        </w:rPr>
        <w:t>.</w:t>
      </w:r>
      <w:r>
        <w:t xml:space="preserve"> </w:t>
      </w:r>
      <w:r w:rsidR="006E0A30">
        <w:t>TSCA s</w:t>
      </w:r>
      <w:r>
        <w:rPr>
          <w:spacing w:val="-1"/>
        </w:rPr>
        <w:t xml:space="preserve">ection 8(b) specifically requires that </w:t>
      </w:r>
      <w:r w:rsidR="008348EC">
        <w:rPr>
          <w:spacing w:val="-1"/>
        </w:rPr>
        <w:t>EPA</w:t>
      </w:r>
      <w:r>
        <w:rPr>
          <w:spacing w:val="-1"/>
        </w:rPr>
        <w:t xml:space="preserve"> compile and keep current a list of chemical substances manufactured or processed for commercial purposes in the United States. </w:t>
      </w:r>
      <w:r w:rsidR="006E0A30">
        <w:rPr>
          <w:spacing w:val="-1"/>
        </w:rPr>
        <w:t xml:space="preserve">On December 23, </w:t>
      </w:r>
      <w:r>
        <w:rPr>
          <w:spacing w:val="-1"/>
        </w:rPr>
        <w:t xml:space="preserve">1977, EPA promulgated a rule under TSCA section 8, to compile the </w:t>
      </w:r>
      <w:r>
        <w:t xml:space="preserve">TSCA Chemical Substance Inventory from </w:t>
      </w:r>
      <w:r>
        <w:rPr>
          <w:spacing w:val="-1"/>
        </w:rPr>
        <w:t xml:space="preserve">chemical substances that had been in commerce since January of 1975. Since compiling the initial TSCA Inventory, </w:t>
      </w:r>
      <w:r>
        <w:t>TSCA section</w:t>
      </w:r>
      <w:r>
        <w:rPr>
          <w:spacing w:val="22"/>
        </w:rPr>
        <w:t xml:space="preserve"> </w:t>
      </w:r>
      <w:r>
        <w:t>5</w:t>
      </w:r>
      <w:r>
        <w:rPr>
          <w:spacing w:val="-1"/>
        </w:rPr>
        <w:t xml:space="preserve"> requires that </w:t>
      </w:r>
      <w:r>
        <w:rPr>
          <w:spacing w:val="1"/>
        </w:rPr>
        <w:t>any</w:t>
      </w:r>
      <w:r>
        <w:rPr>
          <w:spacing w:val="-1"/>
        </w:rPr>
        <w:t xml:space="preserve"> person who proposes to manufacture</w:t>
      </w:r>
      <w:r>
        <w:rPr>
          <w:spacing w:val="2"/>
        </w:rPr>
        <w:t xml:space="preserve"> </w:t>
      </w:r>
      <w:r>
        <w:t>(which includes import) a</w:t>
      </w:r>
      <w:r>
        <w:rPr>
          <w:spacing w:val="-1"/>
        </w:rPr>
        <w:t xml:space="preserve"> “new</w:t>
      </w:r>
      <w:r>
        <w:rPr>
          <w:spacing w:val="21"/>
        </w:rPr>
        <w:t xml:space="preserve"> </w:t>
      </w:r>
      <w:r>
        <w:rPr>
          <w:spacing w:val="-1"/>
        </w:rPr>
        <w:t>chemical,”</w:t>
      </w:r>
      <w:r>
        <w:rPr>
          <w:spacing w:val="1"/>
        </w:rPr>
        <w:t xml:space="preserve"> </w:t>
      </w:r>
      <w:r>
        <w:rPr>
          <w:spacing w:val="-1"/>
        </w:rPr>
        <w:t>i.e.,</w:t>
      </w:r>
      <w:r>
        <w:t xml:space="preserve"> a chemical not listed on the TSCA </w:t>
      </w:r>
      <w:r>
        <w:rPr>
          <w:spacing w:val="-1"/>
        </w:rPr>
        <w:t>Inventory,</w:t>
      </w:r>
      <w:r>
        <w:t xml:space="preserve"> must provide a</w:t>
      </w:r>
      <w:r>
        <w:rPr>
          <w:spacing w:val="29"/>
        </w:rPr>
        <w:t xml:space="preserve"> </w:t>
      </w:r>
      <w:r>
        <w:t>premanufacture notice (PMN)</w:t>
      </w:r>
      <w:r>
        <w:rPr>
          <w:spacing w:val="-1"/>
        </w:rPr>
        <w:t xml:space="preserve"> </w:t>
      </w:r>
      <w:r>
        <w:t xml:space="preserve">or an exemption </w:t>
      </w:r>
      <w:r>
        <w:rPr>
          <w:spacing w:val="-1"/>
        </w:rPr>
        <w:t xml:space="preserve">application </w:t>
      </w:r>
      <w:r>
        <w:t xml:space="preserve">to the Agency at least 90 </w:t>
      </w:r>
      <w:r>
        <w:rPr>
          <w:spacing w:val="-2"/>
        </w:rPr>
        <w:t>days</w:t>
      </w:r>
      <w:r>
        <w:t xml:space="preserve"> prior to</w:t>
      </w:r>
      <w:r>
        <w:rPr>
          <w:spacing w:val="26"/>
        </w:rPr>
        <w:t xml:space="preserve"> </w:t>
      </w:r>
      <w:r>
        <w:t>commencing</w:t>
      </w:r>
      <w:r>
        <w:rPr>
          <w:spacing w:val="-1"/>
        </w:rPr>
        <w:t xml:space="preserve"> </w:t>
      </w:r>
      <w:r>
        <w:t>manufacture</w:t>
      </w:r>
      <w:r>
        <w:rPr>
          <w:spacing w:val="-1"/>
        </w:rPr>
        <w:t xml:space="preserve"> </w:t>
      </w:r>
      <w:r>
        <w:t>of</w:t>
      </w:r>
      <w:r>
        <w:rPr>
          <w:spacing w:val="-1"/>
        </w:rPr>
        <w:t xml:space="preserve"> </w:t>
      </w:r>
      <w:r>
        <w:t>that</w:t>
      </w:r>
      <w:r>
        <w:rPr>
          <w:spacing w:val="-1"/>
        </w:rPr>
        <w:t xml:space="preserve"> chemical. The Agency regularly adds new chemical substances that have completed new chemical review requirements pursuant to TSCA section 5(a) and that have been manufactured or processed for non-exempt commercial purpose. </w:t>
      </w:r>
      <w:r w:rsidR="008348EC">
        <w:rPr>
          <w:spacing w:val="-1"/>
        </w:rPr>
        <w:t>EPA</w:t>
      </w:r>
      <w:r>
        <w:rPr>
          <w:spacing w:val="-1"/>
        </w:rPr>
        <w:t xml:space="preserve"> maintains the TSCA Inventory as the authoritative list of all the chemical substances reported to the Agency for inclusion on the Inventory.</w:t>
      </w:r>
    </w:p>
    <w:p w14:paraId="5BE31F61" w14:textId="77777777" w:rsidR="0038132A" w:rsidRDefault="0038132A" w:rsidP="0038132A">
      <w:pPr>
        <w:spacing w:before="3"/>
        <w:rPr>
          <w:rFonts w:ascii="Times New Roman" w:eastAsia="Times New Roman" w:hAnsi="Times New Roman" w:cs="Times New Roman"/>
          <w:sz w:val="24"/>
          <w:szCs w:val="24"/>
        </w:rPr>
      </w:pPr>
    </w:p>
    <w:p w14:paraId="48DCDC0C" w14:textId="1B352C6C" w:rsidR="003B6F2D" w:rsidRDefault="006E0A30" w:rsidP="00297C25">
      <w:pPr>
        <w:pStyle w:val="BodyText"/>
        <w:spacing w:line="276" w:lineRule="exact"/>
        <w:ind w:left="120" w:right="118"/>
        <w:rPr>
          <w:spacing w:val="-1"/>
        </w:rPr>
      </w:pPr>
      <w:r>
        <w:rPr>
          <w:spacing w:val="-1"/>
        </w:rPr>
        <w:t xml:space="preserve">On June 22, 2016, </w:t>
      </w:r>
      <w:r w:rsidR="0038132A">
        <w:rPr>
          <w:spacing w:val="-1"/>
        </w:rPr>
        <w:t>the Frank R. Lautenberg Chemical Safety for the 21st Century Act</w:t>
      </w:r>
      <w:r>
        <w:rPr>
          <w:spacing w:val="-1"/>
        </w:rPr>
        <w:t xml:space="preserve"> made several substantive amendments to TSCA. </w:t>
      </w:r>
      <w:r w:rsidR="0038132A">
        <w:rPr>
          <w:spacing w:val="-1"/>
        </w:rPr>
        <w:t xml:space="preserve">(see Attachment A). </w:t>
      </w:r>
      <w:r w:rsidR="00297C25" w:rsidRPr="00297C25">
        <w:rPr>
          <w:spacing w:val="-1"/>
        </w:rPr>
        <w:t xml:space="preserve">The 2016 amendments to </w:t>
      </w:r>
      <w:r w:rsidR="00297C25">
        <w:rPr>
          <w:spacing w:val="-1"/>
        </w:rPr>
        <w:t xml:space="preserve">TSCA section 8 </w:t>
      </w:r>
      <w:r w:rsidR="00297C25" w:rsidRPr="00297C25">
        <w:rPr>
          <w:spacing w:val="-1"/>
        </w:rPr>
        <w:t xml:space="preserve">require EPA to designate chemical substances on the TSCA Chemical Substance Inventory as either “active” or “inactive” in U.S. commerce. To accomplish that, EPA is establishing a retrospective electronic notification of chemical substances on the TSCA Inventory that were manufactured (including imported) for non-exempt commercial purposes </w:t>
      </w:r>
      <w:r w:rsidR="00297C25" w:rsidRPr="00297C25">
        <w:rPr>
          <w:spacing w:val="-1"/>
        </w:rPr>
        <w:lastRenderedPageBreak/>
        <w:t>during the ten-year time period ending on June 21, 2016. EPA will use these notifications to distinguish active substances from inactive substances. EPA will include the active and inactive designations on the TSCA Inventory and as part of its regular publications of the Inventory. EPA is also establishing procedures for forward-looking electronic notification of chemical substances on the TSCA Inventory that are designated as inactive, if and when the manufacturing or processing of such chemical substances for non-exempt commercial purposes is expected to resume. After EPA deems the notice valid, EPA will change the designation of the pertinent chemical substance on the TSCA Inventory from inactive to active. EPA is establishing the procedures regarding the manner in which such retrospective and forward-looking activity notifications must be submitted, the details of the notification requirements, exemptions from such requirements, and procedures for handling claims of confidentiality.</w:t>
      </w:r>
    </w:p>
    <w:p w14:paraId="6DDF14DF" w14:textId="77777777" w:rsidR="00297C25" w:rsidRDefault="00297C25" w:rsidP="00297C25">
      <w:pPr>
        <w:pStyle w:val="BodyText"/>
        <w:spacing w:line="276" w:lineRule="exact"/>
        <w:ind w:left="120" w:right="118"/>
        <w:rPr>
          <w:spacing w:val="-1"/>
        </w:rPr>
      </w:pPr>
    </w:p>
    <w:p w14:paraId="0BD84DEB" w14:textId="77777777" w:rsidR="0038132A" w:rsidRDefault="0038132A" w:rsidP="0038132A">
      <w:pPr>
        <w:pStyle w:val="Heading1"/>
        <w:numPr>
          <w:ilvl w:val="0"/>
          <w:numId w:val="47"/>
        </w:numPr>
        <w:tabs>
          <w:tab w:val="left" w:pos="820"/>
          <w:tab w:val="left" w:pos="1539"/>
        </w:tabs>
        <w:ind w:left="820"/>
        <w:rPr>
          <w:b w:val="0"/>
          <w:bCs w:val="0"/>
        </w:rPr>
      </w:pPr>
      <w:r>
        <w:t xml:space="preserve">NEED FOR AND USE OF THE COLLECTION </w:t>
      </w:r>
    </w:p>
    <w:p w14:paraId="0431E37A" w14:textId="77777777" w:rsidR="0038132A" w:rsidRDefault="0038132A" w:rsidP="0038132A"/>
    <w:p w14:paraId="08F06E27" w14:textId="77777777" w:rsidR="0038132A" w:rsidRDefault="0038132A" w:rsidP="0038132A">
      <w:pPr>
        <w:pStyle w:val="Heading1"/>
        <w:tabs>
          <w:tab w:val="left" w:pos="820"/>
          <w:tab w:val="left" w:pos="1539"/>
        </w:tabs>
        <w:rPr>
          <w:b w:val="0"/>
          <w:bCs w:val="0"/>
        </w:rPr>
      </w:pPr>
      <w:r>
        <w:rPr>
          <w:spacing w:val="-1"/>
        </w:rPr>
        <w:t>2(a)</w:t>
      </w:r>
      <w:r>
        <w:rPr>
          <w:spacing w:val="-1"/>
        </w:rPr>
        <w:tab/>
        <w:t>Need/Authority for the</w:t>
      </w:r>
      <w:r>
        <w:t xml:space="preserve"> Collection</w:t>
      </w:r>
    </w:p>
    <w:p w14:paraId="0ABE95CE" w14:textId="77777777" w:rsidR="0038132A" w:rsidRDefault="0038132A" w:rsidP="0038132A"/>
    <w:p w14:paraId="13A8816B" w14:textId="5E0A8ABB" w:rsidR="00C60F9E" w:rsidRDefault="0038132A" w:rsidP="0038132A">
      <w:pPr>
        <w:pStyle w:val="BodyText"/>
        <w:spacing w:line="276" w:lineRule="exact"/>
        <w:ind w:left="120" w:right="118"/>
        <w:rPr>
          <w:spacing w:val="-1"/>
        </w:rPr>
      </w:pPr>
      <w:r>
        <w:t xml:space="preserve">TSCA section 8(b), </w:t>
      </w:r>
      <w:r>
        <w:rPr>
          <w:spacing w:val="-1"/>
        </w:rPr>
        <w:t xml:space="preserve">15 U.S.C. 2607, requires </w:t>
      </w:r>
      <w:r w:rsidR="008348EC">
        <w:rPr>
          <w:spacing w:val="-1"/>
        </w:rPr>
        <w:t>EPA</w:t>
      </w:r>
      <w:r>
        <w:rPr>
          <w:spacing w:val="-1"/>
        </w:rPr>
        <w:t xml:space="preserve"> to compile and keep current the TSCA Inventory, the list of chemical substances manufactured or processed in the United States. TSCA sections 8(b)(4) and 8(b)(5), as amended by the Frank R. Lautenberg Chemical Safety for the 21st Century Act, require additional responsibilities of the Agency in maintaining the TSCA Inventory; specifically, the Agency is to designate chemical substances on the Inventory as “active” or “inactive” in U.S. commerce. </w:t>
      </w:r>
    </w:p>
    <w:p w14:paraId="13266AA2" w14:textId="77777777" w:rsidR="00C60F9E" w:rsidRDefault="00C60F9E" w:rsidP="0038132A">
      <w:pPr>
        <w:pStyle w:val="BodyText"/>
        <w:spacing w:line="276" w:lineRule="exact"/>
        <w:ind w:left="120" w:right="118"/>
        <w:rPr>
          <w:spacing w:val="-1"/>
        </w:rPr>
      </w:pPr>
    </w:p>
    <w:p w14:paraId="0CD38E0A" w14:textId="66E85F7C" w:rsidR="00C60F9E" w:rsidRDefault="0038132A" w:rsidP="0038132A">
      <w:pPr>
        <w:pStyle w:val="BodyText"/>
        <w:spacing w:line="276" w:lineRule="exact"/>
        <w:ind w:left="120" w:right="118"/>
        <w:rPr>
          <w:spacing w:val="-1"/>
        </w:rPr>
      </w:pPr>
      <w:r>
        <w:rPr>
          <w:spacing w:val="-1"/>
        </w:rPr>
        <w:t xml:space="preserve">Section 8(b)(4)(A)(i) requires </w:t>
      </w:r>
      <w:r w:rsidR="008348EC">
        <w:rPr>
          <w:spacing w:val="-1"/>
        </w:rPr>
        <w:t>EPA</w:t>
      </w:r>
      <w:r>
        <w:rPr>
          <w:spacing w:val="-1"/>
        </w:rPr>
        <w:t xml:space="preserve"> to promulgate a rule </w:t>
      </w:r>
      <w:r>
        <w:t>by June 22,</w:t>
      </w:r>
      <w:r>
        <w:rPr>
          <w:spacing w:val="21"/>
        </w:rPr>
        <w:t xml:space="preserve"> </w:t>
      </w:r>
      <w:r>
        <w:t xml:space="preserve">2017, </w:t>
      </w:r>
      <w:r>
        <w:rPr>
          <w:spacing w:val="-1"/>
        </w:rPr>
        <w:t xml:space="preserve">which requires manufacturers to notify the Agency, by not later than 180 days after the date on which the final rule is published in the </w:t>
      </w:r>
      <w:r w:rsidRPr="00F51F73">
        <w:rPr>
          <w:b/>
          <w:spacing w:val="-1"/>
        </w:rPr>
        <w:t>Federal Register</w:t>
      </w:r>
      <w:r>
        <w:rPr>
          <w:spacing w:val="-1"/>
        </w:rPr>
        <w:t xml:space="preserve">, of each chemical substance on the TSCA Inventory that was manufactured for a nonexempt commercial purpose during the 10-year period ending on June 21, 2016, the day before the date of enactment of the Frank R. Lautenberg Chemical Safety for the 21st Century Act. </w:t>
      </w:r>
    </w:p>
    <w:p w14:paraId="4D1D9A56" w14:textId="77777777" w:rsidR="00C60F9E" w:rsidRDefault="00C60F9E" w:rsidP="0038132A">
      <w:pPr>
        <w:pStyle w:val="BodyText"/>
        <w:spacing w:line="276" w:lineRule="exact"/>
        <w:ind w:left="120" w:right="118"/>
        <w:rPr>
          <w:spacing w:val="-1"/>
        </w:rPr>
      </w:pPr>
    </w:p>
    <w:p w14:paraId="4C85A5D3" w14:textId="05DEBDA2" w:rsidR="0038132A" w:rsidRDefault="0038132A" w:rsidP="0038132A">
      <w:pPr>
        <w:pStyle w:val="BodyText"/>
        <w:spacing w:line="276" w:lineRule="exact"/>
        <w:ind w:left="120" w:right="118"/>
        <w:rPr>
          <w:spacing w:val="-1"/>
        </w:rPr>
      </w:pPr>
      <w:r>
        <w:rPr>
          <w:spacing w:val="-1"/>
        </w:rPr>
        <w:t>Section 8(b)(4)(A)(ii) requires the Agency to designate a chemical substance on the Inventory as an active substance if the Agency receives notice for that substance under clause (i). Section 8(b)(4)(A)(iii) requires the Agency to designate chemical substances on the Inventory for which no notices are received under clause (i) as inactive substances.</w:t>
      </w:r>
    </w:p>
    <w:p w14:paraId="3E376D03" w14:textId="77777777" w:rsidR="0038132A" w:rsidRDefault="0038132A" w:rsidP="0038132A">
      <w:pPr>
        <w:pStyle w:val="BodyText"/>
        <w:spacing w:line="276" w:lineRule="exact"/>
        <w:ind w:left="120" w:right="118"/>
        <w:rPr>
          <w:spacing w:val="-1"/>
        </w:rPr>
      </w:pPr>
    </w:p>
    <w:p w14:paraId="676F08D1" w14:textId="411F32DE" w:rsidR="00C60F9E" w:rsidRDefault="0038132A" w:rsidP="0038132A">
      <w:pPr>
        <w:pStyle w:val="BodyText"/>
        <w:spacing w:line="276" w:lineRule="exact"/>
        <w:ind w:left="120" w:right="118"/>
        <w:rPr>
          <w:spacing w:val="-1"/>
        </w:rPr>
      </w:pPr>
      <w:r>
        <w:rPr>
          <w:spacing w:val="-1"/>
        </w:rPr>
        <w:t xml:space="preserve">TSCA section 8(b)(5)(A) requires </w:t>
      </w:r>
      <w:r w:rsidR="008348EC">
        <w:rPr>
          <w:spacing w:val="-1"/>
        </w:rPr>
        <w:t>EPA</w:t>
      </w:r>
      <w:r>
        <w:rPr>
          <w:spacing w:val="-1"/>
        </w:rPr>
        <w:t xml:space="preserve"> to maintain active and inactive designations for chemical substances on the TSCA Inventory. </w:t>
      </w:r>
    </w:p>
    <w:p w14:paraId="671FE8F8" w14:textId="77777777" w:rsidR="00C60F9E" w:rsidRDefault="00C60F9E" w:rsidP="0038132A">
      <w:pPr>
        <w:pStyle w:val="BodyText"/>
        <w:spacing w:line="276" w:lineRule="exact"/>
        <w:ind w:left="120" w:right="118"/>
        <w:rPr>
          <w:spacing w:val="-1"/>
        </w:rPr>
      </w:pPr>
    </w:p>
    <w:p w14:paraId="6F5DF25D" w14:textId="533303A6" w:rsidR="0038132A" w:rsidRDefault="0038132A" w:rsidP="0038132A">
      <w:pPr>
        <w:pStyle w:val="BodyText"/>
        <w:spacing w:line="276" w:lineRule="exact"/>
        <w:ind w:left="120" w:right="118"/>
        <w:rPr>
          <w:sz w:val="16"/>
          <w:szCs w:val="16"/>
        </w:rPr>
      </w:pPr>
      <w:r>
        <w:rPr>
          <w:spacing w:val="-1"/>
        </w:rPr>
        <w:t>Section 8(b)(5)(B)(i) requires persons that intend to manufacture or process chemical substances for non-exempt commercial purpose that are designated on the Inventory as inactive to notify the Agency prior to the date that these chemicals are reintroduced into U.S. commerce. Upon receiving such notification, section 8(b)(5)(B)(iii) requires the Agency to change the designation of the substance from inactive to active.</w:t>
      </w:r>
    </w:p>
    <w:p w14:paraId="037C739F" w14:textId="77777777" w:rsidR="00C60F9E" w:rsidRDefault="00C60F9E" w:rsidP="0038132A">
      <w:pPr>
        <w:pStyle w:val="BodyText"/>
        <w:ind w:right="118"/>
        <w:rPr>
          <w:spacing w:val="-1"/>
        </w:rPr>
      </w:pPr>
    </w:p>
    <w:p w14:paraId="271BF141" w14:textId="080CE25F" w:rsidR="003B6F2D" w:rsidRPr="00F51F73" w:rsidRDefault="0038132A" w:rsidP="003B6F2D">
      <w:pPr>
        <w:pStyle w:val="BodyText"/>
        <w:ind w:right="118"/>
        <w:rPr>
          <w:spacing w:val="-1"/>
        </w:rPr>
      </w:pPr>
      <w:r>
        <w:rPr>
          <w:spacing w:val="-1"/>
        </w:rPr>
        <w:t xml:space="preserve">Copies of TSCA section </w:t>
      </w:r>
      <w:r>
        <w:t>8(b)</w:t>
      </w:r>
      <w:r>
        <w:rPr>
          <w:spacing w:val="-1"/>
        </w:rPr>
        <w:t xml:space="preserve"> and of 40 CFR </w:t>
      </w:r>
      <w:r>
        <w:t xml:space="preserve">part 710 </w:t>
      </w:r>
      <w:r>
        <w:rPr>
          <w:spacing w:val="-1"/>
        </w:rPr>
        <w:t xml:space="preserve">are </w:t>
      </w:r>
      <w:r>
        <w:t xml:space="preserve">available in the public docket established for this </w:t>
      </w:r>
      <w:r>
        <w:rPr>
          <w:spacing w:val="-3"/>
        </w:rPr>
        <w:t>ICR</w:t>
      </w:r>
      <w:r>
        <w:rPr>
          <w:spacing w:val="-1"/>
        </w:rPr>
        <w:t xml:space="preserve"> </w:t>
      </w:r>
      <w:r>
        <w:t>under</w:t>
      </w:r>
      <w:r>
        <w:rPr>
          <w:spacing w:val="-1"/>
        </w:rPr>
        <w:t xml:space="preserve"> </w:t>
      </w:r>
      <w:r>
        <w:t xml:space="preserve">docket identification </w:t>
      </w:r>
      <w:r>
        <w:rPr>
          <w:spacing w:val="-1"/>
        </w:rPr>
        <w:t>number EPA-HQ-OPPT-2016-0426</w:t>
      </w:r>
      <w:r>
        <w:t xml:space="preserve"> </w:t>
      </w:r>
      <w:r>
        <w:rPr>
          <w:spacing w:val="-1"/>
        </w:rPr>
        <w:t xml:space="preserve">and </w:t>
      </w:r>
      <w:r>
        <w:t>are available for online viewing at</w:t>
      </w:r>
      <w:r>
        <w:rPr>
          <w:spacing w:val="35"/>
        </w:rPr>
        <w:t xml:space="preserve"> </w:t>
      </w:r>
      <w:r w:rsidR="00F51F73" w:rsidRPr="00F51F73">
        <w:rPr>
          <w:i/>
          <w:spacing w:val="-1"/>
        </w:rPr>
        <w:t>www.regulations.gov</w:t>
      </w:r>
      <w:r>
        <w:rPr>
          <w:spacing w:val="-1"/>
        </w:rPr>
        <w:t xml:space="preserve"> </w:t>
      </w:r>
      <w:r>
        <w:t>(also see Attachments A and B).</w:t>
      </w:r>
      <w:r>
        <w:rPr>
          <w:spacing w:val="-1"/>
        </w:rPr>
        <w:t xml:space="preserve"> </w:t>
      </w:r>
      <w:r>
        <w:t xml:space="preserve">The </w:t>
      </w:r>
      <w:r>
        <w:lastRenderedPageBreak/>
        <w:t>regulations</w:t>
      </w:r>
      <w:r>
        <w:rPr>
          <w:spacing w:val="22"/>
        </w:rPr>
        <w:t xml:space="preserve"> </w:t>
      </w:r>
      <w:r>
        <w:t>may</w:t>
      </w:r>
      <w:r>
        <w:rPr>
          <w:spacing w:val="-5"/>
        </w:rPr>
        <w:t xml:space="preserve"> </w:t>
      </w:r>
      <w:r>
        <w:t xml:space="preserve">also be viewed online at the National Archives and Records </w:t>
      </w:r>
      <w:r>
        <w:rPr>
          <w:spacing w:val="-1"/>
        </w:rPr>
        <w:t>Administration’s</w:t>
      </w:r>
      <w:r>
        <w:t xml:space="preserve"> </w:t>
      </w:r>
      <w:r>
        <w:rPr>
          <w:spacing w:val="-1"/>
        </w:rPr>
        <w:t>Electronic</w:t>
      </w:r>
      <w:r>
        <w:rPr>
          <w:spacing w:val="34"/>
        </w:rPr>
        <w:t xml:space="preserve"> </w:t>
      </w:r>
      <w:r>
        <w:t xml:space="preserve">CFR </w:t>
      </w:r>
      <w:r>
        <w:rPr>
          <w:spacing w:val="-1"/>
        </w:rPr>
        <w:t>Website</w:t>
      </w:r>
      <w:r w:rsidR="00C60F9E">
        <w:rPr>
          <w:spacing w:val="-1"/>
        </w:rPr>
        <w:t xml:space="preserve"> at </w:t>
      </w:r>
      <w:r w:rsidR="00F51F73" w:rsidRPr="00F51F73">
        <w:rPr>
          <w:i/>
          <w:spacing w:val="-1"/>
        </w:rPr>
        <w:t>https://www.ecfr.gov/cgi-bin/ECFR?page=browse</w:t>
      </w:r>
      <w:r>
        <w:rPr>
          <w:spacing w:val="-1"/>
        </w:rPr>
        <w:t>.</w:t>
      </w:r>
    </w:p>
    <w:p w14:paraId="4D897497" w14:textId="77777777" w:rsidR="0038132A" w:rsidRDefault="0038132A" w:rsidP="0038132A">
      <w:pPr>
        <w:spacing w:before="5"/>
        <w:rPr>
          <w:rFonts w:ascii="Times New Roman" w:eastAsia="Times New Roman" w:hAnsi="Times New Roman" w:cs="Times New Roman"/>
          <w:sz w:val="18"/>
          <w:szCs w:val="18"/>
        </w:rPr>
      </w:pPr>
    </w:p>
    <w:p w14:paraId="2D4AAAE9" w14:textId="77777777" w:rsidR="0038132A" w:rsidRDefault="0038132A" w:rsidP="0038132A">
      <w:pPr>
        <w:pStyle w:val="Heading1"/>
        <w:tabs>
          <w:tab w:val="left" w:pos="1539"/>
        </w:tabs>
        <w:spacing w:before="69"/>
        <w:rPr>
          <w:b w:val="0"/>
          <w:bCs w:val="0"/>
        </w:rPr>
      </w:pPr>
      <w:r>
        <w:t>2(b)</w:t>
      </w:r>
      <w:r>
        <w:tab/>
      </w:r>
      <w:r>
        <w:rPr>
          <w:spacing w:val="-1"/>
        </w:rPr>
        <w:t>Use/Users of the Data</w:t>
      </w:r>
    </w:p>
    <w:p w14:paraId="248B8643" w14:textId="77777777" w:rsidR="0038132A" w:rsidRDefault="0038132A" w:rsidP="0038132A">
      <w:pPr>
        <w:spacing w:before="7"/>
        <w:rPr>
          <w:rFonts w:ascii="Times New Roman" w:eastAsia="Times New Roman" w:hAnsi="Times New Roman" w:cs="Times New Roman"/>
          <w:b/>
          <w:bCs/>
          <w:sz w:val="23"/>
          <w:szCs w:val="23"/>
        </w:rPr>
      </w:pPr>
    </w:p>
    <w:p w14:paraId="17AA751C" w14:textId="05AAE9BB" w:rsidR="0038132A" w:rsidRDefault="0038132A" w:rsidP="0038132A">
      <w:pPr>
        <w:pStyle w:val="BodyText"/>
        <w:ind w:right="155"/>
      </w:pPr>
      <w:r>
        <w:t xml:space="preserve">TSCA requires </w:t>
      </w:r>
      <w:r w:rsidR="008348EC">
        <w:t>EPA</w:t>
      </w:r>
      <w:r>
        <w:t xml:space="preserve"> to compile and keep current the TSCA Inventory, the list of chemical substances manufactured or processed in the United States for non-exempt commercial purposes, and to designate these substances on the Inventory as active or inactive in U.S. commerce. To designate chemical substances as active or inactive, the Agency needs to conduct an initial collection of data on the commercial activity for each substance on the Inventory. Because a company may at any time in the future, after the initial data collection, reintroduce into U.S. commerce a chemical substance designated as inactive on the Inventory, the Agency needs to also conduct future data collection for those chemical substances, to be notified that the substances’ whose commercial activity is about to changes from inactive to active. Such notification is directly mandated by TSCA section 8(b)(5). Information collected is also essential to the Agency for compliance purposes. The information requirements for NOA reporting will assist in identifying cases in which submitters have mistakenly reported chemical substances based on their commercial activity status in the U.S. Finally, information collected will support </w:t>
      </w:r>
      <w:r w:rsidR="008348EC">
        <w:t>EPA</w:t>
      </w:r>
      <w:r>
        <w:t>’s responsibilities in routinely publishing non-confidential Inventory data.</w:t>
      </w:r>
    </w:p>
    <w:p w14:paraId="015B7291" w14:textId="77777777" w:rsidR="0038132A" w:rsidRDefault="0038132A" w:rsidP="0038132A">
      <w:pPr>
        <w:rPr>
          <w:rFonts w:ascii="Times New Roman" w:eastAsia="Times New Roman" w:hAnsi="Times New Roman" w:cs="Times New Roman"/>
          <w:sz w:val="24"/>
          <w:szCs w:val="24"/>
        </w:rPr>
      </w:pPr>
    </w:p>
    <w:p w14:paraId="2C46CB6A" w14:textId="7A789A62" w:rsidR="0038132A" w:rsidRDefault="0038132A" w:rsidP="0038132A">
      <w:pPr>
        <w:pStyle w:val="BodyText"/>
        <w:ind w:right="193"/>
      </w:pPr>
      <w:r>
        <w:rPr>
          <w:spacing w:val="-1"/>
        </w:rPr>
        <w:t xml:space="preserve">EPA requires the use of two specific </w:t>
      </w:r>
      <w:r>
        <w:t xml:space="preserve">reporting forms, a Form A (EPA </w:t>
      </w:r>
      <w:r>
        <w:rPr>
          <w:spacing w:val="-1"/>
        </w:rPr>
        <w:t>Form No. [</w:t>
      </w:r>
      <w:r w:rsidR="007238D9">
        <w:rPr>
          <w:color w:val="FF0000"/>
          <w:spacing w:val="-1"/>
        </w:rPr>
        <w:t>tba</w:t>
      </w:r>
      <w:r w:rsidR="00792744" w:rsidRPr="00792744">
        <w:rPr>
          <w:color w:val="000000" w:themeColor="text1"/>
          <w:spacing w:val="-1"/>
        </w:rPr>
        <w:t>]</w:t>
      </w:r>
      <w:r w:rsidR="00792744">
        <w:rPr>
          <w:rStyle w:val="FootnoteReference"/>
          <w:color w:val="000000" w:themeColor="text1"/>
          <w:spacing w:val="-1"/>
        </w:rPr>
        <w:footnoteReference w:id="2"/>
      </w:r>
      <w:r>
        <w:rPr>
          <w:spacing w:val="-1"/>
        </w:rPr>
        <w:t>)</w:t>
      </w:r>
      <w:r>
        <w:t xml:space="preserve"> and a Form B (EPA </w:t>
      </w:r>
      <w:r>
        <w:rPr>
          <w:spacing w:val="-1"/>
        </w:rPr>
        <w:t>Form No. [</w:t>
      </w:r>
      <w:r w:rsidR="007238D9">
        <w:rPr>
          <w:color w:val="FF0000"/>
          <w:spacing w:val="-1"/>
        </w:rPr>
        <w:t>tba</w:t>
      </w:r>
      <w:r>
        <w:rPr>
          <w:spacing w:val="-1"/>
        </w:rPr>
        <w:t>])</w:t>
      </w:r>
      <w:r>
        <w:t xml:space="preserve">, for </w:t>
      </w:r>
      <w:r>
        <w:rPr>
          <w:spacing w:val="-1"/>
        </w:rPr>
        <w:t>NOAs</w:t>
      </w:r>
      <w:r>
        <w:rPr>
          <w:spacing w:val="20"/>
        </w:rPr>
        <w:t xml:space="preserve"> </w:t>
      </w:r>
      <w:r>
        <w:t xml:space="preserve">submitted for chemical substances on the TSCA Inventory in accordance with 40 CFR 710 </w:t>
      </w:r>
      <w:r>
        <w:rPr>
          <w:spacing w:val="-1"/>
        </w:rPr>
        <w:t xml:space="preserve">(see Attachments </w:t>
      </w:r>
      <w:r w:rsidR="003C6BE4">
        <w:rPr>
          <w:spacing w:val="-1"/>
        </w:rPr>
        <w:t>D</w:t>
      </w:r>
      <w:r>
        <w:rPr>
          <w:spacing w:val="-1"/>
        </w:rPr>
        <w:t xml:space="preserve"> and </w:t>
      </w:r>
      <w:r w:rsidR="003C6BE4">
        <w:rPr>
          <w:spacing w:val="-1"/>
        </w:rPr>
        <w:t>E</w:t>
      </w:r>
      <w:r>
        <w:rPr>
          <w:spacing w:val="-1"/>
        </w:rPr>
        <w:t>).</w:t>
      </w:r>
      <w:r>
        <w:t xml:space="preserve"> </w:t>
      </w:r>
      <w:r>
        <w:rPr>
          <w:spacing w:val="-1"/>
        </w:rPr>
        <w:t xml:space="preserve">The use of </w:t>
      </w:r>
      <w:r>
        <w:t>a</w:t>
      </w:r>
      <w:r>
        <w:rPr>
          <w:spacing w:val="-1"/>
        </w:rPr>
        <w:t xml:space="preserve"> standard form </w:t>
      </w:r>
      <w:r>
        <w:t>for commercial activity reporting leads to greater efficiency</w:t>
      </w:r>
      <w:r>
        <w:rPr>
          <w:spacing w:val="-3"/>
        </w:rPr>
        <w:t xml:space="preserve"> </w:t>
      </w:r>
      <w:r>
        <w:rPr>
          <w:spacing w:val="1"/>
        </w:rPr>
        <w:t>by</w:t>
      </w:r>
      <w:r>
        <w:rPr>
          <w:spacing w:val="-5"/>
        </w:rPr>
        <w:t xml:space="preserve"> </w:t>
      </w:r>
      <w:r>
        <w:rPr>
          <w:spacing w:val="-1"/>
        </w:rPr>
        <w:t>assisting</w:t>
      </w:r>
      <w:r>
        <w:rPr>
          <w:spacing w:val="25"/>
        </w:rPr>
        <w:t xml:space="preserve"> </w:t>
      </w:r>
      <w:r>
        <w:t>EPA in</w:t>
      </w:r>
      <w:r>
        <w:rPr>
          <w:spacing w:val="-1"/>
        </w:rPr>
        <w:t xml:space="preserve"> providing uniformity in recording data in</w:t>
      </w:r>
      <w:r>
        <w:rPr>
          <w:spacing w:val="32"/>
        </w:rPr>
        <w:t xml:space="preserve"> </w:t>
      </w:r>
      <w:r>
        <w:rPr>
          <w:spacing w:val="-1"/>
        </w:rPr>
        <w:t>EPA databases and on the Inventory, and by providing</w:t>
      </w:r>
      <w:r>
        <w:t xml:space="preserve"> manufacturers a format to assure that required information is not</w:t>
      </w:r>
      <w:r>
        <w:rPr>
          <w:spacing w:val="23"/>
        </w:rPr>
        <w:t xml:space="preserve"> </w:t>
      </w:r>
      <w:r>
        <w:rPr>
          <w:spacing w:val="-1"/>
        </w:rPr>
        <w:t>inadvertently omitted in their submissions.</w:t>
      </w:r>
      <w:r>
        <w:t xml:space="preserve"> </w:t>
      </w:r>
    </w:p>
    <w:p w14:paraId="32F677D4" w14:textId="77777777" w:rsidR="0038132A" w:rsidRDefault="0038132A" w:rsidP="0038132A">
      <w:pPr>
        <w:spacing w:before="9"/>
        <w:rPr>
          <w:rFonts w:ascii="Times New Roman" w:eastAsia="Times New Roman" w:hAnsi="Times New Roman" w:cs="Times New Roman"/>
          <w:sz w:val="23"/>
          <w:szCs w:val="23"/>
        </w:rPr>
      </w:pPr>
    </w:p>
    <w:p w14:paraId="345FC896" w14:textId="77777777" w:rsidR="0038132A" w:rsidRDefault="0038132A" w:rsidP="0038132A">
      <w:pPr>
        <w:pStyle w:val="BodyText"/>
        <w:ind w:right="155"/>
      </w:pPr>
      <w:r>
        <w:rPr>
          <w:spacing w:val="-1"/>
        </w:rPr>
        <w:t xml:space="preserve">The </w:t>
      </w:r>
      <w:r>
        <w:t>recordkeeping requirements for NOAs are necessary</w:t>
      </w:r>
      <w:r>
        <w:rPr>
          <w:spacing w:val="-5"/>
        </w:rPr>
        <w:t xml:space="preserve"> </w:t>
      </w:r>
      <w:r>
        <w:t xml:space="preserve">for EPA compliance and enforcement purposes. </w:t>
      </w:r>
      <w:r>
        <w:rPr>
          <w:spacing w:val="-1"/>
        </w:rPr>
        <w:t xml:space="preserve">As part of </w:t>
      </w:r>
      <w:r>
        <w:t>its</w:t>
      </w:r>
      <w:r>
        <w:rPr>
          <w:spacing w:val="-1"/>
        </w:rPr>
        <w:t xml:space="preserve"> </w:t>
      </w:r>
      <w:r>
        <w:t>compliance</w:t>
      </w:r>
      <w:r>
        <w:rPr>
          <w:spacing w:val="-1"/>
        </w:rPr>
        <w:t xml:space="preserve"> </w:t>
      </w:r>
      <w:r>
        <w:t>program,</w:t>
      </w:r>
      <w:r>
        <w:rPr>
          <w:spacing w:val="27"/>
        </w:rPr>
        <w:t xml:space="preserve"> </w:t>
      </w:r>
      <w:r>
        <w:t>EPA conducts inspections to review the records of TSCA section 8(b) submitters to ensure that the information</w:t>
      </w:r>
      <w:r>
        <w:rPr>
          <w:spacing w:val="-1"/>
        </w:rPr>
        <w:t xml:space="preserve"> </w:t>
      </w:r>
      <w:r>
        <w:t>submitted</w:t>
      </w:r>
      <w:r>
        <w:rPr>
          <w:spacing w:val="-1"/>
        </w:rPr>
        <w:t xml:space="preserve"> </w:t>
      </w:r>
      <w:r>
        <w:t>in</w:t>
      </w:r>
      <w:r>
        <w:rPr>
          <w:spacing w:val="-1"/>
        </w:rPr>
        <w:t xml:space="preserve"> </w:t>
      </w:r>
      <w:r>
        <w:t>a</w:t>
      </w:r>
      <w:r>
        <w:rPr>
          <w:spacing w:val="-1"/>
        </w:rPr>
        <w:t xml:space="preserve"> </w:t>
      </w:r>
      <w:r>
        <w:t>notice</w:t>
      </w:r>
      <w:r>
        <w:rPr>
          <w:spacing w:val="-1"/>
        </w:rPr>
        <w:t xml:space="preserve"> </w:t>
      </w:r>
      <w:r>
        <w:t>was</w:t>
      </w:r>
      <w:r>
        <w:rPr>
          <w:spacing w:val="-1"/>
        </w:rPr>
        <w:t xml:space="preserve"> </w:t>
      </w:r>
      <w:r>
        <w:t>correct and</w:t>
      </w:r>
      <w:r>
        <w:rPr>
          <w:spacing w:val="-1"/>
        </w:rPr>
        <w:t xml:space="preserve"> </w:t>
      </w:r>
      <w:r>
        <w:t>that</w:t>
      </w:r>
      <w:r>
        <w:rPr>
          <w:spacing w:val="-1"/>
        </w:rPr>
        <w:t xml:space="preserve"> </w:t>
      </w:r>
      <w:r>
        <w:t>the</w:t>
      </w:r>
      <w:r>
        <w:rPr>
          <w:spacing w:val="-1"/>
        </w:rPr>
        <w:t xml:space="preserve"> </w:t>
      </w:r>
      <w:r>
        <w:t>submitter</w:t>
      </w:r>
      <w:r>
        <w:rPr>
          <w:spacing w:val="-1"/>
        </w:rPr>
        <w:t xml:space="preserve"> </w:t>
      </w:r>
      <w:r>
        <w:t>provided the notice for chemical substances in U.S. commerce during the time periods specified under section 8(b)</w:t>
      </w:r>
      <w:r>
        <w:rPr>
          <w:spacing w:val="-1"/>
        </w:rPr>
        <w:t>.</w:t>
      </w:r>
    </w:p>
    <w:p w14:paraId="599EE60A" w14:textId="77777777" w:rsidR="0038132A" w:rsidRDefault="0038132A" w:rsidP="0038132A">
      <w:pPr>
        <w:rPr>
          <w:rFonts w:ascii="Times New Roman" w:eastAsia="Times New Roman" w:hAnsi="Times New Roman" w:cs="Times New Roman"/>
          <w:sz w:val="24"/>
          <w:szCs w:val="24"/>
        </w:rPr>
      </w:pPr>
    </w:p>
    <w:p w14:paraId="3FEBF107" w14:textId="77777777" w:rsidR="0038132A" w:rsidRDefault="0038132A" w:rsidP="0038132A">
      <w:pPr>
        <w:pStyle w:val="BodyText"/>
        <w:ind w:right="203"/>
      </w:pPr>
      <w:r>
        <w:t xml:space="preserve">Users of these data are EPA </w:t>
      </w:r>
      <w:r>
        <w:rPr>
          <w:spacing w:val="-1"/>
        </w:rPr>
        <w:t>employees</w:t>
      </w:r>
      <w:r>
        <w:t xml:space="preserve"> located primarily</w:t>
      </w:r>
      <w:r>
        <w:rPr>
          <w:spacing w:val="-5"/>
        </w:rPr>
        <w:t xml:space="preserve"> </w:t>
      </w:r>
      <w:r>
        <w:t>in the Office of Pollution</w:t>
      </w:r>
      <w:r>
        <w:rPr>
          <w:spacing w:val="24"/>
        </w:rPr>
        <w:t xml:space="preserve"> </w:t>
      </w:r>
      <w:r>
        <w:t>Prevention and Toxics (OPPT) within the Office of</w:t>
      </w:r>
      <w:r>
        <w:rPr>
          <w:spacing w:val="-2"/>
        </w:rPr>
        <w:t xml:space="preserve"> </w:t>
      </w:r>
      <w:r>
        <w:rPr>
          <w:spacing w:val="-1"/>
        </w:rPr>
        <w:t xml:space="preserve">Chemical </w:t>
      </w:r>
      <w:r>
        <w:t>Safety</w:t>
      </w:r>
      <w:r>
        <w:rPr>
          <w:spacing w:val="-1"/>
        </w:rPr>
        <w:t xml:space="preserve"> </w:t>
      </w:r>
      <w:r>
        <w:t>and</w:t>
      </w:r>
      <w:r>
        <w:rPr>
          <w:spacing w:val="-1"/>
        </w:rPr>
        <w:t xml:space="preserve"> </w:t>
      </w:r>
      <w:r>
        <w:t>Pollution</w:t>
      </w:r>
      <w:r>
        <w:rPr>
          <w:spacing w:val="-3"/>
        </w:rPr>
        <w:t xml:space="preserve"> </w:t>
      </w:r>
      <w:r>
        <w:rPr>
          <w:spacing w:val="-1"/>
        </w:rPr>
        <w:t>Prevention</w:t>
      </w:r>
      <w:r>
        <w:rPr>
          <w:spacing w:val="22"/>
        </w:rPr>
        <w:t xml:space="preserve"> </w:t>
      </w:r>
      <w:r>
        <w:rPr>
          <w:spacing w:val="-1"/>
        </w:rPr>
        <w:t>(OCSPP)</w:t>
      </w:r>
      <w:r>
        <w:t>.</w:t>
      </w:r>
      <w:r>
        <w:rPr>
          <w:spacing w:val="2"/>
        </w:rPr>
        <w:t xml:space="preserve"> </w:t>
      </w:r>
      <w:r>
        <w:rPr>
          <w:spacing w:val="-1"/>
        </w:rPr>
        <w:t>In particular, management and staff of existing chemicals programs</w:t>
      </w:r>
      <w:r>
        <w:rPr>
          <w:spacing w:val="27"/>
        </w:rPr>
        <w:t xml:space="preserve"> </w:t>
      </w:r>
      <w:r>
        <w:t>within the various Divisions of OPPT will use this information to inform existing chemical prioritization</w:t>
      </w:r>
      <w:r>
        <w:rPr>
          <w:spacing w:val="-1"/>
        </w:rPr>
        <w:t>.</w:t>
      </w:r>
      <w:r>
        <w:t xml:space="preserve"> </w:t>
      </w:r>
      <w:r>
        <w:rPr>
          <w:spacing w:val="-1"/>
        </w:rPr>
        <w:t>OCSPP</w:t>
      </w:r>
      <w:r>
        <w:rPr>
          <w:spacing w:val="1"/>
        </w:rPr>
        <w:t xml:space="preserve"> </w:t>
      </w:r>
      <w:r>
        <w:rPr>
          <w:spacing w:val="-1"/>
        </w:rPr>
        <w:t>employees in the Regional</w:t>
      </w:r>
      <w:r>
        <w:rPr>
          <w:spacing w:val="34"/>
        </w:rPr>
        <w:t xml:space="preserve"> </w:t>
      </w:r>
      <w:r>
        <w:t xml:space="preserve">Offices, </w:t>
      </w:r>
      <w:r>
        <w:rPr>
          <w:spacing w:val="-1"/>
        </w:rPr>
        <w:t xml:space="preserve">employees in the Office of Enforcement and Compliance Assurance (OECA) </w:t>
      </w:r>
      <w:r>
        <w:t>in Headquarters and in the Regions</w:t>
      </w:r>
      <w:r>
        <w:rPr>
          <w:spacing w:val="-1"/>
        </w:rPr>
        <w:t>, and Core</w:t>
      </w:r>
      <w:r>
        <w:rPr>
          <w:spacing w:val="36"/>
        </w:rPr>
        <w:t xml:space="preserve"> </w:t>
      </w:r>
      <w:r>
        <w:t>TSCA Regional Coordinator Inspectors may use these data for</w:t>
      </w:r>
      <w:r>
        <w:rPr>
          <w:spacing w:val="27"/>
        </w:rPr>
        <w:t xml:space="preserve"> </w:t>
      </w:r>
      <w:r>
        <w:t>compliance monitoring and enforcement purposes.</w:t>
      </w:r>
    </w:p>
    <w:p w14:paraId="598A5E2D" w14:textId="77777777" w:rsidR="0038132A" w:rsidRDefault="0038132A" w:rsidP="0038132A">
      <w:pPr>
        <w:rPr>
          <w:rFonts w:ascii="Times New Roman" w:eastAsia="Times New Roman" w:hAnsi="Times New Roman" w:cs="Times New Roman"/>
          <w:sz w:val="24"/>
          <w:szCs w:val="24"/>
        </w:rPr>
      </w:pPr>
    </w:p>
    <w:p w14:paraId="2C4BCCE0" w14:textId="77777777" w:rsidR="0038132A" w:rsidRDefault="0038132A" w:rsidP="0038132A">
      <w:pPr>
        <w:pStyle w:val="Heading1"/>
        <w:numPr>
          <w:ilvl w:val="0"/>
          <w:numId w:val="47"/>
        </w:numPr>
        <w:tabs>
          <w:tab w:val="left" w:pos="820"/>
        </w:tabs>
        <w:ind w:left="820" w:right="1023"/>
        <w:rPr>
          <w:b w:val="0"/>
          <w:bCs w:val="0"/>
        </w:rPr>
      </w:pPr>
      <w:r>
        <w:rPr>
          <w:spacing w:val="-1"/>
        </w:rPr>
        <w:t>NON-DUPLICATION,</w:t>
      </w:r>
      <w:r>
        <w:t xml:space="preserve"> CONSULTATIONS AND OTHER COLLECTION</w:t>
      </w:r>
      <w:r>
        <w:rPr>
          <w:spacing w:val="28"/>
        </w:rPr>
        <w:t xml:space="preserve"> </w:t>
      </w:r>
      <w:r>
        <w:t>CRITERIA</w:t>
      </w:r>
    </w:p>
    <w:p w14:paraId="4C6F6322" w14:textId="77777777" w:rsidR="0038132A" w:rsidRDefault="0038132A" w:rsidP="0038132A">
      <w:pPr>
        <w:rPr>
          <w:rFonts w:ascii="Times New Roman" w:eastAsia="Times New Roman" w:hAnsi="Times New Roman" w:cs="Times New Roman"/>
          <w:b/>
          <w:bCs/>
          <w:sz w:val="24"/>
          <w:szCs w:val="24"/>
        </w:rPr>
      </w:pPr>
    </w:p>
    <w:p w14:paraId="683ADA5A" w14:textId="77777777" w:rsidR="0038132A" w:rsidRDefault="0038132A" w:rsidP="0038132A">
      <w:pPr>
        <w:tabs>
          <w:tab w:val="left" w:pos="1539"/>
        </w:tabs>
        <w:ind w:left="820"/>
        <w:rPr>
          <w:rFonts w:ascii="Times New Roman" w:eastAsia="Times New Roman" w:hAnsi="Times New Roman" w:cs="Times New Roman"/>
          <w:sz w:val="24"/>
          <w:szCs w:val="24"/>
        </w:rPr>
      </w:pPr>
      <w:r>
        <w:rPr>
          <w:rFonts w:ascii="Times New Roman"/>
          <w:b/>
          <w:spacing w:val="-1"/>
          <w:sz w:val="24"/>
        </w:rPr>
        <w:t>3(a)</w:t>
      </w:r>
      <w:r>
        <w:rPr>
          <w:rFonts w:ascii="Times New Roman"/>
          <w:b/>
          <w:spacing w:val="-1"/>
          <w:sz w:val="24"/>
        </w:rPr>
        <w:tab/>
        <w:t>Non-Duplication</w:t>
      </w:r>
    </w:p>
    <w:p w14:paraId="34D7A815" w14:textId="77777777" w:rsidR="0038132A" w:rsidRDefault="0038132A" w:rsidP="0038132A">
      <w:pPr>
        <w:spacing w:before="7"/>
        <w:rPr>
          <w:rFonts w:ascii="Times New Roman" w:eastAsia="Times New Roman" w:hAnsi="Times New Roman" w:cs="Times New Roman"/>
          <w:b/>
          <w:bCs/>
          <w:sz w:val="23"/>
          <w:szCs w:val="23"/>
        </w:rPr>
      </w:pPr>
    </w:p>
    <w:p w14:paraId="5057EAFF" w14:textId="77777777" w:rsidR="0038132A" w:rsidRDefault="0038132A" w:rsidP="0038132A">
      <w:pPr>
        <w:pStyle w:val="BodyText"/>
        <w:ind w:right="108"/>
      </w:pPr>
      <w:r>
        <w:t>EPA manages the TSCA Chemical Substance Inventory under TSCA 8(b). The Inventory is EPA's comprehensive list of confidential and non-confidential chemical substances manufactured or processed in the United States. EPA is the only</w:t>
      </w:r>
      <w:r>
        <w:rPr>
          <w:spacing w:val="-5"/>
        </w:rPr>
        <w:t xml:space="preserve"> </w:t>
      </w:r>
      <w:r>
        <w:t>federal agency</w:t>
      </w:r>
      <w:r>
        <w:rPr>
          <w:spacing w:val="-5"/>
        </w:rPr>
        <w:t xml:space="preserve"> </w:t>
      </w:r>
      <w:r>
        <w:t>that</w:t>
      </w:r>
      <w:r>
        <w:rPr>
          <w:spacing w:val="-1"/>
        </w:rPr>
        <w:t xml:space="preserve"> </w:t>
      </w:r>
      <w:r>
        <w:t>regularly</w:t>
      </w:r>
      <w:r>
        <w:rPr>
          <w:spacing w:val="-1"/>
        </w:rPr>
        <w:t xml:space="preserve"> collects information on chemical</w:t>
      </w:r>
      <w:r>
        <w:rPr>
          <w:spacing w:val="29"/>
        </w:rPr>
        <w:t xml:space="preserve"> </w:t>
      </w:r>
      <w:r>
        <w:rPr>
          <w:spacing w:val="-1"/>
        </w:rPr>
        <w:t>substances listed on the TSCA Inventory.</w:t>
      </w:r>
      <w:r>
        <w:t xml:space="preserve"> Therefore, the information submitters provide in an NOA</w:t>
      </w:r>
      <w:r>
        <w:rPr>
          <w:spacing w:val="-1"/>
        </w:rPr>
        <w:t xml:space="preserve"> cannot be obtained elsewhere.</w:t>
      </w:r>
    </w:p>
    <w:p w14:paraId="57DF0969" w14:textId="77777777" w:rsidR="0038132A" w:rsidRDefault="0038132A" w:rsidP="0038132A">
      <w:pPr>
        <w:spacing w:before="2"/>
        <w:rPr>
          <w:rFonts w:ascii="Times New Roman" w:eastAsia="Times New Roman" w:hAnsi="Times New Roman" w:cs="Times New Roman"/>
          <w:sz w:val="24"/>
          <w:szCs w:val="24"/>
        </w:rPr>
      </w:pPr>
    </w:p>
    <w:p w14:paraId="2278D3A5" w14:textId="77777777" w:rsidR="0038132A" w:rsidRDefault="0038132A" w:rsidP="0038132A">
      <w:pPr>
        <w:pStyle w:val="Heading1"/>
        <w:tabs>
          <w:tab w:val="left" w:pos="1539"/>
        </w:tabs>
        <w:rPr>
          <w:b w:val="0"/>
          <w:bCs w:val="0"/>
        </w:rPr>
      </w:pPr>
      <w:r>
        <w:t>3(b)</w:t>
      </w:r>
      <w:r>
        <w:tab/>
      </w:r>
      <w:r>
        <w:rPr>
          <w:spacing w:val="-1"/>
        </w:rPr>
        <w:t>Public Notice</w:t>
      </w:r>
      <w:r>
        <w:rPr>
          <w:spacing w:val="1"/>
        </w:rPr>
        <w:t xml:space="preserve"> </w:t>
      </w:r>
      <w:r>
        <w:t>Required Prior to ICR Submission to OMB</w:t>
      </w:r>
    </w:p>
    <w:p w14:paraId="105C13E5" w14:textId="77777777" w:rsidR="0038132A" w:rsidRDefault="0038132A" w:rsidP="0038132A">
      <w:pPr>
        <w:spacing w:before="7"/>
        <w:rPr>
          <w:rFonts w:ascii="Times New Roman" w:eastAsia="Times New Roman" w:hAnsi="Times New Roman" w:cs="Times New Roman"/>
          <w:b/>
          <w:bCs/>
          <w:sz w:val="23"/>
          <w:szCs w:val="23"/>
        </w:rPr>
      </w:pPr>
    </w:p>
    <w:p w14:paraId="3773FF73" w14:textId="5503B7FE" w:rsidR="0038132A" w:rsidRDefault="00FD37AA" w:rsidP="0038132A">
      <w:pPr>
        <w:pStyle w:val="BodyText"/>
        <w:ind w:right="256"/>
      </w:pPr>
      <w:r>
        <w:rPr>
          <w:spacing w:val="-1"/>
        </w:rPr>
        <w:t xml:space="preserve">Along with public comment on the proposed rule, </w:t>
      </w:r>
      <w:r w:rsidR="0038132A">
        <w:t>EPA provided a 60-day</w:t>
      </w:r>
      <w:r w:rsidR="0038132A">
        <w:rPr>
          <w:spacing w:val="-5"/>
        </w:rPr>
        <w:t xml:space="preserve"> </w:t>
      </w:r>
      <w:r w:rsidR="0038132A">
        <w:t>public comment</w:t>
      </w:r>
      <w:r w:rsidR="0038132A">
        <w:rPr>
          <w:spacing w:val="25"/>
        </w:rPr>
        <w:t xml:space="preserve"> </w:t>
      </w:r>
      <w:r w:rsidR="0038132A">
        <w:rPr>
          <w:spacing w:val="-1"/>
        </w:rPr>
        <w:t xml:space="preserve">period </w:t>
      </w:r>
      <w:r>
        <w:rPr>
          <w:spacing w:val="-1"/>
        </w:rPr>
        <w:t xml:space="preserve">on the draft ICR </w:t>
      </w:r>
      <w:r w:rsidR="0038132A">
        <w:rPr>
          <w:spacing w:val="-1"/>
        </w:rPr>
        <w:t xml:space="preserve">that ended on </w:t>
      </w:r>
      <w:r w:rsidR="0038132A">
        <w:t>March 14, 2017 (82 FR 4255, January 13, 2017)</w:t>
      </w:r>
      <w:r w:rsidR="0038132A">
        <w:rPr>
          <w:spacing w:val="-1"/>
        </w:rPr>
        <w:t>.</w:t>
      </w:r>
      <w:r w:rsidR="0038132A">
        <w:rPr>
          <w:spacing w:val="59"/>
        </w:rPr>
        <w:t xml:space="preserve"> </w:t>
      </w:r>
      <w:r w:rsidR="0038132A">
        <w:rPr>
          <w:spacing w:val="-1"/>
        </w:rPr>
        <w:t>EPA received</w:t>
      </w:r>
      <w:r w:rsidR="0038132A">
        <w:rPr>
          <w:spacing w:val="2"/>
        </w:rPr>
        <w:t xml:space="preserve"> </w:t>
      </w:r>
      <w:r w:rsidR="0038132A">
        <w:t>comments</w:t>
      </w:r>
      <w:r w:rsidR="0038132A">
        <w:rPr>
          <w:spacing w:val="39"/>
        </w:rPr>
        <w:t xml:space="preserve"> </w:t>
      </w:r>
      <w:r w:rsidR="0038132A">
        <w:rPr>
          <w:spacing w:val="-1"/>
        </w:rPr>
        <w:t xml:space="preserve">from </w:t>
      </w:r>
      <w:r w:rsidR="0038132A">
        <w:t>48 organizations during the comment period. Copies of the comments</w:t>
      </w:r>
      <w:r w:rsidR="0038132A">
        <w:rPr>
          <w:spacing w:val="23"/>
        </w:rPr>
        <w:t xml:space="preserve"> </w:t>
      </w:r>
      <w:r w:rsidR="0038132A">
        <w:rPr>
          <w:spacing w:val="-1"/>
        </w:rPr>
        <w:t xml:space="preserve">received </w:t>
      </w:r>
      <w:r>
        <w:rPr>
          <w:spacing w:val="-1"/>
        </w:rPr>
        <w:t xml:space="preserve">are available in the docket </w:t>
      </w:r>
      <w:r w:rsidR="0038132A">
        <w:t xml:space="preserve">and EPA’s response to the </w:t>
      </w:r>
      <w:r w:rsidR="0038132A">
        <w:rPr>
          <w:spacing w:val="-1"/>
        </w:rPr>
        <w:t xml:space="preserve">comments are included as Attachment </w:t>
      </w:r>
      <w:r w:rsidR="003C6BE4">
        <w:rPr>
          <w:spacing w:val="-1"/>
        </w:rPr>
        <w:t>F</w:t>
      </w:r>
      <w:r w:rsidR="0038132A">
        <w:rPr>
          <w:spacing w:val="-1"/>
        </w:rPr>
        <w:t>.</w:t>
      </w:r>
    </w:p>
    <w:p w14:paraId="781BAEA6" w14:textId="77777777" w:rsidR="0038132A" w:rsidRDefault="0038132A" w:rsidP="0038132A">
      <w:pPr>
        <w:spacing w:before="5"/>
        <w:rPr>
          <w:rFonts w:ascii="Times New Roman" w:eastAsia="Times New Roman" w:hAnsi="Times New Roman" w:cs="Times New Roman"/>
          <w:sz w:val="24"/>
          <w:szCs w:val="24"/>
        </w:rPr>
      </w:pPr>
    </w:p>
    <w:p w14:paraId="59080845" w14:textId="77777777" w:rsidR="0038132A" w:rsidRDefault="0038132A" w:rsidP="0038132A">
      <w:pPr>
        <w:pStyle w:val="Heading1"/>
        <w:tabs>
          <w:tab w:val="left" w:pos="1539"/>
        </w:tabs>
        <w:rPr>
          <w:b w:val="0"/>
          <w:bCs w:val="0"/>
        </w:rPr>
      </w:pPr>
      <w:r>
        <w:rPr>
          <w:spacing w:val="-1"/>
        </w:rPr>
        <w:t>3(c)</w:t>
      </w:r>
      <w:r>
        <w:rPr>
          <w:spacing w:val="-1"/>
        </w:rPr>
        <w:tab/>
      </w:r>
      <w:r>
        <w:t>Consultations</w:t>
      </w:r>
    </w:p>
    <w:p w14:paraId="2432238C" w14:textId="77777777" w:rsidR="0038132A" w:rsidRDefault="0038132A" w:rsidP="0038132A">
      <w:pPr>
        <w:spacing w:before="7"/>
        <w:rPr>
          <w:rFonts w:ascii="Times New Roman" w:eastAsia="Times New Roman" w:hAnsi="Times New Roman" w:cs="Times New Roman"/>
          <w:b/>
          <w:bCs/>
          <w:sz w:val="23"/>
          <w:szCs w:val="23"/>
        </w:rPr>
      </w:pPr>
    </w:p>
    <w:p w14:paraId="328A7B97" w14:textId="1EF0C122" w:rsidR="0038132A" w:rsidRDefault="008348EC" w:rsidP="0038132A">
      <w:pPr>
        <w:pStyle w:val="BodyText"/>
        <w:ind w:right="155"/>
      </w:pPr>
      <w:r>
        <w:rPr>
          <w:spacing w:val="-1"/>
        </w:rPr>
        <w:t>EPA</w:t>
      </w:r>
      <w:r w:rsidR="0038132A">
        <w:t xml:space="preserve"> has been regularly engaged in a </w:t>
      </w:r>
      <w:r w:rsidR="0038132A">
        <w:rPr>
          <w:spacing w:val="-1"/>
        </w:rPr>
        <w:t>continuing series of joint</w:t>
      </w:r>
      <w:r w:rsidR="0038132A">
        <w:rPr>
          <w:spacing w:val="28"/>
        </w:rPr>
        <w:t xml:space="preserve"> </w:t>
      </w:r>
      <w:r w:rsidR="0038132A">
        <w:rPr>
          <w:spacing w:val="-1"/>
        </w:rPr>
        <w:t>EPA/industry/public</w:t>
      </w:r>
      <w:r w:rsidR="0038132A">
        <w:t xml:space="preserve"> interest group meetings to exchange </w:t>
      </w:r>
      <w:r w:rsidR="0038132A">
        <w:rPr>
          <w:spacing w:val="-1"/>
        </w:rPr>
        <w:t xml:space="preserve">information </w:t>
      </w:r>
      <w:r w:rsidR="0038132A">
        <w:t>related to the TSCA programs in general (which includes TSCA Inventory functions), and more recently has begun engaging in similar meetings to exchange information related to specific new requirements required by TSCA as amended in 2016. These recent meetings included EPA public meetings and meetings with individual companies, and may include upcoming</w:t>
      </w:r>
      <w:r w:rsidR="0038132A">
        <w:rPr>
          <w:spacing w:val="-1"/>
        </w:rPr>
        <w:t xml:space="preserve"> </w:t>
      </w:r>
      <w:r w:rsidR="0038132A">
        <w:t>professional</w:t>
      </w:r>
      <w:r w:rsidR="0038132A">
        <w:rPr>
          <w:spacing w:val="-1"/>
        </w:rPr>
        <w:t xml:space="preserve"> </w:t>
      </w:r>
      <w:r w:rsidR="0038132A">
        <w:t>meetings</w:t>
      </w:r>
      <w:r w:rsidR="0038132A">
        <w:rPr>
          <w:spacing w:val="-1"/>
        </w:rPr>
        <w:t xml:space="preserve"> </w:t>
      </w:r>
      <w:r w:rsidR="0038132A">
        <w:t>(e.g.,</w:t>
      </w:r>
      <w:r w:rsidR="0038132A">
        <w:rPr>
          <w:spacing w:val="-1"/>
        </w:rPr>
        <w:t xml:space="preserve"> </w:t>
      </w:r>
      <w:r w:rsidR="0038132A">
        <w:t>the</w:t>
      </w:r>
      <w:r w:rsidR="0038132A">
        <w:rPr>
          <w:spacing w:val="-1"/>
        </w:rPr>
        <w:t xml:space="preserve"> </w:t>
      </w:r>
      <w:r w:rsidR="0038132A">
        <w:t>annual</w:t>
      </w:r>
      <w:r w:rsidR="0038132A">
        <w:rPr>
          <w:spacing w:val="-1"/>
        </w:rPr>
        <w:t xml:space="preserve"> </w:t>
      </w:r>
      <w:r w:rsidR="0038132A">
        <w:t>Global</w:t>
      </w:r>
      <w:r w:rsidR="0038132A">
        <w:rPr>
          <w:spacing w:val="-1"/>
        </w:rPr>
        <w:t xml:space="preserve"> </w:t>
      </w:r>
      <w:r w:rsidR="0038132A">
        <w:t>Chem</w:t>
      </w:r>
      <w:r w:rsidR="0038132A">
        <w:rPr>
          <w:spacing w:val="-1"/>
        </w:rPr>
        <w:t xml:space="preserve"> </w:t>
      </w:r>
      <w:r w:rsidR="0038132A">
        <w:t>Conference)</w:t>
      </w:r>
      <w:r w:rsidR="0038132A">
        <w:rPr>
          <w:spacing w:val="-1"/>
        </w:rPr>
        <w:t>.</w:t>
      </w:r>
    </w:p>
    <w:p w14:paraId="05B41F82" w14:textId="77777777" w:rsidR="0038132A" w:rsidRDefault="0038132A" w:rsidP="0038132A">
      <w:pPr>
        <w:rPr>
          <w:rFonts w:ascii="Times New Roman" w:eastAsia="Times New Roman" w:hAnsi="Times New Roman" w:cs="Times New Roman"/>
          <w:sz w:val="24"/>
          <w:szCs w:val="24"/>
        </w:rPr>
      </w:pPr>
    </w:p>
    <w:p w14:paraId="6A2974EC" w14:textId="77777777" w:rsidR="0038132A" w:rsidRDefault="0038132A" w:rsidP="0038132A">
      <w:pPr>
        <w:pStyle w:val="BodyText"/>
        <w:spacing w:before="69"/>
        <w:ind w:right="163"/>
      </w:pPr>
      <w:r>
        <w:t xml:space="preserve">Comments were received as a result of early consultations from five organizations: the American Chemistry Council, the American Petroleum </w:t>
      </w:r>
      <w:r>
        <w:rPr>
          <w:spacing w:val="-1"/>
        </w:rPr>
        <w:t>Institute, the Biotechnology Innovation Organization, the Color Pigments Manufacturers Association, and the Environmental Defense Fund</w:t>
      </w:r>
      <w:r>
        <w:t>. F</w:t>
      </w:r>
      <w:r>
        <w:rPr>
          <w:spacing w:val="-1"/>
        </w:rPr>
        <w:t>ormal</w:t>
      </w:r>
      <w:r>
        <w:rPr>
          <w:spacing w:val="26"/>
        </w:rPr>
        <w:t xml:space="preserve"> </w:t>
      </w:r>
      <w:r>
        <w:t xml:space="preserve">comments were received from 48 organizations as a result of the public notice in the </w:t>
      </w:r>
      <w:r w:rsidRPr="00F51F73">
        <w:rPr>
          <w:b/>
          <w:spacing w:val="-1"/>
        </w:rPr>
        <w:t>Federal Register</w:t>
      </w:r>
      <w:r>
        <w:rPr>
          <w:spacing w:val="-1"/>
        </w:rPr>
        <w:t xml:space="preserve"> </w:t>
      </w:r>
      <w:r>
        <w:t>(82 FR 4255, January 13, 2017).</w:t>
      </w:r>
      <w:r>
        <w:rPr>
          <w:spacing w:val="2"/>
        </w:rPr>
        <w:t xml:space="preserve"> </w:t>
      </w:r>
    </w:p>
    <w:p w14:paraId="53777280" w14:textId="77777777" w:rsidR="0038132A" w:rsidRDefault="0038132A" w:rsidP="0038132A">
      <w:pPr>
        <w:spacing w:before="5"/>
        <w:rPr>
          <w:rFonts w:ascii="Times New Roman" w:eastAsia="Times New Roman" w:hAnsi="Times New Roman" w:cs="Times New Roman"/>
          <w:sz w:val="24"/>
          <w:szCs w:val="24"/>
        </w:rPr>
      </w:pPr>
    </w:p>
    <w:p w14:paraId="28708081" w14:textId="77777777" w:rsidR="0038132A" w:rsidRDefault="0038132A" w:rsidP="0038132A">
      <w:pPr>
        <w:pStyle w:val="Heading1"/>
        <w:tabs>
          <w:tab w:val="left" w:pos="1539"/>
        </w:tabs>
        <w:rPr>
          <w:b w:val="0"/>
          <w:bCs w:val="0"/>
        </w:rPr>
      </w:pPr>
      <w:r>
        <w:t>3(d)</w:t>
      </w:r>
      <w:r>
        <w:tab/>
        <w:t>Effects</w:t>
      </w:r>
      <w:r>
        <w:rPr>
          <w:spacing w:val="-1"/>
        </w:rPr>
        <w:t xml:space="preserve"> </w:t>
      </w:r>
      <w:r>
        <w:t>of</w:t>
      </w:r>
      <w:r>
        <w:rPr>
          <w:spacing w:val="-1"/>
        </w:rPr>
        <w:t xml:space="preserve"> </w:t>
      </w:r>
      <w:r>
        <w:t>Less</w:t>
      </w:r>
      <w:r>
        <w:rPr>
          <w:spacing w:val="-1"/>
        </w:rPr>
        <w:t xml:space="preserve"> </w:t>
      </w:r>
      <w:r>
        <w:t>Frequent</w:t>
      </w:r>
      <w:r>
        <w:rPr>
          <w:spacing w:val="-1"/>
        </w:rPr>
        <w:t xml:space="preserve"> </w:t>
      </w:r>
      <w:r>
        <w:t>Collection</w:t>
      </w:r>
    </w:p>
    <w:p w14:paraId="7EFE8CD5" w14:textId="77777777" w:rsidR="0038132A" w:rsidRDefault="0038132A" w:rsidP="0038132A">
      <w:pPr>
        <w:spacing w:before="7"/>
        <w:rPr>
          <w:rFonts w:ascii="Times New Roman" w:eastAsia="Times New Roman" w:hAnsi="Times New Roman" w:cs="Times New Roman"/>
          <w:b/>
          <w:bCs/>
          <w:sz w:val="23"/>
          <w:szCs w:val="23"/>
        </w:rPr>
      </w:pPr>
    </w:p>
    <w:p w14:paraId="066DBB86" w14:textId="4B44F7BC" w:rsidR="0038132A" w:rsidRDefault="0038132A" w:rsidP="0038132A">
      <w:pPr>
        <w:pStyle w:val="BodyText"/>
        <w:ind w:right="163"/>
      </w:pPr>
      <w:r>
        <w:t>The information collection includes an initial round of reporting from manufacturers, which is mandated under TSCA Section 8(b)(4). The information collection also includes the ongoing collection of follow-on notifications from manufacturers and processors to address those circumstances where substances designated as inactive may be later re-introduced into active commerce. The deadlines associated with initial reporting and associated follow-on notifications are specified by statute. Delaying collection would limit EPA’s ability to meet its obligations under 8(b)(4) and manufacturers and processors’ ability to meet their obligations under section 8(b)(5). Manufacturers</w:t>
      </w:r>
      <w:r>
        <w:rPr>
          <w:spacing w:val="-1"/>
        </w:rPr>
        <w:t xml:space="preserve"> </w:t>
      </w:r>
      <w:r>
        <w:t>must submit a NOA for chemical</w:t>
      </w:r>
      <w:r>
        <w:rPr>
          <w:spacing w:val="-1"/>
        </w:rPr>
        <w:t xml:space="preserve"> </w:t>
      </w:r>
      <w:r>
        <w:t>substances in U.S. commercial during the time periods specified under section 8(b)(4); the timing of follow-on notifications is determined by submitters’ statutory obligations to submit those notifications, under section 8(b)(5)</w:t>
      </w:r>
      <w:r>
        <w:rPr>
          <w:spacing w:val="-1"/>
        </w:rPr>
        <w:t>.</w:t>
      </w:r>
      <w:r>
        <w:t xml:space="preserve"> </w:t>
      </w:r>
      <w:r>
        <w:rPr>
          <w:spacing w:val="-1"/>
        </w:rPr>
        <w:t>Information</w:t>
      </w:r>
      <w:r>
        <w:t xml:space="preserve"> is initially provided</w:t>
      </w:r>
      <w:r>
        <w:rPr>
          <w:spacing w:val="-1"/>
        </w:rPr>
        <w:t xml:space="preserve"> </w:t>
      </w:r>
      <w:r>
        <w:t>to</w:t>
      </w:r>
      <w:r>
        <w:rPr>
          <w:spacing w:val="-1"/>
        </w:rPr>
        <w:t xml:space="preserve"> </w:t>
      </w:r>
      <w:r>
        <w:t>the Agency</w:t>
      </w:r>
      <w:r>
        <w:rPr>
          <w:spacing w:val="-1"/>
        </w:rPr>
        <w:t xml:space="preserve"> on an as-needed </w:t>
      </w:r>
      <w:r>
        <w:t xml:space="preserve">basis, according to the initial reporting requirements to collect data on active chemical substances, i.e., chemical substances on the TSCA Inventory that were active in U.S. commerce during the 10-year time period ending on June 21, 2016. </w:t>
      </w:r>
      <w:r>
        <w:rPr>
          <w:spacing w:val="-1"/>
        </w:rPr>
        <w:t>Subsequent reporting</w:t>
      </w:r>
      <w:r>
        <w:rPr>
          <w:spacing w:val="1"/>
        </w:rPr>
        <w:t xml:space="preserve"> </w:t>
      </w:r>
      <w:r>
        <w:t>would only</w:t>
      </w:r>
      <w:r>
        <w:rPr>
          <w:spacing w:val="-5"/>
        </w:rPr>
        <w:t xml:space="preserve"> </w:t>
      </w:r>
      <w:r>
        <w:t xml:space="preserve">be required for inactive substances, i.e., chemical substances on the Inventory for which </w:t>
      </w:r>
      <w:r w:rsidR="008348EC">
        <w:t>EPA</w:t>
      </w:r>
      <w:r>
        <w:t xml:space="preserve"> received no notice during the initial reporting period and that are reintroduced into U.S. commerce at a date after the initial reporting period closes. As subsequent notification occurs over time changing designations from inactive to active, fewer notification are expected</w:t>
      </w:r>
      <w:r>
        <w:rPr>
          <w:spacing w:val="-1"/>
        </w:rPr>
        <w:t>.</w:t>
      </w:r>
    </w:p>
    <w:p w14:paraId="3ABFA59F" w14:textId="77777777" w:rsidR="0038132A" w:rsidRDefault="0038132A" w:rsidP="0038132A">
      <w:pPr>
        <w:spacing w:before="5"/>
        <w:rPr>
          <w:rFonts w:ascii="Times New Roman" w:eastAsia="Times New Roman" w:hAnsi="Times New Roman" w:cs="Times New Roman"/>
          <w:sz w:val="24"/>
          <w:szCs w:val="24"/>
        </w:rPr>
      </w:pPr>
    </w:p>
    <w:p w14:paraId="6541A977" w14:textId="77777777" w:rsidR="0038132A" w:rsidRDefault="0038132A" w:rsidP="0038132A">
      <w:pPr>
        <w:pStyle w:val="Heading1"/>
        <w:tabs>
          <w:tab w:val="left" w:pos="1539"/>
        </w:tabs>
        <w:rPr>
          <w:b w:val="0"/>
          <w:bCs w:val="0"/>
        </w:rPr>
      </w:pPr>
      <w:r>
        <w:rPr>
          <w:spacing w:val="-1"/>
        </w:rPr>
        <w:t>3(e)</w:t>
      </w:r>
      <w:r>
        <w:rPr>
          <w:spacing w:val="-1"/>
        </w:rPr>
        <w:tab/>
      </w:r>
      <w:r>
        <w:t>General Guidelines</w:t>
      </w:r>
    </w:p>
    <w:p w14:paraId="230F18DE" w14:textId="77777777" w:rsidR="0038132A" w:rsidRDefault="0038132A" w:rsidP="0038132A">
      <w:pPr>
        <w:spacing w:before="7"/>
        <w:rPr>
          <w:rFonts w:ascii="Times New Roman" w:eastAsia="Times New Roman" w:hAnsi="Times New Roman" w:cs="Times New Roman"/>
          <w:b/>
          <w:bCs/>
          <w:sz w:val="23"/>
          <w:szCs w:val="23"/>
        </w:rPr>
      </w:pPr>
    </w:p>
    <w:p w14:paraId="1539BFF0" w14:textId="5B34759F" w:rsidR="0038132A" w:rsidRDefault="0038132A" w:rsidP="0038132A">
      <w:pPr>
        <w:pStyle w:val="BodyText"/>
        <w:ind w:right="110"/>
      </w:pPr>
      <w:r>
        <w:t>This collection of information is consistent with all</w:t>
      </w:r>
      <w:r>
        <w:rPr>
          <w:spacing w:val="-1"/>
        </w:rPr>
        <w:t xml:space="preserve"> </w:t>
      </w:r>
      <w:r>
        <w:t>OMB</w:t>
      </w:r>
      <w:r>
        <w:rPr>
          <w:spacing w:val="-1"/>
        </w:rPr>
        <w:t xml:space="preserve"> </w:t>
      </w:r>
      <w:r>
        <w:t>guidelines</w:t>
      </w:r>
      <w:r>
        <w:rPr>
          <w:spacing w:val="-1"/>
        </w:rPr>
        <w:t xml:space="preserve"> </w:t>
      </w:r>
      <w:r>
        <w:t>under</w:t>
      </w:r>
      <w:r>
        <w:rPr>
          <w:spacing w:val="-1"/>
        </w:rPr>
        <w:t xml:space="preserve"> </w:t>
      </w:r>
      <w:r>
        <w:t>5</w:t>
      </w:r>
      <w:r>
        <w:rPr>
          <w:spacing w:val="-1"/>
        </w:rPr>
        <w:t xml:space="preserve"> </w:t>
      </w:r>
      <w:r>
        <w:t>CFR</w:t>
      </w:r>
      <w:r>
        <w:rPr>
          <w:spacing w:val="-1"/>
        </w:rPr>
        <w:t xml:space="preserve"> </w:t>
      </w:r>
      <w:r>
        <w:t>1320.6 except with respect to the maintenance of records by</w:t>
      </w:r>
      <w:r>
        <w:rPr>
          <w:spacing w:val="-5"/>
        </w:rPr>
        <w:t xml:space="preserve"> </w:t>
      </w:r>
      <w:r>
        <w:t xml:space="preserve">respondents for more than three </w:t>
      </w:r>
      <w:r>
        <w:rPr>
          <w:spacing w:val="-2"/>
        </w:rPr>
        <w:t>years.</w:t>
      </w:r>
      <w:r>
        <w:t xml:space="preserve"> </w:t>
      </w:r>
      <w:r w:rsidR="008348EC">
        <w:t>EPA</w:t>
      </w:r>
      <w:r>
        <w:rPr>
          <w:spacing w:val="24"/>
        </w:rPr>
        <w:t xml:space="preserve"> </w:t>
      </w:r>
      <w:r>
        <w:t>believes</w:t>
      </w:r>
      <w:r>
        <w:rPr>
          <w:spacing w:val="-1"/>
        </w:rPr>
        <w:t xml:space="preserve"> </w:t>
      </w:r>
      <w:r>
        <w:t>a</w:t>
      </w:r>
      <w:r>
        <w:rPr>
          <w:spacing w:val="-1"/>
        </w:rPr>
        <w:t xml:space="preserve"> five-year</w:t>
      </w:r>
      <w:r>
        <w:t xml:space="preserve"> recordkeeping requirement is needed to carry</w:t>
      </w:r>
      <w:r>
        <w:rPr>
          <w:spacing w:val="-5"/>
        </w:rPr>
        <w:t xml:space="preserve"> </w:t>
      </w:r>
      <w:r>
        <w:t xml:space="preserve">out an effective program. </w:t>
      </w:r>
      <w:r>
        <w:rPr>
          <w:spacing w:val="-1"/>
        </w:rPr>
        <w:t xml:space="preserve">The five-year recordkeeping </w:t>
      </w:r>
      <w:r>
        <w:t xml:space="preserve">requirement is consistent with the </w:t>
      </w:r>
      <w:r>
        <w:rPr>
          <w:spacing w:val="-1"/>
        </w:rPr>
        <w:t>five-year</w:t>
      </w:r>
      <w:r>
        <w:t xml:space="preserve"> statute of limitations </w:t>
      </w:r>
      <w:r>
        <w:rPr>
          <w:spacing w:val="-1"/>
        </w:rPr>
        <w:t>under</w:t>
      </w:r>
      <w:r>
        <w:rPr>
          <w:spacing w:val="24"/>
        </w:rPr>
        <w:t xml:space="preserve"> </w:t>
      </w:r>
      <w:r>
        <w:t>28 U.S.C. 2462 held applicable to all Agency enforcement actions, including administrative proceedings under TSCA. See</w:t>
      </w:r>
      <w:r>
        <w:rPr>
          <w:spacing w:val="-1"/>
        </w:rPr>
        <w:t xml:space="preserve"> </w:t>
      </w:r>
      <w:r>
        <w:rPr>
          <w:u w:val="single"/>
        </w:rPr>
        <w:t>3M Company</w:t>
      </w:r>
      <w:r>
        <w:rPr>
          <w:spacing w:val="-6"/>
          <w:u w:val="single"/>
        </w:rPr>
        <w:t xml:space="preserve"> </w:t>
      </w:r>
      <w:r>
        <w:rPr>
          <w:u w:val="single"/>
        </w:rPr>
        <w:t>vs. Browner</w:t>
      </w:r>
      <w:r>
        <w:rPr>
          <w:spacing w:val="-1"/>
        </w:rPr>
        <w:t>,</w:t>
      </w:r>
      <w:r>
        <w:t xml:space="preserve"> 17 </w:t>
      </w:r>
      <w:r>
        <w:rPr>
          <w:spacing w:val="-1"/>
        </w:rPr>
        <w:t>F.3d 1453 (DC Cir. 1994).</w:t>
      </w:r>
      <w:r>
        <w:rPr>
          <w:spacing w:val="27"/>
        </w:rPr>
        <w:t xml:space="preserve"> </w:t>
      </w:r>
      <w:r>
        <w:t xml:space="preserve">Therefore, </w:t>
      </w:r>
      <w:r w:rsidR="008348EC">
        <w:t>EPA</w:t>
      </w:r>
      <w:r>
        <w:rPr>
          <w:spacing w:val="-5"/>
        </w:rPr>
        <w:t xml:space="preserve"> </w:t>
      </w:r>
      <w:r>
        <w:t>requires respondents to retain records for more than three</w:t>
      </w:r>
      <w:r>
        <w:rPr>
          <w:spacing w:val="23"/>
        </w:rPr>
        <w:t xml:space="preserve"> </w:t>
      </w:r>
      <w:r>
        <w:rPr>
          <w:spacing w:val="-1"/>
        </w:rPr>
        <w:t>years.</w:t>
      </w:r>
    </w:p>
    <w:p w14:paraId="63851202" w14:textId="77777777" w:rsidR="0038132A" w:rsidRDefault="0038132A" w:rsidP="0038132A">
      <w:pPr>
        <w:spacing w:before="5"/>
        <w:rPr>
          <w:rFonts w:ascii="Times New Roman" w:eastAsia="Times New Roman" w:hAnsi="Times New Roman" w:cs="Times New Roman"/>
          <w:sz w:val="24"/>
          <w:szCs w:val="24"/>
        </w:rPr>
      </w:pPr>
    </w:p>
    <w:p w14:paraId="0310BCEF" w14:textId="77777777" w:rsidR="0038132A" w:rsidRDefault="0038132A" w:rsidP="0038132A">
      <w:pPr>
        <w:pStyle w:val="Heading1"/>
        <w:tabs>
          <w:tab w:val="left" w:pos="1539"/>
        </w:tabs>
        <w:rPr>
          <w:b w:val="0"/>
          <w:bCs w:val="0"/>
        </w:rPr>
      </w:pPr>
      <w:r>
        <w:t>3(f)</w:t>
      </w:r>
      <w:r>
        <w:tab/>
        <w:t>Confidentiality</w:t>
      </w:r>
    </w:p>
    <w:p w14:paraId="342CC703" w14:textId="77777777" w:rsidR="0038132A" w:rsidRDefault="0038132A" w:rsidP="0038132A">
      <w:pPr>
        <w:spacing w:before="7"/>
        <w:rPr>
          <w:rFonts w:ascii="Times New Roman" w:eastAsia="Times New Roman" w:hAnsi="Times New Roman" w:cs="Times New Roman"/>
          <w:b/>
          <w:bCs/>
          <w:sz w:val="23"/>
          <w:szCs w:val="23"/>
        </w:rPr>
      </w:pPr>
    </w:p>
    <w:p w14:paraId="34DB7BAF" w14:textId="698C7F51" w:rsidR="0038132A" w:rsidRDefault="0038132A" w:rsidP="0038132A">
      <w:pPr>
        <w:pStyle w:val="BodyText"/>
        <w:ind w:right="105"/>
      </w:pPr>
      <w:r>
        <w:t>The required NOA information may</w:t>
      </w:r>
      <w:r>
        <w:rPr>
          <w:spacing w:val="-5"/>
        </w:rPr>
        <w:t xml:space="preserve"> </w:t>
      </w:r>
      <w:r>
        <w:t>be considered by</w:t>
      </w:r>
      <w:r>
        <w:rPr>
          <w:spacing w:val="-5"/>
        </w:rPr>
        <w:t xml:space="preserve"> </w:t>
      </w:r>
      <w:r>
        <w:t xml:space="preserve">the submitter to be a trade secret, </w:t>
      </w:r>
      <w:r>
        <w:rPr>
          <w:spacing w:val="-1"/>
        </w:rPr>
        <w:t xml:space="preserve">proprietary, or </w:t>
      </w:r>
      <w:r>
        <w:t xml:space="preserve">confidential business </w:t>
      </w:r>
      <w:r>
        <w:rPr>
          <w:spacing w:val="-1"/>
        </w:rPr>
        <w:t>information (CBI).</w:t>
      </w:r>
      <w:r>
        <w:rPr>
          <w:spacing w:val="2"/>
        </w:rPr>
        <w:t xml:space="preserve"> </w:t>
      </w:r>
      <w:r>
        <w:t>However,</w:t>
      </w:r>
      <w:r>
        <w:rPr>
          <w:spacing w:val="-1"/>
        </w:rPr>
        <w:t xml:space="preserve"> </w:t>
      </w:r>
      <w:r>
        <w:t>TSCA</w:t>
      </w:r>
      <w:r>
        <w:rPr>
          <w:spacing w:val="50"/>
        </w:rPr>
        <w:t xml:space="preserve"> </w:t>
      </w:r>
      <w:r>
        <w:t xml:space="preserve">mandates that </w:t>
      </w:r>
      <w:r w:rsidR="008348EC">
        <w:t>EPA</w:t>
      </w:r>
      <w:r>
        <w:t xml:space="preserve"> require the submission of such information because it is essential for maintaining the individual chemical substance listings on the TSCA Inventory</w:t>
      </w:r>
      <w:r>
        <w:rPr>
          <w:spacing w:val="-1"/>
        </w:rPr>
        <w:t>.</w:t>
      </w:r>
      <w:r>
        <w:rPr>
          <w:spacing w:val="2"/>
        </w:rPr>
        <w:t xml:space="preserve"> </w:t>
      </w:r>
      <w:r>
        <w:t>Because unique, individual chemical substances are listed on the Inventory, the Agency requires specific chemical identity information for each listing to properly maintain on the TSCA Inventory. Additionally, the Agency</w:t>
      </w:r>
      <w:r>
        <w:rPr>
          <w:spacing w:val="-5"/>
        </w:rPr>
        <w:t xml:space="preserve"> </w:t>
      </w:r>
      <w:r>
        <w:t xml:space="preserve">is </w:t>
      </w:r>
      <w:r>
        <w:rPr>
          <w:spacing w:val="-1"/>
        </w:rPr>
        <w:t>required</w:t>
      </w:r>
      <w:r>
        <w:rPr>
          <w:spacing w:val="1"/>
        </w:rPr>
        <w:t xml:space="preserve"> </w:t>
      </w:r>
      <w:r>
        <w:t>by</w:t>
      </w:r>
      <w:r>
        <w:rPr>
          <w:spacing w:val="-5"/>
        </w:rPr>
        <w:t xml:space="preserve"> </w:t>
      </w:r>
      <w:r>
        <w:t xml:space="preserve">TSCA </w:t>
      </w:r>
      <w:r>
        <w:rPr>
          <w:spacing w:val="-1"/>
        </w:rPr>
        <w:t xml:space="preserve">section 8(b) </w:t>
      </w:r>
      <w:r>
        <w:rPr>
          <w:spacing w:val="1"/>
        </w:rPr>
        <w:t>to</w:t>
      </w:r>
      <w:r>
        <w:t xml:space="preserve"> routinely publish non-confidential data on each chemical substance on the TSCA Inventory</w:t>
      </w:r>
      <w:r>
        <w:rPr>
          <w:spacing w:val="-1"/>
        </w:rPr>
        <w:t>.</w:t>
      </w:r>
      <w:r>
        <w:t xml:space="preserve"> </w:t>
      </w:r>
      <w:r>
        <w:rPr>
          <w:spacing w:val="-1"/>
        </w:rPr>
        <w:t>Congress</w:t>
      </w:r>
      <w:r>
        <w:rPr>
          <w:spacing w:val="23"/>
        </w:rPr>
        <w:t xml:space="preserve"> </w:t>
      </w:r>
      <w:r>
        <w:t>included this provision to provide the public with information on chemical substances in U.S. commerce.</w:t>
      </w:r>
    </w:p>
    <w:p w14:paraId="6324BEE4" w14:textId="77777777" w:rsidR="0038132A" w:rsidRDefault="0038132A" w:rsidP="0038132A">
      <w:pPr>
        <w:rPr>
          <w:rFonts w:ascii="Times New Roman" w:eastAsia="Times New Roman" w:hAnsi="Times New Roman" w:cs="Times New Roman"/>
          <w:sz w:val="24"/>
          <w:szCs w:val="24"/>
        </w:rPr>
      </w:pPr>
    </w:p>
    <w:p w14:paraId="13BC1443" w14:textId="37EB497C" w:rsidR="0038132A" w:rsidRDefault="0038132A" w:rsidP="0038132A">
      <w:pPr>
        <w:pStyle w:val="BodyText"/>
        <w:ind w:right="126"/>
        <w:rPr>
          <w:spacing w:val="-1"/>
        </w:rPr>
      </w:pPr>
      <w:r>
        <w:t xml:space="preserve">The </w:t>
      </w:r>
      <w:r>
        <w:rPr>
          <w:spacing w:val="-1"/>
        </w:rPr>
        <w:t>Agency’s</w:t>
      </w:r>
      <w:r>
        <w:t xml:space="preserve"> policies allow public involvement while preserving </w:t>
      </w:r>
      <w:r>
        <w:rPr>
          <w:spacing w:val="-1"/>
        </w:rPr>
        <w:t>confidentiality.</w:t>
      </w:r>
      <w:r>
        <w:t xml:space="preserve"> TSCA</w:t>
      </w:r>
      <w:r>
        <w:rPr>
          <w:spacing w:val="24"/>
        </w:rPr>
        <w:t xml:space="preserve"> </w:t>
      </w:r>
      <w:r>
        <w:t>section</w:t>
      </w:r>
      <w:r>
        <w:rPr>
          <w:spacing w:val="-1"/>
        </w:rPr>
        <w:t xml:space="preserve"> </w:t>
      </w:r>
      <w:r>
        <w:t>14(a)</w:t>
      </w:r>
      <w:r>
        <w:rPr>
          <w:spacing w:val="-1"/>
        </w:rPr>
        <w:t xml:space="preserve"> </w:t>
      </w:r>
      <w:r>
        <w:t>prohibits,</w:t>
      </w:r>
      <w:r>
        <w:rPr>
          <w:spacing w:val="-1"/>
        </w:rPr>
        <w:t xml:space="preserve"> </w:t>
      </w:r>
      <w:r>
        <w:t>except</w:t>
      </w:r>
      <w:r>
        <w:rPr>
          <w:spacing w:val="-1"/>
        </w:rPr>
        <w:t xml:space="preserve"> </w:t>
      </w:r>
      <w:r>
        <w:t>in</w:t>
      </w:r>
      <w:r>
        <w:rPr>
          <w:spacing w:val="-1"/>
        </w:rPr>
        <w:t xml:space="preserve"> </w:t>
      </w:r>
      <w:r>
        <w:t>limited</w:t>
      </w:r>
      <w:r>
        <w:rPr>
          <w:spacing w:val="-1"/>
        </w:rPr>
        <w:t xml:space="preserve"> </w:t>
      </w:r>
      <w:r>
        <w:t>circumstances,</w:t>
      </w:r>
      <w:r>
        <w:rPr>
          <w:spacing w:val="-1"/>
        </w:rPr>
        <w:t xml:space="preserve"> </w:t>
      </w:r>
      <w:r>
        <w:t>the</w:t>
      </w:r>
      <w:r>
        <w:rPr>
          <w:spacing w:val="-1"/>
        </w:rPr>
        <w:t xml:space="preserve"> </w:t>
      </w:r>
      <w:r>
        <w:t>disclosure</w:t>
      </w:r>
      <w:r>
        <w:rPr>
          <w:spacing w:val="-1"/>
        </w:rPr>
        <w:t xml:space="preserve"> </w:t>
      </w:r>
      <w:r>
        <w:t>of</w:t>
      </w:r>
      <w:r>
        <w:rPr>
          <w:spacing w:val="-1"/>
        </w:rPr>
        <w:t xml:space="preserve"> </w:t>
      </w:r>
      <w:r>
        <w:t>trade</w:t>
      </w:r>
      <w:r>
        <w:rPr>
          <w:spacing w:val="-1"/>
        </w:rPr>
        <w:t xml:space="preserve"> </w:t>
      </w:r>
      <w:r>
        <w:t xml:space="preserve">secret </w:t>
      </w:r>
      <w:r>
        <w:rPr>
          <w:spacing w:val="-1"/>
        </w:rPr>
        <w:t>information.</w:t>
      </w:r>
      <w:r>
        <w:t xml:space="preserve"> Under</w:t>
      </w:r>
      <w:r>
        <w:rPr>
          <w:spacing w:val="32"/>
        </w:rPr>
        <w:t xml:space="preserve"> </w:t>
      </w:r>
      <w:r>
        <w:rPr>
          <w:spacing w:val="-1"/>
        </w:rPr>
        <w:t>40 CFR part</w:t>
      </w:r>
      <w:r>
        <w:t xml:space="preserve"> 2, when the specific chemical identity</w:t>
      </w:r>
      <w:r>
        <w:rPr>
          <w:spacing w:val="-5"/>
        </w:rPr>
        <w:t xml:space="preserve"> </w:t>
      </w:r>
      <w:r>
        <w:t>data are claimed confidential, the Agency</w:t>
      </w:r>
      <w:r>
        <w:rPr>
          <w:spacing w:val="-6"/>
        </w:rPr>
        <w:t xml:space="preserve"> </w:t>
      </w:r>
      <w:r>
        <w:t>requires the submitter to provide generic descriptions for inclusion in</w:t>
      </w:r>
      <w:r>
        <w:rPr>
          <w:spacing w:val="-1"/>
        </w:rPr>
        <w:t xml:space="preserve"> Federal Register </w:t>
      </w:r>
      <w:r>
        <w:t>notices and the publications of the TSCA Inventory</w:t>
      </w:r>
      <w:r>
        <w:rPr>
          <w:spacing w:val="-1"/>
        </w:rPr>
        <w:t xml:space="preserve">. Persons will be reporting chemical identity information in NOAs based on a list of TSCA Inventory chemical substances posted in </w:t>
      </w:r>
      <w:r w:rsidR="008348EC">
        <w:rPr>
          <w:spacing w:val="-1"/>
        </w:rPr>
        <w:t>EPA</w:t>
      </w:r>
      <w:r>
        <w:rPr>
          <w:spacing w:val="-1"/>
        </w:rPr>
        <w:t>’s Substance Registry System. This list does not contain confidential chemical identity information. In reporting a non-CBI substance, persons will select a substance listed with a Chemical Abstracts Service Registry Number (CASRN) and a Chemical Abstracts (CA) Index name.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14:paraId="3162033E" w14:textId="77777777" w:rsidR="0038132A" w:rsidRDefault="0038132A" w:rsidP="0038132A">
      <w:pPr>
        <w:pStyle w:val="BodyText"/>
        <w:ind w:right="126"/>
        <w:rPr>
          <w:spacing w:val="-1"/>
        </w:rPr>
      </w:pPr>
    </w:p>
    <w:p w14:paraId="18231E25" w14:textId="77777777" w:rsidR="0038132A" w:rsidRDefault="0038132A" w:rsidP="0038132A">
      <w:pPr>
        <w:pStyle w:val="BodyText"/>
        <w:ind w:right="126"/>
        <w:rPr>
          <w:spacing w:val="-1"/>
        </w:rPr>
      </w:pPr>
      <w:r>
        <w:rPr>
          <w:spacing w:val="-1"/>
        </w:rPr>
        <w:t>The 2016 amendments to TSCA include new provisions that impact procedures for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to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 With the exception of existing claims on chemical identity (as stated in TSCA section 8(b)), substantiations are required at the time of notification.</w:t>
      </w:r>
    </w:p>
    <w:p w14:paraId="164822E6" w14:textId="77777777" w:rsidR="0038132A" w:rsidRDefault="0038132A" w:rsidP="0038132A">
      <w:pPr>
        <w:rPr>
          <w:rFonts w:ascii="Times New Roman" w:eastAsia="Times New Roman" w:hAnsi="Times New Roman" w:cs="Times New Roman"/>
          <w:sz w:val="24"/>
          <w:szCs w:val="24"/>
        </w:rPr>
      </w:pPr>
    </w:p>
    <w:p w14:paraId="686F8088" w14:textId="29961CB3" w:rsidR="0038132A" w:rsidRDefault="0038132A" w:rsidP="0038132A">
      <w:pPr>
        <w:pStyle w:val="BodyText"/>
        <w:ind w:right="99"/>
      </w:pPr>
      <w:r>
        <w:t xml:space="preserve">Based on its experience, </w:t>
      </w:r>
      <w:r w:rsidR="008348EC">
        <w:t>EPA</w:t>
      </w:r>
      <w:r>
        <w:t xml:space="preserve"> expects that information included in NOAs, specifically submitter information (company name and contact information), will likely be claimed </w:t>
      </w:r>
      <w:r>
        <w:rPr>
          <w:spacing w:val="-1"/>
        </w:rPr>
        <w:t>CBI.</w:t>
      </w:r>
      <w:r>
        <w:t xml:space="preserve"> The Agency has developed an elaborate </w:t>
      </w:r>
      <w:r>
        <w:rPr>
          <w:spacing w:val="-1"/>
        </w:rPr>
        <w:t>system</w:t>
      </w:r>
      <w:r>
        <w:t xml:space="preserve"> to prevent unauthorized disclosure</w:t>
      </w:r>
      <w:r>
        <w:rPr>
          <w:spacing w:val="21"/>
        </w:rPr>
        <w:t xml:space="preserve"> </w:t>
      </w:r>
      <w:r>
        <w:t xml:space="preserve">of </w:t>
      </w:r>
      <w:r>
        <w:rPr>
          <w:spacing w:val="-1"/>
        </w:rPr>
        <w:t>CBI.</w:t>
      </w:r>
      <w:r>
        <w:t xml:space="preserve"> This system includes procedures </w:t>
      </w:r>
      <w:r>
        <w:rPr>
          <w:spacing w:val="-1"/>
        </w:rPr>
        <w:t>for</w:t>
      </w:r>
      <w:r>
        <w:t xml:space="preserve"> logging material in and out of the Confidential</w:t>
      </w:r>
      <w:r>
        <w:rPr>
          <w:spacing w:val="22"/>
        </w:rPr>
        <w:t xml:space="preserve"> </w:t>
      </w:r>
      <w:r>
        <w:rPr>
          <w:spacing w:val="-1"/>
        </w:rPr>
        <w:t>Business Information Center (CBIC) at EPA headquarters,</w:t>
      </w:r>
      <w:r>
        <w:t xml:space="preserve"> procedures for </w:t>
      </w:r>
      <w:r>
        <w:rPr>
          <w:spacing w:val="-1"/>
        </w:rPr>
        <w:t>photocopying and</w:t>
      </w:r>
      <w:r>
        <w:rPr>
          <w:spacing w:val="24"/>
        </w:rPr>
        <w:t xml:space="preserve"> </w:t>
      </w:r>
      <w:r>
        <w:t xml:space="preserve">transmitting </w:t>
      </w:r>
      <w:r>
        <w:rPr>
          <w:spacing w:val="-1"/>
        </w:rPr>
        <w:t>CBI,</w:t>
      </w:r>
      <w:r>
        <w:t xml:space="preserve"> and a </w:t>
      </w:r>
      <w:r>
        <w:rPr>
          <w:spacing w:val="-1"/>
        </w:rPr>
        <w:t xml:space="preserve">stand-alone </w:t>
      </w:r>
      <w:r>
        <w:t>CBI</w:t>
      </w:r>
      <w:r>
        <w:rPr>
          <w:spacing w:val="-1"/>
        </w:rPr>
        <w:t xml:space="preserve"> </w:t>
      </w:r>
      <w:r>
        <w:t>local</w:t>
      </w:r>
      <w:r>
        <w:rPr>
          <w:spacing w:val="-1"/>
        </w:rPr>
        <w:t xml:space="preserve"> </w:t>
      </w:r>
      <w:r>
        <w:t>area</w:t>
      </w:r>
      <w:r>
        <w:rPr>
          <w:spacing w:val="-1"/>
        </w:rPr>
        <w:t xml:space="preserve"> </w:t>
      </w:r>
      <w:r>
        <w:t>computer</w:t>
      </w:r>
      <w:r>
        <w:rPr>
          <w:spacing w:val="-1"/>
        </w:rPr>
        <w:t xml:space="preserve"> network.</w:t>
      </w:r>
      <w:r>
        <w:t xml:space="preserve"> </w:t>
      </w:r>
      <w:r>
        <w:rPr>
          <w:spacing w:val="-1"/>
        </w:rPr>
        <w:t xml:space="preserve">These procedures </w:t>
      </w:r>
      <w:r>
        <w:t>apply</w:t>
      </w:r>
      <w:r>
        <w:rPr>
          <w:spacing w:val="-3"/>
        </w:rPr>
        <w:t xml:space="preserve"> </w:t>
      </w:r>
      <w:r>
        <w:rPr>
          <w:spacing w:val="-2"/>
        </w:rPr>
        <w:t>to</w:t>
      </w:r>
      <w:r>
        <w:rPr>
          <w:spacing w:val="41"/>
        </w:rPr>
        <w:t xml:space="preserve"> </w:t>
      </w:r>
      <w:r>
        <w:t>CBI submitted by</w:t>
      </w:r>
      <w:r>
        <w:rPr>
          <w:spacing w:val="-5"/>
        </w:rPr>
        <w:t xml:space="preserve"> </w:t>
      </w:r>
      <w:r>
        <w:t>manufacturers as well as CBI generated by</w:t>
      </w:r>
      <w:r>
        <w:rPr>
          <w:spacing w:val="-5"/>
        </w:rPr>
        <w:t xml:space="preserve"> </w:t>
      </w:r>
      <w:r>
        <w:t xml:space="preserve">EPA staff in the course of their </w:t>
      </w:r>
      <w:r>
        <w:rPr>
          <w:spacing w:val="-1"/>
        </w:rPr>
        <w:t>review.</w:t>
      </w:r>
      <w:r>
        <w:t xml:space="preserve"> Access to CBI is restricted to persons who need the information for their work. </w:t>
      </w:r>
      <w:r>
        <w:rPr>
          <w:spacing w:val="-1"/>
        </w:rPr>
        <w:t>No one is</w:t>
      </w:r>
      <w:r>
        <w:rPr>
          <w:spacing w:val="23"/>
        </w:rPr>
        <w:t xml:space="preserve"> </w:t>
      </w:r>
      <w:r>
        <w:t>allowed</w:t>
      </w:r>
      <w:r>
        <w:rPr>
          <w:spacing w:val="-1"/>
        </w:rPr>
        <w:t xml:space="preserve"> </w:t>
      </w:r>
      <w:r>
        <w:t>access</w:t>
      </w:r>
      <w:r>
        <w:rPr>
          <w:spacing w:val="-1"/>
        </w:rPr>
        <w:t xml:space="preserve"> </w:t>
      </w:r>
      <w:r>
        <w:t>to</w:t>
      </w:r>
      <w:r>
        <w:rPr>
          <w:spacing w:val="-1"/>
        </w:rPr>
        <w:t xml:space="preserve"> </w:t>
      </w:r>
      <w:r>
        <w:t>CBI</w:t>
      </w:r>
      <w:r>
        <w:rPr>
          <w:spacing w:val="-1"/>
        </w:rPr>
        <w:t xml:space="preserve"> </w:t>
      </w:r>
      <w:r>
        <w:t>without</w:t>
      </w:r>
      <w:r>
        <w:rPr>
          <w:spacing w:val="-1"/>
        </w:rPr>
        <w:t xml:space="preserve"> </w:t>
      </w:r>
      <w:r>
        <w:t>first</w:t>
      </w:r>
      <w:r>
        <w:rPr>
          <w:spacing w:val="-1"/>
        </w:rPr>
        <w:t xml:space="preserve"> </w:t>
      </w:r>
      <w:r>
        <w:t>undergoing</w:t>
      </w:r>
      <w:r>
        <w:rPr>
          <w:spacing w:val="-1"/>
        </w:rPr>
        <w:t xml:space="preserve"> </w:t>
      </w:r>
      <w:r>
        <w:t>instruction</w:t>
      </w:r>
      <w:r>
        <w:rPr>
          <w:spacing w:val="-1"/>
        </w:rPr>
        <w:t xml:space="preserve"> </w:t>
      </w:r>
      <w:r>
        <w:t>on</w:t>
      </w:r>
      <w:r>
        <w:rPr>
          <w:spacing w:val="-1"/>
        </w:rPr>
        <w:t xml:space="preserve"> </w:t>
      </w:r>
      <w:r>
        <w:t>procedures</w:t>
      </w:r>
      <w:r>
        <w:rPr>
          <w:spacing w:val="-1"/>
        </w:rPr>
        <w:t xml:space="preserve"> </w:t>
      </w:r>
      <w:r>
        <w:t>for</w:t>
      </w:r>
      <w:r>
        <w:rPr>
          <w:spacing w:val="-1"/>
        </w:rPr>
        <w:t xml:space="preserve"> handling</w:t>
      </w:r>
      <w:r>
        <w:t xml:space="preserve"> </w:t>
      </w:r>
      <w:r>
        <w:rPr>
          <w:spacing w:val="-1"/>
        </w:rPr>
        <w:t>CBI.</w:t>
      </w:r>
      <w:r>
        <w:rPr>
          <w:spacing w:val="27"/>
        </w:rPr>
        <w:t xml:space="preserve"> </w:t>
      </w:r>
      <w:r>
        <w:t xml:space="preserve">Special procedures have been instituted to restrict access to computerized </w:t>
      </w:r>
      <w:r>
        <w:rPr>
          <w:spacing w:val="-2"/>
        </w:rPr>
        <w:t>CBI.</w:t>
      </w:r>
      <w:r>
        <w:t xml:space="preserve"> These procedures</w:t>
      </w:r>
      <w:r>
        <w:rPr>
          <w:spacing w:val="23"/>
        </w:rPr>
        <w:t xml:space="preserve"> </w:t>
      </w:r>
      <w:r>
        <w:rPr>
          <w:spacing w:val="-1"/>
        </w:rPr>
        <w:t>are detailed in the “TSCA</w:t>
      </w:r>
      <w:r>
        <w:t xml:space="preserve"> CBI Protection Manual,”</w:t>
      </w:r>
      <w:r>
        <w:rPr>
          <w:spacing w:val="-1"/>
        </w:rPr>
        <w:t xml:space="preserve"> October 2003.</w:t>
      </w:r>
      <w:r>
        <w:t xml:space="preserve"> EPA believes these</w:t>
      </w:r>
      <w:r>
        <w:rPr>
          <w:spacing w:val="21"/>
        </w:rPr>
        <w:t xml:space="preserve"> </w:t>
      </w:r>
      <w:r>
        <w:t>procedures protect confidential</w:t>
      </w:r>
      <w:r>
        <w:rPr>
          <w:spacing w:val="-1"/>
        </w:rPr>
        <w:t xml:space="preserve"> </w:t>
      </w:r>
      <w:r>
        <w:t>business information while providing</w:t>
      </w:r>
      <w:r>
        <w:rPr>
          <w:spacing w:val="-4"/>
        </w:rPr>
        <w:t xml:space="preserve"> </w:t>
      </w:r>
      <w:r>
        <w:t>the public with as much information</w:t>
      </w:r>
      <w:r>
        <w:rPr>
          <w:spacing w:val="-1"/>
        </w:rPr>
        <w:t xml:space="preserve"> </w:t>
      </w:r>
      <w:r>
        <w:t>as</w:t>
      </w:r>
      <w:r>
        <w:rPr>
          <w:spacing w:val="-1"/>
        </w:rPr>
        <w:t xml:space="preserve"> </w:t>
      </w:r>
      <w:r>
        <w:t>possible.</w:t>
      </w:r>
    </w:p>
    <w:p w14:paraId="18A2DD57" w14:textId="77777777" w:rsidR="0038132A" w:rsidRDefault="0038132A" w:rsidP="0038132A">
      <w:pPr>
        <w:rPr>
          <w:rFonts w:ascii="Times New Roman" w:eastAsia="Times New Roman" w:hAnsi="Times New Roman" w:cs="Times New Roman"/>
          <w:sz w:val="24"/>
          <w:szCs w:val="24"/>
        </w:rPr>
      </w:pPr>
    </w:p>
    <w:p w14:paraId="3B1216B7" w14:textId="04645C2C" w:rsidR="0038132A" w:rsidRDefault="0038132A" w:rsidP="0038132A">
      <w:pPr>
        <w:pStyle w:val="BodyText"/>
        <w:ind w:right="193"/>
      </w:pPr>
      <w:r>
        <w:t>Any</w:t>
      </w:r>
      <w:r>
        <w:rPr>
          <w:spacing w:val="-5"/>
        </w:rPr>
        <w:t xml:space="preserve"> </w:t>
      </w:r>
      <w:r>
        <w:t>information being sent via CDX is</w:t>
      </w:r>
      <w:r>
        <w:rPr>
          <w:spacing w:val="-1"/>
        </w:rPr>
        <w:t xml:space="preserve"> transmitted using secure technologies to protect</w:t>
      </w:r>
      <w:r>
        <w:rPr>
          <w:spacing w:val="25"/>
        </w:rPr>
        <w:t xml:space="preserve"> </w:t>
      </w:r>
      <w:r>
        <w:rPr>
          <w:spacing w:val="-1"/>
        </w:rPr>
        <w:t>CBI.</w:t>
      </w:r>
      <w:r>
        <w:t xml:space="preserve"> </w:t>
      </w:r>
      <w:r w:rsidR="008348EC">
        <w:t>EPA</w:t>
      </w:r>
      <w:r>
        <w:t xml:space="preserve">-provided reporting application, termed </w:t>
      </w:r>
      <w:r>
        <w:rPr>
          <w:spacing w:val="-1"/>
        </w:rPr>
        <w:t>e-NOA</w:t>
      </w:r>
      <w:r>
        <w:t xml:space="preserve">, </w:t>
      </w:r>
      <w:r>
        <w:rPr>
          <w:spacing w:val="-1"/>
        </w:rPr>
        <w:t>encrypts</w:t>
      </w:r>
      <w:r>
        <w:t xml:space="preserve"> submissions</w:t>
      </w:r>
      <w:r>
        <w:rPr>
          <w:spacing w:val="-1"/>
        </w:rPr>
        <w:t xml:space="preserve"> </w:t>
      </w:r>
      <w:r>
        <w:t>using</w:t>
      </w:r>
      <w:r>
        <w:rPr>
          <w:spacing w:val="-1"/>
        </w:rPr>
        <w:t xml:space="preserve"> </w:t>
      </w:r>
      <w:r>
        <w:t>a</w:t>
      </w:r>
      <w:r>
        <w:rPr>
          <w:spacing w:val="-1"/>
        </w:rPr>
        <w:t xml:space="preserve"> </w:t>
      </w:r>
      <w:r>
        <w:t>Federal</w:t>
      </w:r>
      <w:r>
        <w:rPr>
          <w:spacing w:val="-1"/>
        </w:rPr>
        <w:t xml:space="preserve"> </w:t>
      </w:r>
      <w:r>
        <w:t>Information</w:t>
      </w:r>
      <w:r>
        <w:rPr>
          <w:spacing w:val="-1"/>
        </w:rPr>
        <w:t xml:space="preserve"> </w:t>
      </w:r>
      <w:r>
        <w:t>Processing</w:t>
      </w:r>
      <w:r>
        <w:rPr>
          <w:spacing w:val="27"/>
        </w:rPr>
        <w:t xml:space="preserve"> </w:t>
      </w:r>
      <w:r>
        <w:t xml:space="preserve">Standards </w:t>
      </w:r>
      <w:r>
        <w:rPr>
          <w:spacing w:val="-1"/>
        </w:rPr>
        <w:t>(FIPS)-compliant encryption</w:t>
      </w:r>
      <w:r>
        <w:t xml:space="preserve"> module. The </w:t>
      </w:r>
      <w:r>
        <w:rPr>
          <w:spacing w:val="-1"/>
        </w:rPr>
        <w:t>encryption</w:t>
      </w:r>
      <w:r>
        <w:t xml:space="preserve"> module </w:t>
      </w:r>
      <w:r>
        <w:rPr>
          <w:spacing w:val="-1"/>
        </w:rPr>
        <w:t>employs</w:t>
      </w:r>
      <w:r>
        <w:t xml:space="preserve"> a public key algorithm which converts readable text into </w:t>
      </w:r>
      <w:r>
        <w:rPr>
          <w:spacing w:val="-1"/>
        </w:rPr>
        <w:t>encrypted</w:t>
      </w:r>
      <w:r>
        <w:t xml:space="preserve"> text. This public key</w:t>
      </w:r>
      <w:r>
        <w:rPr>
          <w:spacing w:val="-8"/>
        </w:rPr>
        <w:t xml:space="preserve"> </w:t>
      </w:r>
      <w:r>
        <w:t>is downloaded from</w:t>
      </w:r>
      <w:r>
        <w:rPr>
          <w:spacing w:val="24"/>
        </w:rPr>
        <w:t xml:space="preserve"> </w:t>
      </w:r>
      <w:r>
        <w:t>CDX</w:t>
      </w:r>
      <w:r>
        <w:rPr>
          <w:spacing w:val="-1"/>
        </w:rPr>
        <w:t xml:space="preserve"> </w:t>
      </w:r>
      <w:r>
        <w:t>to</w:t>
      </w:r>
      <w:r>
        <w:rPr>
          <w:spacing w:val="-1"/>
        </w:rPr>
        <w:t xml:space="preserve"> </w:t>
      </w:r>
      <w:r>
        <w:t>the</w:t>
      </w:r>
      <w:r>
        <w:rPr>
          <w:spacing w:val="-1"/>
        </w:rPr>
        <w:t xml:space="preserve"> e-NOA</w:t>
      </w:r>
      <w:r>
        <w:t xml:space="preserve"> software, and the corresponding private key</w:t>
      </w:r>
      <w:r>
        <w:rPr>
          <w:spacing w:val="-5"/>
        </w:rPr>
        <w:t xml:space="preserve"> </w:t>
      </w:r>
      <w:r>
        <w:rPr>
          <w:spacing w:val="-1"/>
        </w:rPr>
        <w:t>is sent to EPA’s New Chemical</w:t>
      </w:r>
      <w:r>
        <w:rPr>
          <w:spacing w:val="28"/>
        </w:rPr>
        <w:t xml:space="preserve"> </w:t>
      </w:r>
      <w:r>
        <w:rPr>
          <w:spacing w:val="-1"/>
        </w:rPr>
        <w:t>System (NCS).</w:t>
      </w:r>
      <w:r>
        <w:t xml:space="preserve"> </w:t>
      </w:r>
      <w:r>
        <w:rPr>
          <w:spacing w:val="-1"/>
        </w:rPr>
        <w:t>The</w:t>
      </w:r>
      <w:r>
        <w:t xml:space="preserve"> </w:t>
      </w:r>
      <w:r>
        <w:rPr>
          <w:spacing w:val="-1"/>
        </w:rPr>
        <w:t>encryption</w:t>
      </w:r>
      <w:r>
        <w:t xml:space="preserve"> remains while the</w:t>
      </w:r>
      <w:r>
        <w:rPr>
          <w:spacing w:val="1"/>
        </w:rPr>
        <w:t xml:space="preserve"> </w:t>
      </w:r>
      <w:r>
        <w:t xml:space="preserve">submission is </w:t>
      </w:r>
      <w:r>
        <w:rPr>
          <w:spacing w:val="-1"/>
        </w:rPr>
        <w:t>transmitted via CDX to NCS.</w:t>
      </w:r>
      <w:r>
        <w:rPr>
          <w:spacing w:val="42"/>
        </w:rPr>
        <w:t xml:space="preserve"> </w:t>
      </w:r>
      <w:r>
        <w:rPr>
          <w:spacing w:val="-1"/>
        </w:rPr>
        <w:t xml:space="preserve">The </w:t>
      </w:r>
      <w:r>
        <w:t xml:space="preserve">file can be </w:t>
      </w:r>
      <w:r>
        <w:rPr>
          <w:spacing w:val="-1"/>
        </w:rPr>
        <w:t>decrypted</w:t>
      </w:r>
      <w:r>
        <w:rPr>
          <w:spacing w:val="1"/>
        </w:rPr>
        <w:t xml:space="preserve"> </w:t>
      </w:r>
      <w:r>
        <w:t>only</w:t>
      </w:r>
      <w:r>
        <w:rPr>
          <w:spacing w:val="-5"/>
        </w:rPr>
        <w:t xml:space="preserve"> </w:t>
      </w:r>
      <w:r>
        <w:t>with the NCS's private key</w:t>
      </w:r>
      <w:r>
        <w:rPr>
          <w:spacing w:val="-5"/>
        </w:rPr>
        <w:t xml:space="preserve"> </w:t>
      </w:r>
      <w:r>
        <w:t>when it has reached its final</w:t>
      </w:r>
      <w:r>
        <w:rPr>
          <w:spacing w:val="25"/>
        </w:rPr>
        <w:t xml:space="preserve"> </w:t>
      </w:r>
      <w:r>
        <w:t>destination. The NCS is the only</w:t>
      </w:r>
      <w:r>
        <w:rPr>
          <w:spacing w:val="-5"/>
        </w:rPr>
        <w:t xml:space="preserve"> </w:t>
      </w:r>
      <w:r>
        <w:rPr>
          <w:spacing w:val="1"/>
        </w:rPr>
        <w:t>party</w:t>
      </w:r>
      <w:r>
        <w:rPr>
          <w:spacing w:val="-1"/>
        </w:rPr>
        <w:t xml:space="preserve"> that possesses the private key, which converts the</w:t>
      </w:r>
      <w:r>
        <w:rPr>
          <w:spacing w:val="27"/>
        </w:rPr>
        <w:t xml:space="preserve"> </w:t>
      </w:r>
      <w:r>
        <w:rPr>
          <w:spacing w:val="-1"/>
        </w:rPr>
        <w:t>encrypted</w:t>
      </w:r>
      <w:r>
        <w:t xml:space="preserve"> text back into readable text.</w:t>
      </w:r>
    </w:p>
    <w:p w14:paraId="3FFE4897" w14:textId="77777777" w:rsidR="0038132A" w:rsidRDefault="0038132A" w:rsidP="0038132A">
      <w:pPr>
        <w:rPr>
          <w:rFonts w:ascii="Times New Roman" w:eastAsia="Times New Roman" w:hAnsi="Times New Roman" w:cs="Times New Roman"/>
          <w:sz w:val="24"/>
          <w:szCs w:val="24"/>
        </w:rPr>
      </w:pPr>
    </w:p>
    <w:p w14:paraId="1933A818" w14:textId="77777777" w:rsidR="0038132A" w:rsidRDefault="0038132A" w:rsidP="0038132A">
      <w:pPr>
        <w:pStyle w:val="BodyText"/>
        <w:ind w:right="50"/>
      </w:pPr>
      <w:r>
        <w:rPr>
          <w:spacing w:val="-1"/>
        </w:rPr>
        <w:t xml:space="preserve">The same protection </w:t>
      </w:r>
      <w:r>
        <w:t xml:space="preserve">will occur for all correspondence going back to the </w:t>
      </w:r>
      <w:r>
        <w:rPr>
          <w:spacing w:val="-1"/>
        </w:rPr>
        <w:t>submitter.</w:t>
      </w:r>
      <w:r>
        <w:t xml:space="preserve"> The NCS</w:t>
      </w:r>
      <w:r>
        <w:rPr>
          <w:spacing w:val="23"/>
        </w:rPr>
        <w:t xml:space="preserve"> </w:t>
      </w:r>
      <w:r>
        <w:rPr>
          <w:spacing w:val="-1"/>
        </w:rPr>
        <w:t>and e-NOA</w:t>
      </w:r>
      <w:r>
        <w:t xml:space="preserve"> software are also provided with a set of public and private keys, so that</w:t>
      </w:r>
      <w:r>
        <w:rPr>
          <w:spacing w:val="23"/>
        </w:rPr>
        <w:t xml:space="preserve"> </w:t>
      </w:r>
      <w:r>
        <w:rPr>
          <w:spacing w:val="-1"/>
        </w:rPr>
        <w:t xml:space="preserve">correspondence containing </w:t>
      </w:r>
      <w:r>
        <w:rPr>
          <w:spacing w:val="1"/>
        </w:rPr>
        <w:t>any</w:t>
      </w:r>
      <w:r>
        <w:rPr>
          <w:spacing w:val="-1"/>
        </w:rPr>
        <w:t xml:space="preserve"> potential confidential</w:t>
      </w:r>
      <w:r>
        <w:t xml:space="preserve"> business information will remain </w:t>
      </w:r>
      <w:r>
        <w:rPr>
          <w:spacing w:val="-1"/>
        </w:rPr>
        <w:t>encrypted</w:t>
      </w:r>
      <w:r>
        <w:rPr>
          <w:spacing w:val="29"/>
        </w:rPr>
        <w:t xml:space="preserve"> </w:t>
      </w:r>
      <w:r>
        <w:t>during transmission via CDX</w:t>
      </w:r>
      <w:r>
        <w:rPr>
          <w:spacing w:val="-1"/>
        </w:rPr>
        <w:t xml:space="preserve"> </w:t>
      </w:r>
      <w:r>
        <w:t>and can be opened only</w:t>
      </w:r>
      <w:r>
        <w:rPr>
          <w:spacing w:val="-3"/>
        </w:rPr>
        <w:t xml:space="preserve"> </w:t>
      </w:r>
      <w:r>
        <w:rPr>
          <w:spacing w:val="1"/>
        </w:rPr>
        <w:t>by</w:t>
      </w:r>
      <w:r>
        <w:rPr>
          <w:spacing w:val="-5"/>
        </w:rPr>
        <w:t xml:space="preserve"> </w:t>
      </w:r>
      <w:r>
        <w:t xml:space="preserve">the submitter within the </w:t>
      </w:r>
      <w:r>
        <w:rPr>
          <w:spacing w:val="-1"/>
        </w:rPr>
        <w:t>e-NOA</w:t>
      </w:r>
      <w:r>
        <w:rPr>
          <w:spacing w:val="22"/>
        </w:rPr>
        <w:t xml:space="preserve"> </w:t>
      </w:r>
      <w:r>
        <w:rPr>
          <w:spacing w:val="-1"/>
        </w:rPr>
        <w:t>software.</w:t>
      </w:r>
    </w:p>
    <w:p w14:paraId="6DC44F06" w14:textId="77777777" w:rsidR="0038132A" w:rsidRDefault="0038132A" w:rsidP="0038132A">
      <w:pPr>
        <w:spacing w:before="5"/>
        <w:rPr>
          <w:rFonts w:ascii="Times New Roman" w:eastAsia="Times New Roman" w:hAnsi="Times New Roman" w:cs="Times New Roman"/>
          <w:sz w:val="24"/>
          <w:szCs w:val="24"/>
        </w:rPr>
      </w:pPr>
    </w:p>
    <w:p w14:paraId="1F187CC3" w14:textId="77777777" w:rsidR="0038132A" w:rsidRDefault="0038132A" w:rsidP="0038132A">
      <w:pPr>
        <w:pStyle w:val="Heading1"/>
        <w:tabs>
          <w:tab w:val="left" w:pos="1539"/>
        </w:tabs>
        <w:rPr>
          <w:b w:val="0"/>
          <w:bCs w:val="0"/>
        </w:rPr>
      </w:pPr>
      <w:r>
        <w:rPr>
          <w:spacing w:val="-1"/>
        </w:rPr>
        <w:t>3(g)</w:t>
      </w:r>
      <w:r>
        <w:rPr>
          <w:spacing w:val="-1"/>
        </w:rPr>
        <w:tab/>
      </w:r>
      <w:r>
        <w:t>Sensitive Questions</w:t>
      </w:r>
    </w:p>
    <w:p w14:paraId="097707C1" w14:textId="77777777" w:rsidR="0038132A" w:rsidRDefault="0038132A" w:rsidP="0038132A">
      <w:pPr>
        <w:spacing w:before="7"/>
        <w:rPr>
          <w:rFonts w:ascii="Times New Roman" w:eastAsia="Times New Roman" w:hAnsi="Times New Roman" w:cs="Times New Roman"/>
          <w:b/>
          <w:bCs/>
          <w:sz w:val="17"/>
          <w:szCs w:val="17"/>
        </w:rPr>
      </w:pPr>
    </w:p>
    <w:p w14:paraId="36713275" w14:textId="77777777" w:rsidR="0038132A" w:rsidRDefault="0038132A" w:rsidP="0038132A">
      <w:pPr>
        <w:rPr>
          <w:rFonts w:ascii="Times New Roman" w:eastAsia="Times New Roman" w:hAnsi="Times New Roman" w:cs="Times New Roman"/>
          <w:sz w:val="17"/>
          <w:szCs w:val="17"/>
        </w:rPr>
      </w:pPr>
    </w:p>
    <w:p w14:paraId="2FA986F3" w14:textId="50B4867B" w:rsidR="0038132A" w:rsidRDefault="0038132A" w:rsidP="0038132A">
      <w:pPr>
        <w:pStyle w:val="BodyText"/>
        <w:ind w:firstLine="620"/>
        <w:rPr>
          <w:spacing w:val="-1"/>
        </w:rPr>
      </w:pPr>
      <w:r>
        <w:rPr>
          <w:spacing w:val="-1"/>
        </w:rPr>
        <w:t>Information</w:t>
      </w:r>
      <w:r>
        <w:t xml:space="preserve"> requirements under TSCA section 8(b) do not include questions of a </w:t>
      </w:r>
      <w:r>
        <w:rPr>
          <w:spacing w:val="-1"/>
        </w:rPr>
        <w:t>sensitive nature.</w:t>
      </w:r>
    </w:p>
    <w:p w14:paraId="3897FD6B" w14:textId="1F307DA7" w:rsidR="003B6F2D" w:rsidRDefault="003B6F2D" w:rsidP="0038132A">
      <w:pPr>
        <w:pStyle w:val="BodyText"/>
        <w:ind w:firstLine="620"/>
        <w:rPr>
          <w:spacing w:val="-1"/>
        </w:rPr>
      </w:pPr>
    </w:p>
    <w:p w14:paraId="225130B5" w14:textId="50C88455" w:rsidR="003B6F2D" w:rsidRPr="00F51F73" w:rsidRDefault="003B6F2D" w:rsidP="003B6F2D">
      <w:pPr>
        <w:pStyle w:val="BodyText"/>
        <w:ind w:firstLine="620"/>
        <w:rPr>
          <w:b/>
          <w:spacing w:val="-1"/>
        </w:rPr>
      </w:pPr>
      <w:r w:rsidRPr="00F51F73">
        <w:rPr>
          <w:b/>
          <w:spacing w:val="-1"/>
        </w:rPr>
        <w:t xml:space="preserve">3(h) </w:t>
      </w:r>
      <w:r w:rsidRPr="00F51F73">
        <w:rPr>
          <w:b/>
          <w:spacing w:val="-1"/>
        </w:rPr>
        <w:tab/>
      </w:r>
      <w:r w:rsidR="00A36603" w:rsidRPr="00F51F73">
        <w:rPr>
          <w:b/>
          <w:spacing w:val="-1"/>
        </w:rPr>
        <w:t xml:space="preserve">Maximizing </w:t>
      </w:r>
      <w:r w:rsidRPr="00F51F73">
        <w:rPr>
          <w:b/>
          <w:spacing w:val="-1"/>
        </w:rPr>
        <w:t xml:space="preserve">Electronic </w:t>
      </w:r>
      <w:r w:rsidR="00A36603" w:rsidRPr="00F51F73">
        <w:rPr>
          <w:b/>
          <w:spacing w:val="-1"/>
        </w:rPr>
        <w:t>Technology</w:t>
      </w:r>
    </w:p>
    <w:p w14:paraId="2EF8491C" w14:textId="2ED4B0FA" w:rsidR="003B6F2D" w:rsidRDefault="003B6F2D" w:rsidP="003B6F2D">
      <w:pPr>
        <w:pStyle w:val="BodyText"/>
        <w:ind w:firstLine="620"/>
        <w:rPr>
          <w:spacing w:val="-1"/>
        </w:rPr>
      </w:pPr>
    </w:p>
    <w:p w14:paraId="6E5549D1" w14:textId="2C74F1DD" w:rsidR="00A36603" w:rsidRDefault="00A36603" w:rsidP="00A36603">
      <w:pPr>
        <w:pStyle w:val="BodyText"/>
        <w:ind w:right="155"/>
      </w:pPr>
      <w:r>
        <w:t xml:space="preserve">The Government Paperwork Elimination Act (GPEA, Pub. </w:t>
      </w:r>
      <w:r>
        <w:rPr>
          <w:spacing w:val="-3"/>
        </w:rPr>
        <w:t>L.</w:t>
      </w:r>
      <w:r>
        <w:t xml:space="preserve"> </w:t>
      </w:r>
      <w:r>
        <w:rPr>
          <w:spacing w:val="-1"/>
        </w:rPr>
        <w:t>105-277)</w:t>
      </w:r>
      <w:r>
        <w:t xml:space="preserve"> requires that,</w:t>
      </w:r>
      <w:r>
        <w:rPr>
          <w:spacing w:val="28"/>
        </w:rPr>
        <w:t xml:space="preserve"> </w:t>
      </w:r>
      <w:r>
        <w:t xml:space="preserve">when practicable, federal organizations use electronic forms, electronic filings, and electronic </w:t>
      </w:r>
      <w:r>
        <w:rPr>
          <w:spacing w:val="-1"/>
        </w:rPr>
        <w:t>signatures to conduct official</w:t>
      </w:r>
      <w:r>
        <w:t xml:space="preserve"> business with the </w:t>
      </w:r>
      <w:r>
        <w:rPr>
          <w:spacing w:val="-1"/>
        </w:rPr>
        <w:t>public.</w:t>
      </w:r>
      <w:r>
        <w:t xml:space="preserve"> </w:t>
      </w:r>
      <w:r w:rsidR="008348EC">
        <w:t>EPA</w:t>
      </w:r>
      <w:r>
        <w:t xml:space="preserve">’s </w:t>
      </w:r>
      <w:r>
        <w:rPr>
          <w:spacing w:val="-1"/>
        </w:rPr>
        <w:t xml:space="preserve">Cross-Media </w:t>
      </w:r>
      <w:r>
        <w:t>Electronic</w:t>
      </w:r>
      <w:r>
        <w:rPr>
          <w:spacing w:val="-1"/>
        </w:rPr>
        <w:t xml:space="preserve"> </w:t>
      </w:r>
      <w:r>
        <w:t>Reporting</w:t>
      </w:r>
      <w:r>
        <w:rPr>
          <w:spacing w:val="41"/>
        </w:rPr>
        <w:t xml:space="preserve"> </w:t>
      </w:r>
      <w:r>
        <w:t xml:space="preserve">Regulation (CROMERR) </w:t>
      </w:r>
      <w:r>
        <w:rPr>
          <w:spacing w:val="-1"/>
        </w:rPr>
        <w:t>(70</w:t>
      </w:r>
      <w:r>
        <w:t xml:space="preserve"> </w:t>
      </w:r>
      <w:r>
        <w:rPr>
          <w:spacing w:val="-1"/>
          <w:u w:val="single" w:color="000000"/>
        </w:rPr>
        <w:t>FR</w:t>
      </w:r>
      <w:r>
        <w:rPr>
          <w:spacing w:val="2"/>
          <w:u w:val="single" w:color="000000"/>
        </w:rPr>
        <w:t xml:space="preserve"> </w:t>
      </w:r>
      <w:r>
        <w:t>59848, October 13, 2005) provides that any</w:t>
      </w:r>
      <w:r>
        <w:rPr>
          <w:spacing w:val="-5"/>
        </w:rPr>
        <w:t xml:space="preserve"> </w:t>
      </w:r>
      <w:r>
        <w:t>requirement in</w:t>
      </w:r>
      <w:r>
        <w:rPr>
          <w:spacing w:val="22"/>
        </w:rPr>
        <w:t xml:space="preserve"> </w:t>
      </w:r>
      <w:r>
        <w:rPr>
          <w:spacing w:val="-1"/>
        </w:rPr>
        <w:t xml:space="preserve">Title 40 of the Code of Federal Regulations to submit </w:t>
      </w:r>
      <w:r>
        <w:t>a</w:t>
      </w:r>
      <w:r>
        <w:rPr>
          <w:spacing w:val="-1"/>
        </w:rPr>
        <w:t xml:space="preserve"> report directly to the Agency can be satisfied</w:t>
      </w:r>
      <w:r>
        <w:rPr>
          <w:spacing w:val="42"/>
        </w:rPr>
        <w:t xml:space="preserve"> </w:t>
      </w:r>
      <w:r>
        <w:rPr>
          <w:spacing w:val="-1"/>
        </w:rPr>
        <w:t xml:space="preserve">with an </w:t>
      </w:r>
      <w:r>
        <w:t>electronic submission that meets certain conditions once the Agency publishes a notice</w:t>
      </w:r>
      <w:r>
        <w:rPr>
          <w:spacing w:val="22"/>
        </w:rPr>
        <w:t xml:space="preserve"> </w:t>
      </w:r>
      <w:r>
        <w:t>that electronic document submission is</w:t>
      </w:r>
      <w:r>
        <w:rPr>
          <w:spacing w:val="-1"/>
        </w:rPr>
        <w:t xml:space="preserve"> available for that requirement.</w:t>
      </w:r>
    </w:p>
    <w:p w14:paraId="58FDC418" w14:textId="77777777" w:rsidR="00A36603" w:rsidRDefault="00A36603" w:rsidP="00A36603">
      <w:pPr>
        <w:spacing w:before="10"/>
        <w:rPr>
          <w:rFonts w:ascii="Times New Roman" w:eastAsia="Times New Roman" w:hAnsi="Times New Roman" w:cs="Times New Roman"/>
          <w:sz w:val="20"/>
          <w:szCs w:val="20"/>
        </w:rPr>
      </w:pPr>
    </w:p>
    <w:p w14:paraId="1A58BF96" w14:textId="5B5831F6" w:rsidR="00A36603" w:rsidRDefault="00A36603" w:rsidP="00FD37AA">
      <w:pPr>
        <w:pStyle w:val="BodyText"/>
        <w:ind w:left="0" w:right="132"/>
      </w:pPr>
      <w:r>
        <w:t xml:space="preserve">In light of GPEA and CROMERR, </w:t>
      </w:r>
      <w:r w:rsidR="008348EC">
        <w:t>EPA</w:t>
      </w:r>
      <w:r>
        <w:t xml:space="preserve"> published</w:t>
      </w:r>
      <w:r>
        <w:rPr>
          <w:spacing w:val="-1"/>
        </w:rPr>
        <w:t xml:space="preserve"> </w:t>
      </w:r>
      <w:r>
        <w:t>on January</w:t>
      </w:r>
      <w:r>
        <w:rPr>
          <w:spacing w:val="-5"/>
        </w:rPr>
        <w:t xml:space="preserve"> </w:t>
      </w:r>
      <w:r>
        <w:t>5, 2010, a final rule entitled</w:t>
      </w:r>
      <w:r>
        <w:rPr>
          <w:spacing w:val="-1"/>
        </w:rPr>
        <w:t xml:space="preserve"> </w:t>
      </w:r>
      <w:r>
        <w:t>“TSCA</w:t>
      </w:r>
      <w:r>
        <w:rPr>
          <w:spacing w:val="-1"/>
        </w:rPr>
        <w:t xml:space="preserve"> </w:t>
      </w:r>
      <w:r>
        <w:t>Section</w:t>
      </w:r>
      <w:r>
        <w:rPr>
          <w:spacing w:val="-1"/>
        </w:rPr>
        <w:t xml:space="preserve"> </w:t>
      </w:r>
      <w:r>
        <w:t>5</w:t>
      </w:r>
      <w:r>
        <w:rPr>
          <w:spacing w:val="-1"/>
        </w:rPr>
        <w:t xml:space="preserve"> </w:t>
      </w:r>
      <w:r>
        <w:t>Premanufacture</w:t>
      </w:r>
      <w:r>
        <w:rPr>
          <w:spacing w:val="-1"/>
        </w:rPr>
        <w:t xml:space="preserve"> </w:t>
      </w:r>
      <w:r>
        <w:t>and</w:t>
      </w:r>
      <w:r>
        <w:rPr>
          <w:spacing w:val="-1"/>
        </w:rPr>
        <w:t xml:space="preserve"> </w:t>
      </w:r>
      <w:r>
        <w:t>Significant</w:t>
      </w:r>
      <w:r>
        <w:rPr>
          <w:spacing w:val="-1"/>
        </w:rPr>
        <w:t xml:space="preserve"> </w:t>
      </w:r>
      <w:r>
        <w:t>New</w:t>
      </w:r>
      <w:r>
        <w:rPr>
          <w:spacing w:val="-1"/>
        </w:rPr>
        <w:t xml:space="preserve"> </w:t>
      </w:r>
      <w:r>
        <w:t>Use</w:t>
      </w:r>
      <w:r>
        <w:rPr>
          <w:spacing w:val="-1"/>
        </w:rPr>
        <w:t xml:space="preserve"> </w:t>
      </w:r>
      <w:r>
        <w:t>Notification</w:t>
      </w:r>
      <w:r>
        <w:rPr>
          <w:spacing w:val="-1"/>
        </w:rPr>
        <w:t xml:space="preserve"> </w:t>
      </w:r>
      <w:r>
        <w:t xml:space="preserve">Electronic </w:t>
      </w:r>
      <w:r>
        <w:rPr>
          <w:spacing w:val="-1"/>
        </w:rPr>
        <w:t>Reporting; Revisions</w:t>
      </w:r>
      <w:r>
        <w:t xml:space="preserve"> to Notification Regulations”</w:t>
      </w:r>
      <w:r>
        <w:rPr>
          <w:spacing w:val="-1"/>
        </w:rPr>
        <w:t xml:space="preserve"> (75 </w:t>
      </w:r>
      <w:r>
        <w:rPr>
          <w:spacing w:val="-1"/>
          <w:u w:val="single" w:color="000000"/>
        </w:rPr>
        <w:t>FR</w:t>
      </w:r>
      <w:r>
        <w:rPr>
          <w:spacing w:val="2"/>
          <w:u w:val="single" w:color="000000"/>
        </w:rPr>
        <w:t xml:space="preserve"> </w:t>
      </w:r>
      <w:r>
        <w:t xml:space="preserve">773) amending </w:t>
      </w:r>
      <w:r>
        <w:rPr>
          <w:spacing w:val="-1"/>
        </w:rPr>
        <w:t xml:space="preserve">the </w:t>
      </w:r>
      <w:r>
        <w:t>TSCA section 5</w:t>
      </w:r>
      <w:r>
        <w:rPr>
          <w:spacing w:val="27"/>
        </w:rPr>
        <w:t xml:space="preserve"> </w:t>
      </w:r>
      <w:r>
        <w:t>notification</w:t>
      </w:r>
      <w:r>
        <w:rPr>
          <w:spacing w:val="-1"/>
        </w:rPr>
        <w:t xml:space="preserve"> </w:t>
      </w:r>
      <w:r>
        <w:t>regulations</w:t>
      </w:r>
      <w:r>
        <w:rPr>
          <w:spacing w:val="-1"/>
        </w:rPr>
        <w:t xml:space="preserve"> to phase </w:t>
      </w:r>
      <w:r>
        <w:t xml:space="preserve">out </w:t>
      </w:r>
      <w:r>
        <w:rPr>
          <w:spacing w:val="-1"/>
        </w:rPr>
        <w:t>paper-based</w:t>
      </w:r>
      <w:r>
        <w:t xml:space="preserve"> submissions and facilitate</w:t>
      </w:r>
      <w:r>
        <w:rPr>
          <w:spacing w:val="-1"/>
        </w:rPr>
        <w:t xml:space="preserve"> the introduction and</w:t>
      </w:r>
      <w:r>
        <w:rPr>
          <w:spacing w:val="26"/>
        </w:rPr>
        <w:t xml:space="preserve"> </w:t>
      </w:r>
      <w:r>
        <w:rPr>
          <w:spacing w:val="-1"/>
        </w:rPr>
        <w:t xml:space="preserve">use of </w:t>
      </w:r>
      <w:r>
        <w:t xml:space="preserve">electronic </w:t>
      </w:r>
      <w:r>
        <w:rPr>
          <w:spacing w:val="-1"/>
        </w:rPr>
        <w:t>reporting.</w:t>
      </w:r>
      <w:r>
        <w:rPr>
          <w:spacing w:val="2"/>
        </w:rPr>
        <w:t xml:space="preserve"> </w:t>
      </w:r>
      <w:r>
        <w:t xml:space="preserve">In addition, </w:t>
      </w:r>
      <w:r w:rsidR="008348EC">
        <w:t>EPA</w:t>
      </w:r>
      <w:r>
        <w:t xml:space="preserve"> published on December 4, 2013, a final rule entitled</w:t>
      </w:r>
      <w:r>
        <w:rPr>
          <w:spacing w:val="30"/>
        </w:rPr>
        <w:t xml:space="preserve"> </w:t>
      </w:r>
      <w:r>
        <w:t xml:space="preserve">“Electronic Reporting Under the Toxic Substances Control Act” (78 </w:t>
      </w:r>
      <w:r>
        <w:rPr>
          <w:spacing w:val="-1"/>
          <w:u w:val="single" w:color="000000"/>
        </w:rPr>
        <w:t>FR</w:t>
      </w:r>
      <w:r>
        <w:rPr>
          <w:spacing w:val="2"/>
          <w:u w:val="single" w:color="000000"/>
        </w:rPr>
        <w:t xml:space="preserve"> </w:t>
      </w:r>
      <w:r>
        <w:t>72818)</w:t>
      </w:r>
      <w:r>
        <w:rPr>
          <w:spacing w:val="-1"/>
        </w:rPr>
        <w:t xml:space="preserve"> </w:t>
      </w:r>
      <w:r>
        <w:t xml:space="preserve">which </w:t>
      </w:r>
      <w:r>
        <w:rPr>
          <w:spacing w:val="-1"/>
        </w:rPr>
        <w:t>extended</w:t>
      </w:r>
      <w:r>
        <w:rPr>
          <w:spacing w:val="25"/>
        </w:rPr>
        <w:t xml:space="preserve"> </w:t>
      </w:r>
      <w:r>
        <w:t>the TSCA section 5 electronic reporting requirements to</w:t>
      </w:r>
      <w:r>
        <w:rPr>
          <w:spacing w:val="-1"/>
        </w:rPr>
        <w:t xml:space="preserve"> certain documents relating to TSCA</w:t>
      </w:r>
      <w:r>
        <w:rPr>
          <w:spacing w:val="24"/>
        </w:rPr>
        <w:t xml:space="preserve"> </w:t>
      </w:r>
      <w:r>
        <w:t>section</w:t>
      </w:r>
      <w:r>
        <w:rPr>
          <w:spacing w:val="-1"/>
        </w:rPr>
        <w:t xml:space="preserve"> </w:t>
      </w:r>
      <w:r>
        <w:t>5</w:t>
      </w:r>
      <w:r>
        <w:rPr>
          <w:spacing w:val="-1"/>
        </w:rPr>
        <w:t xml:space="preserve"> </w:t>
      </w:r>
      <w:r>
        <w:t>notices</w:t>
      </w:r>
      <w:r>
        <w:rPr>
          <w:spacing w:val="-1"/>
        </w:rPr>
        <w:t xml:space="preserve"> </w:t>
      </w:r>
      <w:r>
        <w:t>submitted</w:t>
      </w:r>
      <w:r>
        <w:rPr>
          <w:spacing w:val="-1"/>
        </w:rPr>
        <w:t xml:space="preserve"> </w:t>
      </w:r>
      <w:r>
        <w:t>to</w:t>
      </w:r>
      <w:r>
        <w:rPr>
          <w:spacing w:val="-1"/>
        </w:rPr>
        <w:t xml:space="preserve"> </w:t>
      </w:r>
      <w:r>
        <w:t>the Agency</w:t>
      </w:r>
      <w:r>
        <w:rPr>
          <w:spacing w:val="-1"/>
        </w:rPr>
        <w:t xml:space="preserve"> </w:t>
      </w:r>
      <w:r>
        <w:t>prior</w:t>
      </w:r>
      <w:r>
        <w:rPr>
          <w:spacing w:val="-1"/>
        </w:rPr>
        <w:t xml:space="preserve"> </w:t>
      </w:r>
      <w:r>
        <w:t>to</w:t>
      </w:r>
      <w:r>
        <w:rPr>
          <w:spacing w:val="-1"/>
        </w:rPr>
        <w:t xml:space="preserve"> </w:t>
      </w:r>
      <w:r>
        <w:t>April</w:t>
      </w:r>
      <w:r>
        <w:rPr>
          <w:spacing w:val="-1"/>
        </w:rPr>
        <w:t xml:space="preserve"> </w:t>
      </w:r>
      <w:r>
        <w:t>6,</w:t>
      </w:r>
      <w:r>
        <w:rPr>
          <w:spacing w:val="-1"/>
        </w:rPr>
        <w:t xml:space="preserve"> </w:t>
      </w:r>
      <w:r>
        <w:t>2010</w:t>
      </w:r>
      <w:r>
        <w:rPr>
          <w:spacing w:val="-1"/>
        </w:rPr>
        <w:t xml:space="preserve"> </w:t>
      </w:r>
      <w:r>
        <w:t>(i.e.,</w:t>
      </w:r>
      <w:r>
        <w:rPr>
          <w:spacing w:val="-1"/>
        </w:rPr>
        <w:t xml:space="preserve"> </w:t>
      </w:r>
      <w:r>
        <w:t>the</w:t>
      </w:r>
      <w:r>
        <w:rPr>
          <w:spacing w:val="-1"/>
        </w:rPr>
        <w:t xml:space="preserve"> </w:t>
      </w:r>
      <w:r>
        <w:t>effective</w:t>
      </w:r>
      <w:r>
        <w:rPr>
          <w:spacing w:val="-1"/>
        </w:rPr>
        <w:t xml:space="preserve"> </w:t>
      </w:r>
      <w:r>
        <w:t>date</w:t>
      </w:r>
      <w:r>
        <w:rPr>
          <w:spacing w:val="-1"/>
        </w:rPr>
        <w:t xml:space="preserve"> </w:t>
      </w:r>
      <w:r>
        <w:t>of</w:t>
      </w:r>
      <w:r>
        <w:rPr>
          <w:spacing w:val="-1"/>
        </w:rPr>
        <w:t xml:space="preserve"> </w:t>
      </w:r>
      <w:r>
        <w:t xml:space="preserve">the “TSCA Section 5 Premanufacture and Significant New Use Notification Electronic Reporting; </w:t>
      </w:r>
      <w:r>
        <w:rPr>
          <w:spacing w:val="-1"/>
        </w:rPr>
        <w:t>Revisions</w:t>
      </w:r>
      <w:r>
        <w:rPr>
          <w:spacing w:val="28"/>
        </w:rPr>
        <w:t xml:space="preserve"> </w:t>
      </w:r>
      <w:r>
        <w:t xml:space="preserve">to Notification </w:t>
      </w:r>
      <w:r>
        <w:rPr>
          <w:spacing w:val="-1"/>
        </w:rPr>
        <w:t>Regulations”).</w:t>
      </w:r>
      <w:r>
        <w:t xml:space="preserve"> </w:t>
      </w:r>
      <w:r>
        <w:rPr>
          <w:spacing w:val="-1"/>
        </w:rPr>
        <w:t>These</w:t>
      </w:r>
      <w:r>
        <w:rPr>
          <w:spacing w:val="1"/>
        </w:rPr>
        <w:t xml:space="preserve"> </w:t>
      </w:r>
      <w:r>
        <w:rPr>
          <w:spacing w:val="-1"/>
        </w:rPr>
        <w:t>actions</w:t>
      </w:r>
      <w:r>
        <w:t xml:space="preserve"> </w:t>
      </w:r>
      <w:r>
        <w:rPr>
          <w:spacing w:val="-1"/>
        </w:rPr>
        <w:t>require</w:t>
      </w:r>
      <w:r>
        <w:t xml:space="preserve"> manufacturers </w:t>
      </w:r>
      <w:r>
        <w:rPr>
          <w:spacing w:val="-1"/>
        </w:rPr>
        <w:t>and processors of TSCA</w:t>
      </w:r>
      <w:r>
        <w:rPr>
          <w:spacing w:val="42"/>
        </w:rPr>
        <w:t xml:space="preserve"> </w:t>
      </w:r>
      <w:r>
        <w:t xml:space="preserve">chemical substances to use the Internet, through </w:t>
      </w:r>
      <w:r w:rsidR="008348EC">
        <w:t>EPA</w:t>
      </w:r>
      <w:r>
        <w:t xml:space="preserve">’s Central Data Exchange (CDX), to submit TSCA section 5 notices to the </w:t>
      </w:r>
      <w:r>
        <w:rPr>
          <w:spacing w:val="-1"/>
        </w:rPr>
        <w:t>Agency.</w:t>
      </w:r>
      <w:r>
        <w:t xml:space="preserve"> These include Premanufacture Notices (PMNs) (40 CFR</w:t>
      </w:r>
      <w:r>
        <w:rPr>
          <w:spacing w:val="22"/>
        </w:rPr>
        <w:t xml:space="preserve"> </w:t>
      </w:r>
      <w:r>
        <w:rPr>
          <w:spacing w:val="-1"/>
        </w:rPr>
        <w:t>720), Significant</w:t>
      </w:r>
      <w:r>
        <w:t xml:space="preserve"> New Use Notices (SNUNs) (40 CFR 721), exemption</w:t>
      </w:r>
      <w:r>
        <w:rPr>
          <w:spacing w:val="29"/>
        </w:rPr>
        <w:t xml:space="preserve"> </w:t>
      </w:r>
      <w:r>
        <w:t>applications and notices (40 CFR 720 and 723.50</w:t>
      </w:r>
      <w:r>
        <w:rPr>
          <w:spacing w:val="-1"/>
        </w:rPr>
        <w:t>),</w:t>
      </w:r>
      <w:r>
        <w:rPr>
          <w:spacing w:val="20"/>
        </w:rPr>
        <w:t xml:space="preserve"> </w:t>
      </w:r>
      <w:r>
        <w:t>biotechnology</w:t>
      </w:r>
      <w:r>
        <w:rPr>
          <w:spacing w:val="-5"/>
        </w:rPr>
        <w:t xml:space="preserve"> </w:t>
      </w:r>
      <w:r>
        <w:t>notices for genetically</w:t>
      </w:r>
      <w:r>
        <w:rPr>
          <w:spacing w:val="-1"/>
        </w:rPr>
        <w:t xml:space="preserve"> modified microorganisms (40 CFR 725), Notices of</w:t>
      </w:r>
      <w:r>
        <w:rPr>
          <w:spacing w:val="28"/>
        </w:rPr>
        <w:t xml:space="preserve"> </w:t>
      </w:r>
      <w:r>
        <w:rPr>
          <w:spacing w:val="-1"/>
        </w:rPr>
        <w:t>Commencement of Manufacture or Import (NOCs) (40 CFR 720.102) and</w:t>
      </w:r>
      <w:r>
        <w:rPr>
          <w:spacing w:val="1"/>
        </w:rPr>
        <w:t xml:space="preserve"> </w:t>
      </w:r>
      <w:r>
        <w:rPr>
          <w:spacing w:val="-1"/>
        </w:rPr>
        <w:t>other support</w:t>
      </w:r>
      <w:r>
        <w:rPr>
          <w:spacing w:val="22"/>
        </w:rPr>
        <w:t xml:space="preserve"> </w:t>
      </w:r>
      <w:r>
        <w:rPr>
          <w:spacing w:val="-1"/>
        </w:rPr>
        <w:t>documents. The rule required under TSCA section 8(b)(4)(A) will extend TSCA electronic reporting requirements to documents submitted under the requirements of sections 8(b)(4)(A)(i) and 8(b)(5)(B)(i) (see Attachment C). These include Notices of</w:t>
      </w:r>
      <w:r>
        <w:rPr>
          <w:spacing w:val="28"/>
        </w:rPr>
        <w:t xml:space="preserve"> </w:t>
      </w:r>
      <w:r>
        <w:rPr>
          <w:spacing w:val="-1"/>
        </w:rPr>
        <w:t xml:space="preserve">Activity (NOAs) (40 CFR 710) which include an NOA form A for section 8(b)(4)(A)(i) reporting, to commence </w:t>
      </w:r>
      <w:r>
        <w:t>June 22,</w:t>
      </w:r>
      <w:r>
        <w:rPr>
          <w:spacing w:val="21"/>
        </w:rPr>
        <w:t xml:space="preserve"> </w:t>
      </w:r>
      <w:r>
        <w:t xml:space="preserve">2017, </w:t>
      </w:r>
      <w:r>
        <w:rPr>
          <w:spacing w:val="-1"/>
        </w:rPr>
        <w:t>and an NOA form B for subsequent reporting under 8(b)(5)(B)(i) (see Attachments D and E).</w:t>
      </w:r>
    </w:p>
    <w:p w14:paraId="59BAA26D" w14:textId="77777777" w:rsidR="00A36603" w:rsidRDefault="00A36603" w:rsidP="00A36603">
      <w:pPr>
        <w:rPr>
          <w:rFonts w:ascii="Times New Roman" w:eastAsia="Times New Roman" w:hAnsi="Times New Roman" w:cs="Times New Roman"/>
          <w:sz w:val="24"/>
          <w:szCs w:val="24"/>
        </w:rPr>
      </w:pPr>
    </w:p>
    <w:p w14:paraId="67F60DA1" w14:textId="407799E7" w:rsidR="00A36603" w:rsidRDefault="008348EC" w:rsidP="00FD37AA">
      <w:pPr>
        <w:pStyle w:val="BodyText"/>
        <w:ind w:left="0" w:right="155"/>
      </w:pPr>
      <w:r>
        <w:t>EPA</w:t>
      </w:r>
      <w:r w:rsidR="00A36603">
        <w:t xml:space="preserve"> introduced CDX reporting in two phases over a </w:t>
      </w:r>
      <w:r w:rsidR="00A36603">
        <w:rPr>
          <w:spacing w:val="-1"/>
        </w:rPr>
        <w:t>two-year</w:t>
      </w:r>
      <w:r w:rsidR="00A36603">
        <w:t xml:space="preserve"> period. </w:t>
      </w:r>
      <w:r w:rsidR="00A36603">
        <w:rPr>
          <w:spacing w:val="-1"/>
        </w:rPr>
        <w:t>From April</w:t>
      </w:r>
      <w:r w:rsidR="00A36603">
        <w:rPr>
          <w:spacing w:val="27"/>
        </w:rPr>
        <w:t xml:space="preserve"> </w:t>
      </w:r>
      <w:r w:rsidR="00A36603">
        <w:t>6, 2010 through April 6, 2011, the Agency</w:t>
      </w:r>
      <w:r w:rsidR="00A36603">
        <w:rPr>
          <w:spacing w:val="-5"/>
        </w:rPr>
        <w:t xml:space="preserve"> </w:t>
      </w:r>
      <w:r w:rsidR="00A36603">
        <w:t xml:space="preserve">allowed submissions via CDX, optical disc, and </w:t>
      </w:r>
      <w:r w:rsidR="00A36603">
        <w:rPr>
          <w:spacing w:val="-1"/>
        </w:rPr>
        <w:t>paper.</w:t>
      </w:r>
      <w:r w:rsidR="00A36603">
        <w:t xml:space="preserve"> Regardless of the delivery</w:t>
      </w:r>
      <w:r w:rsidR="00A36603">
        <w:rPr>
          <w:spacing w:val="-5"/>
        </w:rPr>
        <w:t xml:space="preserve"> </w:t>
      </w:r>
      <w:r w:rsidR="00A36603">
        <w:t>method, the Agency required that all submissions be generated with</w:t>
      </w:r>
      <w:r w:rsidR="00A36603">
        <w:rPr>
          <w:spacing w:val="21"/>
        </w:rPr>
        <w:t xml:space="preserve"> </w:t>
      </w:r>
      <w:r w:rsidR="00A36603">
        <w:rPr>
          <w:spacing w:val="-1"/>
        </w:rPr>
        <w:t>new electronic-PMN</w:t>
      </w:r>
      <w:r w:rsidR="00A36603">
        <w:t xml:space="preserve"> </w:t>
      </w:r>
      <w:r w:rsidR="00A36603">
        <w:rPr>
          <w:spacing w:val="-1"/>
        </w:rPr>
        <w:t>“e-PMN” computer software.</w:t>
      </w:r>
      <w:r w:rsidR="00A36603">
        <w:t xml:space="preserve"> </w:t>
      </w:r>
      <w:r w:rsidR="00A36603">
        <w:rPr>
          <w:spacing w:val="-1"/>
        </w:rPr>
        <w:t xml:space="preserve">As of April 6, 2011, </w:t>
      </w:r>
      <w:r w:rsidR="00A36603">
        <w:t xml:space="preserve">paper submissions </w:t>
      </w:r>
      <w:r w:rsidR="00A36603">
        <w:rPr>
          <w:spacing w:val="-1"/>
        </w:rPr>
        <w:t>were</w:t>
      </w:r>
      <w:r w:rsidR="00A36603">
        <w:rPr>
          <w:spacing w:val="42"/>
        </w:rPr>
        <w:t xml:space="preserve"> </w:t>
      </w:r>
      <w:r w:rsidR="00A36603">
        <w:t xml:space="preserve">no longer accepted for any new notices and support documents (including </w:t>
      </w:r>
      <w:r w:rsidR="00A36603">
        <w:rPr>
          <w:spacing w:val="-1"/>
        </w:rPr>
        <w:t>NOCs).</w:t>
      </w:r>
      <w:r w:rsidR="00A36603">
        <w:t xml:space="preserve"> </w:t>
      </w:r>
      <w:r w:rsidR="00A36603">
        <w:rPr>
          <w:spacing w:val="-1"/>
        </w:rPr>
        <w:t>Disc-based</w:t>
      </w:r>
      <w:r w:rsidR="00A36603">
        <w:rPr>
          <w:spacing w:val="28"/>
        </w:rPr>
        <w:t xml:space="preserve"> </w:t>
      </w:r>
      <w:r w:rsidR="00A36603">
        <w:t>submissions (e.g., CDs and data DVDs) for all new notices and support documents</w:t>
      </w:r>
      <w:r w:rsidR="00A36603">
        <w:rPr>
          <w:spacing w:val="-2"/>
        </w:rPr>
        <w:t xml:space="preserve"> </w:t>
      </w:r>
      <w:r w:rsidR="00A36603">
        <w:t>were</w:t>
      </w:r>
      <w:r w:rsidR="00A36603">
        <w:rPr>
          <w:spacing w:val="-1"/>
        </w:rPr>
        <w:t xml:space="preserve"> </w:t>
      </w:r>
      <w:r w:rsidR="00A36603">
        <w:t xml:space="preserve">no </w:t>
      </w:r>
      <w:r w:rsidR="00A36603">
        <w:rPr>
          <w:spacing w:val="-1"/>
        </w:rPr>
        <w:t>longer accepted</w:t>
      </w:r>
      <w:r w:rsidR="00A36603">
        <w:rPr>
          <w:spacing w:val="2"/>
        </w:rPr>
        <w:t xml:space="preserve"> </w:t>
      </w:r>
      <w:r w:rsidR="00A36603">
        <w:rPr>
          <w:spacing w:val="-1"/>
        </w:rPr>
        <w:t xml:space="preserve">as of </w:t>
      </w:r>
      <w:r w:rsidR="00A36603">
        <w:t xml:space="preserve">April 6, 2012. </w:t>
      </w:r>
      <w:r w:rsidR="00A36603">
        <w:rPr>
          <w:spacing w:val="-1"/>
        </w:rPr>
        <w:t xml:space="preserve">As of </w:t>
      </w:r>
      <w:r w:rsidR="00A36603">
        <w:t xml:space="preserve">April 6, </w:t>
      </w:r>
      <w:r w:rsidR="00A36603">
        <w:rPr>
          <w:spacing w:val="-1"/>
        </w:rPr>
        <w:t>2012,</w:t>
      </w:r>
      <w:r w:rsidR="00A36603">
        <w:t xml:space="preserve"> all submitters </w:t>
      </w:r>
      <w:r w:rsidR="00A36603">
        <w:rPr>
          <w:spacing w:val="-1"/>
        </w:rPr>
        <w:t xml:space="preserve">are </w:t>
      </w:r>
      <w:r w:rsidR="00A36603">
        <w:t>required to submit</w:t>
      </w:r>
      <w:r w:rsidR="00A36603">
        <w:rPr>
          <w:spacing w:val="25"/>
        </w:rPr>
        <w:t xml:space="preserve"> </w:t>
      </w:r>
      <w:r w:rsidR="00A36603">
        <w:t>electronically</w:t>
      </w:r>
      <w:r w:rsidR="00A36603">
        <w:rPr>
          <w:spacing w:val="-5"/>
        </w:rPr>
        <w:t xml:space="preserve"> </w:t>
      </w:r>
      <w:r w:rsidR="00A36603">
        <w:t xml:space="preserve">via CDX using the e-PMN software. </w:t>
      </w:r>
      <w:r w:rsidR="00A36603">
        <w:rPr>
          <w:spacing w:val="-1"/>
        </w:rPr>
        <w:t>As of March 4, 2014</w:t>
      </w:r>
      <w:r w:rsidR="00A36603">
        <w:rPr>
          <w:spacing w:val="2"/>
        </w:rPr>
        <w:t xml:space="preserve"> </w:t>
      </w:r>
      <w:r w:rsidR="00A36603">
        <w:t>(i.e., the effective date</w:t>
      </w:r>
      <w:r w:rsidR="00A36603">
        <w:rPr>
          <w:spacing w:val="27"/>
        </w:rPr>
        <w:t xml:space="preserve"> </w:t>
      </w:r>
      <w:r w:rsidR="00A36603">
        <w:t>of</w:t>
      </w:r>
      <w:r w:rsidR="00A36603">
        <w:rPr>
          <w:spacing w:val="-1"/>
        </w:rPr>
        <w:t xml:space="preserve"> </w:t>
      </w:r>
      <w:r w:rsidR="00A36603">
        <w:t>the</w:t>
      </w:r>
      <w:r w:rsidR="00A36603">
        <w:rPr>
          <w:spacing w:val="-1"/>
        </w:rPr>
        <w:t xml:space="preserve"> </w:t>
      </w:r>
      <w:r w:rsidR="00A36603">
        <w:t>“Electronic</w:t>
      </w:r>
      <w:r w:rsidR="00A36603">
        <w:rPr>
          <w:spacing w:val="-1"/>
        </w:rPr>
        <w:t xml:space="preserve"> </w:t>
      </w:r>
      <w:r w:rsidR="00A36603">
        <w:t>Reporting</w:t>
      </w:r>
      <w:r w:rsidR="00A36603">
        <w:rPr>
          <w:spacing w:val="-1"/>
        </w:rPr>
        <w:t xml:space="preserve"> </w:t>
      </w:r>
      <w:r w:rsidR="00A36603">
        <w:t>Under</w:t>
      </w:r>
      <w:r w:rsidR="00A36603">
        <w:rPr>
          <w:spacing w:val="-1"/>
        </w:rPr>
        <w:t xml:space="preserve"> </w:t>
      </w:r>
      <w:r w:rsidR="00A36603">
        <w:t>the</w:t>
      </w:r>
      <w:r w:rsidR="00A36603">
        <w:rPr>
          <w:spacing w:val="-1"/>
        </w:rPr>
        <w:t xml:space="preserve"> </w:t>
      </w:r>
      <w:r w:rsidR="00A36603">
        <w:t>Toxic</w:t>
      </w:r>
      <w:r w:rsidR="00A36603">
        <w:rPr>
          <w:spacing w:val="-1"/>
        </w:rPr>
        <w:t xml:space="preserve"> </w:t>
      </w:r>
      <w:r w:rsidR="00A36603">
        <w:t>Substances</w:t>
      </w:r>
      <w:r w:rsidR="00A36603">
        <w:rPr>
          <w:spacing w:val="-1"/>
        </w:rPr>
        <w:t xml:space="preserve"> </w:t>
      </w:r>
      <w:r w:rsidR="00A36603">
        <w:t>Control</w:t>
      </w:r>
      <w:r w:rsidR="00A36603">
        <w:rPr>
          <w:spacing w:val="-1"/>
        </w:rPr>
        <w:t xml:space="preserve"> Act”</w:t>
      </w:r>
      <w:r w:rsidR="00A36603">
        <w:t xml:space="preserve"> </w:t>
      </w:r>
      <w:r w:rsidR="00A36603">
        <w:rPr>
          <w:spacing w:val="-1"/>
        </w:rPr>
        <w:t>regulations),</w:t>
      </w:r>
      <w:r w:rsidR="00A36603">
        <w:t xml:space="preserve"> all</w:t>
      </w:r>
      <w:r w:rsidR="00A36603">
        <w:rPr>
          <w:spacing w:val="30"/>
        </w:rPr>
        <w:t xml:space="preserve"> </w:t>
      </w:r>
      <w:r w:rsidR="00A36603">
        <w:rPr>
          <w:spacing w:val="-1"/>
        </w:rPr>
        <w:t xml:space="preserve">submitters are </w:t>
      </w:r>
      <w:r w:rsidR="00A36603">
        <w:t xml:space="preserve">required to submit NOCs and </w:t>
      </w:r>
      <w:r w:rsidR="00A36603">
        <w:rPr>
          <w:spacing w:val="-1"/>
        </w:rPr>
        <w:t>all</w:t>
      </w:r>
      <w:r w:rsidR="00A36603">
        <w:t xml:space="preserve"> support</w:t>
      </w:r>
      <w:r w:rsidR="00A36603">
        <w:rPr>
          <w:spacing w:val="-1"/>
        </w:rPr>
        <w:t xml:space="preserve"> </w:t>
      </w:r>
      <w:r w:rsidR="00A36603">
        <w:t>documents</w:t>
      </w:r>
      <w:r w:rsidR="00A36603">
        <w:rPr>
          <w:spacing w:val="-1"/>
        </w:rPr>
        <w:t xml:space="preserve"> </w:t>
      </w:r>
      <w:r w:rsidR="00A36603">
        <w:t>via</w:t>
      </w:r>
      <w:r w:rsidR="00A36603">
        <w:rPr>
          <w:spacing w:val="-1"/>
        </w:rPr>
        <w:t xml:space="preserve"> </w:t>
      </w:r>
      <w:r w:rsidR="00A36603">
        <w:t>CDX</w:t>
      </w:r>
      <w:r w:rsidR="00A36603">
        <w:rPr>
          <w:spacing w:val="-1"/>
        </w:rPr>
        <w:t xml:space="preserve"> </w:t>
      </w:r>
      <w:r w:rsidR="00A36603">
        <w:t>using</w:t>
      </w:r>
      <w:r w:rsidR="00A36603">
        <w:rPr>
          <w:spacing w:val="-1"/>
        </w:rPr>
        <w:t xml:space="preserve"> </w:t>
      </w:r>
      <w:r w:rsidR="00A36603">
        <w:t>the</w:t>
      </w:r>
      <w:r w:rsidR="00A36603">
        <w:rPr>
          <w:spacing w:val="-1"/>
        </w:rPr>
        <w:t xml:space="preserve"> e-PMN</w:t>
      </w:r>
      <w:r w:rsidR="00A36603">
        <w:rPr>
          <w:spacing w:val="26"/>
        </w:rPr>
        <w:t xml:space="preserve"> </w:t>
      </w:r>
      <w:r w:rsidR="00A36603">
        <w:rPr>
          <w:spacing w:val="-1"/>
        </w:rPr>
        <w:t>software.</w:t>
      </w:r>
      <w:r w:rsidR="00A36603">
        <w:t xml:space="preserve"> The</w:t>
      </w:r>
      <w:r w:rsidR="00A36603">
        <w:rPr>
          <w:spacing w:val="1"/>
        </w:rPr>
        <w:t xml:space="preserve"> </w:t>
      </w:r>
      <w:r w:rsidR="00A36603">
        <w:t>Agency</w:t>
      </w:r>
      <w:r w:rsidR="00A36603">
        <w:rPr>
          <w:spacing w:val="-5"/>
        </w:rPr>
        <w:t xml:space="preserve"> </w:t>
      </w:r>
      <w:r w:rsidR="00A36603">
        <w:t>incorporated this phased approach because it allowed</w:t>
      </w:r>
      <w:r w:rsidR="00A36603">
        <w:rPr>
          <w:spacing w:val="-1"/>
        </w:rPr>
        <w:t xml:space="preserve"> submitters to gain</w:t>
      </w:r>
      <w:r w:rsidR="00A36603">
        <w:rPr>
          <w:spacing w:val="22"/>
        </w:rPr>
        <w:t xml:space="preserve"> </w:t>
      </w:r>
      <w:r w:rsidR="00A36603">
        <w:rPr>
          <w:spacing w:val="-1"/>
        </w:rPr>
        <w:t>experience in using the e-PMN</w:t>
      </w:r>
      <w:r w:rsidR="00A36603">
        <w:t xml:space="preserve"> software and the submission delivery</w:t>
      </w:r>
      <w:r w:rsidR="00A36603">
        <w:rPr>
          <w:spacing w:val="-5"/>
        </w:rPr>
        <w:t xml:space="preserve"> </w:t>
      </w:r>
      <w:r w:rsidR="00A36603">
        <w:t xml:space="preserve">system. </w:t>
      </w:r>
      <w:r w:rsidR="00A36603">
        <w:rPr>
          <w:spacing w:val="-1"/>
        </w:rPr>
        <w:t xml:space="preserve">See </w:t>
      </w:r>
      <w:r w:rsidR="00A36603">
        <w:rPr>
          <w:i/>
          <w:spacing w:val="-1"/>
        </w:rPr>
        <w:t>epa.gov/opptintr/newchems/epmn/epmn-index.htm</w:t>
      </w:r>
      <w:r w:rsidR="00A36603">
        <w:t xml:space="preserve"> </w:t>
      </w:r>
      <w:r w:rsidR="00A36603">
        <w:rPr>
          <w:spacing w:val="-1"/>
        </w:rPr>
        <w:t>for information on e-PMN</w:t>
      </w:r>
      <w:r w:rsidR="00A36603">
        <w:t xml:space="preserve"> reporting and the</w:t>
      </w:r>
      <w:r w:rsidR="00A36603">
        <w:rPr>
          <w:spacing w:val="97"/>
        </w:rPr>
        <w:t xml:space="preserve"> </w:t>
      </w:r>
      <w:r w:rsidR="00A36603">
        <w:rPr>
          <w:spacing w:val="-1"/>
        </w:rPr>
        <w:t>use of CDX.</w:t>
      </w:r>
    </w:p>
    <w:p w14:paraId="6575D81D" w14:textId="77777777" w:rsidR="00A36603" w:rsidRDefault="00A36603" w:rsidP="00A36603">
      <w:pPr>
        <w:rPr>
          <w:rFonts w:ascii="Times New Roman" w:eastAsia="Times New Roman" w:hAnsi="Times New Roman" w:cs="Times New Roman"/>
          <w:sz w:val="24"/>
          <w:szCs w:val="24"/>
        </w:rPr>
      </w:pPr>
    </w:p>
    <w:p w14:paraId="193A1062" w14:textId="1B22FB9F" w:rsidR="00F51F73" w:rsidRDefault="00F51F73" w:rsidP="00F51F73">
      <w:pPr>
        <w:pStyle w:val="Heading1"/>
        <w:tabs>
          <w:tab w:val="left" w:pos="0"/>
          <w:tab w:val="left" w:pos="810"/>
        </w:tabs>
        <w:spacing w:before="69"/>
        <w:ind w:left="0" w:right="160"/>
        <w:rPr>
          <w:b w:val="0"/>
        </w:rPr>
      </w:pPr>
      <w:r>
        <w:rPr>
          <w:b w:val="0"/>
        </w:rPr>
        <w:tab/>
      </w:r>
      <w:r w:rsidR="00A36603" w:rsidRPr="00F51F73">
        <w:rPr>
          <w:b w:val="0"/>
        </w:rPr>
        <w:t>In</w:t>
      </w:r>
      <w:r w:rsidR="00A36603" w:rsidRPr="00F51F73">
        <w:rPr>
          <w:b w:val="0"/>
          <w:spacing w:val="-1"/>
        </w:rPr>
        <w:t xml:space="preserve"> </w:t>
      </w:r>
      <w:r w:rsidR="00A36603" w:rsidRPr="00F51F73">
        <w:rPr>
          <w:b w:val="0"/>
        </w:rPr>
        <w:t>addition,</w:t>
      </w:r>
      <w:r w:rsidR="00A36603" w:rsidRPr="00F51F73">
        <w:rPr>
          <w:b w:val="0"/>
          <w:spacing w:val="-1"/>
        </w:rPr>
        <w:t xml:space="preserve"> </w:t>
      </w:r>
      <w:r w:rsidR="008348EC">
        <w:rPr>
          <w:b w:val="0"/>
          <w:spacing w:val="-1"/>
        </w:rPr>
        <w:t>EPA</w:t>
      </w:r>
      <w:r w:rsidR="00A36603" w:rsidRPr="00F51F73">
        <w:rPr>
          <w:b w:val="0"/>
          <w:spacing w:val="-1"/>
        </w:rPr>
        <w:t xml:space="preserve"> </w:t>
      </w:r>
      <w:r w:rsidR="00A36603" w:rsidRPr="00F51F73">
        <w:rPr>
          <w:b w:val="0"/>
        </w:rPr>
        <w:t>published</w:t>
      </w:r>
      <w:r w:rsidR="00A36603" w:rsidRPr="00F51F73">
        <w:rPr>
          <w:b w:val="0"/>
          <w:spacing w:val="-1"/>
        </w:rPr>
        <w:t xml:space="preserve"> </w:t>
      </w:r>
      <w:r w:rsidR="00A36603" w:rsidRPr="00F51F73">
        <w:rPr>
          <w:b w:val="0"/>
        </w:rPr>
        <w:t>a</w:t>
      </w:r>
      <w:r w:rsidR="00A36603" w:rsidRPr="00F51F73">
        <w:rPr>
          <w:b w:val="0"/>
          <w:spacing w:val="-1"/>
        </w:rPr>
        <w:t xml:space="preserve"> </w:t>
      </w:r>
      <w:r w:rsidR="00A36603" w:rsidRPr="00F51F73">
        <w:rPr>
          <w:b w:val="0"/>
        </w:rPr>
        <w:t>direct</w:t>
      </w:r>
      <w:r w:rsidR="00A36603" w:rsidRPr="00F51F73">
        <w:rPr>
          <w:b w:val="0"/>
          <w:spacing w:val="-1"/>
        </w:rPr>
        <w:t xml:space="preserve"> </w:t>
      </w:r>
      <w:r w:rsidR="00A36603" w:rsidRPr="00F51F73">
        <w:rPr>
          <w:b w:val="0"/>
        </w:rPr>
        <w:t>final</w:t>
      </w:r>
      <w:r w:rsidR="00A36603" w:rsidRPr="00F51F73">
        <w:rPr>
          <w:b w:val="0"/>
          <w:spacing w:val="-1"/>
        </w:rPr>
        <w:t xml:space="preserve"> </w:t>
      </w:r>
      <w:r w:rsidR="00A36603" w:rsidRPr="00F51F73">
        <w:rPr>
          <w:b w:val="0"/>
        </w:rPr>
        <w:t>rule</w:t>
      </w:r>
      <w:r w:rsidR="00A36603" w:rsidRPr="00F51F73">
        <w:rPr>
          <w:b w:val="0"/>
          <w:spacing w:val="-1"/>
        </w:rPr>
        <w:t xml:space="preserve"> </w:t>
      </w:r>
      <w:r w:rsidR="00A36603" w:rsidRPr="00F51F73">
        <w:rPr>
          <w:b w:val="0"/>
        </w:rPr>
        <w:t>entitled</w:t>
      </w:r>
      <w:r w:rsidR="00A36603" w:rsidRPr="00F51F73">
        <w:rPr>
          <w:b w:val="0"/>
          <w:spacing w:val="-1"/>
        </w:rPr>
        <w:t xml:space="preserve"> </w:t>
      </w:r>
      <w:r w:rsidR="00A36603" w:rsidRPr="00F51F73">
        <w:rPr>
          <w:b w:val="0"/>
        </w:rPr>
        <w:t>“TSCA</w:t>
      </w:r>
      <w:r w:rsidR="00A36603" w:rsidRPr="00F51F73">
        <w:rPr>
          <w:b w:val="0"/>
          <w:spacing w:val="-1"/>
        </w:rPr>
        <w:t xml:space="preserve"> </w:t>
      </w:r>
      <w:r w:rsidR="00A36603" w:rsidRPr="00F51F73">
        <w:rPr>
          <w:b w:val="0"/>
        </w:rPr>
        <w:t>Section</w:t>
      </w:r>
      <w:r w:rsidR="00A36603" w:rsidRPr="00F51F73">
        <w:rPr>
          <w:b w:val="0"/>
          <w:spacing w:val="-1"/>
        </w:rPr>
        <w:t xml:space="preserve"> </w:t>
      </w:r>
      <w:r w:rsidR="00A36603" w:rsidRPr="00F51F73">
        <w:rPr>
          <w:b w:val="0"/>
        </w:rPr>
        <w:t>5</w:t>
      </w:r>
      <w:r w:rsidR="00A36603" w:rsidRPr="00F51F73">
        <w:rPr>
          <w:b w:val="0"/>
          <w:spacing w:val="-1"/>
        </w:rPr>
        <w:t xml:space="preserve"> Premanufacture</w:t>
      </w:r>
      <w:r w:rsidR="00A36603" w:rsidRPr="00F51F73">
        <w:rPr>
          <w:b w:val="0"/>
          <w:spacing w:val="24"/>
        </w:rPr>
        <w:t xml:space="preserve"> </w:t>
      </w:r>
      <w:r w:rsidR="00A36603" w:rsidRPr="00F51F73">
        <w:rPr>
          <w:b w:val="0"/>
        </w:rPr>
        <w:t>and Significant New Use Notification Electronic Reporting” on July</w:t>
      </w:r>
      <w:r w:rsidR="00A36603" w:rsidRPr="00F51F73">
        <w:rPr>
          <w:b w:val="0"/>
          <w:spacing w:val="-5"/>
        </w:rPr>
        <w:t xml:space="preserve"> </w:t>
      </w:r>
      <w:r w:rsidR="00A36603" w:rsidRPr="00F51F73">
        <w:rPr>
          <w:b w:val="0"/>
        </w:rPr>
        <w:t>20, 2015, which provides the user community</w:t>
      </w:r>
      <w:r w:rsidR="00A36603" w:rsidRPr="00F51F73">
        <w:rPr>
          <w:b w:val="0"/>
          <w:spacing w:val="-5"/>
        </w:rPr>
        <w:t xml:space="preserve"> </w:t>
      </w:r>
      <w:r w:rsidR="00A36603" w:rsidRPr="00F51F73">
        <w:rPr>
          <w:b w:val="0"/>
        </w:rPr>
        <w:t xml:space="preserve">with new methods for accessing the </w:t>
      </w:r>
      <w:r w:rsidR="00A36603" w:rsidRPr="00F51F73">
        <w:rPr>
          <w:b w:val="0"/>
          <w:spacing w:val="-1"/>
        </w:rPr>
        <w:t>e-PMN</w:t>
      </w:r>
      <w:r w:rsidR="00A36603" w:rsidRPr="00F51F73">
        <w:rPr>
          <w:b w:val="0"/>
        </w:rPr>
        <w:t xml:space="preserve"> software, new procedures for</w:t>
      </w:r>
      <w:r w:rsidR="00A36603" w:rsidRPr="00F51F73">
        <w:rPr>
          <w:b w:val="0"/>
          <w:spacing w:val="23"/>
        </w:rPr>
        <w:t xml:space="preserve"> </w:t>
      </w:r>
      <w:r w:rsidR="00A36603" w:rsidRPr="00F51F73">
        <w:rPr>
          <w:b w:val="0"/>
          <w:spacing w:val="-1"/>
        </w:rPr>
        <w:t>completing the electronic-PMN (e-PMN)</w:t>
      </w:r>
      <w:r w:rsidR="00A36603" w:rsidRPr="00F51F73">
        <w:rPr>
          <w:b w:val="0"/>
        </w:rPr>
        <w:t xml:space="preserve"> and other forms, changes to the CDX </w:t>
      </w:r>
      <w:r w:rsidR="00A36603" w:rsidRPr="00F51F73">
        <w:rPr>
          <w:b w:val="0"/>
          <w:spacing w:val="-1"/>
        </w:rPr>
        <w:t>registration process, adds</w:t>
      </w:r>
      <w:r w:rsidR="00A36603" w:rsidRPr="00F51F73">
        <w:rPr>
          <w:b w:val="0"/>
          <w:spacing w:val="40"/>
        </w:rPr>
        <w:t xml:space="preserve"> </w:t>
      </w:r>
      <w:r w:rsidR="00A36603" w:rsidRPr="00F51F73">
        <w:rPr>
          <w:b w:val="0"/>
        </w:rPr>
        <w:t xml:space="preserve">the requirement to submit “bona fide intents to manufacture” </w:t>
      </w:r>
      <w:r w:rsidR="00A36603" w:rsidRPr="00F51F73">
        <w:rPr>
          <w:b w:val="0"/>
          <w:spacing w:val="-1"/>
        </w:rPr>
        <w:t>electronically,</w:t>
      </w:r>
      <w:r w:rsidR="00A36603" w:rsidRPr="00F51F73">
        <w:rPr>
          <w:b w:val="0"/>
        </w:rPr>
        <w:t xml:space="preserve"> and changes to the procedure for </w:t>
      </w:r>
      <w:r w:rsidR="00A36603" w:rsidRPr="00F51F73">
        <w:rPr>
          <w:b w:val="0"/>
          <w:spacing w:val="-1"/>
        </w:rPr>
        <w:t>notifying</w:t>
      </w:r>
      <w:r w:rsidR="00A36603" w:rsidRPr="00F51F73">
        <w:rPr>
          <w:b w:val="0"/>
        </w:rPr>
        <w:t xml:space="preserve"> </w:t>
      </w:r>
      <w:r w:rsidR="008348EC">
        <w:rPr>
          <w:b w:val="0"/>
        </w:rPr>
        <w:t>EPA</w:t>
      </w:r>
      <w:r w:rsidR="00A36603" w:rsidRPr="00F51F73">
        <w:rPr>
          <w:b w:val="0"/>
        </w:rPr>
        <w:t xml:space="preserve"> of any</w:t>
      </w:r>
      <w:r w:rsidR="00A36603" w:rsidRPr="00F51F73">
        <w:rPr>
          <w:b w:val="0"/>
          <w:spacing w:val="-5"/>
        </w:rPr>
        <w:t xml:space="preserve"> </w:t>
      </w:r>
      <w:r w:rsidR="00A36603" w:rsidRPr="00F51F73">
        <w:rPr>
          <w:b w:val="0"/>
        </w:rPr>
        <w:t>new manufacturing site of a chemical substance for which an</w:t>
      </w:r>
      <w:r w:rsidR="00A36603" w:rsidRPr="00F51F73">
        <w:rPr>
          <w:b w:val="0"/>
          <w:spacing w:val="24"/>
        </w:rPr>
        <w:t xml:space="preserve"> </w:t>
      </w:r>
      <w:r w:rsidR="00A36603" w:rsidRPr="00F51F73">
        <w:rPr>
          <w:b w:val="0"/>
        </w:rPr>
        <w:t>exemption was granted by</w:t>
      </w:r>
      <w:r w:rsidR="00A36603" w:rsidRPr="00F51F73">
        <w:rPr>
          <w:b w:val="0"/>
          <w:spacing w:val="-5"/>
        </w:rPr>
        <w:t xml:space="preserve"> </w:t>
      </w:r>
      <w:r w:rsidR="00A36603" w:rsidRPr="00F51F73">
        <w:rPr>
          <w:b w:val="0"/>
        </w:rPr>
        <w:t>the Agency under 723.50. These</w:t>
      </w:r>
      <w:r w:rsidR="00A36603" w:rsidRPr="00F51F73">
        <w:rPr>
          <w:b w:val="0"/>
          <w:spacing w:val="-1"/>
        </w:rPr>
        <w:t xml:space="preserve"> </w:t>
      </w:r>
      <w:r w:rsidR="00A36603" w:rsidRPr="00F51F73">
        <w:rPr>
          <w:b w:val="0"/>
        </w:rPr>
        <w:t>changes were intended to further streamline and reduce the administrative costs and burdens of TSCA section 5 notifications for both industry</w:t>
      </w:r>
      <w:r w:rsidR="00A36603" w:rsidRPr="00F51F73">
        <w:rPr>
          <w:b w:val="0"/>
          <w:spacing w:val="-5"/>
        </w:rPr>
        <w:t xml:space="preserve"> </w:t>
      </w:r>
      <w:r w:rsidR="00A36603" w:rsidRPr="00F51F73">
        <w:rPr>
          <w:b w:val="0"/>
        </w:rPr>
        <w:t xml:space="preserve">and </w:t>
      </w:r>
      <w:r w:rsidR="008348EC">
        <w:rPr>
          <w:b w:val="0"/>
        </w:rPr>
        <w:t>EPA</w:t>
      </w:r>
      <w:r w:rsidR="00A36603" w:rsidRPr="00F51F73">
        <w:rPr>
          <w:b w:val="0"/>
        </w:rPr>
        <w:t xml:space="preserve">. </w:t>
      </w:r>
      <w:r w:rsidR="008348EC">
        <w:rPr>
          <w:b w:val="0"/>
        </w:rPr>
        <w:t>EPA</w:t>
      </w:r>
      <w:r w:rsidR="00A36603" w:rsidRPr="00F51F73">
        <w:rPr>
          <w:b w:val="0"/>
        </w:rPr>
        <w:t xml:space="preserve"> believes that submitters now have sufficient experience in using the electronic software and system, and coupled with the recent changes to streamline the electronic reporting process, the Agency is requiring submitters to submit NOAs electronically via CDX using the e-NOA software, effective June 22,</w:t>
      </w:r>
      <w:r w:rsidR="00A36603" w:rsidRPr="00F51F73">
        <w:rPr>
          <w:b w:val="0"/>
          <w:spacing w:val="21"/>
        </w:rPr>
        <w:t xml:space="preserve"> </w:t>
      </w:r>
      <w:r w:rsidR="00A36603" w:rsidRPr="00F51F73">
        <w:rPr>
          <w:b w:val="0"/>
        </w:rPr>
        <w:t>2017.</w:t>
      </w:r>
    </w:p>
    <w:p w14:paraId="67A2B662" w14:textId="77777777" w:rsidR="00F51F73" w:rsidRPr="00F51F73" w:rsidRDefault="00F51F73" w:rsidP="00F51F73">
      <w:pPr>
        <w:pStyle w:val="Heading1"/>
        <w:tabs>
          <w:tab w:val="left" w:pos="0"/>
          <w:tab w:val="left" w:pos="810"/>
        </w:tabs>
        <w:spacing w:before="69"/>
        <w:ind w:left="0" w:right="160"/>
        <w:rPr>
          <w:b w:val="0"/>
          <w:bCs w:val="0"/>
        </w:rPr>
      </w:pPr>
    </w:p>
    <w:p w14:paraId="4DD52B8B" w14:textId="15D2B248" w:rsidR="00F51F73" w:rsidRPr="00F51F73" w:rsidRDefault="0038132A" w:rsidP="00F51F73">
      <w:pPr>
        <w:pStyle w:val="Heading1"/>
        <w:numPr>
          <w:ilvl w:val="0"/>
          <w:numId w:val="54"/>
        </w:numPr>
        <w:tabs>
          <w:tab w:val="left" w:pos="0"/>
          <w:tab w:val="left" w:pos="810"/>
        </w:tabs>
        <w:ind w:right="160" w:hanging="720"/>
        <w:rPr>
          <w:bCs w:val="0"/>
        </w:rPr>
      </w:pPr>
      <w:r w:rsidRPr="00F51F73">
        <w:t xml:space="preserve">THE RESPONDENTS AND THE INFORMATION REQUESTED </w:t>
      </w:r>
    </w:p>
    <w:p w14:paraId="4F0E40F5" w14:textId="77777777" w:rsidR="00F51F73" w:rsidRPr="00F51F73" w:rsidRDefault="00F51F73" w:rsidP="00F51F73">
      <w:pPr>
        <w:pStyle w:val="Heading1"/>
        <w:tabs>
          <w:tab w:val="left" w:pos="0"/>
          <w:tab w:val="left" w:pos="810"/>
        </w:tabs>
        <w:ind w:left="0" w:right="160"/>
        <w:rPr>
          <w:bCs w:val="0"/>
        </w:rPr>
      </w:pPr>
    </w:p>
    <w:p w14:paraId="19332AB9" w14:textId="284E9C90" w:rsidR="0038132A" w:rsidRDefault="0038132A" w:rsidP="00F51F73">
      <w:pPr>
        <w:pStyle w:val="Heading1"/>
        <w:tabs>
          <w:tab w:val="left" w:pos="820"/>
          <w:tab w:val="left" w:pos="1539"/>
        </w:tabs>
        <w:spacing w:before="69"/>
        <w:ind w:right="160"/>
        <w:rPr>
          <w:b w:val="0"/>
          <w:bCs w:val="0"/>
        </w:rPr>
      </w:pPr>
      <w:r>
        <w:rPr>
          <w:spacing w:val="-1"/>
        </w:rPr>
        <w:t>4(a)</w:t>
      </w:r>
      <w:r>
        <w:rPr>
          <w:spacing w:val="-1"/>
        </w:rPr>
        <w:tab/>
        <w:t>Respondents/NAICS</w:t>
      </w:r>
      <w:r>
        <w:t xml:space="preserve"> </w:t>
      </w:r>
      <w:r>
        <w:rPr>
          <w:spacing w:val="-1"/>
        </w:rPr>
        <w:t>Codes</w:t>
      </w:r>
    </w:p>
    <w:p w14:paraId="5AFAB7F9" w14:textId="77777777" w:rsidR="0038132A" w:rsidRDefault="0038132A" w:rsidP="0038132A">
      <w:pPr>
        <w:pStyle w:val="BodyText"/>
        <w:spacing w:before="5"/>
        <w:ind w:right="105"/>
      </w:pPr>
      <w:r>
        <w:t>This</w:t>
      </w:r>
      <w:r>
        <w:rPr>
          <w:spacing w:val="-1"/>
        </w:rPr>
        <w:t xml:space="preserve"> </w:t>
      </w:r>
      <w:r>
        <w:t>information</w:t>
      </w:r>
      <w:r>
        <w:rPr>
          <w:spacing w:val="-1"/>
        </w:rPr>
        <w:t xml:space="preserve"> </w:t>
      </w:r>
      <w:r>
        <w:t>collection</w:t>
      </w:r>
      <w:r>
        <w:rPr>
          <w:spacing w:val="-1"/>
        </w:rPr>
        <w:t xml:space="preserve"> </w:t>
      </w:r>
      <w:r>
        <w:t>affects</w:t>
      </w:r>
      <w:r>
        <w:rPr>
          <w:spacing w:val="-1"/>
        </w:rPr>
        <w:t xml:space="preserve"> </w:t>
      </w:r>
      <w:r>
        <w:t>companies</w:t>
      </w:r>
      <w:r>
        <w:rPr>
          <w:spacing w:val="-1"/>
        </w:rPr>
        <w:t xml:space="preserve"> </w:t>
      </w:r>
      <w:r>
        <w:t>that</w:t>
      </w:r>
      <w:r>
        <w:rPr>
          <w:spacing w:val="-1"/>
        </w:rPr>
        <w:t xml:space="preserve"> </w:t>
      </w:r>
      <w:r>
        <w:t>manufacture</w:t>
      </w:r>
      <w:r>
        <w:rPr>
          <w:spacing w:val="-3"/>
        </w:rPr>
        <w:t xml:space="preserve"> </w:t>
      </w:r>
      <w:r>
        <w:t>or</w:t>
      </w:r>
      <w:r>
        <w:rPr>
          <w:spacing w:val="-1"/>
        </w:rPr>
        <w:t xml:space="preserve"> </w:t>
      </w:r>
      <w:r>
        <w:t xml:space="preserve">process chemical </w:t>
      </w:r>
      <w:r>
        <w:rPr>
          <w:spacing w:val="-1"/>
        </w:rPr>
        <w:t>substances.</w:t>
      </w:r>
      <w:r>
        <w:t xml:space="preserve"> </w:t>
      </w:r>
      <w:r>
        <w:rPr>
          <w:spacing w:val="-1"/>
        </w:rPr>
        <w:t xml:space="preserve">These companies are typically found in </w:t>
      </w:r>
      <w:r>
        <w:rPr>
          <w:spacing w:val="-2"/>
        </w:rPr>
        <w:t>NAICS</w:t>
      </w:r>
      <w:r>
        <w:t xml:space="preserve"> major groups 325 (Chemical</w:t>
      </w:r>
      <w:r>
        <w:rPr>
          <w:spacing w:val="33"/>
        </w:rPr>
        <w:t xml:space="preserve"> </w:t>
      </w:r>
      <w:r>
        <w:t>Manufacture) and 324 (Petroleum and Coal Products).</w:t>
      </w:r>
      <w:r>
        <w:rPr>
          <w:spacing w:val="-1"/>
        </w:rPr>
        <w:t xml:space="preserve"> </w:t>
      </w:r>
      <w:r>
        <w:t xml:space="preserve">The </w:t>
      </w:r>
      <w:r>
        <w:rPr>
          <w:spacing w:val="-1"/>
        </w:rPr>
        <w:t>per-response</w:t>
      </w:r>
      <w:r>
        <w:t xml:space="preserve"> reporting unit,</w:t>
      </w:r>
      <w:r>
        <w:rPr>
          <w:spacing w:val="-1"/>
        </w:rPr>
        <w:t xml:space="preserve"> </w:t>
      </w:r>
      <w:r>
        <w:t>or</w:t>
      </w:r>
      <w:r>
        <w:rPr>
          <w:spacing w:val="-1"/>
        </w:rPr>
        <w:t xml:space="preserve"> </w:t>
      </w:r>
      <w:r>
        <w:t>unit</w:t>
      </w:r>
      <w:r>
        <w:rPr>
          <w:spacing w:val="-1"/>
        </w:rPr>
        <w:t xml:space="preserve"> </w:t>
      </w:r>
      <w:r>
        <w:t>of</w:t>
      </w:r>
      <w:r>
        <w:rPr>
          <w:spacing w:val="20"/>
        </w:rPr>
        <w:t xml:space="preserve"> </w:t>
      </w:r>
      <w:r>
        <w:rPr>
          <w:spacing w:val="-1"/>
        </w:rPr>
        <w:t>analysis,</w:t>
      </w:r>
      <w:r>
        <w:t xml:space="preserve"> is “notices.” A</w:t>
      </w:r>
      <w:r>
        <w:rPr>
          <w:spacing w:val="1"/>
        </w:rPr>
        <w:t xml:space="preserve"> </w:t>
      </w:r>
      <w:r>
        <w:rPr>
          <w:spacing w:val="-1"/>
        </w:rPr>
        <w:t xml:space="preserve">given </w:t>
      </w:r>
      <w:r>
        <w:t xml:space="preserve">notice </w:t>
      </w:r>
      <w:r>
        <w:rPr>
          <w:spacing w:val="-1"/>
        </w:rPr>
        <w:t>typically</w:t>
      </w:r>
      <w:r>
        <w:rPr>
          <w:spacing w:val="-5"/>
        </w:rPr>
        <w:t xml:space="preserve"> </w:t>
      </w:r>
      <w:r>
        <w:t>submitted</w:t>
      </w:r>
      <w:r>
        <w:rPr>
          <w:spacing w:val="1"/>
        </w:rPr>
        <w:t xml:space="preserve"> </w:t>
      </w:r>
      <w:r>
        <w:t>by</w:t>
      </w:r>
      <w:r>
        <w:rPr>
          <w:spacing w:val="-5"/>
        </w:rPr>
        <w:t xml:space="preserve"> </w:t>
      </w:r>
      <w:r>
        <w:t>a single firm may</w:t>
      </w:r>
      <w:r>
        <w:rPr>
          <w:spacing w:val="-5"/>
        </w:rPr>
        <w:t xml:space="preserve"> </w:t>
      </w:r>
      <w:r>
        <w:rPr>
          <w:spacing w:val="-1"/>
        </w:rPr>
        <w:t xml:space="preserve">pertain </w:t>
      </w:r>
      <w:r>
        <w:t>to</w:t>
      </w:r>
      <w:r>
        <w:rPr>
          <w:spacing w:val="-1"/>
        </w:rPr>
        <w:t xml:space="preserve"> </w:t>
      </w:r>
      <w:r>
        <w:t>a</w:t>
      </w:r>
      <w:r>
        <w:rPr>
          <w:spacing w:val="-1"/>
        </w:rPr>
        <w:t xml:space="preserve"> </w:t>
      </w:r>
      <w:r>
        <w:t>single</w:t>
      </w:r>
      <w:r>
        <w:rPr>
          <w:spacing w:val="33"/>
        </w:rPr>
        <w:t xml:space="preserve"> </w:t>
      </w:r>
      <w:r>
        <w:t>or multiple</w:t>
      </w:r>
      <w:r>
        <w:rPr>
          <w:spacing w:val="-2"/>
        </w:rPr>
        <w:t xml:space="preserve"> </w:t>
      </w:r>
      <w:r>
        <w:rPr>
          <w:spacing w:val="-1"/>
        </w:rPr>
        <w:t>chemical</w:t>
      </w:r>
      <w:r>
        <w:t xml:space="preserve"> </w:t>
      </w:r>
      <w:r>
        <w:rPr>
          <w:spacing w:val="-1"/>
        </w:rPr>
        <w:t>substances.</w:t>
      </w:r>
    </w:p>
    <w:p w14:paraId="5F70B135" w14:textId="77777777" w:rsidR="0038132A" w:rsidRDefault="0038132A" w:rsidP="0038132A">
      <w:pPr>
        <w:spacing w:before="5"/>
        <w:rPr>
          <w:rFonts w:ascii="Times New Roman" w:eastAsia="Times New Roman" w:hAnsi="Times New Roman" w:cs="Times New Roman"/>
          <w:sz w:val="24"/>
          <w:szCs w:val="24"/>
        </w:rPr>
      </w:pPr>
    </w:p>
    <w:p w14:paraId="014B31B9" w14:textId="77777777" w:rsidR="0038132A" w:rsidRDefault="0038132A" w:rsidP="0038132A">
      <w:pPr>
        <w:pStyle w:val="Heading1"/>
        <w:tabs>
          <w:tab w:val="left" w:pos="1539"/>
        </w:tabs>
        <w:rPr>
          <w:b w:val="0"/>
          <w:bCs w:val="0"/>
        </w:rPr>
      </w:pPr>
      <w:r>
        <w:t>4(b)</w:t>
      </w:r>
      <w:r>
        <w:tab/>
      </w:r>
      <w:r>
        <w:rPr>
          <w:spacing w:val="-1"/>
        </w:rPr>
        <w:t>Information Requested</w:t>
      </w:r>
    </w:p>
    <w:p w14:paraId="3CBF3629" w14:textId="77777777" w:rsidR="0038132A" w:rsidRDefault="0038132A" w:rsidP="0038132A">
      <w:pPr>
        <w:spacing w:before="7"/>
        <w:rPr>
          <w:rFonts w:ascii="Times New Roman" w:eastAsia="Times New Roman" w:hAnsi="Times New Roman" w:cs="Times New Roman"/>
          <w:b/>
          <w:bCs/>
          <w:sz w:val="23"/>
          <w:szCs w:val="23"/>
        </w:rPr>
      </w:pPr>
    </w:p>
    <w:p w14:paraId="0E8DA654" w14:textId="77777777" w:rsidR="0038132A" w:rsidRDefault="0038132A" w:rsidP="0038132A">
      <w:pPr>
        <w:pStyle w:val="BodyText"/>
        <w:numPr>
          <w:ilvl w:val="1"/>
          <w:numId w:val="47"/>
        </w:numPr>
        <w:tabs>
          <w:tab w:val="left" w:pos="1540"/>
        </w:tabs>
        <w:ind w:left="1540"/>
      </w:pPr>
      <w:r>
        <w:rPr>
          <w:spacing w:val="-1"/>
        </w:rPr>
        <w:t xml:space="preserve">Data Items </w:t>
      </w:r>
      <w:r>
        <w:t>-</w:t>
      </w:r>
      <w:r>
        <w:rPr>
          <w:spacing w:val="-1"/>
        </w:rPr>
        <w:t xml:space="preserve"> </w:t>
      </w:r>
      <w:r>
        <w:t>Reporting Requirements</w:t>
      </w:r>
    </w:p>
    <w:p w14:paraId="6B32A4E0" w14:textId="77777777" w:rsidR="0038132A" w:rsidRDefault="0038132A" w:rsidP="0038132A">
      <w:pPr>
        <w:rPr>
          <w:rFonts w:ascii="Times New Roman" w:eastAsia="Times New Roman" w:hAnsi="Times New Roman" w:cs="Times New Roman"/>
          <w:sz w:val="24"/>
          <w:szCs w:val="24"/>
        </w:rPr>
      </w:pPr>
    </w:p>
    <w:p w14:paraId="10EC26B4" w14:textId="4EB17FB7" w:rsidR="0038132A" w:rsidRDefault="0038132A" w:rsidP="0038132A">
      <w:pPr>
        <w:pStyle w:val="BodyText"/>
        <w:ind w:right="193"/>
      </w:pPr>
      <w:r>
        <w:rPr>
          <w:spacing w:val="-1"/>
          <w:u w:val="single" w:color="000000"/>
        </w:rPr>
        <w:t>Retrospective Notices of Activity</w:t>
      </w:r>
      <w:r>
        <w:t xml:space="preserve"> -</w:t>
      </w:r>
      <w:r>
        <w:rPr>
          <w:spacing w:val="-1"/>
        </w:rPr>
        <w:t xml:space="preserve"> </w:t>
      </w:r>
      <w:r>
        <w:t xml:space="preserve">Under 40 CFR 710, </w:t>
      </w:r>
      <w:r w:rsidR="008348EC">
        <w:t>EPA</w:t>
      </w:r>
      <w:r>
        <w:t xml:space="preserve"> requires</w:t>
      </w:r>
      <w:r>
        <w:rPr>
          <w:spacing w:val="22"/>
        </w:rPr>
        <w:t xml:space="preserve"> </w:t>
      </w:r>
      <w:r>
        <w:t>persons to notify</w:t>
      </w:r>
      <w:r>
        <w:rPr>
          <w:spacing w:val="-5"/>
        </w:rPr>
        <w:t xml:space="preserve"> </w:t>
      </w:r>
      <w:r>
        <w:t>the</w:t>
      </w:r>
      <w:r>
        <w:rPr>
          <w:spacing w:val="1"/>
        </w:rPr>
        <w:t xml:space="preserve"> </w:t>
      </w:r>
      <w:r>
        <w:t>Agency</w:t>
      </w:r>
      <w:r>
        <w:rPr>
          <w:spacing w:val="-3"/>
        </w:rPr>
        <w:t xml:space="preserve"> </w:t>
      </w:r>
      <w:r>
        <w:rPr>
          <w:spacing w:val="2"/>
        </w:rPr>
        <w:t>b</w:t>
      </w:r>
      <w:r>
        <w:t>y</w:t>
      </w:r>
      <w:r>
        <w:rPr>
          <w:spacing w:val="-5"/>
        </w:rPr>
        <w:t xml:space="preserve"> </w:t>
      </w:r>
      <w:r>
        <w:t>submitting a Notice of Activity (NOA) for chemical substances on the TSCA Inventory that were in commerce during the 10-year period ending on June 21, 2016</w:t>
      </w:r>
      <w:r>
        <w:rPr>
          <w:spacing w:val="-1"/>
        </w:rPr>
        <w:t>.</w:t>
      </w:r>
      <w:r>
        <w:t xml:space="preserve"> </w:t>
      </w:r>
      <w:r>
        <w:rPr>
          <w:spacing w:val="-1"/>
        </w:rPr>
        <w:t>Required</w:t>
      </w:r>
      <w:r>
        <w:rPr>
          <w:spacing w:val="52"/>
        </w:rPr>
        <w:t xml:space="preserve"> </w:t>
      </w:r>
      <w:r>
        <w:rPr>
          <w:spacing w:val="-1"/>
        </w:rPr>
        <w:t>reporting information includes the following:</w:t>
      </w:r>
    </w:p>
    <w:p w14:paraId="4E958E7F" w14:textId="77777777" w:rsidR="0038132A" w:rsidRDefault="0038132A" w:rsidP="0038132A">
      <w:pPr>
        <w:pStyle w:val="BodyText"/>
        <w:numPr>
          <w:ilvl w:val="0"/>
          <w:numId w:val="48"/>
        </w:numPr>
        <w:tabs>
          <w:tab w:val="left" w:pos="1180"/>
        </w:tabs>
        <w:spacing w:before="38"/>
        <w:ind w:right="845"/>
      </w:pPr>
      <w:r>
        <w:t>Chemical identity of the substance</w:t>
      </w:r>
      <w:r>
        <w:rPr>
          <w:spacing w:val="-1"/>
        </w:rPr>
        <w:t>;</w:t>
      </w:r>
    </w:p>
    <w:p w14:paraId="5A888670" w14:textId="77777777" w:rsidR="0038132A" w:rsidRDefault="0038132A" w:rsidP="0038132A">
      <w:pPr>
        <w:pStyle w:val="BodyText"/>
        <w:numPr>
          <w:ilvl w:val="0"/>
          <w:numId w:val="48"/>
        </w:numPr>
        <w:tabs>
          <w:tab w:val="left" w:pos="1180"/>
        </w:tabs>
        <w:spacing w:line="274" w:lineRule="exact"/>
        <w:ind w:right="267"/>
      </w:pPr>
      <w:r>
        <w:rPr>
          <w:spacing w:val="-1"/>
        </w:rPr>
        <w:t>Name</w:t>
      </w:r>
      <w:r>
        <w:t xml:space="preserve"> and address of the submitting </w:t>
      </w:r>
      <w:r>
        <w:rPr>
          <w:spacing w:val="-1"/>
        </w:rPr>
        <w:t>company;</w:t>
      </w:r>
    </w:p>
    <w:p w14:paraId="429A4A88" w14:textId="77777777" w:rsidR="0038132A" w:rsidRDefault="0038132A" w:rsidP="0038132A">
      <w:pPr>
        <w:pStyle w:val="BodyText"/>
        <w:numPr>
          <w:ilvl w:val="0"/>
          <w:numId w:val="48"/>
        </w:numPr>
        <w:tabs>
          <w:tab w:val="left" w:pos="1180"/>
        </w:tabs>
        <w:spacing w:line="274" w:lineRule="exact"/>
        <w:ind w:right="267"/>
      </w:pPr>
      <w:r>
        <w:rPr>
          <w:spacing w:val="-1"/>
        </w:rPr>
        <w:t>Name</w:t>
      </w:r>
      <w:r>
        <w:t xml:space="preserve"> and address of the authorized official for the submitting company who will be signing</w:t>
      </w:r>
      <w:r>
        <w:rPr>
          <w:spacing w:val="-1"/>
        </w:rPr>
        <w:t xml:space="preserve"> </w:t>
      </w:r>
      <w:r>
        <w:t>the</w:t>
      </w:r>
      <w:r>
        <w:rPr>
          <w:spacing w:val="-1"/>
        </w:rPr>
        <w:t xml:space="preserve"> </w:t>
      </w:r>
      <w:r>
        <w:t>NOA;</w:t>
      </w:r>
    </w:p>
    <w:p w14:paraId="342A2710" w14:textId="77777777" w:rsidR="0038132A" w:rsidRDefault="0038132A" w:rsidP="0038132A">
      <w:pPr>
        <w:pStyle w:val="BodyText"/>
        <w:numPr>
          <w:ilvl w:val="0"/>
          <w:numId w:val="48"/>
        </w:numPr>
        <w:tabs>
          <w:tab w:val="left" w:pos="1180"/>
        </w:tabs>
        <w:spacing w:line="274" w:lineRule="exact"/>
        <w:ind w:right="267"/>
      </w:pPr>
      <w:r>
        <w:t>Name</w:t>
      </w:r>
      <w:r>
        <w:rPr>
          <w:spacing w:val="-1"/>
        </w:rPr>
        <w:t xml:space="preserve"> </w:t>
      </w:r>
      <w:r>
        <w:t>and</w:t>
      </w:r>
      <w:r>
        <w:rPr>
          <w:spacing w:val="-1"/>
        </w:rPr>
        <w:t xml:space="preserve"> </w:t>
      </w:r>
      <w:r>
        <w:t>telephone</w:t>
      </w:r>
      <w:r>
        <w:rPr>
          <w:spacing w:val="-1"/>
        </w:rPr>
        <w:t xml:space="preserve"> </w:t>
      </w:r>
      <w:r>
        <w:t>number</w:t>
      </w:r>
      <w:r>
        <w:rPr>
          <w:spacing w:val="-1"/>
        </w:rPr>
        <w:t xml:space="preserve"> </w:t>
      </w:r>
      <w:r>
        <w:t>of</w:t>
      </w:r>
      <w:r>
        <w:rPr>
          <w:spacing w:val="-1"/>
        </w:rPr>
        <w:t xml:space="preserve"> </w:t>
      </w:r>
      <w:r>
        <w:t>a</w:t>
      </w:r>
      <w:r>
        <w:rPr>
          <w:spacing w:val="-2"/>
        </w:rPr>
        <w:t xml:space="preserve"> </w:t>
      </w:r>
      <w:r>
        <w:t xml:space="preserve">technical contact person; </w:t>
      </w:r>
    </w:p>
    <w:p w14:paraId="50295A9E" w14:textId="77777777" w:rsidR="0038132A" w:rsidRDefault="0038132A" w:rsidP="0038132A">
      <w:pPr>
        <w:pStyle w:val="BodyText"/>
        <w:numPr>
          <w:ilvl w:val="0"/>
          <w:numId w:val="48"/>
        </w:numPr>
        <w:tabs>
          <w:tab w:val="left" w:pos="1180"/>
        </w:tabs>
      </w:pPr>
      <w:r>
        <w:rPr>
          <w:spacing w:val="-1"/>
        </w:rPr>
        <w:t xml:space="preserve">Clear indication of </w:t>
      </w:r>
      <w:r>
        <w:t xml:space="preserve">what information, if </w:t>
      </w:r>
      <w:r>
        <w:rPr>
          <w:spacing w:val="-2"/>
        </w:rPr>
        <w:t>any,</w:t>
      </w:r>
      <w:r>
        <w:t xml:space="preserve"> is to be considered confidential; and </w:t>
      </w:r>
    </w:p>
    <w:p w14:paraId="5D863604" w14:textId="77777777" w:rsidR="0038132A" w:rsidRDefault="0038132A" w:rsidP="0038132A">
      <w:pPr>
        <w:pStyle w:val="BodyText"/>
        <w:numPr>
          <w:ilvl w:val="0"/>
          <w:numId w:val="48"/>
        </w:numPr>
        <w:tabs>
          <w:tab w:val="left" w:pos="1180"/>
        </w:tabs>
      </w:pPr>
      <w:r>
        <w:t>Substantiation of confidentiality claims.</w:t>
      </w:r>
    </w:p>
    <w:p w14:paraId="00D31066" w14:textId="77777777" w:rsidR="0038132A" w:rsidRDefault="0038132A" w:rsidP="0038132A">
      <w:pPr>
        <w:spacing w:before="8"/>
        <w:rPr>
          <w:rFonts w:ascii="Times New Roman" w:eastAsia="Times New Roman" w:hAnsi="Times New Roman" w:cs="Times New Roman"/>
          <w:sz w:val="23"/>
          <w:szCs w:val="23"/>
        </w:rPr>
      </w:pPr>
    </w:p>
    <w:p w14:paraId="3C28BD78" w14:textId="45BA00D1" w:rsidR="0038132A" w:rsidRDefault="0038132A" w:rsidP="0038132A">
      <w:pPr>
        <w:pStyle w:val="BodyText"/>
        <w:ind w:right="107"/>
      </w:pPr>
      <w:r>
        <w:rPr>
          <w:spacing w:val="-1"/>
        </w:rPr>
        <w:t>These NOAs</w:t>
      </w:r>
      <w:r>
        <w:t xml:space="preserve"> must be submitted to</w:t>
      </w:r>
      <w:r>
        <w:rPr>
          <w:spacing w:val="21"/>
        </w:rPr>
        <w:t xml:space="preserve"> </w:t>
      </w:r>
      <w:r w:rsidR="008348EC">
        <w:rPr>
          <w:spacing w:val="21"/>
        </w:rPr>
        <w:t>EPA</w:t>
      </w:r>
      <w:r>
        <w:rPr>
          <w:spacing w:val="-1"/>
        </w:rPr>
        <w:t xml:space="preserve"> using the NOA</w:t>
      </w:r>
      <w:r>
        <w:t xml:space="preserve"> Form A </w:t>
      </w:r>
      <w:r>
        <w:rPr>
          <w:spacing w:val="-1"/>
        </w:rPr>
        <w:t>(EPA Form [</w:t>
      </w:r>
      <w:r w:rsidR="007238D9">
        <w:rPr>
          <w:color w:val="FF0000"/>
          <w:spacing w:val="-1"/>
        </w:rPr>
        <w:t>tba</w:t>
      </w:r>
      <w:r>
        <w:rPr>
          <w:spacing w:val="-1"/>
        </w:rPr>
        <w:t>]).</w:t>
      </w:r>
      <w:r>
        <w:t xml:space="preserve"> </w:t>
      </w:r>
      <w:r>
        <w:rPr>
          <w:spacing w:val="-1"/>
        </w:rPr>
        <w:t>S</w:t>
      </w:r>
      <w:r>
        <w:t xml:space="preserve">ubmitters are required to submit electronically using the </w:t>
      </w:r>
      <w:r>
        <w:rPr>
          <w:spacing w:val="-1"/>
        </w:rPr>
        <w:t>e-NOA</w:t>
      </w:r>
      <w:r>
        <w:t xml:space="preserve"> software to generate a finalized submission using Form</w:t>
      </w:r>
      <w:r>
        <w:rPr>
          <w:spacing w:val="22"/>
        </w:rPr>
        <w:t xml:space="preserve"> </w:t>
      </w:r>
      <w:r>
        <w:rPr>
          <w:spacing w:val="-1"/>
        </w:rPr>
        <w:t>[</w:t>
      </w:r>
      <w:r w:rsidR="007238D9">
        <w:rPr>
          <w:color w:val="FF0000"/>
          <w:spacing w:val="-1"/>
        </w:rPr>
        <w:t>tba</w:t>
      </w:r>
      <w:r>
        <w:rPr>
          <w:spacing w:val="-1"/>
        </w:rPr>
        <w:t>].</w:t>
      </w:r>
      <w:r>
        <w:t xml:space="preserve"> Manufacturers (includes importers) must provide the NOA to the Agency no</w:t>
      </w:r>
      <w:r w:rsidR="00B63994">
        <w:t>t</w:t>
      </w:r>
      <w:r>
        <w:t xml:space="preserve"> later than 180 calendar </w:t>
      </w:r>
      <w:r>
        <w:rPr>
          <w:spacing w:val="-2"/>
        </w:rPr>
        <w:t xml:space="preserve">days </w:t>
      </w:r>
      <w:r>
        <w:t xml:space="preserve">after </w:t>
      </w:r>
      <w:r w:rsidR="0083045B">
        <w:t xml:space="preserve">the publication of the </w:t>
      </w:r>
      <w:r w:rsidR="0083045B" w:rsidRPr="0083045B">
        <w:rPr>
          <w:bCs/>
          <w:color w:val="000000" w:themeColor="text1"/>
        </w:rPr>
        <w:t>TSCA Inventory Notification (Active-Inactive) Requirements</w:t>
      </w:r>
      <w:r w:rsidR="0083045B">
        <w:t xml:space="preserve"> Final Rule.</w:t>
      </w:r>
      <w:r>
        <w:t xml:space="preserve"> </w:t>
      </w:r>
      <w:r w:rsidR="0083045B">
        <w:t>Within a few months after the 180-day submission period for manufacturers closes, EPA will publish a draft Inventory with substances reported by manufacturers designated as active</w:t>
      </w:r>
      <w:r w:rsidR="0083045B">
        <w:rPr>
          <w:spacing w:val="-1"/>
        </w:rPr>
        <w:t xml:space="preserve">. </w:t>
      </w:r>
      <w:r>
        <w:t>Processors can provide the NOA to the Agency no</w:t>
      </w:r>
      <w:r w:rsidR="00B63994">
        <w:t>t</w:t>
      </w:r>
      <w:r>
        <w:t xml:space="preserve"> later than </w:t>
      </w:r>
      <w:r w:rsidR="00B63994">
        <w:t>42</w:t>
      </w:r>
      <w:r w:rsidR="0083045B">
        <w:t>0</w:t>
      </w:r>
      <w:r>
        <w:t xml:space="preserve"> calendar </w:t>
      </w:r>
      <w:r>
        <w:rPr>
          <w:spacing w:val="-2"/>
        </w:rPr>
        <w:t xml:space="preserve">days </w:t>
      </w:r>
      <w:r>
        <w:t xml:space="preserve">after </w:t>
      </w:r>
      <w:r w:rsidR="00B63994">
        <w:t xml:space="preserve">the publication of the </w:t>
      </w:r>
      <w:r w:rsidR="00B63994" w:rsidRPr="0083045B">
        <w:rPr>
          <w:bCs/>
          <w:color w:val="000000" w:themeColor="text1"/>
        </w:rPr>
        <w:t>TSCA Inventory Notification (Active-Inactive) Requirements</w:t>
      </w:r>
      <w:r w:rsidR="00B63994">
        <w:t xml:space="preserve"> Final Rule</w:t>
      </w:r>
      <w:r>
        <w:rPr>
          <w:spacing w:val="-1"/>
        </w:rPr>
        <w:t>. Substantiation of a CBI claim for specific chemical identity must be provided at a time to be determined by a rule that the Administrator is required to promulgate no</w:t>
      </w:r>
      <w:r w:rsidR="00B63994">
        <w:rPr>
          <w:spacing w:val="-1"/>
        </w:rPr>
        <w:t>t</w:t>
      </w:r>
      <w:r>
        <w:rPr>
          <w:spacing w:val="-1"/>
        </w:rPr>
        <w:t xml:space="preserve"> later than one year after the date the Agency compiles the list of active substances (TSCA section 8(b)(4)(B)(iii))</w:t>
      </w:r>
      <w:r>
        <w:t>, but may be provided at the time of submission of the NOA Form A</w:t>
      </w:r>
      <w:r>
        <w:rPr>
          <w:spacing w:val="-1"/>
        </w:rPr>
        <w:t>. Substantiation of CBI claims for all other data elements must be provided at time of notification.</w:t>
      </w:r>
    </w:p>
    <w:p w14:paraId="01F98914" w14:textId="77777777" w:rsidR="0038132A" w:rsidRDefault="0038132A" w:rsidP="0038132A">
      <w:pPr>
        <w:rPr>
          <w:rFonts w:ascii="Times New Roman" w:eastAsia="Times New Roman" w:hAnsi="Times New Roman" w:cs="Times New Roman"/>
          <w:sz w:val="24"/>
          <w:szCs w:val="24"/>
        </w:rPr>
      </w:pPr>
    </w:p>
    <w:p w14:paraId="5D0C7318" w14:textId="2C49CAC6" w:rsidR="0038132A" w:rsidRDefault="0038132A" w:rsidP="0038132A">
      <w:pPr>
        <w:pStyle w:val="BodyText"/>
        <w:ind w:right="193"/>
      </w:pPr>
      <w:r>
        <w:rPr>
          <w:spacing w:val="-1"/>
          <w:u w:val="single" w:color="000000"/>
        </w:rPr>
        <w:t>Forward-looking Notices of Activity</w:t>
      </w:r>
      <w:r>
        <w:rPr>
          <w:spacing w:val="-1"/>
        </w:rPr>
        <w:t xml:space="preserve"> </w:t>
      </w:r>
      <w:r>
        <w:t>-</w:t>
      </w:r>
      <w:r>
        <w:rPr>
          <w:spacing w:val="-1"/>
        </w:rPr>
        <w:t xml:space="preserve"> </w:t>
      </w:r>
      <w:r>
        <w:t xml:space="preserve">Under 40 CFR 710, </w:t>
      </w:r>
      <w:r w:rsidR="008348EC">
        <w:t>EPA</w:t>
      </w:r>
      <w:r>
        <w:t xml:space="preserve"> requires</w:t>
      </w:r>
      <w:r>
        <w:rPr>
          <w:spacing w:val="22"/>
        </w:rPr>
        <w:t xml:space="preserve"> </w:t>
      </w:r>
      <w:r>
        <w:t>persons to notify</w:t>
      </w:r>
      <w:r>
        <w:rPr>
          <w:spacing w:val="-5"/>
        </w:rPr>
        <w:t xml:space="preserve"> </w:t>
      </w:r>
      <w:r>
        <w:t>the</w:t>
      </w:r>
      <w:r>
        <w:rPr>
          <w:spacing w:val="1"/>
        </w:rPr>
        <w:t xml:space="preserve"> </w:t>
      </w:r>
      <w:r>
        <w:t>Agency</w:t>
      </w:r>
      <w:r>
        <w:rPr>
          <w:spacing w:val="-3"/>
        </w:rPr>
        <w:t xml:space="preserve"> </w:t>
      </w:r>
      <w:r>
        <w:rPr>
          <w:spacing w:val="2"/>
        </w:rPr>
        <w:t>b</w:t>
      </w:r>
      <w:r>
        <w:t>y</w:t>
      </w:r>
      <w:r>
        <w:rPr>
          <w:spacing w:val="-5"/>
        </w:rPr>
        <w:t xml:space="preserve"> </w:t>
      </w:r>
      <w:r>
        <w:t>submitting a Notice of Activity (NOA) for chemical substances on the TSCA Inventory that were not reported to the Agency during the initial reporting and that are to be reintroduced into U.S. commerce after June 22, 2016 (i.e., after the period addressed by initial reporting)</w:t>
      </w:r>
      <w:r>
        <w:rPr>
          <w:spacing w:val="-1"/>
        </w:rPr>
        <w:t>.</w:t>
      </w:r>
      <w:r>
        <w:t xml:space="preserve"> </w:t>
      </w:r>
      <w:r>
        <w:rPr>
          <w:spacing w:val="-1"/>
        </w:rPr>
        <w:t>Required</w:t>
      </w:r>
      <w:r>
        <w:rPr>
          <w:spacing w:val="52"/>
        </w:rPr>
        <w:t xml:space="preserve"> </w:t>
      </w:r>
      <w:r>
        <w:rPr>
          <w:spacing w:val="-1"/>
        </w:rPr>
        <w:t>reporting information includes the following:</w:t>
      </w:r>
    </w:p>
    <w:p w14:paraId="41A84DB7" w14:textId="77777777" w:rsidR="0038132A" w:rsidRDefault="0038132A" w:rsidP="0038132A">
      <w:pPr>
        <w:pStyle w:val="BodyText"/>
        <w:numPr>
          <w:ilvl w:val="0"/>
          <w:numId w:val="48"/>
        </w:numPr>
        <w:tabs>
          <w:tab w:val="left" w:pos="1180"/>
        </w:tabs>
        <w:spacing w:before="38"/>
        <w:ind w:right="845"/>
      </w:pPr>
      <w:r>
        <w:t>Chemical identity of the substance</w:t>
      </w:r>
      <w:r>
        <w:rPr>
          <w:spacing w:val="-1"/>
        </w:rPr>
        <w:t>;</w:t>
      </w:r>
    </w:p>
    <w:p w14:paraId="70BA48D5" w14:textId="77777777" w:rsidR="0038132A" w:rsidRDefault="0038132A" w:rsidP="0038132A">
      <w:pPr>
        <w:pStyle w:val="BodyText"/>
        <w:numPr>
          <w:ilvl w:val="0"/>
          <w:numId w:val="48"/>
        </w:numPr>
        <w:tabs>
          <w:tab w:val="left" w:pos="1180"/>
        </w:tabs>
      </w:pPr>
      <w:r>
        <w:rPr>
          <w:spacing w:val="-1"/>
        </w:rPr>
        <w:t xml:space="preserve">Anticipated date </w:t>
      </w:r>
      <w:r>
        <w:t>that</w:t>
      </w:r>
      <w:r>
        <w:rPr>
          <w:spacing w:val="-1"/>
        </w:rPr>
        <w:t xml:space="preserve"> the chemical substance is to be reintroduced into</w:t>
      </w:r>
      <w:r>
        <w:t xml:space="preserve"> U.S. commerce;</w:t>
      </w:r>
    </w:p>
    <w:p w14:paraId="35890E0A" w14:textId="77777777" w:rsidR="0038132A" w:rsidRDefault="0038132A" w:rsidP="0038132A">
      <w:pPr>
        <w:pStyle w:val="BodyText"/>
        <w:numPr>
          <w:ilvl w:val="0"/>
          <w:numId w:val="48"/>
        </w:numPr>
        <w:tabs>
          <w:tab w:val="left" w:pos="1180"/>
        </w:tabs>
        <w:spacing w:line="274" w:lineRule="exact"/>
        <w:ind w:right="267"/>
      </w:pPr>
      <w:r>
        <w:rPr>
          <w:spacing w:val="-1"/>
        </w:rPr>
        <w:t>Name</w:t>
      </w:r>
      <w:r>
        <w:t xml:space="preserve"> and address of the submitting </w:t>
      </w:r>
      <w:r>
        <w:rPr>
          <w:spacing w:val="-1"/>
        </w:rPr>
        <w:t>company;</w:t>
      </w:r>
    </w:p>
    <w:p w14:paraId="65EC5672" w14:textId="77777777" w:rsidR="0038132A" w:rsidRDefault="0038132A" w:rsidP="0038132A">
      <w:pPr>
        <w:pStyle w:val="BodyText"/>
        <w:numPr>
          <w:ilvl w:val="0"/>
          <w:numId w:val="48"/>
        </w:numPr>
        <w:tabs>
          <w:tab w:val="left" w:pos="1180"/>
        </w:tabs>
        <w:spacing w:line="274" w:lineRule="exact"/>
        <w:ind w:right="267"/>
      </w:pPr>
      <w:r>
        <w:rPr>
          <w:spacing w:val="-1"/>
        </w:rPr>
        <w:t>Name</w:t>
      </w:r>
      <w:r>
        <w:t xml:space="preserve"> and address of the authorized official for the submitting company who will be signing</w:t>
      </w:r>
      <w:r>
        <w:rPr>
          <w:spacing w:val="-1"/>
        </w:rPr>
        <w:t xml:space="preserve"> </w:t>
      </w:r>
      <w:r>
        <w:t>the</w:t>
      </w:r>
      <w:r>
        <w:rPr>
          <w:spacing w:val="-1"/>
        </w:rPr>
        <w:t xml:space="preserve"> </w:t>
      </w:r>
      <w:r>
        <w:t>NOA;</w:t>
      </w:r>
    </w:p>
    <w:p w14:paraId="36BD31D3" w14:textId="77777777" w:rsidR="0038132A" w:rsidRDefault="0038132A" w:rsidP="0038132A">
      <w:pPr>
        <w:pStyle w:val="BodyText"/>
        <w:numPr>
          <w:ilvl w:val="0"/>
          <w:numId w:val="48"/>
        </w:numPr>
        <w:tabs>
          <w:tab w:val="left" w:pos="1180"/>
        </w:tabs>
        <w:spacing w:line="274" w:lineRule="exact"/>
        <w:ind w:right="267"/>
      </w:pPr>
      <w:r>
        <w:t>Name</w:t>
      </w:r>
      <w:r>
        <w:rPr>
          <w:spacing w:val="-1"/>
        </w:rPr>
        <w:t xml:space="preserve"> </w:t>
      </w:r>
      <w:r>
        <w:t>and</w:t>
      </w:r>
      <w:r>
        <w:rPr>
          <w:spacing w:val="-1"/>
        </w:rPr>
        <w:t xml:space="preserve"> </w:t>
      </w:r>
      <w:r>
        <w:t>telephone</w:t>
      </w:r>
      <w:r>
        <w:rPr>
          <w:spacing w:val="-1"/>
        </w:rPr>
        <w:t xml:space="preserve"> </w:t>
      </w:r>
      <w:r>
        <w:t>number</w:t>
      </w:r>
      <w:r>
        <w:rPr>
          <w:spacing w:val="-1"/>
        </w:rPr>
        <w:t xml:space="preserve"> </w:t>
      </w:r>
      <w:r>
        <w:t>of</w:t>
      </w:r>
      <w:r>
        <w:rPr>
          <w:spacing w:val="-1"/>
        </w:rPr>
        <w:t xml:space="preserve"> </w:t>
      </w:r>
      <w:r>
        <w:t>a</w:t>
      </w:r>
      <w:r>
        <w:rPr>
          <w:spacing w:val="-2"/>
        </w:rPr>
        <w:t xml:space="preserve"> </w:t>
      </w:r>
      <w:r>
        <w:t xml:space="preserve">technical contact person; </w:t>
      </w:r>
    </w:p>
    <w:p w14:paraId="132D4066" w14:textId="77777777" w:rsidR="0038132A" w:rsidRDefault="0038132A" w:rsidP="0038132A">
      <w:pPr>
        <w:pStyle w:val="BodyText"/>
        <w:numPr>
          <w:ilvl w:val="0"/>
          <w:numId w:val="48"/>
        </w:numPr>
        <w:tabs>
          <w:tab w:val="left" w:pos="1180"/>
        </w:tabs>
      </w:pPr>
      <w:r>
        <w:rPr>
          <w:spacing w:val="-1"/>
        </w:rPr>
        <w:t xml:space="preserve">Clear indication of </w:t>
      </w:r>
      <w:r>
        <w:t xml:space="preserve">what information, if </w:t>
      </w:r>
      <w:r>
        <w:rPr>
          <w:spacing w:val="-2"/>
        </w:rPr>
        <w:t>any,</w:t>
      </w:r>
      <w:r>
        <w:t xml:space="preserve"> is to be considered confidential; and </w:t>
      </w:r>
    </w:p>
    <w:p w14:paraId="4A0C4D3D" w14:textId="77777777" w:rsidR="0038132A" w:rsidRDefault="0038132A" w:rsidP="0038132A">
      <w:pPr>
        <w:pStyle w:val="BodyText"/>
        <w:numPr>
          <w:ilvl w:val="0"/>
          <w:numId w:val="48"/>
        </w:numPr>
        <w:tabs>
          <w:tab w:val="left" w:pos="1180"/>
        </w:tabs>
      </w:pPr>
      <w:r>
        <w:t>Substantiation of confidentiality claims.</w:t>
      </w:r>
    </w:p>
    <w:p w14:paraId="54FC023D" w14:textId="77777777" w:rsidR="0038132A" w:rsidRDefault="0038132A" w:rsidP="0038132A">
      <w:pPr>
        <w:spacing w:before="8"/>
        <w:rPr>
          <w:rFonts w:ascii="Times New Roman" w:eastAsia="Times New Roman" w:hAnsi="Times New Roman" w:cs="Times New Roman"/>
          <w:sz w:val="23"/>
          <w:szCs w:val="23"/>
        </w:rPr>
      </w:pPr>
    </w:p>
    <w:p w14:paraId="62EEB945" w14:textId="2DC0294B" w:rsidR="0038132A" w:rsidRDefault="0038132A" w:rsidP="0038132A">
      <w:pPr>
        <w:pStyle w:val="BodyText"/>
        <w:ind w:right="107"/>
      </w:pPr>
      <w:r>
        <w:rPr>
          <w:spacing w:val="-1"/>
        </w:rPr>
        <w:t>These NOAs</w:t>
      </w:r>
      <w:r>
        <w:t xml:space="preserve"> must be submitted to</w:t>
      </w:r>
      <w:r>
        <w:rPr>
          <w:spacing w:val="21"/>
        </w:rPr>
        <w:t xml:space="preserve"> </w:t>
      </w:r>
      <w:r>
        <w:rPr>
          <w:spacing w:val="-1"/>
        </w:rPr>
        <w:t>EPA using the NOA</w:t>
      </w:r>
      <w:r>
        <w:t xml:space="preserve"> Form B </w:t>
      </w:r>
      <w:r>
        <w:rPr>
          <w:spacing w:val="-1"/>
        </w:rPr>
        <w:t>(EPA Form [</w:t>
      </w:r>
      <w:r w:rsidR="007238D9">
        <w:rPr>
          <w:color w:val="FF0000"/>
          <w:spacing w:val="-1"/>
        </w:rPr>
        <w:t>tba</w:t>
      </w:r>
      <w:r>
        <w:rPr>
          <w:spacing w:val="-1"/>
        </w:rPr>
        <w:t>]).</w:t>
      </w:r>
      <w:r>
        <w:t xml:space="preserve"> </w:t>
      </w:r>
      <w:r>
        <w:rPr>
          <w:spacing w:val="-1"/>
        </w:rPr>
        <w:t>S</w:t>
      </w:r>
      <w:r>
        <w:t xml:space="preserve">ubmitters are required to submit electronically using the </w:t>
      </w:r>
      <w:r>
        <w:rPr>
          <w:spacing w:val="-1"/>
        </w:rPr>
        <w:t>e-NOA</w:t>
      </w:r>
      <w:r>
        <w:t xml:space="preserve"> software to generate a finalized submission using Form</w:t>
      </w:r>
      <w:r>
        <w:rPr>
          <w:spacing w:val="22"/>
        </w:rPr>
        <w:t xml:space="preserve"> </w:t>
      </w:r>
      <w:r>
        <w:rPr>
          <w:spacing w:val="-1"/>
        </w:rPr>
        <w:t>[</w:t>
      </w:r>
      <w:r w:rsidR="007238D9">
        <w:rPr>
          <w:color w:val="FF0000"/>
          <w:spacing w:val="-1"/>
        </w:rPr>
        <w:t>tba</w:t>
      </w:r>
      <w:r>
        <w:rPr>
          <w:spacing w:val="-1"/>
        </w:rPr>
        <w:t>].</w:t>
      </w:r>
      <w:r>
        <w:t xml:space="preserve"> Manufacturers (includes importers) and processors must provide the NOA to EPA prior to </w:t>
      </w:r>
      <w:r w:rsidR="00E77330">
        <w:t xml:space="preserve">anticipated </w:t>
      </w:r>
      <w:r>
        <w:t>reintroduc</w:t>
      </w:r>
      <w:r w:rsidR="00E77330">
        <w:t xml:space="preserve">tion of </w:t>
      </w:r>
      <w:r>
        <w:t xml:space="preserve">a chemical substance into U.S. commerce but not more than </w:t>
      </w:r>
      <w:r w:rsidR="00E77330">
        <w:t xml:space="preserve">90 </w:t>
      </w:r>
      <w:r>
        <w:t>days prior. Substantiation of a CBI claim for specific chemical identity must be provided by not later than 30 days after the notice is submitted (TSCA section 8(b)(5)(B)(ii)(II)), but may be provided at the time of submission of the NOA Form B. Substantiation of CBI claims for all other data elements must be provided at time of notification.</w:t>
      </w:r>
    </w:p>
    <w:p w14:paraId="7B468778" w14:textId="77777777" w:rsidR="0038132A" w:rsidRDefault="0038132A" w:rsidP="0038132A">
      <w:pPr>
        <w:rPr>
          <w:rFonts w:ascii="Times New Roman" w:eastAsia="Times New Roman" w:hAnsi="Times New Roman" w:cs="Times New Roman"/>
          <w:sz w:val="24"/>
          <w:szCs w:val="24"/>
        </w:rPr>
      </w:pPr>
    </w:p>
    <w:p w14:paraId="5BC80D04" w14:textId="77777777" w:rsidR="0038132A" w:rsidRDefault="0038132A" w:rsidP="0038132A">
      <w:pPr>
        <w:pStyle w:val="BodyText"/>
        <w:numPr>
          <w:ilvl w:val="1"/>
          <w:numId w:val="47"/>
        </w:numPr>
        <w:tabs>
          <w:tab w:val="left" w:pos="1540"/>
        </w:tabs>
        <w:ind w:left="1540"/>
      </w:pPr>
      <w:r>
        <w:rPr>
          <w:spacing w:val="-1"/>
        </w:rPr>
        <w:t xml:space="preserve">Data Items </w:t>
      </w:r>
      <w:r>
        <w:t>-</w:t>
      </w:r>
      <w:r>
        <w:rPr>
          <w:spacing w:val="-1"/>
        </w:rPr>
        <w:t xml:space="preserve"> </w:t>
      </w:r>
      <w:r>
        <w:t>Recordkeeping Requirements</w:t>
      </w:r>
    </w:p>
    <w:p w14:paraId="24A8270D" w14:textId="77777777" w:rsidR="0038132A" w:rsidRDefault="0038132A" w:rsidP="0038132A">
      <w:pPr>
        <w:rPr>
          <w:rFonts w:ascii="Times New Roman" w:eastAsia="Times New Roman" w:hAnsi="Times New Roman" w:cs="Times New Roman"/>
          <w:sz w:val="24"/>
          <w:szCs w:val="24"/>
        </w:rPr>
      </w:pPr>
    </w:p>
    <w:p w14:paraId="61EED3F8" w14:textId="77777777" w:rsidR="0038132A" w:rsidRDefault="0038132A" w:rsidP="0038132A">
      <w:pPr>
        <w:pStyle w:val="BodyText"/>
        <w:ind w:right="108"/>
      </w:pPr>
      <w:r>
        <w:t xml:space="preserve">Under 40 CFR 710, </w:t>
      </w:r>
      <w:r>
        <w:rPr>
          <w:spacing w:val="-1"/>
        </w:rPr>
        <w:t xml:space="preserve">submitters must keep </w:t>
      </w:r>
      <w:r>
        <w:t>documentation of</w:t>
      </w:r>
      <w:r>
        <w:rPr>
          <w:spacing w:val="41"/>
        </w:rPr>
        <w:t xml:space="preserve"> </w:t>
      </w:r>
      <w:r>
        <w:t>information</w:t>
      </w:r>
      <w:r>
        <w:rPr>
          <w:spacing w:val="-1"/>
        </w:rPr>
        <w:t xml:space="preserve"> in a </w:t>
      </w:r>
      <w:r>
        <w:t>TSCA section 8(b)</w:t>
      </w:r>
      <w:r>
        <w:rPr>
          <w:spacing w:val="-1"/>
        </w:rPr>
        <w:t xml:space="preserve"> notice for five</w:t>
      </w:r>
      <w:r>
        <w:rPr>
          <w:spacing w:val="4"/>
        </w:rPr>
        <w:t xml:space="preserve"> </w:t>
      </w:r>
      <w:r>
        <w:rPr>
          <w:spacing w:val="-2"/>
        </w:rPr>
        <w:t>years</w:t>
      </w:r>
      <w:r>
        <w:rPr>
          <w:spacing w:val="-1"/>
        </w:rPr>
        <w:t xml:space="preserve"> from the date of submitting</w:t>
      </w:r>
      <w:r>
        <w:t xml:space="preserve"> the</w:t>
      </w:r>
      <w:r>
        <w:rPr>
          <w:spacing w:val="-1"/>
        </w:rPr>
        <w:t xml:space="preserve"> </w:t>
      </w:r>
      <w:r>
        <w:t>notice.</w:t>
      </w:r>
    </w:p>
    <w:p w14:paraId="2246BE6B" w14:textId="77777777" w:rsidR="0038132A" w:rsidRDefault="0038132A" w:rsidP="0038132A">
      <w:pPr>
        <w:rPr>
          <w:rFonts w:ascii="Times New Roman" w:eastAsia="Times New Roman" w:hAnsi="Times New Roman" w:cs="Times New Roman"/>
          <w:sz w:val="24"/>
          <w:szCs w:val="24"/>
        </w:rPr>
      </w:pPr>
    </w:p>
    <w:p w14:paraId="0F03C2E0" w14:textId="77777777" w:rsidR="0038132A" w:rsidRDefault="0038132A" w:rsidP="0038132A">
      <w:pPr>
        <w:pStyle w:val="BodyText"/>
        <w:numPr>
          <w:ilvl w:val="1"/>
          <w:numId w:val="47"/>
        </w:numPr>
        <w:tabs>
          <w:tab w:val="left" w:pos="1540"/>
        </w:tabs>
        <w:ind w:left="1540"/>
      </w:pPr>
      <w:r>
        <w:t>Respondent Activities</w:t>
      </w:r>
    </w:p>
    <w:p w14:paraId="1E57C11A" w14:textId="77777777" w:rsidR="0038132A" w:rsidRDefault="0038132A" w:rsidP="0038132A">
      <w:pPr>
        <w:rPr>
          <w:rFonts w:ascii="Times New Roman" w:eastAsia="Times New Roman" w:hAnsi="Times New Roman" w:cs="Times New Roman"/>
          <w:sz w:val="24"/>
          <w:szCs w:val="24"/>
        </w:rPr>
      </w:pPr>
    </w:p>
    <w:p w14:paraId="2797BEFD" w14:textId="77777777" w:rsidR="0038132A" w:rsidRDefault="0038132A" w:rsidP="0038132A">
      <w:pPr>
        <w:pStyle w:val="BodyText"/>
        <w:ind w:right="117"/>
      </w:pPr>
      <w:r>
        <w:rPr>
          <w:spacing w:val="-1"/>
        </w:rPr>
        <w:t>In responding to the reporting and recordkeeping</w:t>
      </w:r>
      <w:r>
        <w:rPr>
          <w:spacing w:val="1"/>
        </w:rPr>
        <w:t xml:space="preserve"> </w:t>
      </w:r>
      <w:r>
        <w:t>requirements outlined in this document,</w:t>
      </w:r>
      <w:r>
        <w:rPr>
          <w:spacing w:val="28"/>
        </w:rPr>
        <w:t xml:space="preserve"> </w:t>
      </w:r>
      <w:r>
        <w:t>respondents will engage in the following activities:</w:t>
      </w:r>
    </w:p>
    <w:p w14:paraId="0386C0C3" w14:textId="77777777" w:rsidR="0038132A" w:rsidRDefault="0038132A" w:rsidP="0038132A">
      <w:pPr>
        <w:pStyle w:val="BodyText"/>
        <w:numPr>
          <w:ilvl w:val="1"/>
          <w:numId w:val="49"/>
        </w:numPr>
        <w:tabs>
          <w:tab w:val="left" w:pos="1180"/>
        </w:tabs>
      </w:pPr>
      <w:r>
        <w:t>Read regulatory</w:t>
      </w:r>
      <w:r>
        <w:rPr>
          <w:spacing w:val="-5"/>
        </w:rPr>
        <w:t xml:space="preserve"> </w:t>
      </w:r>
      <w:r>
        <w:t>requirements and provisions;</w:t>
      </w:r>
    </w:p>
    <w:p w14:paraId="639DABF0" w14:textId="77777777" w:rsidR="0038132A" w:rsidRDefault="0038132A" w:rsidP="0038132A">
      <w:pPr>
        <w:pStyle w:val="BodyText"/>
        <w:numPr>
          <w:ilvl w:val="1"/>
          <w:numId w:val="49"/>
        </w:numPr>
        <w:tabs>
          <w:tab w:val="left" w:pos="1180"/>
        </w:tabs>
        <w:spacing w:before="1" w:line="293" w:lineRule="exact"/>
      </w:pPr>
      <w:r>
        <w:t>Determine which provisions are applicable to their activities;</w:t>
      </w:r>
    </w:p>
    <w:p w14:paraId="32DA11BF" w14:textId="77777777" w:rsidR="0038132A" w:rsidRDefault="0038132A" w:rsidP="0038132A">
      <w:pPr>
        <w:pStyle w:val="BodyText"/>
        <w:numPr>
          <w:ilvl w:val="1"/>
          <w:numId w:val="49"/>
        </w:numPr>
        <w:tabs>
          <w:tab w:val="left" w:pos="1180"/>
        </w:tabs>
        <w:spacing w:line="293" w:lineRule="exact"/>
      </w:pPr>
      <w:r>
        <w:rPr>
          <w:spacing w:val="-1"/>
        </w:rPr>
        <w:t>Gather</w:t>
      </w:r>
      <w:r>
        <w:t xml:space="preserve"> information necessary</w:t>
      </w:r>
      <w:r>
        <w:rPr>
          <w:spacing w:val="-5"/>
        </w:rPr>
        <w:t xml:space="preserve"> </w:t>
      </w:r>
      <w:r>
        <w:t>to meet the requirements;</w:t>
      </w:r>
    </w:p>
    <w:p w14:paraId="72E79404" w14:textId="77777777" w:rsidR="0038132A" w:rsidRDefault="0038132A" w:rsidP="0038132A">
      <w:pPr>
        <w:pStyle w:val="BodyText"/>
        <w:numPr>
          <w:ilvl w:val="1"/>
          <w:numId w:val="49"/>
        </w:numPr>
        <w:tabs>
          <w:tab w:val="left" w:pos="1180"/>
        </w:tabs>
        <w:spacing w:line="293" w:lineRule="exact"/>
      </w:pPr>
      <w:r>
        <w:t>Substantiate any</w:t>
      </w:r>
      <w:r>
        <w:rPr>
          <w:spacing w:val="-5"/>
        </w:rPr>
        <w:t xml:space="preserve"> </w:t>
      </w:r>
      <w:r>
        <w:t>claims of confidential business information;</w:t>
      </w:r>
    </w:p>
    <w:p w14:paraId="3926502B" w14:textId="77777777" w:rsidR="0038132A" w:rsidRDefault="0038132A" w:rsidP="0038132A">
      <w:pPr>
        <w:pStyle w:val="BodyText"/>
        <w:numPr>
          <w:ilvl w:val="1"/>
          <w:numId w:val="49"/>
        </w:numPr>
        <w:tabs>
          <w:tab w:val="left" w:pos="1180"/>
        </w:tabs>
        <w:spacing w:line="293" w:lineRule="exact"/>
      </w:pPr>
      <w:r>
        <w:t xml:space="preserve">Register with </w:t>
      </w:r>
      <w:r>
        <w:rPr>
          <w:spacing w:val="-1"/>
        </w:rPr>
        <w:t>CDX;</w:t>
      </w:r>
    </w:p>
    <w:p w14:paraId="0DDE5F0F" w14:textId="77777777" w:rsidR="0038132A" w:rsidRDefault="0038132A" w:rsidP="0038132A">
      <w:pPr>
        <w:pStyle w:val="BodyText"/>
        <w:numPr>
          <w:ilvl w:val="1"/>
          <w:numId w:val="49"/>
        </w:numPr>
        <w:tabs>
          <w:tab w:val="left" w:pos="1180"/>
        </w:tabs>
        <w:spacing w:line="293" w:lineRule="exact"/>
      </w:pPr>
      <w:r>
        <w:rPr>
          <w:spacing w:val="-1"/>
        </w:rPr>
        <w:t>Use the e-NOA software;</w:t>
      </w:r>
    </w:p>
    <w:p w14:paraId="26F18955" w14:textId="77777777" w:rsidR="0038132A" w:rsidRDefault="0038132A" w:rsidP="0038132A">
      <w:pPr>
        <w:pStyle w:val="BodyText"/>
        <w:numPr>
          <w:ilvl w:val="1"/>
          <w:numId w:val="49"/>
        </w:numPr>
        <w:tabs>
          <w:tab w:val="left" w:pos="1180"/>
        </w:tabs>
        <w:spacing w:line="293" w:lineRule="exact"/>
      </w:pPr>
      <w:r>
        <w:t xml:space="preserve">Submit information to EPA, as </w:t>
      </w:r>
      <w:r>
        <w:rPr>
          <w:spacing w:val="-1"/>
        </w:rPr>
        <w:t>necessary;</w:t>
      </w:r>
    </w:p>
    <w:p w14:paraId="1B2E5547" w14:textId="77777777" w:rsidR="0038132A" w:rsidRDefault="0038132A" w:rsidP="0038132A">
      <w:pPr>
        <w:pStyle w:val="BodyText"/>
        <w:numPr>
          <w:ilvl w:val="1"/>
          <w:numId w:val="49"/>
        </w:numPr>
        <w:tabs>
          <w:tab w:val="left" w:pos="1180"/>
        </w:tabs>
        <w:spacing w:before="23" w:line="274" w:lineRule="exact"/>
        <w:ind w:right="393"/>
      </w:pPr>
      <w:r>
        <w:t>Comply</w:t>
      </w:r>
      <w:r>
        <w:rPr>
          <w:spacing w:val="-7"/>
        </w:rPr>
        <w:t xml:space="preserve"> </w:t>
      </w:r>
      <w:r>
        <w:t>with</w:t>
      </w:r>
      <w:r>
        <w:rPr>
          <w:spacing w:val="1"/>
        </w:rPr>
        <w:t xml:space="preserve"> </w:t>
      </w:r>
      <w:r>
        <w:t>any</w:t>
      </w:r>
      <w:r>
        <w:rPr>
          <w:spacing w:val="-5"/>
        </w:rPr>
        <w:t xml:space="preserve"> </w:t>
      </w:r>
      <w:r>
        <w:t>restrictions EPA may</w:t>
      </w:r>
      <w:r>
        <w:rPr>
          <w:spacing w:val="-5"/>
        </w:rPr>
        <w:t xml:space="preserve"> </w:t>
      </w:r>
      <w:r>
        <w:t xml:space="preserve">impose upon </w:t>
      </w:r>
      <w:r>
        <w:rPr>
          <w:spacing w:val="-1"/>
        </w:rPr>
        <w:t>completion of review of their</w:t>
      </w:r>
      <w:r>
        <w:rPr>
          <w:spacing w:val="24"/>
        </w:rPr>
        <w:t xml:space="preserve"> </w:t>
      </w:r>
      <w:r>
        <w:t>submission;</w:t>
      </w:r>
      <w:r>
        <w:rPr>
          <w:spacing w:val="-1"/>
        </w:rPr>
        <w:t xml:space="preserve"> and</w:t>
      </w:r>
    </w:p>
    <w:p w14:paraId="5B8A3EA3" w14:textId="77777777" w:rsidR="0038132A" w:rsidRDefault="0038132A" w:rsidP="0038132A">
      <w:pPr>
        <w:pStyle w:val="BodyText"/>
        <w:numPr>
          <w:ilvl w:val="1"/>
          <w:numId w:val="49"/>
        </w:numPr>
        <w:tabs>
          <w:tab w:val="left" w:pos="1180"/>
        </w:tabs>
        <w:spacing w:line="293" w:lineRule="exact"/>
      </w:pPr>
      <w:r>
        <w:t>Maintain any</w:t>
      </w:r>
      <w:r>
        <w:rPr>
          <w:spacing w:val="-5"/>
        </w:rPr>
        <w:t xml:space="preserve"> </w:t>
      </w:r>
      <w:r>
        <w:t>necessary</w:t>
      </w:r>
      <w:r>
        <w:rPr>
          <w:spacing w:val="-5"/>
        </w:rPr>
        <w:t xml:space="preserve"> </w:t>
      </w:r>
      <w:r>
        <w:rPr>
          <w:spacing w:val="-1"/>
        </w:rPr>
        <w:t>records.</w:t>
      </w:r>
    </w:p>
    <w:p w14:paraId="6191D5BE" w14:textId="77777777" w:rsidR="0038132A" w:rsidRDefault="0038132A" w:rsidP="0038132A">
      <w:pPr>
        <w:spacing w:before="2"/>
        <w:rPr>
          <w:rFonts w:ascii="Times New Roman" w:eastAsia="Times New Roman" w:hAnsi="Times New Roman" w:cs="Times New Roman"/>
          <w:sz w:val="24"/>
          <w:szCs w:val="24"/>
        </w:rPr>
      </w:pPr>
    </w:p>
    <w:p w14:paraId="32C1D4C2" w14:textId="77777777" w:rsidR="0038132A" w:rsidRDefault="0038132A" w:rsidP="00B06388">
      <w:pPr>
        <w:pStyle w:val="Heading1"/>
        <w:numPr>
          <w:ilvl w:val="0"/>
          <w:numId w:val="56"/>
        </w:numPr>
        <w:tabs>
          <w:tab w:val="left" w:pos="810"/>
        </w:tabs>
        <w:ind w:left="810" w:right="351" w:hanging="810"/>
        <w:rPr>
          <w:b w:val="0"/>
          <w:bCs w:val="0"/>
        </w:rPr>
      </w:pPr>
      <w:r>
        <w:t xml:space="preserve">THE INFORMATION </w:t>
      </w:r>
      <w:r>
        <w:rPr>
          <w:spacing w:val="-1"/>
        </w:rPr>
        <w:t>COLLECTED--AGENCY</w:t>
      </w:r>
      <w:r>
        <w:t xml:space="preserve"> ACTIVITIES, COLLECTION</w:t>
      </w:r>
      <w:r>
        <w:rPr>
          <w:spacing w:val="29"/>
        </w:rPr>
        <w:t xml:space="preserve"> </w:t>
      </w:r>
      <w:r>
        <w:rPr>
          <w:spacing w:val="-1"/>
        </w:rPr>
        <w:t>METHODOLOGY AND INFORMATION MANAGEMENT</w:t>
      </w:r>
    </w:p>
    <w:p w14:paraId="510BDE2F" w14:textId="77777777" w:rsidR="0038132A" w:rsidRDefault="0038132A" w:rsidP="0038132A">
      <w:pPr>
        <w:rPr>
          <w:rFonts w:ascii="Times New Roman" w:eastAsia="Times New Roman" w:hAnsi="Times New Roman" w:cs="Times New Roman"/>
          <w:b/>
          <w:bCs/>
          <w:sz w:val="24"/>
          <w:szCs w:val="24"/>
        </w:rPr>
      </w:pPr>
    </w:p>
    <w:p w14:paraId="4F578465" w14:textId="77777777" w:rsidR="0038132A" w:rsidRDefault="0038132A" w:rsidP="0038132A">
      <w:pPr>
        <w:tabs>
          <w:tab w:val="left" w:pos="1539"/>
        </w:tabs>
        <w:ind w:left="820"/>
        <w:rPr>
          <w:rFonts w:ascii="Times New Roman" w:eastAsia="Times New Roman" w:hAnsi="Times New Roman" w:cs="Times New Roman"/>
          <w:sz w:val="24"/>
          <w:szCs w:val="24"/>
        </w:rPr>
      </w:pPr>
      <w:r>
        <w:rPr>
          <w:rFonts w:ascii="Times New Roman"/>
          <w:b/>
          <w:spacing w:val="-1"/>
          <w:sz w:val="24"/>
        </w:rPr>
        <w:t>5(a)</w:t>
      </w:r>
      <w:r>
        <w:rPr>
          <w:rFonts w:ascii="Times New Roman"/>
          <w:b/>
          <w:spacing w:val="-1"/>
          <w:sz w:val="24"/>
        </w:rPr>
        <w:tab/>
        <w:t>Agency Activities</w:t>
      </w:r>
    </w:p>
    <w:p w14:paraId="6B7EEFEE" w14:textId="77777777" w:rsidR="0038132A" w:rsidRDefault="0038132A" w:rsidP="0038132A">
      <w:pPr>
        <w:spacing w:before="7"/>
        <w:rPr>
          <w:rFonts w:ascii="Times New Roman" w:eastAsia="Times New Roman" w:hAnsi="Times New Roman" w:cs="Times New Roman"/>
          <w:b/>
          <w:bCs/>
          <w:sz w:val="23"/>
          <w:szCs w:val="23"/>
        </w:rPr>
      </w:pPr>
    </w:p>
    <w:p w14:paraId="7FC7641C" w14:textId="3EA02B6C" w:rsidR="0038132A" w:rsidRDefault="0038132A" w:rsidP="0038132A">
      <w:pPr>
        <w:pStyle w:val="BodyText"/>
        <w:ind w:right="117"/>
      </w:pPr>
      <w:r>
        <w:rPr>
          <w:spacing w:val="-1"/>
        </w:rPr>
        <w:t xml:space="preserve">From </w:t>
      </w:r>
      <w:r w:rsidR="008348EC">
        <w:rPr>
          <w:spacing w:val="-1"/>
        </w:rPr>
        <w:t>EPA</w:t>
      </w:r>
      <w:r>
        <w:rPr>
          <w:spacing w:val="-1"/>
        </w:rPr>
        <w:t>’s</w:t>
      </w:r>
      <w:r>
        <w:t xml:space="preserve"> perspective, the organizing reporting unit is a “notice.”</w:t>
      </w:r>
      <w:r>
        <w:rPr>
          <w:spacing w:val="1"/>
        </w:rPr>
        <w:t xml:space="preserve"> </w:t>
      </w:r>
      <w:r>
        <w:t>A</w:t>
      </w:r>
      <w:r>
        <w:rPr>
          <w:spacing w:val="-1"/>
        </w:rPr>
        <w:t xml:space="preserve"> given notice</w:t>
      </w:r>
      <w:r>
        <w:rPr>
          <w:spacing w:val="27"/>
        </w:rPr>
        <w:t xml:space="preserve"> </w:t>
      </w:r>
      <w:r>
        <w:rPr>
          <w:spacing w:val="-1"/>
        </w:rPr>
        <w:t>typically submitted by</w:t>
      </w:r>
      <w:r>
        <w:rPr>
          <w:spacing w:val="1"/>
        </w:rPr>
        <w:t xml:space="preserve"> </w:t>
      </w:r>
      <w:r>
        <w:t>a single firm pertains to a single chemical</w:t>
      </w:r>
      <w:r>
        <w:rPr>
          <w:spacing w:val="29"/>
        </w:rPr>
        <w:t xml:space="preserve"> </w:t>
      </w:r>
      <w:r>
        <w:rPr>
          <w:spacing w:val="-1"/>
        </w:rPr>
        <w:t>substance or multiple chemical substances</w:t>
      </w:r>
      <w:r>
        <w:t>. In</w:t>
      </w:r>
      <w:r>
        <w:rPr>
          <w:spacing w:val="-1"/>
        </w:rPr>
        <w:t xml:space="preserve"> </w:t>
      </w:r>
      <w:r>
        <w:t>processing</w:t>
      </w:r>
      <w:r>
        <w:rPr>
          <w:spacing w:val="-1"/>
        </w:rPr>
        <w:t xml:space="preserve"> </w:t>
      </w:r>
      <w:r>
        <w:t>TSCA</w:t>
      </w:r>
      <w:r>
        <w:rPr>
          <w:spacing w:val="-1"/>
        </w:rPr>
        <w:t xml:space="preserve"> </w:t>
      </w:r>
      <w:r>
        <w:t>section</w:t>
      </w:r>
      <w:r>
        <w:rPr>
          <w:spacing w:val="-1"/>
        </w:rPr>
        <w:t xml:space="preserve"> </w:t>
      </w:r>
      <w:r>
        <w:t>8(b)</w:t>
      </w:r>
      <w:r>
        <w:rPr>
          <w:spacing w:val="-1"/>
        </w:rPr>
        <w:t xml:space="preserve"> </w:t>
      </w:r>
      <w:r>
        <w:t>notices, the Agency will perform the following activities:</w:t>
      </w:r>
    </w:p>
    <w:p w14:paraId="1F588088" w14:textId="77777777" w:rsidR="0038132A" w:rsidRDefault="0038132A" w:rsidP="0038132A">
      <w:pPr>
        <w:pStyle w:val="BodyText"/>
        <w:numPr>
          <w:ilvl w:val="0"/>
          <w:numId w:val="50"/>
        </w:numPr>
        <w:tabs>
          <w:tab w:val="left" w:pos="1180"/>
        </w:tabs>
        <w:spacing w:line="293" w:lineRule="exact"/>
      </w:pPr>
      <w:r>
        <w:t>Review NOA submissions;</w:t>
      </w:r>
    </w:p>
    <w:p w14:paraId="2147ACB6" w14:textId="77777777" w:rsidR="0038132A" w:rsidRDefault="0038132A" w:rsidP="0038132A">
      <w:pPr>
        <w:pStyle w:val="BodyText"/>
        <w:numPr>
          <w:ilvl w:val="0"/>
          <w:numId w:val="50"/>
        </w:numPr>
        <w:tabs>
          <w:tab w:val="left" w:pos="1180"/>
        </w:tabs>
        <w:spacing w:before="21" w:line="274" w:lineRule="exact"/>
        <w:ind w:right="596"/>
      </w:pPr>
      <w:r>
        <w:rPr>
          <w:spacing w:val="-1"/>
        </w:rPr>
        <w:t>Analyze</w:t>
      </w:r>
      <w:r>
        <w:t xml:space="preserve"> submissions for confidentiality</w:t>
      </w:r>
      <w:r>
        <w:rPr>
          <w:spacing w:val="-1"/>
        </w:rPr>
        <w:t xml:space="preserve"> and provide appropriate protection for</w:t>
      </w:r>
      <w:r>
        <w:rPr>
          <w:spacing w:val="22"/>
        </w:rPr>
        <w:t xml:space="preserve"> </w:t>
      </w:r>
      <w:r>
        <w:rPr>
          <w:spacing w:val="-1"/>
        </w:rPr>
        <w:t>confidential data;</w:t>
      </w:r>
    </w:p>
    <w:p w14:paraId="55B98AA6" w14:textId="77777777" w:rsidR="0038132A" w:rsidRDefault="0038132A" w:rsidP="0038132A">
      <w:pPr>
        <w:pStyle w:val="BodyText"/>
        <w:numPr>
          <w:ilvl w:val="0"/>
          <w:numId w:val="50"/>
        </w:numPr>
        <w:tabs>
          <w:tab w:val="left" w:pos="1180"/>
        </w:tabs>
        <w:spacing w:before="24" w:line="274" w:lineRule="exact"/>
        <w:ind w:right="504"/>
      </w:pPr>
      <w:r>
        <w:rPr>
          <w:spacing w:val="-1"/>
        </w:rPr>
        <w:t>Acknowledge</w:t>
      </w:r>
      <w:r>
        <w:rPr>
          <w:spacing w:val="2"/>
        </w:rPr>
        <w:t xml:space="preserve"> </w:t>
      </w:r>
      <w:r>
        <w:t xml:space="preserve">receipt of submissions and </w:t>
      </w:r>
      <w:r>
        <w:rPr>
          <w:spacing w:val="-1"/>
        </w:rPr>
        <w:t>notify</w:t>
      </w:r>
      <w:r>
        <w:rPr>
          <w:spacing w:val="-3"/>
        </w:rPr>
        <w:t xml:space="preserve"> </w:t>
      </w:r>
      <w:r>
        <w:rPr>
          <w:spacing w:val="-1"/>
        </w:rPr>
        <w:t xml:space="preserve">respondents of </w:t>
      </w:r>
      <w:r>
        <w:rPr>
          <w:spacing w:val="1"/>
        </w:rPr>
        <w:t>any</w:t>
      </w:r>
      <w:r>
        <w:rPr>
          <w:spacing w:val="-1"/>
        </w:rPr>
        <w:t xml:space="preserve"> </w:t>
      </w:r>
      <w:r>
        <w:t xml:space="preserve">submission errors or </w:t>
      </w:r>
      <w:r>
        <w:rPr>
          <w:spacing w:val="-1"/>
        </w:rPr>
        <w:t>deficiencies;</w:t>
      </w:r>
    </w:p>
    <w:p w14:paraId="4A08D58D" w14:textId="77777777" w:rsidR="0038132A" w:rsidRDefault="0038132A" w:rsidP="0038132A">
      <w:pPr>
        <w:pStyle w:val="BodyText"/>
        <w:numPr>
          <w:ilvl w:val="0"/>
          <w:numId w:val="50"/>
        </w:numPr>
        <w:tabs>
          <w:tab w:val="left" w:pos="1180"/>
        </w:tabs>
        <w:spacing w:line="293" w:lineRule="exact"/>
      </w:pPr>
      <w:r>
        <w:rPr>
          <w:spacing w:val="-1"/>
        </w:rPr>
        <w:t>File</w:t>
      </w:r>
      <w:r>
        <w:t xml:space="preserve"> and store submissions to Agency</w:t>
      </w:r>
      <w:r>
        <w:rPr>
          <w:spacing w:val="-6"/>
        </w:rPr>
        <w:t xml:space="preserve"> </w:t>
      </w:r>
      <w:r>
        <w:rPr>
          <w:spacing w:val="-1"/>
        </w:rPr>
        <w:t>data systems;</w:t>
      </w:r>
    </w:p>
    <w:p w14:paraId="4FF5547E" w14:textId="77777777" w:rsidR="0038132A" w:rsidRDefault="0038132A" w:rsidP="0038132A">
      <w:pPr>
        <w:pStyle w:val="BodyText"/>
        <w:numPr>
          <w:ilvl w:val="0"/>
          <w:numId w:val="50"/>
        </w:numPr>
        <w:tabs>
          <w:tab w:val="left" w:pos="1180"/>
        </w:tabs>
        <w:spacing w:line="293" w:lineRule="exact"/>
      </w:pPr>
      <w:r>
        <w:rPr>
          <w:spacing w:val="-1"/>
        </w:rPr>
        <w:t xml:space="preserve">Update the TSCA Inventory based on notices received; </w:t>
      </w:r>
    </w:p>
    <w:p w14:paraId="11B7508D" w14:textId="77777777" w:rsidR="0038132A" w:rsidRDefault="0038132A" w:rsidP="0038132A">
      <w:pPr>
        <w:pStyle w:val="BodyText"/>
        <w:numPr>
          <w:ilvl w:val="0"/>
          <w:numId w:val="50"/>
        </w:numPr>
        <w:tabs>
          <w:tab w:val="left" w:pos="1180"/>
        </w:tabs>
        <w:spacing w:line="293" w:lineRule="exact"/>
      </w:pPr>
      <w:r>
        <w:rPr>
          <w:spacing w:val="-1"/>
        </w:rPr>
        <w:t>Provide</w:t>
      </w:r>
      <w:r>
        <w:t xml:space="preserve"> technical</w:t>
      </w:r>
      <w:r>
        <w:rPr>
          <w:spacing w:val="-1"/>
        </w:rPr>
        <w:t xml:space="preserve"> </w:t>
      </w:r>
      <w:r>
        <w:t>assistance</w:t>
      </w:r>
      <w:r>
        <w:rPr>
          <w:spacing w:val="-1"/>
        </w:rPr>
        <w:t xml:space="preserve"> </w:t>
      </w:r>
      <w:r>
        <w:t>to</w:t>
      </w:r>
      <w:r>
        <w:rPr>
          <w:spacing w:val="-1"/>
        </w:rPr>
        <w:t xml:space="preserve"> respondents;</w:t>
      </w:r>
      <w:r>
        <w:t xml:space="preserve"> </w:t>
      </w:r>
      <w:r>
        <w:rPr>
          <w:spacing w:val="-1"/>
        </w:rPr>
        <w:t>and</w:t>
      </w:r>
    </w:p>
    <w:p w14:paraId="4099DE7B" w14:textId="77777777" w:rsidR="0038132A" w:rsidRDefault="0038132A" w:rsidP="0038132A">
      <w:pPr>
        <w:pStyle w:val="BodyText"/>
        <w:numPr>
          <w:ilvl w:val="0"/>
          <w:numId w:val="50"/>
        </w:numPr>
        <w:tabs>
          <w:tab w:val="left" w:pos="1180"/>
        </w:tabs>
        <w:spacing w:before="21" w:line="274" w:lineRule="exact"/>
        <w:ind w:right="480"/>
      </w:pPr>
      <w:r>
        <w:t>Conduct</w:t>
      </w:r>
      <w:r>
        <w:rPr>
          <w:spacing w:val="-1"/>
        </w:rPr>
        <w:t xml:space="preserve"> </w:t>
      </w:r>
      <w:r>
        <w:t>site</w:t>
      </w:r>
      <w:r>
        <w:rPr>
          <w:spacing w:val="-1"/>
        </w:rPr>
        <w:t xml:space="preserve"> </w:t>
      </w:r>
      <w:r>
        <w:t>and</w:t>
      </w:r>
      <w:r>
        <w:rPr>
          <w:spacing w:val="-1"/>
        </w:rPr>
        <w:t xml:space="preserve"> </w:t>
      </w:r>
      <w:r>
        <w:t>record</w:t>
      </w:r>
      <w:r>
        <w:rPr>
          <w:spacing w:val="-1"/>
        </w:rPr>
        <w:t xml:space="preserve"> </w:t>
      </w:r>
      <w:r>
        <w:t>inspections</w:t>
      </w:r>
      <w:r>
        <w:rPr>
          <w:spacing w:val="-1"/>
        </w:rPr>
        <w:t xml:space="preserve"> </w:t>
      </w:r>
      <w:r>
        <w:t>and</w:t>
      </w:r>
      <w:r>
        <w:rPr>
          <w:spacing w:val="-1"/>
        </w:rPr>
        <w:t xml:space="preserve"> </w:t>
      </w:r>
      <w:r>
        <w:t>perform</w:t>
      </w:r>
      <w:r>
        <w:rPr>
          <w:spacing w:val="-1"/>
        </w:rPr>
        <w:t xml:space="preserve"> </w:t>
      </w:r>
      <w:r>
        <w:t>related</w:t>
      </w:r>
      <w:r>
        <w:rPr>
          <w:spacing w:val="-1"/>
        </w:rPr>
        <w:t xml:space="preserve"> </w:t>
      </w:r>
      <w:r>
        <w:t>compliance</w:t>
      </w:r>
      <w:r>
        <w:rPr>
          <w:spacing w:val="-1"/>
        </w:rPr>
        <w:t xml:space="preserve"> </w:t>
      </w:r>
      <w:r>
        <w:t xml:space="preserve">monitoring </w:t>
      </w:r>
      <w:r>
        <w:rPr>
          <w:spacing w:val="-1"/>
        </w:rPr>
        <w:t>functions.</w:t>
      </w:r>
    </w:p>
    <w:p w14:paraId="69F8E36E" w14:textId="77777777" w:rsidR="0038132A" w:rsidRDefault="0038132A" w:rsidP="0038132A">
      <w:pPr>
        <w:spacing w:line="274" w:lineRule="exact"/>
      </w:pPr>
    </w:p>
    <w:p w14:paraId="0C39EF7F" w14:textId="77777777" w:rsidR="0038132A" w:rsidRDefault="0038132A" w:rsidP="0038132A">
      <w:pPr>
        <w:pStyle w:val="Heading1"/>
        <w:tabs>
          <w:tab w:val="left" w:pos="1539"/>
        </w:tabs>
        <w:spacing w:before="48"/>
        <w:rPr>
          <w:b w:val="0"/>
          <w:bCs w:val="0"/>
        </w:rPr>
      </w:pPr>
      <w:r>
        <w:t>5(b)</w:t>
      </w:r>
      <w:r>
        <w:tab/>
      </w:r>
      <w:r>
        <w:rPr>
          <w:spacing w:val="-1"/>
        </w:rPr>
        <w:t>Information Requested</w:t>
      </w:r>
    </w:p>
    <w:p w14:paraId="25A58A45" w14:textId="77777777" w:rsidR="0038132A" w:rsidRDefault="0038132A" w:rsidP="0038132A">
      <w:pPr>
        <w:spacing w:before="4"/>
        <w:rPr>
          <w:rFonts w:ascii="Times New Roman" w:eastAsia="Times New Roman" w:hAnsi="Times New Roman" w:cs="Times New Roman"/>
          <w:b/>
          <w:bCs/>
          <w:sz w:val="23"/>
          <w:szCs w:val="23"/>
        </w:rPr>
      </w:pPr>
    </w:p>
    <w:p w14:paraId="5AB63635" w14:textId="77777777" w:rsidR="0038132A" w:rsidRDefault="0038132A" w:rsidP="00B06388">
      <w:pPr>
        <w:pStyle w:val="BodyText"/>
        <w:numPr>
          <w:ilvl w:val="1"/>
          <w:numId w:val="55"/>
        </w:numPr>
        <w:tabs>
          <w:tab w:val="left" w:pos="1540"/>
        </w:tabs>
        <w:ind w:left="1540" w:hanging="660"/>
      </w:pPr>
      <w:r>
        <w:rPr>
          <w:spacing w:val="-1"/>
        </w:rPr>
        <w:t>Data items, including recordkeeping requirements</w:t>
      </w:r>
    </w:p>
    <w:p w14:paraId="1B4A717D" w14:textId="77777777" w:rsidR="0038132A" w:rsidRDefault="0038132A" w:rsidP="0038132A">
      <w:pPr>
        <w:rPr>
          <w:rFonts w:ascii="Times New Roman" w:eastAsia="Times New Roman" w:hAnsi="Times New Roman" w:cs="Times New Roman"/>
          <w:sz w:val="24"/>
          <w:szCs w:val="24"/>
        </w:rPr>
      </w:pPr>
    </w:p>
    <w:p w14:paraId="11F080E9" w14:textId="5C7A678C" w:rsidR="0038132A" w:rsidRDefault="0038132A" w:rsidP="0038132A">
      <w:pPr>
        <w:pStyle w:val="BodyText"/>
        <w:ind w:right="98"/>
      </w:pPr>
      <w:r>
        <w:rPr>
          <w:spacing w:val="-1"/>
        </w:rPr>
        <w:t>Data items are</w:t>
      </w:r>
      <w:r>
        <w:rPr>
          <w:spacing w:val="-5"/>
        </w:rPr>
        <w:t xml:space="preserve"> </w:t>
      </w:r>
      <w:r>
        <w:t>approved under OMB Control Numbers [</w:t>
      </w:r>
      <w:r w:rsidR="007238D9">
        <w:rPr>
          <w:color w:val="FF0000"/>
        </w:rPr>
        <w:t>tba</w:t>
      </w:r>
      <w:r>
        <w:t xml:space="preserve">] and </w:t>
      </w:r>
      <w:r>
        <w:rPr>
          <w:spacing w:val="-1"/>
        </w:rPr>
        <w:t>[</w:t>
      </w:r>
      <w:r w:rsidR="007238D9">
        <w:rPr>
          <w:color w:val="FF0000"/>
          <w:spacing w:val="-1"/>
        </w:rPr>
        <w:t>tba</w:t>
      </w:r>
      <w:r>
        <w:rPr>
          <w:spacing w:val="-1"/>
        </w:rPr>
        <w:t>].</w:t>
      </w:r>
    </w:p>
    <w:p w14:paraId="528E1C79" w14:textId="77777777" w:rsidR="0038132A" w:rsidRDefault="0038132A" w:rsidP="0038132A">
      <w:pPr>
        <w:rPr>
          <w:rFonts w:ascii="Times New Roman" w:eastAsia="Times New Roman" w:hAnsi="Times New Roman" w:cs="Times New Roman"/>
          <w:sz w:val="24"/>
          <w:szCs w:val="24"/>
        </w:rPr>
      </w:pPr>
    </w:p>
    <w:p w14:paraId="30E71FC8" w14:textId="77777777" w:rsidR="0038132A" w:rsidRDefault="0038132A" w:rsidP="00B06388">
      <w:pPr>
        <w:pStyle w:val="BodyText"/>
        <w:numPr>
          <w:ilvl w:val="1"/>
          <w:numId w:val="55"/>
        </w:numPr>
        <w:tabs>
          <w:tab w:val="left" w:pos="1540"/>
        </w:tabs>
        <w:ind w:left="1530" w:hanging="630"/>
        <w:rPr>
          <w:rFonts w:cs="Times New Roman"/>
        </w:rPr>
      </w:pPr>
      <w:r>
        <w:t xml:space="preserve">Respondent Activities - </w:t>
      </w:r>
      <w:r>
        <w:rPr>
          <w:rFonts w:cs="Times New Roman"/>
        </w:rPr>
        <w:t>Register</w:t>
      </w:r>
      <w:r>
        <w:rPr>
          <w:rFonts w:cs="Times New Roman"/>
          <w:spacing w:val="-1"/>
        </w:rPr>
        <w:t xml:space="preserve"> </w:t>
      </w:r>
      <w:r>
        <w:rPr>
          <w:rFonts w:cs="Times New Roman"/>
        </w:rPr>
        <w:t>with</w:t>
      </w:r>
      <w:r>
        <w:rPr>
          <w:rFonts w:cs="Times New Roman"/>
          <w:spacing w:val="-1"/>
        </w:rPr>
        <w:t xml:space="preserve"> </w:t>
      </w:r>
      <w:r>
        <w:rPr>
          <w:rFonts w:cs="Times New Roman"/>
        </w:rPr>
        <w:t>EPA’s</w:t>
      </w:r>
      <w:r>
        <w:rPr>
          <w:rFonts w:cs="Times New Roman"/>
          <w:spacing w:val="-1"/>
        </w:rPr>
        <w:t xml:space="preserve"> </w:t>
      </w:r>
      <w:r>
        <w:rPr>
          <w:rFonts w:cs="Times New Roman"/>
        </w:rPr>
        <w:t>CDX</w:t>
      </w:r>
      <w:r>
        <w:rPr>
          <w:rFonts w:cs="Times New Roman"/>
          <w:spacing w:val="-1"/>
        </w:rPr>
        <w:t xml:space="preserve"> </w:t>
      </w:r>
      <w:r>
        <w:rPr>
          <w:rFonts w:cs="Times New Roman"/>
        </w:rPr>
        <w:t>and</w:t>
      </w:r>
      <w:r>
        <w:rPr>
          <w:rFonts w:cs="Times New Roman"/>
          <w:spacing w:val="-1"/>
        </w:rPr>
        <w:t xml:space="preserve"> </w:t>
      </w:r>
      <w:r>
        <w:rPr>
          <w:rFonts w:cs="Times New Roman"/>
        </w:rPr>
        <w:t>Complete</w:t>
      </w:r>
      <w:r>
        <w:rPr>
          <w:rFonts w:cs="Times New Roman"/>
          <w:spacing w:val="-1"/>
        </w:rPr>
        <w:t xml:space="preserve"> the </w:t>
      </w:r>
      <w:r>
        <w:rPr>
          <w:rFonts w:cs="Times New Roman"/>
        </w:rPr>
        <w:t>Electronic</w:t>
      </w:r>
      <w:r>
        <w:rPr>
          <w:rFonts w:cs="Times New Roman"/>
          <w:spacing w:val="-1"/>
        </w:rPr>
        <w:t xml:space="preserve"> </w:t>
      </w:r>
      <w:r>
        <w:rPr>
          <w:rFonts w:cs="Times New Roman"/>
        </w:rPr>
        <w:t>Signature</w:t>
      </w:r>
      <w:r>
        <w:rPr>
          <w:rFonts w:cs="Times New Roman"/>
          <w:spacing w:val="-1"/>
        </w:rPr>
        <w:t xml:space="preserve"> </w:t>
      </w:r>
      <w:r>
        <w:rPr>
          <w:rFonts w:cs="Times New Roman"/>
        </w:rPr>
        <w:t>Agreement</w:t>
      </w:r>
    </w:p>
    <w:p w14:paraId="2DBAFC9F" w14:textId="77777777" w:rsidR="0038132A" w:rsidRDefault="0038132A" w:rsidP="0038132A">
      <w:pPr>
        <w:pStyle w:val="BodyText"/>
        <w:spacing w:before="209"/>
        <w:ind w:right="155"/>
      </w:pPr>
      <w:r>
        <w:rPr>
          <w:spacing w:val="-1"/>
        </w:rPr>
        <w:t xml:space="preserve">EPA is providing </w:t>
      </w:r>
      <w:r>
        <w:t>two different variations of the e-NOA</w:t>
      </w:r>
      <w:r>
        <w:rPr>
          <w:spacing w:val="-1"/>
        </w:rPr>
        <w:t xml:space="preserve"> </w:t>
      </w:r>
      <w:r>
        <w:t xml:space="preserve">software, one with </w:t>
      </w:r>
      <w:r>
        <w:rPr>
          <w:spacing w:val="-1"/>
        </w:rPr>
        <w:t>encryption</w:t>
      </w:r>
      <w:r>
        <w:rPr>
          <w:spacing w:val="30"/>
        </w:rPr>
        <w:t xml:space="preserve"> </w:t>
      </w:r>
      <w:r>
        <w:t xml:space="preserve">and one without </w:t>
      </w:r>
      <w:r>
        <w:rPr>
          <w:spacing w:val="-1"/>
        </w:rPr>
        <w:t>encryption.</w:t>
      </w:r>
      <w:r>
        <w:t xml:space="preserve"> The </w:t>
      </w:r>
      <w:r>
        <w:rPr>
          <w:spacing w:val="-1"/>
        </w:rPr>
        <w:t>e-NOA</w:t>
      </w:r>
      <w:r>
        <w:t xml:space="preserve"> software with </w:t>
      </w:r>
      <w:r>
        <w:rPr>
          <w:spacing w:val="-1"/>
        </w:rPr>
        <w:t>encryption,</w:t>
      </w:r>
      <w:r>
        <w:t xml:space="preserve"> available on EPA’s CDX</w:t>
      </w:r>
      <w:r>
        <w:rPr>
          <w:spacing w:val="30"/>
        </w:rPr>
        <w:t xml:space="preserve"> </w:t>
      </w:r>
      <w:r>
        <w:rPr>
          <w:spacing w:val="-1"/>
        </w:rPr>
        <w:t>website, accommodates electronic submission through CDX.</w:t>
      </w:r>
      <w:r>
        <w:t xml:space="preserve"> The </w:t>
      </w:r>
      <w:r>
        <w:rPr>
          <w:spacing w:val="-1"/>
        </w:rPr>
        <w:t xml:space="preserve">e-NOA </w:t>
      </w:r>
      <w:r>
        <w:t>software without</w:t>
      </w:r>
      <w:r>
        <w:rPr>
          <w:spacing w:val="29"/>
        </w:rPr>
        <w:t xml:space="preserve"> </w:t>
      </w:r>
      <w:r>
        <w:rPr>
          <w:spacing w:val="-1"/>
        </w:rPr>
        <w:t>encryption</w:t>
      </w:r>
      <w:r>
        <w:t xml:space="preserve"> is </w:t>
      </w:r>
      <w:r>
        <w:rPr>
          <w:spacing w:val="-1"/>
        </w:rPr>
        <w:t>available</w:t>
      </w:r>
      <w:r>
        <w:t xml:space="preserve"> through EPA’s TSCA New Chemicals Program </w:t>
      </w:r>
      <w:r>
        <w:rPr>
          <w:spacing w:val="-1"/>
        </w:rPr>
        <w:t>website.</w:t>
      </w:r>
      <w:r>
        <w:t xml:space="preserve"> </w:t>
      </w:r>
      <w:r>
        <w:rPr>
          <w:spacing w:val="-1"/>
        </w:rPr>
        <w:t>Both variations</w:t>
      </w:r>
      <w:r>
        <w:rPr>
          <w:spacing w:val="38"/>
        </w:rPr>
        <w:t xml:space="preserve"> </w:t>
      </w:r>
      <w:r>
        <w:rPr>
          <w:spacing w:val="-1"/>
        </w:rPr>
        <w:t xml:space="preserve">of the e-NOA </w:t>
      </w:r>
      <w:r>
        <w:t xml:space="preserve">software are available free of charge as Internet downloads. The </w:t>
      </w:r>
      <w:r>
        <w:rPr>
          <w:spacing w:val="-1"/>
        </w:rPr>
        <w:t>e-NOA</w:t>
      </w:r>
      <w:r>
        <w:t xml:space="preserve"> software</w:t>
      </w:r>
      <w:r>
        <w:rPr>
          <w:spacing w:val="28"/>
        </w:rPr>
        <w:t xml:space="preserve"> </w:t>
      </w:r>
      <w:r>
        <w:t xml:space="preserve">without </w:t>
      </w:r>
      <w:r>
        <w:rPr>
          <w:spacing w:val="-1"/>
        </w:rPr>
        <w:t>encryption</w:t>
      </w:r>
      <w:r>
        <w:t xml:space="preserve"> is also available on optical discs provided by</w:t>
      </w:r>
      <w:r>
        <w:rPr>
          <w:spacing w:val="-6"/>
        </w:rPr>
        <w:t xml:space="preserve"> </w:t>
      </w:r>
      <w:r>
        <w:t>the Agency</w:t>
      </w:r>
      <w:r>
        <w:rPr>
          <w:spacing w:val="-5"/>
        </w:rPr>
        <w:t xml:space="preserve"> </w:t>
      </w:r>
      <w:r>
        <w:t>upon request.</w:t>
      </w:r>
    </w:p>
    <w:p w14:paraId="797A25BE" w14:textId="77777777" w:rsidR="0038132A" w:rsidRDefault="0038132A" w:rsidP="0038132A">
      <w:pPr>
        <w:rPr>
          <w:rFonts w:ascii="Times New Roman" w:eastAsia="Times New Roman" w:hAnsi="Times New Roman" w:cs="Times New Roman"/>
          <w:sz w:val="24"/>
          <w:szCs w:val="24"/>
        </w:rPr>
      </w:pPr>
    </w:p>
    <w:p w14:paraId="5E06DCE3" w14:textId="77777777" w:rsidR="0038132A" w:rsidRDefault="0038132A" w:rsidP="0038132A">
      <w:pPr>
        <w:pStyle w:val="BodyText"/>
        <w:spacing w:line="235" w:lineRule="auto"/>
        <w:ind w:right="108"/>
      </w:pPr>
      <w:r>
        <w:t>To register in CDX, the CDX registrant (also referred to as “Electronic Signature Holder” or “Public/Private Key</w:t>
      </w:r>
      <w:r>
        <w:rPr>
          <w:spacing w:val="-5"/>
        </w:rPr>
        <w:t xml:space="preserve"> </w:t>
      </w:r>
      <w:r>
        <w:t>Holder”) downloads two forms: the Electronic Signature Agreement and the Verification of Company</w:t>
      </w:r>
      <w:r>
        <w:rPr>
          <w:spacing w:val="-5"/>
        </w:rPr>
        <w:t xml:space="preserve"> </w:t>
      </w:r>
      <w:r>
        <w:t xml:space="preserve">Authorizing Official form. Registration </w:t>
      </w:r>
      <w:r>
        <w:rPr>
          <w:spacing w:val="-1"/>
        </w:rPr>
        <w:t>enables</w:t>
      </w:r>
      <w:r>
        <w:t xml:space="preserve"> CDX to perform</w:t>
      </w:r>
      <w:r>
        <w:rPr>
          <w:spacing w:val="26"/>
        </w:rPr>
        <w:t xml:space="preserve"> </w:t>
      </w:r>
      <w:r>
        <w:t>two important functions: authentication of identity and verification of authorization. Within the “Electronic</w:t>
      </w:r>
      <w:r>
        <w:rPr>
          <w:spacing w:val="-1"/>
        </w:rPr>
        <w:t xml:space="preserve"> </w:t>
      </w:r>
      <w:r>
        <w:t>Signature</w:t>
      </w:r>
      <w:r>
        <w:rPr>
          <w:spacing w:val="-1"/>
        </w:rPr>
        <w:t xml:space="preserve"> </w:t>
      </w:r>
      <w:r>
        <w:t>Agreement”</w:t>
      </w:r>
      <w:r>
        <w:rPr>
          <w:spacing w:val="-1"/>
        </w:rPr>
        <w:t xml:space="preserve"> </w:t>
      </w:r>
      <w:r>
        <w:t>form,</w:t>
      </w:r>
      <w:r>
        <w:rPr>
          <w:spacing w:val="-1"/>
        </w:rPr>
        <w:t xml:space="preserve"> </w:t>
      </w:r>
      <w:r>
        <w:t>the</w:t>
      </w:r>
      <w:r>
        <w:rPr>
          <w:spacing w:val="-1"/>
        </w:rPr>
        <w:t xml:space="preserve"> </w:t>
      </w:r>
      <w:r>
        <w:t>Authorized</w:t>
      </w:r>
      <w:r>
        <w:rPr>
          <w:spacing w:val="-1"/>
        </w:rPr>
        <w:t xml:space="preserve"> </w:t>
      </w:r>
      <w:r>
        <w:t>Official</w:t>
      </w:r>
      <w:r>
        <w:rPr>
          <w:spacing w:val="-1"/>
        </w:rPr>
        <w:t xml:space="preserve"> </w:t>
      </w:r>
      <w:r>
        <w:t>(AO)</w:t>
      </w:r>
      <w:r>
        <w:rPr>
          <w:spacing w:val="-1"/>
        </w:rPr>
        <w:t xml:space="preserve"> </w:t>
      </w:r>
      <w:r>
        <w:t>agrees</w:t>
      </w:r>
      <w:r>
        <w:rPr>
          <w:spacing w:val="-1"/>
        </w:rPr>
        <w:t xml:space="preserve"> </w:t>
      </w:r>
      <w:r>
        <w:t>to</w:t>
      </w:r>
      <w:r>
        <w:rPr>
          <w:spacing w:val="-1"/>
        </w:rPr>
        <w:t xml:space="preserve"> </w:t>
      </w:r>
      <w:r>
        <w:t>certain</w:t>
      </w:r>
      <w:r>
        <w:rPr>
          <w:spacing w:val="-1"/>
        </w:rPr>
        <w:t xml:space="preserve"> </w:t>
      </w:r>
      <w:r>
        <w:t xml:space="preserve">CDX </w:t>
      </w:r>
      <w:r>
        <w:rPr>
          <w:spacing w:val="-1"/>
        </w:rPr>
        <w:t>security conditions.</w:t>
      </w:r>
      <w:r>
        <w:t xml:space="preserve"> On the “Verification of </w:t>
      </w:r>
      <w:r>
        <w:rPr>
          <w:spacing w:val="-1"/>
        </w:rPr>
        <w:t>Company</w:t>
      </w:r>
      <w:r>
        <w:rPr>
          <w:spacing w:val="-5"/>
        </w:rPr>
        <w:t xml:space="preserve"> </w:t>
      </w:r>
      <w:r>
        <w:t>Authorizing Official” form, the AO</w:t>
      </w:r>
      <w:r>
        <w:rPr>
          <w:spacing w:val="31"/>
        </w:rPr>
        <w:t xml:space="preserve"> </w:t>
      </w:r>
      <w:r>
        <w:t>designates</w:t>
      </w:r>
      <w:r>
        <w:rPr>
          <w:spacing w:val="-1"/>
        </w:rPr>
        <w:t xml:space="preserve"> </w:t>
      </w:r>
      <w:r>
        <w:t>himself/herself</w:t>
      </w:r>
      <w:r>
        <w:rPr>
          <w:spacing w:val="-1"/>
        </w:rPr>
        <w:t xml:space="preserve"> </w:t>
      </w:r>
      <w:r>
        <w:t>as</w:t>
      </w:r>
      <w:r>
        <w:rPr>
          <w:spacing w:val="-1"/>
        </w:rPr>
        <w:t xml:space="preserve"> </w:t>
      </w:r>
      <w:r>
        <w:t>the</w:t>
      </w:r>
      <w:r>
        <w:rPr>
          <w:spacing w:val="-1"/>
        </w:rPr>
        <w:t xml:space="preserve"> </w:t>
      </w:r>
      <w:r>
        <w:t>AO</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w:t>
      </w:r>
      <w:r>
        <w:rPr>
          <w:spacing w:val="-1"/>
        </w:rPr>
        <w:t xml:space="preserve"> </w:t>
      </w:r>
      <w:r>
        <w:t>and</w:t>
      </w:r>
      <w:r>
        <w:rPr>
          <w:spacing w:val="-1"/>
        </w:rPr>
        <w:t xml:space="preserve"> </w:t>
      </w:r>
      <w:r>
        <w:t>accuracy</w:t>
      </w:r>
      <w:r>
        <w:rPr>
          <w:spacing w:val="-1"/>
        </w:rPr>
        <w:t xml:space="preserve"> </w:t>
      </w:r>
      <w:r>
        <w:t>of</w:t>
      </w:r>
      <w:r>
        <w:rPr>
          <w:spacing w:val="-1"/>
        </w:rPr>
        <w:t xml:space="preserve"> </w:t>
      </w:r>
      <w:r>
        <w:t xml:space="preserve">the submitted </w:t>
      </w:r>
      <w:r>
        <w:rPr>
          <w:spacing w:val="-1"/>
        </w:rPr>
        <w:t>information.</w:t>
      </w:r>
    </w:p>
    <w:p w14:paraId="4854DBD6" w14:textId="77777777" w:rsidR="0038132A" w:rsidRDefault="0038132A" w:rsidP="0038132A">
      <w:pPr>
        <w:rPr>
          <w:rFonts w:ascii="Times New Roman" w:eastAsia="Times New Roman" w:hAnsi="Times New Roman" w:cs="Times New Roman"/>
          <w:sz w:val="24"/>
          <w:szCs w:val="24"/>
        </w:rPr>
      </w:pPr>
    </w:p>
    <w:p w14:paraId="7A8285BE" w14:textId="77777777" w:rsidR="0038132A" w:rsidRDefault="0038132A" w:rsidP="0038132A">
      <w:pPr>
        <w:pStyle w:val="BodyText"/>
        <w:ind w:right="108"/>
      </w:pPr>
      <w:r>
        <w:rPr>
          <w:spacing w:val="-1"/>
        </w:rPr>
        <w:t xml:space="preserve">There is </w:t>
      </w:r>
      <w:r>
        <w:t>a</w:t>
      </w:r>
      <w:r>
        <w:rPr>
          <w:spacing w:val="-1"/>
        </w:rPr>
        <w:t xml:space="preserve"> third form generated </w:t>
      </w:r>
      <w:r>
        <w:rPr>
          <w:spacing w:val="2"/>
        </w:rPr>
        <w:t>by</w:t>
      </w:r>
      <w:r>
        <w:rPr>
          <w:spacing w:val="-1"/>
        </w:rPr>
        <w:t xml:space="preserve"> CDX that the AO needs to fill out if the AO wants to</w:t>
      </w:r>
      <w:r>
        <w:rPr>
          <w:spacing w:val="34"/>
        </w:rPr>
        <w:t xml:space="preserve"> </w:t>
      </w:r>
      <w:r>
        <w:t xml:space="preserve">authorize </w:t>
      </w:r>
      <w:r>
        <w:rPr>
          <w:spacing w:val="-1"/>
        </w:rPr>
        <w:t>other</w:t>
      </w:r>
      <w:r>
        <w:t xml:space="preserve"> persons to submit support documents on his or her behalf, including a paid</w:t>
      </w:r>
      <w:r>
        <w:rPr>
          <w:spacing w:val="24"/>
        </w:rPr>
        <w:t xml:space="preserve"> </w:t>
      </w:r>
      <w:r>
        <w:rPr>
          <w:spacing w:val="-1"/>
        </w:rPr>
        <w:t>employee</w:t>
      </w:r>
      <w:r>
        <w:t xml:space="preserve"> of the </w:t>
      </w:r>
      <w:r>
        <w:rPr>
          <w:spacing w:val="-1"/>
        </w:rPr>
        <w:t>company,</w:t>
      </w:r>
      <w:r>
        <w:t xml:space="preserve"> an outside consultant for the </w:t>
      </w:r>
      <w:r>
        <w:rPr>
          <w:spacing w:val="-1"/>
        </w:rPr>
        <w:t>company,</w:t>
      </w:r>
      <w:r>
        <w:t xml:space="preserve"> or an authorized representative</w:t>
      </w:r>
      <w:r>
        <w:rPr>
          <w:spacing w:val="29"/>
        </w:rPr>
        <w:t xml:space="preserve"> </w:t>
      </w:r>
      <w:r>
        <w:rPr>
          <w:spacing w:val="-1"/>
        </w:rPr>
        <w:t>agent for the company.</w:t>
      </w:r>
      <w:r>
        <w:t xml:space="preserve"> This form is entitled, “Authorization and Verification for Submitter by</w:t>
      </w:r>
      <w:r>
        <w:rPr>
          <w:spacing w:val="-5"/>
        </w:rPr>
        <w:t xml:space="preserve"> </w:t>
      </w:r>
      <w:r>
        <w:t>Company</w:t>
      </w:r>
      <w:r>
        <w:rPr>
          <w:spacing w:val="-5"/>
        </w:rPr>
        <w:t xml:space="preserve"> </w:t>
      </w:r>
      <w:r>
        <w:t>Authorizing Official.” On this form, the AO designates various</w:t>
      </w:r>
      <w:r>
        <w:rPr>
          <w:spacing w:val="-1"/>
        </w:rPr>
        <w:t xml:space="preserve"> </w:t>
      </w:r>
      <w:r>
        <w:t>persons</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on</w:t>
      </w:r>
      <w:r>
        <w:rPr>
          <w:spacing w:val="-1"/>
        </w:rPr>
        <w:t xml:space="preserve"> </w:t>
      </w:r>
      <w:r>
        <w:t>his</w:t>
      </w:r>
      <w:r>
        <w:rPr>
          <w:spacing w:val="-1"/>
        </w:rPr>
        <w:t xml:space="preserve"> </w:t>
      </w:r>
      <w:r>
        <w:t>or</w:t>
      </w:r>
      <w:r>
        <w:rPr>
          <w:spacing w:val="-1"/>
        </w:rPr>
        <w:t xml:space="preserve"> </w:t>
      </w:r>
      <w:r>
        <w:t>her</w:t>
      </w:r>
      <w:r>
        <w:rPr>
          <w:spacing w:val="-1"/>
        </w:rPr>
        <w:t xml:space="preserve"> </w:t>
      </w:r>
      <w:r>
        <w:t>behalf,</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 and accuracy</w:t>
      </w:r>
      <w:r>
        <w:rPr>
          <w:spacing w:val="-5"/>
        </w:rPr>
        <w:t xml:space="preserve"> </w:t>
      </w:r>
      <w:r>
        <w:t xml:space="preserve">of the submitted </w:t>
      </w:r>
      <w:r>
        <w:rPr>
          <w:spacing w:val="-1"/>
        </w:rPr>
        <w:t>information.</w:t>
      </w:r>
      <w:r>
        <w:t xml:space="preserve"> </w:t>
      </w:r>
      <w:r>
        <w:rPr>
          <w:spacing w:val="-1"/>
        </w:rPr>
        <w:t>Persons designated</w:t>
      </w:r>
      <w:r>
        <w:rPr>
          <w:spacing w:val="2"/>
        </w:rPr>
        <w:t xml:space="preserve"> </w:t>
      </w:r>
      <w:r>
        <w:t>by</w:t>
      </w:r>
      <w:r>
        <w:rPr>
          <w:spacing w:val="-5"/>
        </w:rPr>
        <w:t xml:space="preserve"> </w:t>
      </w:r>
      <w:r>
        <w:t>the AO to submit on his or her</w:t>
      </w:r>
      <w:r>
        <w:rPr>
          <w:spacing w:val="35"/>
        </w:rPr>
        <w:t xml:space="preserve"> </w:t>
      </w:r>
      <w:r>
        <w:t xml:space="preserve">behalf must also sign this form along with the Electronic Signature Agreement form, in order to </w:t>
      </w:r>
      <w:r>
        <w:rPr>
          <w:spacing w:val="-1"/>
        </w:rPr>
        <w:t xml:space="preserve">be “linked” to the AO </w:t>
      </w:r>
      <w:r>
        <w:rPr>
          <w:spacing w:val="2"/>
        </w:rPr>
        <w:t>by</w:t>
      </w:r>
      <w:r>
        <w:rPr>
          <w:spacing w:val="-1"/>
        </w:rPr>
        <w:t xml:space="preserve"> </w:t>
      </w:r>
      <w:r>
        <w:t>EPA</w:t>
      </w:r>
      <w:r>
        <w:rPr>
          <w:spacing w:val="-1"/>
        </w:rPr>
        <w:t xml:space="preserve"> </w:t>
      </w:r>
      <w:r>
        <w:t>and</w:t>
      </w:r>
      <w:r>
        <w:rPr>
          <w:spacing w:val="-1"/>
        </w:rPr>
        <w:t xml:space="preserve"> </w:t>
      </w:r>
      <w:r>
        <w:t>therefore</w:t>
      </w:r>
      <w:r>
        <w:rPr>
          <w:spacing w:val="-1"/>
        </w:rPr>
        <w:t xml:space="preserve"> </w:t>
      </w:r>
      <w:r>
        <w:t>be</w:t>
      </w:r>
      <w:r>
        <w:rPr>
          <w:spacing w:val="-1"/>
        </w:rPr>
        <w:t xml:space="preserve"> </w:t>
      </w:r>
      <w:r>
        <w:t>able</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via</w:t>
      </w:r>
      <w:r>
        <w:rPr>
          <w:spacing w:val="-1"/>
        </w:rPr>
        <w:t xml:space="preserve"> </w:t>
      </w:r>
      <w:r>
        <w:t>CDX</w:t>
      </w:r>
      <w:r>
        <w:rPr>
          <w:spacing w:val="-1"/>
        </w:rPr>
        <w:t xml:space="preserve"> </w:t>
      </w:r>
      <w:r>
        <w:t>on</w:t>
      </w:r>
      <w:r>
        <w:rPr>
          <w:spacing w:val="26"/>
        </w:rPr>
        <w:t xml:space="preserve"> </w:t>
      </w:r>
      <w:r>
        <w:rPr>
          <w:spacing w:val="-1"/>
        </w:rPr>
        <w:t>the AO’s behalf.</w:t>
      </w:r>
    </w:p>
    <w:p w14:paraId="7C51C487" w14:textId="77777777" w:rsidR="0038132A" w:rsidRDefault="0038132A" w:rsidP="0038132A">
      <w:pPr>
        <w:rPr>
          <w:rFonts w:ascii="Times New Roman" w:eastAsia="Times New Roman" w:hAnsi="Times New Roman" w:cs="Times New Roman"/>
          <w:sz w:val="24"/>
          <w:szCs w:val="24"/>
        </w:rPr>
      </w:pPr>
    </w:p>
    <w:p w14:paraId="67ED6EA5" w14:textId="77777777" w:rsidR="0038132A" w:rsidRDefault="0038132A" w:rsidP="0038132A">
      <w:pPr>
        <w:pStyle w:val="BodyText"/>
        <w:ind w:right="155"/>
      </w:pPr>
      <w:r>
        <w:rPr>
          <w:spacing w:val="-1"/>
        </w:rPr>
        <w:t>When these forms</w:t>
      </w:r>
      <w:r>
        <w:t xml:space="preserve"> are received, EPA activates the submitter's registration in CDX and</w:t>
      </w:r>
      <w:r>
        <w:rPr>
          <w:spacing w:val="26"/>
        </w:rPr>
        <w:t xml:space="preserve"> </w:t>
      </w:r>
      <w:r>
        <w:rPr>
          <w:spacing w:val="-1"/>
        </w:rPr>
        <w:t>sends an e-mail</w:t>
      </w:r>
      <w:r>
        <w:t xml:space="preserve"> notification</w:t>
      </w:r>
      <w:r>
        <w:rPr>
          <w:spacing w:val="-1"/>
        </w:rPr>
        <w:t xml:space="preserve"> </w:t>
      </w:r>
      <w:r>
        <w:t xml:space="preserve">confirming </w:t>
      </w:r>
      <w:r>
        <w:rPr>
          <w:spacing w:val="-1"/>
        </w:rPr>
        <w:t>registration.</w:t>
      </w:r>
    </w:p>
    <w:p w14:paraId="1ABA96AC" w14:textId="77777777" w:rsidR="0038132A" w:rsidRDefault="0038132A" w:rsidP="0038132A">
      <w:pPr>
        <w:rPr>
          <w:rFonts w:ascii="Times New Roman" w:eastAsia="Times New Roman" w:hAnsi="Times New Roman" w:cs="Times New Roman"/>
          <w:sz w:val="24"/>
          <w:szCs w:val="24"/>
        </w:rPr>
      </w:pPr>
    </w:p>
    <w:p w14:paraId="0332F917" w14:textId="77777777" w:rsidR="0038132A" w:rsidRDefault="0038132A" w:rsidP="00B06388">
      <w:pPr>
        <w:numPr>
          <w:ilvl w:val="1"/>
          <w:numId w:val="55"/>
        </w:numPr>
        <w:tabs>
          <w:tab w:val="left" w:pos="1540"/>
        </w:tabs>
        <w:rPr>
          <w:rFonts w:ascii="Times New Roman" w:eastAsia="Times New Roman" w:hAnsi="Times New Roman" w:cs="Times New Roman"/>
          <w:sz w:val="24"/>
          <w:szCs w:val="24"/>
        </w:rPr>
      </w:pPr>
      <w:r>
        <w:rPr>
          <w:rFonts w:ascii="Times New Roman"/>
          <w:spacing w:val="-1"/>
          <w:sz w:val="24"/>
        </w:rPr>
        <w:t>Respondent Activities - Use the e-NOA</w:t>
      </w:r>
      <w:r>
        <w:rPr>
          <w:rFonts w:ascii="Times New Roman"/>
          <w:sz w:val="24"/>
        </w:rPr>
        <w:t xml:space="preserve"> Software to Prepare TSCA Section 8(b) Notices</w:t>
      </w:r>
    </w:p>
    <w:p w14:paraId="558A8819" w14:textId="77777777" w:rsidR="0038132A" w:rsidRDefault="0038132A" w:rsidP="0038132A">
      <w:pPr>
        <w:rPr>
          <w:rFonts w:ascii="Times New Roman" w:eastAsia="Times New Roman" w:hAnsi="Times New Roman" w:cs="Times New Roman"/>
          <w:i/>
          <w:sz w:val="24"/>
          <w:szCs w:val="24"/>
        </w:rPr>
      </w:pPr>
    </w:p>
    <w:p w14:paraId="3E940F63" w14:textId="77777777" w:rsidR="0038132A" w:rsidRDefault="0038132A" w:rsidP="00B06388">
      <w:pPr>
        <w:pStyle w:val="BodyText"/>
        <w:tabs>
          <w:tab w:val="left" w:pos="1800"/>
        </w:tabs>
        <w:ind w:left="1800" w:hanging="360"/>
      </w:pPr>
      <w:r>
        <w:t>In</w:t>
      </w:r>
      <w:r>
        <w:rPr>
          <w:spacing w:val="-1"/>
        </w:rPr>
        <w:t xml:space="preserve"> </w:t>
      </w:r>
      <w:r>
        <w:t>all</w:t>
      </w:r>
      <w:r>
        <w:rPr>
          <w:spacing w:val="-1"/>
        </w:rPr>
        <w:t xml:space="preserve"> </w:t>
      </w:r>
      <w:r>
        <w:t>cases,</w:t>
      </w:r>
      <w:r>
        <w:rPr>
          <w:spacing w:val="-1"/>
        </w:rPr>
        <w:t xml:space="preserve"> </w:t>
      </w:r>
      <w:r>
        <w:t>respondents</w:t>
      </w:r>
      <w:r>
        <w:rPr>
          <w:spacing w:val="-1"/>
        </w:rPr>
        <w:t xml:space="preserve"> </w:t>
      </w:r>
      <w:r>
        <w:t>use</w:t>
      </w:r>
      <w:r>
        <w:rPr>
          <w:spacing w:val="-1"/>
        </w:rPr>
        <w:t xml:space="preserve"> </w:t>
      </w:r>
      <w:r>
        <w:t>the</w:t>
      </w:r>
      <w:r>
        <w:rPr>
          <w:spacing w:val="-1"/>
        </w:rPr>
        <w:t xml:space="preserve"> e-NOA</w:t>
      </w:r>
      <w:r>
        <w:t xml:space="preserve"> software to:</w:t>
      </w:r>
    </w:p>
    <w:p w14:paraId="2F53CF5E" w14:textId="7669A89D" w:rsidR="0038132A" w:rsidRDefault="0038132A" w:rsidP="00B06388">
      <w:pPr>
        <w:pStyle w:val="BodyText"/>
        <w:numPr>
          <w:ilvl w:val="0"/>
          <w:numId w:val="51"/>
        </w:numPr>
        <w:tabs>
          <w:tab w:val="left" w:pos="1170"/>
          <w:tab w:val="left" w:pos="1800"/>
        </w:tabs>
        <w:spacing w:before="46" w:line="235" w:lineRule="auto"/>
        <w:ind w:left="1800" w:right="266"/>
      </w:pPr>
      <w:r>
        <w:rPr>
          <w:b/>
          <w:i/>
        </w:rPr>
        <w:t>generate</w:t>
      </w:r>
      <w:r>
        <w:rPr>
          <w:b/>
          <w:i/>
          <w:spacing w:val="-2"/>
        </w:rPr>
        <w:t xml:space="preserve"> </w:t>
      </w:r>
      <w:r>
        <w:t>the submission materials for TSCA section 8(b) notices, including forms (i.e., the NOA Form A [</w:t>
      </w:r>
      <w:r w:rsidR="007238D9">
        <w:rPr>
          <w:color w:val="FF0000"/>
        </w:rPr>
        <w:t>tba</w:t>
      </w:r>
      <w:r>
        <w:rPr>
          <w:spacing w:val="-1"/>
        </w:rPr>
        <w:t>] and the NOA Form B [</w:t>
      </w:r>
      <w:r w:rsidR="007238D9">
        <w:rPr>
          <w:color w:val="FF0000"/>
          <w:spacing w:val="-1"/>
        </w:rPr>
        <w:t>tba</w:t>
      </w:r>
      <w:r>
        <w:rPr>
          <w:spacing w:val="-1"/>
        </w:rPr>
        <w:t>]); and,</w:t>
      </w:r>
    </w:p>
    <w:p w14:paraId="3D4713C7" w14:textId="77777777" w:rsidR="0038132A" w:rsidRPr="00B06388" w:rsidRDefault="0038132A" w:rsidP="00B06388">
      <w:pPr>
        <w:pStyle w:val="BodyText"/>
        <w:numPr>
          <w:ilvl w:val="0"/>
          <w:numId w:val="51"/>
        </w:numPr>
        <w:tabs>
          <w:tab w:val="left" w:pos="1170"/>
          <w:tab w:val="left" w:pos="1800"/>
        </w:tabs>
        <w:spacing w:before="46" w:line="235" w:lineRule="auto"/>
        <w:ind w:left="1800" w:right="266"/>
      </w:pPr>
      <w:r>
        <w:rPr>
          <w:b/>
          <w:i/>
        </w:rPr>
        <w:t>populate</w:t>
      </w:r>
      <w:r>
        <w:rPr>
          <w:b/>
          <w:i/>
          <w:spacing w:val="-1"/>
        </w:rPr>
        <w:t xml:space="preserve"> </w:t>
      </w:r>
      <w:r>
        <w:t xml:space="preserve">the submission </w:t>
      </w:r>
      <w:r w:rsidRPr="00B06388">
        <w:t xml:space="preserve">materials with the relevant </w:t>
      </w:r>
      <w:r w:rsidRPr="00B06388">
        <w:rPr>
          <w:spacing w:val="-1"/>
        </w:rPr>
        <w:t>information.</w:t>
      </w:r>
    </w:p>
    <w:p w14:paraId="6ACE8FD5" w14:textId="77777777" w:rsidR="0038132A" w:rsidRPr="00B06388" w:rsidRDefault="0038132A" w:rsidP="0038132A">
      <w:pPr>
        <w:spacing w:before="8"/>
        <w:rPr>
          <w:rFonts w:ascii="Times New Roman" w:eastAsia="Times New Roman" w:hAnsi="Times New Roman" w:cs="Times New Roman"/>
          <w:sz w:val="23"/>
          <w:szCs w:val="23"/>
        </w:rPr>
      </w:pPr>
    </w:p>
    <w:p w14:paraId="1170D6B8" w14:textId="77777777" w:rsidR="0038132A" w:rsidRDefault="0038132A" w:rsidP="00B06388">
      <w:pPr>
        <w:pStyle w:val="ListParagraph"/>
        <w:numPr>
          <w:ilvl w:val="0"/>
          <w:numId w:val="59"/>
        </w:numPr>
        <w:spacing w:before="43"/>
        <w:ind w:left="1440" w:hanging="360"/>
        <w:rPr>
          <w:rFonts w:ascii="Times New Roman" w:eastAsia="Times New Roman" w:hAnsi="Times New Roman" w:cs="Times New Roman"/>
          <w:sz w:val="24"/>
          <w:szCs w:val="24"/>
        </w:rPr>
      </w:pPr>
      <w:r w:rsidRPr="00B06388">
        <w:rPr>
          <w:rFonts w:ascii="Times New Roman"/>
          <w:sz w:val="24"/>
        </w:rPr>
        <w:t>Respondent Activities - Finalize</w:t>
      </w:r>
      <w:r>
        <w:rPr>
          <w:rFonts w:ascii="Times New Roman"/>
          <w:sz w:val="24"/>
        </w:rPr>
        <w:t xml:space="preserve"> and Submit</w:t>
      </w:r>
    </w:p>
    <w:p w14:paraId="30E9F962" w14:textId="77777777" w:rsidR="0038132A" w:rsidRDefault="0038132A" w:rsidP="0038132A">
      <w:pPr>
        <w:spacing w:before="9"/>
        <w:rPr>
          <w:rFonts w:ascii="Times New Roman" w:eastAsia="Times New Roman" w:hAnsi="Times New Roman" w:cs="Times New Roman"/>
          <w:i/>
          <w:sz w:val="23"/>
          <w:szCs w:val="23"/>
        </w:rPr>
      </w:pPr>
    </w:p>
    <w:p w14:paraId="1B10E258" w14:textId="77777777" w:rsidR="0038132A" w:rsidRDefault="0038132A" w:rsidP="0038132A">
      <w:pPr>
        <w:pStyle w:val="BodyText"/>
        <w:ind w:right="131"/>
      </w:pPr>
      <w:r>
        <w:t>Respondent</w:t>
      </w:r>
      <w:r>
        <w:rPr>
          <w:spacing w:val="-1"/>
        </w:rPr>
        <w:t xml:space="preserve"> </w:t>
      </w:r>
      <w:r>
        <w:t>activities</w:t>
      </w:r>
      <w:r>
        <w:rPr>
          <w:spacing w:val="-1"/>
        </w:rPr>
        <w:t xml:space="preserve"> </w:t>
      </w:r>
      <w:r>
        <w:t>to</w:t>
      </w:r>
      <w:r>
        <w:rPr>
          <w:spacing w:val="-1"/>
        </w:rPr>
        <w:t xml:space="preserve"> </w:t>
      </w:r>
      <w:r>
        <w:t>finalize</w:t>
      </w:r>
      <w:r>
        <w:rPr>
          <w:spacing w:val="-1"/>
        </w:rPr>
        <w:t xml:space="preserve"> </w:t>
      </w:r>
      <w:r>
        <w:t>and</w:t>
      </w:r>
      <w:r>
        <w:rPr>
          <w:spacing w:val="-1"/>
        </w:rPr>
        <w:t xml:space="preserve"> </w:t>
      </w:r>
      <w:r>
        <w:t>submit</w:t>
      </w:r>
      <w:r>
        <w:rPr>
          <w:spacing w:val="-1"/>
        </w:rPr>
        <w:t xml:space="preserve"> </w:t>
      </w:r>
      <w:r>
        <w:t>TSCA</w:t>
      </w:r>
      <w:r>
        <w:rPr>
          <w:spacing w:val="-1"/>
        </w:rPr>
        <w:t xml:space="preserve"> </w:t>
      </w:r>
      <w:r>
        <w:t>section</w:t>
      </w:r>
      <w:r>
        <w:rPr>
          <w:spacing w:val="-1"/>
        </w:rPr>
        <w:t xml:space="preserve"> 8(b) </w:t>
      </w:r>
      <w:r>
        <w:t>notices</w:t>
      </w:r>
      <w:r>
        <w:rPr>
          <w:spacing w:val="-1"/>
        </w:rPr>
        <w:t xml:space="preserve"> </w:t>
      </w:r>
      <w:r>
        <w:t>depend</w:t>
      </w:r>
      <w:r>
        <w:rPr>
          <w:spacing w:val="-1"/>
        </w:rPr>
        <w:t xml:space="preserve"> </w:t>
      </w:r>
      <w:r>
        <w:t>on</w:t>
      </w:r>
      <w:r>
        <w:rPr>
          <w:spacing w:val="-1"/>
        </w:rPr>
        <w:t xml:space="preserve"> </w:t>
      </w:r>
      <w:r>
        <w:t xml:space="preserve">the chosen submission method. </w:t>
      </w:r>
      <w:r>
        <w:rPr>
          <w:spacing w:val="-1"/>
        </w:rPr>
        <w:t>The e-NOA</w:t>
      </w:r>
      <w:r>
        <w:t xml:space="preserve"> software requires users to complete a finalization</w:t>
      </w:r>
      <w:r>
        <w:rPr>
          <w:spacing w:val="23"/>
        </w:rPr>
        <w:t xml:space="preserve"> </w:t>
      </w:r>
      <w:r>
        <w:t xml:space="preserve">process before preparing the information for submission to </w:t>
      </w:r>
      <w:r>
        <w:rPr>
          <w:spacing w:val="-1"/>
        </w:rPr>
        <w:t>EPA.</w:t>
      </w:r>
      <w:r>
        <w:t xml:space="preserve"> </w:t>
      </w:r>
      <w:r>
        <w:rPr>
          <w:spacing w:val="-1"/>
        </w:rPr>
        <w:t>During the finalization</w:t>
      </w:r>
      <w:r>
        <w:t xml:space="preserve"> step, the</w:t>
      </w:r>
      <w:r>
        <w:rPr>
          <w:spacing w:val="29"/>
        </w:rPr>
        <w:t xml:space="preserve"> </w:t>
      </w:r>
      <w:r>
        <w:rPr>
          <w:spacing w:val="-1"/>
        </w:rPr>
        <w:t>e-NOA</w:t>
      </w:r>
      <w:r>
        <w:t xml:space="preserve"> software checks that all legally</w:t>
      </w:r>
      <w:r>
        <w:rPr>
          <w:spacing w:val="-5"/>
        </w:rPr>
        <w:t xml:space="preserve"> </w:t>
      </w:r>
      <w:r>
        <w:t>required information is included and provides warnings</w:t>
      </w:r>
      <w:r>
        <w:rPr>
          <w:spacing w:val="23"/>
        </w:rPr>
        <w:t xml:space="preserve"> </w:t>
      </w:r>
      <w:r>
        <w:t xml:space="preserve">for certain kinds of missing, incomplete or incorrect </w:t>
      </w:r>
      <w:r>
        <w:rPr>
          <w:spacing w:val="-1"/>
        </w:rPr>
        <w:t>data.</w:t>
      </w:r>
    </w:p>
    <w:p w14:paraId="71C81738" w14:textId="77777777" w:rsidR="0038132A" w:rsidRDefault="0038132A" w:rsidP="0038132A">
      <w:pPr>
        <w:rPr>
          <w:rFonts w:ascii="Times New Roman" w:eastAsia="Times New Roman" w:hAnsi="Times New Roman" w:cs="Times New Roman"/>
          <w:sz w:val="24"/>
          <w:szCs w:val="24"/>
        </w:rPr>
      </w:pPr>
    </w:p>
    <w:p w14:paraId="242FA39A" w14:textId="77777777" w:rsidR="0038132A" w:rsidRDefault="0038132A" w:rsidP="0038132A">
      <w:pPr>
        <w:pStyle w:val="BodyText"/>
        <w:ind w:left="820" w:firstLine="0"/>
      </w:pPr>
      <w:r>
        <w:rPr>
          <w:spacing w:val="-1"/>
          <w:u w:val="single" w:color="000000"/>
        </w:rPr>
        <w:t xml:space="preserve">Using </w:t>
      </w:r>
      <w:r>
        <w:rPr>
          <w:u w:val="single" w:color="000000"/>
        </w:rPr>
        <w:t>e-NOA Software to Submit Electronically</w:t>
      </w:r>
      <w:r>
        <w:rPr>
          <w:spacing w:val="-5"/>
          <w:u w:val="single" w:color="000000"/>
        </w:rPr>
        <w:t xml:space="preserve"> </w:t>
      </w:r>
      <w:r>
        <w:rPr>
          <w:u w:val="single" w:color="000000"/>
        </w:rPr>
        <w:t>to EPA via CDX</w:t>
      </w:r>
    </w:p>
    <w:p w14:paraId="52A3FFC5" w14:textId="77777777" w:rsidR="0038132A" w:rsidRDefault="0038132A" w:rsidP="0038132A">
      <w:pPr>
        <w:spacing w:before="11"/>
        <w:rPr>
          <w:rFonts w:ascii="Times New Roman" w:eastAsia="Times New Roman" w:hAnsi="Times New Roman" w:cs="Times New Roman"/>
          <w:sz w:val="17"/>
          <w:szCs w:val="17"/>
        </w:rPr>
      </w:pPr>
    </w:p>
    <w:p w14:paraId="78980493" w14:textId="77777777" w:rsidR="0038132A" w:rsidRDefault="0038132A" w:rsidP="0038132A">
      <w:pPr>
        <w:pStyle w:val="BodyText"/>
        <w:spacing w:before="69"/>
        <w:ind w:right="165"/>
      </w:pPr>
      <w:r>
        <w:t>After</w:t>
      </w:r>
      <w:r>
        <w:rPr>
          <w:spacing w:val="-1"/>
        </w:rPr>
        <w:t xml:space="preserve"> </w:t>
      </w:r>
      <w:r>
        <w:t>the</w:t>
      </w:r>
      <w:r>
        <w:rPr>
          <w:spacing w:val="-1"/>
        </w:rPr>
        <w:t xml:space="preserve"> e-NOA</w:t>
      </w:r>
      <w:r>
        <w:t xml:space="preserve"> finalization</w:t>
      </w:r>
      <w:r>
        <w:rPr>
          <w:spacing w:val="-1"/>
        </w:rPr>
        <w:t xml:space="preserve"> </w:t>
      </w:r>
      <w:r>
        <w:t>step</w:t>
      </w:r>
      <w:r>
        <w:rPr>
          <w:spacing w:val="-1"/>
        </w:rPr>
        <w:t xml:space="preserve"> </w:t>
      </w:r>
      <w:r>
        <w:t>is</w:t>
      </w:r>
      <w:r>
        <w:rPr>
          <w:spacing w:val="-1"/>
        </w:rPr>
        <w:t xml:space="preserve"> </w:t>
      </w:r>
      <w:r>
        <w:t>complete,</w:t>
      </w:r>
      <w:r>
        <w:rPr>
          <w:spacing w:val="-1"/>
        </w:rPr>
        <w:t xml:space="preserve"> </w:t>
      </w:r>
      <w:r>
        <w:t>the</w:t>
      </w:r>
      <w:r>
        <w:rPr>
          <w:spacing w:val="-1"/>
        </w:rPr>
        <w:t xml:space="preserve"> e-NOA</w:t>
      </w:r>
      <w:r>
        <w:t xml:space="preserve"> software prompts respondents</w:t>
      </w:r>
      <w:r>
        <w:rPr>
          <w:spacing w:val="25"/>
        </w:rPr>
        <w:t xml:space="preserve"> </w:t>
      </w:r>
      <w:r>
        <w:t xml:space="preserve">to </w:t>
      </w:r>
      <w:r>
        <w:rPr>
          <w:spacing w:val="-1"/>
        </w:rPr>
        <w:t>log-in</w:t>
      </w:r>
      <w:r>
        <w:t xml:space="preserve"> to </w:t>
      </w:r>
      <w:r>
        <w:rPr>
          <w:spacing w:val="-1"/>
        </w:rPr>
        <w:t>CDX.</w:t>
      </w:r>
      <w:r>
        <w:t xml:space="preserve"> Respondents simply</w:t>
      </w:r>
      <w:r>
        <w:rPr>
          <w:spacing w:val="-7"/>
        </w:rPr>
        <w:t xml:space="preserve"> </w:t>
      </w:r>
      <w:r>
        <w:t>transmit the information to EPA online by</w:t>
      </w:r>
      <w:r>
        <w:rPr>
          <w:spacing w:val="-5"/>
        </w:rPr>
        <w:t xml:space="preserve"> </w:t>
      </w:r>
      <w:r>
        <w:t>clicking on the</w:t>
      </w:r>
      <w:r>
        <w:rPr>
          <w:spacing w:val="25"/>
        </w:rPr>
        <w:t xml:space="preserve"> </w:t>
      </w:r>
      <w:r>
        <w:rPr>
          <w:spacing w:val="-1"/>
        </w:rPr>
        <w:t>e-NOA</w:t>
      </w:r>
      <w:r>
        <w:t xml:space="preserve"> software’s “send” button.</w:t>
      </w:r>
    </w:p>
    <w:p w14:paraId="7AF47DB3" w14:textId="77777777" w:rsidR="0038132A" w:rsidRDefault="0038132A" w:rsidP="0038132A">
      <w:pPr>
        <w:spacing w:before="5"/>
        <w:rPr>
          <w:rFonts w:ascii="Times New Roman" w:eastAsia="Times New Roman" w:hAnsi="Times New Roman" w:cs="Times New Roman"/>
          <w:sz w:val="24"/>
          <w:szCs w:val="24"/>
        </w:rPr>
      </w:pPr>
    </w:p>
    <w:p w14:paraId="10873770" w14:textId="77777777" w:rsidR="0038132A" w:rsidRDefault="0038132A" w:rsidP="0038132A">
      <w:pPr>
        <w:pStyle w:val="Heading1"/>
        <w:tabs>
          <w:tab w:val="left" w:pos="1539"/>
        </w:tabs>
        <w:rPr>
          <w:b w:val="0"/>
          <w:bCs w:val="0"/>
        </w:rPr>
      </w:pPr>
      <w:r>
        <w:rPr>
          <w:spacing w:val="-1"/>
        </w:rPr>
        <w:t>5(c)</w:t>
      </w:r>
      <w:r>
        <w:rPr>
          <w:spacing w:val="-1"/>
        </w:rPr>
        <w:tab/>
        <w:t>Collection Methodology and Management</w:t>
      </w:r>
    </w:p>
    <w:p w14:paraId="2E667D75" w14:textId="77777777" w:rsidR="0038132A" w:rsidRDefault="0038132A" w:rsidP="0038132A">
      <w:pPr>
        <w:spacing w:before="7"/>
        <w:rPr>
          <w:rFonts w:ascii="Times New Roman" w:eastAsia="Times New Roman" w:hAnsi="Times New Roman" w:cs="Times New Roman"/>
          <w:b/>
          <w:bCs/>
          <w:sz w:val="23"/>
          <w:szCs w:val="23"/>
        </w:rPr>
      </w:pPr>
    </w:p>
    <w:p w14:paraId="2CE7CD11" w14:textId="77777777" w:rsidR="0038132A" w:rsidRDefault="0038132A" w:rsidP="0038132A">
      <w:pPr>
        <w:pStyle w:val="BodyText"/>
        <w:ind w:right="155"/>
      </w:pPr>
      <w:r>
        <w:t xml:space="preserve">All NOA forms must be generated using the </w:t>
      </w:r>
      <w:r>
        <w:rPr>
          <w:spacing w:val="-1"/>
        </w:rPr>
        <w:t>e-NOA</w:t>
      </w:r>
      <w:r>
        <w:t xml:space="preserve"> software</w:t>
      </w:r>
      <w:r>
        <w:rPr>
          <w:spacing w:val="-1"/>
        </w:rPr>
        <w:t xml:space="preserve"> </w:t>
      </w:r>
      <w:r>
        <w:t>and submitted</w:t>
      </w:r>
      <w:r>
        <w:rPr>
          <w:spacing w:val="22"/>
        </w:rPr>
        <w:t xml:space="preserve"> </w:t>
      </w:r>
      <w:r>
        <w:t>electronically</w:t>
      </w:r>
      <w:r>
        <w:rPr>
          <w:spacing w:val="-5"/>
        </w:rPr>
        <w:t xml:space="preserve"> </w:t>
      </w:r>
      <w:r>
        <w:t xml:space="preserve">via </w:t>
      </w:r>
      <w:r>
        <w:rPr>
          <w:spacing w:val="-1"/>
        </w:rPr>
        <w:t>CDX.</w:t>
      </w:r>
      <w:r>
        <w:rPr>
          <w:spacing w:val="2"/>
        </w:rPr>
        <w:t xml:space="preserve"> </w:t>
      </w:r>
      <w:r>
        <w:t>The</w:t>
      </w:r>
      <w:r>
        <w:rPr>
          <w:spacing w:val="-1"/>
        </w:rPr>
        <w:t xml:space="preserve"> </w:t>
      </w:r>
      <w:r>
        <w:t>data</w:t>
      </w:r>
      <w:r>
        <w:rPr>
          <w:spacing w:val="-1"/>
        </w:rPr>
        <w:t xml:space="preserve"> </w:t>
      </w:r>
      <w:r>
        <w:t>being</w:t>
      </w:r>
      <w:r>
        <w:rPr>
          <w:spacing w:val="-1"/>
        </w:rPr>
        <w:t xml:space="preserve"> </w:t>
      </w:r>
      <w:r>
        <w:t>transmitted</w:t>
      </w:r>
      <w:r>
        <w:rPr>
          <w:spacing w:val="-1"/>
        </w:rPr>
        <w:t xml:space="preserve"> </w:t>
      </w:r>
      <w:r>
        <w:t>electronically</w:t>
      </w:r>
      <w:r>
        <w:rPr>
          <w:spacing w:val="-2"/>
        </w:rPr>
        <w:t xml:space="preserve"> </w:t>
      </w:r>
      <w:r>
        <w:rPr>
          <w:spacing w:val="-1"/>
        </w:rPr>
        <w:t>via</w:t>
      </w:r>
      <w:r>
        <w:rPr>
          <w:spacing w:val="-2"/>
        </w:rPr>
        <w:t xml:space="preserve"> </w:t>
      </w:r>
      <w:r>
        <w:rPr>
          <w:spacing w:val="-1"/>
        </w:rPr>
        <w:t xml:space="preserve">CDX </w:t>
      </w:r>
      <w:r>
        <w:t>are</w:t>
      </w:r>
      <w:r>
        <w:rPr>
          <w:spacing w:val="1"/>
        </w:rPr>
        <w:t xml:space="preserve"> </w:t>
      </w:r>
      <w:r>
        <w:rPr>
          <w:spacing w:val="-1"/>
        </w:rPr>
        <w:t>encrypted</w:t>
      </w:r>
      <w:r>
        <w:t xml:space="preserve"> to protect</w:t>
      </w:r>
      <w:r>
        <w:rPr>
          <w:spacing w:val="25"/>
        </w:rPr>
        <w:t xml:space="preserve"> </w:t>
      </w:r>
      <w:r>
        <w:rPr>
          <w:spacing w:val="-1"/>
        </w:rPr>
        <w:t>CBI.</w:t>
      </w:r>
      <w:r>
        <w:t xml:space="preserve"> </w:t>
      </w:r>
      <w:r>
        <w:rPr>
          <w:spacing w:val="-1"/>
        </w:rPr>
        <w:t>The software works</w:t>
      </w:r>
      <w:r>
        <w:rPr>
          <w:spacing w:val="2"/>
        </w:rPr>
        <w:t xml:space="preserve"> </w:t>
      </w:r>
      <w:r>
        <w:t xml:space="preserve">with Windows, Macs, </w:t>
      </w:r>
      <w:r>
        <w:rPr>
          <w:spacing w:val="-1"/>
        </w:rPr>
        <w:t>Linux,</w:t>
      </w:r>
      <w:r>
        <w:t xml:space="preserve"> and </w:t>
      </w:r>
      <w:r>
        <w:rPr>
          <w:spacing w:val="-1"/>
        </w:rPr>
        <w:t>UNIX-based</w:t>
      </w:r>
      <w:r>
        <w:t xml:space="preserve"> computers, using XML</w:t>
      </w:r>
      <w:r>
        <w:rPr>
          <w:spacing w:val="29"/>
        </w:rPr>
        <w:t xml:space="preserve"> </w:t>
      </w:r>
      <w:r>
        <w:t>for efficient data transmittal to Agency</w:t>
      </w:r>
      <w:r>
        <w:rPr>
          <w:spacing w:val="-5"/>
        </w:rPr>
        <w:t xml:space="preserve"> </w:t>
      </w:r>
      <w:r>
        <w:t>data</w:t>
      </w:r>
      <w:r>
        <w:rPr>
          <w:spacing w:val="1"/>
        </w:rPr>
        <w:t xml:space="preserve"> </w:t>
      </w:r>
      <w:r>
        <w:rPr>
          <w:spacing w:val="-1"/>
        </w:rPr>
        <w:t xml:space="preserve">systems. </w:t>
      </w:r>
      <w:r>
        <w:t>The Agency</w:t>
      </w:r>
      <w:r>
        <w:rPr>
          <w:spacing w:val="-5"/>
        </w:rPr>
        <w:t xml:space="preserve"> </w:t>
      </w:r>
      <w:r>
        <w:t>requires all section 8(b) notices to be submitted electronically</w:t>
      </w:r>
      <w:r>
        <w:rPr>
          <w:spacing w:val="-3"/>
        </w:rPr>
        <w:t xml:space="preserve"> </w:t>
      </w:r>
      <w:r>
        <w:rPr>
          <w:spacing w:val="-2"/>
        </w:rPr>
        <w:t>via</w:t>
      </w:r>
      <w:r>
        <w:rPr>
          <w:spacing w:val="25"/>
        </w:rPr>
        <w:t xml:space="preserve"> </w:t>
      </w:r>
      <w:r>
        <w:rPr>
          <w:spacing w:val="-1"/>
        </w:rPr>
        <w:t>CDX.</w:t>
      </w:r>
    </w:p>
    <w:p w14:paraId="53B2DDAA" w14:textId="77777777" w:rsidR="0038132A" w:rsidRDefault="0038132A" w:rsidP="0038132A">
      <w:pPr>
        <w:rPr>
          <w:rFonts w:ascii="Times New Roman" w:eastAsia="Times New Roman" w:hAnsi="Times New Roman" w:cs="Times New Roman"/>
          <w:sz w:val="24"/>
          <w:szCs w:val="24"/>
        </w:rPr>
      </w:pPr>
    </w:p>
    <w:p w14:paraId="0FEEB075" w14:textId="77777777" w:rsidR="0038132A" w:rsidRDefault="0038132A" w:rsidP="0038132A">
      <w:pPr>
        <w:pStyle w:val="BodyText"/>
        <w:ind w:right="155"/>
      </w:pPr>
      <w:r>
        <w:rPr>
          <w:spacing w:val="-1"/>
        </w:rPr>
        <w:t>An electronic signature</w:t>
      </w:r>
      <w:r>
        <w:rPr>
          <w:spacing w:val="-2"/>
        </w:rPr>
        <w:t xml:space="preserve"> </w:t>
      </w:r>
      <w:r>
        <w:t>is</w:t>
      </w:r>
      <w:r>
        <w:rPr>
          <w:spacing w:val="1"/>
        </w:rPr>
        <w:t xml:space="preserve"> </w:t>
      </w:r>
      <w:r>
        <w:t>required for TSCA section 8(b) notices submitted to the Agency</w:t>
      </w:r>
      <w:r>
        <w:rPr>
          <w:spacing w:val="25"/>
        </w:rPr>
        <w:t xml:space="preserve"> </w:t>
      </w:r>
      <w:r>
        <w:t>via</w:t>
      </w:r>
      <w:r>
        <w:rPr>
          <w:spacing w:val="-1"/>
        </w:rPr>
        <w:t xml:space="preserve"> CDX.</w:t>
      </w:r>
      <w:r>
        <w:t xml:space="preserve"> Electronic signatures are granted as part of the</w:t>
      </w:r>
      <w:r>
        <w:rPr>
          <w:spacing w:val="-2"/>
        </w:rPr>
        <w:t xml:space="preserve"> </w:t>
      </w:r>
      <w:r>
        <w:rPr>
          <w:spacing w:val="-1"/>
        </w:rPr>
        <w:t>CDX user-registration process.</w:t>
      </w:r>
    </w:p>
    <w:p w14:paraId="52F428FB" w14:textId="77777777" w:rsidR="0038132A" w:rsidRDefault="0038132A" w:rsidP="0038132A">
      <w:pPr>
        <w:rPr>
          <w:rFonts w:ascii="Times New Roman" w:eastAsia="Times New Roman" w:hAnsi="Times New Roman" w:cs="Times New Roman"/>
          <w:sz w:val="24"/>
          <w:szCs w:val="24"/>
        </w:rPr>
      </w:pPr>
    </w:p>
    <w:p w14:paraId="7BD51306" w14:textId="77777777" w:rsidR="0038132A" w:rsidRDefault="0038132A" w:rsidP="0038132A">
      <w:pPr>
        <w:pStyle w:val="BodyText"/>
        <w:ind w:right="256"/>
      </w:pPr>
      <w:r>
        <w:t xml:space="preserve">All </w:t>
      </w:r>
      <w:r>
        <w:rPr>
          <w:spacing w:val="-1"/>
        </w:rPr>
        <w:t>e-NOA</w:t>
      </w:r>
      <w:r>
        <w:t xml:space="preserve"> software users </w:t>
      </w:r>
      <w:r>
        <w:rPr>
          <w:spacing w:val="-1"/>
        </w:rPr>
        <w:t xml:space="preserve">need to perform the </w:t>
      </w:r>
      <w:r>
        <w:t>“finalization”</w:t>
      </w:r>
      <w:r>
        <w:rPr>
          <w:spacing w:val="-1"/>
        </w:rPr>
        <w:t xml:space="preserve"> </w:t>
      </w:r>
      <w:r>
        <w:t>step</w:t>
      </w:r>
      <w:r>
        <w:rPr>
          <w:spacing w:val="-1"/>
        </w:rPr>
        <w:t xml:space="preserve"> </w:t>
      </w:r>
      <w:r>
        <w:t>in</w:t>
      </w:r>
      <w:r>
        <w:rPr>
          <w:spacing w:val="-1"/>
        </w:rPr>
        <w:t xml:space="preserve"> </w:t>
      </w:r>
      <w:r>
        <w:t>generating</w:t>
      </w:r>
      <w:r>
        <w:rPr>
          <w:spacing w:val="-1"/>
        </w:rPr>
        <w:t xml:space="preserve"> </w:t>
      </w:r>
      <w:r>
        <w:t>a</w:t>
      </w:r>
      <w:r>
        <w:rPr>
          <w:spacing w:val="28"/>
        </w:rPr>
        <w:t xml:space="preserve"> </w:t>
      </w:r>
      <w:r>
        <w:rPr>
          <w:spacing w:val="-1"/>
        </w:rPr>
        <w:t>document.</w:t>
      </w:r>
      <w:r>
        <w:t xml:space="preserve"> During the “finalization” step, the </w:t>
      </w:r>
      <w:r>
        <w:rPr>
          <w:spacing w:val="-1"/>
        </w:rPr>
        <w:t>e-NOA</w:t>
      </w:r>
      <w:r>
        <w:t xml:space="preserve"> software checks that all legally</w:t>
      </w:r>
      <w:r>
        <w:rPr>
          <w:spacing w:val="-5"/>
        </w:rPr>
        <w:t xml:space="preserve"> </w:t>
      </w:r>
      <w:r>
        <w:rPr>
          <w:spacing w:val="-1"/>
        </w:rPr>
        <w:t>required</w:t>
      </w:r>
      <w:r>
        <w:rPr>
          <w:spacing w:val="24"/>
        </w:rPr>
        <w:t xml:space="preserve"> </w:t>
      </w:r>
      <w:r>
        <w:rPr>
          <w:spacing w:val="-1"/>
        </w:rPr>
        <w:t>information is included, provides warnings where</w:t>
      </w:r>
      <w:r>
        <w:t xml:space="preserve"> </w:t>
      </w:r>
      <w:r>
        <w:rPr>
          <w:spacing w:val="-1"/>
        </w:rPr>
        <w:t>necessary,</w:t>
      </w:r>
      <w:r>
        <w:t xml:space="preserve"> and saves data in a read-only</w:t>
      </w:r>
      <w:r>
        <w:rPr>
          <w:spacing w:val="31"/>
        </w:rPr>
        <w:t xml:space="preserve"> </w:t>
      </w:r>
      <w:r>
        <w:t xml:space="preserve">format acceptable to the </w:t>
      </w:r>
      <w:r>
        <w:rPr>
          <w:spacing w:val="-1"/>
        </w:rPr>
        <w:t>Agency.</w:t>
      </w:r>
      <w:r>
        <w:t xml:space="preserve"> Section 8(b) notices </w:t>
      </w:r>
      <w:r>
        <w:rPr>
          <w:spacing w:val="-1"/>
        </w:rPr>
        <w:t>in which data have not undergone the</w:t>
      </w:r>
    </w:p>
    <w:p w14:paraId="3847D853" w14:textId="423C6C0D" w:rsidR="0038132A" w:rsidRDefault="0038132A" w:rsidP="0038132A">
      <w:pPr>
        <w:pStyle w:val="BodyText"/>
        <w:ind w:right="155" w:firstLine="0"/>
      </w:pPr>
      <w:r>
        <w:t>“finalization”</w:t>
      </w:r>
      <w:r>
        <w:rPr>
          <w:spacing w:val="-1"/>
        </w:rPr>
        <w:t xml:space="preserve"> </w:t>
      </w:r>
      <w:r>
        <w:t>step</w:t>
      </w:r>
      <w:r>
        <w:rPr>
          <w:spacing w:val="-1"/>
        </w:rPr>
        <w:t xml:space="preserve"> are determined incomplete.</w:t>
      </w:r>
      <w:r>
        <w:t xml:space="preserve"> This step is necessary</w:t>
      </w:r>
      <w:r>
        <w:rPr>
          <w:spacing w:val="-5"/>
        </w:rPr>
        <w:t xml:space="preserve"> </w:t>
      </w:r>
      <w:r>
        <w:t>to allow for an accurate and</w:t>
      </w:r>
      <w:r>
        <w:rPr>
          <w:spacing w:val="33"/>
        </w:rPr>
        <w:t xml:space="preserve"> </w:t>
      </w:r>
      <w:r>
        <w:rPr>
          <w:spacing w:val="-1"/>
        </w:rPr>
        <w:t xml:space="preserve">efficient transfer of data </w:t>
      </w:r>
      <w:r>
        <w:t xml:space="preserve">to </w:t>
      </w:r>
      <w:r w:rsidR="008348EC">
        <w:t>EPA</w:t>
      </w:r>
      <w:r>
        <w:t xml:space="preserve"> data </w:t>
      </w:r>
      <w:r>
        <w:rPr>
          <w:spacing w:val="-1"/>
        </w:rPr>
        <w:t>systems.</w:t>
      </w:r>
      <w:r>
        <w:t xml:space="preserve"> The</w:t>
      </w:r>
      <w:r>
        <w:rPr>
          <w:spacing w:val="-1"/>
        </w:rPr>
        <w:t xml:space="preserve"> </w:t>
      </w:r>
      <w:r>
        <w:t>word,</w:t>
      </w:r>
      <w:r>
        <w:rPr>
          <w:spacing w:val="-1"/>
        </w:rPr>
        <w:t xml:space="preserve"> “finalized,” </w:t>
      </w:r>
      <w:r>
        <w:t xml:space="preserve">is </w:t>
      </w:r>
      <w:r>
        <w:rPr>
          <w:spacing w:val="-1"/>
        </w:rPr>
        <w:t>in the file name and</w:t>
      </w:r>
      <w:r>
        <w:rPr>
          <w:spacing w:val="52"/>
        </w:rPr>
        <w:t xml:space="preserve"> </w:t>
      </w:r>
      <w:r>
        <w:rPr>
          <w:spacing w:val="-1"/>
        </w:rPr>
        <w:t>the name ends</w:t>
      </w:r>
      <w:r>
        <w:t xml:space="preserve"> with “tsca.”</w:t>
      </w:r>
      <w:r>
        <w:rPr>
          <w:spacing w:val="-1"/>
        </w:rPr>
        <w:t xml:space="preserve"> The “finalized” file (folder) contains</w:t>
      </w:r>
      <w:r>
        <w:t xml:space="preserve"> the CBI and </w:t>
      </w:r>
      <w:r>
        <w:rPr>
          <w:spacing w:val="-1"/>
        </w:rPr>
        <w:t>non-CBI</w:t>
      </w:r>
      <w:r>
        <w:t xml:space="preserve"> data in</w:t>
      </w:r>
      <w:r>
        <w:rPr>
          <w:spacing w:val="31"/>
        </w:rPr>
        <w:t xml:space="preserve"> </w:t>
      </w:r>
      <w:r>
        <w:t>XML</w:t>
      </w:r>
      <w:r>
        <w:rPr>
          <w:spacing w:val="-5"/>
        </w:rPr>
        <w:t xml:space="preserve"> </w:t>
      </w:r>
      <w:r>
        <w:t xml:space="preserve">format that are </w:t>
      </w:r>
      <w:r>
        <w:rPr>
          <w:spacing w:val="-1"/>
        </w:rPr>
        <w:t>non-editable.</w:t>
      </w:r>
      <w:r>
        <w:t xml:space="preserve"> The CBI and </w:t>
      </w:r>
      <w:r>
        <w:rPr>
          <w:spacing w:val="-1"/>
        </w:rPr>
        <w:t xml:space="preserve">non-CBI attachments are </w:t>
      </w:r>
      <w:r>
        <w:t>also in this folder in</w:t>
      </w:r>
      <w:r>
        <w:rPr>
          <w:spacing w:val="27"/>
        </w:rPr>
        <w:t xml:space="preserve"> </w:t>
      </w:r>
      <w:r>
        <w:rPr>
          <w:spacing w:val="-1"/>
        </w:rPr>
        <w:t>their native format.</w:t>
      </w:r>
      <w:r>
        <w:t xml:space="preserve"> Attachments must be submitted in one of EPA’s approved formats for the</w:t>
      </w:r>
      <w:r>
        <w:rPr>
          <w:spacing w:val="25"/>
        </w:rPr>
        <w:t xml:space="preserve"> </w:t>
      </w:r>
      <w:r>
        <w:t>Agency</w:t>
      </w:r>
      <w:r>
        <w:rPr>
          <w:spacing w:val="-5"/>
        </w:rPr>
        <w:t xml:space="preserve"> </w:t>
      </w:r>
      <w:r>
        <w:t>to be able to open the files.</w:t>
      </w:r>
    </w:p>
    <w:p w14:paraId="3742A778" w14:textId="77777777" w:rsidR="0038132A" w:rsidRDefault="0038132A" w:rsidP="0038132A">
      <w:pPr>
        <w:rPr>
          <w:rFonts w:ascii="Times New Roman" w:eastAsia="Times New Roman" w:hAnsi="Times New Roman" w:cs="Times New Roman"/>
          <w:sz w:val="24"/>
          <w:szCs w:val="24"/>
        </w:rPr>
      </w:pPr>
    </w:p>
    <w:p w14:paraId="131F6CBB" w14:textId="77777777" w:rsidR="0038132A" w:rsidRDefault="0038132A" w:rsidP="0038132A">
      <w:pPr>
        <w:pStyle w:val="BodyText"/>
        <w:spacing w:before="43" w:line="235" w:lineRule="auto"/>
        <w:ind w:right="134"/>
      </w:pPr>
      <w:r>
        <w:t>All information sent via CDX is transmitted securely</w:t>
      </w:r>
      <w:r>
        <w:rPr>
          <w:spacing w:val="-5"/>
        </w:rPr>
        <w:t xml:space="preserve"> </w:t>
      </w:r>
      <w:r>
        <w:t xml:space="preserve">to protect </w:t>
      </w:r>
      <w:r>
        <w:rPr>
          <w:spacing w:val="-1"/>
        </w:rPr>
        <w:t>CBI.</w:t>
      </w:r>
      <w:r>
        <w:rPr>
          <w:spacing w:val="2"/>
        </w:rPr>
        <w:t xml:space="preserve"> </w:t>
      </w:r>
      <w:r>
        <w:rPr>
          <w:spacing w:val="-1"/>
        </w:rPr>
        <w:t>Furthermore, if</w:t>
      </w:r>
      <w:r>
        <w:rPr>
          <w:spacing w:val="21"/>
        </w:rPr>
        <w:t xml:space="preserve"> </w:t>
      </w:r>
      <w:r>
        <w:rPr>
          <w:spacing w:val="-1"/>
        </w:rPr>
        <w:t>anything</w:t>
      </w:r>
      <w:r>
        <w:t xml:space="preserve"> in the submission has been claimed CBI, a sanitized copy</w:t>
      </w:r>
      <w:r>
        <w:rPr>
          <w:spacing w:val="-5"/>
        </w:rPr>
        <w:t xml:space="preserve"> </w:t>
      </w:r>
      <w:r>
        <w:t>of the notice must be</w:t>
      </w:r>
      <w:r>
        <w:rPr>
          <w:spacing w:val="23"/>
        </w:rPr>
        <w:t xml:space="preserve"> </w:t>
      </w:r>
      <w:r>
        <w:rPr>
          <w:spacing w:val="-1"/>
        </w:rPr>
        <w:t xml:space="preserve">provided </w:t>
      </w:r>
      <w:r>
        <w:rPr>
          <w:spacing w:val="2"/>
        </w:rPr>
        <w:t>by</w:t>
      </w:r>
      <w:r>
        <w:rPr>
          <w:spacing w:val="-1"/>
        </w:rPr>
        <w:t xml:space="preserve"> the submitter.</w:t>
      </w:r>
      <w:r>
        <w:t xml:space="preserve"> </w:t>
      </w:r>
      <w:r>
        <w:rPr>
          <w:spacing w:val="-1"/>
        </w:rPr>
        <w:t>The e-NOA</w:t>
      </w:r>
      <w:r>
        <w:t xml:space="preserve"> software facilitates the creation of this sanitized </w:t>
      </w:r>
      <w:r>
        <w:rPr>
          <w:spacing w:val="-1"/>
        </w:rPr>
        <w:t>non-CBI</w:t>
      </w:r>
      <w:r>
        <w:rPr>
          <w:spacing w:val="25"/>
        </w:rPr>
        <w:t xml:space="preserve"> </w:t>
      </w:r>
      <w:r>
        <w:t xml:space="preserve">version, eliminating the need for the submitter to do this </w:t>
      </w:r>
      <w:r>
        <w:rPr>
          <w:spacing w:val="-1"/>
        </w:rPr>
        <w:t>manually.</w:t>
      </w:r>
      <w:r>
        <w:rPr>
          <w:spacing w:val="2"/>
        </w:rPr>
        <w:t xml:space="preserve"> </w:t>
      </w:r>
      <w:r>
        <w:t>It also allows submitters to</w:t>
      </w:r>
      <w:r>
        <w:rPr>
          <w:spacing w:val="23"/>
        </w:rPr>
        <w:t xml:space="preserve"> </w:t>
      </w:r>
      <w:r>
        <w:rPr>
          <w:spacing w:val="-1"/>
        </w:rPr>
        <w:t xml:space="preserve">share </w:t>
      </w:r>
      <w:r>
        <w:t>a</w:t>
      </w:r>
      <w:r>
        <w:rPr>
          <w:spacing w:val="-1"/>
        </w:rPr>
        <w:t xml:space="preserve"> draft notice within their company during the creation of </w:t>
      </w:r>
      <w:r>
        <w:t>a</w:t>
      </w:r>
      <w:r>
        <w:rPr>
          <w:spacing w:val="-1"/>
        </w:rPr>
        <w:t xml:space="preserve"> notice and to save </w:t>
      </w:r>
      <w:r>
        <w:t>a</w:t>
      </w:r>
      <w:r>
        <w:rPr>
          <w:spacing w:val="-1"/>
        </w:rPr>
        <w:t xml:space="preserve"> </w:t>
      </w:r>
      <w:r>
        <w:t>copy</w:t>
      </w:r>
      <w:r>
        <w:rPr>
          <w:spacing w:val="-5"/>
        </w:rPr>
        <w:t xml:space="preserve"> </w:t>
      </w:r>
      <w:r>
        <w:t>of the</w:t>
      </w:r>
      <w:r>
        <w:rPr>
          <w:spacing w:val="39"/>
        </w:rPr>
        <w:t xml:space="preserve"> </w:t>
      </w:r>
      <w:r>
        <w:t>final file for future use. A “Profiler,” available in the software, also allows for certain information to be kept on file by</w:t>
      </w:r>
      <w:r>
        <w:rPr>
          <w:spacing w:val="-5"/>
        </w:rPr>
        <w:t xml:space="preserve"> </w:t>
      </w:r>
      <w:r>
        <w:t xml:space="preserve">the submitter to avoid the burden associated with </w:t>
      </w:r>
      <w:r>
        <w:rPr>
          <w:spacing w:val="-1"/>
        </w:rPr>
        <w:t>re-entering</w:t>
      </w:r>
      <w:r>
        <w:t xml:space="preserve"> the</w:t>
      </w:r>
      <w:r>
        <w:rPr>
          <w:spacing w:val="28"/>
        </w:rPr>
        <w:t xml:space="preserve"> </w:t>
      </w:r>
      <w:r>
        <w:rPr>
          <w:spacing w:val="-1"/>
        </w:rPr>
        <w:t xml:space="preserve">same </w:t>
      </w:r>
      <w:r>
        <w:t>information</w:t>
      </w:r>
      <w:r>
        <w:rPr>
          <w:spacing w:val="-1"/>
        </w:rPr>
        <w:t xml:space="preserve"> </w:t>
      </w:r>
      <w:r>
        <w:t>into</w:t>
      </w:r>
      <w:r>
        <w:rPr>
          <w:spacing w:val="-1"/>
        </w:rPr>
        <w:t xml:space="preserve"> </w:t>
      </w:r>
      <w:r>
        <w:t>a</w:t>
      </w:r>
      <w:r>
        <w:rPr>
          <w:spacing w:val="-1"/>
        </w:rPr>
        <w:t xml:space="preserve"> </w:t>
      </w:r>
      <w:r>
        <w:t>new</w:t>
      </w:r>
      <w:r>
        <w:rPr>
          <w:spacing w:val="-1"/>
        </w:rPr>
        <w:t xml:space="preserve"> </w:t>
      </w:r>
      <w:r>
        <w:t>form.</w:t>
      </w:r>
    </w:p>
    <w:p w14:paraId="379AF602" w14:textId="77777777" w:rsidR="0038132A" w:rsidRDefault="0038132A" w:rsidP="0038132A">
      <w:pPr>
        <w:rPr>
          <w:rFonts w:ascii="Times New Roman" w:eastAsia="Times New Roman" w:hAnsi="Times New Roman" w:cs="Times New Roman"/>
          <w:sz w:val="24"/>
          <w:szCs w:val="24"/>
        </w:rPr>
      </w:pPr>
    </w:p>
    <w:p w14:paraId="4EDC8DC8" w14:textId="77777777" w:rsidR="0038132A" w:rsidRDefault="0038132A" w:rsidP="0038132A">
      <w:pPr>
        <w:pStyle w:val="BodyText"/>
        <w:ind w:right="155"/>
      </w:pPr>
      <w:r>
        <w:t>The Agency</w:t>
      </w:r>
      <w:r>
        <w:rPr>
          <w:spacing w:val="-5"/>
        </w:rPr>
        <w:t xml:space="preserve"> </w:t>
      </w:r>
      <w:r>
        <w:t xml:space="preserve">also </w:t>
      </w:r>
      <w:r>
        <w:rPr>
          <w:spacing w:val="-1"/>
        </w:rPr>
        <w:t>benefits</w:t>
      </w:r>
      <w:r>
        <w:t xml:space="preserve"> from receiving electronic submissions. </w:t>
      </w:r>
      <w:r>
        <w:rPr>
          <w:spacing w:val="-1"/>
        </w:rPr>
        <w:t>Data</w:t>
      </w:r>
      <w:r>
        <w:rPr>
          <w:spacing w:val="-2"/>
        </w:rPr>
        <w:t xml:space="preserve"> </w:t>
      </w:r>
      <w:r>
        <w:rPr>
          <w:spacing w:val="-1"/>
        </w:rPr>
        <w:t>systems</w:t>
      </w:r>
      <w:r>
        <w:t xml:space="preserve"> are populated </w:t>
      </w:r>
      <w:r>
        <w:rPr>
          <w:spacing w:val="-1"/>
        </w:rPr>
        <w:t>electronically,</w:t>
      </w:r>
      <w:r>
        <w:t xml:space="preserve"> minimizing the potential for human error</w:t>
      </w:r>
      <w:r>
        <w:rPr>
          <w:spacing w:val="-2"/>
        </w:rPr>
        <w:t>.</w:t>
      </w:r>
      <w:r>
        <w:t xml:space="preserve"> Agency</w:t>
      </w:r>
      <w:r>
        <w:rPr>
          <w:spacing w:val="-5"/>
        </w:rPr>
        <w:t xml:space="preserve"> </w:t>
      </w:r>
      <w:r>
        <w:t xml:space="preserve">personnel are also able to communicate </w:t>
      </w:r>
      <w:r>
        <w:rPr>
          <w:spacing w:val="-1"/>
        </w:rPr>
        <w:t xml:space="preserve">efficiently with submitters electronically. </w:t>
      </w:r>
      <w:r>
        <w:t>Because companies register with EPA to submit their data electronically</w:t>
      </w:r>
      <w:r>
        <w:rPr>
          <w:spacing w:val="-4"/>
        </w:rPr>
        <w:t xml:space="preserve"> </w:t>
      </w:r>
      <w:r>
        <w:t>to the Agency via CDX, the Agency</w:t>
      </w:r>
      <w:r>
        <w:rPr>
          <w:spacing w:val="-5"/>
        </w:rPr>
        <w:t xml:space="preserve"> </w:t>
      </w:r>
      <w:r>
        <w:rPr>
          <w:spacing w:val="-1"/>
        </w:rPr>
        <w:t xml:space="preserve">in turn </w:t>
      </w:r>
      <w:r>
        <w:t>communicates electronically</w:t>
      </w:r>
      <w:r>
        <w:rPr>
          <w:spacing w:val="-5"/>
        </w:rPr>
        <w:t xml:space="preserve"> </w:t>
      </w:r>
      <w:r>
        <w:t>with</w:t>
      </w:r>
      <w:r>
        <w:rPr>
          <w:spacing w:val="26"/>
        </w:rPr>
        <w:t xml:space="preserve"> </w:t>
      </w:r>
      <w:r>
        <w:t>submitters via</w:t>
      </w:r>
      <w:r>
        <w:rPr>
          <w:spacing w:val="-1"/>
        </w:rPr>
        <w:t xml:space="preserve"> CDX.</w:t>
      </w:r>
      <w:r>
        <w:t xml:space="preserve"> The electronic means of communication provides</w:t>
      </w:r>
      <w:r>
        <w:rPr>
          <w:spacing w:val="27"/>
        </w:rPr>
        <w:t xml:space="preserve"> </w:t>
      </w:r>
      <w:r>
        <w:t>significant time and resource efficiencies for both parties.</w:t>
      </w:r>
    </w:p>
    <w:p w14:paraId="7E381070" w14:textId="77777777" w:rsidR="0038132A" w:rsidRDefault="0038132A" w:rsidP="0038132A">
      <w:pPr>
        <w:rPr>
          <w:rFonts w:ascii="Times New Roman" w:eastAsia="Times New Roman" w:hAnsi="Times New Roman" w:cs="Times New Roman"/>
          <w:sz w:val="24"/>
          <w:szCs w:val="24"/>
        </w:rPr>
      </w:pPr>
    </w:p>
    <w:p w14:paraId="47DB9046" w14:textId="77777777" w:rsidR="0038132A" w:rsidRDefault="0038132A" w:rsidP="0038132A">
      <w:pPr>
        <w:pStyle w:val="BodyText"/>
        <w:ind w:right="155"/>
      </w:pPr>
      <w:r>
        <w:rPr>
          <w:spacing w:val="-1"/>
        </w:rPr>
        <w:t>Additionally,</w:t>
      </w:r>
      <w:r>
        <w:t xml:space="preserve"> to aid persons subject to this information collection, OPPT has set up a</w:t>
      </w:r>
      <w:r>
        <w:rPr>
          <w:spacing w:val="28"/>
        </w:rPr>
        <w:t xml:space="preserve"> </w:t>
      </w:r>
      <w:r>
        <w:t>TSCA Hotline that provides information regarding TSCA regulatory</w:t>
      </w:r>
      <w:r>
        <w:rPr>
          <w:spacing w:val="-6"/>
        </w:rPr>
        <w:t xml:space="preserve"> </w:t>
      </w:r>
      <w:r>
        <w:t>requirements. When TSCA Hotline staff members are unable to answer questions regarding TSCA section 8(b), the questions are referred to OPPT staff for appropriate resolution.</w:t>
      </w:r>
    </w:p>
    <w:p w14:paraId="4D3AA35F" w14:textId="77777777" w:rsidR="0038132A" w:rsidRDefault="0038132A" w:rsidP="0038132A">
      <w:pPr>
        <w:spacing w:before="5"/>
        <w:rPr>
          <w:rFonts w:ascii="Times New Roman" w:eastAsia="Times New Roman" w:hAnsi="Times New Roman" w:cs="Times New Roman"/>
          <w:sz w:val="24"/>
          <w:szCs w:val="24"/>
        </w:rPr>
      </w:pPr>
    </w:p>
    <w:p w14:paraId="5D9A5A76" w14:textId="77777777" w:rsidR="0038132A" w:rsidRDefault="0038132A" w:rsidP="0038132A">
      <w:pPr>
        <w:pStyle w:val="Heading1"/>
        <w:tabs>
          <w:tab w:val="left" w:pos="1539"/>
        </w:tabs>
        <w:rPr>
          <w:b w:val="0"/>
          <w:bCs w:val="0"/>
        </w:rPr>
      </w:pPr>
      <w:r>
        <w:rPr>
          <w:spacing w:val="-1"/>
        </w:rPr>
        <w:t>5(d)</w:t>
      </w:r>
      <w:r>
        <w:rPr>
          <w:spacing w:val="-1"/>
        </w:rPr>
        <w:tab/>
        <w:t>Small Entity Flexibility</w:t>
      </w:r>
    </w:p>
    <w:p w14:paraId="058D50BD" w14:textId="77777777" w:rsidR="0038132A" w:rsidRDefault="0038132A" w:rsidP="0038132A">
      <w:pPr>
        <w:spacing w:before="7"/>
        <w:rPr>
          <w:rFonts w:ascii="Times New Roman" w:eastAsia="Times New Roman" w:hAnsi="Times New Roman" w:cs="Times New Roman"/>
          <w:b/>
          <w:bCs/>
          <w:sz w:val="23"/>
          <w:szCs w:val="23"/>
        </w:rPr>
      </w:pPr>
    </w:p>
    <w:p w14:paraId="195F1D68" w14:textId="77777777" w:rsidR="0038132A" w:rsidRDefault="0038132A" w:rsidP="0038132A">
      <w:pPr>
        <w:pStyle w:val="BodyText"/>
        <w:ind w:right="256"/>
      </w:pPr>
      <w:r>
        <w:rPr>
          <w:spacing w:val="-1"/>
        </w:rPr>
        <w:t xml:space="preserve">The </w:t>
      </w:r>
      <w:r>
        <w:t>reporting and recordkeeping requirements associated with TSCA section 8(b) are</w:t>
      </w:r>
      <w:r>
        <w:rPr>
          <w:spacing w:val="21"/>
        </w:rPr>
        <w:t xml:space="preserve"> </w:t>
      </w:r>
      <w:r>
        <w:t xml:space="preserve">applicable to all affected entities, regardless of size of </w:t>
      </w:r>
      <w:r>
        <w:rPr>
          <w:spacing w:val="-1"/>
        </w:rPr>
        <w:t>business.</w:t>
      </w:r>
      <w:r>
        <w:t xml:space="preserve"> However, EPA provides</w:t>
      </w:r>
      <w:r>
        <w:rPr>
          <w:spacing w:val="28"/>
        </w:rPr>
        <w:t xml:space="preserve"> </w:t>
      </w:r>
      <w:r>
        <w:t>specialized</w:t>
      </w:r>
      <w:r>
        <w:rPr>
          <w:spacing w:val="-1"/>
        </w:rPr>
        <w:t xml:space="preserve"> </w:t>
      </w:r>
      <w:r>
        <w:t>assistance</w:t>
      </w:r>
      <w:r>
        <w:rPr>
          <w:spacing w:val="-1"/>
        </w:rPr>
        <w:t xml:space="preserve"> </w:t>
      </w:r>
      <w:r>
        <w:t>to</w:t>
      </w:r>
      <w:r>
        <w:rPr>
          <w:spacing w:val="-1"/>
        </w:rPr>
        <w:t xml:space="preserve"> </w:t>
      </w:r>
      <w:r>
        <w:t>respondents,</w:t>
      </w:r>
      <w:r>
        <w:rPr>
          <w:spacing w:val="-1"/>
        </w:rPr>
        <w:t xml:space="preserve"> </w:t>
      </w:r>
      <w:r>
        <w:t>particularly</w:t>
      </w:r>
      <w:r>
        <w:rPr>
          <w:spacing w:val="-3"/>
        </w:rPr>
        <w:t xml:space="preserve"> </w:t>
      </w:r>
      <w:r>
        <w:t xml:space="preserve">to small entities. </w:t>
      </w:r>
      <w:r>
        <w:rPr>
          <w:spacing w:val="-1"/>
        </w:rPr>
        <w:t>TSCA section 26(d)</w:t>
      </w:r>
      <w:r>
        <w:rPr>
          <w:spacing w:val="26"/>
        </w:rPr>
        <w:t xml:space="preserve"> </w:t>
      </w:r>
      <w:r>
        <w:t xml:space="preserve">established the TSCA Assistance Office, now known as the Environmental Assistance Division </w:t>
      </w:r>
      <w:r>
        <w:rPr>
          <w:spacing w:val="-1"/>
        </w:rPr>
        <w:t xml:space="preserve">(EAD), to provide technical and other non-financial </w:t>
      </w:r>
      <w:r>
        <w:t>assistance</w:t>
      </w:r>
      <w:r>
        <w:rPr>
          <w:spacing w:val="-1"/>
        </w:rPr>
        <w:t xml:space="preserve"> </w:t>
      </w:r>
      <w:r>
        <w:t>to</w:t>
      </w:r>
      <w:r>
        <w:rPr>
          <w:spacing w:val="-1"/>
        </w:rPr>
        <w:t xml:space="preserve"> </w:t>
      </w:r>
      <w:r>
        <w:t>manufacturers</w:t>
      </w:r>
      <w:r>
        <w:rPr>
          <w:spacing w:val="-1"/>
        </w:rPr>
        <w:t xml:space="preserve"> and </w:t>
      </w:r>
      <w:r>
        <w:t>processors</w:t>
      </w:r>
      <w:r>
        <w:rPr>
          <w:spacing w:val="37"/>
        </w:rPr>
        <w:t xml:space="preserve"> </w:t>
      </w:r>
      <w:r>
        <w:rPr>
          <w:spacing w:val="-1"/>
        </w:rPr>
        <w:t>of chemical substances.</w:t>
      </w:r>
      <w:r>
        <w:rPr>
          <w:spacing w:val="2"/>
        </w:rPr>
        <w:t xml:space="preserve"> </w:t>
      </w:r>
      <w:r>
        <w:t>This office has established a</w:t>
      </w:r>
      <w:r>
        <w:rPr>
          <w:spacing w:val="-1"/>
        </w:rPr>
        <w:t xml:space="preserve"> </w:t>
      </w:r>
      <w:r>
        <w:t xml:space="preserve">TSCA </w:t>
      </w:r>
      <w:r>
        <w:rPr>
          <w:spacing w:val="-1"/>
        </w:rPr>
        <w:t>Hotline</w:t>
      </w:r>
      <w:r>
        <w:t xml:space="preserve"> to</w:t>
      </w:r>
      <w:r>
        <w:rPr>
          <w:spacing w:val="-1"/>
        </w:rPr>
        <w:t xml:space="preserve"> </w:t>
      </w:r>
      <w:r>
        <w:t>assist small businesses</w:t>
      </w:r>
      <w:r>
        <w:rPr>
          <w:spacing w:val="30"/>
        </w:rPr>
        <w:t xml:space="preserve"> </w:t>
      </w:r>
      <w:r>
        <w:rPr>
          <w:spacing w:val="-1"/>
        </w:rPr>
        <w:t>complying</w:t>
      </w:r>
      <w:r>
        <w:t xml:space="preserve"> with TSCA rules.</w:t>
      </w:r>
      <w:r>
        <w:rPr>
          <w:spacing w:val="2"/>
        </w:rPr>
        <w:t xml:space="preserve"> </w:t>
      </w:r>
      <w:r>
        <w:rPr>
          <w:spacing w:val="-3"/>
        </w:rPr>
        <w:t>It</w:t>
      </w:r>
      <w:r>
        <w:t xml:space="preserve"> provides material such as copies of</w:t>
      </w:r>
      <w:r>
        <w:rPr>
          <w:spacing w:val="-1"/>
        </w:rPr>
        <w:t xml:space="preserve"> Federal Register </w:t>
      </w:r>
      <w:r>
        <w:t>notices,</w:t>
      </w:r>
      <w:r>
        <w:rPr>
          <w:spacing w:val="26"/>
        </w:rPr>
        <w:t xml:space="preserve"> </w:t>
      </w:r>
      <w:r>
        <w:rPr>
          <w:spacing w:val="-1"/>
        </w:rPr>
        <w:t>advisories, and other information on request.</w:t>
      </w:r>
      <w:r>
        <w:rPr>
          <w:spacing w:val="2"/>
        </w:rPr>
        <w:t xml:space="preserve"> </w:t>
      </w:r>
    </w:p>
    <w:p w14:paraId="70F7E1D7" w14:textId="77777777" w:rsidR="0038132A" w:rsidRDefault="0038132A" w:rsidP="0038132A">
      <w:pPr>
        <w:rPr>
          <w:rFonts w:ascii="Times New Roman" w:eastAsia="Times New Roman" w:hAnsi="Times New Roman" w:cs="Times New Roman"/>
          <w:sz w:val="24"/>
          <w:szCs w:val="24"/>
        </w:rPr>
      </w:pPr>
    </w:p>
    <w:p w14:paraId="709FE4BF" w14:textId="53D4A406" w:rsidR="0038132A" w:rsidRDefault="0038132A" w:rsidP="0038132A">
      <w:pPr>
        <w:pStyle w:val="BodyText"/>
        <w:ind w:right="155"/>
      </w:pPr>
      <w:r>
        <w:t xml:space="preserve">Moreover, EPA has taken certain steps to minimize for all respondents the reporting burden associated with </w:t>
      </w:r>
      <w:r>
        <w:rPr>
          <w:spacing w:val="-1"/>
        </w:rPr>
        <w:t>complying</w:t>
      </w:r>
      <w:r>
        <w:t xml:space="preserve"> with this </w:t>
      </w:r>
      <w:r>
        <w:rPr>
          <w:spacing w:val="-1"/>
        </w:rPr>
        <w:t>collection.</w:t>
      </w:r>
      <w:r>
        <w:t xml:space="preserve"> </w:t>
      </w:r>
      <w:r>
        <w:rPr>
          <w:spacing w:val="-1"/>
        </w:rPr>
        <w:t>For example, the information</w:t>
      </w:r>
      <w:r>
        <w:t xml:space="preserve"> technology</w:t>
      </w:r>
      <w:r>
        <w:rPr>
          <w:spacing w:val="49"/>
        </w:rPr>
        <w:t xml:space="preserve"> </w:t>
      </w:r>
      <w:r>
        <w:t>used by</w:t>
      </w:r>
      <w:r>
        <w:rPr>
          <w:spacing w:val="-5"/>
        </w:rPr>
        <w:t xml:space="preserve"> </w:t>
      </w:r>
      <w:r>
        <w:t xml:space="preserve">EPA includes chemical substances on the TSCA Inventory in </w:t>
      </w:r>
      <w:r w:rsidR="008348EC">
        <w:t>EPA</w:t>
      </w:r>
      <w:r>
        <w:t xml:space="preserve"> Substance Registry System</w:t>
      </w:r>
      <w:r>
        <w:rPr>
          <w:spacing w:val="-1"/>
        </w:rPr>
        <w:t>.</w:t>
      </w:r>
      <w:r>
        <w:t xml:space="preserve"> </w:t>
      </w:r>
      <w:r>
        <w:rPr>
          <w:spacing w:val="-1"/>
        </w:rPr>
        <w:t>This list</w:t>
      </w:r>
      <w:r>
        <w:t xml:space="preserve"> allows submitters to select their reportable chemical substances from the list rather than manually entering each substance. Additionally, submitters are able to report multiple chemical substances in one session; upon completion of a session, each chemical substance will be transmitted in one NOA submission.</w:t>
      </w:r>
    </w:p>
    <w:p w14:paraId="411765F4" w14:textId="77777777" w:rsidR="0038132A" w:rsidRDefault="0038132A" w:rsidP="0038132A"/>
    <w:p w14:paraId="39AF1124" w14:textId="77777777" w:rsidR="0038132A" w:rsidRDefault="0038132A" w:rsidP="0038132A">
      <w:pPr>
        <w:pStyle w:val="BodyText"/>
        <w:ind w:right="116"/>
      </w:pPr>
      <w:r>
        <w:rPr>
          <w:spacing w:val="-1"/>
        </w:rPr>
        <w:t>Finally,</w:t>
      </w:r>
      <w:r>
        <w:t xml:space="preserve"> EPA provides the services of TSCA Inventory and other</w:t>
      </w:r>
      <w:r>
        <w:rPr>
          <w:spacing w:val="23"/>
        </w:rPr>
        <w:t xml:space="preserve"> </w:t>
      </w:r>
      <w:r>
        <w:rPr>
          <w:spacing w:val="-1"/>
        </w:rPr>
        <w:t>personnel to assist persons with reporting questions and</w:t>
      </w:r>
      <w:r>
        <w:t xml:space="preserve"> notice preparation prior to</w:t>
      </w:r>
      <w:r>
        <w:rPr>
          <w:spacing w:val="30"/>
        </w:rPr>
        <w:t xml:space="preserve"> </w:t>
      </w:r>
      <w:r>
        <w:t xml:space="preserve">submission. </w:t>
      </w:r>
      <w:r>
        <w:rPr>
          <w:spacing w:val="-1"/>
        </w:rPr>
        <w:t xml:space="preserve">TSCA Inventory personnel routinely </w:t>
      </w:r>
      <w:r>
        <w:t>respond to TSCA section 8(b) inquiries that pertain to the full scope of</w:t>
      </w:r>
      <w:r>
        <w:rPr>
          <w:spacing w:val="-1"/>
        </w:rPr>
        <w:t xml:space="preserve"> </w:t>
      </w:r>
      <w:r>
        <w:t>TSCA section 8(b) regulations.</w:t>
      </w:r>
    </w:p>
    <w:p w14:paraId="0C316135" w14:textId="77777777" w:rsidR="0038132A" w:rsidRDefault="0038132A" w:rsidP="0038132A">
      <w:pPr>
        <w:spacing w:before="5"/>
        <w:rPr>
          <w:rFonts w:ascii="Times New Roman" w:eastAsia="Times New Roman" w:hAnsi="Times New Roman" w:cs="Times New Roman"/>
          <w:sz w:val="24"/>
          <w:szCs w:val="24"/>
        </w:rPr>
      </w:pPr>
    </w:p>
    <w:p w14:paraId="5D6ADA89" w14:textId="77777777" w:rsidR="0038132A" w:rsidRDefault="0038132A" w:rsidP="0038132A">
      <w:pPr>
        <w:pStyle w:val="Heading1"/>
        <w:tabs>
          <w:tab w:val="left" w:pos="1539"/>
        </w:tabs>
        <w:rPr>
          <w:b w:val="0"/>
          <w:bCs w:val="0"/>
        </w:rPr>
      </w:pPr>
      <w:r>
        <w:rPr>
          <w:spacing w:val="-1"/>
        </w:rPr>
        <w:t>5(e)</w:t>
      </w:r>
      <w:r>
        <w:rPr>
          <w:spacing w:val="-1"/>
        </w:rPr>
        <w:tab/>
        <w:t>Collection</w:t>
      </w:r>
      <w:r>
        <w:t xml:space="preserve"> Schedule</w:t>
      </w:r>
    </w:p>
    <w:p w14:paraId="674EA105" w14:textId="77777777" w:rsidR="0038132A" w:rsidRDefault="0038132A" w:rsidP="0038132A">
      <w:pPr>
        <w:spacing w:before="7"/>
        <w:rPr>
          <w:rFonts w:ascii="Times New Roman" w:eastAsia="Times New Roman" w:hAnsi="Times New Roman" w:cs="Times New Roman"/>
          <w:b/>
          <w:bCs/>
          <w:sz w:val="23"/>
          <w:szCs w:val="23"/>
        </w:rPr>
      </w:pPr>
    </w:p>
    <w:p w14:paraId="4E842232" w14:textId="5512A4E2" w:rsidR="0038132A" w:rsidRDefault="0038132A" w:rsidP="0038132A">
      <w:pPr>
        <w:pStyle w:val="BodyText"/>
        <w:ind w:right="155"/>
      </w:pPr>
      <w:r>
        <w:rPr>
          <w:spacing w:val="-1"/>
        </w:rPr>
        <w:t>Does not apply.</w:t>
      </w:r>
      <w:r>
        <w:t xml:space="preserve"> Submission of information under this collection is on an </w:t>
      </w:r>
      <w:r>
        <w:rPr>
          <w:spacing w:val="-1"/>
        </w:rPr>
        <w:t xml:space="preserve">as-needed basis, </w:t>
      </w:r>
      <w:r>
        <w:t>initiated by</w:t>
      </w:r>
      <w:r>
        <w:rPr>
          <w:spacing w:val="-6"/>
        </w:rPr>
        <w:t xml:space="preserve"> </w:t>
      </w:r>
      <w:r>
        <w:rPr>
          <w:spacing w:val="-1"/>
        </w:rPr>
        <w:t xml:space="preserve">the </w:t>
      </w:r>
      <w:r>
        <w:t>submitters.</w:t>
      </w:r>
    </w:p>
    <w:p w14:paraId="474C5FB9" w14:textId="77777777" w:rsidR="00792744" w:rsidRDefault="00792744" w:rsidP="0038132A">
      <w:pPr>
        <w:pStyle w:val="BodyText"/>
        <w:ind w:right="155"/>
      </w:pPr>
    </w:p>
    <w:p w14:paraId="34C926D6" w14:textId="77777777" w:rsidR="00F830A7" w:rsidRDefault="00F830A7">
      <w:pPr>
        <w:pStyle w:val="BodyText"/>
        <w:ind w:right="155"/>
      </w:pPr>
    </w:p>
    <w:p w14:paraId="72572638" w14:textId="77777777" w:rsidR="00F352A2" w:rsidRDefault="005F0E43" w:rsidP="00B06388">
      <w:pPr>
        <w:pStyle w:val="Heading1"/>
        <w:numPr>
          <w:ilvl w:val="0"/>
          <w:numId w:val="60"/>
        </w:numPr>
        <w:tabs>
          <w:tab w:val="left" w:pos="820"/>
        </w:tabs>
        <w:ind w:left="810" w:hanging="810"/>
        <w:rPr>
          <w:b w:val="0"/>
          <w:bCs w:val="0"/>
        </w:rPr>
      </w:pPr>
      <w:r>
        <w:t>ESTIMATING THE BURDEN AND COST OF THE COLLECTION</w:t>
      </w:r>
    </w:p>
    <w:p w14:paraId="5EED915A" w14:textId="77777777" w:rsidR="00505245" w:rsidRDefault="00505245">
      <w:pPr>
        <w:rPr>
          <w:rFonts w:ascii="Times New Roman" w:eastAsia="Times New Roman" w:hAnsi="Times New Roman" w:cs="Times New Roman"/>
          <w:b/>
          <w:bCs/>
          <w:sz w:val="23"/>
          <w:szCs w:val="23"/>
        </w:rPr>
      </w:pPr>
    </w:p>
    <w:p w14:paraId="620C7579" w14:textId="77777777" w:rsidR="00505245" w:rsidRPr="00E544A8" w:rsidRDefault="00505245" w:rsidP="00505245">
      <w:pPr>
        <w:pStyle w:val="BodyText"/>
        <w:ind w:right="155"/>
        <w:rPr>
          <w:rFonts w:cs="Times New Roman"/>
        </w:rPr>
      </w:pPr>
      <w:r>
        <w:rPr>
          <w:spacing w:val="-1"/>
        </w:rPr>
        <w:t>This</w:t>
      </w:r>
      <w:r>
        <w:t xml:space="preserve"> </w:t>
      </w:r>
      <w:r>
        <w:rPr>
          <w:spacing w:val="-1"/>
        </w:rPr>
        <w:t>analysis</w:t>
      </w:r>
      <w:r>
        <w:t xml:space="preserve"> presents the burden and cost estimates for affected entities, and covers submissions </w:t>
      </w:r>
      <w:r w:rsidRPr="008E0DC0">
        <w:t xml:space="preserve">of </w:t>
      </w:r>
      <w:r w:rsidRPr="008E0DC0">
        <w:rPr>
          <w:spacing w:val="-1"/>
        </w:rPr>
        <w:t>Notices of Activity</w:t>
      </w:r>
      <w:r w:rsidRPr="008E0DC0">
        <w:rPr>
          <w:spacing w:val="24"/>
        </w:rPr>
        <w:t xml:space="preserve"> </w:t>
      </w:r>
      <w:r w:rsidRPr="008E0DC0">
        <w:rPr>
          <w:spacing w:val="-1"/>
        </w:rPr>
        <w:t>(NOAs)</w:t>
      </w:r>
      <w:r w:rsidRPr="008E0DC0">
        <w:t xml:space="preserve">. </w:t>
      </w:r>
      <w:r>
        <w:fldChar w:fldCharType="begin"/>
      </w:r>
      <w:r>
        <w:instrText xml:space="preserve"> REF _Ref468866373 \h </w:instrText>
      </w:r>
      <w:r>
        <w:fldChar w:fldCharType="separate"/>
      </w:r>
      <w:r w:rsidRPr="00D50513">
        <w:t xml:space="preserve">Table </w:t>
      </w:r>
      <w:r>
        <w:rPr>
          <w:noProof/>
        </w:rPr>
        <w:t>1</w:t>
      </w:r>
      <w:r>
        <w:fldChar w:fldCharType="end"/>
      </w:r>
      <w:r>
        <w:t xml:space="preserve"> provides a list of general activities required for compliance with the</w:t>
      </w:r>
      <w:r>
        <w:rPr>
          <w:spacing w:val="25"/>
        </w:rPr>
        <w:t xml:space="preserve"> </w:t>
      </w:r>
      <w:r>
        <w:t xml:space="preserve">regulation by manufacturers (including importers) and processors. </w:t>
      </w:r>
      <w:r>
        <w:fldChar w:fldCharType="begin"/>
      </w:r>
      <w:r>
        <w:instrText xml:space="preserve"> REF _Ref468866373 \h </w:instrText>
      </w:r>
      <w:r>
        <w:fldChar w:fldCharType="separate"/>
      </w:r>
      <w:r w:rsidRPr="00D50513">
        <w:t xml:space="preserve">Table </w:t>
      </w:r>
      <w:r>
        <w:rPr>
          <w:noProof/>
        </w:rPr>
        <w:t>1</w:t>
      </w:r>
      <w:r>
        <w:fldChar w:fldCharType="end"/>
      </w:r>
      <w:r>
        <w:t xml:space="preserve"> </w:t>
      </w:r>
      <w:r>
        <w:rPr>
          <w:spacing w:val="-1"/>
        </w:rPr>
        <w:t>also provides</w:t>
      </w:r>
      <w:r>
        <w:t xml:space="preserve"> a </w:t>
      </w:r>
      <w:r>
        <w:rPr>
          <w:spacing w:val="-1"/>
        </w:rPr>
        <w:t>cross-walk of the related</w:t>
      </w:r>
      <w:r>
        <w:rPr>
          <w:spacing w:val="4"/>
        </w:rPr>
        <w:t xml:space="preserve"> </w:t>
      </w:r>
      <w:r>
        <w:t>Information</w:t>
      </w:r>
      <w:r>
        <w:rPr>
          <w:spacing w:val="-1"/>
        </w:rPr>
        <w:t xml:space="preserve"> </w:t>
      </w:r>
      <w:r>
        <w:t>Collection</w:t>
      </w:r>
      <w:r>
        <w:rPr>
          <w:spacing w:val="-1"/>
        </w:rPr>
        <w:t xml:space="preserve"> </w:t>
      </w:r>
      <w:r>
        <w:t>category</w:t>
      </w:r>
      <w:r>
        <w:rPr>
          <w:spacing w:val="-5"/>
        </w:rPr>
        <w:t xml:space="preserve"> </w:t>
      </w:r>
      <w:r>
        <w:t>that</w:t>
      </w:r>
      <w:r>
        <w:rPr>
          <w:spacing w:val="31"/>
        </w:rPr>
        <w:t xml:space="preserve"> </w:t>
      </w:r>
      <w:r>
        <w:t xml:space="preserve">corresponds to each </w:t>
      </w:r>
      <w:r>
        <w:rPr>
          <w:spacing w:val="-1"/>
        </w:rPr>
        <w:t>activity.</w:t>
      </w:r>
      <w:r>
        <w:t xml:space="preserve"> Burden and cost calculations are based on the assumption that EPA</w:t>
      </w:r>
      <w:r>
        <w:rPr>
          <w:spacing w:val="24"/>
        </w:rPr>
        <w:t xml:space="preserve"> </w:t>
      </w:r>
      <w:r>
        <w:t>will receive approximately</w:t>
      </w:r>
      <w:r>
        <w:rPr>
          <w:spacing w:val="-3"/>
        </w:rPr>
        <w:t xml:space="preserve"> 1,685</w:t>
      </w:r>
      <w:r w:rsidRPr="00F0323A">
        <w:t xml:space="preserve"> NOA submissions</w:t>
      </w:r>
      <w:r w:rsidRPr="00483C45">
        <w:t xml:space="preserve"> during Start-Up Reporting in the first year, and 20 NOA submissions annually for </w:t>
      </w:r>
      <w:r w:rsidRPr="00483C45">
        <w:rPr>
          <w:spacing w:val="-1"/>
        </w:rPr>
        <w:t>each</w:t>
      </w:r>
      <w:r w:rsidRPr="00483C45">
        <w:rPr>
          <w:spacing w:val="4"/>
        </w:rPr>
        <w:t xml:space="preserve"> </w:t>
      </w:r>
      <w:r w:rsidRPr="00483C45">
        <w:rPr>
          <w:spacing w:val="-1"/>
        </w:rPr>
        <w:t>year of Ongoing</w:t>
      </w:r>
      <w:r>
        <w:rPr>
          <w:spacing w:val="-1"/>
        </w:rPr>
        <w:t xml:space="preserve"> Reporting. For both Start-Up and Ongoing Reporting, the typical submission is assumed to include 18 chemicals, as reported in </w:t>
      </w:r>
      <w:r>
        <w:rPr>
          <w:i/>
          <w:spacing w:val="-1"/>
        </w:rPr>
        <w:t>Burden and Cost Report for the Final Rule: TSCA Inventory Notification Requirements</w:t>
      </w:r>
      <w:r>
        <w:rPr>
          <w:spacing w:val="-1"/>
        </w:rPr>
        <w:t xml:space="preserve"> </w:t>
      </w:r>
      <w:r>
        <w:rPr>
          <w:spacing w:val="-1"/>
        </w:rPr>
        <w:fldChar w:fldCharType="begin"/>
      </w:r>
      <w:r>
        <w:rPr>
          <w:spacing w:val="-1"/>
        </w:rPr>
        <w:instrText xml:space="preserve"> ADDIN ZOTERO_ITEM CSL_CITATION {"citationID":"a1ql59d5r05","properties":{"formattedCitation":"(EPA,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spacing w:val="-1"/>
        </w:rPr>
        <w:fldChar w:fldCharType="separate"/>
      </w:r>
      <w:r w:rsidRPr="000530A5">
        <w:rPr>
          <w:rFonts w:cs="Times New Roman"/>
        </w:rPr>
        <w:t>(EPA, 2017)</w:t>
      </w:r>
      <w:r>
        <w:rPr>
          <w:spacing w:val="-1"/>
        </w:rPr>
        <w:fldChar w:fldCharType="end"/>
      </w:r>
      <w:r>
        <w:rPr>
          <w:spacing w:val="-1"/>
        </w:rPr>
        <w:t xml:space="preserve">. </w:t>
      </w:r>
      <w:r>
        <w:t xml:space="preserve"> </w:t>
      </w:r>
      <w:r>
        <w:br/>
      </w:r>
    </w:p>
    <w:p w14:paraId="1303827E" w14:textId="77777777" w:rsidR="00505245" w:rsidRPr="00D50513" w:rsidRDefault="00505245" w:rsidP="00505245">
      <w:pPr>
        <w:pStyle w:val="Caption"/>
        <w:tabs>
          <w:tab w:val="clear" w:pos="1440"/>
          <w:tab w:val="left" w:pos="0"/>
        </w:tabs>
        <w:ind w:left="0" w:firstLine="0"/>
        <w:rPr>
          <w:rFonts w:ascii="Times New Roman" w:hAnsi="Times New Roman"/>
          <w:sz w:val="24"/>
          <w:szCs w:val="24"/>
        </w:rPr>
      </w:pPr>
      <w:bookmarkStart w:id="1" w:name="_Ref468866373"/>
      <w:r w:rsidRPr="00D50513">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bookmarkEnd w:id="1"/>
      <w:r w:rsidRPr="00D50513">
        <w:rPr>
          <w:rFonts w:ascii="Times New Roman" w:hAnsi="Times New Roman"/>
          <w:sz w:val="24"/>
          <w:szCs w:val="24"/>
        </w:rPr>
        <w:t>. Cross-Walk between Industry Activities and Related Information Collections (ICs)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03"/>
        <w:gridCol w:w="4595"/>
        <w:gridCol w:w="3078"/>
      </w:tblGrid>
      <w:tr w:rsidR="00505245" w:rsidRPr="00327051" w14:paraId="24A3354A" w14:textId="77777777" w:rsidTr="00505245">
        <w:tc>
          <w:tcPr>
            <w:tcW w:w="994" w:type="pct"/>
            <w:shd w:val="clear" w:color="auto" w:fill="BFBFBF" w:themeFill="background1" w:themeFillShade="BF"/>
            <w:vAlign w:val="bottom"/>
          </w:tcPr>
          <w:p w14:paraId="08B1E5F5" w14:textId="77777777" w:rsidR="00505245" w:rsidRPr="00327051" w:rsidRDefault="00505245" w:rsidP="00505245">
            <w:pPr>
              <w:keepNext/>
              <w:autoSpaceDE w:val="0"/>
              <w:autoSpaceDN w:val="0"/>
              <w:adjustRightInd w:val="0"/>
              <w:jc w:val="center"/>
              <w:rPr>
                <w:rFonts w:ascii="Times New Roman" w:eastAsia="Times New Roman" w:hAnsi="Times New Roman" w:cs="Times New Roman"/>
                <w:b/>
                <w:sz w:val="20"/>
                <w:szCs w:val="20"/>
              </w:rPr>
            </w:pPr>
            <w:r w:rsidRPr="00327051">
              <w:rPr>
                <w:rFonts w:ascii="Times New Roman" w:eastAsia="Times New Roman" w:hAnsi="Times New Roman" w:cs="Times New Roman"/>
                <w:b/>
                <w:sz w:val="20"/>
                <w:szCs w:val="20"/>
              </w:rPr>
              <w:t>Activity</w:t>
            </w:r>
          </w:p>
        </w:tc>
        <w:tc>
          <w:tcPr>
            <w:tcW w:w="2399" w:type="pct"/>
            <w:shd w:val="clear" w:color="auto" w:fill="BFBFBF" w:themeFill="background1" w:themeFillShade="BF"/>
            <w:vAlign w:val="bottom"/>
          </w:tcPr>
          <w:p w14:paraId="2BCF94BD" w14:textId="77777777" w:rsidR="00505245" w:rsidRPr="00327051" w:rsidRDefault="00505245" w:rsidP="00505245">
            <w:pPr>
              <w:keepNext/>
              <w:autoSpaceDE w:val="0"/>
              <w:autoSpaceDN w:val="0"/>
              <w:adjustRightInd w:val="0"/>
              <w:jc w:val="center"/>
              <w:rPr>
                <w:rFonts w:ascii="Times New Roman" w:eastAsia="Times New Roman" w:hAnsi="Times New Roman" w:cs="Times New Roman"/>
                <w:b/>
                <w:sz w:val="20"/>
                <w:szCs w:val="20"/>
              </w:rPr>
            </w:pPr>
            <w:r w:rsidRPr="00327051">
              <w:rPr>
                <w:rFonts w:ascii="Times New Roman" w:eastAsia="Times New Roman" w:hAnsi="Times New Roman" w:cs="Times New Roman"/>
                <w:b/>
                <w:sz w:val="20"/>
                <w:szCs w:val="20"/>
              </w:rPr>
              <w:t>Description</w:t>
            </w:r>
          </w:p>
        </w:tc>
        <w:tc>
          <w:tcPr>
            <w:tcW w:w="1607" w:type="pct"/>
            <w:shd w:val="clear" w:color="auto" w:fill="BFBFBF" w:themeFill="background1" w:themeFillShade="BF"/>
            <w:vAlign w:val="bottom"/>
          </w:tcPr>
          <w:p w14:paraId="5589DAFE" w14:textId="77777777" w:rsidR="00505245" w:rsidRPr="00327051" w:rsidRDefault="00505245" w:rsidP="00505245">
            <w:pPr>
              <w:keepNext/>
              <w:autoSpaceDE w:val="0"/>
              <w:autoSpaceDN w:val="0"/>
              <w:adjustRightInd w:val="0"/>
              <w:jc w:val="center"/>
              <w:rPr>
                <w:rFonts w:ascii="Times New Roman" w:eastAsia="Times New Roman" w:hAnsi="Times New Roman" w:cs="Times New Roman"/>
                <w:b/>
                <w:sz w:val="20"/>
                <w:szCs w:val="20"/>
              </w:rPr>
            </w:pPr>
            <w:r w:rsidRPr="00327051">
              <w:rPr>
                <w:rFonts w:ascii="Times New Roman" w:eastAsia="Times New Roman" w:hAnsi="Times New Roman" w:cs="Times New Roman"/>
                <w:b/>
                <w:sz w:val="20"/>
                <w:szCs w:val="20"/>
              </w:rPr>
              <w:t>Related IC(s) included in this ICR Renewal</w:t>
            </w:r>
          </w:p>
        </w:tc>
      </w:tr>
      <w:tr w:rsidR="00505245" w:rsidRPr="00327051" w14:paraId="2708995C" w14:textId="77777777" w:rsidTr="00505245">
        <w:tc>
          <w:tcPr>
            <w:tcW w:w="994" w:type="pct"/>
          </w:tcPr>
          <w:p w14:paraId="24402AC1" w14:textId="77777777" w:rsidR="00505245" w:rsidRPr="00327051" w:rsidRDefault="00505245" w:rsidP="00505245">
            <w:pPr>
              <w:keepNext/>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b/>
                <w:bCs/>
                <w:sz w:val="20"/>
                <w:szCs w:val="20"/>
              </w:rPr>
              <w:t>Preparation and Submission of Reports</w:t>
            </w:r>
          </w:p>
        </w:tc>
        <w:tc>
          <w:tcPr>
            <w:tcW w:w="2399" w:type="pct"/>
          </w:tcPr>
          <w:p w14:paraId="4CB503E8" w14:textId="77777777" w:rsidR="00505245" w:rsidRPr="00327051" w:rsidRDefault="00505245" w:rsidP="00505245">
            <w:pPr>
              <w:keepNext/>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sz w:val="20"/>
                <w:szCs w:val="20"/>
              </w:rPr>
              <w:t>Staff must collect all of the information, required by submission</w:t>
            </w:r>
            <w:r>
              <w:rPr>
                <w:rFonts w:ascii="Times New Roman" w:eastAsia="Times New Roman" w:hAnsi="Times New Roman" w:cs="Times New Roman"/>
                <w:sz w:val="20"/>
                <w:szCs w:val="20"/>
              </w:rPr>
              <w:t>s.</w:t>
            </w:r>
            <w:r w:rsidRPr="00327051">
              <w:rPr>
                <w:rFonts w:ascii="Times New Roman" w:eastAsia="Times New Roman" w:hAnsi="Times New Roman" w:cs="Times New Roman"/>
                <w:sz w:val="20"/>
                <w:szCs w:val="20"/>
              </w:rPr>
              <w:t xml:space="preserve"> This ICR covers </w:t>
            </w:r>
            <w:r>
              <w:rPr>
                <w:rFonts w:ascii="Times New Roman" w:eastAsia="Times New Roman" w:hAnsi="Times New Roman" w:cs="Times New Roman"/>
                <w:sz w:val="20"/>
                <w:szCs w:val="20"/>
              </w:rPr>
              <w:t xml:space="preserve">the NOAs submitted during Start-Up Reporting and for Annual Ongoing Reporting. </w:t>
            </w:r>
            <w:r w:rsidRPr="00327051">
              <w:rPr>
                <w:rFonts w:ascii="Times New Roman" w:eastAsia="Times New Roman" w:hAnsi="Times New Roman" w:cs="Times New Roman"/>
                <w:sz w:val="20"/>
                <w:szCs w:val="20"/>
              </w:rPr>
              <w:t xml:space="preserve">The information must be gathered, reviewed, and submitted to EPA. This </w:t>
            </w:r>
            <w:r>
              <w:rPr>
                <w:rFonts w:ascii="Times New Roman" w:eastAsia="Times New Roman" w:hAnsi="Times New Roman" w:cs="Times New Roman"/>
                <w:sz w:val="20"/>
                <w:szCs w:val="20"/>
              </w:rPr>
              <w:t xml:space="preserve">activity </w:t>
            </w:r>
            <w:r w:rsidRPr="00327051">
              <w:rPr>
                <w:rFonts w:ascii="Times New Roman" w:eastAsia="Times New Roman" w:hAnsi="Times New Roman" w:cs="Times New Roman"/>
                <w:sz w:val="20"/>
                <w:szCs w:val="20"/>
              </w:rPr>
              <w:t>involves any research necessary to identify the correct information and the act of completing the submission review</w:t>
            </w:r>
            <w:r>
              <w:rPr>
                <w:rFonts w:ascii="Times New Roman" w:eastAsia="Times New Roman" w:hAnsi="Times New Roman" w:cs="Times New Roman"/>
                <w:sz w:val="20"/>
                <w:szCs w:val="20"/>
              </w:rPr>
              <w:t>.</w:t>
            </w:r>
            <w:r w:rsidRPr="00327051">
              <w:rPr>
                <w:rFonts w:ascii="Times New Roman" w:eastAsia="Times New Roman" w:hAnsi="Times New Roman" w:cs="Times New Roman"/>
                <w:sz w:val="20"/>
                <w:szCs w:val="20"/>
              </w:rPr>
              <w:t xml:space="preserve"> </w:t>
            </w:r>
          </w:p>
        </w:tc>
        <w:tc>
          <w:tcPr>
            <w:tcW w:w="1607" w:type="pct"/>
          </w:tcPr>
          <w:p w14:paraId="5763B44C" w14:textId="77777777" w:rsidR="00505245" w:rsidRPr="00327051" w:rsidRDefault="00505245" w:rsidP="00505245">
            <w:pPr>
              <w:keepNext/>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sz w:val="20"/>
                <w:szCs w:val="20"/>
              </w:rPr>
              <w:t>Prepare and Submit Report, and Maintain Records</w:t>
            </w:r>
          </w:p>
        </w:tc>
      </w:tr>
      <w:tr w:rsidR="00505245" w:rsidRPr="00327051" w14:paraId="5B5A86BB" w14:textId="77777777" w:rsidTr="00505245">
        <w:tc>
          <w:tcPr>
            <w:tcW w:w="994" w:type="pct"/>
          </w:tcPr>
          <w:p w14:paraId="0FF0186B" w14:textId="77777777" w:rsidR="00505245" w:rsidRPr="00327051" w:rsidRDefault="00505245" w:rsidP="00505245">
            <w:pPr>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b/>
                <w:bCs/>
                <w:sz w:val="20"/>
                <w:szCs w:val="20"/>
              </w:rPr>
              <w:t>Recordkeeping</w:t>
            </w:r>
          </w:p>
        </w:tc>
        <w:tc>
          <w:tcPr>
            <w:tcW w:w="2399" w:type="pct"/>
          </w:tcPr>
          <w:p w14:paraId="08E58AFB" w14:textId="77777777" w:rsidR="00505245" w:rsidRPr="00327051" w:rsidRDefault="00505245" w:rsidP="00505245">
            <w:pPr>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sz w:val="20"/>
                <w:szCs w:val="20"/>
              </w:rPr>
              <w:t>Respondents must keep records supporting their submissions</w:t>
            </w:r>
            <w:r>
              <w:rPr>
                <w:rFonts w:ascii="Times New Roman" w:eastAsia="Times New Roman" w:hAnsi="Times New Roman" w:cs="Times New Roman"/>
                <w:sz w:val="20"/>
                <w:szCs w:val="20"/>
              </w:rPr>
              <w:t>.</w:t>
            </w:r>
            <w:r w:rsidRPr="00327051">
              <w:rPr>
                <w:rFonts w:ascii="Times New Roman" w:eastAsia="Times New Roman" w:hAnsi="Times New Roman" w:cs="Times New Roman"/>
                <w:sz w:val="20"/>
                <w:szCs w:val="20"/>
              </w:rPr>
              <w:t xml:space="preserve"> </w:t>
            </w:r>
          </w:p>
        </w:tc>
        <w:tc>
          <w:tcPr>
            <w:tcW w:w="1607" w:type="pct"/>
          </w:tcPr>
          <w:p w14:paraId="691164F2" w14:textId="77777777" w:rsidR="00505245" w:rsidRPr="00327051" w:rsidRDefault="00505245" w:rsidP="00505245">
            <w:pPr>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sz w:val="20"/>
                <w:szCs w:val="20"/>
              </w:rPr>
              <w:t xml:space="preserve">Prepare and Submit Report, and Maintain Records </w:t>
            </w:r>
          </w:p>
        </w:tc>
      </w:tr>
      <w:tr w:rsidR="00505245" w:rsidRPr="00327051" w14:paraId="097B6396" w14:textId="77777777" w:rsidTr="00505245">
        <w:tc>
          <w:tcPr>
            <w:tcW w:w="994" w:type="pct"/>
          </w:tcPr>
          <w:p w14:paraId="3AEFA693" w14:textId="77777777" w:rsidR="00505245" w:rsidRPr="00327051" w:rsidRDefault="00505245" w:rsidP="00505245">
            <w:pPr>
              <w:autoSpaceDE w:val="0"/>
              <w:autoSpaceDN w:val="0"/>
              <w:adjustRightInd w:val="0"/>
              <w:rPr>
                <w:rFonts w:ascii="Times New Roman" w:eastAsia="Times New Roman" w:hAnsi="Times New Roman" w:cs="Times New Roman"/>
                <w:b/>
                <w:bCs/>
                <w:sz w:val="20"/>
                <w:szCs w:val="20"/>
              </w:rPr>
            </w:pPr>
            <w:r w:rsidRPr="00327051">
              <w:rPr>
                <w:rFonts w:ascii="Times New Roman" w:eastAsia="Times New Roman" w:hAnsi="Times New Roman" w:cs="Times New Roman"/>
                <w:b/>
                <w:bCs/>
                <w:sz w:val="20"/>
                <w:szCs w:val="20"/>
              </w:rPr>
              <w:t>CDX Registration</w:t>
            </w:r>
          </w:p>
        </w:tc>
        <w:tc>
          <w:tcPr>
            <w:tcW w:w="2399" w:type="pct"/>
          </w:tcPr>
          <w:p w14:paraId="16D62BCC" w14:textId="77777777" w:rsidR="00505245" w:rsidRPr="00327051" w:rsidRDefault="00505245" w:rsidP="00505245">
            <w:pPr>
              <w:autoSpaceDE w:val="0"/>
              <w:autoSpaceDN w:val="0"/>
              <w:adjustRightInd w:val="0"/>
              <w:rPr>
                <w:rFonts w:ascii="Times New Roman" w:eastAsia="Times New Roman" w:hAnsi="Times New Roman" w:cs="Times New Roman"/>
                <w:sz w:val="20"/>
                <w:szCs w:val="20"/>
              </w:rPr>
            </w:pPr>
            <w:r w:rsidRPr="005B5314">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information collection</w:t>
            </w:r>
            <w:r w:rsidRPr="005B5314">
              <w:rPr>
                <w:rFonts w:ascii="Times New Roman" w:eastAsia="Times New Roman" w:hAnsi="Times New Roman" w:cs="Times New Roman"/>
                <w:sz w:val="20"/>
                <w:szCs w:val="20"/>
              </w:rPr>
              <w:t xml:space="preserve"> requires that submitters register with CDX in order to submit electronic records and completing an Electronic Signature Agreement form, including a C</w:t>
            </w:r>
            <w:r>
              <w:rPr>
                <w:rFonts w:ascii="Times New Roman" w:eastAsia="Times New Roman" w:hAnsi="Times New Roman" w:cs="Times New Roman"/>
                <w:sz w:val="20"/>
                <w:szCs w:val="20"/>
              </w:rPr>
              <w:t>R</w:t>
            </w:r>
            <w:r w:rsidRPr="005B5314">
              <w:rPr>
                <w:rFonts w:ascii="Times New Roman" w:eastAsia="Times New Roman" w:hAnsi="Times New Roman" w:cs="Times New Roman"/>
                <w:sz w:val="20"/>
                <w:szCs w:val="20"/>
              </w:rPr>
              <w:t>OMERR certification, which is signed, dated, and submitted electronically back to EPA.</w:t>
            </w:r>
          </w:p>
        </w:tc>
        <w:tc>
          <w:tcPr>
            <w:tcW w:w="1607" w:type="pct"/>
          </w:tcPr>
          <w:p w14:paraId="315AF525" w14:textId="77777777" w:rsidR="00505245" w:rsidRPr="00327051" w:rsidRDefault="00505245" w:rsidP="00505245">
            <w:pPr>
              <w:autoSpaceDE w:val="0"/>
              <w:autoSpaceDN w:val="0"/>
              <w:adjustRightInd w:val="0"/>
              <w:rPr>
                <w:rFonts w:ascii="Times New Roman" w:eastAsia="Times New Roman" w:hAnsi="Times New Roman" w:cs="Times New Roman"/>
                <w:sz w:val="20"/>
                <w:szCs w:val="20"/>
              </w:rPr>
            </w:pPr>
            <w:r w:rsidRPr="00327051">
              <w:rPr>
                <w:rFonts w:ascii="Times New Roman" w:eastAsia="Times New Roman" w:hAnsi="Times New Roman" w:cs="Times New Roman"/>
                <w:sz w:val="20"/>
                <w:szCs w:val="20"/>
              </w:rPr>
              <w:t>CDX Registration Activities</w:t>
            </w:r>
          </w:p>
        </w:tc>
      </w:tr>
    </w:tbl>
    <w:p w14:paraId="5DA82E7B" w14:textId="77777777" w:rsidR="00505245" w:rsidRDefault="00505245" w:rsidP="00505245">
      <w:pPr>
        <w:ind w:firstLine="720"/>
        <w:rPr>
          <w:rFonts w:ascii="Times New Roman" w:hAnsi="Times New Roman" w:cs="Times New Roman"/>
          <w:sz w:val="24"/>
          <w:szCs w:val="24"/>
        </w:rPr>
      </w:pPr>
    </w:p>
    <w:p w14:paraId="180C1F58" w14:textId="77777777" w:rsidR="00505245" w:rsidRDefault="00505245" w:rsidP="00505245">
      <w:pPr>
        <w:pStyle w:val="Heading1"/>
      </w:pPr>
      <w:r w:rsidRPr="000F1208">
        <w:t xml:space="preserve">6(a) Estimating Respondent </w:t>
      </w:r>
      <w:r>
        <w:t>Burden</w:t>
      </w:r>
      <w:r w:rsidRPr="000F1208">
        <w:t xml:space="preserve">  </w:t>
      </w:r>
    </w:p>
    <w:p w14:paraId="241B33B5" w14:textId="77777777" w:rsidR="00505245" w:rsidRDefault="00505245" w:rsidP="00505245">
      <w:pPr>
        <w:rPr>
          <w:rFonts w:ascii="Times New Roman" w:hAnsi="Times New Roman" w:cs="Times New Roman"/>
          <w:b/>
          <w:sz w:val="24"/>
          <w:szCs w:val="24"/>
        </w:rPr>
      </w:pPr>
    </w:p>
    <w:p w14:paraId="429B7E32" w14:textId="77777777" w:rsidR="00505245" w:rsidRDefault="00505245" w:rsidP="00505245">
      <w:pPr>
        <w:ind w:firstLine="720"/>
        <w:rPr>
          <w:rFonts w:ascii="Times New Roman" w:hAnsi="Times New Roman" w:cs="Times New Roman"/>
          <w:b/>
          <w:sz w:val="24"/>
          <w:szCs w:val="24"/>
        </w:rPr>
      </w:pPr>
      <w:r w:rsidRPr="005B5314">
        <w:rPr>
          <w:rFonts w:ascii="Times New Roman" w:eastAsia="Times New Roman" w:hAnsi="Times New Roman"/>
          <w:spacing w:val="-1"/>
          <w:sz w:val="24"/>
          <w:szCs w:val="24"/>
        </w:rPr>
        <w:t>This section presents the burden of this information collection activity to respondents in terms of the time required for facility personnel to perform the activities outlined in Section 3 of this document.</w:t>
      </w:r>
      <w:r>
        <w:rPr>
          <w:rFonts w:ascii="Times New Roman" w:eastAsia="Times New Roman" w:hAnsi="Times New Roman"/>
          <w:spacing w:val="-1"/>
          <w:sz w:val="24"/>
          <w:szCs w:val="24"/>
        </w:rPr>
        <w:t xml:space="preserve"> T</w:t>
      </w:r>
      <w:r w:rsidRPr="005B5314">
        <w:rPr>
          <w:rFonts w:ascii="Times New Roman" w:eastAsia="Times New Roman" w:hAnsi="Times New Roman"/>
          <w:spacing w:val="-1"/>
          <w:sz w:val="24"/>
          <w:szCs w:val="24"/>
        </w:rPr>
        <w:t xml:space="preserve">he overall unit burden experienced by firms </w:t>
      </w:r>
      <w:r>
        <w:rPr>
          <w:rFonts w:ascii="Times New Roman" w:eastAsia="Times New Roman" w:hAnsi="Times New Roman"/>
          <w:spacing w:val="-1"/>
          <w:sz w:val="24"/>
          <w:szCs w:val="24"/>
        </w:rPr>
        <w:t>is</w:t>
      </w:r>
      <w:r w:rsidRPr="005B5314">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estimated</w:t>
      </w:r>
      <w:r w:rsidRPr="005B5314">
        <w:rPr>
          <w:rFonts w:ascii="Times New Roman" w:eastAsia="Times New Roman" w:hAnsi="Times New Roman"/>
          <w:spacing w:val="-1"/>
          <w:sz w:val="24"/>
          <w:szCs w:val="24"/>
        </w:rPr>
        <w:t xml:space="preserve"> by combining activity-level unit burdens at the appropriate scale (e.g. per firm or per chemical) to produce estimates for unit burden per submission, by firm. Th</w:t>
      </w:r>
      <w:r>
        <w:rPr>
          <w:rFonts w:ascii="Times New Roman" w:eastAsia="Times New Roman" w:hAnsi="Times New Roman"/>
          <w:spacing w:val="-1"/>
          <w:sz w:val="24"/>
          <w:szCs w:val="24"/>
        </w:rPr>
        <w:t>is section</w:t>
      </w:r>
      <w:r w:rsidRPr="005B5314">
        <w:rPr>
          <w:rFonts w:ascii="Times New Roman" w:eastAsia="Times New Roman" w:hAnsi="Times New Roman"/>
          <w:spacing w:val="-1"/>
          <w:sz w:val="24"/>
          <w:szCs w:val="24"/>
        </w:rPr>
        <w:t xml:space="preserve"> detail</w:t>
      </w:r>
      <w:r>
        <w:rPr>
          <w:rFonts w:ascii="Times New Roman" w:eastAsia="Times New Roman" w:hAnsi="Times New Roman"/>
          <w:spacing w:val="-1"/>
          <w:sz w:val="24"/>
          <w:szCs w:val="24"/>
        </w:rPr>
        <w:t>s</w:t>
      </w:r>
      <w:r w:rsidRPr="005B5314">
        <w:rPr>
          <w:rFonts w:ascii="Times New Roman" w:eastAsia="Times New Roman" w:hAnsi="Times New Roman"/>
          <w:spacing w:val="-1"/>
          <w:sz w:val="24"/>
          <w:szCs w:val="24"/>
        </w:rPr>
        <w:t xml:space="preserve"> the activity-level unit burdens grouped by type of activity. </w:t>
      </w:r>
      <w:r>
        <w:rPr>
          <w:rFonts w:ascii="Times New Roman" w:eastAsia="Times New Roman" w:hAnsi="Times New Roman"/>
          <w:spacing w:val="-1"/>
          <w:sz w:val="24"/>
          <w:szCs w:val="24"/>
        </w:rPr>
        <w:t xml:space="preserve">For additional details see the </w:t>
      </w:r>
      <w:r w:rsidRPr="005B5314">
        <w:rPr>
          <w:rFonts w:ascii="Times New Roman" w:eastAsia="Times New Roman" w:hAnsi="Times New Roman"/>
          <w:i/>
          <w:spacing w:val="-1"/>
          <w:sz w:val="24"/>
          <w:szCs w:val="24"/>
        </w:rPr>
        <w:t xml:space="preserve">Burden and Cost Report for the </w:t>
      </w:r>
      <w:r>
        <w:rPr>
          <w:rFonts w:ascii="Times New Roman" w:eastAsia="Times New Roman" w:hAnsi="Times New Roman"/>
          <w:i/>
          <w:spacing w:val="-1"/>
          <w:sz w:val="24"/>
          <w:szCs w:val="24"/>
        </w:rPr>
        <w:t>Final</w:t>
      </w:r>
      <w:r w:rsidRPr="005B5314">
        <w:rPr>
          <w:rFonts w:ascii="Times New Roman" w:eastAsia="Times New Roman" w:hAnsi="Times New Roman"/>
          <w:i/>
          <w:spacing w:val="-1"/>
          <w:sz w:val="24"/>
          <w:szCs w:val="24"/>
        </w:rPr>
        <w:t xml:space="preserve"> Rule: TSCA Inventory Notification Requirements</w:t>
      </w:r>
      <w:r>
        <w:rPr>
          <w:rFonts w:ascii="Times New Roman" w:eastAsia="Times New Roman" w:hAnsi="Times New Roman"/>
          <w:i/>
          <w:spacing w:val="-1"/>
          <w:sz w:val="24"/>
          <w:szCs w:val="24"/>
        </w:rPr>
        <w:t xml:space="preserve"> </w:t>
      </w:r>
      <w:r>
        <w:rPr>
          <w:rFonts w:ascii="Times New Roman" w:eastAsia="Times New Roman" w:hAnsi="Times New Roman"/>
          <w:i/>
          <w:spacing w:val="-1"/>
          <w:sz w:val="24"/>
          <w:szCs w:val="24"/>
        </w:rPr>
        <w:fldChar w:fldCharType="begin"/>
      </w:r>
      <w:r>
        <w:rPr>
          <w:rFonts w:ascii="Times New Roman" w:eastAsia="Times New Roman" w:hAnsi="Times New Roman"/>
          <w:i/>
          <w:spacing w:val="-1"/>
          <w:sz w:val="24"/>
          <w:szCs w:val="24"/>
        </w:rPr>
        <w:instrText xml:space="preserve"> ADDIN ZOTERO_ITEM CSL_CITATION {"citationID":"a2nvqbo1uai","properties":{"formattedCitation":"(EPA,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eastAsia="Times New Roman" w:hAnsi="Times New Roman"/>
          <w:i/>
          <w:spacing w:val="-1"/>
          <w:sz w:val="24"/>
          <w:szCs w:val="24"/>
        </w:rPr>
        <w:fldChar w:fldCharType="separate"/>
      </w:r>
      <w:r w:rsidRPr="009D1C27">
        <w:rPr>
          <w:rFonts w:ascii="Times New Roman" w:hAnsi="Times New Roman" w:cs="Times New Roman"/>
          <w:sz w:val="24"/>
        </w:rPr>
        <w:t>(EPA, 2017)</w:t>
      </w:r>
      <w:r>
        <w:rPr>
          <w:rFonts w:ascii="Times New Roman" w:eastAsia="Times New Roman" w:hAnsi="Times New Roman"/>
          <w:i/>
          <w:spacing w:val="-1"/>
          <w:sz w:val="24"/>
          <w:szCs w:val="24"/>
        </w:rPr>
        <w:fldChar w:fldCharType="end"/>
      </w:r>
      <w:r>
        <w:rPr>
          <w:rFonts w:ascii="Times New Roman" w:eastAsia="Times New Roman" w:hAnsi="Times New Roman"/>
          <w:i/>
          <w:spacing w:val="-1"/>
          <w:sz w:val="24"/>
          <w:szCs w:val="24"/>
        </w:rPr>
        <w:t>.</w:t>
      </w:r>
      <w:r>
        <w:rPr>
          <w:rFonts w:ascii="Times New Roman" w:eastAsia="Times New Roman" w:hAnsi="Times New Roman"/>
          <w:spacing w:val="-1"/>
          <w:sz w:val="24"/>
          <w:szCs w:val="24"/>
        </w:rPr>
        <w:t xml:space="preserve"> Note that there are two types of reporting within the ICR period. Start-Up Reporting occurs within the first year, and Ongoing Reporting occurs during the last two years.</w:t>
      </w:r>
    </w:p>
    <w:p w14:paraId="62451D07" w14:textId="77777777" w:rsidR="00505245" w:rsidRDefault="00505245" w:rsidP="00505245">
      <w:pPr>
        <w:rPr>
          <w:rFonts w:ascii="Times New Roman" w:hAnsi="Times New Roman" w:cs="Times New Roman"/>
          <w:b/>
          <w:sz w:val="24"/>
          <w:szCs w:val="24"/>
        </w:rPr>
      </w:pPr>
    </w:p>
    <w:p w14:paraId="10777FB8" w14:textId="77777777" w:rsidR="00505245" w:rsidRDefault="00505245" w:rsidP="00505245">
      <w:pPr>
        <w:ind w:firstLine="720"/>
        <w:rPr>
          <w:rFonts w:ascii="Times New Roman" w:eastAsia="Times New Roman" w:hAnsi="Times New Roman"/>
          <w:spacing w:val="-1"/>
          <w:sz w:val="24"/>
          <w:szCs w:val="24"/>
        </w:rPr>
      </w:pPr>
      <w:r w:rsidRPr="005B5314">
        <w:rPr>
          <w:rFonts w:ascii="Times New Roman" w:eastAsia="Times New Roman" w:hAnsi="Times New Roman"/>
          <w:spacing w:val="-1"/>
          <w:sz w:val="24"/>
          <w:szCs w:val="24"/>
        </w:rPr>
        <w:t>The</w:t>
      </w:r>
      <w:r>
        <w:rPr>
          <w:rFonts w:ascii="Times New Roman" w:eastAsia="Times New Roman" w:hAnsi="Times New Roman"/>
          <w:spacing w:val="-1"/>
          <w:sz w:val="24"/>
          <w:szCs w:val="24"/>
        </w:rPr>
        <w:t xml:space="preserve"> required </w:t>
      </w:r>
      <w:r w:rsidRPr="005B5314">
        <w:rPr>
          <w:rFonts w:ascii="Times New Roman" w:eastAsia="Times New Roman" w:hAnsi="Times New Roman"/>
          <w:spacing w:val="-1"/>
          <w:sz w:val="24"/>
          <w:szCs w:val="24"/>
        </w:rPr>
        <w:t>activities</w:t>
      </w:r>
      <w:r>
        <w:rPr>
          <w:rFonts w:ascii="Times New Roman" w:eastAsia="Times New Roman" w:hAnsi="Times New Roman"/>
          <w:spacing w:val="-1"/>
          <w:sz w:val="24"/>
          <w:szCs w:val="24"/>
        </w:rPr>
        <w:t xml:space="preserve"> are described below. </w:t>
      </w:r>
      <w:r>
        <w:rPr>
          <w:rFonts w:ascii="Times New Roman" w:eastAsia="Times New Roman" w:hAnsi="Times New Roman"/>
          <w:spacing w:val="-1"/>
          <w:sz w:val="24"/>
          <w:szCs w:val="24"/>
        </w:rPr>
        <w:fldChar w:fldCharType="begin"/>
      </w:r>
      <w:r>
        <w:rPr>
          <w:rFonts w:ascii="Times New Roman" w:eastAsia="Times New Roman" w:hAnsi="Times New Roman"/>
          <w:spacing w:val="-1"/>
          <w:sz w:val="24"/>
          <w:szCs w:val="24"/>
        </w:rPr>
        <w:instrText xml:space="preserve"> REF _Ref468994438 \h </w:instrText>
      </w:r>
      <w:r>
        <w:rPr>
          <w:rFonts w:ascii="Times New Roman" w:eastAsia="Times New Roman" w:hAnsi="Times New Roman"/>
          <w:spacing w:val="-1"/>
          <w:sz w:val="24"/>
          <w:szCs w:val="24"/>
        </w:rPr>
      </w:r>
      <w:r>
        <w:rPr>
          <w:rFonts w:ascii="Times New Roman" w:eastAsia="Times New Roman" w:hAnsi="Times New Roman"/>
          <w:spacing w:val="-1"/>
          <w:sz w:val="24"/>
          <w:szCs w:val="24"/>
        </w:rPr>
        <w:fldChar w:fldCharType="separate"/>
      </w:r>
      <w:r w:rsidRPr="007D7498">
        <w:rPr>
          <w:rFonts w:ascii="Times New Roman" w:hAnsi="Times New Roman"/>
          <w:sz w:val="24"/>
        </w:rPr>
        <w:t xml:space="preserve">Table </w:t>
      </w:r>
      <w:r>
        <w:rPr>
          <w:rFonts w:ascii="Times New Roman" w:hAnsi="Times New Roman"/>
          <w:noProof/>
          <w:sz w:val="24"/>
        </w:rPr>
        <w:t>3</w:t>
      </w:r>
      <w:r>
        <w:rPr>
          <w:rFonts w:ascii="Times New Roman" w:eastAsia="Times New Roman" w:hAnsi="Times New Roman"/>
          <w:spacing w:val="-1"/>
          <w:sz w:val="24"/>
          <w:szCs w:val="24"/>
        </w:rPr>
        <w:fldChar w:fldCharType="end"/>
      </w:r>
      <w:r>
        <w:rPr>
          <w:rFonts w:ascii="Times New Roman" w:eastAsia="Times New Roman" w:hAnsi="Times New Roman"/>
          <w:spacing w:val="-1"/>
          <w:sz w:val="24"/>
          <w:szCs w:val="24"/>
        </w:rPr>
        <w:t xml:space="preserve"> provides the detailed estimates. </w:t>
      </w:r>
    </w:p>
    <w:p w14:paraId="536B7814" w14:textId="77777777" w:rsidR="00505245" w:rsidRPr="005B5314" w:rsidRDefault="00505245" w:rsidP="00505245">
      <w:pPr>
        <w:ind w:firstLine="720"/>
        <w:rPr>
          <w:rFonts w:ascii="Times New Roman" w:eastAsia="Times New Roman" w:hAnsi="Times New Roman"/>
          <w:spacing w:val="-1"/>
          <w:sz w:val="24"/>
          <w:szCs w:val="24"/>
        </w:rPr>
      </w:pPr>
    </w:p>
    <w:p w14:paraId="5CEA86FB" w14:textId="77777777" w:rsidR="00505245" w:rsidRPr="005B5314" w:rsidRDefault="00505245" w:rsidP="00505245">
      <w:pPr>
        <w:pStyle w:val="Heading3"/>
        <w:keepLines w:val="0"/>
        <w:widowControl/>
        <w:numPr>
          <w:ilvl w:val="2"/>
          <w:numId w:val="0"/>
        </w:numPr>
        <w:tabs>
          <w:tab w:val="num" w:pos="0"/>
        </w:tabs>
        <w:spacing w:before="60" w:after="120" w:line="264" w:lineRule="auto"/>
        <w:rPr>
          <w:rFonts w:ascii="Times New Roman" w:eastAsia="Times New Roman" w:hAnsi="Times New Roman"/>
          <w:spacing w:val="-1"/>
          <w:sz w:val="24"/>
          <w:szCs w:val="24"/>
        </w:rPr>
      </w:pPr>
      <w:bookmarkStart w:id="2" w:name="_Toc468709628"/>
      <w:r w:rsidRPr="00483C45">
        <w:rPr>
          <w:rFonts w:ascii="Times New Roman" w:eastAsia="Times New Roman" w:hAnsi="Times New Roman" w:cstheme="minorBidi"/>
          <w:bCs w:val="0"/>
          <w:i/>
          <w:color w:val="auto"/>
          <w:spacing w:val="-1"/>
          <w:sz w:val="24"/>
          <w:szCs w:val="24"/>
        </w:rPr>
        <w:t>Rule Familiarization</w:t>
      </w:r>
      <w:bookmarkEnd w:id="2"/>
      <w:r>
        <w:rPr>
          <w:rFonts w:ascii="Times New Roman" w:eastAsia="Times New Roman" w:hAnsi="Times New Roman" w:cstheme="minorBidi"/>
          <w:bCs w:val="0"/>
          <w:color w:val="auto"/>
          <w:spacing w:val="-1"/>
          <w:sz w:val="24"/>
          <w:szCs w:val="24"/>
        </w:rPr>
        <w:t xml:space="preserve">. </w:t>
      </w:r>
      <w:r w:rsidRPr="005B5314">
        <w:rPr>
          <w:rFonts w:ascii="Times New Roman" w:eastAsia="Times New Roman" w:hAnsi="Times New Roman" w:cstheme="minorBidi"/>
          <w:b w:val="0"/>
          <w:bCs w:val="0"/>
          <w:color w:val="auto"/>
          <w:spacing w:val="-1"/>
          <w:sz w:val="24"/>
          <w:szCs w:val="24"/>
        </w:rPr>
        <w:t>The burden associated with rule familiarization in</w:t>
      </w:r>
      <w:r>
        <w:rPr>
          <w:rFonts w:ascii="Times New Roman" w:eastAsia="Times New Roman" w:hAnsi="Times New Roman" w:cstheme="minorBidi"/>
          <w:b w:val="0"/>
          <w:bCs w:val="0"/>
          <w:color w:val="auto"/>
          <w:spacing w:val="-1"/>
          <w:sz w:val="24"/>
          <w:szCs w:val="24"/>
        </w:rPr>
        <w:t xml:space="preserve">volves </w:t>
      </w:r>
      <w:r w:rsidRPr="005B5314">
        <w:rPr>
          <w:rFonts w:ascii="Times New Roman" w:eastAsia="Times New Roman" w:hAnsi="Times New Roman" w:cstheme="minorBidi"/>
          <w:b w:val="0"/>
          <w:bCs w:val="0"/>
          <w:color w:val="auto"/>
          <w:spacing w:val="-1"/>
          <w:sz w:val="24"/>
          <w:szCs w:val="24"/>
        </w:rPr>
        <w:t xml:space="preserve">becoming familiar with the full requirements of the rule, which </w:t>
      </w:r>
      <w:r>
        <w:rPr>
          <w:rFonts w:ascii="Times New Roman" w:eastAsia="Times New Roman" w:hAnsi="Times New Roman" w:cstheme="minorBidi"/>
          <w:b w:val="0"/>
          <w:bCs w:val="0"/>
          <w:color w:val="auto"/>
          <w:spacing w:val="-1"/>
          <w:sz w:val="24"/>
          <w:szCs w:val="24"/>
        </w:rPr>
        <w:t xml:space="preserve">includes </w:t>
      </w:r>
      <w:r w:rsidRPr="005B5314">
        <w:rPr>
          <w:rFonts w:ascii="Times New Roman" w:eastAsia="Times New Roman" w:hAnsi="Times New Roman" w:cstheme="minorBidi"/>
          <w:b w:val="0"/>
          <w:bCs w:val="0"/>
          <w:color w:val="auto"/>
          <w:spacing w:val="-1"/>
          <w:sz w:val="24"/>
          <w:szCs w:val="24"/>
        </w:rPr>
        <w:t xml:space="preserve">reading the rule, understanding the various reporting and administrative requirements, and determining the manner in which reporting requirements will be met for each chemical substance. This level of activity would apply to all entities within the affected universe during </w:t>
      </w:r>
      <w:r>
        <w:rPr>
          <w:rFonts w:ascii="Times New Roman" w:eastAsia="Times New Roman" w:hAnsi="Times New Roman" w:cstheme="minorBidi"/>
          <w:b w:val="0"/>
          <w:bCs w:val="0"/>
          <w:color w:val="auto"/>
          <w:spacing w:val="-1"/>
          <w:sz w:val="24"/>
          <w:szCs w:val="24"/>
        </w:rPr>
        <w:t>S</w:t>
      </w:r>
      <w:r w:rsidRPr="005B5314">
        <w:rPr>
          <w:rFonts w:ascii="Times New Roman" w:eastAsia="Times New Roman" w:hAnsi="Times New Roman" w:cstheme="minorBidi"/>
          <w:b w:val="0"/>
          <w:bCs w:val="0"/>
          <w:color w:val="auto"/>
          <w:spacing w:val="-1"/>
          <w:sz w:val="24"/>
          <w:szCs w:val="24"/>
        </w:rPr>
        <w:t>tart-</w:t>
      </w:r>
      <w:r>
        <w:rPr>
          <w:rFonts w:ascii="Times New Roman" w:eastAsia="Times New Roman" w:hAnsi="Times New Roman" w:cstheme="minorBidi"/>
          <w:b w:val="0"/>
          <w:bCs w:val="0"/>
          <w:color w:val="auto"/>
          <w:spacing w:val="-1"/>
          <w:sz w:val="24"/>
          <w:szCs w:val="24"/>
        </w:rPr>
        <w:t>U</w:t>
      </w:r>
      <w:r w:rsidRPr="005B5314">
        <w:rPr>
          <w:rFonts w:ascii="Times New Roman" w:eastAsia="Times New Roman" w:hAnsi="Times New Roman" w:cstheme="minorBidi"/>
          <w:b w:val="0"/>
          <w:bCs w:val="0"/>
          <w:color w:val="auto"/>
          <w:spacing w:val="-1"/>
          <w:sz w:val="24"/>
          <w:szCs w:val="24"/>
        </w:rPr>
        <w:t xml:space="preserve">p </w:t>
      </w:r>
      <w:r>
        <w:rPr>
          <w:rFonts w:ascii="Times New Roman" w:eastAsia="Times New Roman" w:hAnsi="Times New Roman" w:cstheme="minorBidi"/>
          <w:b w:val="0"/>
          <w:bCs w:val="0"/>
          <w:color w:val="auto"/>
          <w:spacing w:val="-1"/>
          <w:sz w:val="24"/>
          <w:szCs w:val="24"/>
        </w:rPr>
        <w:t>Reporting</w:t>
      </w:r>
      <w:r w:rsidRPr="005B5314">
        <w:rPr>
          <w:rFonts w:ascii="Times New Roman" w:eastAsia="Times New Roman" w:hAnsi="Times New Roman" w:cstheme="minorBidi"/>
          <w:b w:val="0"/>
          <w:bCs w:val="0"/>
          <w:color w:val="auto"/>
          <w:spacing w:val="-1"/>
          <w:sz w:val="24"/>
          <w:szCs w:val="24"/>
        </w:rPr>
        <w:t>, regardless of whether a</w:t>
      </w:r>
      <w:r>
        <w:rPr>
          <w:rFonts w:ascii="Times New Roman" w:eastAsia="Times New Roman" w:hAnsi="Times New Roman" w:cstheme="minorBidi"/>
          <w:b w:val="0"/>
          <w:bCs w:val="0"/>
          <w:color w:val="auto"/>
          <w:spacing w:val="-1"/>
          <w:sz w:val="24"/>
          <w:szCs w:val="24"/>
        </w:rPr>
        <w:t xml:space="preserve"> </w:t>
      </w:r>
      <w:r w:rsidRPr="005B5314">
        <w:rPr>
          <w:rFonts w:ascii="Times New Roman" w:eastAsia="Times New Roman" w:hAnsi="Times New Roman" w:cstheme="minorBidi"/>
          <w:b w:val="0"/>
          <w:bCs w:val="0"/>
          <w:color w:val="auto"/>
          <w:spacing w:val="-1"/>
          <w:sz w:val="24"/>
          <w:szCs w:val="24"/>
        </w:rPr>
        <w:t xml:space="preserve">NOA is submitted. </w:t>
      </w:r>
    </w:p>
    <w:p w14:paraId="2C4944B8" w14:textId="28B40607" w:rsidR="00505245" w:rsidRPr="005B5314" w:rsidRDefault="00505245" w:rsidP="00505245">
      <w:pPr>
        <w:pStyle w:val="Heading3"/>
        <w:keepLines w:val="0"/>
        <w:widowControl/>
        <w:numPr>
          <w:ilvl w:val="2"/>
          <w:numId w:val="0"/>
        </w:numPr>
        <w:tabs>
          <w:tab w:val="num" w:pos="0"/>
        </w:tabs>
        <w:spacing w:before="60" w:after="120" w:line="264" w:lineRule="auto"/>
        <w:rPr>
          <w:rFonts w:ascii="Times New Roman" w:eastAsia="Times New Roman" w:hAnsi="Times New Roman"/>
          <w:spacing w:val="-1"/>
          <w:sz w:val="24"/>
          <w:szCs w:val="24"/>
        </w:rPr>
      </w:pPr>
      <w:bookmarkStart w:id="3" w:name="_Toc468709629"/>
      <w:r w:rsidRPr="00483C45">
        <w:rPr>
          <w:rFonts w:ascii="Times New Roman" w:eastAsia="Times New Roman" w:hAnsi="Times New Roman" w:cstheme="minorBidi"/>
          <w:bCs w:val="0"/>
          <w:i/>
          <w:color w:val="auto"/>
          <w:spacing w:val="-1"/>
          <w:sz w:val="24"/>
          <w:szCs w:val="24"/>
        </w:rPr>
        <w:t>Compliance Determination</w:t>
      </w:r>
      <w:bookmarkEnd w:id="3"/>
      <w:r>
        <w:rPr>
          <w:rFonts w:ascii="Times New Roman" w:eastAsia="Times New Roman" w:hAnsi="Times New Roman" w:cstheme="minorBidi"/>
          <w:bCs w:val="0"/>
          <w:color w:val="auto"/>
          <w:spacing w:val="-1"/>
          <w:sz w:val="24"/>
          <w:szCs w:val="24"/>
        </w:rPr>
        <w:t>.</w:t>
      </w:r>
      <w:r>
        <w:rPr>
          <w:rFonts w:ascii="Times New Roman" w:eastAsia="Times New Roman" w:hAnsi="Times New Roman" w:cstheme="minorBidi"/>
          <w:b w:val="0"/>
          <w:bCs w:val="0"/>
          <w:color w:val="auto"/>
          <w:spacing w:val="-1"/>
          <w:sz w:val="24"/>
          <w:szCs w:val="24"/>
        </w:rPr>
        <w:t xml:space="preserve"> </w:t>
      </w:r>
      <w:r w:rsidRPr="005B5314">
        <w:rPr>
          <w:rFonts w:ascii="Times New Roman" w:eastAsia="Times New Roman" w:hAnsi="Times New Roman" w:cstheme="minorBidi"/>
          <w:b w:val="0"/>
          <w:bCs w:val="0"/>
          <w:color w:val="auto"/>
          <w:spacing w:val="-1"/>
          <w:sz w:val="24"/>
          <w:szCs w:val="24"/>
        </w:rPr>
        <w:t xml:space="preserve">The burden associated with compliance determination </w:t>
      </w:r>
      <w:r>
        <w:rPr>
          <w:rFonts w:ascii="Times New Roman" w:eastAsia="Times New Roman" w:hAnsi="Times New Roman" w:cstheme="minorBidi"/>
          <w:b w:val="0"/>
          <w:bCs w:val="0"/>
          <w:color w:val="auto"/>
          <w:spacing w:val="-1"/>
          <w:sz w:val="24"/>
          <w:szCs w:val="24"/>
        </w:rPr>
        <w:t>involves</w:t>
      </w:r>
      <w:r w:rsidRPr="005B5314">
        <w:rPr>
          <w:rFonts w:ascii="Times New Roman" w:eastAsia="Times New Roman" w:hAnsi="Times New Roman" w:cstheme="minorBidi"/>
          <w:b w:val="0"/>
          <w:bCs w:val="0"/>
          <w:color w:val="auto"/>
          <w:spacing w:val="-1"/>
          <w:sz w:val="24"/>
          <w:szCs w:val="24"/>
        </w:rPr>
        <w:t xml:space="preserve"> </w:t>
      </w:r>
      <w:r>
        <w:rPr>
          <w:rFonts w:ascii="Times New Roman" w:eastAsia="Times New Roman" w:hAnsi="Times New Roman" w:cstheme="minorBidi"/>
          <w:b w:val="0"/>
          <w:bCs w:val="0"/>
          <w:color w:val="auto"/>
          <w:spacing w:val="-1"/>
          <w:sz w:val="24"/>
          <w:szCs w:val="24"/>
        </w:rPr>
        <w:t xml:space="preserve">first reviewing files to </w:t>
      </w:r>
      <w:r w:rsidRPr="005B5314">
        <w:rPr>
          <w:rFonts w:ascii="Times New Roman" w:eastAsia="Times New Roman" w:hAnsi="Times New Roman" w:cstheme="minorBidi"/>
          <w:b w:val="0"/>
          <w:bCs w:val="0"/>
          <w:color w:val="auto"/>
          <w:spacing w:val="-1"/>
          <w:sz w:val="24"/>
          <w:szCs w:val="24"/>
        </w:rPr>
        <w:t>determi</w:t>
      </w:r>
      <w:r>
        <w:rPr>
          <w:rFonts w:ascii="Times New Roman" w:eastAsia="Times New Roman" w:hAnsi="Times New Roman" w:cstheme="minorBidi"/>
          <w:b w:val="0"/>
          <w:bCs w:val="0"/>
          <w:color w:val="auto"/>
          <w:spacing w:val="-1"/>
          <w:sz w:val="24"/>
          <w:szCs w:val="24"/>
        </w:rPr>
        <w:t xml:space="preserve">ne </w:t>
      </w:r>
      <w:r w:rsidRPr="005B5314">
        <w:rPr>
          <w:rFonts w:ascii="Times New Roman" w:eastAsia="Times New Roman" w:hAnsi="Times New Roman" w:cstheme="minorBidi"/>
          <w:b w:val="0"/>
          <w:bCs w:val="0"/>
          <w:color w:val="auto"/>
          <w:spacing w:val="-1"/>
          <w:sz w:val="24"/>
          <w:szCs w:val="24"/>
        </w:rPr>
        <w:t>whether reporting is required for chemical substance</w:t>
      </w:r>
      <w:r>
        <w:rPr>
          <w:rFonts w:ascii="Times New Roman" w:eastAsia="Times New Roman" w:hAnsi="Times New Roman" w:cstheme="minorBidi"/>
          <w:b w:val="0"/>
          <w:bCs w:val="0"/>
          <w:color w:val="auto"/>
          <w:spacing w:val="-1"/>
          <w:sz w:val="24"/>
          <w:szCs w:val="24"/>
        </w:rPr>
        <w:t>(s)</w:t>
      </w:r>
      <w:r w:rsidRPr="005B5314">
        <w:rPr>
          <w:rFonts w:ascii="Times New Roman" w:eastAsia="Times New Roman" w:hAnsi="Times New Roman" w:cstheme="minorBidi"/>
          <w:b w:val="0"/>
          <w:bCs w:val="0"/>
          <w:color w:val="auto"/>
          <w:spacing w:val="-1"/>
          <w:sz w:val="24"/>
          <w:szCs w:val="24"/>
        </w:rPr>
        <w:t xml:space="preserve"> manufactured (including imported) </w:t>
      </w:r>
      <w:r>
        <w:rPr>
          <w:rFonts w:ascii="Times New Roman" w:eastAsia="Times New Roman" w:hAnsi="Times New Roman" w:cstheme="minorBidi"/>
          <w:b w:val="0"/>
          <w:bCs w:val="0"/>
          <w:color w:val="auto"/>
          <w:spacing w:val="-1"/>
          <w:sz w:val="24"/>
          <w:szCs w:val="24"/>
        </w:rPr>
        <w:t>and/or processed by a particular company.</w:t>
      </w:r>
      <w:r w:rsidRPr="005B5314">
        <w:rPr>
          <w:rFonts w:ascii="Times New Roman" w:eastAsia="Times New Roman" w:hAnsi="Times New Roman" w:cstheme="minorBidi"/>
          <w:b w:val="0"/>
          <w:bCs w:val="0"/>
          <w:color w:val="auto"/>
          <w:spacing w:val="-1"/>
          <w:sz w:val="24"/>
          <w:szCs w:val="24"/>
        </w:rPr>
        <w:t xml:space="preserve"> </w:t>
      </w:r>
      <w:r w:rsidRPr="005B5314">
        <w:rPr>
          <w:rFonts w:ascii="Times New Roman" w:eastAsia="Times New Roman" w:hAnsi="Times New Roman"/>
          <w:b w:val="0"/>
          <w:color w:val="000000" w:themeColor="text1"/>
          <w:spacing w:val="-1"/>
          <w:sz w:val="24"/>
          <w:szCs w:val="24"/>
        </w:rPr>
        <w:t xml:space="preserve">Additionally, compliance determination burden is required on a per-chemical basis in order to review the list of active chemicals as they appear on the TSCA Inventory. This review may involve using the Substance Registry Services (SRS) search in the NOA submission software, or searching the TSCA inventory from </w:t>
      </w:r>
      <w:r w:rsidR="008348EC">
        <w:rPr>
          <w:rFonts w:ascii="Times New Roman" w:eastAsia="Times New Roman" w:hAnsi="Times New Roman"/>
          <w:b w:val="0"/>
          <w:color w:val="000000" w:themeColor="text1"/>
          <w:spacing w:val="-1"/>
          <w:sz w:val="24"/>
          <w:szCs w:val="24"/>
        </w:rPr>
        <w:t>EPA</w:t>
      </w:r>
      <w:r w:rsidRPr="005B5314">
        <w:rPr>
          <w:rFonts w:ascii="Times New Roman" w:eastAsia="Times New Roman" w:hAnsi="Times New Roman"/>
          <w:b w:val="0"/>
          <w:color w:val="000000" w:themeColor="text1"/>
          <w:spacing w:val="-1"/>
          <w:sz w:val="24"/>
          <w:szCs w:val="24"/>
        </w:rPr>
        <w:t xml:space="preserve"> web site.</w:t>
      </w:r>
    </w:p>
    <w:p w14:paraId="11DE1226" w14:textId="77777777" w:rsidR="00505245" w:rsidRPr="005B5314" w:rsidRDefault="00505245" w:rsidP="00505245">
      <w:pPr>
        <w:pStyle w:val="Heading3"/>
        <w:keepLines w:val="0"/>
        <w:widowControl/>
        <w:numPr>
          <w:ilvl w:val="2"/>
          <w:numId w:val="0"/>
        </w:numPr>
        <w:tabs>
          <w:tab w:val="num" w:pos="0"/>
        </w:tabs>
        <w:spacing w:before="60" w:after="120" w:line="264" w:lineRule="auto"/>
        <w:rPr>
          <w:rFonts w:ascii="Times New Roman" w:eastAsia="Times New Roman" w:hAnsi="Times New Roman"/>
          <w:spacing w:val="-1"/>
          <w:sz w:val="24"/>
          <w:szCs w:val="24"/>
        </w:rPr>
      </w:pPr>
      <w:bookmarkStart w:id="4" w:name="_Toc468709630"/>
      <w:r w:rsidRPr="00483C45">
        <w:rPr>
          <w:rFonts w:ascii="Times New Roman" w:eastAsia="Times New Roman" w:hAnsi="Times New Roman" w:cstheme="minorBidi"/>
          <w:bCs w:val="0"/>
          <w:i/>
          <w:color w:val="auto"/>
          <w:spacing w:val="-1"/>
          <w:sz w:val="24"/>
          <w:szCs w:val="24"/>
        </w:rPr>
        <w:t>CDX Registration and e-Signature</w:t>
      </w:r>
      <w:bookmarkEnd w:id="4"/>
      <w:r>
        <w:rPr>
          <w:rFonts w:ascii="Times New Roman" w:eastAsia="Times New Roman" w:hAnsi="Times New Roman" w:cstheme="minorBidi"/>
          <w:b w:val="0"/>
          <w:bCs w:val="0"/>
          <w:color w:val="auto"/>
          <w:spacing w:val="-1"/>
          <w:sz w:val="24"/>
          <w:szCs w:val="24"/>
        </w:rPr>
        <w:t xml:space="preserve">. If not already registered, </w:t>
      </w:r>
      <w:r w:rsidRPr="005B5314">
        <w:rPr>
          <w:rFonts w:ascii="Times New Roman" w:eastAsia="Times New Roman" w:hAnsi="Times New Roman" w:cstheme="minorBidi"/>
          <w:b w:val="0"/>
          <w:bCs w:val="0"/>
          <w:color w:val="auto"/>
          <w:spacing w:val="-1"/>
          <w:sz w:val="24"/>
          <w:szCs w:val="24"/>
        </w:rPr>
        <w:t xml:space="preserve">submitters </w:t>
      </w:r>
      <w:r>
        <w:rPr>
          <w:rFonts w:ascii="Times New Roman" w:eastAsia="Times New Roman" w:hAnsi="Times New Roman" w:cstheme="minorBidi"/>
          <w:b w:val="0"/>
          <w:bCs w:val="0"/>
          <w:color w:val="auto"/>
          <w:spacing w:val="-1"/>
          <w:sz w:val="24"/>
          <w:szCs w:val="24"/>
        </w:rPr>
        <w:t xml:space="preserve">are required to </w:t>
      </w:r>
      <w:r w:rsidRPr="005B5314">
        <w:rPr>
          <w:rFonts w:ascii="Times New Roman" w:eastAsia="Times New Roman" w:hAnsi="Times New Roman" w:cstheme="minorBidi"/>
          <w:b w:val="0"/>
          <w:bCs w:val="0"/>
          <w:color w:val="auto"/>
          <w:spacing w:val="-1"/>
          <w:sz w:val="24"/>
          <w:szCs w:val="24"/>
        </w:rPr>
        <w:t>register with CDX in order to submit electronic records and completing an Electronic Signature Agreement form, including a C</w:t>
      </w:r>
      <w:r>
        <w:rPr>
          <w:rFonts w:ascii="Times New Roman" w:eastAsia="Times New Roman" w:hAnsi="Times New Roman" w:cstheme="minorBidi"/>
          <w:b w:val="0"/>
          <w:bCs w:val="0"/>
          <w:color w:val="auto"/>
          <w:spacing w:val="-1"/>
          <w:sz w:val="24"/>
          <w:szCs w:val="24"/>
        </w:rPr>
        <w:t>R</w:t>
      </w:r>
      <w:r w:rsidRPr="005B5314">
        <w:rPr>
          <w:rFonts w:ascii="Times New Roman" w:eastAsia="Times New Roman" w:hAnsi="Times New Roman" w:cstheme="minorBidi"/>
          <w:b w:val="0"/>
          <w:bCs w:val="0"/>
          <w:color w:val="auto"/>
          <w:spacing w:val="-1"/>
          <w:sz w:val="24"/>
          <w:szCs w:val="24"/>
        </w:rPr>
        <w:t>OMERR certification, which is signed, dated, and submitted electronically back to EPA.</w:t>
      </w:r>
    </w:p>
    <w:p w14:paraId="0F6B0457" w14:textId="77777777" w:rsidR="00505245" w:rsidRPr="005B5314" w:rsidRDefault="00505245" w:rsidP="00505245">
      <w:pPr>
        <w:pStyle w:val="Heading3"/>
        <w:keepLines w:val="0"/>
        <w:widowControl/>
        <w:numPr>
          <w:ilvl w:val="2"/>
          <w:numId w:val="0"/>
        </w:numPr>
        <w:tabs>
          <w:tab w:val="num" w:pos="0"/>
        </w:tabs>
        <w:spacing w:before="60" w:after="120" w:line="264" w:lineRule="auto"/>
        <w:rPr>
          <w:rFonts w:ascii="Times New Roman" w:eastAsia="Times New Roman" w:hAnsi="Times New Roman"/>
          <w:spacing w:val="-1"/>
          <w:sz w:val="24"/>
          <w:szCs w:val="24"/>
        </w:rPr>
      </w:pPr>
      <w:bookmarkStart w:id="5" w:name="_Ref467506628"/>
      <w:bookmarkStart w:id="6" w:name="_Toc468709631"/>
      <w:r w:rsidRPr="00483C45">
        <w:rPr>
          <w:rFonts w:ascii="Times New Roman" w:eastAsia="Times New Roman" w:hAnsi="Times New Roman" w:cstheme="minorBidi"/>
          <w:bCs w:val="0"/>
          <w:i/>
          <w:color w:val="auto"/>
          <w:spacing w:val="-1"/>
          <w:sz w:val="24"/>
          <w:szCs w:val="24"/>
        </w:rPr>
        <w:t>Form Completion/Submission</w:t>
      </w:r>
      <w:bookmarkEnd w:id="5"/>
      <w:bookmarkEnd w:id="6"/>
      <w:r>
        <w:rPr>
          <w:rFonts w:ascii="Times New Roman" w:eastAsia="Times New Roman" w:hAnsi="Times New Roman" w:cstheme="minorBidi"/>
          <w:b w:val="0"/>
          <w:bCs w:val="0"/>
          <w:i/>
          <w:color w:val="auto"/>
          <w:spacing w:val="-1"/>
          <w:sz w:val="24"/>
          <w:szCs w:val="24"/>
        </w:rPr>
        <w:t xml:space="preserve">. </w:t>
      </w:r>
      <w:r w:rsidRPr="005B5314">
        <w:rPr>
          <w:rFonts w:ascii="Times New Roman" w:eastAsia="Times New Roman" w:hAnsi="Times New Roman" w:cstheme="minorBidi"/>
          <w:b w:val="0"/>
          <w:bCs w:val="0"/>
          <w:color w:val="auto"/>
          <w:spacing w:val="-1"/>
          <w:sz w:val="24"/>
          <w:szCs w:val="24"/>
        </w:rPr>
        <w:t>A NOA submission for one chemical will include the data elements discussed below and also summarized in</w:t>
      </w:r>
      <w:r>
        <w:rPr>
          <w:rFonts w:ascii="Times New Roman" w:eastAsia="Times New Roman" w:hAnsi="Times New Roman" w:cstheme="minorBidi"/>
          <w:b w:val="0"/>
          <w:bCs w:val="0"/>
          <w:color w:val="auto"/>
          <w:spacing w:val="-1"/>
          <w:sz w:val="24"/>
          <w:szCs w:val="24"/>
        </w:rPr>
        <w:t xml:space="preserve"> </w:t>
      </w:r>
      <w:r>
        <w:rPr>
          <w:rFonts w:ascii="Times New Roman" w:eastAsia="Times New Roman" w:hAnsi="Times New Roman" w:cstheme="minorBidi"/>
          <w:b w:val="0"/>
          <w:bCs w:val="0"/>
          <w:color w:val="auto"/>
          <w:spacing w:val="-1"/>
          <w:sz w:val="24"/>
          <w:szCs w:val="24"/>
        </w:rPr>
        <w:fldChar w:fldCharType="begin"/>
      </w:r>
      <w:r>
        <w:rPr>
          <w:rFonts w:ascii="Times New Roman" w:eastAsia="Times New Roman" w:hAnsi="Times New Roman" w:cstheme="minorBidi"/>
          <w:b w:val="0"/>
          <w:bCs w:val="0"/>
          <w:color w:val="auto"/>
          <w:spacing w:val="-1"/>
          <w:sz w:val="24"/>
          <w:szCs w:val="24"/>
        </w:rPr>
        <w:instrText xml:space="preserve"> REF _Ref468994438 \h  \* MERGEFORMAT </w:instrText>
      </w:r>
      <w:r>
        <w:rPr>
          <w:rFonts w:ascii="Times New Roman" w:eastAsia="Times New Roman" w:hAnsi="Times New Roman" w:cstheme="minorBidi"/>
          <w:b w:val="0"/>
          <w:bCs w:val="0"/>
          <w:color w:val="auto"/>
          <w:spacing w:val="-1"/>
          <w:sz w:val="24"/>
          <w:szCs w:val="24"/>
        </w:rPr>
      </w:r>
      <w:r>
        <w:rPr>
          <w:rFonts w:ascii="Times New Roman" w:eastAsia="Times New Roman" w:hAnsi="Times New Roman" w:cstheme="minorBidi"/>
          <w:b w:val="0"/>
          <w:bCs w:val="0"/>
          <w:color w:val="auto"/>
          <w:spacing w:val="-1"/>
          <w:sz w:val="24"/>
          <w:szCs w:val="24"/>
        </w:rPr>
        <w:fldChar w:fldCharType="separate"/>
      </w:r>
      <w:r w:rsidRPr="001C794A">
        <w:rPr>
          <w:rFonts w:ascii="Times New Roman" w:eastAsia="Times New Roman" w:hAnsi="Times New Roman" w:cstheme="minorBidi"/>
          <w:b w:val="0"/>
          <w:bCs w:val="0"/>
          <w:color w:val="auto"/>
          <w:spacing w:val="-1"/>
          <w:sz w:val="24"/>
          <w:szCs w:val="24"/>
        </w:rPr>
        <w:t>Table 3</w:t>
      </w:r>
      <w:r>
        <w:rPr>
          <w:rFonts w:ascii="Times New Roman" w:eastAsia="Times New Roman" w:hAnsi="Times New Roman" w:cstheme="minorBidi"/>
          <w:b w:val="0"/>
          <w:bCs w:val="0"/>
          <w:color w:val="auto"/>
          <w:spacing w:val="-1"/>
          <w:sz w:val="24"/>
          <w:szCs w:val="24"/>
        </w:rPr>
        <w:fldChar w:fldCharType="end"/>
      </w:r>
      <w:r w:rsidRPr="005B5314">
        <w:rPr>
          <w:rFonts w:ascii="Times New Roman" w:eastAsia="Times New Roman" w:hAnsi="Times New Roman" w:cstheme="minorBidi"/>
          <w:b w:val="0"/>
          <w:bCs w:val="0"/>
          <w:color w:val="auto"/>
          <w:spacing w:val="-1"/>
          <w:sz w:val="24"/>
          <w:szCs w:val="24"/>
        </w:rPr>
        <w:t xml:space="preserve">. Some items are firm-specific and only require one entry per submission; some items are chemical-specific and may be submitted once or for multiple chemicals.  </w:t>
      </w:r>
    </w:p>
    <w:p w14:paraId="17922A7E" w14:textId="77777777" w:rsidR="00505245" w:rsidRPr="005B5314" w:rsidRDefault="00505245" w:rsidP="00505245">
      <w:pPr>
        <w:pStyle w:val="ListParagraph"/>
        <w:rPr>
          <w:rFonts w:ascii="Times New Roman" w:eastAsia="Times New Roman" w:hAnsi="Times New Roman"/>
          <w:spacing w:val="-1"/>
          <w:sz w:val="24"/>
          <w:szCs w:val="24"/>
        </w:rPr>
      </w:pPr>
      <w:r w:rsidRPr="005B5314">
        <w:rPr>
          <w:rFonts w:ascii="Times New Roman" w:eastAsia="Times New Roman" w:hAnsi="Times New Roman"/>
          <w:spacing w:val="-1"/>
          <w:sz w:val="24"/>
          <w:szCs w:val="24"/>
        </w:rPr>
        <w:t xml:space="preserve">1.    </w:t>
      </w:r>
      <w:r w:rsidRPr="00483C45">
        <w:rPr>
          <w:rFonts w:ascii="Times New Roman" w:eastAsia="Times New Roman" w:hAnsi="Times New Roman"/>
          <w:b/>
          <w:spacing w:val="-1"/>
          <w:sz w:val="24"/>
          <w:szCs w:val="24"/>
        </w:rPr>
        <w:t>Submitter Information</w:t>
      </w:r>
      <w:r w:rsidRPr="005B5314">
        <w:rPr>
          <w:rFonts w:ascii="Times New Roman" w:eastAsia="Times New Roman" w:hAnsi="Times New Roman"/>
          <w:spacing w:val="-1"/>
          <w:sz w:val="24"/>
          <w:szCs w:val="24"/>
        </w:rPr>
        <w:t xml:space="preserve"> includes Authorized Official Name and Address and Technical Contact Name and Address. </w:t>
      </w:r>
    </w:p>
    <w:p w14:paraId="5D74CFAE" w14:textId="77777777" w:rsidR="00505245" w:rsidRPr="005B5314" w:rsidRDefault="00505245" w:rsidP="00505245">
      <w:pPr>
        <w:rPr>
          <w:rFonts w:ascii="Times New Roman" w:eastAsia="Times New Roman" w:hAnsi="Times New Roman"/>
          <w:spacing w:val="-1"/>
          <w:sz w:val="24"/>
          <w:szCs w:val="24"/>
        </w:rPr>
      </w:pPr>
      <w:r w:rsidRPr="005B5314">
        <w:rPr>
          <w:rFonts w:ascii="Times New Roman" w:eastAsia="Times New Roman" w:hAnsi="Times New Roman"/>
          <w:spacing w:val="-1"/>
          <w:sz w:val="24"/>
          <w:szCs w:val="24"/>
        </w:rPr>
        <w:t xml:space="preserve">2.    </w:t>
      </w:r>
      <w:r w:rsidRPr="00483C45">
        <w:rPr>
          <w:rFonts w:ascii="Times New Roman" w:eastAsia="Times New Roman" w:hAnsi="Times New Roman"/>
          <w:b/>
          <w:spacing w:val="-1"/>
          <w:sz w:val="24"/>
          <w:szCs w:val="24"/>
        </w:rPr>
        <w:t>CBI Designations</w:t>
      </w:r>
      <w:r w:rsidRPr="005B5314">
        <w:rPr>
          <w:rFonts w:ascii="Times New Roman" w:eastAsia="Times New Roman" w:hAnsi="Times New Roman"/>
          <w:spacing w:val="-1"/>
          <w:sz w:val="24"/>
          <w:szCs w:val="24"/>
        </w:rPr>
        <w:t xml:space="preserve"> for Submitter Information are part of the submission.</w:t>
      </w:r>
    </w:p>
    <w:p w14:paraId="655030FB" w14:textId="77777777" w:rsidR="00505245" w:rsidRPr="005B5314" w:rsidRDefault="00505245" w:rsidP="00505245">
      <w:pPr>
        <w:rPr>
          <w:rFonts w:ascii="Times New Roman" w:eastAsia="Times New Roman" w:hAnsi="Times New Roman"/>
          <w:spacing w:val="-1"/>
          <w:sz w:val="24"/>
          <w:szCs w:val="24"/>
        </w:rPr>
      </w:pPr>
      <w:r w:rsidRPr="005B5314">
        <w:rPr>
          <w:rFonts w:ascii="Times New Roman" w:eastAsia="Times New Roman" w:hAnsi="Times New Roman"/>
          <w:spacing w:val="-1"/>
          <w:sz w:val="24"/>
          <w:szCs w:val="24"/>
        </w:rPr>
        <w:t xml:space="preserve">3.    </w:t>
      </w:r>
      <w:r w:rsidRPr="00483C45">
        <w:rPr>
          <w:rFonts w:ascii="Times New Roman" w:eastAsia="Times New Roman" w:hAnsi="Times New Roman"/>
          <w:b/>
          <w:spacing w:val="-1"/>
          <w:sz w:val="24"/>
          <w:szCs w:val="24"/>
        </w:rPr>
        <w:t>NOA Certification</w:t>
      </w:r>
      <w:r w:rsidRPr="005B5314">
        <w:rPr>
          <w:rFonts w:ascii="Times New Roman" w:eastAsia="Times New Roman" w:hAnsi="Times New Roman"/>
          <w:spacing w:val="-1"/>
          <w:sz w:val="24"/>
          <w:szCs w:val="24"/>
        </w:rPr>
        <w:t xml:space="preserve"> is a required component of the NOA submission. </w:t>
      </w:r>
    </w:p>
    <w:p w14:paraId="5074072B" w14:textId="77777777" w:rsidR="00505245" w:rsidRPr="005B5314" w:rsidRDefault="00505245" w:rsidP="00505245">
      <w:pPr>
        <w:pStyle w:val="BodyText"/>
        <w:ind w:left="0" w:hanging="10"/>
        <w:rPr>
          <w:spacing w:val="-1"/>
        </w:rPr>
      </w:pPr>
      <w:r w:rsidRPr="005B5314">
        <w:rPr>
          <w:spacing w:val="-1"/>
        </w:rPr>
        <w:t xml:space="preserve">4.    </w:t>
      </w:r>
      <w:r w:rsidRPr="00483C45">
        <w:rPr>
          <w:b/>
          <w:spacing w:val="-1"/>
        </w:rPr>
        <w:t>Certifier e-mail Address</w:t>
      </w:r>
      <w:r>
        <w:rPr>
          <w:b/>
          <w:spacing w:val="-1"/>
        </w:rPr>
        <w:t xml:space="preserve"> </w:t>
      </w:r>
      <w:r w:rsidRPr="0038132A">
        <w:rPr>
          <w:spacing w:val="-1"/>
        </w:rPr>
        <w:t>is required</w:t>
      </w:r>
      <w:r>
        <w:rPr>
          <w:b/>
          <w:spacing w:val="-1"/>
        </w:rPr>
        <w:t xml:space="preserve"> </w:t>
      </w:r>
      <w:r>
        <w:rPr>
          <w:spacing w:val="-1"/>
        </w:rPr>
        <w:t>w</w:t>
      </w:r>
      <w:r w:rsidRPr="005B5314">
        <w:rPr>
          <w:spacing w:val="-1"/>
        </w:rPr>
        <w:t>ith certification and e-signature</w:t>
      </w:r>
      <w:r>
        <w:rPr>
          <w:spacing w:val="-1"/>
        </w:rPr>
        <w:t>.</w:t>
      </w:r>
      <w:r w:rsidRPr="005B5314">
        <w:rPr>
          <w:spacing w:val="-1"/>
        </w:rPr>
        <w:t xml:space="preserve">  </w:t>
      </w:r>
    </w:p>
    <w:p w14:paraId="0E43CB60" w14:textId="77777777" w:rsidR="00505245" w:rsidRPr="005B5314" w:rsidRDefault="00505245" w:rsidP="00505245">
      <w:pPr>
        <w:pStyle w:val="BodyText"/>
        <w:ind w:left="0" w:firstLine="0"/>
        <w:rPr>
          <w:spacing w:val="-1"/>
        </w:rPr>
      </w:pPr>
      <w:r w:rsidRPr="005B5314">
        <w:rPr>
          <w:spacing w:val="-1"/>
        </w:rPr>
        <w:t xml:space="preserve">5A and 6A </w:t>
      </w:r>
      <w:r w:rsidRPr="00483C45">
        <w:rPr>
          <w:b/>
          <w:spacing w:val="-1"/>
        </w:rPr>
        <w:t>Non-CBI Chemical Name and Chemical Identity</w:t>
      </w:r>
      <w:r w:rsidRPr="005B5314">
        <w:rPr>
          <w:spacing w:val="-1"/>
        </w:rPr>
        <w:t xml:space="preserve">: For non-CBI chemicals, the NOA submitter is required to submit the TSCA Inventory Chemical Name and Chemical Abstract Services Registry Number (CASRN). The submitter </w:t>
      </w:r>
      <w:r>
        <w:rPr>
          <w:spacing w:val="-1"/>
        </w:rPr>
        <w:t xml:space="preserve">may </w:t>
      </w:r>
      <w:r w:rsidRPr="005B5314">
        <w:rPr>
          <w:spacing w:val="-1"/>
        </w:rPr>
        <w:t xml:space="preserve">locate this information </w:t>
      </w:r>
      <w:r>
        <w:rPr>
          <w:spacing w:val="-1"/>
        </w:rPr>
        <w:t xml:space="preserve">via SRS, or alternatively, select from a pick list </w:t>
      </w:r>
      <w:r w:rsidRPr="005B5314">
        <w:rPr>
          <w:spacing w:val="-1"/>
        </w:rPr>
        <w:t>during the electronic submission</w:t>
      </w:r>
      <w:r>
        <w:rPr>
          <w:spacing w:val="-1"/>
        </w:rPr>
        <w:t>.</w:t>
      </w:r>
    </w:p>
    <w:p w14:paraId="59DDD1AE" w14:textId="77777777" w:rsidR="00505245" w:rsidRPr="005B5314" w:rsidRDefault="00505245" w:rsidP="00505245">
      <w:pPr>
        <w:pStyle w:val="BodyText"/>
        <w:ind w:left="0" w:firstLine="0"/>
        <w:rPr>
          <w:spacing w:val="-1"/>
        </w:rPr>
      </w:pPr>
      <w:r w:rsidRPr="005B5314">
        <w:rPr>
          <w:spacing w:val="-1"/>
        </w:rPr>
        <w:t xml:space="preserve">5B and 6B </w:t>
      </w:r>
      <w:r w:rsidRPr="00483C45">
        <w:rPr>
          <w:b/>
          <w:spacing w:val="-1"/>
        </w:rPr>
        <w:t>CBI Chemical Name and Chemical Identity</w:t>
      </w:r>
      <w:r w:rsidRPr="005B5314">
        <w:rPr>
          <w:spacing w:val="-1"/>
        </w:rPr>
        <w:t>: For CBI chemicals, the NOA submitter is required to submit the Generic Chemical Name. CBI chemID’s chemical identification consists of an Accession Number.</w:t>
      </w:r>
      <w:r w:rsidRPr="005B5314" w:rsidDel="00DE1F4B">
        <w:rPr>
          <w:spacing w:val="-1"/>
        </w:rPr>
        <w:t xml:space="preserve"> </w:t>
      </w:r>
      <w:r w:rsidRPr="005B5314">
        <w:rPr>
          <w:spacing w:val="-1"/>
        </w:rPr>
        <w:t xml:space="preserve">The submitter </w:t>
      </w:r>
      <w:r>
        <w:rPr>
          <w:spacing w:val="-1"/>
        </w:rPr>
        <w:t xml:space="preserve">may </w:t>
      </w:r>
      <w:r w:rsidRPr="005B5314">
        <w:rPr>
          <w:spacing w:val="-1"/>
        </w:rPr>
        <w:t xml:space="preserve">locate this information </w:t>
      </w:r>
      <w:r>
        <w:rPr>
          <w:spacing w:val="-1"/>
        </w:rPr>
        <w:t>via SRS, or alternatively, select from a pick list</w:t>
      </w:r>
      <w:r w:rsidRPr="005B5314">
        <w:rPr>
          <w:spacing w:val="-1"/>
        </w:rPr>
        <w:t xml:space="preserve"> during the electronic submission</w:t>
      </w:r>
      <w:r>
        <w:rPr>
          <w:spacing w:val="-1"/>
        </w:rPr>
        <w:t xml:space="preserve">. </w:t>
      </w:r>
    </w:p>
    <w:p w14:paraId="2DC1D5B5" w14:textId="77777777" w:rsidR="00505245" w:rsidRDefault="00505245" w:rsidP="00505245">
      <w:pPr>
        <w:rPr>
          <w:rFonts w:ascii="Times New Roman" w:eastAsia="Times New Roman" w:hAnsi="Times New Roman"/>
          <w:spacing w:val="-1"/>
          <w:sz w:val="24"/>
          <w:szCs w:val="24"/>
        </w:rPr>
      </w:pPr>
      <w:r w:rsidRPr="005B5314">
        <w:rPr>
          <w:rFonts w:ascii="Times New Roman" w:eastAsia="Times New Roman" w:hAnsi="Times New Roman"/>
          <w:spacing w:val="-1"/>
          <w:sz w:val="24"/>
          <w:szCs w:val="24"/>
        </w:rPr>
        <w:t xml:space="preserve">7.    </w:t>
      </w:r>
      <w:r w:rsidRPr="00483C45">
        <w:rPr>
          <w:rFonts w:ascii="Times New Roman" w:eastAsia="Times New Roman" w:hAnsi="Times New Roman"/>
          <w:b/>
          <w:spacing w:val="-1"/>
          <w:sz w:val="24"/>
          <w:szCs w:val="24"/>
        </w:rPr>
        <w:t>CBI Designation</w:t>
      </w:r>
      <w:r w:rsidRPr="005B5314">
        <w:rPr>
          <w:rFonts w:ascii="Times New Roman" w:eastAsia="Times New Roman" w:hAnsi="Times New Roman"/>
          <w:spacing w:val="-1"/>
          <w:sz w:val="24"/>
          <w:szCs w:val="24"/>
        </w:rPr>
        <w:t xml:space="preserve"> for Chemical Name and Chemical Identity is part of the submission.</w:t>
      </w:r>
    </w:p>
    <w:p w14:paraId="00303DE6" w14:textId="77777777" w:rsidR="00505245" w:rsidRDefault="00505245" w:rsidP="00505245">
      <w:pPr>
        <w:rPr>
          <w:rFonts w:ascii="Times New Roman" w:hAnsi="Times New Roman" w:cs="Times New Roman"/>
          <w:sz w:val="24"/>
          <w:szCs w:val="24"/>
        </w:rPr>
      </w:pPr>
      <w:r w:rsidRPr="0038132A">
        <w:rPr>
          <w:rFonts w:ascii="Times New Roman" w:hAnsi="Times New Roman" w:cs="Times New Roman"/>
          <w:sz w:val="24"/>
          <w:szCs w:val="24"/>
        </w:rPr>
        <w:t xml:space="preserve">8.    </w:t>
      </w:r>
      <w:r w:rsidRPr="0038132A">
        <w:rPr>
          <w:rFonts w:ascii="Times New Roman" w:hAnsi="Times New Roman" w:cs="Times New Roman"/>
          <w:b/>
          <w:sz w:val="24"/>
          <w:szCs w:val="24"/>
        </w:rPr>
        <w:t xml:space="preserve">Start Date </w:t>
      </w:r>
      <w:r w:rsidRPr="0038132A">
        <w:rPr>
          <w:rFonts w:ascii="Times New Roman" w:hAnsi="Times New Roman" w:cs="Times New Roman"/>
          <w:sz w:val="24"/>
          <w:szCs w:val="24"/>
        </w:rPr>
        <w:t>(</w:t>
      </w:r>
      <w:r>
        <w:rPr>
          <w:rFonts w:ascii="Times New Roman" w:hAnsi="Times New Roman" w:cs="Times New Roman"/>
          <w:sz w:val="24"/>
          <w:szCs w:val="24"/>
        </w:rPr>
        <w:t xml:space="preserve">per chemical for </w:t>
      </w:r>
      <w:r w:rsidRPr="0038132A">
        <w:rPr>
          <w:rFonts w:ascii="Times New Roman" w:hAnsi="Times New Roman" w:cs="Times New Roman"/>
          <w:sz w:val="24"/>
          <w:szCs w:val="24"/>
        </w:rPr>
        <w:t>Ongoing Reporting) is the anticipated date of the start of manufacture, impor</w:t>
      </w:r>
      <w:r>
        <w:rPr>
          <w:rFonts w:ascii="Times New Roman" w:hAnsi="Times New Roman" w:cs="Times New Roman"/>
          <w:sz w:val="24"/>
          <w:szCs w:val="24"/>
        </w:rPr>
        <w:t>t</w:t>
      </w:r>
      <w:r w:rsidRPr="0038132A">
        <w:rPr>
          <w:rFonts w:ascii="Times New Roman" w:hAnsi="Times New Roman" w:cs="Times New Roman"/>
          <w:sz w:val="24"/>
          <w:szCs w:val="24"/>
        </w:rPr>
        <w:t xml:space="preserve">ation, or processing. </w:t>
      </w:r>
    </w:p>
    <w:p w14:paraId="55C35C6C" w14:textId="77777777" w:rsidR="00505245" w:rsidRPr="0038132A" w:rsidRDefault="00505245" w:rsidP="00505245">
      <w:pPr>
        <w:rPr>
          <w:rFonts w:ascii="Times New Roman" w:hAnsi="Times New Roman" w:cs="Times New Roman"/>
          <w:sz w:val="24"/>
          <w:szCs w:val="24"/>
        </w:rPr>
      </w:pPr>
      <w:r w:rsidRPr="0038132A">
        <w:rPr>
          <w:rFonts w:ascii="Times New Roman" w:hAnsi="Times New Roman" w:cs="Times New Roman"/>
          <w:sz w:val="24"/>
          <w:szCs w:val="24"/>
        </w:rPr>
        <w:t xml:space="preserve">9.    </w:t>
      </w:r>
      <w:r w:rsidRPr="0038132A">
        <w:rPr>
          <w:rFonts w:ascii="Times New Roman" w:hAnsi="Times New Roman" w:cs="Times New Roman"/>
          <w:b/>
          <w:sz w:val="24"/>
          <w:szCs w:val="24"/>
        </w:rPr>
        <w:t>CBI Designation</w:t>
      </w:r>
      <w:r w:rsidRPr="0038132A">
        <w:rPr>
          <w:rFonts w:ascii="Times New Roman" w:hAnsi="Times New Roman" w:cs="Times New Roman"/>
          <w:sz w:val="24"/>
          <w:szCs w:val="24"/>
        </w:rPr>
        <w:t xml:space="preserve"> for Start Date is part of the submission.</w:t>
      </w:r>
    </w:p>
    <w:p w14:paraId="42BD7A18" w14:textId="77777777" w:rsidR="00505245" w:rsidRPr="005B5314" w:rsidRDefault="00505245" w:rsidP="00505245">
      <w:pPr>
        <w:rPr>
          <w:rFonts w:ascii="Times New Roman" w:eastAsia="Times New Roman" w:hAnsi="Times New Roman"/>
          <w:spacing w:val="-1"/>
          <w:sz w:val="24"/>
          <w:szCs w:val="24"/>
        </w:rPr>
      </w:pPr>
      <w:r>
        <w:rPr>
          <w:rFonts w:ascii="Times New Roman" w:eastAsia="Times New Roman" w:hAnsi="Times New Roman"/>
          <w:spacing w:val="-1"/>
          <w:sz w:val="24"/>
          <w:szCs w:val="24"/>
        </w:rPr>
        <w:t>10</w:t>
      </w:r>
      <w:r w:rsidRPr="005B5314">
        <w:rPr>
          <w:rFonts w:ascii="Times New Roman" w:eastAsia="Times New Roman" w:hAnsi="Times New Roman"/>
          <w:spacing w:val="-1"/>
          <w:sz w:val="24"/>
          <w:szCs w:val="24"/>
        </w:rPr>
        <w:t xml:space="preserve">.   </w:t>
      </w:r>
      <w:r w:rsidRPr="00483C45">
        <w:rPr>
          <w:rFonts w:ascii="Times New Roman" w:eastAsia="Times New Roman" w:hAnsi="Times New Roman"/>
          <w:b/>
          <w:spacing w:val="-1"/>
          <w:sz w:val="24"/>
          <w:szCs w:val="24"/>
        </w:rPr>
        <w:t>Chemical Identity CBI Status Declaration</w:t>
      </w:r>
      <w:r w:rsidRPr="005B5314">
        <w:rPr>
          <w:rFonts w:ascii="Times New Roman" w:eastAsia="Times New Roman" w:hAnsi="Times New Roman"/>
          <w:spacing w:val="-1"/>
          <w:sz w:val="24"/>
          <w:szCs w:val="24"/>
        </w:rPr>
        <w:t xml:space="preserve"> involves selecting one of two conditions: to maintain the CBI claim or to not maintain the claim of confidentiality of the full chemical substance identity on the TSCA Inventory.</w:t>
      </w:r>
    </w:p>
    <w:p w14:paraId="7A01D14B" w14:textId="77777777" w:rsidR="00505245" w:rsidRDefault="00505245" w:rsidP="00505245">
      <w:pPr>
        <w:pStyle w:val="BodyText"/>
        <w:ind w:left="0" w:firstLine="0"/>
        <w:rPr>
          <w:spacing w:val="-1"/>
        </w:rPr>
      </w:pPr>
      <w:r>
        <w:rPr>
          <w:spacing w:val="-1"/>
        </w:rPr>
        <w:t>11</w:t>
      </w:r>
      <w:r w:rsidRPr="005B5314">
        <w:rPr>
          <w:spacing w:val="-1"/>
        </w:rPr>
        <w:t xml:space="preserve">.   </w:t>
      </w:r>
      <w:r w:rsidRPr="00483C45">
        <w:rPr>
          <w:b/>
          <w:spacing w:val="-1"/>
        </w:rPr>
        <w:t>CBI Substantiation for Chemical Identity</w:t>
      </w:r>
      <w:r w:rsidRPr="005B5314">
        <w:rPr>
          <w:spacing w:val="-1"/>
        </w:rPr>
        <w:t xml:space="preserve"> </w:t>
      </w:r>
      <w:r>
        <w:rPr>
          <w:spacing w:val="-1"/>
        </w:rPr>
        <w:t>a</w:t>
      </w:r>
      <w:r w:rsidRPr="005B5314">
        <w:rPr>
          <w:spacing w:val="-1"/>
        </w:rPr>
        <w:t xml:space="preserve">pplies for </w:t>
      </w:r>
      <w:r>
        <w:rPr>
          <w:spacing w:val="-1"/>
        </w:rPr>
        <w:t>c</w:t>
      </w:r>
      <w:r w:rsidRPr="005B5314">
        <w:rPr>
          <w:spacing w:val="-1"/>
        </w:rPr>
        <w:t xml:space="preserve">ertain </w:t>
      </w:r>
      <w:r>
        <w:rPr>
          <w:spacing w:val="-1"/>
        </w:rPr>
        <w:t>s</w:t>
      </w:r>
      <w:r w:rsidRPr="005B5314">
        <w:rPr>
          <w:spacing w:val="-1"/>
        </w:rPr>
        <w:t>ubmissions</w:t>
      </w:r>
      <w:r>
        <w:rPr>
          <w:spacing w:val="-1"/>
        </w:rPr>
        <w:t xml:space="preserve">. </w:t>
      </w:r>
      <w:r w:rsidRPr="005B5314">
        <w:rPr>
          <w:spacing w:val="-1"/>
        </w:rPr>
        <w:t xml:space="preserve">As part of the NOA, submitters may provide chemID CBI substantiation </w:t>
      </w:r>
      <w:r>
        <w:t xml:space="preserve">in association with the indication that they seek to maintain the CBI claim. </w:t>
      </w:r>
      <w:r w:rsidRPr="005B5314">
        <w:rPr>
          <w:spacing w:val="-1"/>
        </w:rPr>
        <w:t>The chemID CBI substantiation questions are as follows:</w:t>
      </w:r>
    </w:p>
    <w:p w14:paraId="32C71DA3" w14:textId="77777777" w:rsidR="00505245" w:rsidRPr="005B5314" w:rsidRDefault="00505245" w:rsidP="00505245">
      <w:pPr>
        <w:pStyle w:val="BodyText"/>
        <w:ind w:left="0" w:firstLine="0"/>
        <w:rPr>
          <w:spacing w:val="-1"/>
        </w:rPr>
      </w:pPr>
    </w:p>
    <w:p w14:paraId="1BC8C591" w14:textId="77777777" w:rsidR="00505245" w:rsidRPr="00B00384" w:rsidRDefault="00505245" w:rsidP="00505245">
      <w:pPr>
        <w:widowControl/>
        <w:numPr>
          <w:ilvl w:val="0"/>
          <w:numId w:val="44"/>
        </w:numPr>
        <w:spacing w:after="180" w:line="264" w:lineRule="auto"/>
        <w:rPr>
          <w:rFonts w:ascii="Times New Roman" w:eastAsia="Times New Roman" w:hAnsi="Times New Roman" w:cs="Times New Roman"/>
          <w:szCs w:val="20"/>
        </w:rPr>
      </w:pPr>
      <w:r>
        <w:rPr>
          <w:rFonts w:ascii="Times New Roman" w:eastAsia="Times New Roman" w:hAnsi="Times New Roman" w:cs="Times New Roman"/>
          <w:szCs w:val="20"/>
        </w:rPr>
        <w:t>APPLICABLE TO</w:t>
      </w:r>
      <w:r w:rsidRPr="00B00384">
        <w:rPr>
          <w:rFonts w:ascii="Times New Roman" w:eastAsia="Times New Roman" w:hAnsi="Times New Roman" w:cs="Times New Roman"/>
          <w:szCs w:val="20"/>
        </w:rPr>
        <w:t xml:space="preserve"> ANY CBI CLAIM</w:t>
      </w:r>
    </w:p>
    <w:p w14:paraId="00500CDE"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i/>
        </w:rPr>
      </w:pPr>
      <w:r w:rsidRPr="00B00384">
        <w:rPr>
          <w:rFonts w:ascii="Times New Roman" w:eastAsia="Calibri" w:hAnsi="Times New Roman" w:cs="Times New Roman"/>
        </w:rPr>
        <w:t xml:space="preserve">(1) Do you believe that </w:t>
      </w:r>
      <w:r>
        <w:rPr>
          <w:rFonts w:ascii="Times New Roman" w:eastAsia="Calibri" w:hAnsi="Times New Roman" w:cs="Times New Roman"/>
        </w:rPr>
        <w:t>the</w:t>
      </w:r>
      <w:r w:rsidRPr="00B00384">
        <w:rPr>
          <w:rFonts w:ascii="Times New Roman" w:eastAsia="Calibri" w:hAnsi="Times New Roman" w:cs="Times New Roman"/>
        </w:rPr>
        <w:t xml:space="preserve"> information is exempt from substantiation pursuant to TSCA section 14(c)(2)?</w:t>
      </w:r>
      <w:r w:rsidRPr="00B00384">
        <w:rPr>
          <w:rFonts w:ascii="Times New Roman" w:eastAsia="Calibri" w:hAnsi="Times New Roman" w:cs="Times New Roman"/>
          <w:i/>
        </w:rPr>
        <w:t xml:space="preserve"> </w:t>
      </w:r>
    </w:p>
    <w:p w14:paraId="1A0A552D"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you answered yes, you must </w:t>
      </w:r>
      <w:r>
        <w:rPr>
          <w:rFonts w:ascii="Times New Roman" w:eastAsia="Calibri" w:hAnsi="Times New Roman" w:cs="Times New Roman"/>
          <w:i/>
        </w:rPr>
        <w:t xml:space="preserve">individually </w:t>
      </w:r>
      <w:r w:rsidRPr="00B00384">
        <w:rPr>
          <w:rFonts w:ascii="Times New Roman" w:eastAsia="Calibri" w:hAnsi="Times New Roman" w:cs="Times New Roman"/>
          <w:i/>
        </w:rPr>
        <w:t xml:space="preserve">identify the specific information </w:t>
      </w:r>
      <w:r>
        <w:rPr>
          <w:rFonts w:ascii="Times New Roman" w:eastAsia="Calibri" w:hAnsi="Times New Roman" w:cs="Times New Roman"/>
          <w:i/>
        </w:rPr>
        <w:t xml:space="preserve">claimed as confidential and </w:t>
      </w:r>
      <w:r w:rsidRPr="00B00384">
        <w:rPr>
          <w:rFonts w:ascii="Times New Roman" w:eastAsia="Calibri" w:hAnsi="Times New Roman" w:cs="Times New Roman"/>
          <w:i/>
        </w:rPr>
        <w:t>specify the applicable exemption(s)</w:t>
      </w:r>
      <w:r>
        <w:rPr>
          <w:rFonts w:ascii="Times New Roman" w:eastAsia="Calibri" w:hAnsi="Times New Roman" w:cs="Times New Roman"/>
          <w:i/>
        </w:rPr>
        <w:t>.</w:t>
      </w:r>
      <w:r w:rsidRPr="00B00384">
        <w:rPr>
          <w:rFonts w:ascii="Times New Roman" w:eastAsia="Calibri" w:hAnsi="Times New Roman" w:cs="Times New Roman"/>
          <w:i/>
        </w:rPr>
        <w:t xml:space="preserve"> </w:t>
      </w:r>
    </w:p>
    <w:p w14:paraId="19725F7E"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the Agency disagrees with this assertion, you may be asked to provide additional information to support your claim.</w:t>
      </w:r>
      <w:r w:rsidRPr="00B00384">
        <w:rPr>
          <w:rFonts w:ascii="Times New Roman" w:eastAsia="Calibri" w:hAnsi="Times New Roman" w:cs="Times New Roman"/>
        </w:rPr>
        <w:t xml:space="preserve"> </w:t>
      </w:r>
    </w:p>
    <w:p w14:paraId="53C612D6" w14:textId="77777777" w:rsidR="00505245" w:rsidRPr="00B00384" w:rsidRDefault="00505245" w:rsidP="00505245">
      <w:pPr>
        <w:widowControl/>
        <w:numPr>
          <w:ilvl w:val="0"/>
          <w:numId w:val="43"/>
        </w:numPr>
        <w:spacing w:after="200" w:line="276" w:lineRule="auto"/>
        <w:contextualSpacing/>
        <w:rPr>
          <w:rFonts w:ascii="Times New Roman" w:eastAsia="Calibri" w:hAnsi="Times New Roman" w:cs="Times New Roman"/>
        </w:rPr>
      </w:pPr>
      <w:r w:rsidRPr="00B00384">
        <w:rPr>
          <w:rFonts w:ascii="Times New Roman" w:eastAsia="Calibri" w:hAnsi="Times New Roman" w:cs="Times New Roman"/>
        </w:rPr>
        <w:t>Will disclosure of any information likely result in substantial harm to your business’</w:t>
      </w:r>
      <w:r>
        <w:rPr>
          <w:rFonts w:ascii="Times New Roman" w:eastAsia="Calibri" w:hAnsi="Times New Roman" w:cs="Times New Roman"/>
        </w:rPr>
        <w:t>s</w:t>
      </w:r>
      <w:r w:rsidRPr="00B00384">
        <w:rPr>
          <w:rFonts w:ascii="Times New Roman" w:eastAsia="Calibri" w:hAnsi="Times New Roman" w:cs="Times New Roman"/>
        </w:rPr>
        <w:t xml:space="preserve"> competitive position? </w:t>
      </w:r>
    </w:p>
    <w:p w14:paraId="70CD7243"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you answered yes, please describe with specificity the substantial harmful effects that would likely result to your competitive position if the </w:t>
      </w:r>
      <w:r>
        <w:rPr>
          <w:rFonts w:ascii="Times New Roman" w:eastAsia="Calibri" w:hAnsi="Times New Roman" w:cs="Times New Roman"/>
          <w:i/>
        </w:rPr>
        <w:t>information</w:t>
      </w:r>
      <w:r w:rsidRPr="00B00384">
        <w:rPr>
          <w:rFonts w:ascii="Times New Roman" w:eastAsia="Calibri" w:hAnsi="Times New Roman" w:cs="Times New Roman"/>
          <w:i/>
        </w:rPr>
        <w:t xml:space="preserve"> is made available to the public. </w:t>
      </w:r>
    </w:p>
    <w:p w14:paraId="14A5748C"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for example, it is not publicly known that the submitter manufacturer, imports or processes the reported chemical, describe with specificity the harmful effects that would result if this information were made available to the public. If you are claiming technical contact name or name of authorized official as CBI, describe with specificity the harmful effects that would result if this information were made available to the public. </w:t>
      </w:r>
    </w:p>
    <w:p w14:paraId="2A74CA3F"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you are claiming multiple information elements as CBI, please provide information for EACH element you identified above.</w:t>
      </w:r>
    </w:p>
    <w:p w14:paraId="5D7F8CE1"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 xml:space="preserve">(3) To the extent your business has disclosed </w:t>
      </w:r>
      <w:r>
        <w:rPr>
          <w:rFonts w:ascii="Times New Roman" w:eastAsia="Calibri" w:hAnsi="Times New Roman" w:cs="Times New Roman"/>
        </w:rPr>
        <w:t>the</w:t>
      </w:r>
      <w:r w:rsidRPr="00B00384">
        <w:rPr>
          <w:rFonts w:ascii="Times New Roman" w:eastAsia="Calibri" w:hAnsi="Times New Roman" w:cs="Times New Roman"/>
        </w:rPr>
        <w:t xml:space="preserve"> information to others (both internally and externally), what precautions has your business taken? Please identify the measures or internal controls your business has taken to protect the information claimed as confidential. </w:t>
      </w:r>
    </w:p>
    <w:p w14:paraId="014C8436"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 xml:space="preserve">(1) Non-disclosure agreement required prior to access. </w:t>
      </w:r>
    </w:p>
    <w:p w14:paraId="6F78B161"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(2) Access is limited to individuals with a need-to-know.</w:t>
      </w:r>
    </w:p>
    <w:p w14:paraId="0439C510"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(3) Information is physically secured (e.g. locked in room or cabinet) or electronically secured (encrypted, password protected, etc.).</w:t>
      </w:r>
    </w:p>
    <w:p w14:paraId="3749A857"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 xml:space="preserve">(4) Other internal control measure(s). </w:t>
      </w:r>
      <w:r w:rsidRPr="00B00384">
        <w:rPr>
          <w:rFonts w:ascii="Times New Roman" w:eastAsia="Calibri" w:hAnsi="Times New Roman" w:cs="Times New Roman"/>
          <w:i/>
        </w:rPr>
        <w:t>If yes, please explain below.</w:t>
      </w:r>
      <w:r w:rsidRPr="00B00384">
        <w:rPr>
          <w:rFonts w:ascii="Times New Roman" w:eastAsia="Calibri" w:hAnsi="Times New Roman" w:cs="Times New Roman"/>
        </w:rPr>
        <w:t xml:space="preserve"> </w:t>
      </w:r>
    </w:p>
    <w:p w14:paraId="1FCBEDEB"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(4) Does the information appear in any public documents, including (but not limited to) safety data sheet</w:t>
      </w:r>
      <w:r>
        <w:rPr>
          <w:rFonts w:ascii="Times New Roman" w:eastAsia="Calibri" w:hAnsi="Times New Roman" w:cs="Times New Roman"/>
        </w:rPr>
        <w:t>s</w:t>
      </w:r>
      <w:r w:rsidRPr="00B00384">
        <w:rPr>
          <w:rFonts w:ascii="Times New Roman" w:eastAsia="Calibri" w:hAnsi="Times New Roman" w:cs="Times New Roman"/>
        </w:rPr>
        <w:t xml:space="preserve">, advertising or promotional material, professional or trade publication, or any other media or publications available to the general public? </w:t>
      </w:r>
    </w:p>
    <w:p w14:paraId="6D7321D1"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you answered yes, please explain why the information should be treated as confidential</w:t>
      </w:r>
      <w:r w:rsidRPr="00B00384">
        <w:rPr>
          <w:rFonts w:ascii="Times New Roman" w:eastAsia="Calibri" w:hAnsi="Times New Roman" w:cs="Times New Roman"/>
        </w:rPr>
        <w:t xml:space="preserve">. </w:t>
      </w:r>
    </w:p>
    <w:p w14:paraId="74E539C5"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(5) I</w:t>
      </w:r>
      <w:r>
        <w:rPr>
          <w:rFonts w:ascii="Times New Roman" w:eastAsia="Calibri" w:hAnsi="Times New Roman" w:cs="Times New Roman"/>
        </w:rPr>
        <w:t xml:space="preserve">s the </w:t>
      </w:r>
      <w:r w:rsidRPr="00B00384">
        <w:rPr>
          <w:rFonts w:ascii="Times New Roman" w:eastAsia="Calibri" w:hAnsi="Times New Roman" w:cs="Times New Roman"/>
        </w:rPr>
        <w:t>claim of confidentiality intended to last less than 10 years (see TSCA section 14(e)(1)(B))</w:t>
      </w:r>
      <w:r>
        <w:rPr>
          <w:rFonts w:ascii="Times New Roman" w:eastAsia="Calibri" w:hAnsi="Times New Roman" w:cs="Times New Roman"/>
        </w:rPr>
        <w:t>?</w:t>
      </w:r>
      <w:r w:rsidRPr="00B00384">
        <w:rPr>
          <w:rFonts w:ascii="Times New Roman" w:eastAsia="Calibri" w:hAnsi="Times New Roman" w:cs="Times New Roman"/>
        </w:rPr>
        <w:t xml:space="preserve"> </w:t>
      </w:r>
      <w:r>
        <w:rPr>
          <w:rFonts w:ascii="Times New Roman" w:eastAsia="Calibri" w:hAnsi="Times New Roman" w:cs="Times New Roman"/>
        </w:rPr>
        <w:t xml:space="preserve">If so, </w:t>
      </w:r>
      <w:r w:rsidRPr="00B00384">
        <w:rPr>
          <w:rFonts w:ascii="Times New Roman" w:eastAsia="Calibri" w:hAnsi="Times New Roman" w:cs="Times New Roman"/>
        </w:rPr>
        <w:t xml:space="preserve">please indicate the number of years (between 1-10 years) or </w:t>
      </w:r>
      <w:r>
        <w:rPr>
          <w:rFonts w:ascii="Times New Roman" w:eastAsia="Calibri" w:hAnsi="Times New Roman" w:cs="Times New Roman"/>
        </w:rPr>
        <w:t xml:space="preserve">the </w:t>
      </w:r>
      <w:r w:rsidRPr="00B00384">
        <w:rPr>
          <w:rFonts w:ascii="Times New Roman" w:eastAsia="Calibri" w:hAnsi="Times New Roman" w:cs="Times New Roman"/>
        </w:rPr>
        <w:t>specific date/occurrence after which the claim is withdrawn</w:t>
      </w:r>
      <w:r>
        <w:rPr>
          <w:rFonts w:ascii="Times New Roman" w:eastAsia="Calibri" w:hAnsi="Times New Roman" w:cs="Times New Roman"/>
        </w:rPr>
        <w:t>.</w:t>
      </w:r>
    </w:p>
    <w:p w14:paraId="18E63BAC" w14:textId="5491C21D"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 xml:space="preserve">(6) Has </w:t>
      </w:r>
      <w:r w:rsidR="008348EC">
        <w:rPr>
          <w:rFonts w:ascii="Times New Roman" w:eastAsia="Calibri" w:hAnsi="Times New Roman" w:cs="Times New Roman"/>
        </w:rPr>
        <w:t>EPA</w:t>
      </w:r>
      <w:r w:rsidRPr="00B00384">
        <w:rPr>
          <w:rFonts w:ascii="Times New Roman" w:eastAsia="Calibri" w:hAnsi="Times New Roman" w:cs="Times New Roman"/>
        </w:rPr>
        <w:t>, another federal agency, or court made any made any confidentiality determination regarding information associated with this substance?</w:t>
      </w:r>
    </w:p>
    <w:p w14:paraId="538BE7C3" w14:textId="77777777" w:rsidR="00505245" w:rsidRPr="00B00384" w:rsidRDefault="00505245" w:rsidP="00505245">
      <w:pPr>
        <w:widowControl/>
        <w:spacing w:after="200" w:line="276" w:lineRule="auto"/>
        <w:ind w:left="720" w:hanging="360"/>
        <w:rPr>
          <w:rFonts w:ascii="Times New Roman" w:eastAsia="Calibri" w:hAnsi="Times New Roman" w:cs="Times New Roman"/>
        </w:rPr>
      </w:pPr>
      <w:r w:rsidRPr="00B00384">
        <w:rPr>
          <w:rFonts w:ascii="Times New Roman" w:eastAsia="Calibri" w:hAnsi="Times New Roman" w:cs="Times New Roman"/>
        </w:rPr>
        <w:tab/>
      </w:r>
      <w:r w:rsidRPr="00B00384">
        <w:rPr>
          <w:rFonts w:ascii="Times New Roman" w:eastAsia="Calibri" w:hAnsi="Times New Roman" w:cs="Times New Roman"/>
          <w:i/>
        </w:rPr>
        <w:t>If you answered yes, please explain the outcome of that determination and provide a copy of the previous confidentiality determination or any other information that will assist in identifying the prior determination.</w:t>
      </w:r>
      <w:r w:rsidRPr="00B00384">
        <w:rPr>
          <w:rFonts w:ascii="Times New Roman" w:eastAsia="Calibri" w:hAnsi="Times New Roman" w:cs="Times New Roman"/>
        </w:rPr>
        <w:t xml:space="preserve">  </w:t>
      </w:r>
    </w:p>
    <w:p w14:paraId="3946F91C" w14:textId="77777777" w:rsidR="00505245" w:rsidRPr="00B00384" w:rsidRDefault="00505245" w:rsidP="00505245">
      <w:pPr>
        <w:widowControl/>
        <w:numPr>
          <w:ilvl w:val="0"/>
          <w:numId w:val="44"/>
        </w:numPr>
        <w:spacing w:after="180" w:line="264" w:lineRule="auto"/>
        <w:rPr>
          <w:rFonts w:ascii="Times New Roman" w:eastAsia="Times New Roman" w:hAnsi="Times New Roman" w:cs="Times New Roman"/>
          <w:szCs w:val="20"/>
        </w:rPr>
      </w:pPr>
      <w:r w:rsidRPr="00B00384">
        <w:rPr>
          <w:rFonts w:ascii="Times New Roman" w:eastAsia="Times New Roman" w:hAnsi="Times New Roman" w:cs="Times New Roman"/>
          <w:szCs w:val="20"/>
        </w:rPr>
        <w:t>APPLICABLE ONLY TO CHEMICAL IDENTITY CBI CLAIMS</w:t>
      </w:r>
    </w:p>
    <w:p w14:paraId="72CF75C5" w14:textId="77777777" w:rsidR="00505245" w:rsidRPr="00B00384" w:rsidRDefault="00505245" w:rsidP="00505245">
      <w:pPr>
        <w:widowControl/>
        <w:numPr>
          <w:ilvl w:val="0"/>
          <w:numId w:val="42"/>
        </w:numPr>
        <w:spacing w:after="200" w:line="276" w:lineRule="auto"/>
        <w:contextualSpacing/>
        <w:rPr>
          <w:rFonts w:ascii="Times New Roman" w:eastAsia="Calibri" w:hAnsi="Times New Roman" w:cs="Times New Roman"/>
        </w:rPr>
      </w:pPr>
      <w:r w:rsidRPr="00B00384">
        <w:rPr>
          <w:rFonts w:ascii="Times New Roman" w:eastAsia="Calibri" w:hAnsi="Times New Roman" w:cs="Times New Roman"/>
        </w:rPr>
        <w:t xml:space="preserve">Are you providing a substantiation at this time to maintain a specific confidential chemical identity as CBI? </w:t>
      </w:r>
    </w:p>
    <w:p w14:paraId="1BE5F52A"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you answered yes, please respond to questions below and in Section A. </w:t>
      </w:r>
    </w:p>
    <w:p w14:paraId="5FFB03A1"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you answered no, please leave all questions below blank. You must substantiate by the deadline established in a forthcoming Review Plan, to be promulgated at a later date in accordance with TSCA section 8(b)(4)(C).</w:t>
      </w:r>
      <w:r w:rsidRPr="00B00384">
        <w:rPr>
          <w:rFonts w:ascii="Times New Roman" w:eastAsia="Calibri" w:hAnsi="Times New Roman" w:cs="Times New Roman"/>
        </w:rPr>
        <w:t xml:space="preserve"> </w:t>
      </w:r>
    </w:p>
    <w:p w14:paraId="3BC71A3F" w14:textId="77777777" w:rsidR="00505245" w:rsidRPr="00B00384" w:rsidRDefault="00505245" w:rsidP="00505245">
      <w:pPr>
        <w:widowControl/>
        <w:numPr>
          <w:ilvl w:val="0"/>
          <w:numId w:val="42"/>
        </w:numPr>
        <w:spacing w:after="200" w:line="276" w:lineRule="auto"/>
        <w:contextualSpacing/>
        <w:rPr>
          <w:rFonts w:ascii="Times New Roman" w:eastAsia="Calibri" w:hAnsi="Times New Roman" w:cs="Times New Roman"/>
        </w:rPr>
      </w:pPr>
      <w:r w:rsidRPr="00B00384">
        <w:rPr>
          <w:rFonts w:ascii="Times New Roman" w:eastAsia="Calibri" w:hAnsi="Times New Roman" w:cs="Times New Roman"/>
        </w:rPr>
        <w:t xml:space="preserve">Is the confidential chemical substance publicly known to have ever been offered for commercial distribution in the United States? </w:t>
      </w:r>
    </w:p>
    <w:p w14:paraId="6046A5CC" w14:textId="77777777" w:rsidR="00505245"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If you answered yes, please explain why the information should be treated as confidential.</w:t>
      </w:r>
    </w:p>
    <w:p w14:paraId="115364D2" w14:textId="77777777" w:rsidR="00505245" w:rsidRDefault="00505245" w:rsidP="00505245">
      <w:pPr>
        <w:widowControl/>
        <w:spacing w:after="200" w:line="276" w:lineRule="auto"/>
        <w:ind w:left="720"/>
        <w:contextualSpacing/>
        <w:rPr>
          <w:rFonts w:ascii="Times New Roman" w:eastAsia="Calibri" w:hAnsi="Times New Roman" w:cs="Times New Roman"/>
          <w:i/>
        </w:rPr>
      </w:pPr>
    </w:p>
    <w:p w14:paraId="474F7A5F" w14:textId="77777777" w:rsidR="00505245" w:rsidRPr="0003751E" w:rsidRDefault="00505245" w:rsidP="00505245">
      <w:pPr>
        <w:tabs>
          <w:tab w:val="left" w:pos="360"/>
        </w:tabs>
        <w:spacing w:after="180"/>
        <w:rPr>
          <w:rFonts w:ascii="Times New Roman" w:hAnsi="Times New Roman" w:cs="Times New Roman"/>
        </w:rPr>
      </w:pPr>
      <w:r w:rsidRPr="0003751E">
        <w:rPr>
          <w:rFonts w:ascii="Times New Roman" w:hAnsi="Times New Roman" w:cs="Times New Roman"/>
        </w:rPr>
        <w:t>C.</w:t>
      </w:r>
      <w:r w:rsidRPr="0003751E">
        <w:rPr>
          <w:rFonts w:ascii="Times New Roman" w:hAnsi="Times New Roman" w:cs="Times New Roman"/>
        </w:rPr>
        <w:tab/>
        <w:t>CERTIFICATION</w:t>
      </w:r>
    </w:p>
    <w:p w14:paraId="4F165D30" w14:textId="77777777" w:rsidR="00505245" w:rsidRPr="006D6EFD" w:rsidRDefault="00505245" w:rsidP="00505245">
      <w:pPr>
        <w:autoSpaceDE w:val="0"/>
        <w:autoSpaceDN w:val="0"/>
        <w:adjustRightInd w:val="0"/>
        <w:spacing w:line="276" w:lineRule="auto"/>
        <w:ind w:left="720"/>
        <w:rPr>
          <w:rFonts w:ascii="Times New Roman" w:hAnsi="Times New Roman" w:cs="Times New Roman"/>
          <w:color w:val="000000"/>
        </w:rPr>
      </w:pPr>
      <w:r w:rsidRPr="0003751E">
        <w:rPr>
          <w:rFonts w:ascii="Times New Roman" w:hAnsi="Times New Roman" w:cs="Times New Roman"/>
          <w:color w:val="000000"/>
        </w:rPr>
        <w:t>I certify that, for all claims for confidentiality made with this submission, all information submitted to substantiate such claims is true and correct, and that it is true and correct</w:t>
      </w:r>
      <w:r>
        <w:rPr>
          <w:rFonts w:ascii="Times New Roman" w:hAnsi="Times New Roman" w:cs="Times New Roman"/>
          <w:color w:val="000000"/>
        </w:rPr>
        <w:t xml:space="preserve"> that:</w:t>
      </w:r>
    </w:p>
    <w:p w14:paraId="2801C9A3" w14:textId="77777777" w:rsidR="00505245" w:rsidRPr="006D6EFD" w:rsidRDefault="00505245" w:rsidP="00505245">
      <w:pPr>
        <w:tabs>
          <w:tab w:val="left" w:pos="1080"/>
        </w:tabs>
        <w:autoSpaceDE w:val="0"/>
        <w:autoSpaceDN w:val="0"/>
        <w:adjustRightInd w:val="0"/>
        <w:spacing w:line="276" w:lineRule="auto"/>
        <w:ind w:left="1080" w:hanging="360"/>
        <w:rPr>
          <w:rFonts w:ascii="Times New Roman" w:hAnsi="Times New Roman" w:cs="Times New Roman"/>
          <w:color w:val="000000"/>
        </w:rPr>
      </w:pPr>
      <w:r w:rsidRPr="006D6EFD">
        <w:rPr>
          <w:rFonts w:ascii="Times New Roman" w:hAnsi="Times New Roman" w:cs="Times New Roman"/>
          <w:color w:val="000000"/>
        </w:rPr>
        <w:t xml:space="preserve">(i) </w:t>
      </w:r>
      <w:r>
        <w:rPr>
          <w:rFonts w:ascii="Times New Roman" w:hAnsi="Times New Roman" w:cs="Times New Roman"/>
          <w:color w:val="000000"/>
        </w:rPr>
        <w:tab/>
      </w:r>
      <w:r w:rsidRPr="006D6EFD">
        <w:rPr>
          <w:rFonts w:ascii="Times New Roman" w:hAnsi="Times New Roman" w:cs="Times New Roman"/>
          <w:color w:val="000000"/>
        </w:rPr>
        <w:t xml:space="preserve">My company has taken reasonable measures to protect the confidentiality of the information; </w:t>
      </w:r>
    </w:p>
    <w:p w14:paraId="67A14BD4" w14:textId="77777777" w:rsidR="00505245" w:rsidRPr="006D6EFD" w:rsidRDefault="00505245" w:rsidP="00505245">
      <w:pPr>
        <w:tabs>
          <w:tab w:val="left" w:pos="1080"/>
        </w:tabs>
        <w:autoSpaceDE w:val="0"/>
        <w:autoSpaceDN w:val="0"/>
        <w:adjustRightInd w:val="0"/>
        <w:spacing w:line="276" w:lineRule="auto"/>
        <w:ind w:left="1080" w:hanging="360"/>
        <w:rPr>
          <w:rFonts w:ascii="Times New Roman" w:hAnsi="Times New Roman" w:cs="Times New Roman"/>
          <w:color w:val="000000"/>
        </w:rPr>
      </w:pPr>
      <w:r w:rsidRPr="006D6EFD">
        <w:rPr>
          <w:rFonts w:ascii="Times New Roman" w:hAnsi="Times New Roman" w:cs="Times New Roman"/>
          <w:color w:val="000000"/>
        </w:rPr>
        <w:t xml:space="preserve">(ii) </w:t>
      </w:r>
      <w:r>
        <w:rPr>
          <w:rFonts w:ascii="Times New Roman" w:hAnsi="Times New Roman" w:cs="Times New Roman"/>
          <w:color w:val="000000"/>
        </w:rPr>
        <w:tab/>
      </w:r>
      <w:r w:rsidRPr="006D6EFD">
        <w:rPr>
          <w:rFonts w:ascii="Times New Roman" w:hAnsi="Times New Roman" w:cs="Times New Roman"/>
          <w:color w:val="000000"/>
        </w:rPr>
        <w:t xml:space="preserve">I have determined that the information is not required to be disclosed or otherwise made available to the public under any other Federal law; </w:t>
      </w:r>
    </w:p>
    <w:p w14:paraId="31E6E726" w14:textId="77777777" w:rsidR="00505245" w:rsidRPr="006D6EFD" w:rsidRDefault="00505245" w:rsidP="00505245">
      <w:pPr>
        <w:tabs>
          <w:tab w:val="left" w:pos="1080"/>
        </w:tabs>
        <w:autoSpaceDE w:val="0"/>
        <w:autoSpaceDN w:val="0"/>
        <w:adjustRightInd w:val="0"/>
        <w:spacing w:line="276" w:lineRule="auto"/>
        <w:ind w:left="1080" w:hanging="360"/>
        <w:rPr>
          <w:rFonts w:ascii="Times New Roman" w:hAnsi="Times New Roman" w:cs="Times New Roman"/>
          <w:color w:val="000000"/>
        </w:rPr>
      </w:pPr>
      <w:r w:rsidRPr="006D6EFD">
        <w:rPr>
          <w:rFonts w:ascii="Times New Roman" w:hAnsi="Times New Roman" w:cs="Times New Roman"/>
          <w:color w:val="000000"/>
        </w:rPr>
        <w:t xml:space="preserve">(iii) I have a reasonable basis to conclude that disclosure of the information is likely to cause substantial harm to the competitive position of my company; and </w:t>
      </w:r>
    </w:p>
    <w:p w14:paraId="023E5C33" w14:textId="77777777" w:rsidR="00505245" w:rsidRPr="006D6EFD" w:rsidRDefault="00505245" w:rsidP="00505245">
      <w:pPr>
        <w:tabs>
          <w:tab w:val="left" w:pos="1080"/>
        </w:tabs>
        <w:autoSpaceDE w:val="0"/>
        <w:autoSpaceDN w:val="0"/>
        <w:adjustRightInd w:val="0"/>
        <w:spacing w:line="276" w:lineRule="auto"/>
        <w:ind w:left="1080" w:hanging="360"/>
        <w:rPr>
          <w:rFonts w:ascii="Times New Roman" w:hAnsi="Times New Roman" w:cs="Times New Roman"/>
          <w:color w:val="000000"/>
        </w:rPr>
      </w:pPr>
      <w:r w:rsidRPr="006D6EFD">
        <w:rPr>
          <w:rFonts w:ascii="Times New Roman" w:hAnsi="Times New Roman" w:cs="Times New Roman"/>
          <w:color w:val="000000"/>
        </w:rPr>
        <w:t xml:space="preserve">(iv) I have a reasonable basis to believe that the information is not readily discoverable through reverse engineering. </w:t>
      </w:r>
    </w:p>
    <w:p w14:paraId="2D63B744" w14:textId="77777777" w:rsidR="00505245" w:rsidRPr="00D60EF5" w:rsidRDefault="00505245" w:rsidP="00505245">
      <w:pPr>
        <w:spacing w:line="276" w:lineRule="auto"/>
        <w:ind w:left="720"/>
        <w:rPr>
          <w:rFonts w:ascii="Times New Roman" w:hAnsi="Times New Roman" w:cs="Times New Roman"/>
        </w:rPr>
      </w:pPr>
      <w:r w:rsidRPr="006D6EFD">
        <w:rPr>
          <w:rFonts w:ascii="Times New Roman" w:hAnsi="Times New Roman" w:cs="Times New Roman"/>
          <w:color w:val="000000"/>
        </w:rPr>
        <w:t xml:space="preserve">Any knowing and willful misrepresentation is subject to criminal penalty pursuant to 18 U.S.C. § 1001. </w:t>
      </w:r>
      <w:r w:rsidRPr="00663FB6" w:rsidDel="00E048D0">
        <w:t xml:space="preserve"> </w:t>
      </w:r>
    </w:p>
    <w:p w14:paraId="657A8205" w14:textId="77777777" w:rsidR="00505245" w:rsidRPr="00D60EF5" w:rsidRDefault="00505245" w:rsidP="00505245">
      <w:pPr>
        <w:spacing w:line="276" w:lineRule="auto"/>
        <w:ind w:left="720"/>
        <w:rPr>
          <w:rFonts w:ascii="Times New Roman" w:hAnsi="Times New Roman" w:cs="Times New Roman"/>
        </w:rPr>
      </w:pPr>
      <w:r w:rsidRPr="00D60EF5">
        <w:rPr>
          <w:rFonts w:ascii="Times New Roman" w:hAnsi="Times New Roman" w:cs="Times New Roman"/>
        </w:rPr>
        <w:t>[Electronic signature]</w:t>
      </w:r>
    </w:p>
    <w:p w14:paraId="27DAF440" w14:textId="77777777" w:rsidR="00505245" w:rsidRDefault="00505245" w:rsidP="00505245">
      <w:pPr>
        <w:widowControl/>
        <w:spacing w:after="200" w:line="276" w:lineRule="auto"/>
        <w:ind w:left="720"/>
        <w:contextualSpacing/>
        <w:rPr>
          <w:rFonts w:ascii="Times New Roman" w:eastAsia="Calibri" w:hAnsi="Times New Roman" w:cs="Times New Roman"/>
          <w:i/>
        </w:rPr>
      </w:pPr>
    </w:p>
    <w:p w14:paraId="15D90D73" w14:textId="77777777" w:rsidR="00505245" w:rsidRDefault="00505245" w:rsidP="00505245">
      <w:pPr>
        <w:rPr>
          <w:rFonts w:ascii="Times New Roman" w:eastAsia="Times New Roman" w:hAnsi="Times New Roman"/>
          <w:spacing w:val="-1"/>
          <w:sz w:val="24"/>
          <w:szCs w:val="24"/>
        </w:rPr>
      </w:pPr>
      <w:r w:rsidRPr="005B5314">
        <w:rPr>
          <w:rFonts w:ascii="Times New Roman" w:eastAsia="Times New Roman" w:hAnsi="Times New Roman"/>
          <w:spacing w:val="-1"/>
          <w:sz w:val="24"/>
          <w:szCs w:val="24"/>
        </w:rPr>
        <w:t>1</w:t>
      </w:r>
      <w:r>
        <w:rPr>
          <w:rFonts w:ascii="Times New Roman" w:eastAsia="Times New Roman" w:hAnsi="Times New Roman"/>
          <w:spacing w:val="-1"/>
          <w:sz w:val="24"/>
          <w:szCs w:val="24"/>
        </w:rPr>
        <w:t>2</w:t>
      </w:r>
      <w:r w:rsidRPr="005B5314">
        <w:rPr>
          <w:rFonts w:ascii="Times New Roman" w:eastAsia="Times New Roman" w:hAnsi="Times New Roman"/>
          <w:spacing w:val="-1"/>
          <w:sz w:val="24"/>
          <w:szCs w:val="24"/>
        </w:rPr>
        <w:t xml:space="preserve">. </w:t>
      </w:r>
      <w:r w:rsidRPr="00CA30CA">
        <w:rPr>
          <w:rFonts w:ascii="Times New Roman" w:eastAsia="Times New Roman" w:hAnsi="Times New Roman"/>
          <w:b/>
          <w:spacing w:val="-1"/>
          <w:sz w:val="24"/>
          <w:szCs w:val="24"/>
        </w:rPr>
        <w:t xml:space="preserve">CBI Substantiation for non-Chemical Identity </w:t>
      </w:r>
      <w:r>
        <w:rPr>
          <w:rFonts w:ascii="Times New Roman" w:eastAsia="Times New Roman" w:hAnsi="Times New Roman"/>
          <w:b/>
          <w:spacing w:val="-1"/>
          <w:sz w:val="24"/>
          <w:szCs w:val="24"/>
        </w:rPr>
        <w:t>D</w:t>
      </w:r>
      <w:r w:rsidRPr="00CA30CA">
        <w:rPr>
          <w:rFonts w:ascii="Times New Roman" w:eastAsia="Times New Roman" w:hAnsi="Times New Roman"/>
          <w:b/>
          <w:spacing w:val="-1"/>
          <w:sz w:val="24"/>
          <w:szCs w:val="24"/>
        </w:rPr>
        <w:t xml:space="preserve">ata </w:t>
      </w:r>
      <w:r>
        <w:rPr>
          <w:rFonts w:ascii="Times New Roman" w:eastAsia="Times New Roman" w:hAnsi="Times New Roman"/>
          <w:b/>
          <w:spacing w:val="-1"/>
          <w:sz w:val="24"/>
          <w:szCs w:val="24"/>
        </w:rPr>
        <w:t>E</w:t>
      </w:r>
      <w:r w:rsidRPr="00CA30CA">
        <w:rPr>
          <w:rFonts w:ascii="Times New Roman" w:eastAsia="Times New Roman" w:hAnsi="Times New Roman"/>
          <w:b/>
          <w:spacing w:val="-1"/>
          <w:sz w:val="24"/>
          <w:szCs w:val="24"/>
        </w:rPr>
        <w:t xml:space="preserve">lements </w:t>
      </w:r>
      <w:r>
        <w:rPr>
          <w:rFonts w:ascii="Times New Roman" w:eastAsia="Times New Roman" w:hAnsi="Times New Roman"/>
          <w:b/>
          <w:spacing w:val="-1"/>
          <w:sz w:val="24"/>
          <w:szCs w:val="24"/>
        </w:rPr>
        <w:t>(</w:t>
      </w:r>
      <w:r>
        <w:rPr>
          <w:rFonts w:ascii="Times New Roman" w:eastAsia="Times New Roman" w:hAnsi="Times New Roman"/>
          <w:spacing w:val="-1"/>
          <w:sz w:val="24"/>
          <w:szCs w:val="24"/>
        </w:rPr>
        <w:t>A</w:t>
      </w:r>
      <w:r w:rsidRPr="005B5314">
        <w:rPr>
          <w:rFonts w:ascii="Times New Roman" w:eastAsia="Times New Roman" w:hAnsi="Times New Roman"/>
          <w:spacing w:val="-1"/>
          <w:sz w:val="24"/>
          <w:szCs w:val="24"/>
        </w:rPr>
        <w:t xml:space="preserve">pplies for </w:t>
      </w:r>
      <w:r>
        <w:rPr>
          <w:rFonts w:ascii="Times New Roman" w:eastAsia="Times New Roman" w:hAnsi="Times New Roman"/>
          <w:spacing w:val="-1"/>
          <w:sz w:val="24"/>
          <w:szCs w:val="24"/>
        </w:rPr>
        <w:t>c</w:t>
      </w:r>
      <w:r w:rsidRPr="005B5314">
        <w:rPr>
          <w:rFonts w:ascii="Times New Roman" w:eastAsia="Times New Roman" w:hAnsi="Times New Roman"/>
          <w:spacing w:val="-1"/>
          <w:sz w:val="24"/>
          <w:szCs w:val="24"/>
        </w:rPr>
        <w:t xml:space="preserve">ertain </w:t>
      </w:r>
      <w:r>
        <w:rPr>
          <w:rFonts w:ascii="Times New Roman" w:eastAsia="Times New Roman" w:hAnsi="Times New Roman"/>
          <w:spacing w:val="-1"/>
          <w:sz w:val="24"/>
          <w:szCs w:val="24"/>
        </w:rPr>
        <w:t>s</w:t>
      </w:r>
      <w:r w:rsidRPr="005B5314">
        <w:rPr>
          <w:rFonts w:ascii="Times New Roman" w:eastAsia="Times New Roman" w:hAnsi="Times New Roman"/>
          <w:spacing w:val="-1"/>
          <w:sz w:val="24"/>
          <w:szCs w:val="24"/>
        </w:rPr>
        <w:t>ubmissions</w:t>
      </w:r>
      <w:r>
        <w:rPr>
          <w:rFonts w:ascii="Times New Roman" w:eastAsia="Times New Roman" w:hAnsi="Times New Roman"/>
          <w:spacing w:val="-1"/>
          <w:sz w:val="24"/>
          <w:szCs w:val="24"/>
        </w:rPr>
        <w:t>).</w:t>
      </w:r>
      <w:r w:rsidRPr="005B5314" w:rsidDel="00232625">
        <w:rPr>
          <w:rFonts w:ascii="Times New Roman" w:eastAsia="Times New Roman" w:hAnsi="Times New Roman"/>
          <w:spacing w:val="-1"/>
          <w:sz w:val="24"/>
          <w:szCs w:val="24"/>
        </w:rPr>
        <w:t xml:space="preserve"> </w:t>
      </w:r>
      <w:r w:rsidRPr="00750254">
        <w:rPr>
          <w:rFonts w:ascii="Times New Roman" w:eastAsia="Times New Roman" w:hAnsi="Times New Roman"/>
          <w:spacing w:val="-1"/>
          <w:sz w:val="24"/>
          <w:szCs w:val="24"/>
        </w:rPr>
        <w:t>As part of the NOA, relevant submitters are required to provide CBI substantiation for non-chemID data elements, including: Name and company name of authorized official; Mailing address for authorized official; Name of technical contact; Telephone number for technical contact; and start date</w:t>
      </w:r>
      <w:r>
        <w:rPr>
          <w:rFonts w:ascii="Times New Roman" w:eastAsia="Times New Roman" w:hAnsi="Times New Roman"/>
          <w:spacing w:val="-1"/>
          <w:sz w:val="24"/>
          <w:szCs w:val="24"/>
        </w:rPr>
        <w:t xml:space="preserve"> (up to five elements)</w:t>
      </w:r>
      <w:r w:rsidRPr="00750254">
        <w:rPr>
          <w:rFonts w:ascii="Times New Roman" w:eastAsia="Times New Roman" w:hAnsi="Times New Roman"/>
          <w:spacing w:val="-1"/>
          <w:sz w:val="24"/>
          <w:szCs w:val="24"/>
        </w:rPr>
        <w:t xml:space="preserve">. </w:t>
      </w:r>
      <w:r w:rsidRPr="005B5314">
        <w:rPr>
          <w:rFonts w:ascii="Times New Roman" w:eastAsia="Times New Roman" w:hAnsi="Times New Roman"/>
          <w:spacing w:val="-1"/>
          <w:sz w:val="24"/>
          <w:szCs w:val="24"/>
        </w:rPr>
        <w:t>The non-chemID CBI substantiation questions are as follows:</w:t>
      </w:r>
    </w:p>
    <w:p w14:paraId="42E5B238" w14:textId="77777777" w:rsidR="00505245" w:rsidRPr="005B5314" w:rsidRDefault="00505245" w:rsidP="00505245">
      <w:pPr>
        <w:rPr>
          <w:rFonts w:ascii="Times New Roman" w:eastAsia="Times New Roman" w:hAnsi="Times New Roman"/>
          <w:spacing w:val="-1"/>
          <w:sz w:val="24"/>
          <w:szCs w:val="24"/>
        </w:rPr>
      </w:pPr>
    </w:p>
    <w:p w14:paraId="00F2E617" w14:textId="77777777" w:rsidR="00505245" w:rsidRPr="00D60EF5" w:rsidRDefault="00505245" w:rsidP="00505245">
      <w:pPr>
        <w:widowControl/>
        <w:spacing w:after="180" w:line="264" w:lineRule="auto"/>
        <w:rPr>
          <w:rFonts w:ascii="Times New Roman" w:eastAsia="Times New Roman" w:hAnsi="Times New Roman" w:cs="Times New Roman"/>
        </w:rPr>
      </w:pPr>
      <w:r w:rsidRPr="00D60EF5">
        <w:rPr>
          <w:rFonts w:ascii="Times New Roman" w:eastAsia="Times New Roman" w:hAnsi="Times New Roman" w:cs="Times New Roman"/>
        </w:rPr>
        <w:t>A. APPLICABLE TO ANY CBI CLAIM</w:t>
      </w:r>
    </w:p>
    <w:p w14:paraId="0171A85F"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i/>
        </w:rPr>
      </w:pPr>
      <w:r w:rsidRPr="00B00384">
        <w:rPr>
          <w:rFonts w:ascii="Times New Roman" w:eastAsia="Calibri" w:hAnsi="Times New Roman" w:cs="Times New Roman"/>
        </w:rPr>
        <w:t xml:space="preserve">(1) Do you believe that </w:t>
      </w:r>
      <w:r>
        <w:rPr>
          <w:rFonts w:ascii="Times New Roman" w:eastAsia="Calibri" w:hAnsi="Times New Roman" w:cs="Times New Roman"/>
        </w:rPr>
        <w:t>the</w:t>
      </w:r>
      <w:r w:rsidRPr="00B00384">
        <w:rPr>
          <w:rFonts w:ascii="Times New Roman" w:eastAsia="Calibri" w:hAnsi="Times New Roman" w:cs="Times New Roman"/>
        </w:rPr>
        <w:t xml:space="preserve"> information is exempt from substantiation pursuant to TSCA section 14(c)(2)?</w:t>
      </w:r>
      <w:r w:rsidRPr="00B00384">
        <w:rPr>
          <w:rFonts w:ascii="Times New Roman" w:eastAsia="Calibri" w:hAnsi="Times New Roman" w:cs="Times New Roman"/>
          <w:i/>
        </w:rPr>
        <w:t xml:space="preserve"> </w:t>
      </w:r>
    </w:p>
    <w:p w14:paraId="0054F7D8"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you answered yes, you must </w:t>
      </w:r>
      <w:r>
        <w:rPr>
          <w:rFonts w:ascii="Times New Roman" w:eastAsia="Calibri" w:hAnsi="Times New Roman" w:cs="Times New Roman"/>
          <w:i/>
        </w:rPr>
        <w:t xml:space="preserve">individually </w:t>
      </w:r>
      <w:r w:rsidRPr="00B00384">
        <w:rPr>
          <w:rFonts w:ascii="Times New Roman" w:eastAsia="Calibri" w:hAnsi="Times New Roman" w:cs="Times New Roman"/>
          <w:i/>
        </w:rPr>
        <w:t xml:space="preserve">identify the specific information </w:t>
      </w:r>
      <w:r>
        <w:rPr>
          <w:rFonts w:ascii="Times New Roman" w:eastAsia="Calibri" w:hAnsi="Times New Roman" w:cs="Times New Roman"/>
          <w:i/>
        </w:rPr>
        <w:t>claimed as confidential and</w:t>
      </w:r>
      <w:r w:rsidRPr="00B00384">
        <w:rPr>
          <w:rFonts w:ascii="Times New Roman" w:eastAsia="Calibri" w:hAnsi="Times New Roman" w:cs="Times New Roman"/>
          <w:i/>
        </w:rPr>
        <w:t xml:space="preserve"> specify the applicable exemption(s)</w:t>
      </w:r>
      <w:r>
        <w:rPr>
          <w:rFonts w:ascii="Times New Roman" w:eastAsia="Calibri" w:hAnsi="Times New Roman" w:cs="Times New Roman"/>
          <w:i/>
        </w:rPr>
        <w:t>.</w:t>
      </w:r>
    </w:p>
    <w:p w14:paraId="56B4C257"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the Agency disagrees with this assertion, you may be asked to provide additional information to support your claim.</w:t>
      </w:r>
      <w:r w:rsidRPr="00B00384">
        <w:rPr>
          <w:rFonts w:ascii="Times New Roman" w:eastAsia="Calibri" w:hAnsi="Times New Roman" w:cs="Times New Roman"/>
        </w:rPr>
        <w:t xml:space="preserve"> </w:t>
      </w:r>
    </w:p>
    <w:p w14:paraId="6F905CE3" w14:textId="77777777" w:rsidR="00505245" w:rsidRPr="00B00384" w:rsidRDefault="00505245" w:rsidP="00505245">
      <w:pPr>
        <w:widowControl/>
        <w:numPr>
          <w:ilvl w:val="0"/>
          <w:numId w:val="45"/>
        </w:numPr>
        <w:spacing w:after="200" w:line="276" w:lineRule="auto"/>
        <w:contextualSpacing/>
        <w:rPr>
          <w:rFonts w:ascii="Times New Roman" w:eastAsia="Calibri" w:hAnsi="Times New Roman" w:cs="Times New Roman"/>
        </w:rPr>
      </w:pPr>
      <w:r w:rsidRPr="00B00384">
        <w:rPr>
          <w:rFonts w:ascii="Times New Roman" w:eastAsia="Calibri" w:hAnsi="Times New Roman" w:cs="Times New Roman"/>
        </w:rPr>
        <w:t xml:space="preserve">Will disclosure of </w:t>
      </w:r>
      <w:r>
        <w:rPr>
          <w:rFonts w:ascii="Times New Roman" w:eastAsia="Calibri" w:hAnsi="Times New Roman" w:cs="Times New Roman"/>
        </w:rPr>
        <w:t xml:space="preserve">the </w:t>
      </w:r>
      <w:r w:rsidRPr="00B00384">
        <w:rPr>
          <w:rFonts w:ascii="Times New Roman" w:eastAsia="Calibri" w:hAnsi="Times New Roman" w:cs="Times New Roman"/>
        </w:rPr>
        <w:t>information likely result in substantial harm to your business’</w:t>
      </w:r>
      <w:r>
        <w:rPr>
          <w:rFonts w:ascii="Times New Roman" w:eastAsia="Calibri" w:hAnsi="Times New Roman" w:cs="Times New Roman"/>
        </w:rPr>
        <w:t>s</w:t>
      </w:r>
      <w:r w:rsidRPr="00B00384">
        <w:rPr>
          <w:rFonts w:ascii="Times New Roman" w:eastAsia="Calibri" w:hAnsi="Times New Roman" w:cs="Times New Roman"/>
        </w:rPr>
        <w:t xml:space="preserve"> competitive position? </w:t>
      </w:r>
    </w:p>
    <w:p w14:paraId="1048746B"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you answered yes, please describe with specificity the substantial harmful effects that would likely result to your competitive position if the CBI element is made available to the public. </w:t>
      </w:r>
    </w:p>
    <w:p w14:paraId="46A6DB67" w14:textId="77777777" w:rsidR="00505245" w:rsidRPr="00B00384" w:rsidRDefault="00505245" w:rsidP="00505245">
      <w:pPr>
        <w:widowControl/>
        <w:spacing w:after="200" w:line="276" w:lineRule="auto"/>
        <w:ind w:left="720"/>
        <w:contextualSpacing/>
        <w:rPr>
          <w:rFonts w:ascii="Times New Roman" w:eastAsia="Calibri" w:hAnsi="Times New Roman" w:cs="Times New Roman"/>
          <w:i/>
        </w:rPr>
      </w:pPr>
      <w:r w:rsidRPr="00B00384">
        <w:rPr>
          <w:rFonts w:ascii="Times New Roman" w:eastAsia="Calibri" w:hAnsi="Times New Roman" w:cs="Times New Roman"/>
          <w:i/>
        </w:rPr>
        <w:t xml:space="preserve">If, for example, it is not publicly known that the submitter manufactures, imports or processes the reported chemical, describe with specificity the harmful effects that would result if this information were made available to the public. If you are claiming technical contact name or name of authorized official as CBI, describe with specificity the harmful effects that would result if this information were made available to the public. </w:t>
      </w:r>
    </w:p>
    <w:p w14:paraId="0A3BD08B"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you are claiming multiple information elements as CBI, please provide information for EACH element you identified above.</w:t>
      </w:r>
    </w:p>
    <w:p w14:paraId="33BC1AF8"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 xml:space="preserve">(3) To the extent your business has disclosed </w:t>
      </w:r>
      <w:r>
        <w:rPr>
          <w:rFonts w:ascii="Times New Roman" w:eastAsia="Calibri" w:hAnsi="Times New Roman" w:cs="Times New Roman"/>
        </w:rPr>
        <w:t>the</w:t>
      </w:r>
      <w:r w:rsidRPr="00B00384">
        <w:rPr>
          <w:rFonts w:ascii="Times New Roman" w:eastAsia="Calibri" w:hAnsi="Times New Roman" w:cs="Times New Roman"/>
        </w:rPr>
        <w:t xml:space="preserve"> information to others (both internally and externally), what precautions has your business taken? Please identify the measures or internal controls your business has taken to protect the information claimed as confidential. </w:t>
      </w:r>
    </w:p>
    <w:p w14:paraId="526377F4"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 xml:space="preserve">(1) Non-disclosure agreement required prior to access. </w:t>
      </w:r>
    </w:p>
    <w:p w14:paraId="4CFDC001"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(2) Access is limited to individuals with a need-to-know.</w:t>
      </w:r>
    </w:p>
    <w:p w14:paraId="3DBBC393"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(3) Information is physically secured (e.g. locked in room or cabinet) or electronically secured (encrypted, password protected, etc.).</w:t>
      </w:r>
    </w:p>
    <w:p w14:paraId="674AB6BE"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rPr>
        <w:t xml:space="preserve">(4) Other internal control measure(s). </w:t>
      </w:r>
      <w:r w:rsidRPr="00B00384">
        <w:rPr>
          <w:rFonts w:ascii="Times New Roman" w:eastAsia="Calibri" w:hAnsi="Times New Roman" w:cs="Times New Roman"/>
          <w:i/>
        </w:rPr>
        <w:t>If yes, please explain below.</w:t>
      </w:r>
      <w:r w:rsidRPr="00B00384">
        <w:rPr>
          <w:rFonts w:ascii="Times New Roman" w:eastAsia="Calibri" w:hAnsi="Times New Roman" w:cs="Times New Roman"/>
        </w:rPr>
        <w:t xml:space="preserve"> </w:t>
      </w:r>
    </w:p>
    <w:p w14:paraId="385176C8"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(4) Does the information appear in any public documents, including (but not limited to) safety data sheet</w:t>
      </w:r>
      <w:r>
        <w:rPr>
          <w:rFonts w:ascii="Times New Roman" w:eastAsia="Calibri" w:hAnsi="Times New Roman" w:cs="Times New Roman"/>
        </w:rPr>
        <w:t>s</w:t>
      </w:r>
      <w:r w:rsidRPr="00B00384">
        <w:rPr>
          <w:rFonts w:ascii="Times New Roman" w:eastAsia="Calibri" w:hAnsi="Times New Roman" w:cs="Times New Roman"/>
        </w:rPr>
        <w:t xml:space="preserve">, advertising or promotional material, professional or trade publication, or any other media or publications available to the general public? </w:t>
      </w:r>
    </w:p>
    <w:p w14:paraId="2846B5BE" w14:textId="77777777" w:rsidR="00505245" w:rsidRPr="00B00384" w:rsidRDefault="00505245" w:rsidP="00505245">
      <w:pPr>
        <w:widowControl/>
        <w:spacing w:after="200" w:line="276" w:lineRule="auto"/>
        <w:ind w:left="720"/>
        <w:contextualSpacing/>
        <w:rPr>
          <w:rFonts w:ascii="Times New Roman" w:eastAsia="Calibri" w:hAnsi="Times New Roman" w:cs="Times New Roman"/>
        </w:rPr>
      </w:pPr>
      <w:r w:rsidRPr="00B00384">
        <w:rPr>
          <w:rFonts w:ascii="Times New Roman" w:eastAsia="Calibri" w:hAnsi="Times New Roman" w:cs="Times New Roman"/>
          <w:i/>
        </w:rPr>
        <w:t>If you answered yes, please explain why the information should be treated as confidential</w:t>
      </w:r>
      <w:r w:rsidRPr="00B00384">
        <w:rPr>
          <w:rFonts w:ascii="Times New Roman" w:eastAsia="Calibri" w:hAnsi="Times New Roman" w:cs="Times New Roman"/>
        </w:rPr>
        <w:t xml:space="preserve">. </w:t>
      </w:r>
    </w:p>
    <w:p w14:paraId="3BB700C2"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(5) I</w:t>
      </w:r>
      <w:r>
        <w:rPr>
          <w:rFonts w:ascii="Times New Roman" w:eastAsia="Calibri" w:hAnsi="Times New Roman" w:cs="Times New Roman"/>
        </w:rPr>
        <w:t xml:space="preserve">s the </w:t>
      </w:r>
      <w:r w:rsidRPr="00B00384">
        <w:rPr>
          <w:rFonts w:ascii="Times New Roman" w:eastAsia="Calibri" w:hAnsi="Times New Roman" w:cs="Times New Roman"/>
        </w:rPr>
        <w:t>claim of confidentiality intended to last less than 10 years (see TSCA section 14(e)(1)(B))</w:t>
      </w:r>
      <w:r>
        <w:rPr>
          <w:rFonts w:ascii="Times New Roman" w:eastAsia="Calibri" w:hAnsi="Times New Roman" w:cs="Times New Roman"/>
        </w:rPr>
        <w:t>?</w:t>
      </w:r>
      <w:r w:rsidRPr="00B00384">
        <w:rPr>
          <w:rFonts w:ascii="Times New Roman" w:eastAsia="Calibri" w:hAnsi="Times New Roman" w:cs="Times New Roman"/>
        </w:rPr>
        <w:t xml:space="preserve"> </w:t>
      </w:r>
      <w:r>
        <w:rPr>
          <w:rFonts w:ascii="Times New Roman" w:eastAsia="Calibri" w:hAnsi="Times New Roman" w:cs="Times New Roman"/>
        </w:rPr>
        <w:t xml:space="preserve">If so, </w:t>
      </w:r>
      <w:r w:rsidRPr="00B00384">
        <w:rPr>
          <w:rFonts w:ascii="Times New Roman" w:eastAsia="Calibri" w:hAnsi="Times New Roman" w:cs="Times New Roman"/>
        </w:rPr>
        <w:t>please indicate the number of years (between 1-10 years) or specific date/occurrence after which the claim is withdrawn</w:t>
      </w:r>
      <w:r>
        <w:rPr>
          <w:rFonts w:ascii="Times New Roman" w:eastAsia="Calibri" w:hAnsi="Times New Roman" w:cs="Times New Roman"/>
        </w:rPr>
        <w:t>.</w:t>
      </w:r>
    </w:p>
    <w:p w14:paraId="76A4D7EF" w14:textId="3E1E544C"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 xml:space="preserve">(6) Has </w:t>
      </w:r>
      <w:r w:rsidR="008348EC">
        <w:rPr>
          <w:rFonts w:ascii="Times New Roman" w:eastAsia="Calibri" w:hAnsi="Times New Roman" w:cs="Times New Roman"/>
        </w:rPr>
        <w:t>EPA</w:t>
      </w:r>
      <w:r w:rsidRPr="00B00384">
        <w:rPr>
          <w:rFonts w:ascii="Times New Roman" w:eastAsia="Calibri" w:hAnsi="Times New Roman" w:cs="Times New Roman"/>
        </w:rPr>
        <w:t>, another federal agency, or court made any made any confidentiality determination regarding information associated with this substance?</w:t>
      </w:r>
    </w:p>
    <w:p w14:paraId="2CFCD447" w14:textId="77777777" w:rsidR="00505245" w:rsidRPr="00B00384" w:rsidRDefault="00505245" w:rsidP="00505245">
      <w:pPr>
        <w:widowControl/>
        <w:spacing w:after="200" w:line="276" w:lineRule="auto"/>
        <w:ind w:left="720" w:hanging="360"/>
        <w:contextualSpacing/>
        <w:rPr>
          <w:rFonts w:ascii="Times New Roman" w:eastAsia="Calibri" w:hAnsi="Times New Roman" w:cs="Times New Roman"/>
        </w:rPr>
      </w:pPr>
      <w:r w:rsidRPr="00B00384">
        <w:rPr>
          <w:rFonts w:ascii="Times New Roman" w:eastAsia="Calibri" w:hAnsi="Times New Roman" w:cs="Times New Roman"/>
        </w:rPr>
        <w:tab/>
      </w:r>
      <w:r w:rsidRPr="00B00384">
        <w:rPr>
          <w:rFonts w:ascii="Times New Roman" w:eastAsia="Calibri" w:hAnsi="Times New Roman" w:cs="Times New Roman"/>
          <w:i/>
        </w:rPr>
        <w:t>If you answered yes, please explain the outcome of that determination and provide a copy of the previous confidentiality determination or any other information that will assist in identifying the prior determination.</w:t>
      </w:r>
      <w:r w:rsidRPr="00B00384">
        <w:rPr>
          <w:rFonts w:ascii="Times New Roman" w:eastAsia="Calibri" w:hAnsi="Times New Roman" w:cs="Times New Roman"/>
        </w:rPr>
        <w:t xml:space="preserve">  </w:t>
      </w:r>
    </w:p>
    <w:p w14:paraId="7A68635C" w14:textId="77777777" w:rsidR="00505245" w:rsidRPr="0003751E" w:rsidRDefault="00505245" w:rsidP="00505245">
      <w:pPr>
        <w:rPr>
          <w:rFonts w:ascii="Times New Roman" w:hAnsi="Times New Roman" w:cs="Times New Roman"/>
          <w:sz w:val="24"/>
          <w:szCs w:val="24"/>
        </w:rPr>
      </w:pPr>
    </w:p>
    <w:p w14:paraId="11B8A9C6" w14:textId="77777777" w:rsidR="00505245" w:rsidRPr="0003751E" w:rsidRDefault="00505245" w:rsidP="00505245">
      <w:pPr>
        <w:pStyle w:val="BodyText"/>
        <w:widowControl/>
        <w:numPr>
          <w:ilvl w:val="0"/>
          <w:numId w:val="46"/>
        </w:numPr>
        <w:spacing w:after="180" w:line="264" w:lineRule="auto"/>
        <w:rPr>
          <w:rFonts w:cs="Times New Roman"/>
        </w:rPr>
      </w:pPr>
      <w:r w:rsidRPr="0003751E">
        <w:rPr>
          <w:rFonts w:cs="Times New Roman"/>
        </w:rPr>
        <w:t>APPLICABLE ONLY TO CHEMICAL IDENTITY CBI CLAIMS</w:t>
      </w:r>
    </w:p>
    <w:p w14:paraId="7455D363" w14:textId="77777777" w:rsidR="00505245" w:rsidRPr="00613B92" w:rsidRDefault="00505245" w:rsidP="00505245">
      <w:pPr>
        <w:ind w:left="360" w:firstLine="360"/>
        <w:rPr>
          <w:rFonts w:ascii="Times New Roman" w:hAnsi="Times New Roman" w:cs="Times New Roman"/>
          <w:i/>
        </w:rPr>
      </w:pPr>
      <w:r w:rsidRPr="00613B92">
        <w:rPr>
          <w:rFonts w:ascii="Times New Roman" w:hAnsi="Times New Roman" w:cs="Times New Roman"/>
          <w:i/>
        </w:rPr>
        <w:t>[not applicable]</w:t>
      </w:r>
    </w:p>
    <w:p w14:paraId="1B9B8197" w14:textId="77777777" w:rsidR="00505245" w:rsidRPr="0003751E" w:rsidRDefault="00505245" w:rsidP="00505245">
      <w:pPr>
        <w:ind w:left="360" w:firstLine="360"/>
        <w:rPr>
          <w:rFonts w:ascii="Times New Roman" w:hAnsi="Times New Roman" w:cs="Times New Roman"/>
          <w:i/>
          <w:sz w:val="24"/>
          <w:szCs w:val="24"/>
        </w:rPr>
      </w:pPr>
    </w:p>
    <w:p w14:paraId="37C744D0" w14:textId="77777777" w:rsidR="00505245" w:rsidRPr="00613B92" w:rsidRDefault="00505245" w:rsidP="00505245">
      <w:pPr>
        <w:pStyle w:val="ListParagraph"/>
        <w:numPr>
          <w:ilvl w:val="0"/>
          <w:numId w:val="46"/>
        </w:numPr>
        <w:tabs>
          <w:tab w:val="left" w:pos="360"/>
        </w:tabs>
        <w:spacing w:after="180"/>
        <w:rPr>
          <w:rFonts w:ascii="Times New Roman" w:hAnsi="Times New Roman" w:cs="Times New Roman"/>
          <w:sz w:val="24"/>
          <w:szCs w:val="24"/>
        </w:rPr>
      </w:pPr>
      <w:r w:rsidRPr="00613B92">
        <w:rPr>
          <w:rFonts w:ascii="Times New Roman" w:hAnsi="Times New Roman" w:cs="Times New Roman"/>
          <w:sz w:val="24"/>
          <w:szCs w:val="24"/>
        </w:rPr>
        <w:t>CERTIFICATION</w:t>
      </w:r>
    </w:p>
    <w:p w14:paraId="72A7B9EC" w14:textId="77777777" w:rsidR="00505245" w:rsidRPr="00613B92" w:rsidRDefault="00505245" w:rsidP="00505245">
      <w:pPr>
        <w:autoSpaceDE w:val="0"/>
        <w:autoSpaceDN w:val="0"/>
        <w:adjustRightInd w:val="0"/>
        <w:spacing w:line="276" w:lineRule="auto"/>
        <w:ind w:left="720"/>
        <w:rPr>
          <w:rFonts w:ascii="Times New Roman" w:hAnsi="Times New Roman" w:cs="Times New Roman"/>
          <w:color w:val="000000"/>
        </w:rPr>
      </w:pPr>
      <w:r w:rsidRPr="00613B92">
        <w:rPr>
          <w:rFonts w:ascii="Times New Roman" w:hAnsi="Times New Roman" w:cs="Times New Roman"/>
          <w:color w:val="000000"/>
        </w:rPr>
        <w:t>I certify that, for all claims for confidentiality made with this submission, all information submitted to substantiate such claims is true and correct, and t</w:t>
      </w:r>
      <w:r w:rsidRPr="0003751E">
        <w:rPr>
          <w:rFonts w:ascii="Times New Roman" w:hAnsi="Times New Roman" w:cs="Times New Roman"/>
          <w:color w:val="000000"/>
        </w:rPr>
        <w:t>hat it is true and correct that</w:t>
      </w:r>
      <w:r>
        <w:rPr>
          <w:rFonts w:ascii="Times New Roman" w:hAnsi="Times New Roman" w:cs="Times New Roman"/>
          <w:color w:val="000000"/>
        </w:rPr>
        <w:t>:</w:t>
      </w:r>
    </w:p>
    <w:p w14:paraId="27949530" w14:textId="77777777" w:rsidR="00505245" w:rsidRPr="00613B92" w:rsidRDefault="00505245" w:rsidP="00505245">
      <w:pPr>
        <w:autoSpaceDE w:val="0"/>
        <w:autoSpaceDN w:val="0"/>
        <w:adjustRightInd w:val="0"/>
        <w:spacing w:line="276" w:lineRule="auto"/>
        <w:ind w:left="1080" w:hanging="360"/>
        <w:rPr>
          <w:rFonts w:ascii="Times New Roman" w:hAnsi="Times New Roman" w:cs="Times New Roman"/>
          <w:color w:val="000000"/>
        </w:rPr>
      </w:pPr>
      <w:r w:rsidRPr="00613B92">
        <w:rPr>
          <w:rFonts w:ascii="Times New Roman" w:hAnsi="Times New Roman" w:cs="Times New Roman"/>
          <w:color w:val="000000"/>
        </w:rPr>
        <w:t xml:space="preserve">(i) </w:t>
      </w:r>
      <w:r>
        <w:rPr>
          <w:rFonts w:ascii="Times New Roman" w:hAnsi="Times New Roman" w:cs="Times New Roman"/>
          <w:color w:val="000000"/>
        </w:rPr>
        <w:tab/>
      </w:r>
      <w:r w:rsidRPr="00613B92">
        <w:rPr>
          <w:rFonts w:ascii="Times New Roman" w:hAnsi="Times New Roman" w:cs="Times New Roman"/>
          <w:color w:val="000000"/>
        </w:rPr>
        <w:t xml:space="preserve">My company has taken reasonable measures to protect the confidentiality of the information; </w:t>
      </w:r>
    </w:p>
    <w:p w14:paraId="0A2C0F0F" w14:textId="77777777" w:rsidR="00505245" w:rsidRPr="00613B92" w:rsidRDefault="00505245" w:rsidP="00505245">
      <w:pPr>
        <w:autoSpaceDE w:val="0"/>
        <w:autoSpaceDN w:val="0"/>
        <w:adjustRightInd w:val="0"/>
        <w:spacing w:line="276" w:lineRule="auto"/>
        <w:ind w:left="1080" w:hanging="360"/>
        <w:rPr>
          <w:rFonts w:ascii="Times New Roman" w:hAnsi="Times New Roman" w:cs="Times New Roman"/>
          <w:color w:val="000000"/>
        </w:rPr>
      </w:pPr>
      <w:r w:rsidRPr="00613B92">
        <w:rPr>
          <w:rFonts w:ascii="Times New Roman" w:hAnsi="Times New Roman" w:cs="Times New Roman"/>
          <w:color w:val="000000"/>
        </w:rPr>
        <w:t xml:space="preserve">(ii) </w:t>
      </w:r>
      <w:r>
        <w:rPr>
          <w:rFonts w:ascii="Times New Roman" w:hAnsi="Times New Roman" w:cs="Times New Roman"/>
          <w:color w:val="000000"/>
        </w:rPr>
        <w:tab/>
      </w:r>
      <w:r w:rsidRPr="00613B92">
        <w:rPr>
          <w:rFonts w:ascii="Times New Roman" w:hAnsi="Times New Roman" w:cs="Times New Roman"/>
          <w:color w:val="000000"/>
        </w:rPr>
        <w:t xml:space="preserve">I have determined that the information is not required to be disclosed or otherwise made available to the public under any other Federal law; </w:t>
      </w:r>
    </w:p>
    <w:p w14:paraId="574A63E7" w14:textId="77777777" w:rsidR="00505245" w:rsidRPr="00613B92" w:rsidRDefault="00505245" w:rsidP="00505245">
      <w:pPr>
        <w:autoSpaceDE w:val="0"/>
        <w:autoSpaceDN w:val="0"/>
        <w:adjustRightInd w:val="0"/>
        <w:spacing w:line="276" w:lineRule="auto"/>
        <w:ind w:left="1080" w:hanging="360"/>
        <w:rPr>
          <w:rFonts w:ascii="Times New Roman" w:hAnsi="Times New Roman" w:cs="Times New Roman"/>
          <w:color w:val="000000"/>
        </w:rPr>
      </w:pPr>
      <w:r w:rsidRPr="00613B92">
        <w:rPr>
          <w:rFonts w:ascii="Times New Roman" w:hAnsi="Times New Roman" w:cs="Times New Roman"/>
          <w:color w:val="000000"/>
        </w:rPr>
        <w:t xml:space="preserve">(iii) I have a reasonable basis to conclude that disclosure of the information is likely to cause substantial harm to the competitive position of my company; and </w:t>
      </w:r>
    </w:p>
    <w:p w14:paraId="5BE76A43" w14:textId="77777777" w:rsidR="00505245" w:rsidRPr="00613B92" w:rsidRDefault="00505245" w:rsidP="00505245">
      <w:pPr>
        <w:autoSpaceDE w:val="0"/>
        <w:autoSpaceDN w:val="0"/>
        <w:adjustRightInd w:val="0"/>
        <w:spacing w:line="276" w:lineRule="auto"/>
        <w:ind w:left="1080" w:hanging="360"/>
        <w:rPr>
          <w:rFonts w:ascii="Times New Roman" w:hAnsi="Times New Roman" w:cs="Times New Roman"/>
          <w:color w:val="000000"/>
        </w:rPr>
      </w:pPr>
      <w:r w:rsidRPr="00613B92">
        <w:rPr>
          <w:rFonts w:ascii="Times New Roman" w:hAnsi="Times New Roman" w:cs="Times New Roman"/>
          <w:color w:val="000000"/>
        </w:rPr>
        <w:t xml:space="preserve">(iv) I have a reasonable basis to believe that the information is not readily discoverable through reverse engineering. </w:t>
      </w:r>
    </w:p>
    <w:p w14:paraId="57E461E8" w14:textId="77777777" w:rsidR="00505245" w:rsidRDefault="00505245" w:rsidP="00505245">
      <w:pPr>
        <w:ind w:left="720"/>
        <w:rPr>
          <w:rFonts w:ascii="Times New Roman" w:hAnsi="Times New Roman" w:cs="Times New Roman"/>
          <w:color w:val="000000"/>
        </w:rPr>
      </w:pPr>
      <w:r w:rsidRPr="00613B92">
        <w:rPr>
          <w:rFonts w:ascii="Times New Roman" w:hAnsi="Times New Roman" w:cs="Times New Roman"/>
          <w:color w:val="000000"/>
        </w:rPr>
        <w:t>Any knowing and willful misrepresentation is subject to criminal penalty pursuant to 18 U.S.C. § 1001.</w:t>
      </w:r>
    </w:p>
    <w:p w14:paraId="6F8CEBC0" w14:textId="77777777" w:rsidR="00505245" w:rsidRPr="0003751E" w:rsidRDefault="00505245" w:rsidP="00505245">
      <w:pPr>
        <w:ind w:left="720"/>
        <w:rPr>
          <w:rFonts w:ascii="Times New Roman" w:hAnsi="Times New Roman" w:cs="Times New Roman"/>
          <w:i/>
          <w:sz w:val="24"/>
          <w:szCs w:val="24"/>
        </w:rPr>
      </w:pPr>
      <w:r>
        <w:rPr>
          <w:rFonts w:ascii="Times New Roman" w:hAnsi="Times New Roman" w:cs="Times New Roman"/>
          <w:color w:val="000000"/>
        </w:rPr>
        <w:t>[Electronic signature]</w:t>
      </w:r>
    </w:p>
    <w:p w14:paraId="0C3D293A" w14:textId="77777777" w:rsidR="00505245" w:rsidRPr="005B5314" w:rsidRDefault="00505245" w:rsidP="00505245"/>
    <w:p w14:paraId="21634EF1" w14:textId="77777777" w:rsidR="00505245" w:rsidRPr="005B5314" w:rsidRDefault="00505245" w:rsidP="00505245">
      <w:pPr>
        <w:pStyle w:val="Heading3"/>
        <w:keepLines w:val="0"/>
        <w:widowControl/>
        <w:spacing w:before="60" w:after="120" w:line="264" w:lineRule="auto"/>
        <w:rPr>
          <w:rFonts w:cs="Times New Roman"/>
          <w:color w:val="000000" w:themeColor="text1"/>
          <w:spacing w:val="-1"/>
        </w:rPr>
      </w:pPr>
      <w:bookmarkStart w:id="7" w:name="_Toc468709632"/>
      <w:r w:rsidRPr="00CA30CA">
        <w:rPr>
          <w:rFonts w:ascii="Times New Roman" w:eastAsia="Times New Roman" w:hAnsi="Times New Roman" w:cstheme="minorBidi"/>
          <w:bCs w:val="0"/>
          <w:i/>
          <w:color w:val="auto"/>
          <w:spacing w:val="-1"/>
          <w:sz w:val="24"/>
          <w:szCs w:val="24"/>
        </w:rPr>
        <w:t>Recordkeeping</w:t>
      </w:r>
      <w:bookmarkEnd w:id="7"/>
      <w:r>
        <w:rPr>
          <w:rFonts w:ascii="Times New Roman" w:eastAsia="Times New Roman" w:hAnsi="Times New Roman" w:cstheme="minorBidi"/>
          <w:b w:val="0"/>
          <w:bCs w:val="0"/>
          <w:i/>
          <w:color w:val="000000" w:themeColor="text1"/>
          <w:spacing w:val="-1"/>
          <w:sz w:val="24"/>
          <w:szCs w:val="24"/>
        </w:rPr>
        <w:t>.</w:t>
      </w:r>
      <w:r w:rsidRPr="005B5314">
        <w:rPr>
          <w:rFonts w:ascii="Times New Roman" w:eastAsia="Times New Roman" w:hAnsi="Times New Roman" w:cstheme="minorBidi"/>
          <w:b w:val="0"/>
          <w:bCs w:val="0"/>
          <w:i/>
          <w:color w:val="000000" w:themeColor="text1"/>
          <w:spacing w:val="-1"/>
          <w:sz w:val="24"/>
          <w:szCs w:val="24"/>
        </w:rPr>
        <w:t xml:space="preserve"> </w:t>
      </w:r>
      <w:r w:rsidRPr="005B5314">
        <w:rPr>
          <w:rFonts w:ascii="Times New Roman" w:hAnsi="Times New Roman" w:cs="Times New Roman"/>
          <w:b w:val="0"/>
          <w:color w:val="000000" w:themeColor="text1"/>
          <w:spacing w:val="-1"/>
          <w:sz w:val="24"/>
          <w:szCs w:val="24"/>
        </w:rPr>
        <w:t>Submitters must keep records supporting their submissions for five years. Recordkeeping requirements for NOAs are necessary for EPA compliance and enforcement purposes.</w:t>
      </w:r>
    </w:p>
    <w:p w14:paraId="79D84837" w14:textId="77777777" w:rsidR="00505245" w:rsidRDefault="00505245" w:rsidP="00505245">
      <w:pPr>
        <w:ind w:firstLine="720"/>
        <w:rPr>
          <w:rFonts w:ascii="Times New Roman" w:hAnsi="Times New Roman" w:cs="Times New Roman"/>
          <w:sz w:val="24"/>
          <w:szCs w:val="24"/>
        </w:rPr>
      </w:pPr>
      <w:bookmarkStart w:id="8" w:name="_Toc466997411"/>
      <w:bookmarkStart w:id="9" w:name="_Toc466997767"/>
      <w:bookmarkStart w:id="10" w:name="_Toc467020524"/>
      <w:bookmarkStart w:id="11" w:name="_Toc467049641"/>
      <w:bookmarkStart w:id="12" w:name="_Toc463004371"/>
      <w:bookmarkStart w:id="13" w:name="_Toc464215512"/>
      <w:bookmarkStart w:id="14" w:name="_Toc464217954"/>
      <w:bookmarkStart w:id="15" w:name="_Toc464219048"/>
      <w:bookmarkEnd w:id="8"/>
      <w:bookmarkEnd w:id="9"/>
      <w:bookmarkEnd w:id="10"/>
      <w:bookmarkEnd w:id="11"/>
      <w:bookmarkEnd w:id="12"/>
      <w:bookmarkEnd w:id="13"/>
      <w:bookmarkEnd w:id="14"/>
      <w:bookmarkEnd w:id="15"/>
      <w:r>
        <w:rPr>
          <w:rFonts w:ascii="Times New Roman" w:hAnsi="Times New Roman" w:cs="Times New Roman"/>
          <w:sz w:val="24"/>
          <w:szCs w:val="24"/>
        </w:rPr>
        <w:t xml:space="preserve">A summary of activity-level unit burdens is </w:t>
      </w:r>
      <w:r w:rsidRPr="00D16D9B">
        <w:rPr>
          <w:rFonts w:ascii="Times New Roman" w:hAnsi="Times New Roman" w:cs="Times New Roman"/>
          <w:sz w:val="24"/>
          <w:szCs w:val="24"/>
        </w:rPr>
        <w:t xml:space="preserve">included in </w:t>
      </w:r>
      <w:r w:rsidRPr="00D16D9B">
        <w:rPr>
          <w:rFonts w:ascii="Times New Roman" w:hAnsi="Times New Roman" w:cs="Times New Roman"/>
          <w:sz w:val="24"/>
          <w:szCs w:val="24"/>
        </w:rPr>
        <w:fldChar w:fldCharType="begin"/>
      </w:r>
      <w:r w:rsidRPr="00610836">
        <w:rPr>
          <w:rFonts w:ascii="Times New Roman" w:hAnsi="Times New Roman" w:cs="Times New Roman"/>
          <w:sz w:val="24"/>
          <w:szCs w:val="24"/>
        </w:rPr>
        <w:instrText xml:space="preserve"> REF _Ref480545673 \h </w:instrText>
      </w:r>
      <w:r>
        <w:rPr>
          <w:rFonts w:ascii="Times New Roman" w:hAnsi="Times New Roman" w:cs="Times New Roman"/>
          <w:sz w:val="24"/>
          <w:szCs w:val="24"/>
        </w:rPr>
        <w:instrText xml:space="preserve"> \* MERGEFORMAT </w:instrText>
      </w:r>
      <w:r w:rsidRPr="00D16D9B">
        <w:rPr>
          <w:rFonts w:ascii="Times New Roman" w:hAnsi="Times New Roman" w:cs="Times New Roman"/>
          <w:sz w:val="24"/>
          <w:szCs w:val="24"/>
        </w:rPr>
      </w:r>
      <w:r w:rsidRPr="00D16D9B">
        <w:rPr>
          <w:rFonts w:ascii="Times New Roman" w:hAnsi="Times New Roman" w:cs="Times New Roman"/>
          <w:sz w:val="24"/>
          <w:szCs w:val="24"/>
        </w:rPr>
        <w:fldChar w:fldCharType="separate"/>
      </w:r>
      <w:r w:rsidRPr="001C794A">
        <w:rPr>
          <w:rFonts w:ascii="Times New Roman" w:hAnsi="Times New Roman" w:cs="Times New Roman"/>
        </w:rPr>
        <w:t xml:space="preserve">Table </w:t>
      </w:r>
      <w:r w:rsidRPr="001C794A">
        <w:rPr>
          <w:rFonts w:ascii="Times New Roman" w:hAnsi="Times New Roman" w:cs="Times New Roman"/>
          <w:noProof/>
        </w:rPr>
        <w:t>2</w:t>
      </w:r>
      <w:r w:rsidRPr="00D16D9B">
        <w:rPr>
          <w:rFonts w:ascii="Times New Roman" w:hAnsi="Times New Roman" w:cs="Times New Roman"/>
          <w:sz w:val="24"/>
          <w:szCs w:val="24"/>
        </w:rPr>
        <w:fldChar w:fldCharType="end"/>
      </w:r>
      <w:r w:rsidRPr="00D16D9B">
        <w:rPr>
          <w:rFonts w:ascii="Times New Roman" w:hAnsi="Times New Roman" w:cs="Times New Roman"/>
          <w:sz w:val="24"/>
          <w:szCs w:val="24"/>
        </w:rPr>
        <w:t>.</w:t>
      </w:r>
      <w:r>
        <w:rPr>
          <w:rFonts w:ascii="Times New Roman" w:hAnsi="Times New Roman" w:cs="Times New Roman"/>
          <w:sz w:val="24"/>
          <w:szCs w:val="24"/>
        </w:rPr>
        <w:t xml:space="preserve"> </w:t>
      </w:r>
      <w:r w:rsidRPr="00CA30CA">
        <w:rPr>
          <w:rFonts w:ascii="Times New Roman" w:hAnsi="Times New Roman" w:cs="Times New Roman"/>
          <w:sz w:val="24"/>
          <w:szCs w:val="24"/>
        </w:rPr>
        <w:t xml:space="preserve">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_Ref468994438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Pr>
          <w:rFonts w:ascii="Times New Roman" w:hAnsi="Times New Roman"/>
          <w:sz w:val="24"/>
        </w:rPr>
        <w:t xml:space="preserve">Table </w:t>
      </w:r>
      <w:r>
        <w:rPr>
          <w:rFonts w:ascii="Times New Roman" w:hAnsi="Times New Roman"/>
          <w:noProof/>
          <w:sz w:val="24"/>
        </w:rPr>
        <w:t>3</w:t>
      </w:r>
      <w:r>
        <w:rPr>
          <w:rFonts w:ascii="Times New Roman" w:hAnsi="Times New Roman" w:cs="Times New Roman"/>
          <w:sz w:val="24"/>
          <w:szCs w:val="24"/>
        </w:rPr>
        <w:fldChar w:fldCharType="end"/>
      </w:r>
      <w:r w:rsidRPr="00CA30CA">
        <w:rPr>
          <w:rFonts w:ascii="Times New Roman" w:hAnsi="Times New Roman" w:cs="Times New Roman"/>
          <w:sz w:val="24"/>
          <w:szCs w:val="24"/>
        </w:rPr>
        <w:t xml:space="preserve">, activity burdens are combined to produce unit burdens associated with submissions for a number of </w:t>
      </w:r>
      <w:r>
        <w:rPr>
          <w:rFonts w:ascii="Times New Roman" w:hAnsi="Times New Roman" w:cs="Times New Roman"/>
          <w:sz w:val="24"/>
          <w:szCs w:val="24"/>
        </w:rPr>
        <w:t xml:space="preserve">reporting </w:t>
      </w:r>
      <w:r w:rsidRPr="00CA30CA">
        <w:rPr>
          <w:rFonts w:ascii="Times New Roman" w:hAnsi="Times New Roman" w:cs="Times New Roman"/>
          <w:sz w:val="24"/>
          <w:szCs w:val="24"/>
        </w:rPr>
        <w:t>conditions. For firms submitting a NOA for one chemical (</w:t>
      </w:r>
      <w:r>
        <w:rPr>
          <w:rFonts w:ascii="Times New Roman" w:hAnsi="Times New Roman" w:cs="Times New Roman"/>
          <w:sz w:val="24"/>
          <w:szCs w:val="24"/>
        </w:rPr>
        <w:t>i</w:t>
      </w:r>
      <w:r w:rsidRPr="00CA30CA">
        <w:rPr>
          <w:rFonts w:ascii="Times New Roman" w:hAnsi="Times New Roman" w:cs="Times New Roman"/>
          <w:sz w:val="24"/>
          <w:szCs w:val="24"/>
        </w:rPr>
        <w:t>.</w:t>
      </w:r>
      <w:r>
        <w:rPr>
          <w:rFonts w:ascii="Times New Roman" w:hAnsi="Times New Roman" w:cs="Times New Roman"/>
          <w:sz w:val="24"/>
          <w:szCs w:val="24"/>
        </w:rPr>
        <w:t>e</w:t>
      </w:r>
      <w:r w:rsidRPr="00CA30CA">
        <w:rPr>
          <w:rFonts w:ascii="Times New Roman" w:hAnsi="Times New Roman" w:cs="Times New Roman"/>
          <w:sz w:val="24"/>
          <w:szCs w:val="24"/>
        </w:rPr>
        <w:t>., Processors during Phase II</w:t>
      </w:r>
      <w:r>
        <w:rPr>
          <w:rFonts w:ascii="Times New Roman" w:hAnsi="Times New Roman" w:cs="Times New Roman"/>
          <w:sz w:val="24"/>
          <w:szCs w:val="24"/>
        </w:rPr>
        <w:t xml:space="preserve"> of </w:t>
      </w:r>
      <w:r w:rsidRPr="00CA30CA">
        <w:rPr>
          <w:rFonts w:ascii="Times New Roman" w:hAnsi="Times New Roman" w:cs="Times New Roman"/>
          <w:sz w:val="24"/>
          <w:szCs w:val="24"/>
        </w:rPr>
        <w:t>Start-Up</w:t>
      </w:r>
      <w:r>
        <w:rPr>
          <w:rFonts w:ascii="Times New Roman" w:hAnsi="Times New Roman" w:cs="Times New Roman"/>
          <w:sz w:val="24"/>
          <w:szCs w:val="24"/>
        </w:rPr>
        <w:t xml:space="preserve"> Reporting</w:t>
      </w:r>
      <w:r w:rsidRPr="00CA30CA">
        <w:rPr>
          <w:rFonts w:ascii="Times New Roman" w:hAnsi="Times New Roman" w:cs="Times New Roman"/>
          <w:sz w:val="24"/>
          <w:szCs w:val="24"/>
        </w:rPr>
        <w:t xml:space="preserve">), the nominal single-chemical submission estimates apply for either Start-Up or Ongoing Reporting. </w:t>
      </w:r>
      <w:r>
        <w:rPr>
          <w:rFonts w:ascii="Times New Roman" w:hAnsi="Times New Roman" w:cs="Times New Roman"/>
          <w:sz w:val="24"/>
          <w:szCs w:val="24"/>
        </w:rPr>
        <w:t>F</w:t>
      </w:r>
      <w:r w:rsidRPr="00CA30CA">
        <w:rPr>
          <w:rFonts w:ascii="Times New Roman" w:hAnsi="Times New Roman" w:cs="Times New Roman"/>
          <w:sz w:val="24"/>
          <w:szCs w:val="24"/>
        </w:rPr>
        <w:t xml:space="preserve">or firms submitting a NOA with multiple chemicals, it is assumed that on average there are </w:t>
      </w:r>
      <w:r>
        <w:rPr>
          <w:rFonts w:ascii="Times New Roman" w:hAnsi="Times New Roman" w:cs="Times New Roman"/>
          <w:sz w:val="24"/>
          <w:szCs w:val="24"/>
        </w:rPr>
        <w:t>18</w:t>
      </w:r>
      <w:r w:rsidRPr="00CA30CA">
        <w:rPr>
          <w:rFonts w:ascii="Times New Roman" w:hAnsi="Times New Roman" w:cs="Times New Roman"/>
          <w:sz w:val="24"/>
          <w:szCs w:val="24"/>
        </w:rPr>
        <w:t xml:space="preserve"> chemicals per firm submission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{"citationID":"a24h26c2p34","properties":{"formattedCitation":"(for basis, see EPA, 2017)","plainCitation":"(for basis, see EPA, 2017)"},"citationItems":[{"id":579,"uris":["http://zotero.org/groups/1140234/items/6QCNV48F"],"uri":["http://zotero.org/groups/1140234/items/6QCNV48F"],"itemData":{"id":579,"type":"report","title":"Burden and Cost Report for the Final Rule: TSCA Inventory Notification Requirements","author":[{"literal":"EPA"}],"issued":{"date-parts":[["2017"]]}},"prefix":"for basis, see"}],"schema":"https://github.com/citation-style-language/schema/raw/master/csl-citation.json"} </w:instrText>
      </w:r>
      <w:r>
        <w:rPr>
          <w:rFonts w:ascii="Times New Roman" w:hAnsi="Times New Roman" w:cs="Times New Roman"/>
          <w:sz w:val="24"/>
          <w:szCs w:val="24"/>
        </w:rPr>
        <w:fldChar w:fldCharType="separate"/>
      </w:r>
      <w:r w:rsidRPr="002E0C5F">
        <w:rPr>
          <w:rFonts w:ascii="Times New Roman" w:hAnsi="Times New Roman" w:cs="Times New Roman"/>
          <w:sz w:val="24"/>
        </w:rPr>
        <w:t>(for basis, see EPA, 2017)</w:t>
      </w:r>
      <w:r>
        <w:rPr>
          <w:rFonts w:ascii="Times New Roman" w:hAnsi="Times New Roman" w:cs="Times New Roman"/>
          <w:sz w:val="24"/>
          <w:szCs w:val="24"/>
        </w:rPr>
        <w:fldChar w:fldCharType="end"/>
      </w:r>
      <w:r w:rsidRPr="00CA30CA">
        <w:rPr>
          <w:rFonts w:ascii="Times New Roman" w:hAnsi="Times New Roman" w:cs="Times New Roman"/>
          <w:sz w:val="24"/>
          <w:szCs w:val="24"/>
        </w:rPr>
        <w:t xml:space="preserve">. Therefore, the estimates for “Start-Up Typical Average Unit Burden per Firm” and “Annual Ongoing Unit Burden per Firm” are on the basis of </w:t>
      </w:r>
      <w:r>
        <w:rPr>
          <w:rFonts w:ascii="Times New Roman" w:hAnsi="Times New Roman" w:cs="Times New Roman"/>
          <w:sz w:val="24"/>
          <w:szCs w:val="24"/>
        </w:rPr>
        <w:t>18</w:t>
      </w:r>
      <w:r w:rsidRPr="00CA30CA">
        <w:rPr>
          <w:rFonts w:ascii="Times New Roman" w:hAnsi="Times New Roman" w:cs="Times New Roman"/>
          <w:sz w:val="24"/>
          <w:szCs w:val="24"/>
        </w:rPr>
        <w:t xml:space="preserve"> chemicals per submission. Note that the average burdens do not include CDX registration and e-Signature, as these activities </w:t>
      </w:r>
      <w:r>
        <w:rPr>
          <w:rFonts w:ascii="Times New Roman" w:hAnsi="Times New Roman" w:cs="Times New Roman"/>
          <w:sz w:val="24"/>
          <w:szCs w:val="24"/>
        </w:rPr>
        <w:t>coincide with</w:t>
      </w:r>
      <w:r w:rsidRPr="00CA30CA">
        <w:rPr>
          <w:rFonts w:ascii="Times New Roman" w:hAnsi="Times New Roman" w:cs="Times New Roman"/>
          <w:sz w:val="24"/>
          <w:szCs w:val="24"/>
        </w:rPr>
        <w:t xml:space="preserve"> a different unit of analysis (per registration) and constitute only a small part of the overall burden estimate. </w:t>
      </w:r>
    </w:p>
    <w:p w14:paraId="79576FEC" w14:textId="77777777" w:rsidR="00505245" w:rsidRDefault="00505245" w:rsidP="00505245">
      <w:pPr>
        <w:rPr>
          <w:rFonts w:ascii="Times New Roman" w:hAnsi="Times New Roman" w:cs="Times New Roman"/>
          <w:sz w:val="24"/>
          <w:szCs w:val="24"/>
        </w:rPr>
      </w:pPr>
    </w:p>
    <w:p w14:paraId="2A6D9A03" w14:textId="77777777" w:rsidR="00505245" w:rsidRPr="00450F47" w:rsidRDefault="00505245" w:rsidP="00505245">
      <w:pPr>
        <w:pStyle w:val="Caption"/>
        <w:spacing w:after="0"/>
        <w:rPr>
          <w:rFonts w:ascii="Times New Roman" w:hAnsi="Times New Roman"/>
          <w:sz w:val="24"/>
          <w:szCs w:val="24"/>
        </w:rPr>
      </w:pPr>
      <w:bookmarkStart w:id="16" w:name="_Ref480545673"/>
      <w:r w:rsidRPr="00450F47">
        <w:rPr>
          <w:rFonts w:ascii="Times New Roman" w:hAnsi="Times New Roman"/>
          <w:sz w:val="24"/>
          <w:szCs w:val="24"/>
        </w:rPr>
        <w:t xml:space="preserve">Table </w:t>
      </w:r>
      <w:r w:rsidRPr="00450F47">
        <w:rPr>
          <w:rFonts w:ascii="Times New Roman" w:hAnsi="Times New Roman"/>
          <w:sz w:val="24"/>
          <w:szCs w:val="24"/>
        </w:rPr>
        <w:fldChar w:fldCharType="begin"/>
      </w:r>
      <w:r w:rsidRPr="00450F47">
        <w:rPr>
          <w:rFonts w:ascii="Times New Roman" w:hAnsi="Times New Roman"/>
          <w:sz w:val="24"/>
          <w:szCs w:val="24"/>
        </w:rPr>
        <w:instrText xml:space="preserve"> SEQ Table \* ARABIC </w:instrText>
      </w:r>
      <w:r w:rsidRPr="00450F47">
        <w:rPr>
          <w:rFonts w:ascii="Times New Roman" w:hAnsi="Times New Roman"/>
          <w:sz w:val="24"/>
          <w:szCs w:val="24"/>
        </w:rPr>
        <w:fldChar w:fldCharType="separate"/>
      </w:r>
      <w:r>
        <w:rPr>
          <w:rFonts w:ascii="Times New Roman" w:hAnsi="Times New Roman"/>
          <w:noProof/>
          <w:sz w:val="24"/>
          <w:szCs w:val="24"/>
        </w:rPr>
        <w:t>2</w:t>
      </w:r>
      <w:r w:rsidRPr="00450F47">
        <w:rPr>
          <w:rFonts w:ascii="Times New Roman" w:hAnsi="Times New Roman"/>
          <w:sz w:val="24"/>
          <w:szCs w:val="24"/>
        </w:rPr>
        <w:fldChar w:fldCharType="end"/>
      </w:r>
      <w:bookmarkEnd w:id="16"/>
      <w:r w:rsidRPr="00450F47">
        <w:rPr>
          <w:rFonts w:ascii="Times New Roman" w:hAnsi="Times New Roman"/>
          <w:sz w:val="24"/>
          <w:szCs w:val="24"/>
        </w:rPr>
        <w:t>. Activity-Level Unit Burdens</w:t>
      </w:r>
    </w:p>
    <w:tbl>
      <w:tblPr>
        <w:tblStyle w:val="TableGrid1"/>
        <w:tblW w:w="5000" w:type="pct"/>
        <w:shd w:val="clear" w:color="auto" w:fill="FFFFFF" w:themeFill="background1"/>
        <w:tblLook w:val="04A0" w:firstRow="1" w:lastRow="0" w:firstColumn="1" w:lastColumn="0" w:noHBand="0" w:noVBand="1"/>
      </w:tblPr>
      <w:tblGrid>
        <w:gridCol w:w="3618"/>
        <w:gridCol w:w="1710"/>
        <w:gridCol w:w="1620"/>
        <w:gridCol w:w="2628"/>
      </w:tblGrid>
      <w:tr w:rsidR="00505245" w:rsidRPr="00D16D9B" w14:paraId="625DE157" w14:textId="77777777" w:rsidTr="00505245">
        <w:trPr>
          <w:cantSplit/>
          <w:tblHeader/>
        </w:trPr>
        <w:tc>
          <w:tcPr>
            <w:tcW w:w="1889" w:type="pct"/>
            <w:tcBorders>
              <w:top w:val="single" w:sz="12" w:space="0" w:color="auto"/>
              <w:left w:val="single" w:sz="12" w:space="0" w:color="auto"/>
              <w:bottom w:val="single" w:sz="4" w:space="0" w:color="auto"/>
            </w:tcBorders>
            <w:shd w:val="clear" w:color="auto" w:fill="BFBFBF" w:themeFill="background1" w:themeFillShade="BF"/>
            <w:vAlign w:val="bottom"/>
          </w:tcPr>
          <w:p w14:paraId="49BA2082" w14:textId="77777777" w:rsidR="00505245" w:rsidRPr="005C0801" w:rsidRDefault="00505245" w:rsidP="00505245">
            <w:pPr>
              <w:keepNext/>
              <w:keepLines/>
              <w:spacing w:beforeLines="20" w:before="48" w:afterLines="20" w:after="48"/>
              <w:jc w:val="center"/>
              <w:rPr>
                <w:b/>
              </w:rPr>
            </w:pPr>
            <w:r w:rsidRPr="005C0801">
              <w:rPr>
                <w:b/>
              </w:rPr>
              <w:t>Description</w:t>
            </w:r>
          </w:p>
        </w:tc>
        <w:tc>
          <w:tcPr>
            <w:tcW w:w="893" w:type="pct"/>
            <w:tcBorders>
              <w:top w:val="single" w:sz="12" w:space="0" w:color="auto"/>
              <w:bottom w:val="single" w:sz="4" w:space="0" w:color="auto"/>
            </w:tcBorders>
            <w:shd w:val="clear" w:color="auto" w:fill="BFBFBF" w:themeFill="background1" w:themeFillShade="BF"/>
            <w:vAlign w:val="bottom"/>
          </w:tcPr>
          <w:p w14:paraId="047DF6A5" w14:textId="77777777" w:rsidR="00505245" w:rsidRPr="005C0801" w:rsidRDefault="00505245" w:rsidP="00505245">
            <w:pPr>
              <w:keepNext/>
              <w:keepLines/>
              <w:spacing w:beforeLines="20" w:before="48" w:afterLines="20" w:after="48"/>
              <w:jc w:val="center"/>
              <w:rPr>
                <w:b/>
              </w:rPr>
            </w:pPr>
            <w:r w:rsidRPr="005C0801">
              <w:rPr>
                <w:b/>
              </w:rPr>
              <w:t>Activity-Level Unit Burden (hours)</w:t>
            </w:r>
          </w:p>
        </w:tc>
        <w:tc>
          <w:tcPr>
            <w:tcW w:w="846" w:type="pct"/>
            <w:tcBorders>
              <w:top w:val="single" w:sz="12" w:space="0" w:color="auto"/>
              <w:bottom w:val="single" w:sz="4" w:space="0" w:color="auto"/>
            </w:tcBorders>
            <w:shd w:val="clear" w:color="auto" w:fill="BFBFBF" w:themeFill="background1" w:themeFillShade="BF"/>
            <w:vAlign w:val="bottom"/>
          </w:tcPr>
          <w:p w14:paraId="6F6BBC21" w14:textId="77777777" w:rsidR="00505245" w:rsidRPr="005C0801" w:rsidRDefault="00505245" w:rsidP="00505245">
            <w:pPr>
              <w:keepNext/>
              <w:keepLines/>
              <w:spacing w:beforeLines="20" w:before="48" w:afterLines="20" w:after="48"/>
              <w:jc w:val="center"/>
              <w:rPr>
                <w:b/>
              </w:rPr>
            </w:pPr>
            <w:r w:rsidRPr="005C0801">
              <w:rPr>
                <w:b/>
              </w:rPr>
              <w:t>Unit of Analysis</w:t>
            </w:r>
          </w:p>
        </w:tc>
        <w:tc>
          <w:tcPr>
            <w:tcW w:w="1372" w:type="pct"/>
            <w:tcBorders>
              <w:top w:val="single" w:sz="12" w:space="0" w:color="auto"/>
              <w:bottom w:val="single" w:sz="4" w:space="0" w:color="auto"/>
              <w:right w:val="single" w:sz="12" w:space="0" w:color="auto"/>
            </w:tcBorders>
            <w:shd w:val="clear" w:color="auto" w:fill="BFBFBF" w:themeFill="background1" w:themeFillShade="BF"/>
            <w:vAlign w:val="bottom"/>
          </w:tcPr>
          <w:p w14:paraId="131D33EE" w14:textId="77777777" w:rsidR="00505245" w:rsidRPr="005C0801" w:rsidRDefault="00505245" w:rsidP="00505245">
            <w:pPr>
              <w:keepNext/>
              <w:keepLines/>
              <w:spacing w:beforeLines="20" w:before="48" w:afterLines="20" w:after="48"/>
              <w:jc w:val="center"/>
              <w:rPr>
                <w:b/>
              </w:rPr>
            </w:pPr>
            <w:r w:rsidRPr="005C0801">
              <w:rPr>
                <w:b/>
              </w:rPr>
              <w:t>Source</w:t>
            </w:r>
          </w:p>
        </w:tc>
      </w:tr>
      <w:tr w:rsidR="00505245" w:rsidRPr="00D16D9B" w14:paraId="5A5C9BC2" w14:textId="77777777" w:rsidTr="00505245">
        <w:trPr>
          <w:cantSplit/>
        </w:trPr>
        <w:tc>
          <w:tcPr>
            <w:tcW w:w="1889" w:type="pct"/>
            <w:tcBorders>
              <w:top w:val="single" w:sz="4" w:space="0" w:color="auto"/>
              <w:left w:val="single" w:sz="12" w:space="0" w:color="auto"/>
            </w:tcBorders>
            <w:shd w:val="clear" w:color="auto" w:fill="FFFFFF" w:themeFill="background1"/>
          </w:tcPr>
          <w:p w14:paraId="469AA311" w14:textId="77777777" w:rsidR="00505245" w:rsidRPr="005C0801" w:rsidRDefault="00505245" w:rsidP="00505245">
            <w:pPr>
              <w:keepNext/>
              <w:keepLines/>
              <w:spacing w:beforeLines="20" w:before="48" w:afterLines="20" w:after="48"/>
            </w:pPr>
            <w:r w:rsidRPr="005C0801">
              <w:t>Rule familiarization</w:t>
            </w:r>
          </w:p>
        </w:tc>
        <w:tc>
          <w:tcPr>
            <w:tcW w:w="893" w:type="pct"/>
            <w:tcBorders>
              <w:top w:val="single" w:sz="4" w:space="0" w:color="auto"/>
            </w:tcBorders>
            <w:shd w:val="clear" w:color="auto" w:fill="FFFFFF" w:themeFill="background1"/>
            <w:vAlign w:val="center"/>
          </w:tcPr>
          <w:p w14:paraId="356EA28F" w14:textId="77777777" w:rsidR="00505245" w:rsidRPr="005C0801" w:rsidRDefault="00505245" w:rsidP="00505245">
            <w:pPr>
              <w:keepNext/>
              <w:keepLines/>
              <w:spacing w:beforeLines="20" w:before="48" w:afterLines="20" w:after="48"/>
              <w:jc w:val="center"/>
            </w:pPr>
            <w:r w:rsidRPr="005C0801">
              <w:t>4.000</w:t>
            </w:r>
          </w:p>
        </w:tc>
        <w:tc>
          <w:tcPr>
            <w:tcW w:w="846" w:type="pct"/>
            <w:tcBorders>
              <w:top w:val="single" w:sz="4" w:space="0" w:color="auto"/>
            </w:tcBorders>
            <w:shd w:val="clear" w:color="auto" w:fill="FFFFFF" w:themeFill="background1"/>
            <w:vAlign w:val="center"/>
          </w:tcPr>
          <w:p w14:paraId="705F2A8D" w14:textId="77777777" w:rsidR="00505245" w:rsidRPr="005C0801" w:rsidRDefault="00505245" w:rsidP="00505245">
            <w:pPr>
              <w:keepNext/>
              <w:keepLines/>
              <w:spacing w:beforeLines="20" w:before="48" w:afterLines="20" w:after="48"/>
              <w:jc w:val="center"/>
            </w:pPr>
            <w:r w:rsidRPr="005C0801">
              <w:t>Per firm</w:t>
            </w:r>
          </w:p>
        </w:tc>
        <w:tc>
          <w:tcPr>
            <w:tcW w:w="1372" w:type="pct"/>
            <w:tcBorders>
              <w:top w:val="single" w:sz="4" w:space="0" w:color="auto"/>
              <w:right w:val="single" w:sz="12" w:space="0" w:color="auto"/>
            </w:tcBorders>
            <w:shd w:val="clear" w:color="auto" w:fill="FFFFFF" w:themeFill="background1"/>
            <w:vAlign w:val="center"/>
          </w:tcPr>
          <w:p w14:paraId="0DF064ED" w14:textId="77777777" w:rsidR="00505245" w:rsidRPr="005C0801" w:rsidRDefault="00505245" w:rsidP="00505245">
            <w:pPr>
              <w:keepNext/>
              <w:keepLines/>
              <w:spacing w:beforeLines="20" w:before="48" w:afterLines="20" w:after="48"/>
            </w:pPr>
            <w:r w:rsidRPr="005C0801">
              <w:t xml:space="preserve">CDR ICR </w:t>
            </w:r>
            <w:r w:rsidRPr="005C0801">
              <w:fldChar w:fldCharType="begin"/>
            </w:r>
            <w:r w:rsidRPr="005C0801">
              <w:instrText xml:space="preserve"> ADDIN ZOTERO_ITEM CSL_CITATION {"citationID":"a3m2ov2192","properties":{"formattedCitation":"(EPA,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5C0801">
              <w:fldChar w:fldCharType="separate"/>
            </w:r>
            <w:r w:rsidRPr="005C0801">
              <w:t>(EPA, 2015a)</w:t>
            </w:r>
            <w:r w:rsidRPr="005C0801">
              <w:fldChar w:fldCharType="end"/>
            </w:r>
          </w:p>
        </w:tc>
      </w:tr>
      <w:tr w:rsidR="00505245" w:rsidRPr="00D16D9B" w14:paraId="42BB93E3" w14:textId="77777777" w:rsidTr="00505245">
        <w:trPr>
          <w:cantSplit/>
        </w:trPr>
        <w:tc>
          <w:tcPr>
            <w:tcW w:w="1889" w:type="pct"/>
            <w:tcBorders>
              <w:left w:val="single" w:sz="12" w:space="0" w:color="auto"/>
            </w:tcBorders>
            <w:shd w:val="clear" w:color="auto" w:fill="FFFFFF" w:themeFill="background1"/>
          </w:tcPr>
          <w:p w14:paraId="2DD03C24" w14:textId="77777777" w:rsidR="00505245" w:rsidRPr="005C0801" w:rsidRDefault="00505245" w:rsidP="00505245">
            <w:pPr>
              <w:keepLines/>
              <w:spacing w:beforeLines="20" w:before="48" w:afterLines="20" w:after="48"/>
            </w:pPr>
            <w:r w:rsidRPr="005C0801">
              <w:t>Compliance determination, without review of “Active Status” list</w:t>
            </w:r>
          </w:p>
        </w:tc>
        <w:tc>
          <w:tcPr>
            <w:tcW w:w="893" w:type="pct"/>
            <w:shd w:val="clear" w:color="auto" w:fill="FFFFFF" w:themeFill="background1"/>
            <w:vAlign w:val="center"/>
          </w:tcPr>
          <w:p w14:paraId="28A002AD" w14:textId="77777777" w:rsidR="00505245" w:rsidRPr="005C0801" w:rsidRDefault="00505245" w:rsidP="00505245">
            <w:pPr>
              <w:keepLines/>
              <w:spacing w:beforeLines="20" w:before="48" w:afterLines="20" w:after="48"/>
              <w:jc w:val="center"/>
            </w:pPr>
            <w:r w:rsidRPr="005C0801">
              <w:t>0.500</w:t>
            </w:r>
          </w:p>
        </w:tc>
        <w:tc>
          <w:tcPr>
            <w:tcW w:w="846" w:type="pct"/>
            <w:shd w:val="clear" w:color="auto" w:fill="FFFFFF" w:themeFill="background1"/>
            <w:vAlign w:val="center"/>
          </w:tcPr>
          <w:p w14:paraId="1D937945" w14:textId="77777777" w:rsidR="00505245" w:rsidRPr="005C0801" w:rsidRDefault="00505245" w:rsidP="00505245">
            <w:pPr>
              <w:keepLines/>
              <w:spacing w:beforeLines="20" w:before="48" w:afterLines="20" w:after="48"/>
              <w:jc w:val="center"/>
            </w:pPr>
            <w:r w:rsidRPr="005C0801">
              <w:t>Per firm</w:t>
            </w:r>
          </w:p>
        </w:tc>
        <w:tc>
          <w:tcPr>
            <w:tcW w:w="1372" w:type="pct"/>
            <w:tcBorders>
              <w:right w:val="single" w:sz="12" w:space="0" w:color="auto"/>
            </w:tcBorders>
            <w:shd w:val="clear" w:color="auto" w:fill="FFFFFF" w:themeFill="background1"/>
            <w:vAlign w:val="center"/>
          </w:tcPr>
          <w:p w14:paraId="3DA01E6A" w14:textId="77777777" w:rsidR="00505245" w:rsidRPr="005C0801" w:rsidRDefault="00505245" w:rsidP="00505245">
            <w:pPr>
              <w:keepLines/>
              <w:spacing w:beforeLines="20" w:before="48" w:afterLines="20" w:after="48"/>
            </w:pPr>
            <w:r w:rsidRPr="005C0801">
              <w:t>Agency BPJ</w:t>
            </w:r>
          </w:p>
        </w:tc>
      </w:tr>
      <w:tr w:rsidR="00505245" w:rsidRPr="00D16D9B" w14:paraId="4CB30C54" w14:textId="77777777" w:rsidTr="00505245">
        <w:trPr>
          <w:cantSplit/>
        </w:trPr>
        <w:tc>
          <w:tcPr>
            <w:tcW w:w="1889" w:type="pct"/>
            <w:tcBorders>
              <w:left w:val="single" w:sz="12" w:space="0" w:color="auto"/>
            </w:tcBorders>
            <w:shd w:val="clear" w:color="auto" w:fill="FFFFFF" w:themeFill="background1"/>
          </w:tcPr>
          <w:p w14:paraId="31253AF7" w14:textId="77777777" w:rsidR="00505245" w:rsidRPr="005C0801" w:rsidRDefault="00505245" w:rsidP="00505245">
            <w:pPr>
              <w:keepLines/>
              <w:spacing w:beforeLines="20" w:before="48" w:afterLines="20" w:after="48"/>
            </w:pPr>
            <w:r w:rsidRPr="005C0801">
              <w:t>Compliance determination, review of “Active Status” list only</w:t>
            </w:r>
          </w:p>
        </w:tc>
        <w:tc>
          <w:tcPr>
            <w:tcW w:w="893" w:type="pct"/>
            <w:shd w:val="clear" w:color="auto" w:fill="FFFFFF" w:themeFill="background1"/>
            <w:vAlign w:val="center"/>
          </w:tcPr>
          <w:p w14:paraId="7C53E4DA" w14:textId="77777777" w:rsidR="00505245" w:rsidRPr="005C0801" w:rsidRDefault="00505245" w:rsidP="00505245">
            <w:pPr>
              <w:keepLines/>
              <w:spacing w:beforeLines="20" w:before="48" w:afterLines="20" w:after="48"/>
              <w:jc w:val="center"/>
            </w:pPr>
            <w:r w:rsidRPr="005C0801">
              <w:t>0.083</w:t>
            </w:r>
          </w:p>
        </w:tc>
        <w:tc>
          <w:tcPr>
            <w:tcW w:w="846" w:type="pct"/>
            <w:shd w:val="clear" w:color="auto" w:fill="FFFFFF" w:themeFill="background1"/>
            <w:vAlign w:val="center"/>
          </w:tcPr>
          <w:p w14:paraId="397F7835" w14:textId="77777777" w:rsidR="00505245" w:rsidRPr="005C0801" w:rsidRDefault="00505245" w:rsidP="00505245">
            <w:pPr>
              <w:keepLines/>
              <w:spacing w:beforeLines="20" w:before="48" w:afterLines="20" w:after="48"/>
              <w:jc w:val="center"/>
            </w:pPr>
            <w:r w:rsidRPr="005C0801">
              <w:t>Per chemical</w:t>
            </w:r>
          </w:p>
        </w:tc>
        <w:tc>
          <w:tcPr>
            <w:tcW w:w="1372" w:type="pct"/>
            <w:tcBorders>
              <w:right w:val="single" w:sz="12" w:space="0" w:color="auto"/>
            </w:tcBorders>
            <w:shd w:val="clear" w:color="auto" w:fill="FFFFFF" w:themeFill="background1"/>
            <w:vAlign w:val="center"/>
          </w:tcPr>
          <w:p w14:paraId="6A334A37" w14:textId="77777777" w:rsidR="00505245" w:rsidRPr="005C0801" w:rsidRDefault="00505245" w:rsidP="00505245">
            <w:pPr>
              <w:keepLines/>
              <w:spacing w:beforeLines="20" w:before="48" w:afterLines="20" w:after="48"/>
            </w:pPr>
            <w:r w:rsidRPr="005C0801">
              <w:t xml:space="preserve">Abt Associates </w:t>
            </w:r>
            <w:r w:rsidRPr="005C0801">
              <w:fldChar w:fldCharType="begin"/>
            </w:r>
            <w:r w:rsidRPr="005C0801">
              <w:instrText xml:space="preserve"> ADDIN ZOTERO_ITEM CSL_CITATION {"citationID":"a1oolp46jgk","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5C0801">
              <w:fldChar w:fldCharType="separate"/>
            </w:r>
            <w:r w:rsidRPr="005C0801">
              <w:t>(2016)</w:t>
            </w:r>
            <w:r w:rsidRPr="005C0801">
              <w:fldChar w:fldCharType="end"/>
            </w:r>
          </w:p>
        </w:tc>
      </w:tr>
      <w:tr w:rsidR="00505245" w:rsidRPr="00D16D9B" w14:paraId="47EA024F" w14:textId="77777777" w:rsidTr="00505245">
        <w:trPr>
          <w:cantSplit/>
        </w:trPr>
        <w:tc>
          <w:tcPr>
            <w:tcW w:w="1889" w:type="pct"/>
            <w:tcBorders>
              <w:left w:val="single" w:sz="12" w:space="0" w:color="auto"/>
            </w:tcBorders>
            <w:shd w:val="clear" w:color="auto" w:fill="FFFFFF" w:themeFill="background1"/>
          </w:tcPr>
          <w:p w14:paraId="0BECBF05" w14:textId="77777777" w:rsidR="00505245" w:rsidRPr="005C0801" w:rsidRDefault="00505245" w:rsidP="00505245">
            <w:pPr>
              <w:keepLines/>
              <w:spacing w:beforeLines="20" w:before="48" w:afterLines="20" w:after="48"/>
            </w:pPr>
            <w:r w:rsidRPr="005C0801">
              <w:t>CDX Registration</w:t>
            </w:r>
          </w:p>
        </w:tc>
        <w:tc>
          <w:tcPr>
            <w:tcW w:w="893" w:type="pct"/>
            <w:shd w:val="clear" w:color="auto" w:fill="FFFFFF" w:themeFill="background1"/>
            <w:vAlign w:val="center"/>
          </w:tcPr>
          <w:p w14:paraId="1468E7C1" w14:textId="77777777" w:rsidR="00505245" w:rsidRPr="005C0801" w:rsidRDefault="00505245" w:rsidP="00505245">
            <w:pPr>
              <w:keepLines/>
              <w:spacing w:beforeLines="20" w:before="48" w:afterLines="20" w:after="48"/>
              <w:jc w:val="center"/>
            </w:pPr>
            <w:r w:rsidRPr="005C0801">
              <w:t>0.180</w:t>
            </w:r>
          </w:p>
        </w:tc>
        <w:tc>
          <w:tcPr>
            <w:tcW w:w="846" w:type="pct"/>
            <w:shd w:val="clear" w:color="auto" w:fill="FFFFFF" w:themeFill="background1"/>
            <w:vAlign w:val="center"/>
          </w:tcPr>
          <w:p w14:paraId="178F8ECA" w14:textId="77777777" w:rsidR="00505245" w:rsidRPr="005C0801" w:rsidRDefault="00505245" w:rsidP="00505245">
            <w:pPr>
              <w:keepLines/>
              <w:spacing w:beforeLines="20" w:before="48" w:afterLines="20" w:after="48"/>
              <w:jc w:val="center"/>
            </w:pPr>
            <w:r w:rsidRPr="005C0801">
              <w:t>Per CDX registration (individuals in firms)</w:t>
            </w:r>
          </w:p>
        </w:tc>
        <w:tc>
          <w:tcPr>
            <w:tcW w:w="1372" w:type="pct"/>
            <w:tcBorders>
              <w:right w:val="single" w:sz="12" w:space="0" w:color="auto"/>
            </w:tcBorders>
            <w:shd w:val="clear" w:color="auto" w:fill="FFFFFF" w:themeFill="background1"/>
            <w:vAlign w:val="center"/>
          </w:tcPr>
          <w:p w14:paraId="79658D48" w14:textId="77777777" w:rsidR="00505245" w:rsidRPr="005C0801" w:rsidRDefault="00505245" w:rsidP="00505245">
            <w:pPr>
              <w:keepLines/>
              <w:spacing w:beforeLines="20" w:before="48" w:afterLines="20" w:after="48"/>
            </w:pPr>
            <w:r w:rsidRPr="005C0801">
              <w:t xml:space="preserve">Section 5 ICR </w:t>
            </w:r>
            <w:r w:rsidRPr="005C0801">
              <w:fldChar w:fldCharType="begin"/>
            </w:r>
            <w:r w:rsidRPr="005C0801">
              <w:instrText xml:space="preserve"> ADDIN ZOTERO_ITEM CSL_CITATION {"citationID":"ararqhoqei","properties":{"formattedCitation":"(EPA,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sidRPr="005C0801">
              <w:fldChar w:fldCharType="separate"/>
            </w:r>
            <w:r w:rsidRPr="005C0801">
              <w:t>(EPA, 2015b)</w:t>
            </w:r>
            <w:r w:rsidRPr="005C0801">
              <w:fldChar w:fldCharType="end"/>
            </w:r>
          </w:p>
        </w:tc>
      </w:tr>
      <w:tr w:rsidR="00505245" w:rsidRPr="00D16D9B" w14:paraId="0109CFDC" w14:textId="77777777" w:rsidTr="00505245">
        <w:trPr>
          <w:cantSplit/>
        </w:trPr>
        <w:tc>
          <w:tcPr>
            <w:tcW w:w="1889" w:type="pct"/>
            <w:tcBorders>
              <w:left w:val="single" w:sz="12" w:space="0" w:color="auto"/>
              <w:bottom w:val="single" w:sz="4" w:space="0" w:color="auto"/>
            </w:tcBorders>
            <w:shd w:val="clear" w:color="auto" w:fill="FFFFFF" w:themeFill="background1"/>
          </w:tcPr>
          <w:p w14:paraId="776773FA" w14:textId="77777777" w:rsidR="00505245" w:rsidRPr="005C0801" w:rsidRDefault="00505245" w:rsidP="00505245">
            <w:pPr>
              <w:keepLines/>
              <w:spacing w:beforeLines="20" w:before="48" w:afterLines="20" w:after="48"/>
            </w:pPr>
            <w:r w:rsidRPr="005C0801">
              <w:t>CDX e-Signature</w:t>
            </w:r>
          </w:p>
        </w:tc>
        <w:tc>
          <w:tcPr>
            <w:tcW w:w="893" w:type="pct"/>
            <w:tcBorders>
              <w:bottom w:val="single" w:sz="4" w:space="0" w:color="auto"/>
            </w:tcBorders>
            <w:shd w:val="clear" w:color="auto" w:fill="FFFFFF" w:themeFill="background1"/>
            <w:vAlign w:val="center"/>
          </w:tcPr>
          <w:p w14:paraId="56D93182" w14:textId="77777777" w:rsidR="00505245" w:rsidRPr="005C0801" w:rsidRDefault="00505245" w:rsidP="00505245">
            <w:pPr>
              <w:keepLines/>
              <w:spacing w:beforeLines="20" w:before="48" w:afterLines="20" w:after="48"/>
              <w:jc w:val="center"/>
            </w:pPr>
            <w:r w:rsidRPr="005C0801">
              <w:t>0.350</w:t>
            </w:r>
          </w:p>
        </w:tc>
        <w:tc>
          <w:tcPr>
            <w:tcW w:w="846" w:type="pct"/>
            <w:tcBorders>
              <w:bottom w:val="single" w:sz="4" w:space="0" w:color="auto"/>
            </w:tcBorders>
            <w:shd w:val="clear" w:color="auto" w:fill="FFFFFF" w:themeFill="background1"/>
            <w:vAlign w:val="center"/>
          </w:tcPr>
          <w:p w14:paraId="654D3372" w14:textId="77777777" w:rsidR="00505245" w:rsidRPr="005C0801" w:rsidRDefault="00505245" w:rsidP="00505245">
            <w:pPr>
              <w:keepLines/>
              <w:spacing w:beforeLines="20" w:before="48" w:afterLines="20" w:after="48"/>
              <w:jc w:val="center"/>
            </w:pPr>
            <w:r w:rsidRPr="005C0801">
              <w:t>Per CDX registration (individuals in firms)</w:t>
            </w:r>
          </w:p>
        </w:tc>
        <w:tc>
          <w:tcPr>
            <w:tcW w:w="1372" w:type="pct"/>
            <w:tcBorders>
              <w:bottom w:val="single" w:sz="4" w:space="0" w:color="auto"/>
              <w:right w:val="single" w:sz="12" w:space="0" w:color="auto"/>
            </w:tcBorders>
            <w:shd w:val="clear" w:color="auto" w:fill="FFFFFF" w:themeFill="background1"/>
            <w:vAlign w:val="center"/>
          </w:tcPr>
          <w:p w14:paraId="5DBB99D8" w14:textId="77777777" w:rsidR="00505245" w:rsidRPr="005C0801" w:rsidRDefault="00505245" w:rsidP="00505245">
            <w:pPr>
              <w:keepLines/>
              <w:spacing w:beforeLines="20" w:before="48" w:afterLines="20" w:after="48"/>
            </w:pPr>
            <w:r w:rsidRPr="005C0801">
              <w:t xml:space="preserve">Section 5 ICR </w:t>
            </w:r>
            <w:r w:rsidRPr="005C0801">
              <w:fldChar w:fldCharType="begin"/>
            </w:r>
            <w:r w:rsidRPr="005C0801">
              <w:instrText xml:space="preserve"> ADDIN ZOTERO_ITEM CSL_CITATION {"citationID":"f2LKrhlQ","properties":{"formattedCitation":"(EPA,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sidRPr="005C0801">
              <w:fldChar w:fldCharType="separate"/>
            </w:r>
            <w:r w:rsidRPr="005C0801">
              <w:t>(EPA, 2015b)</w:t>
            </w:r>
            <w:r w:rsidRPr="005C0801">
              <w:fldChar w:fldCharType="end"/>
            </w:r>
          </w:p>
        </w:tc>
      </w:tr>
      <w:tr w:rsidR="00505245" w:rsidRPr="00137964" w14:paraId="031E0B04" w14:textId="77777777" w:rsidTr="00505245">
        <w:trPr>
          <w:cantSplit/>
        </w:trPr>
        <w:tc>
          <w:tcPr>
            <w:tcW w:w="1889" w:type="pct"/>
            <w:tcBorders>
              <w:top w:val="single" w:sz="4" w:space="0" w:color="auto"/>
              <w:left w:val="single" w:sz="12" w:space="0" w:color="auto"/>
              <w:bottom w:val="single" w:sz="4" w:space="0" w:color="auto"/>
              <w:right w:val="nil"/>
            </w:tcBorders>
            <w:shd w:val="clear" w:color="auto" w:fill="F2F2F2" w:themeFill="background1" w:themeFillShade="F2"/>
          </w:tcPr>
          <w:p w14:paraId="7077DCF9" w14:textId="77777777" w:rsidR="00505245" w:rsidRPr="005C0801" w:rsidRDefault="00505245" w:rsidP="00505245">
            <w:pPr>
              <w:keepLines/>
              <w:spacing w:beforeLines="20" w:before="48" w:afterLines="20" w:after="48"/>
            </w:pPr>
            <w:r w:rsidRPr="005C0801">
              <w:rPr>
                <w:b/>
              </w:rPr>
              <w:t>Nominal Single-Chemical Submission</w:t>
            </w:r>
          </w:p>
        </w:tc>
        <w:tc>
          <w:tcPr>
            <w:tcW w:w="893" w:type="pct"/>
            <w:tcBorders>
              <w:top w:val="single" w:sz="4" w:space="0" w:color="auto"/>
              <w:left w:val="nil"/>
              <w:bottom w:val="single" w:sz="4" w:space="0" w:color="auto"/>
              <w:right w:val="nil"/>
            </w:tcBorders>
            <w:shd w:val="clear" w:color="auto" w:fill="F2F2F2" w:themeFill="background1" w:themeFillShade="F2"/>
          </w:tcPr>
          <w:p w14:paraId="4165232F" w14:textId="77777777" w:rsidR="00505245" w:rsidRPr="005C0801" w:rsidRDefault="00505245" w:rsidP="00505245">
            <w:pPr>
              <w:keepLines/>
              <w:spacing w:beforeLines="20" w:before="48" w:afterLines="20" w:after="48"/>
            </w:pPr>
          </w:p>
        </w:tc>
        <w:tc>
          <w:tcPr>
            <w:tcW w:w="846" w:type="pct"/>
            <w:tcBorders>
              <w:top w:val="single" w:sz="4" w:space="0" w:color="auto"/>
              <w:left w:val="nil"/>
              <w:bottom w:val="single" w:sz="4" w:space="0" w:color="auto"/>
              <w:right w:val="nil"/>
            </w:tcBorders>
            <w:shd w:val="clear" w:color="auto" w:fill="F2F2F2" w:themeFill="background1" w:themeFillShade="F2"/>
          </w:tcPr>
          <w:p w14:paraId="6003A8A6" w14:textId="77777777" w:rsidR="00505245" w:rsidRPr="005C0801" w:rsidRDefault="00505245" w:rsidP="00505245">
            <w:pPr>
              <w:keepLines/>
              <w:spacing w:beforeLines="20" w:before="48" w:afterLines="20" w:after="48"/>
            </w:pPr>
          </w:p>
        </w:tc>
        <w:tc>
          <w:tcPr>
            <w:tcW w:w="1372" w:type="pct"/>
            <w:tcBorders>
              <w:top w:val="single" w:sz="4" w:space="0" w:color="auto"/>
              <w:left w:val="nil"/>
              <w:bottom w:val="single" w:sz="4" w:space="0" w:color="auto"/>
              <w:right w:val="single" w:sz="12" w:space="0" w:color="auto"/>
            </w:tcBorders>
            <w:shd w:val="clear" w:color="auto" w:fill="F2F2F2" w:themeFill="background1" w:themeFillShade="F2"/>
          </w:tcPr>
          <w:p w14:paraId="0769DBB3" w14:textId="77777777" w:rsidR="00505245" w:rsidRPr="005C0801" w:rsidRDefault="00505245" w:rsidP="00505245">
            <w:pPr>
              <w:keepLines/>
              <w:spacing w:beforeLines="20" w:before="48" w:afterLines="20" w:after="48"/>
            </w:pPr>
          </w:p>
        </w:tc>
      </w:tr>
      <w:tr w:rsidR="00505245" w:rsidRPr="00D16D9B" w14:paraId="5D32FEF6" w14:textId="77777777" w:rsidTr="00505245">
        <w:trPr>
          <w:cantSplit/>
        </w:trPr>
        <w:tc>
          <w:tcPr>
            <w:tcW w:w="1889" w:type="pct"/>
            <w:tcBorders>
              <w:top w:val="single" w:sz="4" w:space="0" w:color="auto"/>
              <w:left w:val="single" w:sz="12" w:space="0" w:color="auto"/>
            </w:tcBorders>
            <w:shd w:val="clear" w:color="auto" w:fill="FFFFFF" w:themeFill="background1"/>
          </w:tcPr>
          <w:p w14:paraId="329959A4" w14:textId="77777777" w:rsidR="00505245" w:rsidRPr="005C0801" w:rsidRDefault="00505245" w:rsidP="00505245">
            <w:pPr>
              <w:keepLines/>
              <w:numPr>
                <w:ilvl w:val="0"/>
                <w:numId w:val="40"/>
              </w:numPr>
              <w:spacing w:beforeLines="20" w:before="48" w:afterLines="20" w:after="48" w:line="264" w:lineRule="auto"/>
            </w:pPr>
            <w:r w:rsidRPr="005C0801">
              <w:t>Submitter Authorized Official Name and Address and Technical Contact Name and Telephone Number</w:t>
            </w:r>
          </w:p>
        </w:tc>
        <w:tc>
          <w:tcPr>
            <w:tcW w:w="893" w:type="pct"/>
            <w:tcBorders>
              <w:top w:val="single" w:sz="4" w:space="0" w:color="auto"/>
            </w:tcBorders>
            <w:shd w:val="clear" w:color="auto" w:fill="FFFFFF" w:themeFill="background1"/>
            <w:vAlign w:val="center"/>
          </w:tcPr>
          <w:p w14:paraId="4010C378" w14:textId="77777777" w:rsidR="00505245" w:rsidRPr="005C0801" w:rsidRDefault="00505245" w:rsidP="00505245">
            <w:pPr>
              <w:keepLines/>
              <w:spacing w:beforeLines="20" w:before="48" w:afterLines="20" w:after="48"/>
              <w:jc w:val="center"/>
            </w:pPr>
            <w:r w:rsidRPr="005C0801">
              <w:t>0.014</w:t>
            </w:r>
          </w:p>
        </w:tc>
        <w:tc>
          <w:tcPr>
            <w:tcW w:w="846" w:type="pct"/>
            <w:tcBorders>
              <w:top w:val="single" w:sz="4" w:space="0" w:color="auto"/>
            </w:tcBorders>
            <w:shd w:val="clear" w:color="auto" w:fill="FFFFFF" w:themeFill="background1"/>
            <w:vAlign w:val="center"/>
          </w:tcPr>
          <w:p w14:paraId="5E27A9BC" w14:textId="77777777" w:rsidR="00505245" w:rsidRPr="005C0801" w:rsidRDefault="00505245" w:rsidP="00505245">
            <w:pPr>
              <w:keepLines/>
              <w:spacing w:beforeLines="20" w:before="48" w:afterLines="20" w:after="48"/>
              <w:jc w:val="center"/>
            </w:pPr>
            <w:r w:rsidRPr="005C0801">
              <w:t>Per firm</w:t>
            </w:r>
          </w:p>
        </w:tc>
        <w:tc>
          <w:tcPr>
            <w:tcW w:w="1372" w:type="pct"/>
            <w:tcBorders>
              <w:top w:val="single" w:sz="4" w:space="0" w:color="auto"/>
              <w:right w:val="single" w:sz="12" w:space="0" w:color="auto"/>
            </w:tcBorders>
            <w:shd w:val="clear" w:color="auto" w:fill="FFFFFF" w:themeFill="background1"/>
            <w:vAlign w:val="center"/>
          </w:tcPr>
          <w:p w14:paraId="32A774A7" w14:textId="77777777" w:rsidR="00505245" w:rsidRPr="005C0801" w:rsidRDefault="00505245" w:rsidP="00505245">
            <w:pPr>
              <w:keepLines/>
              <w:spacing w:beforeLines="20" w:before="48" w:afterLines="20" w:after="48"/>
            </w:pPr>
            <w:r w:rsidRPr="005C0801">
              <w:t xml:space="preserve">CDR ICR </w:t>
            </w:r>
            <w:r w:rsidRPr="005C0801">
              <w:fldChar w:fldCharType="begin"/>
            </w:r>
            <w:r w:rsidRPr="005C0801">
              <w:instrText xml:space="preserve"> ADDIN ZOTERO_ITEM CSL_CITATION {"citationID":"KpAJPOAI","properties":{"formattedCitation":"(EPA,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5C0801">
              <w:fldChar w:fldCharType="separate"/>
            </w:r>
            <w:r w:rsidRPr="005C0801">
              <w:t>(EPA, 2015a)</w:t>
            </w:r>
            <w:r w:rsidRPr="005C0801">
              <w:fldChar w:fldCharType="end"/>
            </w:r>
          </w:p>
        </w:tc>
      </w:tr>
      <w:tr w:rsidR="00505245" w:rsidRPr="00D16D9B" w14:paraId="41B34248" w14:textId="77777777" w:rsidTr="00505245">
        <w:trPr>
          <w:cantSplit/>
        </w:trPr>
        <w:tc>
          <w:tcPr>
            <w:tcW w:w="1889" w:type="pct"/>
            <w:tcBorders>
              <w:left w:val="single" w:sz="12" w:space="0" w:color="auto"/>
            </w:tcBorders>
            <w:shd w:val="clear" w:color="auto" w:fill="FFFFFF" w:themeFill="background1"/>
          </w:tcPr>
          <w:p w14:paraId="086C0A79" w14:textId="77777777" w:rsidR="00505245" w:rsidRPr="005C0801" w:rsidRDefault="00505245" w:rsidP="00505245">
            <w:pPr>
              <w:keepLines/>
              <w:numPr>
                <w:ilvl w:val="0"/>
                <w:numId w:val="40"/>
              </w:numPr>
              <w:spacing w:beforeLines="20" w:before="48" w:afterLines="20" w:after="48" w:line="264" w:lineRule="auto"/>
            </w:pPr>
            <w:r w:rsidRPr="005C0801">
              <w:t>Technical Contact Name and Telephone Number</w:t>
            </w:r>
          </w:p>
        </w:tc>
        <w:tc>
          <w:tcPr>
            <w:tcW w:w="893" w:type="pct"/>
            <w:shd w:val="clear" w:color="auto" w:fill="FFFFFF" w:themeFill="background1"/>
            <w:vAlign w:val="center"/>
          </w:tcPr>
          <w:p w14:paraId="33DA7509" w14:textId="77777777" w:rsidR="00505245" w:rsidRPr="005C0801" w:rsidRDefault="00505245" w:rsidP="00505245">
            <w:pPr>
              <w:keepLines/>
              <w:spacing w:beforeLines="20" w:before="48" w:afterLines="20" w:after="48"/>
              <w:jc w:val="center"/>
            </w:pPr>
            <w:r w:rsidRPr="005C0801">
              <w:t>Included in (1) above</w:t>
            </w:r>
          </w:p>
        </w:tc>
        <w:tc>
          <w:tcPr>
            <w:tcW w:w="846" w:type="pct"/>
            <w:shd w:val="clear" w:color="auto" w:fill="FFFFFF" w:themeFill="background1"/>
            <w:vAlign w:val="center"/>
          </w:tcPr>
          <w:p w14:paraId="5EC8B322" w14:textId="77777777" w:rsidR="00505245" w:rsidRPr="005C0801" w:rsidRDefault="00505245" w:rsidP="00505245">
            <w:pPr>
              <w:keepLines/>
              <w:spacing w:beforeLines="20" w:before="48" w:afterLines="20" w:after="48"/>
              <w:jc w:val="center"/>
            </w:pPr>
            <w:r w:rsidRPr="005C0801">
              <w:t xml:space="preserve">Per firm </w:t>
            </w:r>
          </w:p>
        </w:tc>
        <w:tc>
          <w:tcPr>
            <w:tcW w:w="1372" w:type="pct"/>
            <w:tcBorders>
              <w:right w:val="single" w:sz="12" w:space="0" w:color="auto"/>
            </w:tcBorders>
            <w:shd w:val="clear" w:color="auto" w:fill="FFFFFF" w:themeFill="background1"/>
            <w:vAlign w:val="center"/>
          </w:tcPr>
          <w:p w14:paraId="548D0986" w14:textId="77777777" w:rsidR="00505245" w:rsidRPr="005C0801" w:rsidRDefault="00505245" w:rsidP="00505245">
            <w:pPr>
              <w:keepLines/>
              <w:spacing w:beforeLines="20" w:before="48" w:afterLines="20" w:after="48"/>
            </w:pPr>
            <w:r w:rsidRPr="005C0801">
              <w:t xml:space="preserve">CDR ICR </w:t>
            </w:r>
            <w:r w:rsidRPr="005C0801">
              <w:fldChar w:fldCharType="begin"/>
            </w:r>
            <w:r w:rsidRPr="005C0801">
              <w:instrText xml:space="preserve"> ADDIN ZOTERO_ITEM CSL_CITATION {"citationID":"71HXwoXb","properties":{"formattedCitation":"(EPA,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5C0801">
              <w:fldChar w:fldCharType="separate"/>
            </w:r>
            <w:r w:rsidRPr="005C0801">
              <w:t>(EPA, 2015a)</w:t>
            </w:r>
            <w:r w:rsidRPr="005C0801">
              <w:fldChar w:fldCharType="end"/>
            </w:r>
          </w:p>
        </w:tc>
      </w:tr>
      <w:tr w:rsidR="00505245" w:rsidRPr="00D16D9B" w14:paraId="4A2FCFB4" w14:textId="77777777" w:rsidTr="00505245">
        <w:trPr>
          <w:cantSplit/>
        </w:trPr>
        <w:tc>
          <w:tcPr>
            <w:tcW w:w="1889" w:type="pct"/>
            <w:tcBorders>
              <w:left w:val="single" w:sz="12" w:space="0" w:color="auto"/>
            </w:tcBorders>
            <w:shd w:val="clear" w:color="auto" w:fill="FFFFFF" w:themeFill="background1"/>
          </w:tcPr>
          <w:p w14:paraId="15028D84" w14:textId="77777777" w:rsidR="00505245" w:rsidRPr="005C0801" w:rsidRDefault="00505245" w:rsidP="00505245">
            <w:pPr>
              <w:keepLines/>
              <w:numPr>
                <w:ilvl w:val="0"/>
                <w:numId w:val="40"/>
              </w:numPr>
              <w:spacing w:beforeLines="20" w:before="48" w:afterLines="20" w:after="48" w:line="264" w:lineRule="auto"/>
            </w:pPr>
            <w:r w:rsidRPr="005C0801">
              <w:t>NOA Certification</w:t>
            </w:r>
          </w:p>
        </w:tc>
        <w:tc>
          <w:tcPr>
            <w:tcW w:w="893" w:type="pct"/>
            <w:shd w:val="clear" w:color="auto" w:fill="FFFFFF" w:themeFill="background1"/>
            <w:vAlign w:val="center"/>
          </w:tcPr>
          <w:p w14:paraId="1DFBADC3" w14:textId="77777777" w:rsidR="00505245" w:rsidRPr="005C0801" w:rsidRDefault="00505245" w:rsidP="00505245">
            <w:pPr>
              <w:keepLines/>
              <w:spacing w:beforeLines="20" w:before="48" w:afterLines="20" w:after="48"/>
              <w:jc w:val="center"/>
            </w:pPr>
            <w:r w:rsidRPr="005C0801">
              <w:t>0.500</w:t>
            </w:r>
          </w:p>
        </w:tc>
        <w:tc>
          <w:tcPr>
            <w:tcW w:w="846" w:type="pct"/>
            <w:shd w:val="clear" w:color="auto" w:fill="FFFFFF" w:themeFill="background1"/>
            <w:vAlign w:val="center"/>
          </w:tcPr>
          <w:p w14:paraId="5B45DD24" w14:textId="77777777" w:rsidR="00505245" w:rsidRPr="005C0801" w:rsidRDefault="00505245" w:rsidP="00505245">
            <w:pPr>
              <w:keepLines/>
              <w:spacing w:beforeLines="20" w:before="48" w:afterLines="20" w:after="48"/>
              <w:jc w:val="center"/>
            </w:pPr>
            <w:r w:rsidRPr="005C0801">
              <w:t>Per submission</w:t>
            </w:r>
          </w:p>
        </w:tc>
        <w:tc>
          <w:tcPr>
            <w:tcW w:w="1372" w:type="pct"/>
            <w:tcBorders>
              <w:right w:val="single" w:sz="12" w:space="0" w:color="auto"/>
            </w:tcBorders>
            <w:shd w:val="clear" w:color="auto" w:fill="FFFFFF" w:themeFill="background1"/>
            <w:vAlign w:val="center"/>
          </w:tcPr>
          <w:p w14:paraId="22419CF9" w14:textId="77777777" w:rsidR="00505245" w:rsidRPr="005C0801" w:rsidRDefault="00505245" w:rsidP="00505245">
            <w:pPr>
              <w:keepLines/>
              <w:spacing w:beforeLines="20" w:before="48" w:afterLines="20" w:after="48"/>
            </w:pPr>
            <w:r w:rsidRPr="005C0801">
              <w:t xml:space="preserve">Section 5 PMN estimates </w:t>
            </w:r>
            <w:r w:rsidRPr="005C0801">
              <w:fldChar w:fldCharType="begin"/>
            </w:r>
            <w:r w:rsidRPr="005C0801">
              <w:instrText xml:space="preserve"> ADDIN ZOTERO_ITEM CSL_CITATION {"citationID":"a1609hbi6vb","properties":{"formattedCitation":"(summarized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5C0801">
              <w:fldChar w:fldCharType="separate"/>
            </w:r>
            <w:r w:rsidRPr="005C0801">
              <w:t>(summarized in EPA, 2016)</w:t>
            </w:r>
            <w:r w:rsidRPr="005C0801">
              <w:fldChar w:fldCharType="end"/>
            </w:r>
          </w:p>
        </w:tc>
      </w:tr>
      <w:tr w:rsidR="00505245" w:rsidRPr="00D16D9B" w14:paraId="3D862999" w14:textId="77777777" w:rsidTr="00505245">
        <w:trPr>
          <w:cantSplit/>
        </w:trPr>
        <w:tc>
          <w:tcPr>
            <w:tcW w:w="1889" w:type="pct"/>
            <w:tcBorders>
              <w:left w:val="single" w:sz="12" w:space="0" w:color="auto"/>
            </w:tcBorders>
            <w:shd w:val="clear" w:color="auto" w:fill="FFFFFF" w:themeFill="background1"/>
          </w:tcPr>
          <w:p w14:paraId="273FFEAA" w14:textId="77777777" w:rsidR="00505245" w:rsidRPr="005C0801" w:rsidRDefault="00505245" w:rsidP="00505245">
            <w:pPr>
              <w:keepLines/>
              <w:numPr>
                <w:ilvl w:val="0"/>
                <w:numId w:val="40"/>
              </w:numPr>
              <w:spacing w:beforeLines="20" w:before="48" w:afterLines="20" w:after="48" w:line="264" w:lineRule="auto"/>
            </w:pPr>
            <w:r w:rsidRPr="005C0801">
              <w:t>Certifier E-mail</w:t>
            </w:r>
          </w:p>
        </w:tc>
        <w:tc>
          <w:tcPr>
            <w:tcW w:w="893" w:type="pct"/>
            <w:shd w:val="clear" w:color="auto" w:fill="FFFFFF" w:themeFill="background1"/>
            <w:vAlign w:val="center"/>
          </w:tcPr>
          <w:p w14:paraId="5D19842A" w14:textId="77777777" w:rsidR="00505245" w:rsidRPr="005C0801" w:rsidRDefault="00505245" w:rsidP="00505245">
            <w:pPr>
              <w:keepLines/>
              <w:spacing w:beforeLines="20" w:before="48" w:afterLines="20" w:after="48"/>
              <w:jc w:val="center"/>
            </w:pPr>
            <w:r w:rsidRPr="005C0801">
              <w:t>0.017</w:t>
            </w:r>
          </w:p>
        </w:tc>
        <w:tc>
          <w:tcPr>
            <w:tcW w:w="846" w:type="pct"/>
            <w:shd w:val="clear" w:color="auto" w:fill="FFFFFF" w:themeFill="background1"/>
            <w:vAlign w:val="center"/>
          </w:tcPr>
          <w:p w14:paraId="36F0393E" w14:textId="77777777" w:rsidR="00505245" w:rsidRPr="005C0801" w:rsidRDefault="00505245" w:rsidP="00505245">
            <w:pPr>
              <w:keepLines/>
              <w:spacing w:beforeLines="20" w:before="48" w:afterLines="20" w:after="48"/>
              <w:jc w:val="center"/>
            </w:pPr>
            <w:r w:rsidRPr="005C0801">
              <w:t>Per submission</w:t>
            </w:r>
          </w:p>
        </w:tc>
        <w:tc>
          <w:tcPr>
            <w:tcW w:w="1372" w:type="pct"/>
            <w:tcBorders>
              <w:right w:val="single" w:sz="12" w:space="0" w:color="auto"/>
            </w:tcBorders>
            <w:shd w:val="clear" w:color="auto" w:fill="FFFFFF" w:themeFill="background1"/>
            <w:vAlign w:val="center"/>
          </w:tcPr>
          <w:p w14:paraId="38D0CE46" w14:textId="77777777" w:rsidR="00505245" w:rsidRPr="005C0801" w:rsidRDefault="00505245" w:rsidP="00505245">
            <w:pPr>
              <w:keepLines/>
              <w:spacing w:beforeLines="20" w:before="48" w:afterLines="20" w:after="48"/>
            </w:pPr>
            <w:r w:rsidRPr="005C0801">
              <w:t xml:space="preserve">Section 5 PMN estimates </w:t>
            </w:r>
            <w:r w:rsidRPr="005C0801">
              <w:fldChar w:fldCharType="begin"/>
            </w:r>
            <w:r w:rsidRPr="005C0801">
              <w:instrText xml:space="preserve"> ADDIN ZOTERO_ITEM CSL_CITATION {"citationID":"eAmE3Sbw","properties":{"formattedCitation":"(summarized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5C0801">
              <w:fldChar w:fldCharType="separate"/>
            </w:r>
            <w:r w:rsidRPr="005C0801">
              <w:t>(summarized in EPA, 2016)</w:t>
            </w:r>
            <w:r w:rsidRPr="005C0801">
              <w:fldChar w:fldCharType="end"/>
            </w:r>
          </w:p>
        </w:tc>
      </w:tr>
      <w:tr w:rsidR="00505245" w:rsidRPr="00D16D9B" w14:paraId="4A25BB78" w14:textId="77777777" w:rsidTr="00505245">
        <w:trPr>
          <w:cantSplit/>
        </w:trPr>
        <w:tc>
          <w:tcPr>
            <w:tcW w:w="1889" w:type="pct"/>
            <w:tcBorders>
              <w:left w:val="single" w:sz="12" w:space="0" w:color="auto"/>
            </w:tcBorders>
            <w:shd w:val="clear" w:color="auto" w:fill="FFFFFF" w:themeFill="background1"/>
          </w:tcPr>
          <w:p w14:paraId="5EF6A813" w14:textId="77777777" w:rsidR="00505245" w:rsidRPr="005C0801" w:rsidRDefault="00505245" w:rsidP="00505245">
            <w:pPr>
              <w:keepLines/>
              <w:numPr>
                <w:ilvl w:val="0"/>
                <w:numId w:val="40"/>
              </w:numPr>
              <w:spacing w:beforeLines="20" w:before="48" w:afterLines="20" w:after="48" w:line="264" w:lineRule="auto"/>
            </w:pPr>
            <w:r w:rsidRPr="005C0801">
              <w:t>Chemical Name</w:t>
            </w:r>
          </w:p>
        </w:tc>
        <w:tc>
          <w:tcPr>
            <w:tcW w:w="893" w:type="pct"/>
            <w:shd w:val="clear" w:color="auto" w:fill="FFFFFF" w:themeFill="background1"/>
            <w:vAlign w:val="center"/>
          </w:tcPr>
          <w:p w14:paraId="379AC468" w14:textId="77777777" w:rsidR="00505245" w:rsidRPr="005C0801" w:rsidRDefault="00505245" w:rsidP="00505245">
            <w:pPr>
              <w:keepLines/>
              <w:spacing w:beforeLines="20" w:before="48" w:afterLines="20" w:after="48"/>
              <w:jc w:val="center"/>
            </w:pPr>
            <w:r w:rsidRPr="005C0801">
              <w:t>0.083</w:t>
            </w:r>
          </w:p>
        </w:tc>
        <w:tc>
          <w:tcPr>
            <w:tcW w:w="846" w:type="pct"/>
            <w:shd w:val="clear" w:color="auto" w:fill="FFFFFF" w:themeFill="background1"/>
            <w:vAlign w:val="center"/>
          </w:tcPr>
          <w:p w14:paraId="476DAC03" w14:textId="77777777" w:rsidR="00505245" w:rsidRPr="005C0801" w:rsidRDefault="00505245" w:rsidP="00505245">
            <w:pPr>
              <w:keepLines/>
              <w:spacing w:beforeLines="20" w:before="48" w:afterLines="20" w:after="48"/>
              <w:jc w:val="center"/>
            </w:pPr>
            <w:r w:rsidRPr="005C0801">
              <w:t xml:space="preserve">Per chemical </w:t>
            </w:r>
          </w:p>
        </w:tc>
        <w:tc>
          <w:tcPr>
            <w:tcW w:w="1372" w:type="pct"/>
            <w:tcBorders>
              <w:right w:val="single" w:sz="12" w:space="0" w:color="auto"/>
            </w:tcBorders>
            <w:shd w:val="clear" w:color="auto" w:fill="FFFFFF" w:themeFill="background1"/>
            <w:vAlign w:val="center"/>
          </w:tcPr>
          <w:p w14:paraId="556CCDF3" w14:textId="77777777" w:rsidR="00505245" w:rsidRPr="005C0801" w:rsidRDefault="00505245" w:rsidP="00505245">
            <w:pPr>
              <w:keepLines/>
              <w:spacing w:beforeLines="20" w:before="48" w:afterLines="20" w:after="48"/>
            </w:pPr>
            <w:r w:rsidRPr="005C0801">
              <w:t xml:space="preserve">Abt Associates </w:t>
            </w:r>
            <w:r w:rsidRPr="005C0801">
              <w:fldChar w:fldCharType="begin"/>
            </w:r>
            <w:r w:rsidRPr="005C0801">
              <w:instrText xml:space="preserve"> ADDIN ZOTERO_ITEM CSL_CITATION {"citationID":"PNsfv1tx","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5C0801">
              <w:fldChar w:fldCharType="separate"/>
            </w:r>
            <w:r w:rsidRPr="005C0801">
              <w:t>(2016)</w:t>
            </w:r>
            <w:r w:rsidRPr="005C0801">
              <w:fldChar w:fldCharType="end"/>
            </w:r>
          </w:p>
        </w:tc>
      </w:tr>
      <w:tr w:rsidR="00505245" w:rsidRPr="00D16D9B" w14:paraId="28C851D7" w14:textId="77777777" w:rsidTr="00505245">
        <w:trPr>
          <w:cantSplit/>
        </w:trPr>
        <w:tc>
          <w:tcPr>
            <w:tcW w:w="1889" w:type="pct"/>
            <w:tcBorders>
              <w:left w:val="single" w:sz="12" w:space="0" w:color="auto"/>
            </w:tcBorders>
            <w:shd w:val="clear" w:color="auto" w:fill="FFFFFF" w:themeFill="background1"/>
          </w:tcPr>
          <w:p w14:paraId="2495BC6B" w14:textId="77777777" w:rsidR="00505245" w:rsidRPr="005C0801" w:rsidRDefault="00505245" w:rsidP="00505245">
            <w:pPr>
              <w:keepLines/>
              <w:numPr>
                <w:ilvl w:val="0"/>
                <w:numId w:val="40"/>
              </w:numPr>
              <w:spacing w:beforeLines="20" w:before="48" w:afterLines="20" w:after="48" w:line="264" w:lineRule="auto"/>
            </w:pPr>
            <w:r w:rsidRPr="005C0801">
              <w:t>Chemical Identity (e.g., Chemical Abstract Service Registration Number - CASRN)</w:t>
            </w:r>
          </w:p>
        </w:tc>
        <w:tc>
          <w:tcPr>
            <w:tcW w:w="893" w:type="pct"/>
            <w:shd w:val="clear" w:color="auto" w:fill="FFFFFF" w:themeFill="background1"/>
            <w:vAlign w:val="center"/>
          </w:tcPr>
          <w:p w14:paraId="1F6A15D6" w14:textId="77777777" w:rsidR="00505245" w:rsidRPr="005C0801" w:rsidRDefault="00505245" w:rsidP="00505245">
            <w:pPr>
              <w:keepLines/>
              <w:spacing w:beforeLines="20" w:before="48" w:afterLines="20" w:after="48"/>
              <w:jc w:val="center"/>
            </w:pPr>
            <w:r w:rsidRPr="005C0801">
              <w:t>Included in (5) above</w:t>
            </w:r>
          </w:p>
        </w:tc>
        <w:tc>
          <w:tcPr>
            <w:tcW w:w="846" w:type="pct"/>
            <w:shd w:val="clear" w:color="auto" w:fill="FFFFFF" w:themeFill="background1"/>
            <w:vAlign w:val="center"/>
          </w:tcPr>
          <w:p w14:paraId="43D478BA" w14:textId="77777777" w:rsidR="00505245" w:rsidRPr="005C0801" w:rsidRDefault="00505245" w:rsidP="00505245">
            <w:pPr>
              <w:keepLines/>
              <w:spacing w:beforeLines="20" w:before="48" w:afterLines="20" w:after="48"/>
              <w:jc w:val="center"/>
            </w:pPr>
            <w:r w:rsidRPr="005C0801">
              <w:t xml:space="preserve">Per chemical </w:t>
            </w:r>
          </w:p>
        </w:tc>
        <w:tc>
          <w:tcPr>
            <w:tcW w:w="1372" w:type="pct"/>
            <w:tcBorders>
              <w:right w:val="single" w:sz="12" w:space="0" w:color="auto"/>
            </w:tcBorders>
            <w:shd w:val="clear" w:color="auto" w:fill="FFFFFF" w:themeFill="background1"/>
            <w:vAlign w:val="center"/>
          </w:tcPr>
          <w:p w14:paraId="49284412" w14:textId="77777777" w:rsidR="00505245" w:rsidRPr="005C0801" w:rsidRDefault="00505245" w:rsidP="00505245">
            <w:pPr>
              <w:keepLines/>
              <w:spacing w:beforeLines="20" w:before="48" w:afterLines="20" w:after="48"/>
            </w:pPr>
            <w:r w:rsidRPr="005C0801">
              <w:t xml:space="preserve">Abt Associates </w:t>
            </w:r>
            <w:r w:rsidRPr="005C0801">
              <w:fldChar w:fldCharType="begin"/>
            </w:r>
            <w:r w:rsidRPr="005C0801">
              <w:instrText xml:space="preserve"> ADDIN ZOTERO_ITEM CSL_CITATION {"citationID":"PS4OK1cv","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5C0801">
              <w:fldChar w:fldCharType="separate"/>
            </w:r>
            <w:r w:rsidRPr="005C0801">
              <w:t>(2016)</w:t>
            </w:r>
            <w:r w:rsidRPr="005C0801">
              <w:fldChar w:fldCharType="end"/>
            </w:r>
          </w:p>
        </w:tc>
      </w:tr>
      <w:tr w:rsidR="00505245" w:rsidRPr="00D16D9B" w14:paraId="760A8FE0" w14:textId="77777777" w:rsidTr="00505245">
        <w:trPr>
          <w:cantSplit/>
        </w:trPr>
        <w:tc>
          <w:tcPr>
            <w:tcW w:w="1889" w:type="pct"/>
            <w:tcBorders>
              <w:left w:val="single" w:sz="12" w:space="0" w:color="auto"/>
            </w:tcBorders>
            <w:shd w:val="clear" w:color="auto" w:fill="FFFFFF" w:themeFill="background1"/>
          </w:tcPr>
          <w:p w14:paraId="27F85CC7" w14:textId="77777777" w:rsidR="00505245" w:rsidRPr="005C0801" w:rsidRDefault="00505245" w:rsidP="00505245">
            <w:pPr>
              <w:keepLines/>
              <w:numPr>
                <w:ilvl w:val="0"/>
                <w:numId w:val="40"/>
              </w:numPr>
              <w:spacing w:beforeLines="20" w:before="48" w:afterLines="20" w:after="48" w:line="264" w:lineRule="auto"/>
            </w:pPr>
            <w:r w:rsidRPr="005C0801">
              <w:t>CBI Designations for Chemical Identity</w:t>
            </w:r>
          </w:p>
        </w:tc>
        <w:tc>
          <w:tcPr>
            <w:tcW w:w="893" w:type="pct"/>
            <w:shd w:val="clear" w:color="auto" w:fill="FFFFFF" w:themeFill="background1"/>
            <w:vAlign w:val="center"/>
          </w:tcPr>
          <w:p w14:paraId="7E0C168E" w14:textId="77777777" w:rsidR="00505245" w:rsidRPr="005C0801" w:rsidRDefault="00505245" w:rsidP="00505245">
            <w:pPr>
              <w:keepLines/>
              <w:spacing w:beforeLines="20" w:before="48" w:afterLines="20" w:after="48"/>
              <w:jc w:val="center"/>
            </w:pPr>
            <w:r w:rsidRPr="005C0801">
              <w:t>Estimated at zero</w:t>
            </w:r>
          </w:p>
        </w:tc>
        <w:tc>
          <w:tcPr>
            <w:tcW w:w="846" w:type="pct"/>
            <w:shd w:val="clear" w:color="auto" w:fill="FFFFFF" w:themeFill="background1"/>
            <w:vAlign w:val="center"/>
          </w:tcPr>
          <w:p w14:paraId="30CA44BE" w14:textId="77777777" w:rsidR="00505245" w:rsidRPr="005C0801" w:rsidRDefault="00505245" w:rsidP="00505245">
            <w:pPr>
              <w:keepLines/>
              <w:spacing w:beforeLines="20" w:before="48" w:afterLines="20" w:after="48"/>
              <w:jc w:val="center"/>
            </w:pPr>
            <w:r w:rsidRPr="005C0801">
              <w:t xml:space="preserve">Per chemical </w:t>
            </w:r>
          </w:p>
        </w:tc>
        <w:tc>
          <w:tcPr>
            <w:tcW w:w="1372" w:type="pct"/>
            <w:tcBorders>
              <w:right w:val="single" w:sz="12" w:space="0" w:color="auto"/>
            </w:tcBorders>
            <w:shd w:val="clear" w:color="auto" w:fill="FFFFFF" w:themeFill="background1"/>
            <w:vAlign w:val="center"/>
          </w:tcPr>
          <w:p w14:paraId="5ABBE9F0" w14:textId="77777777" w:rsidR="00505245" w:rsidRPr="005C0801" w:rsidRDefault="00505245" w:rsidP="00505245">
            <w:pPr>
              <w:keepLines/>
              <w:spacing w:beforeLines="20" w:before="48" w:afterLines="20" w:after="48"/>
            </w:pPr>
            <w:r w:rsidRPr="005C0801">
              <w:t>Negligible level of burden</w:t>
            </w:r>
          </w:p>
        </w:tc>
      </w:tr>
      <w:tr w:rsidR="00505245" w:rsidRPr="00D16D9B" w14:paraId="6896D868" w14:textId="77777777" w:rsidTr="00505245">
        <w:trPr>
          <w:cantSplit/>
        </w:trPr>
        <w:tc>
          <w:tcPr>
            <w:tcW w:w="1889" w:type="pct"/>
            <w:tcBorders>
              <w:left w:val="single" w:sz="12" w:space="0" w:color="auto"/>
            </w:tcBorders>
            <w:shd w:val="clear" w:color="auto" w:fill="FFFFFF" w:themeFill="background1"/>
          </w:tcPr>
          <w:p w14:paraId="0E3E6F9A" w14:textId="77777777" w:rsidR="00505245" w:rsidRPr="005C0801" w:rsidRDefault="00505245" w:rsidP="00505245">
            <w:pPr>
              <w:keepLines/>
              <w:numPr>
                <w:ilvl w:val="0"/>
                <w:numId w:val="40"/>
              </w:numPr>
              <w:spacing w:beforeLines="20" w:before="48" w:afterLines="20" w:after="48" w:line="264" w:lineRule="auto"/>
            </w:pPr>
            <w:r w:rsidRPr="005C0801">
              <w:t xml:space="preserve">Start Date of Manufacture, Import, and/or Process (applies </w:t>
            </w:r>
            <w:r>
              <w:t xml:space="preserve">only </w:t>
            </w:r>
            <w:r w:rsidRPr="005C0801">
              <w:t>to Annual Ongoing Reporting)</w:t>
            </w:r>
          </w:p>
        </w:tc>
        <w:tc>
          <w:tcPr>
            <w:tcW w:w="893" w:type="pct"/>
            <w:shd w:val="clear" w:color="auto" w:fill="FFFFFF" w:themeFill="background1"/>
            <w:vAlign w:val="center"/>
          </w:tcPr>
          <w:p w14:paraId="0C4C17BA" w14:textId="77777777" w:rsidR="00505245" w:rsidRPr="005C0801" w:rsidRDefault="00505245" w:rsidP="00505245">
            <w:pPr>
              <w:keepLines/>
              <w:spacing w:beforeLines="20" w:before="48" w:afterLines="20" w:after="48"/>
              <w:jc w:val="center"/>
            </w:pPr>
            <w:r w:rsidRPr="005C0801">
              <w:rPr>
                <w:color w:val="000000"/>
              </w:rPr>
              <w:t>0.017</w:t>
            </w:r>
          </w:p>
        </w:tc>
        <w:tc>
          <w:tcPr>
            <w:tcW w:w="846" w:type="pct"/>
            <w:shd w:val="clear" w:color="auto" w:fill="FFFFFF" w:themeFill="background1"/>
            <w:vAlign w:val="center"/>
          </w:tcPr>
          <w:p w14:paraId="5E36F78F" w14:textId="77777777" w:rsidR="00505245" w:rsidRPr="005C0801" w:rsidRDefault="00505245" w:rsidP="00505245">
            <w:pPr>
              <w:keepLines/>
              <w:spacing w:beforeLines="20" w:before="48" w:afterLines="20" w:after="48"/>
              <w:jc w:val="center"/>
            </w:pPr>
            <w:r w:rsidRPr="005C0801">
              <w:rPr>
                <w:color w:val="000000"/>
              </w:rPr>
              <w:t>Per chemical</w:t>
            </w:r>
          </w:p>
        </w:tc>
        <w:tc>
          <w:tcPr>
            <w:tcW w:w="1372" w:type="pct"/>
            <w:tcBorders>
              <w:right w:val="single" w:sz="12" w:space="0" w:color="auto"/>
            </w:tcBorders>
            <w:shd w:val="clear" w:color="auto" w:fill="FFFFFF" w:themeFill="background1"/>
            <w:vAlign w:val="center"/>
          </w:tcPr>
          <w:p w14:paraId="7DC4239A" w14:textId="77777777" w:rsidR="00505245" w:rsidRPr="005C0801" w:rsidRDefault="00505245" w:rsidP="00505245">
            <w:pPr>
              <w:keepLines/>
              <w:spacing w:beforeLines="20" w:before="48" w:afterLines="20" w:after="48"/>
            </w:pPr>
            <w:r w:rsidRPr="005C0801">
              <w:rPr>
                <w:color w:val="000000"/>
              </w:rPr>
              <w:t>Agency BPJ (similar to #4 above)</w:t>
            </w:r>
          </w:p>
        </w:tc>
      </w:tr>
      <w:tr w:rsidR="00505245" w:rsidRPr="00D16D9B" w14:paraId="133B0569" w14:textId="77777777" w:rsidTr="00505245">
        <w:trPr>
          <w:cantSplit/>
        </w:trPr>
        <w:tc>
          <w:tcPr>
            <w:tcW w:w="1889" w:type="pct"/>
            <w:tcBorders>
              <w:left w:val="single" w:sz="12" w:space="0" w:color="auto"/>
            </w:tcBorders>
            <w:shd w:val="clear" w:color="auto" w:fill="FFFFFF" w:themeFill="background1"/>
          </w:tcPr>
          <w:p w14:paraId="7DF90B95" w14:textId="77777777" w:rsidR="00505245" w:rsidRPr="005C0801" w:rsidRDefault="00505245" w:rsidP="00505245">
            <w:pPr>
              <w:keepLines/>
              <w:numPr>
                <w:ilvl w:val="0"/>
                <w:numId w:val="40"/>
              </w:numPr>
              <w:spacing w:beforeLines="20" w:before="48" w:afterLines="20" w:after="48" w:line="264" w:lineRule="auto"/>
            </w:pPr>
            <w:r w:rsidRPr="005C0801">
              <w:t>CBI Designation for Start Date (applies</w:t>
            </w:r>
            <w:r>
              <w:t xml:space="preserve"> only</w:t>
            </w:r>
            <w:r w:rsidRPr="005C0801">
              <w:t xml:space="preserve"> to Annual Ongoing Reporting)</w:t>
            </w:r>
          </w:p>
        </w:tc>
        <w:tc>
          <w:tcPr>
            <w:tcW w:w="893" w:type="pct"/>
            <w:shd w:val="clear" w:color="auto" w:fill="FFFFFF" w:themeFill="background1"/>
            <w:vAlign w:val="center"/>
          </w:tcPr>
          <w:p w14:paraId="563E525B" w14:textId="77777777" w:rsidR="00505245" w:rsidRPr="005C0801" w:rsidRDefault="00505245" w:rsidP="00505245">
            <w:pPr>
              <w:keepLines/>
              <w:spacing w:beforeLines="20" w:before="48" w:afterLines="20" w:after="48"/>
              <w:jc w:val="center"/>
            </w:pPr>
            <w:r w:rsidRPr="005C0801">
              <w:rPr>
                <w:color w:val="000000"/>
              </w:rPr>
              <w:t>Estimated at zero</w:t>
            </w:r>
          </w:p>
        </w:tc>
        <w:tc>
          <w:tcPr>
            <w:tcW w:w="846" w:type="pct"/>
            <w:shd w:val="clear" w:color="auto" w:fill="FFFFFF" w:themeFill="background1"/>
            <w:vAlign w:val="center"/>
          </w:tcPr>
          <w:p w14:paraId="2FEA5762" w14:textId="77777777" w:rsidR="00505245" w:rsidRPr="005C0801" w:rsidRDefault="00505245" w:rsidP="00505245">
            <w:pPr>
              <w:keepLines/>
              <w:spacing w:beforeLines="20" w:before="48" w:afterLines="20" w:after="48"/>
              <w:jc w:val="center"/>
            </w:pPr>
            <w:r w:rsidRPr="005C0801">
              <w:rPr>
                <w:color w:val="000000"/>
              </w:rPr>
              <w:t>Per chemical</w:t>
            </w:r>
          </w:p>
        </w:tc>
        <w:tc>
          <w:tcPr>
            <w:tcW w:w="1372" w:type="pct"/>
            <w:tcBorders>
              <w:right w:val="single" w:sz="12" w:space="0" w:color="auto"/>
            </w:tcBorders>
            <w:shd w:val="clear" w:color="auto" w:fill="FFFFFF" w:themeFill="background1"/>
            <w:vAlign w:val="center"/>
          </w:tcPr>
          <w:p w14:paraId="4C271AC6" w14:textId="77777777" w:rsidR="00505245" w:rsidRPr="005C0801" w:rsidRDefault="00505245" w:rsidP="00505245">
            <w:pPr>
              <w:keepLines/>
              <w:spacing w:beforeLines="20" w:before="48" w:afterLines="20" w:after="48"/>
            </w:pPr>
            <w:r w:rsidRPr="005C0801">
              <w:rPr>
                <w:color w:val="000000"/>
              </w:rPr>
              <w:t>Negligible level of burden</w:t>
            </w:r>
          </w:p>
        </w:tc>
      </w:tr>
      <w:tr w:rsidR="00505245" w:rsidRPr="00D16D9B" w14:paraId="5E81935B" w14:textId="77777777" w:rsidTr="00505245">
        <w:trPr>
          <w:cantSplit/>
        </w:trPr>
        <w:tc>
          <w:tcPr>
            <w:tcW w:w="1889" w:type="pct"/>
            <w:tcBorders>
              <w:left w:val="single" w:sz="12" w:space="0" w:color="auto"/>
            </w:tcBorders>
            <w:shd w:val="clear" w:color="auto" w:fill="FFFFFF" w:themeFill="background1"/>
          </w:tcPr>
          <w:p w14:paraId="5A4B3AB3" w14:textId="77777777" w:rsidR="00505245" w:rsidRPr="005C0801" w:rsidRDefault="00505245" w:rsidP="00505245">
            <w:pPr>
              <w:keepLines/>
              <w:numPr>
                <w:ilvl w:val="0"/>
                <w:numId w:val="40"/>
              </w:numPr>
              <w:spacing w:beforeLines="20" w:before="48" w:afterLines="20" w:after="48" w:line="264" w:lineRule="auto"/>
            </w:pPr>
            <w:r w:rsidRPr="005C0801">
              <w:t>Chemical Identity CBI Status Declaration: maintain or not maintain claim of confidentiality of the full chemical substance identity on the TSCA Inventory</w:t>
            </w:r>
          </w:p>
        </w:tc>
        <w:tc>
          <w:tcPr>
            <w:tcW w:w="893" w:type="pct"/>
            <w:shd w:val="clear" w:color="auto" w:fill="FFFFFF" w:themeFill="background1"/>
            <w:vAlign w:val="center"/>
          </w:tcPr>
          <w:p w14:paraId="1317CFA7" w14:textId="77777777" w:rsidR="00505245" w:rsidRPr="005C0801" w:rsidRDefault="00505245" w:rsidP="00505245">
            <w:pPr>
              <w:keepLines/>
              <w:spacing w:beforeLines="20" w:before="48" w:afterLines="20" w:after="48"/>
              <w:jc w:val="center"/>
              <w:rPr>
                <w:highlight w:val="yellow"/>
              </w:rPr>
            </w:pPr>
            <w:r w:rsidRPr="005C0801">
              <w:t>0.002</w:t>
            </w:r>
          </w:p>
        </w:tc>
        <w:tc>
          <w:tcPr>
            <w:tcW w:w="846" w:type="pct"/>
            <w:shd w:val="clear" w:color="auto" w:fill="FFFFFF" w:themeFill="background1"/>
            <w:vAlign w:val="center"/>
          </w:tcPr>
          <w:p w14:paraId="1385FF5B" w14:textId="77777777" w:rsidR="00505245" w:rsidRPr="005C0801" w:rsidRDefault="00505245" w:rsidP="00505245">
            <w:pPr>
              <w:keepLines/>
              <w:spacing w:beforeLines="20" w:before="48" w:afterLines="20" w:after="48"/>
              <w:jc w:val="center"/>
              <w:rPr>
                <w:highlight w:val="yellow"/>
              </w:rPr>
            </w:pPr>
            <w:r w:rsidRPr="005C0801">
              <w:t xml:space="preserve">Per chemical </w:t>
            </w:r>
          </w:p>
        </w:tc>
        <w:tc>
          <w:tcPr>
            <w:tcW w:w="1372" w:type="pct"/>
            <w:tcBorders>
              <w:right w:val="single" w:sz="12" w:space="0" w:color="auto"/>
            </w:tcBorders>
            <w:shd w:val="clear" w:color="auto" w:fill="FFFFFF" w:themeFill="background1"/>
            <w:vAlign w:val="center"/>
          </w:tcPr>
          <w:p w14:paraId="16A1F6B1" w14:textId="77777777" w:rsidR="00505245" w:rsidRPr="005C0801" w:rsidRDefault="00505245" w:rsidP="00505245">
            <w:pPr>
              <w:keepLines/>
              <w:spacing w:beforeLines="20" w:before="48" w:afterLines="20" w:after="48"/>
              <w:rPr>
                <w:highlight w:val="yellow"/>
              </w:rPr>
            </w:pPr>
            <w:r w:rsidRPr="005C0801">
              <w:t xml:space="preserve">TRI reporting </w:t>
            </w:r>
            <w:r w:rsidRPr="005C0801">
              <w:fldChar w:fldCharType="begin"/>
            </w:r>
            <w:r w:rsidRPr="005C0801">
              <w:instrText xml:space="preserve"> ADDIN ZOTERO_ITEM CSL_CITATION {"citationID":"x0J1uJkE","properties":{"formattedCitation":"(EPA, 2011)","plainCitation":"(EPA, 2011)"},"citationItems":[{"id":519,"uris":["http://zotero.org/groups/1140234/items/74RAA724"],"uri":["http://zotero.org/groups/1140234/items/74RAA724"],"itemData":{"id":519,"type":"report","title":"Revising TRI Burden to Ratio-Based Methodology","publisher-place":"Washington, D.C.","event-place":"Washington, D.C.","URL":"https://www.epa.gov/sites/production/files/documents/136321RatioBasedMethodology.pdf","collection-editor":[{"family":"Information","given":"Office of Environmental"}],"author":[{"literal":"EPA"}],"issued":{"date-parts":[["2011"]]}}}],"schema":"https://github.com/citation-style-language/schema/raw/master/csl-citation.json"} </w:instrText>
            </w:r>
            <w:r w:rsidRPr="005C0801">
              <w:fldChar w:fldCharType="separate"/>
            </w:r>
            <w:r w:rsidRPr="005C0801">
              <w:t>(EPA, 2011)</w:t>
            </w:r>
            <w:r w:rsidRPr="005C0801">
              <w:fldChar w:fldCharType="end"/>
            </w:r>
          </w:p>
        </w:tc>
      </w:tr>
      <w:tr w:rsidR="00505245" w:rsidRPr="00D16D9B" w14:paraId="077F10A1" w14:textId="77777777" w:rsidTr="00505245">
        <w:trPr>
          <w:cantSplit/>
        </w:trPr>
        <w:tc>
          <w:tcPr>
            <w:tcW w:w="1889" w:type="pct"/>
            <w:tcBorders>
              <w:left w:val="single" w:sz="12" w:space="0" w:color="auto"/>
            </w:tcBorders>
            <w:shd w:val="clear" w:color="auto" w:fill="FFFFFF" w:themeFill="background1"/>
          </w:tcPr>
          <w:p w14:paraId="2BFEE699" w14:textId="77777777" w:rsidR="00505245" w:rsidRPr="005C0801" w:rsidRDefault="00505245" w:rsidP="00505245">
            <w:pPr>
              <w:keepLines/>
              <w:numPr>
                <w:ilvl w:val="0"/>
                <w:numId w:val="40"/>
              </w:numPr>
              <w:spacing w:beforeLines="20" w:before="48" w:afterLines="20" w:after="48" w:line="264" w:lineRule="auto"/>
            </w:pPr>
            <w:r w:rsidRPr="005C0801">
              <w:t xml:space="preserve"> CBI Substantiation for Chemical Identity (applies to certain submissions)</w:t>
            </w:r>
          </w:p>
        </w:tc>
        <w:tc>
          <w:tcPr>
            <w:tcW w:w="893" w:type="pct"/>
            <w:shd w:val="clear" w:color="auto" w:fill="FFFFFF" w:themeFill="background1"/>
            <w:vAlign w:val="center"/>
          </w:tcPr>
          <w:p w14:paraId="6CE13B92" w14:textId="77777777" w:rsidR="00505245" w:rsidRPr="005C0801" w:rsidRDefault="00505245" w:rsidP="00505245">
            <w:pPr>
              <w:keepLines/>
              <w:spacing w:beforeLines="20" w:before="48" w:afterLines="20" w:after="48"/>
              <w:jc w:val="center"/>
            </w:pPr>
            <w:r w:rsidRPr="005C0801">
              <w:t>1.150 where applicable</w:t>
            </w:r>
          </w:p>
        </w:tc>
        <w:tc>
          <w:tcPr>
            <w:tcW w:w="846" w:type="pct"/>
            <w:shd w:val="clear" w:color="auto" w:fill="FFFFFF" w:themeFill="background1"/>
            <w:vAlign w:val="center"/>
          </w:tcPr>
          <w:p w14:paraId="17B72E87" w14:textId="77777777" w:rsidR="00505245" w:rsidRPr="005C0801" w:rsidRDefault="00505245" w:rsidP="00505245">
            <w:pPr>
              <w:keepLines/>
              <w:spacing w:beforeLines="20" w:before="48" w:afterLines="20" w:after="48"/>
              <w:jc w:val="center"/>
            </w:pPr>
            <w:r w:rsidRPr="005C0801">
              <w:t>Per chemical</w:t>
            </w:r>
          </w:p>
        </w:tc>
        <w:tc>
          <w:tcPr>
            <w:tcW w:w="1372" w:type="pct"/>
            <w:tcBorders>
              <w:right w:val="single" w:sz="12" w:space="0" w:color="auto"/>
            </w:tcBorders>
            <w:shd w:val="clear" w:color="auto" w:fill="FFFFFF" w:themeFill="background1"/>
            <w:vAlign w:val="center"/>
          </w:tcPr>
          <w:p w14:paraId="6980A677" w14:textId="77777777" w:rsidR="00505245" w:rsidRPr="005C0801" w:rsidRDefault="00505245" w:rsidP="00505245">
            <w:pPr>
              <w:keepLines/>
              <w:spacing w:beforeLines="20" w:before="48" w:afterLines="20" w:after="48"/>
            </w:pPr>
            <w:r w:rsidRPr="005C0801">
              <w:t>Agency BPJ</w:t>
            </w:r>
          </w:p>
        </w:tc>
      </w:tr>
      <w:tr w:rsidR="00505245" w:rsidRPr="00D16D9B" w14:paraId="7443AD3F" w14:textId="77777777" w:rsidTr="00505245">
        <w:trPr>
          <w:cantSplit/>
        </w:trPr>
        <w:tc>
          <w:tcPr>
            <w:tcW w:w="1889" w:type="pct"/>
            <w:tcBorders>
              <w:left w:val="single" w:sz="12" w:space="0" w:color="auto"/>
              <w:bottom w:val="single" w:sz="12" w:space="0" w:color="auto"/>
            </w:tcBorders>
            <w:shd w:val="clear" w:color="auto" w:fill="FFFFFF" w:themeFill="background1"/>
          </w:tcPr>
          <w:p w14:paraId="30ADAB75" w14:textId="77777777" w:rsidR="00505245" w:rsidRPr="005C0801" w:rsidRDefault="00505245" w:rsidP="00505245">
            <w:pPr>
              <w:keepLines/>
              <w:numPr>
                <w:ilvl w:val="0"/>
                <w:numId w:val="40"/>
              </w:numPr>
              <w:spacing w:beforeLines="20" w:before="48" w:afterLines="20" w:after="48" w:line="264" w:lineRule="auto"/>
            </w:pPr>
            <w:r w:rsidRPr="005C0801">
              <w:t xml:space="preserve"> CBI Substantiation for non-Chemical Identity data elements</w:t>
            </w:r>
          </w:p>
        </w:tc>
        <w:tc>
          <w:tcPr>
            <w:tcW w:w="893" w:type="pct"/>
            <w:tcBorders>
              <w:bottom w:val="single" w:sz="12" w:space="0" w:color="auto"/>
            </w:tcBorders>
            <w:shd w:val="clear" w:color="auto" w:fill="FFFFFF" w:themeFill="background1"/>
            <w:vAlign w:val="center"/>
          </w:tcPr>
          <w:p w14:paraId="11977F79" w14:textId="77777777" w:rsidR="00505245" w:rsidRPr="005C0801" w:rsidRDefault="00505245" w:rsidP="00505245">
            <w:pPr>
              <w:keepLines/>
              <w:spacing w:beforeLines="20" w:before="48" w:afterLines="20" w:after="48"/>
              <w:jc w:val="center"/>
            </w:pPr>
            <w:r w:rsidRPr="005C0801">
              <w:t>0.960 where applicable</w:t>
            </w:r>
          </w:p>
        </w:tc>
        <w:tc>
          <w:tcPr>
            <w:tcW w:w="846" w:type="pct"/>
            <w:tcBorders>
              <w:bottom w:val="single" w:sz="12" w:space="0" w:color="auto"/>
            </w:tcBorders>
            <w:shd w:val="clear" w:color="auto" w:fill="FFFFFF" w:themeFill="background1"/>
            <w:vAlign w:val="center"/>
          </w:tcPr>
          <w:p w14:paraId="7C0201DF" w14:textId="77777777" w:rsidR="00505245" w:rsidRPr="005C0801" w:rsidRDefault="00505245" w:rsidP="00505245">
            <w:pPr>
              <w:keepLines/>
              <w:spacing w:beforeLines="20" w:before="48" w:afterLines="20" w:after="48"/>
              <w:jc w:val="center"/>
            </w:pPr>
            <w:r w:rsidRPr="005C0801">
              <w:t>Per chemical</w:t>
            </w:r>
          </w:p>
        </w:tc>
        <w:tc>
          <w:tcPr>
            <w:tcW w:w="1372" w:type="pct"/>
            <w:tcBorders>
              <w:bottom w:val="single" w:sz="12" w:space="0" w:color="auto"/>
              <w:right w:val="single" w:sz="12" w:space="0" w:color="auto"/>
            </w:tcBorders>
            <w:shd w:val="clear" w:color="auto" w:fill="FFFFFF" w:themeFill="background1"/>
            <w:vAlign w:val="center"/>
          </w:tcPr>
          <w:p w14:paraId="740EBBB3" w14:textId="77777777" w:rsidR="00505245" w:rsidRPr="005C0801" w:rsidRDefault="00505245" w:rsidP="00505245">
            <w:pPr>
              <w:keepLines/>
              <w:spacing w:beforeLines="20" w:before="48" w:afterLines="20" w:after="48"/>
            </w:pPr>
            <w:r w:rsidRPr="005C0801">
              <w:t>Agency BPJ</w:t>
            </w:r>
          </w:p>
        </w:tc>
      </w:tr>
      <w:tr w:rsidR="00505245" w:rsidRPr="00D16D9B" w14:paraId="1BE81366" w14:textId="77777777" w:rsidTr="00505245">
        <w:trPr>
          <w:cantSplit/>
        </w:trPr>
        <w:tc>
          <w:tcPr>
            <w:tcW w:w="1889" w:type="pct"/>
            <w:tcBorders>
              <w:left w:val="single" w:sz="12" w:space="0" w:color="auto"/>
              <w:bottom w:val="single" w:sz="12" w:space="0" w:color="auto"/>
            </w:tcBorders>
            <w:shd w:val="clear" w:color="auto" w:fill="FFFFFF" w:themeFill="background1"/>
          </w:tcPr>
          <w:p w14:paraId="635A4764" w14:textId="77777777" w:rsidR="00505245" w:rsidRPr="005C0801" w:rsidRDefault="00505245" w:rsidP="00505245">
            <w:pPr>
              <w:keepLines/>
              <w:spacing w:beforeLines="20" w:before="48" w:afterLines="20" w:after="48"/>
            </w:pPr>
            <w:r w:rsidRPr="005C0801">
              <w:t>Date and Time Stamps</w:t>
            </w:r>
          </w:p>
        </w:tc>
        <w:tc>
          <w:tcPr>
            <w:tcW w:w="893" w:type="pct"/>
            <w:tcBorders>
              <w:bottom w:val="single" w:sz="12" w:space="0" w:color="auto"/>
            </w:tcBorders>
            <w:shd w:val="clear" w:color="auto" w:fill="FFFFFF" w:themeFill="background1"/>
            <w:vAlign w:val="center"/>
          </w:tcPr>
          <w:p w14:paraId="1971AAC3" w14:textId="77777777" w:rsidR="00505245" w:rsidRPr="005C0801" w:rsidRDefault="00505245" w:rsidP="00505245">
            <w:pPr>
              <w:keepLines/>
              <w:spacing w:beforeLines="20" w:before="48" w:afterLines="20" w:after="48"/>
              <w:jc w:val="center"/>
            </w:pPr>
            <w:r w:rsidRPr="005C0801">
              <w:t>System-generated</w:t>
            </w:r>
          </w:p>
        </w:tc>
        <w:tc>
          <w:tcPr>
            <w:tcW w:w="846" w:type="pct"/>
            <w:tcBorders>
              <w:bottom w:val="single" w:sz="12" w:space="0" w:color="auto"/>
            </w:tcBorders>
            <w:shd w:val="clear" w:color="auto" w:fill="FFFFFF" w:themeFill="background1"/>
            <w:vAlign w:val="center"/>
          </w:tcPr>
          <w:p w14:paraId="38B0AFBD" w14:textId="77777777" w:rsidR="00505245" w:rsidRPr="005C0801" w:rsidRDefault="00505245" w:rsidP="00505245">
            <w:pPr>
              <w:keepLines/>
              <w:spacing w:beforeLines="20" w:before="48" w:afterLines="20" w:after="48"/>
              <w:jc w:val="center"/>
            </w:pPr>
            <w:r w:rsidRPr="005C0801">
              <w:t>Per submission</w:t>
            </w:r>
          </w:p>
        </w:tc>
        <w:tc>
          <w:tcPr>
            <w:tcW w:w="1372" w:type="pct"/>
            <w:tcBorders>
              <w:bottom w:val="single" w:sz="12" w:space="0" w:color="auto"/>
              <w:right w:val="single" w:sz="12" w:space="0" w:color="auto"/>
            </w:tcBorders>
            <w:shd w:val="clear" w:color="auto" w:fill="FFFFFF" w:themeFill="background1"/>
            <w:vAlign w:val="center"/>
          </w:tcPr>
          <w:p w14:paraId="6D52C8A3" w14:textId="77777777" w:rsidR="00505245" w:rsidRPr="005C0801" w:rsidRDefault="00505245" w:rsidP="00505245">
            <w:pPr>
              <w:keepLines/>
              <w:spacing w:beforeLines="20" w:before="48" w:afterLines="20" w:after="48"/>
            </w:pPr>
            <w:r w:rsidRPr="005C0801">
              <w:t>N/A</w:t>
            </w:r>
          </w:p>
        </w:tc>
      </w:tr>
      <w:tr w:rsidR="00505245" w:rsidRPr="00D16D9B" w14:paraId="39E34E97" w14:textId="77777777" w:rsidTr="00505245">
        <w:trPr>
          <w:cantSplit/>
        </w:trPr>
        <w:tc>
          <w:tcPr>
            <w:tcW w:w="1889" w:type="pct"/>
            <w:tcBorders>
              <w:top w:val="single" w:sz="12" w:space="0" w:color="auto"/>
              <w:left w:val="single" w:sz="12" w:space="0" w:color="auto"/>
              <w:bottom w:val="single" w:sz="4" w:space="0" w:color="auto"/>
              <w:right w:val="nil"/>
            </w:tcBorders>
            <w:shd w:val="clear" w:color="auto" w:fill="F2F2F2" w:themeFill="background1" w:themeFillShade="F2"/>
          </w:tcPr>
          <w:p w14:paraId="313CDF09" w14:textId="77777777" w:rsidR="00505245" w:rsidRPr="005C0801" w:rsidRDefault="00505245" w:rsidP="00505245">
            <w:pPr>
              <w:keepNext/>
              <w:keepLines/>
              <w:spacing w:beforeLines="20" w:before="48" w:afterLines="20" w:after="48"/>
              <w:rPr>
                <w:b/>
              </w:rPr>
            </w:pPr>
            <w:r w:rsidRPr="005C0801">
              <w:rPr>
                <w:b/>
              </w:rPr>
              <w:t>Miscellaneous</w:t>
            </w:r>
          </w:p>
        </w:tc>
        <w:tc>
          <w:tcPr>
            <w:tcW w:w="893" w:type="pct"/>
            <w:tcBorders>
              <w:top w:val="single" w:sz="12" w:space="0" w:color="auto"/>
              <w:left w:val="nil"/>
              <w:bottom w:val="single" w:sz="4" w:space="0" w:color="auto"/>
              <w:right w:val="nil"/>
            </w:tcBorders>
            <w:shd w:val="clear" w:color="auto" w:fill="F2F2F2" w:themeFill="background1" w:themeFillShade="F2"/>
          </w:tcPr>
          <w:p w14:paraId="074531D7" w14:textId="77777777" w:rsidR="00505245" w:rsidRPr="005C0801" w:rsidRDefault="00505245" w:rsidP="00505245">
            <w:pPr>
              <w:keepLines/>
              <w:spacing w:beforeLines="20" w:before="48" w:afterLines="20" w:after="48"/>
              <w:jc w:val="center"/>
              <w:rPr>
                <w:b/>
              </w:rPr>
            </w:pPr>
          </w:p>
        </w:tc>
        <w:tc>
          <w:tcPr>
            <w:tcW w:w="846" w:type="pct"/>
            <w:tcBorders>
              <w:top w:val="single" w:sz="12" w:space="0" w:color="auto"/>
              <w:left w:val="nil"/>
              <w:bottom w:val="single" w:sz="4" w:space="0" w:color="auto"/>
              <w:right w:val="nil"/>
            </w:tcBorders>
            <w:shd w:val="clear" w:color="auto" w:fill="F2F2F2" w:themeFill="background1" w:themeFillShade="F2"/>
          </w:tcPr>
          <w:p w14:paraId="0495C938" w14:textId="77777777" w:rsidR="00505245" w:rsidRPr="005C0801" w:rsidRDefault="00505245" w:rsidP="00505245">
            <w:pPr>
              <w:keepLines/>
              <w:spacing w:beforeLines="20" w:before="48" w:afterLines="20" w:after="48"/>
              <w:jc w:val="center"/>
              <w:rPr>
                <w:b/>
              </w:rPr>
            </w:pPr>
          </w:p>
        </w:tc>
        <w:tc>
          <w:tcPr>
            <w:tcW w:w="1372" w:type="pct"/>
            <w:tcBorders>
              <w:top w:val="single" w:sz="12" w:space="0" w:color="auto"/>
              <w:left w:val="nil"/>
              <w:bottom w:val="single" w:sz="4" w:space="0" w:color="auto"/>
              <w:right w:val="single" w:sz="12" w:space="0" w:color="auto"/>
            </w:tcBorders>
            <w:shd w:val="clear" w:color="auto" w:fill="F2F2F2" w:themeFill="background1" w:themeFillShade="F2"/>
          </w:tcPr>
          <w:p w14:paraId="01552118" w14:textId="77777777" w:rsidR="00505245" w:rsidRPr="005C0801" w:rsidRDefault="00505245" w:rsidP="00505245">
            <w:pPr>
              <w:keepLines/>
              <w:spacing w:beforeLines="20" w:before="48" w:afterLines="20" w:after="48"/>
            </w:pPr>
          </w:p>
        </w:tc>
      </w:tr>
      <w:tr w:rsidR="00505245" w:rsidRPr="00D16D9B" w14:paraId="25E23095" w14:textId="77777777" w:rsidTr="00505245">
        <w:trPr>
          <w:cantSplit/>
        </w:trPr>
        <w:tc>
          <w:tcPr>
            <w:tcW w:w="1889" w:type="pct"/>
            <w:tcBorders>
              <w:top w:val="single" w:sz="4" w:space="0" w:color="auto"/>
              <w:left w:val="single" w:sz="12" w:space="0" w:color="auto"/>
              <w:bottom w:val="single" w:sz="12" w:space="0" w:color="auto"/>
            </w:tcBorders>
            <w:shd w:val="clear" w:color="auto" w:fill="FFFFFF" w:themeFill="background1"/>
          </w:tcPr>
          <w:p w14:paraId="604ACB86" w14:textId="77777777" w:rsidR="00505245" w:rsidRPr="005C0801" w:rsidRDefault="00505245" w:rsidP="00505245">
            <w:pPr>
              <w:keepLines/>
              <w:spacing w:beforeLines="20" w:before="48" w:afterLines="20" w:after="48"/>
            </w:pPr>
            <w:r w:rsidRPr="005C0801">
              <w:t>Recordkeeping</w:t>
            </w:r>
          </w:p>
        </w:tc>
        <w:tc>
          <w:tcPr>
            <w:tcW w:w="893" w:type="pct"/>
            <w:tcBorders>
              <w:top w:val="single" w:sz="4" w:space="0" w:color="auto"/>
              <w:bottom w:val="single" w:sz="12" w:space="0" w:color="auto"/>
            </w:tcBorders>
            <w:shd w:val="clear" w:color="auto" w:fill="FFFFFF" w:themeFill="background1"/>
            <w:vAlign w:val="center"/>
          </w:tcPr>
          <w:p w14:paraId="306EC2BA" w14:textId="77777777" w:rsidR="00505245" w:rsidRPr="005C0801" w:rsidRDefault="00505245" w:rsidP="00505245">
            <w:pPr>
              <w:keepLines/>
              <w:spacing w:beforeLines="20" w:before="48" w:afterLines="20" w:after="48"/>
              <w:jc w:val="center"/>
            </w:pPr>
            <w:r w:rsidRPr="005C0801">
              <w:t>0.125</w:t>
            </w:r>
          </w:p>
        </w:tc>
        <w:tc>
          <w:tcPr>
            <w:tcW w:w="846" w:type="pct"/>
            <w:tcBorders>
              <w:top w:val="single" w:sz="4" w:space="0" w:color="auto"/>
              <w:bottom w:val="single" w:sz="12" w:space="0" w:color="auto"/>
            </w:tcBorders>
            <w:shd w:val="clear" w:color="auto" w:fill="FFFFFF" w:themeFill="background1"/>
            <w:vAlign w:val="center"/>
          </w:tcPr>
          <w:p w14:paraId="24311464" w14:textId="77777777" w:rsidR="00505245" w:rsidRPr="005C0801" w:rsidRDefault="00505245" w:rsidP="00505245">
            <w:pPr>
              <w:keepLines/>
              <w:spacing w:beforeLines="20" w:before="48" w:afterLines="20" w:after="48"/>
              <w:jc w:val="center"/>
            </w:pPr>
            <w:r w:rsidRPr="005C0801">
              <w:t>Per submission</w:t>
            </w:r>
          </w:p>
        </w:tc>
        <w:tc>
          <w:tcPr>
            <w:tcW w:w="1372" w:type="pct"/>
            <w:tcBorders>
              <w:top w:val="single" w:sz="4" w:space="0" w:color="auto"/>
              <w:bottom w:val="single" w:sz="12" w:space="0" w:color="auto"/>
              <w:right w:val="single" w:sz="12" w:space="0" w:color="auto"/>
            </w:tcBorders>
            <w:shd w:val="clear" w:color="auto" w:fill="FFFFFF" w:themeFill="background1"/>
            <w:vAlign w:val="center"/>
          </w:tcPr>
          <w:p w14:paraId="09E80A5C" w14:textId="77777777" w:rsidR="00505245" w:rsidRPr="005C0801" w:rsidRDefault="00505245" w:rsidP="00505245">
            <w:pPr>
              <w:keepLines/>
              <w:spacing w:beforeLines="20" w:before="48" w:afterLines="20" w:after="48"/>
            </w:pPr>
            <w:r w:rsidRPr="005C0801">
              <w:t xml:space="preserve">Section 5 ICR for NOC </w:t>
            </w:r>
            <w:r w:rsidRPr="005C0801">
              <w:fldChar w:fldCharType="begin"/>
            </w:r>
            <w:r w:rsidRPr="005C0801">
              <w:instrText xml:space="preserve"> ADDIN ZOTERO_ITEM CSL_CITATION {"citationID":"JHLL8BvN","properties":{"formattedCitation":"(EPA,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sidRPr="005C0801">
              <w:fldChar w:fldCharType="separate"/>
            </w:r>
            <w:r w:rsidRPr="005C0801">
              <w:t>(EPA, 2015b)</w:t>
            </w:r>
            <w:r w:rsidRPr="005C0801">
              <w:fldChar w:fldCharType="end"/>
            </w:r>
          </w:p>
        </w:tc>
      </w:tr>
    </w:tbl>
    <w:p w14:paraId="716E90B4" w14:textId="77777777" w:rsidR="00505245" w:rsidRDefault="00505245" w:rsidP="00505245">
      <w:pPr>
        <w:ind w:firstLine="720"/>
        <w:sectPr w:rsidR="00505245" w:rsidSect="0082527B">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299"/>
        </w:sectPr>
      </w:pPr>
    </w:p>
    <w:p w14:paraId="39B23BA8" w14:textId="77777777" w:rsidR="00505245" w:rsidRPr="008351E8" w:rsidRDefault="00505245" w:rsidP="00505245">
      <w:pPr>
        <w:pStyle w:val="Caption"/>
        <w:rPr>
          <w:rFonts w:ascii="Times New Roman" w:hAnsi="Times New Roman"/>
        </w:rPr>
      </w:pPr>
      <w:bookmarkStart w:id="17" w:name="_Ref468994438"/>
      <w:r w:rsidRPr="007D7498">
        <w:rPr>
          <w:rFonts w:ascii="Times New Roman" w:hAnsi="Times New Roman"/>
          <w:sz w:val="24"/>
        </w:rPr>
        <w:t xml:space="preserve">Table </w:t>
      </w:r>
      <w:r w:rsidRPr="007D7498">
        <w:rPr>
          <w:rFonts w:ascii="Times New Roman" w:hAnsi="Times New Roman"/>
          <w:sz w:val="24"/>
        </w:rPr>
        <w:fldChar w:fldCharType="begin"/>
      </w:r>
      <w:r w:rsidRPr="007D7498">
        <w:rPr>
          <w:rFonts w:ascii="Times New Roman" w:hAnsi="Times New Roman"/>
          <w:sz w:val="24"/>
        </w:rPr>
        <w:instrText xml:space="preserve"> SEQ Table \* ARABIC </w:instrText>
      </w:r>
      <w:r w:rsidRPr="007D7498">
        <w:rPr>
          <w:rFonts w:ascii="Times New Roman" w:hAnsi="Times New Roman"/>
          <w:sz w:val="24"/>
        </w:rPr>
        <w:fldChar w:fldCharType="separate"/>
      </w:r>
      <w:r>
        <w:rPr>
          <w:rFonts w:ascii="Times New Roman" w:hAnsi="Times New Roman"/>
          <w:noProof/>
          <w:sz w:val="24"/>
        </w:rPr>
        <w:t>3</w:t>
      </w:r>
      <w:r w:rsidRPr="007D7498">
        <w:rPr>
          <w:rFonts w:ascii="Times New Roman" w:hAnsi="Times New Roman"/>
          <w:sz w:val="24"/>
        </w:rPr>
        <w:fldChar w:fldCharType="end"/>
      </w:r>
      <w:bookmarkEnd w:id="17"/>
      <w:r w:rsidRPr="007D7498">
        <w:rPr>
          <w:rFonts w:ascii="Times New Roman" w:hAnsi="Times New Roman"/>
          <w:sz w:val="24"/>
        </w:rPr>
        <w:t>. Unit Burden for Start-Up and Annual Ongoing Conditions</w:t>
      </w:r>
    </w:p>
    <w:tbl>
      <w:tblPr>
        <w:tblW w:w="4748" w:type="pct"/>
        <w:tblLayout w:type="fixed"/>
        <w:tblLook w:val="04A0" w:firstRow="1" w:lastRow="0" w:firstColumn="1" w:lastColumn="0" w:noHBand="0" w:noVBand="1"/>
      </w:tblPr>
      <w:tblGrid>
        <w:gridCol w:w="7489"/>
        <w:gridCol w:w="1263"/>
        <w:gridCol w:w="994"/>
        <w:gridCol w:w="1260"/>
        <w:gridCol w:w="1349"/>
        <w:gridCol w:w="1524"/>
      </w:tblGrid>
      <w:tr w:rsidR="00505245" w:rsidRPr="00D25007" w14:paraId="2FF73B55" w14:textId="77777777" w:rsidTr="00505245">
        <w:trPr>
          <w:cantSplit/>
          <w:trHeight w:val="1008"/>
          <w:tblHeader/>
        </w:trPr>
        <w:tc>
          <w:tcPr>
            <w:tcW w:w="2698" w:type="pct"/>
            <w:tcBorders>
              <w:top w:val="single" w:sz="12" w:space="0" w:color="auto"/>
              <w:left w:val="single" w:sz="12" w:space="0" w:color="auto"/>
              <w:bottom w:val="single" w:sz="4" w:space="0" w:color="auto"/>
              <w:right w:val="single" w:sz="4" w:space="0" w:color="auto"/>
            </w:tcBorders>
            <w:shd w:val="clear" w:color="auto" w:fill="BFBFBF"/>
            <w:noWrap/>
            <w:vAlign w:val="bottom"/>
            <w:hideMark/>
          </w:tcPr>
          <w:p w14:paraId="05A77606"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Activity</w:t>
            </w:r>
          </w:p>
        </w:tc>
        <w:tc>
          <w:tcPr>
            <w:tcW w:w="455" w:type="pct"/>
            <w:tcBorders>
              <w:top w:val="single" w:sz="12" w:space="0" w:color="auto"/>
              <w:left w:val="nil"/>
              <w:bottom w:val="single" w:sz="4" w:space="0" w:color="auto"/>
              <w:right w:val="single" w:sz="4" w:space="0" w:color="auto"/>
            </w:tcBorders>
            <w:shd w:val="clear" w:color="auto" w:fill="BFBFBF"/>
            <w:vAlign w:val="bottom"/>
            <w:hideMark/>
          </w:tcPr>
          <w:p w14:paraId="04677D6E"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Unit of Analysis</w:t>
            </w:r>
          </w:p>
        </w:tc>
        <w:tc>
          <w:tcPr>
            <w:tcW w:w="358" w:type="pct"/>
            <w:tcBorders>
              <w:top w:val="single" w:sz="12" w:space="0" w:color="auto"/>
              <w:left w:val="nil"/>
              <w:bottom w:val="single" w:sz="4" w:space="0" w:color="auto"/>
              <w:right w:val="single" w:sz="4" w:space="0" w:color="auto"/>
            </w:tcBorders>
            <w:shd w:val="clear" w:color="auto" w:fill="BFBFBF"/>
            <w:vAlign w:val="bottom"/>
            <w:hideMark/>
          </w:tcPr>
          <w:p w14:paraId="11438FC0"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Clerical Burden (hours)</w:t>
            </w:r>
            <w:r w:rsidRPr="005C0801">
              <w:rPr>
                <w:rFonts w:ascii="Times New Roman" w:hAnsi="Times New Roman" w:cs="Times New Roman"/>
                <w:b/>
                <w:bCs/>
                <w:color w:val="000000"/>
                <w:sz w:val="20"/>
                <w:szCs w:val="20"/>
              </w:rPr>
              <w:br/>
              <w:t>(a)</w:t>
            </w:r>
          </w:p>
        </w:tc>
        <w:tc>
          <w:tcPr>
            <w:tcW w:w="454" w:type="pct"/>
            <w:tcBorders>
              <w:top w:val="single" w:sz="12" w:space="0" w:color="auto"/>
              <w:left w:val="nil"/>
              <w:bottom w:val="single" w:sz="4" w:space="0" w:color="auto"/>
              <w:right w:val="single" w:sz="4" w:space="0" w:color="auto"/>
            </w:tcBorders>
            <w:shd w:val="clear" w:color="auto" w:fill="BFBFBF"/>
            <w:vAlign w:val="bottom"/>
            <w:hideMark/>
          </w:tcPr>
          <w:p w14:paraId="67EE615C"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Technical Burden (hours)</w:t>
            </w:r>
            <w:r w:rsidRPr="005C0801">
              <w:rPr>
                <w:rFonts w:ascii="Times New Roman" w:hAnsi="Times New Roman" w:cs="Times New Roman"/>
                <w:b/>
                <w:bCs/>
                <w:color w:val="000000"/>
                <w:sz w:val="20"/>
                <w:szCs w:val="20"/>
              </w:rPr>
              <w:br/>
              <w:t>(b)</w:t>
            </w:r>
          </w:p>
        </w:tc>
        <w:tc>
          <w:tcPr>
            <w:tcW w:w="486" w:type="pct"/>
            <w:tcBorders>
              <w:top w:val="single" w:sz="12" w:space="0" w:color="auto"/>
              <w:left w:val="nil"/>
              <w:bottom w:val="single" w:sz="4" w:space="0" w:color="auto"/>
              <w:right w:val="single" w:sz="4" w:space="0" w:color="auto"/>
            </w:tcBorders>
            <w:shd w:val="clear" w:color="auto" w:fill="BFBFBF"/>
            <w:vAlign w:val="bottom"/>
            <w:hideMark/>
          </w:tcPr>
          <w:p w14:paraId="3F19F17F"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Managerial Burden (hours)</w:t>
            </w:r>
            <w:r w:rsidRPr="005C0801">
              <w:rPr>
                <w:rFonts w:ascii="Times New Roman" w:hAnsi="Times New Roman" w:cs="Times New Roman"/>
                <w:b/>
                <w:bCs/>
                <w:color w:val="000000"/>
                <w:sz w:val="20"/>
                <w:szCs w:val="20"/>
              </w:rPr>
              <w:br/>
              <w:t>(c)</w:t>
            </w:r>
          </w:p>
        </w:tc>
        <w:tc>
          <w:tcPr>
            <w:tcW w:w="549" w:type="pct"/>
            <w:tcBorders>
              <w:top w:val="single" w:sz="12" w:space="0" w:color="auto"/>
              <w:left w:val="nil"/>
              <w:bottom w:val="single" w:sz="4" w:space="0" w:color="auto"/>
              <w:right w:val="single" w:sz="12" w:space="0" w:color="auto"/>
            </w:tcBorders>
            <w:shd w:val="clear" w:color="auto" w:fill="BFBFBF"/>
            <w:vAlign w:val="bottom"/>
            <w:hideMark/>
          </w:tcPr>
          <w:p w14:paraId="61525E44"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Total Burden (hours)</w:t>
            </w:r>
            <w:r w:rsidRPr="005C0801">
              <w:rPr>
                <w:rFonts w:ascii="Times New Roman" w:hAnsi="Times New Roman" w:cs="Times New Roman"/>
                <w:b/>
                <w:bCs/>
                <w:color w:val="000000"/>
                <w:sz w:val="20"/>
                <w:szCs w:val="20"/>
              </w:rPr>
              <w:br/>
              <w:t xml:space="preserve">(d) = </w:t>
            </w:r>
            <w:r w:rsidRPr="005C0801">
              <w:rPr>
                <w:rFonts w:ascii="Times New Roman" w:hAnsi="Times New Roman" w:cs="Times New Roman"/>
                <w:b/>
                <w:bCs/>
                <w:color w:val="000000"/>
                <w:sz w:val="20"/>
                <w:szCs w:val="20"/>
              </w:rPr>
              <w:br/>
              <w:t>(a) + (b) + (c)</w:t>
            </w:r>
          </w:p>
        </w:tc>
      </w:tr>
      <w:tr w:rsidR="00505245" w:rsidRPr="00D25007" w14:paraId="528352BC"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tcPr>
          <w:p w14:paraId="3AAC038C" w14:textId="77777777" w:rsidR="00505245" w:rsidRPr="005C0801" w:rsidRDefault="00505245" w:rsidP="00505245">
            <w:pPr>
              <w:rPr>
                <w:rFonts w:ascii="Times New Roman" w:hAnsi="Times New Roman" w:cs="Times New Roman"/>
                <w:i/>
                <w:color w:val="000000"/>
                <w:sz w:val="20"/>
                <w:szCs w:val="20"/>
              </w:rPr>
            </w:pPr>
            <w:r w:rsidRPr="005C0801">
              <w:rPr>
                <w:rFonts w:ascii="Times New Roman" w:hAnsi="Times New Roman" w:cs="Times New Roman"/>
                <w:i/>
                <w:color w:val="000000"/>
                <w:sz w:val="20"/>
                <w:szCs w:val="20"/>
              </w:rPr>
              <w:t xml:space="preserve">CDX REGISTRATION </w:t>
            </w:r>
            <w:r w:rsidRPr="005C0801">
              <w:rPr>
                <w:rFonts w:ascii="Times New Roman" w:hAnsi="Times New Roman" w:cs="Times New Roman"/>
                <w:color w:val="000000"/>
                <w:sz w:val="20"/>
                <w:szCs w:val="20"/>
                <w:vertAlign w:val="superscript"/>
              </w:rPr>
              <w:t>1</w:t>
            </w:r>
          </w:p>
        </w:tc>
        <w:tc>
          <w:tcPr>
            <w:tcW w:w="455" w:type="pct"/>
            <w:tcBorders>
              <w:top w:val="nil"/>
              <w:left w:val="nil"/>
              <w:bottom w:val="single" w:sz="4" w:space="0" w:color="auto"/>
              <w:right w:val="single" w:sz="4" w:space="0" w:color="auto"/>
            </w:tcBorders>
            <w:vAlign w:val="bottom"/>
          </w:tcPr>
          <w:p w14:paraId="7410D943"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Registration</w:t>
            </w:r>
          </w:p>
        </w:tc>
        <w:tc>
          <w:tcPr>
            <w:tcW w:w="358" w:type="pct"/>
            <w:tcBorders>
              <w:top w:val="nil"/>
              <w:left w:val="nil"/>
              <w:bottom w:val="single" w:sz="4" w:space="0" w:color="auto"/>
              <w:right w:val="single" w:sz="4" w:space="0" w:color="auto"/>
            </w:tcBorders>
            <w:noWrap/>
            <w:vAlign w:val="bottom"/>
          </w:tcPr>
          <w:p w14:paraId="456BE38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tcPr>
          <w:p w14:paraId="5704025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0.180</w:t>
            </w:r>
          </w:p>
        </w:tc>
        <w:tc>
          <w:tcPr>
            <w:tcW w:w="486" w:type="pct"/>
            <w:tcBorders>
              <w:top w:val="nil"/>
              <w:left w:val="nil"/>
              <w:bottom w:val="single" w:sz="4" w:space="0" w:color="auto"/>
              <w:right w:val="single" w:sz="4" w:space="0" w:color="auto"/>
            </w:tcBorders>
            <w:noWrap/>
            <w:vAlign w:val="bottom"/>
          </w:tcPr>
          <w:p w14:paraId="4FD99C37"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bottom"/>
          </w:tcPr>
          <w:p w14:paraId="6A4ACC0F"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0.180</w:t>
            </w:r>
          </w:p>
        </w:tc>
      </w:tr>
      <w:tr w:rsidR="00505245" w:rsidRPr="00D25007" w14:paraId="59822975"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tcPr>
          <w:p w14:paraId="1309D6BC" w14:textId="77777777" w:rsidR="00505245" w:rsidRPr="005C0801" w:rsidRDefault="00505245" w:rsidP="00505245">
            <w:pPr>
              <w:rPr>
                <w:rFonts w:ascii="Times New Roman" w:hAnsi="Times New Roman" w:cs="Times New Roman"/>
                <w:i/>
                <w:color w:val="000000"/>
                <w:sz w:val="20"/>
                <w:szCs w:val="20"/>
              </w:rPr>
            </w:pPr>
            <w:r w:rsidRPr="005C0801">
              <w:rPr>
                <w:rFonts w:ascii="Times New Roman" w:hAnsi="Times New Roman" w:cs="Times New Roman"/>
                <w:i/>
                <w:color w:val="000000"/>
                <w:sz w:val="20"/>
                <w:szCs w:val="20"/>
              </w:rPr>
              <w:t>CDX e-SIGNATURE</w:t>
            </w:r>
            <w:r w:rsidRPr="005C0801">
              <w:rPr>
                <w:rFonts w:ascii="Times New Roman" w:hAnsi="Times New Roman" w:cs="Times New Roman"/>
                <w:color w:val="000000"/>
                <w:sz w:val="20"/>
                <w:szCs w:val="20"/>
              </w:rPr>
              <w:t xml:space="preserve"> </w:t>
            </w:r>
            <w:r w:rsidRPr="005C0801">
              <w:rPr>
                <w:rFonts w:ascii="Times New Roman" w:hAnsi="Times New Roman" w:cs="Times New Roman"/>
                <w:color w:val="000000"/>
                <w:sz w:val="20"/>
                <w:szCs w:val="20"/>
                <w:vertAlign w:val="superscript"/>
              </w:rPr>
              <w:t>1</w:t>
            </w:r>
          </w:p>
        </w:tc>
        <w:tc>
          <w:tcPr>
            <w:tcW w:w="455" w:type="pct"/>
            <w:tcBorders>
              <w:top w:val="nil"/>
              <w:left w:val="nil"/>
              <w:bottom w:val="single" w:sz="4" w:space="0" w:color="auto"/>
              <w:right w:val="single" w:sz="4" w:space="0" w:color="auto"/>
            </w:tcBorders>
            <w:vAlign w:val="bottom"/>
          </w:tcPr>
          <w:p w14:paraId="7B7F9501"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Registration</w:t>
            </w:r>
          </w:p>
        </w:tc>
        <w:tc>
          <w:tcPr>
            <w:tcW w:w="358" w:type="pct"/>
            <w:tcBorders>
              <w:top w:val="nil"/>
              <w:left w:val="nil"/>
              <w:bottom w:val="single" w:sz="4" w:space="0" w:color="auto"/>
              <w:right w:val="single" w:sz="4" w:space="0" w:color="auto"/>
            </w:tcBorders>
            <w:noWrap/>
            <w:vAlign w:val="bottom"/>
          </w:tcPr>
          <w:p w14:paraId="688435BB"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tcPr>
          <w:p w14:paraId="330E3634"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0.350</w:t>
            </w:r>
          </w:p>
        </w:tc>
        <w:tc>
          <w:tcPr>
            <w:tcW w:w="486" w:type="pct"/>
            <w:tcBorders>
              <w:top w:val="nil"/>
              <w:left w:val="nil"/>
              <w:bottom w:val="single" w:sz="4" w:space="0" w:color="auto"/>
              <w:right w:val="single" w:sz="4" w:space="0" w:color="auto"/>
            </w:tcBorders>
            <w:noWrap/>
            <w:vAlign w:val="bottom"/>
          </w:tcPr>
          <w:p w14:paraId="4342389D"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bottom"/>
          </w:tcPr>
          <w:p w14:paraId="5E82C31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0.350</w:t>
            </w:r>
          </w:p>
        </w:tc>
      </w:tr>
      <w:tr w:rsidR="00505245" w:rsidRPr="00D25007" w14:paraId="730AD7E5"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hideMark/>
          </w:tcPr>
          <w:p w14:paraId="717D55E0" w14:textId="77777777" w:rsidR="00505245" w:rsidRPr="005C0801" w:rsidRDefault="00505245" w:rsidP="00505245">
            <w:pPr>
              <w:rPr>
                <w:rFonts w:ascii="Times New Roman" w:hAnsi="Times New Roman" w:cs="Times New Roman"/>
                <w:i/>
                <w:color w:val="000000"/>
                <w:sz w:val="20"/>
                <w:szCs w:val="20"/>
              </w:rPr>
            </w:pPr>
            <w:r w:rsidRPr="005C0801">
              <w:rPr>
                <w:rFonts w:ascii="Times New Roman" w:hAnsi="Times New Roman" w:cs="Times New Roman"/>
                <w:i/>
                <w:color w:val="000000"/>
                <w:sz w:val="20"/>
                <w:szCs w:val="20"/>
              </w:rPr>
              <w:t>RULE FAMILIARIZATION</w:t>
            </w:r>
          </w:p>
        </w:tc>
        <w:tc>
          <w:tcPr>
            <w:tcW w:w="455" w:type="pct"/>
            <w:tcBorders>
              <w:top w:val="nil"/>
              <w:left w:val="nil"/>
              <w:bottom w:val="single" w:sz="4" w:space="0" w:color="auto"/>
              <w:right w:val="single" w:sz="4" w:space="0" w:color="auto"/>
            </w:tcBorders>
            <w:vAlign w:val="bottom"/>
            <w:hideMark/>
          </w:tcPr>
          <w:p w14:paraId="7054738C"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nil"/>
              <w:left w:val="nil"/>
              <w:bottom w:val="single" w:sz="4" w:space="0" w:color="auto"/>
              <w:right w:val="single" w:sz="4" w:space="0" w:color="auto"/>
            </w:tcBorders>
            <w:noWrap/>
            <w:vAlign w:val="bottom"/>
            <w:hideMark/>
          </w:tcPr>
          <w:p w14:paraId="72E1C7C1"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hideMark/>
          </w:tcPr>
          <w:p w14:paraId="5AB927BB"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2.000</w:t>
            </w:r>
          </w:p>
        </w:tc>
        <w:tc>
          <w:tcPr>
            <w:tcW w:w="486" w:type="pct"/>
            <w:tcBorders>
              <w:top w:val="nil"/>
              <w:left w:val="nil"/>
              <w:bottom w:val="single" w:sz="4" w:space="0" w:color="auto"/>
              <w:right w:val="single" w:sz="4" w:space="0" w:color="auto"/>
            </w:tcBorders>
            <w:noWrap/>
            <w:vAlign w:val="bottom"/>
            <w:hideMark/>
          </w:tcPr>
          <w:p w14:paraId="0C360B1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2.000</w:t>
            </w:r>
          </w:p>
        </w:tc>
        <w:tc>
          <w:tcPr>
            <w:tcW w:w="549" w:type="pct"/>
            <w:tcBorders>
              <w:top w:val="nil"/>
              <w:left w:val="nil"/>
              <w:bottom w:val="single" w:sz="4" w:space="0" w:color="auto"/>
              <w:right w:val="single" w:sz="12" w:space="0" w:color="auto"/>
            </w:tcBorders>
            <w:noWrap/>
            <w:vAlign w:val="bottom"/>
            <w:hideMark/>
          </w:tcPr>
          <w:p w14:paraId="10539F1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4.000</w:t>
            </w:r>
          </w:p>
        </w:tc>
      </w:tr>
      <w:tr w:rsidR="00505245" w:rsidRPr="00D25007" w14:paraId="5FDC8781"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hideMark/>
          </w:tcPr>
          <w:p w14:paraId="02096248"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(Without Review of “Active Status” List)</w:t>
            </w:r>
          </w:p>
        </w:tc>
        <w:tc>
          <w:tcPr>
            <w:tcW w:w="455" w:type="pct"/>
            <w:tcBorders>
              <w:top w:val="single" w:sz="4" w:space="0" w:color="auto"/>
              <w:left w:val="nil"/>
              <w:bottom w:val="single" w:sz="4" w:space="0" w:color="auto"/>
              <w:right w:val="single" w:sz="4" w:space="0" w:color="auto"/>
            </w:tcBorders>
            <w:vAlign w:val="bottom"/>
            <w:hideMark/>
          </w:tcPr>
          <w:p w14:paraId="3D0C21D3"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nil"/>
              <w:left w:val="single" w:sz="4" w:space="0" w:color="auto"/>
              <w:bottom w:val="single" w:sz="4" w:space="0" w:color="auto"/>
              <w:right w:val="single" w:sz="4" w:space="0" w:color="auto"/>
            </w:tcBorders>
            <w:noWrap/>
            <w:vAlign w:val="bottom"/>
            <w:hideMark/>
          </w:tcPr>
          <w:p w14:paraId="157A61F1"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hideMark/>
          </w:tcPr>
          <w:p w14:paraId="130C0D35"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486" w:type="pct"/>
            <w:tcBorders>
              <w:top w:val="nil"/>
              <w:left w:val="nil"/>
              <w:bottom w:val="single" w:sz="4" w:space="0" w:color="auto"/>
              <w:right w:val="single" w:sz="4" w:space="0" w:color="auto"/>
            </w:tcBorders>
            <w:noWrap/>
            <w:vAlign w:val="bottom"/>
            <w:hideMark/>
          </w:tcPr>
          <w:p w14:paraId="506355A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bottom"/>
            <w:hideMark/>
          </w:tcPr>
          <w:p w14:paraId="0DD92E9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00505245" w:rsidRPr="00D25007" w14:paraId="43D8DDA4"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hideMark/>
          </w:tcPr>
          <w:p w14:paraId="2A47525B"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(Review of “Active Status” List Only)</w:t>
            </w:r>
          </w:p>
        </w:tc>
        <w:tc>
          <w:tcPr>
            <w:tcW w:w="455" w:type="pct"/>
            <w:tcBorders>
              <w:top w:val="nil"/>
              <w:left w:val="nil"/>
              <w:bottom w:val="single" w:sz="4" w:space="0" w:color="auto"/>
              <w:right w:val="single" w:sz="4" w:space="0" w:color="auto"/>
            </w:tcBorders>
            <w:vAlign w:val="bottom"/>
            <w:hideMark/>
          </w:tcPr>
          <w:p w14:paraId="0D2F3585"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bottom"/>
            <w:hideMark/>
          </w:tcPr>
          <w:p w14:paraId="6724D53A"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hideMark/>
          </w:tcPr>
          <w:p w14:paraId="0B150ED4"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86" w:type="pct"/>
            <w:tcBorders>
              <w:top w:val="nil"/>
              <w:left w:val="nil"/>
              <w:bottom w:val="single" w:sz="4" w:space="0" w:color="auto"/>
              <w:right w:val="single" w:sz="4" w:space="0" w:color="auto"/>
            </w:tcBorders>
            <w:noWrap/>
            <w:vAlign w:val="bottom"/>
            <w:hideMark/>
          </w:tcPr>
          <w:p w14:paraId="41E69F0D"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bottom"/>
            <w:hideMark/>
          </w:tcPr>
          <w:p w14:paraId="47708CDD"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00505245" w:rsidRPr="00D25007" w14:paraId="487D421D" w14:textId="77777777" w:rsidTr="00505245">
        <w:trPr>
          <w:trHeight w:val="178"/>
        </w:trPr>
        <w:tc>
          <w:tcPr>
            <w:tcW w:w="5000" w:type="pct"/>
            <w:gridSpan w:val="6"/>
            <w:tcBorders>
              <w:top w:val="single" w:sz="8" w:space="0" w:color="auto"/>
              <w:left w:val="single" w:sz="12" w:space="0" w:color="auto"/>
              <w:bottom w:val="single" w:sz="8" w:space="0" w:color="auto"/>
              <w:right w:val="single" w:sz="12" w:space="0" w:color="auto"/>
            </w:tcBorders>
            <w:shd w:val="pct10" w:color="auto" w:fill="auto"/>
            <w:vAlign w:val="bottom"/>
          </w:tcPr>
          <w:p w14:paraId="71BBB0DF" w14:textId="77777777" w:rsidR="00505245" w:rsidRPr="005C0801" w:rsidRDefault="00505245" w:rsidP="00505245">
            <w:pPr>
              <w:rPr>
                <w:rFonts w:ascii="Times New Roman" w:hAnsi="Times New Roman" w:cs="Times New Roman"/>
                <w:b/>
                <w:bCs/>
                <w:i/>
                <w:iCs/>
                <w:color w:val="FFFFFF" w:themeColor="background1" w:themeTint="33"/>
                <w:sz w:val="20"/>
                <w:szCs w:val="20"/>
              </w:rPr>
            </w:pPr>
          </w:p>
        </w:tc>
      </w:tr>
      <w:tr w:rsidR="00505245" w:rsidRPr="00D25007" w14:paraId="1F7D34B0" w14:textId="77777777" w:rsidTr="00505245">
        <w:trPr>
          <w:trHeight w:val="288"/>
        </w:trPr>
        <w:tc>
          <w:tcPr>
            <w:tcW w:w="5000" w:type="pct"/>
            <w:gridSpan w:val="6"/>
            <w:tcBorders>
              <w:top w:val="single" w:sz="8" w:space="0" w:color="auto"/>
              <w:left w:val="single" w:sz="12" w:space="0" w:color="auto"/>
              <w:bottom w:val="single" w:sz="4" w:space="0" w:color="auto"/>
              <w:right w:val="single" w:sz="12" w:space="0" w:color="auto"/>
            </w:tcBorders>
            <w:shd w:val="clear" w:color="auto" w:fill="auto"/>
            <w:vAlign w:val="bottom"/>
            <w:hideMark/>
          </w:tcPr>
          <w:p w14:paraId="085E29FB" w14:textId="77777777" w:rsidR="00505245" w:rsidRPr="005C0801" w:rsidRDefault="00505245" w:rsidP="00505245">
            <w:pPr>
              <w:rPr>
                <w:rFonts w:ascii="Times New Roman" w:hAnsi="Times New Roman" w:cs="Times New Roman"/>
                <w:b/>
                <w:bCs/>
                <w:i/>
                <w:iCs/>
                <w:color w:val="000000"/>
                <w:sz w:val="20"/>
                <w:szCs w:val="20"/>
              </w:rPr>
            </w:pPr>
            <w:r w:rsidRPr="005C0801">
              <w:rPr>
                <w:rFonts w:ascii="Times New Roman" w:hAnsi="Times New Roman" w:cs="Times New Roman"/>
                <w:b/>
                <w:bCs/>
                <w:i/>
                <w:iCs/>
                <w:sz w:val="20"/>
                <w:szCs w:val="20"/>
              </w:rPr>
              <w:t>FORM COMPLETION FOR NOMINAL SINGLE-CHEMICAL SUBMISSION </w:t>
            </w:r>
          </w:p>
        </w:tc>
      </w:tr>
      <w:tr w:rsidR="00505245" w:rsidRPr="00D25007" w14:paraId="2878F345" w14:textId="77777777" w:rsidTr="00505245">
        <w:trPr>
          <w:cantSplit/>
          <w:trHeight w:val="600"/>
        </w:trPr>
        <w:tc>
          <w:tcPr>
            <w:tcW w:w="2698" w:type="pct"/>
            <w:tcBorders>
              <w:top w:val="single" w:sz="4" w:space="0" w:color="auto"/>
              <w:left w:val="single" w:sz="12" w:space="0" w:color="auto"/>
              <w:bottom w:val="single" w:sz="4" w:space="0" w:color="auto"/>
              <w:right w:val="single" w:sz="4" w:space="0" w:color="auto"/>
            </w:tcBorders>
            <w:shd w:val="pct10" w:color="auto" w:fill="auto"/>
            <w:vAlign w:val="bottom"/>
            <w:hideMark/>
          </w:tcPr>
          <w:p w14:paraId="215B07C0"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 Submitter Authorized Official Name, Company Name, and Mailing Address and Technical Contact Name and Telephone Number</w:t>
            </w:r>
          </w:p>
        </w:tc>
        <w:tc>
          <w:tcPr>
            <w:tcW w:w="455" w:type="pct"/>
            <w:tcBorders>
              <w:top w:val="single" w:sz="4" w:space="0" w:color="auto"/>
              <w:left w:val="nil"/>
              <w:bottom w:val="single" w:sz="4" w:space="0" w:color="auto"/>
              <w:right w:val="single" w:sz="4" w:space="0" w:color="auto"/>
            </w:tcBorders>
            <w:shd w:val="pct10" w:color="auto" w:fill="auto"/>
            <w:vAlign w:val="bottom"/>
            <w:hideMark/>
          </w:tcPr>
          <w:p w14:paraId="3C4512FD"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single" w:sz="4" w:space="0" w:color="auto"/>
              <w:left w:val="nil"/>
              <w:bottom w:val="single" w:sz="4" w:space="0" w:color="auto"/>
              <w:right w:val="single" w:sz="4" w:space="0" w:color="auto"/>
            </w:tcBorders>
            <w:shd w:val="pct10" w:color="auto" w:fill="auto"/>
            <w:noWrap/>
            <w:vAlign w:val="bottom"/>
            <w:hideMark/>
          </w:tcPr>
          <w:p w14:paraId="40F63D44"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single" w:sz="4" w:space="0" w:color="auto"/>
              <w:left w:val="nil"/>
              <w:bottom w:val="single" w:sz="4" w:space="0" w:color="auto"/>
              <w:right w:val="single" w:sz="4" w:space="0" w:color="auto"/>
            </w:tcBorders>
            <w:shd w:val="pct10" w:color="auto" w:fill="auto"/>
            <w:noWrap/>
            <w:vAlign w:val="bottom"/>
            <w:hideMark/>
          </w:tcPr>
          <w:p w14:paraId="41992CE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0.010</w:t>
            </w:r>
          </w:p>
        </w:tc>
        <w:tc>
          <w:tcPr>
            <w:tcW w:w="486" w:type="pct"/>
            <w:tcBorders>
              <w:top w:val="single" w:sz="4" w:space="0" w:color="auto"/>
              <w:left w:val="nil"/>
              <w:bottom w:val="single" w:sz="4" w:space="0" w:color="auto"/>
              <w:right w:val="single" w:sz="4" w:space="0" w:color="auto"/>
            </w:tcBorders>
            <w:shd w:val="pct10" w:color="auto" w:fill="auto"/>
            <w:noWrap/>
            <w:vAlign w:val="bottom"/>
            <w:hideMark/>
          </w:tcPr>
          <w:p w14:paraId="2C5B58AE"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0.004</w:t>
            </w:r>
          </w:p>
        </w:tc>
        <w:tc>
          <w:tcPr>
            <w:tcW w:w="549" w:type="pct"/>
            <w:tcBorders>
              <w:top w:val="single" w:sz="4" w:space="0" w:color="auto"/>
              <w:left w:val="nil"/>
              <w:bottom w:val="single" w:sz="4" w:space="0" w:color="auto"/>
              <w:right w:val="single" w:sz="12" w:space="0" w:color="auto"/>
            </w:tcBorders>
            <w:shd w:val="pct10" w:color="auto" w:fill="auto"/>
            <w:noWrap/>
            <w:vAlign w:val="bottom"/>
            <w:hideMark/>
          </w:tcPr>
          <w:p w14:paraId="4765D3BE"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0.014</w:t>
            </w:r>
          </w:p>
        </w:tc>
      </w:tr>
      <w:tr w:rsidR="00505245" w:rsidRPr="00D25007" w14:paraId="071A2E0C" w14:textId="77777777" w:rsidTr="00505245">
        <w:trPr>
          <w:cantSplit/>
          <w:trHeight w:val="300"/>
        </w:trPr>
        <w:tc>
          <w:tcPr>
            <w:tcW w:w="2698" w:type="pct"/>
            <w:tcBorders>
              <w:top w:val="single" w:sz="4" w:space="0" w:color="auto"/>
              <w:left w:val="single" w:sz="12" w:space="0" w:color="auto"/>
              <w:bottom w:val="single" w:sz="4" w:space="0" w:color="auto"/>
              <w:right w:val="single" w:sz="4" w:space="0" w:color="auto"/>
            </w:tcBorders>
            <w:shd w:val="pct10" w:color="auto" w:fill="auto"/>
            <w:vAlign w:val="bottom"/>
            <w:hideMark/>
          </w:tcPr>
          <w:p w14:paraId="43197056"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(2) Technical Contact Name and Telephone Number</w:t>
            </w:r>
          </w:p>
        </w:tc>
        <w:tc>
          <w:tcPr>
            <w:tcW w:w="455" w:type="pct"/>
            <w:tcBorders>
              <w:top w:val="single" w:sz="4" w:space="0" w:color="auto"/>
              <w:left w:val="nil"/>
              <w:bottom w:val="single" w:sz="4" w:space="0" w:color="auto"/>
              <w:right w:val="single" w:sz="4" w:space="0" w:color="auto"/>
            </w:tcBorders>
            <w:shd w:val="pct10" w:color="auto" w:fill="auto"/>
            <w:vAlign w:val="bottom"/>
            <w:hideMark/>
          </w:tcPr>
          <w:p w14:paraId="41F77E04"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single" w:sz="4" w:space="0" w:color="auto"/>
              <w:left w:val="single" w:sz="4" w:space="0" w:color="auto"/>
              <w:bottom w:val="single" w:sz="4" w:space="0" w:color="auto"/>
              <w:right w:val="single" w:sz="4" w:space="0" w:color="auto"/>
            </w:tcBorders>
            <w:shd w:val="pct10" w:color="auto" w:fill="auto"/>
            <w:noWrap/>
            <w:vAlign w:val="bottom"/>
            <w:hideMark/>
          </w:tcPr>
          <w:p w14:paraId="4EAA331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single" w:sz="4" w:space="0" w:color="auto"/>
              <w:left w:val="nil"/>
              <w:bottom w:val="single" w:sz="4" w:space="0" w:color="auto"/>
              <w:right w:val="single" w:sz="4" w:space="0" w:color="auto"/>
            </w:tcBorders>
            <w:shd w:val="pct10" w:color="auto" w:fill="auto"/>
            <w:noWrap/>
            <w:vAlign w:val="bottom"/>
            <w:hideMark/>
          </w:tcPr>
          <w:p w14:paraId="72762EA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single" w:sz="4" w:space="0" w:color="auto"/>
              <w:left w:val="nil"/>
              <w:bottom w:val="single" w:sz="4" w:space="0" w:color="auto"/>
              <w:right w:val="single" w:sz="4" w:space="0" w:color="auto"/>
            </w:tcBorders>
            <w:shd w:val="pct10" w:color="auto" w:fill="auto"/>
            <w:noWrap/>
            <w:vAlign w:val="bottom"/>
            <w:hideMark/>
          </w:tcPr>
          <w:p w14:paraId="3AE892D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single" w:sz="4" w:space="0" w:color="auto"/>
              <w:left w:val="nil"/>
              <w:bottom w:val="single" w:sz="4" w:space="0" w:color="auto"/>
              <w:right w:val="single" w:sz="12" w:space="0" w:color="auto"/>
            </w:tcBorders>
            <w:shd w:val="pct10" w:color="auto" w:fill="auto"/>
            <w:noWrap/>
            <w:vAlign w:val="bottom"/>
            <w:hideMark/>
          </w:tcPr>
          <w:p w14:paraId="0755F164"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(1) above</w:t>
            </w:r>
          </w:p>
        </w:tc>
      </w:tr>
      <w:tr w:rsidR="00505245" w:rsidRPr="00D25007" w14:paraId="29CAAA74" w14:textId="77777777" w:rsidTr="00505245">
        <w:trPr>
          <w:cantSplit/>
          <w:trHeight w:val="300"/>
        </w:trPr>
        <w:tc>
          <w:tcPr>
            <w:tcW w:w="2698" w:type="pct"/>
            <w:tcBorders>
              <w:top w:val="single" w:sz="4" w:space="0" w:color="auto"/>
              <w:left w:val="single" w:sz="12" w:space="0" w:color="auto"/>
              <w:bottom w:val="single" w:sz="4" w:space="0" w:color="auto"/>
              <w:right w:val="single" w:sz="4" w:space="0" w:color="auto"/>
            </w:tcBorders>
            <w:shd w:val="pct10" w:color="auto" w:fill="auto"/>
            <w:vAlign w:val="bottom"/>
            <w:hideMark/>
          </w:tcPr>
          <w:p w14:paraId="126535FD"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(3) NOA Certification</w:t>
            </w:r>
          </w:p>
        </w:tc>
        <w:tc>
          <w:tcPr>
            <w:tcW w:w="455" w:type="pct"/>
            <w:tcBorders>
              <w:top w:val="single" w:sz="4" w:space="0" w:color="auto"/>
              <w:left w:val="nil"/>
              <w:bottom w:val="single" w:sz="4" w:space="0" w:color="auto"/>
              <w:right w:val="single" w:sz="4" w:space="0" w:color="auto"/>
            </w:tcBorders>
            <w:shd w:val="pct10" w:color="auto" w:fill="auto"/>
            <w:vAlign w:val="bottom"/>
            <w:hideMark/>
          </w:tcPr>
          <w:p w14:paraId="4FD4E428"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58" w:type="pct"/>
            <w:tcBorders>
              <w:top w:val="single" w:sz="4" w:space="0" w:color="auto"/>
              <w:left w:val="single" w:sz="4" w:space="0" w:color="auto"/>
              <w:bottom w:val="single" w:sz="4" w:space="0" w:color="auto"/>
              <w:right w:val="single" w:sz="4" w:space="0" w:color="auto"/>
            </w:tcBorders>
            <w:shd w:val="pct10" w:color="auto" w:fill="auto"/>
            <w:noWrap/>
            <w:vAlign w:val="bottom"/>
            <w:hideMark/>
          </w:tcPr>
          <w:p w14:paraId="3541A3AE"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single" w:sz="4" w:space="0" w:color="auto"/>
              <w:left w:val="nil"/>
              <w:bottom w:val="single" w:sz="4" w:space="0" w:color="auto"/>
              <w:right w:val="single" w:sz="4" w:space="0" w:color="auto"/>
            </w:tcBorders>
            <w:shd w:val="pct10" w:color="auto" w:fill="auto"/>
            <w:noWrap/>
            <w:vAlign w:val="bottom"/>
            <w:hideMark/>
          </w:tcPr>
          <w:p w14:paraId="3231193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86" w:type="pct"/>
            <w:tcBorders>
              <w:top w:val="single" w:sz="4" w:space="0" w:color="auto"/>
              <w:left w:val="nil"/>
              <w:bottom w:val="single" w:sz="4" w:space="0" w:color="auto"/>
              <w:right w:val="single" w:sz="4" w:space="0" w:color="auto"/>
            </w:tcBorders>
            <w:shd w:val="pct10" w:color="auto" w:fill="auto"/>
            <w:noWrap/>
            <w:vAlign w:val="bottom"/>
            <w:hideMark/>
          </w:tcPr>
          <w:p w14:paraId="20A00B2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549" w:type="pct"/>
            <w:tcBorders>
              <w:top w:val="single" w:sz="4" w:space="0" w:color="auto"/>
              <w:left w:val="nil"/>
              <w:bottom w:val="single" w:sz="4" w:space="0" w:color="auto"/>
              <w:right w:val="single" w:sz="12" w:space="0" w:color="auto"/>
            </w:tcBorders>
            <w:shd w:val="pct10" w:color="auto" w:fill="auto"/>
            <w:noWrap/>
            <w:vAlign w:val="bottom"/>
            <w:hideMark/>
          </w:tcPr>
          <w:p w14:paraId="36D879F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00505245" w:rsidRPr="00D25007" w14:paraId="16A60148" w14:textId="77777777" w:rsidTr="00505245">
        <w:trPr>
          <w:cantSplit/>
          <w:trHeight w:val="300"/>
        </w:trPr>
        <w:tc>
          <w:tcPr>
            <w:tcW w:w="2698" w:type="pct"/>
            <w:tcBorders>
              <w:top w:val="single" w:sz="4" w:space="0" w:color="auto"/>
              <w:left w:val="single" w:sz="12" w:space="0" w:color="auto"/>
              <w:bottom w:val="single" w:sz="4" w:space="0" w:color="auto"/>
              <w:right w:val="single" w:sz="4" w:space="0" w:color="auto"/>
            </w:tcBorders>
            <w:shd w:val="pct10" w:color="auto" w:fill="auto"/>
            <w:vAlign w:val="bottom"/>
            <w:hideMark/>
          </w:tcPr>
          <w:p w14:paraId="5EF9FBCE"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(4) Certifier E-mail</w:t>
            </w:r>
          </w:p>
        </w:tc>
        <w:tc>
          <w:tcPr>
            <w:tcW w:w="455" w:type="pct"/>
            <w:tcBorders>
              <w:top w:val="single" w:sz="4" w:space="0" w:color="auto"/>
              <w:left w:val="nil"/>
              <w:bottom w:val="single" w:sz="4" w:space="0" w:color="auto"/>
              <w:right w:val="single" w:sz="4" w:space="0" w:color="auto"/>
            </w:tcBorders>
            <w:shd w:val="pct10" w:color="auto" w:fill="auto"/>
            <w:vAlign w:val="bottom"/>
            <w:hideMark/>
          </w:tcPr>
          <w:p w14:paraId="373DFB9B"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58" w:type="pct"/>
            <w:tcBorders>
              <w:top w:val="single" w:sz="4" w:space="0" w:color="auto"/>
              <w:left w:val="single" w:sz="4" w:space="0" w:color="auto"/>
              <w:bottom w:val="single" w:sz="4" w:space="0" w:color="auto"/>
              <w:right w:val="single" w:sz="4" w:space="0" w:color="auto"/>
            </w:tcBorders>
            <w:shd w:val="pct10" w:color="auto" w:fill="auto"/>
            <w:noWrap/>
            <w:vAlign w:val="bottom"/>
            <w:hideMark/>
          </w:tcPr>
          <w:p w14:paraId="5FEA471E"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single" w:sz="4" w:space="0" w:color="auto"/>
              <w:left w:val="nil"/>
              <w:bottom w:val="single" w:sz="4" w:space="0" w:color="auto"/>
              <w:right w:val="single" w:sz="4" w:space="0" w:color="auto"/>
            </w:tcBorders>
            <w:shd w:val="pct10" w:color="auto" w:fill="auto"/>
            <w:noWrap/>
            <w:vAlign w:val="bottom"/>
            <w:hideMark/>
          </w:tcPr>
          <w:p w14:paraId="39B7339F"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86" w:type="pct"/>
            <w:tcBorders>
              <w:top w:val="single" w:sz="4" w:space="0" w:color="auto"/>
              <w:left w:val="nil"/>
              <w:bottom w:val="single" w:sz="4" w:space="0" w:color="auto"/>
              <w:right w:val="single" w:sz="4" w:space="0" w:color="auto"/>
            </w:tcBorders>
            <w:shd w:val="pct10" w:color="auto" w:fill="auto"/>
            <w:noWrap/>
            <w:vAlign w:val="bottom"/>
            <w:hideMark/>
          </w:tcPr>
          <w:p w14:paraId="44443FEA"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single" w:sz="4" w:space="0" w:color="auto"/>
              <w:left w:val="nil"/>
              <w:bottom w:val="single" w:sz="4" w:space="0" w:color="auto"/>
              <w:right w:val="single" w:sz="12" w:space="0" w:color="auto"/>
            </w:tcBorders>
            <w:shd w:val="pct10" w:color="auto" w:fill="auto"/>
            <w:noWrap/>
            <w:vAlign w:val="bottom"/>
            <w:hideMark/>
          </w:tcPr>
          <w:p w14:paraId="0954D618"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00505245" w:rsidRPr="00D25007" w14:paraId="36ACBE66"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hideMark/>
          </w:tcPr>
          <w:p w14:paraId="798BE139"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(5) Chemical Name </w:t>
            </w:r>
            <w:r w:rsidRPr="005C0801">
              <w:rPr>
                <w:rFonts w:ascii="Times New Roman" w:hAnsi="Times New Roman" w:cs="Times New Roman"/>
                <w:color w:val="000000"/>
                <w:sz w:val="20"/>
                <w:szCs w:val="20"/>
                <w:vertAlign w:val="superscript"/>
              </w:rPr>
              <w:t>2</w:t>
            </w:r>
          </w:p>
        </w:tc>
        <w:tc>
          <w:tcPr>
            <w:tcW w:w="455" w:type="pct"/>
            <w:tcBorders>
              <w:top w:val="nil"/>
              <w:left w:val="nil"/>
              <w:bottom w:val="single" w:sz="4" w:space="0" w:color="auto"/>
              <w:right w:val="single" w:sz="4" w:space="0" w:color="auto"/>
            </w:tcBorders>
            <w:vAlign w:val="bottom"/>
            <w:hideMark/>
          </w:tcPr>
          <w:p w14:paraId="064C3F26"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bottom"/>
            <w:hideMark/>
          </w:tcPr>
          <w:p w14:paraId="361F3699"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hideMark/>
          </w:tcPr>
          <w:p w14:paraId="667E6259"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86" w:type="pct"/>
            <w:tcBorders>
              <w:top w:val="nil"/>
              <w:left w:val="nil"/>
              <w:bottom w:val="single" w:sz="4" w:space="0" w:color="auto"/>
              <w:right w:val="single" w:sz="4" w:space="0" w:color="auto"/>
            </w:tcBorders>
            <w:noWrap/>
            <w:vAlign w:val="bottom"/>
            <w:hideMark/>
          </w:tcPr>
          <w:p w14:paraId="198FD73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bottom"/>
            <w:hideMark/>
          </w:tcPr>
          <w:p w14:paraId="3E3FF527"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00505245" w:rsidRPr="00D25007" w14:paraId="73ED90EB" w14:textId="77777777" w:rsidTr="00505245">
        <w:trPr>
          <w:cantSplit/>
          <w:trHeight w:val="287"/>
        </w:trPr>
        <w:tc>
          <w:tcPr>
            <w:tcW w:w="2698" w:type="pct"/>
            <w:tcBorders>
              <w:top w:val="nil"/>
              <w:left w:val="single" w:sz="12" w:space="0" w:color="auto"/>
              <w:bottom w:val="single" w:sz="4" w:space="0" w:color="auto"/>
              <w:right w:val="single" w:sz="4" w:space="0" w:color="auto"/>
            </w:tcBorders>
            <w:vAlign w:val="bottom"/>
            <w:hideMark/>
          </w:tcPr>
          <w:p w14:paraId="1C1111BE"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(6) Chemical Identi</w:t>
            </w:r>
            <w:r>
              <w:rPr>
                <w:rFonts w:ascii="Times New Roman" w:hAnsi="Times New Roman" w:cs="Times New Roman"/>
                <w:color w:val="000000"/>
                <w:sz w:val="20"/>
                <w:szCs w:val="20"/>
              </w:rPr>
              <w:t>t</w:t>
            </w:r>
            <w:r w:rsidRPr="005C0801">
              <w:rPr>
                <w:rFonts w:ascii="Times New Roman" w:hAnsi="Times New Roman" w:cs="Times New Roman"/>
                <w:color w:val="000000"/>
                <w:sz w:val="20"/>
                <w:szCs w:val="20"/>
              </w:rPr>
              <w:t xml:space="preserve">y </w:t>
            </w:r>
            <w:r w:rsidRPr="005C0801">
              <w:rPr>
                <w:rFonts w:ascii="Times New Roman" w:hAnsi="Times New Roman" w:cs="Times New Roman"/>
                <w:color w:val="000000"/>
                <w:sz w:val="20"/>
                <w:szCs w:val="20"/>
                <w:vertAlign w:val="superscript"/>
              </w:rPr>
              <w:t>2</w:t>
            </w:r>
            <w:r w:rsidRPr="005C0801">
              <w:rPr>
                <w:rFonts w:ascii="Times New Roman" w:hAnsi="Times New Roman" w:cs="Times New Roman"/>
                <w:color w:val="000000"/>
                <w:sz w:val="20"/>
                <w:szCs w:val="20"/>
              </w:rPr>
              <w:t xml:space="preserve"> </w:t>
            </w:r>
          </w:p>
        </w:tc>
        <w:tc>
          <w:tcPr>
            <w:tcW w:w="455" w:type="pct"/>
            <w:tcBorders>
              <w:top w:val="nil"/>
              <w:left w:val="nil"/>
              <w:bottom w:val="single" w:sz="4" w:space="0" w:color="auto"/>
              <w:right w:val="single" w:sz="4" w:space="0" w:color="auto"/>
            </w:tcBorders>
            <w:vAlign w:val="bottom"/>
            <w:hideMark/>
          </w:tcPr>
          <w:p w14:paraId="55E272D3"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bottom"/>
            <w:hideMark/>
          </w:tcPr>
          <w:p w14:paraId="6B5BE975"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4018216B"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nil"/>
              <w:left w:val="nil"/>
              <w:bottom w:val="single" w:sz="4" w:space="0" w:color="auto"/>
              <w:right w:val="single" w:sz="4" w:space="0" w:color="auto"/>
            </w:tcBorders>
            <w:noWrap/>
            <w:vAlign w:val="bottom"/>
            <w:hideMark/>
          </w:tcPr>
          <w:p w14:paraId="78C6DFB5"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nil"/>
              <w:left w:val="nil"/>
              <w:bottom w:val="single" w:sz="4" w:space="0" w:color="auto"/>
              <w:right w:val="single" w:sz="12" w:space="0" w:color="auto"/>
            </w:tcBorders>
            <w:noWrap/>
            <w:vAlign w:val="bottom"/>
            <w:hideMark/>
          </w:tcPr>
          <w:p w14:paraId="00811ACB"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(5) above</w:t>
            </w:r>
          </w:p>
        </w:tc>
      </w:tr>
      <w:tr w:rsidR="00505245" w:rsidRPr="001B2C5F" w14:paraId="54F0618D"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hideMark/>
          </w:tcPr>
          <w:p w14:paraId="7BDD89E5"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(7) CBI Designations for Chemical Name and Chemical Identity</w:t>
            </w:r>
          </w:p>
        </w:tc>
        <w:tc>
          <w:tcPr>
            <w:tcW w:w="455" w:type="pct"/>
            <w:tcBorders>
              <w:top w:val="nil"/>
              <w:left w:val="nil"/>
              <w:bottom w:val="single" w:sz="4" w:space="0" w:color="auto"/>
              <w:right w:val="single" w:sz="4" w:space="0" w:color="auto"/>
            </w:tcBorders>
            <w:vAlign w:val="bottom"/>
            <w:hideMark/>
          </w:tcPr>
          <w:p w14:paraId="7D000B9A"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bottom"/>
            <w:hideMark/>
          </w:tcPr>
          <w:p w14:paraId="05CA0511"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323102DE"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nil"/>
              <w:left w:val="nil"/>
              <w:bottom w:val="single" w:sz="4" w:space="0" w:color="auto"/>
              <w:right w:val="single" w:sz="4" w:space="0" w:color="auto"/>
            </w:tcBorders>
            <w:noWrap/>
            <w:vAlign w:val="bottom"/>
            <w:hideMark/>
          </w:tcPr>
          <w:p w14:paraId="1D47C02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nil"/>
              <w:left w:val="nil"/>
              <w:bottom w:val="single" w:sz="4" w:space="0" w:color="auto"/>
              <w:right w:val="single" w:sz="12" w:space="0" w:color="auto"/>
            </w:tcBorders>
            <w:noWrap/>
            <w:vAlign w:val="bottom"/>
            <w:hideMark/>
          </w:tcPr>
          <w:p w14:paraId="64A2CF1C"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00505245" w:rsidRPr="00D25007" w14:paraId="1CD1AB34" w14:textId="77777777" w:rsidTr="00505245">
        <w:trPr>
          <w:cantSplit/>
          <w:trHeight w:val="432"/>
        </w:trPr>
        <w:tc>
          <w:tcPr>
            <w:tcW w:w="2698" w:type="pct"/>
            <w:tcBorders>
              <w:top w:val="nil"/>
              <w:left w:val="single" w:sz="12" w:space="0" w:color="auto"/>
              <w:bottom w:val="single" w:sz="4" w:space="0" w:color="auto"/>
              <w:right w:val="single" w:sz="4" w:space="0" w:color="auto"/>
            </w:tcBorders>
            <w:vAlign w:val="center"/>
          </w:tcPr>
          <w:p w14:paraId="24DB4C25"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(8) Start Date of Manufacture, Import, and/or Process (applies only to Annual Ongoing Reporting)</w:t>
            </w:r>
          </w:p>
        </w:tc>
        <w:tc>
          <w:tcPr>
            <w:tcW w:w="455" w:type="pct"/>
            <w:tcBorders>
              <w:top w:val="nil"/>
              <w:left w:val="nil"/>
              <w:bottom w:val="single" w:sz="4" w:space="0" w:color="auto"/>
              <w:right w:val="single" w:sz="4" w:space="0" w:color="auto"/>
            </w:tcBorders>
            <w:vAlign w:val="center"/>
          </w:tcPr>
          <w:p w14:paraId="0C04ECD4"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center"/>
          </w:tcPr>
          <w:p w14:paraId="33FE3C23"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center"/>
          </w:tcPr>
          <w:p w14:paraId="3B55CA41"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86" w:type="pct"/>
            <w:tcBorders>
              <w:top w:val="nil"/>
              <w:left w:val="nil"/>
              <w:bottom w:val="single" w:sz="4" w:space="0" w:color="auto"/>
              <w:right w:val="single" w:sz="4" w:space="0" w:color="auto"/>
            </w:tcBorders>
            <w:noWrap/>
            <w:vAlign w:val="center"/>
          </w:tcPr>
          <w:p w14:paraId="653CFAA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center"/>
          </w:tcPr>
          <w:p w14:paraId="6F68A6BE"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00505245" w:rsidRPr="00D25007" w14:paraId="6B3F8695" w14:textId="77777777" w:rsidTr="00505245">
        <w:trPr>
          <w:cantSplit/>
          <w:trHeight w:val="432"/>
        </w:trPr>
        <w:tc>
          <w:tcPr>
            <w:tcW w:w="2698" w:type="pct"/>
            <w:tcBorders>
              <w:top w:val="nil"/>
              <w:left w:val="single" w:sz="12" w:space="0" w:color="auto"/>
              <w:bottom w:val="single" w:sz="4" w:space="0" w:color="auto"/>
              <w:right w:val="single" w:sz="4" w:space="0" w:color="auto"/>
            </w:tcBorders>
            <w:vAlign w:val="center"/>
          </w:tcPr>
          <w:p w14:paraId="32A1BE30"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(9) CBI Designation for Start Date (applies only to Annual Ongoing Reporting)</w:t>
            </w:r>
          </w:p>
        </w:tc>
        <w:tc>
          <w:tcPr>
            <w:tcW w:w="455" w:type="pct"/>
            <w:tcBorders>
              <w:top w:val="nil"/>
              <w:left w:val="nil"/>
              <w:bottom w:val="single" w:sz="4" w:space="0" w:color="auto"/>
              <w:right w:val="single" w:sz="4" w:space="0" w:color="auto"/>
            </w:tcBorders>
            <w:vAlign w:val="center"/>
          </w:tcPr>
          <w:p w14:paraId="0209F82E"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center"/>
          </w:tcPr>
          <w:p w14:paraId="5382ADCA" w14:textId="77777777" w:rsidR="00505245" w:rsidRPr="005C0801" w:rsidRDefault="00505245" w:rsidP="00505245">
            <w:pPr>
              <w:jc w:val="center"/>
              <w:rPr>
                <w:rFonts w:ascii="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noWrap/>
            <w:vAlign w:val="center"/>
          </w:tcPr>
          <w:p w14:paraId="5751F740" w14:textId="77777777" w:rsidR="00505245" w:rsidRPr="005C0801" w:rsidRDefault="00505245" w:rsidP="00505245">
            <w:pPr>
              <w:jc w:val="center"/>
              <w:rPr>
                <w:rFonts w:ascii="Times New Roman" w:hAnsi="Times New Roman" w:cs="Times New Roman"/>
                <w:color w:val="000000"/>
                <w:sz w:val="20"/>
                <w:szCs w:val="20"/>
              </w:rPr>
            </w:pPr>
          </w:p>
        </w:tc>
        <w:tc>
          <w:tcPr>
            <w:tcW w:w="486" w:type="pct"/>
            <w:tcBorders>
              <w:top w:val="nil"/>
              <w:left w:val="nil"/>
              <w:bottom w:val="single" w:sz="4" w:space="0" w:color="auto"/>
              <w:right w:val="single" w:sz="4" w:space="0" w:color="auto"/>
            </w:tcBorders>
            <w:noWrap/>
            <w:vAlign w:val="center"/>
          </w:tcPr>
          <w:p w14:paraId="7E872D0F" w14:textId="77777777" w:rsidR="00505245" w:rsidRPr="005C0801" w:rsidRDefault="00505245" w:rsidP="00505245">
            <w:pPr>
              <w:jc w:val="center"/>
              <w:rPr>
                <w:rFonts w:ascii="Times New Roman" w:hAnsi="Times New Roman" w:cs="Times New Roman"/>
                <w:color w:val="000000"/>
                <w:sz w:val="20"/>
                <w:szCs w:val="20"/>
              </w:rPr>
            </w:pPr>
          </w:p>
        </w:tc>
        <w:tc>
          <w:tcPr>
            <w:tcW w:w="549" w:type="pct"/>
            <w:tcBorders>
              <w:top w:val="nil"/>
              <w:left w:val="nil"/>
              <w:bottom w:val="single" w:sz="4" w:space="0" w:color="auto"/>
              <w:right w:val="single" w:sz="12" w:space="0" w:color="auto"/>
            </w:tcBorders>
            <w:noWrap/>
            <w:vAlign w:val="center"/>
          </w:tcPr>
          <w:p w14:paraId="22D89E59"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00505245" w:rsidRPr="00D25007" w14:paraId="022FF032" w14:textId="77777777" w:rsidTr="00505245">
        <w:trPr>
          <w:cantSplit/>
          <w:trHeight w:val="432"/>
        </w:trPr>
        <w:tc>
          <w:tcPr>
            <w:tcW w:w="2698" w:type="pct"/>
            <w:tcBorders>
              <w:top w:val="nil"/>
              <w:left w:val="single" w:sz="12" w:space="0" w:color="auto"/>
              <w:bottom w:val="single" w:sz="4" w:space="0" w:color="auto"/>
              <w:right w:val="single" w:sz="4" w:space="0" w:color="auto"/>
            </w:tcBorders>
            <w:vAlign w:val="bottom"/>
            <w:hideMark/>
          </w:tcPr>
          <w:p w14:paraId="7F1B028D"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(10) Chemical Identity CBI Status Declaration: maintain or not maintain claim of confidentiality of the full chemical substance identity on the TSCA Inventory</w:t>
            </w:r>
          </w:p>
        </w:tc>
        <w:tc>
          <w:tcPr>
            <w:tcW w:w="455" w:type="pct"/>
            <w:tcBorders>
              <w:top w:val="nil"/>
              <w:left w:val="nil"/>
              <w:bottom w:val="single" w:sz="4" w:space="0" w:color="auto"/>
              <w:right w:val="single" w:sz="4" w:space="0" w:color="auto"/>
            </w:tcBorders>
            <w:vAlign w:val="bottom"/>
            <w:hideMark/>
          </w:tcPr>
          <w:p w14:paraId="4A3DE850"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bottom"/>
            <w:hideMark/>
          </w:tcPr>
          <w:p w14:paraId="4406201A"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hideMark/>
          </w:tcPr>
          <w:p w14:paraId="3A0A5385"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c>
          <w:tcPr>
            <w:tcW w:w="486" w:type="pct"/>
            <w:tcBorders>
              <w:top w:val="nil"/>
              <w:left w:val="nil"/>
              <w:bottom w:val="single" w:sz="4" w:space="0" w:color="auto"/>
              <w:right w:val="single" w:sz="4" w:space="0" w:color="auto"/>
            </w:tcBorders>
            <w:noWrap/>
            <w:vAlign w:val="bottom"/>
            <w:hideMark/>
          </w:tcPr>
          <w:p w14:paraId="3932F97F"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nil"/>
              <w:left w:val="nil"/>
              <w:bottom w:val="single" w:sz="4" w:space="0" w:color="auto"/>
              <w:right w:val="single" w:sz="12" w:space="0" w:color="auto"/>
            </w:tcBorders>
            <w:noWrap/>
            <w:vAlign w:val="bottom"/>
            <w:hideMark/>
          </w:tcPr>
          <w:p w14:paraId="739A515A"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r>
      <w:tr w:rsidR="00505245" w:rsidRPr="00D25007" w14:paraId="619A557B" w14:textId="77777777" w:rsidTr="00505245">
        <w:trPr>
          <w:cantSplit/>
          <w:trHeight w:val="300"/>
        </w:trPr>
        <w:tc>
          <w:tcPr>
            <w:tcW w:w="2698" w:type="pct"/>
            <w:tcBorders>
              <w:top w:val="nil"/>
              <w:left w:val="single" w:sz="12" w:space="0" w:color="auto"/>
              <w:bottom w:val="single" w:sz="4" w:space="0" w:color="auto"/>
              <w:right w:val="single" w:sz="4" w:space="0" w:color="auto"/>
            </w:tcBorders>
            <w:vAlign w:val="bottom"/>
            <w:hideMark/>
          </w:tcPr>
          <w:p w14:paraId="041E6371" w14:textId="77777777" w:rsidR="00505245" w:rsidRPr="005C0801" w:rsidRDefault="00505245" w:rsidP="00505245">
            <w:pPr>
              <w:rPr>
                <w:rFonts w:ascii="Times New Roman" w:hAnsi="Times New Roman" w:cs="Times New Roman"/>
                <w:color w:val="000000"/>
                <w:sz w:val="20"/>
                <w:szCs w:val="20"/>
                <w:vertAlign w:val="superscript"/>
              </w:rPr>
            </w:pPr>
            <w:r w:rsidRPr="005C0801">
              <w:rPr>
                <w:rFonts w:ascii="Times New Roman" w:hAnsi="Times New Roman" w:cs="Times New Roman"/>
                <w:color w:val="000000"/>
                <w:sz w:val="20"/>
                <w:szCs w:val="20"/>
              </w:rPr>
              <w:t xml:space="preserve">(11) CBI substantiation for Chemical Identity </w:t>
            </w:r>
            <w:r w:rsidRPr="005C0801">
              <w:rPr>
                <w:rFonts w:ascii="Times New Roman" w:hAnsi="Times New Roman" w:cs="Times New Roman"/>
                <w:color w:val="000000"/>
                <w:sz w:val="20"/>
                <w:szCs w:val="20"/>
                <w:vertAlign w:val="superscript"/>
              </w:rPr>
              <w:t>3</w:t>
            </w:r>
          </w:p>
        </w:tc>
        <w:tc>
          <w:tcPr>
            <w:tcW w:w="455" w:type="pct"/>
            <w:tcBorders>
              <w:top w:val="nil"/>
              <w:left w:val="nil"/>
              <w:bottom w:val="single" w:sz="4" w:space="0" w:color="auto"/>
              <w:right w:val="single" w:sz="4" w:space="0" w:color="auto"/>
            </w:tcBorders>
            <w:vAlign w:val="bottom"/>
            <w:hideMark/>
          </w:tcPr>
          <w:p w14:paraId="1CD99F27"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nil"/>
              <w:left w:val="single" w:sz="4" w:space="0" w:color="auto"/>
              <w:bottom w:val="single" w:sz="4" w:space="0" w:color="auto"/>
              <w:right w:val="single" w:sz="4" w:space="0" w:color="auto"/>
            </w:tcBorders>
            <w:noWrap/>
            <w:vAlign w:val="bottom"/>
            <w:hideMark/>
          </w:tcPr>
          <w:p w14:paraId="63BB4F02"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54" w:type="pct"/>
            <w:tcBorders>
              <w:top w:val="nil"/>
              <w:left w:val="nil"/>
              <w:bottom w:val="single" w:sz="4" w:space="0" w:color="auto"/>
              <w:right w:val="single" w:sz="4" w:space="0" w:color="auto"/>
            </w:tcBorders>
            <w:noWrap/>
            <w:vAlign w:val="bottom"/>
            <w:hideMark/>
          </w:tcPr>
          <w:p w14:paraId="23D2E4FF"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0.039</w:t>
            </w:r>
          </w:p>
        </w:tc>
        <w:tc>
          <w:tcPr>
            <w:tcW w:w="486" w:type="pct"/>
            <w:tcBorders>
              <w:top w:val="nil"/>
              <w:left w:val="nil"/>
              <w:bottom w:val="single" w:sz="4" w:space="0" w:color="auto"/>
              <w:right w:val="single" w:sz="4" w:space="0" w:color="auto"/>
            </w:tcBorders>
            <w:noWrap/>
            <w:vAlign w:val="bottom"/>
            <w:hideMark/>
          </w:tcPr>
          <w:p w14:paraId="6CA7BD96"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0.019</w:t>
            </w:r>
          </w:p>
        </w:tc>
        <w:tc>
          <w:tcPr>
            <w:tcW w:w="549" w:type="pct"/>
            <w:tcBorders>
              <w:top w:val="nil"/>
              <w:left w:val="nil"/>
              <w:bottom w:val="single" w:sz="4" w:space="0" w:color="auto"/>
              <w:right w:val="single" w:sz="12" w:space="0" w:color="auto"/>
            </w:tcBorders>
            <w:noWrap/>
            <w:vAlign w:val="bottom"/>
            <w:hideMark/>
          </w:tcPr>
          <w:p w14:paraId="7A21111C"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0.058</w:t>
            </w:r>
          </w:p>
        </w:tc>
      </w:tr>
      <w:tr w:rsidR="00505245" w:rsidRPr="00D25007" w14:paraId="6349E552" w14:textId="77777777" w:rsidTr="00505245">
        <w:trPr>
          <w:cantSplit/>
          <w:trHeight w:val="315"/>
        </w:trPr>
        <w:tc>
          <w:tcPr>
            <w:tcW w:w="2698" w:type="pct"/>
            <w:tcBorders>
              <w:top w:val="single" w:sz="4" w:space="0" w:color="auto"/>
              <w:left w:val="single" w:sz="12" w:space="0" w:color="auto"/>
              <w:bottom w:val="single" w:sz="4" w:space="0" w:color="auto"/>
              <w:right w:val="single" w:sz="4" w:space="0" w:color="auto"/>
            </w:tcBorders>
            <w:vAlign w:val="bottom"/>
          </w:tcPr>
          <w:p w14:paraId="78CE48B1"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(12) CBI Substantiation for non-Chemical Identity data elements</w:t>
            </w:r>
            <w:r w:rsidRPr="005C0801">
              <w:rPr>
                <w:rFonts w:ascii="Times New Roman" w:hAnsi="Times New Roman" w:cs="Times New Roman"/>
                <w:color w:val="000000"/>
                <w:sz w:val="20"/>
                <w:szCs w:val="20"/>
                <w:vertAlign w:val="superscript"/>
              </w:rPr>
              <w:t>4</w:t>
            </w:r>
          </w:p>
        </w:tc>
        <w:tc>
          <w:tcPr>
            <w:tcW w:w="455" w:type="pct"/>
            <w:tcBorders>
              <w:top w:val="single" w:sz="4" w:space="0" w:color="auto"/>
              <w:left w:val="nil"/>
              <w:bottom w:val="single" w:sz="4" w:space="0" w:color="auto"/>
              <w:right w:val="single" w:sz="4" w:space="0" w:color="auto"/>
            </w:tcBorders>
            <w:vAlign w:val="bottom"/>
          </w:tcPr>
          <w:p w14:paraId="1CC7958E"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58" w:type="pct"/>
            <w:tcBorders>
              <w:top w:val="single" w:sz="4" w:space="0" w:color="auto"/>
              <w:left w:val="single" w:sz="4" w:space="0" w:color="auto"/>
              <w:bottom w:val="single" w:sz="4" w:space="0" w:color="auto"/>
              <w:right w:val="single" w:sz="4" w:space="0" w:color="auto"/>
            </w:tcBorders>
            <w:noWrap/>
            <w:vAlign w:val="bottom"/>
          </w:tcPr>
          <w:p w14:paraId="2FC127C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w:t>
            </w:r>
          </w:p>
        </w:tc>
        <w:tc>
          <w:tcPr>
            <w:tcW w:w="454" w:type="pct"/>
            <w:tcBorders>
              <w:top w:val="single" w:sz="4" w:space="0" w:color="auto"/>
              <w:left w:val="nil"/>
              <w:bottom w:val="single" w:sz="4" w:space="0" w:color="auto"/>
              <w:right w:val="single" w:sz="4" w:space="0" w:color="auto"/>
            </w:tcBorders>
            <w:noWrap/>
            <w:vAlign w:val="bottom"/>
          </w:tcPr>
          <w:p w14:paraId="201ECF5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0.211</w:t>
            </w:r>
          </w:p>
        </w:tc>
        <w:tc>
          <w:tcPr>
            <w:tcW w:w="486" w:type="pct"/>
            <w:tcBorders>
              <w:top w:val="single" w:sz="4" w:space="0" w:color="auto"/>
              <w:left w:val="nil"/>
              <w:bottom w:val="single" w:sz="4" w:space="0" w:color="auto"/>
              <w:right w:val="single" w:sz="4" w:space="0" w:color="auto"/>
            </w:tcBorders>
            <w:noWrap/>
            <w:vAlign w:val="bottom"/>
          </w:tcPr>
          <w:p w14:paraId="5903EC61"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0.106</w:t>
            </w:r>
          </w:p>
        </w:tc>
        <w:tc>
          <w:tcPr>
            <w:tcW w:w="549" w:type="pct"/>
            <w:tcBorders>
              <w:top w:val="single" w:sz="4" w:space="0" w:color="auto"/>
              <w:left w:val="nil"/>
              <w:bottom w:val="single" w:sz="4" w:space="0" w:color="auto"/>
              <w:right w:val="single" w:sz="12" w:space="0" w:color="auto"/>
            </w:tcBorders>
            <w:noWrap/>
            <w:vAlign w:val="bottom"/>
          </w:tcPr>
          <w:p w14:paraId="0690278C"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0.317</w:t>
            </w:r>
          </w:p>
        </w:tc>
      </w:tr>
      <w:tr w:rsidR="00505245" w:rsidRPr="00D25007" w14:paraId="23E25EE7" w14:textId="77777777" w:rsidTr="00505245">
        <w:trPr>
          <w:cantSplit/>
          <w:trHeight w:val="315"/>
        </w:trPr>
        <w:tc>
          <w:tcPr>
            <w:tcW w:w="2698" w:type="pct"/>
            <w:tcBorders>
              <w:top w:val="single" w:sz="4" w:space="0" w:color="auto"/>
              <w:left w:val="single" w:sz="12" w:space="0" w:color="auto"/>
              <w:bottom w:val="single" w:sz="12" w:space="0" w:color="auto"/>
              <w:right w:val="single" w:sz="4" w:space="0" w:color="auto"/>
            </w:tcBorders>
            <w:vAlign w:val="bottom"/>
            <w:hideMark/>
          </w:tcPr>
          <w:p w14:paraId="24EF7539"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Date and Time Stamps</w:t>
            </w:r>
          </w:p>
        </w:tc>
        <w:tc>
          <w:tcPr>
            <w:tcW w:w="455" w:type="pct"/>
            <w:tcBorders>
              <w:top w:val="single" w:sz="4" w:space="0" w:color="auto"/>
              <w:left w:val="nil"/>
              <w:bottom w:val="single" w:sz="12" w:space="0" w:color="auto"/>
              <w:right w:val="single" w:sz="4" w:space="0" w:color="auto"/>
            </w:tcBorders>
            <w:vAlign w:val="bottom"/>
            <w:hideMark/>
          </w:tcPr>
          <w:p w14:paraId="1170DDE8"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58" w:type="pct"/>
            <w:tcBorders>
              <w:top w:val="single" w:sz="4" w:space="0" w:color="auto"/>
              <w:left w:val="single" w:sz="4" w:space="0" w:color="auto"/>
              <w:bottom w:val="single" w:sz="12" w:space="0" w:color="auto"/>
              <w:right w:val="single" w:sz="4" w:space="0" w:color="auto"/>
            </w:tcBorders>
            <w:noWrap/>
            <w:vAlign w:val="bottom"/>
            <w:hideMark/>
          </w:tcPr>
          <w:p w14:paraId="31FDCAB9"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54" w:type="pct"/>
            <w:tcBorders>
              <w:top w:val="single" w:sz="4" w:space="0" w:color="auto"/>
              <w:left w:val="nil"/>
              <w:bottom w:val="single" w:sz="12" w:space="0" w:color="auto"/>
              <w:right w:val="single" w:sz="4" w:space="0" w:color="auto"/>
            </w:tcBorders>
            <w:noWrap/>
            <w:vAlign w:val="bottom"/>
            <w:hideMark/>
          </w:tcPr>
          <w:p w14:paraId="7056F2F2"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86" w:type="pct"/>
            <w:tcBorders>
              <w:top w:val="single" w:sz="4" w:space="0" w:color="auto"/>
              <w:left w:val="nil"/>
              <w:bottom w:val="single" w:sz="12" w:space="0" w:color="auto"/>
              <w:right w:val="single" w:sz="4" w:space="0" w:color="auto"/>
            </w:tcBorders>
            <w:noWrap/>
            <w:vAlign w:val="bottom"/>
            <w:hideMark/>
          </w:tcPr>
          <w:p w14:paraId="52B322A7"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549" w:type="pct"/>
            <w:tcBorders>
              <w:top w:val="single" w:sz="4" w:space="0" w:color="auto"/>
              <w:left w:val="nil"/>
              <w:bottom w:val="single" w:sz="12" w:space="0" w:color="auto"/>
              <w:right w:val="single" w:sz="12" w:space="0" w:color="auto"/>
            </w:tcBorders>
            <w:noWrap/>
            <w:vAlign w:val="bottom"/>
            <w:hideMark/>
          </w:tcPr>
          <w:p w14:paraId="3D453A82"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System-Generated</w:t>
            </w:r>
          </w:p>
        </w:tc>
      </w:tr>
      <w:tr w:rsidR="00505245" w:rsidRPr="00D25007" w14:paraId="3EF281F6" w14:textId="77777777" w:rsidTr="00505245">
        <w:trPr>
          <w:cantSplit/>
          <w:trHeight w:val="20"/>
        </w:trPr>
        <w:tc>
          <w:tcPr>
            <w:tcW w:w="3153" w:type="pct"/>
            <w:gridSpan w:val="2"/>
            <w:tcBorders>
              <w:top w:val="single" w:sz="12" w:space="0" w:color="auto"/>
              <w:left w:val="single" w:sz="12" w:space="0" w:color="auto"/>
              <w:bottom w:val="single" w:sz="4" w:space="0" w:color="auto"/>
              <w:right w:val="nil"/>
            </w:tcBorders>
            <w:noWrap/>
            <w:vAlign w:val="bottom"/>
            <w:hideMark/>
          </w:tcPr>
          <w:p w14:paraId="3E5F76F2" w14:textId="77777777" w:rsidR="00505245" w:rsidRPr="00750770" w:rsidRDefault="00505245" w:rsidP="00505245">
            <w:pPr>
              <w:pageBreakBefore/>
              <w:rPr>
                <w:rFonts w:ascii="Times New Roman" w:hAnsi="Times New Roman" w:cs="Times New Roman"/>
                <w:b/>
                <w:bCs/>
                <w:sz w:val="20"/>
                <w:szCs w:val="20"/>
              </w:rPr>
            </w:pPr>
            <w:r w:rsidRPr="00C26D7F">
              <w:rPr>
                <w:rFonts w:ascii="Times New Roman" w:hAnsi="Times New Roman" w:cs="Times New Roman"/>
                <w:b/>
                <w:bCs/>
                <w:color w:val="000000"/>
                <w:sz w:val="20"/>
                <w:szCs w:val="20"/>
              </w:rPr>
              <w:t>SINGLE CHEMICAL SUBMISSION FORM COMPLETION, Start-Up Period</w:t>
            </w:r>
            <w:r w:rsidRPr="00750770">
              <w:rPr>
                <w:rFonts w:ascii="Times New Roman" w:hAnsi="Times New Roman" w:cs="Times New Roman"/>
                <w:b/>
                <w:bCs/>
                <w:sz w:val="20"/>
                <w:szCs w:val="20"/>
              </w:rPr>
              <w:t> </w:t>
            </w:r>
          </w:p>
        </w:tc>
        <w:tc>
          <w:tcPr>
            <w:tcW w:w="358" w:type="pct"/>
            <w:tcBorders>
              <w:top w:val="single" w:sz="12" w:space="0" w:color="auto"/>
              <w:left w:val="nil"/>
              <w:bottom w:val="single" w:sz="4" w:space="0" w:color="auto"/>
              <w:right w:val="nil"/>
            </w:tcBorders>
            <w:noWrap/>
            <w:vAlign w:val="bottom"/>
            <w:hideMark/>
          </w:tcPr>
          <w:p w14:paraId="6F62F023" w14:textId="77777777" w:rsidR="00505245" w:rsidRPr="005C0801" w:rsidRDefault="00505245" w:rsidP="00505245">
            <w:pPr>
              <w:jc w:val="center"/>
              <w:rPr>
                <w:rFonts w:ascii="Times New Roman" w:hAnsi="Times New Roman" w:cs="Times New Roman"/>
                <w:bCs/>
                <w:sz w:val="20"/>
                <w:szCs w:val="20"/>
              </w:rPr>
            </w:pPr>
            <w:r w:rsidRPr="005C0801">
              <w:rPr>
                <w:rFonts w:ascii="Times New Roman" w:hAnsi="Times New Roman" w:cs="Times New Roman"/>
                <w:bCs/>
                <w:sz w:val="20"/>
                <w:szCs w:val="20"/>
              </w:rPr>
              <w:t>0.000</w:t>
            </w:r>
          </w:p>
        </w:tc>
        <w:tc>
          <w:tcPr>
            <w:tcW w:w="454" w:type="pct"/>
            <w:tcBorders>
              <w:top w:val="single" w:sz="12" w:space="0" w:color="auto"/>
              <w:left w:val="nil"/>
              <w:bottom w:val="single" w:sz="4" w:space="0" w:color="auto"/>
              <w:right w:val="nil"/>
            </w:tcBorders>
            <w:noWrap/>
            <w:vAlign w:val="bottom"/>
            <w:hideMark/>
          </w:tcPr>
          <w:p w14:paraId="41A360D5" w14:textId="77777777" w:rsidR="00505245" w:rsidRPr="005C0801" w:rsidRDefault="00505245" w:rsidP="00505245">
            <w:pPr>
              <w:jc w:val="center"/>
              <w:rPr>
                <w:rFonts w:ascii="Times New Roman" w:hAnsi="Times New Roman" w:cs="Times New Roman"/>
                <w:bCs/>
                <w:sz w:val="20"/>
                <w:szCs w:val="20"/>
              </w:rPr>
            </w:pPr>
            <w:r w:rsidRPr="005C0801">
              <w:rPr>
                <w:rFonts w:ascii="Times New Roman" w:hAnsi="Times New Roman" w:cs="Times New Roman"/>
                <w:bCs/>
                <w:sz w:val="20"/>
                <w:szCs w:val="20"/>
              </w:rPr>
              <w:t>0.362</w:t>
            </w:r>
          </w:p>
        </w:tc>
        <w:tc>
          <w:tcPr>
            <w:tcW w:w="486" w:type="pct"/>
            <w:tcBorders>
              <w:top w:val="single" w:sz="12" w:space="0" w:color="auto"/>
              <w:left w:val="nil"/>
              <w:bottom w:val="single" w:sz="4" w:space="0" w:color="auto"/>
              <w:right w:val="single" w:sz="4" w:space="0" w:color="auto"/>
            </w:tcBorders>
            <w:noWrap/>
            <w:vAlign w:val="bottom"/>
            <w:hideMark/>
          </w:tcPr>
          <w:p w14:paraId="33C6976F" w14:textId="77777777" w:rsidR="00505245" w:rsidRPr="005C0801" w:rsidRDefault="00505245" w:rsidP="00505245">
            <w:pPr>
              <w:jc w:val="center"/>
              <w:rPr>
                <w:rFonts w:ascii="Times New Roman" w:hAnsi="Times New Roman" w:cs="Times New Roman"/>
                <w:bCs/>
                <w:sz w:val="20"/>
                <w:szCs w:val="20"/>
              </w:rPr>
            </w:pPr>
            <w:r w:rsidRPr="005C0801">
              <w:rPr>
                <w:rFonts w:ascii="Times New Roman" w:hAnsi="Times New Roman" w:cs="Times New Roman"/>
                <w:bCs/>
                <w:sz w:val="20"/>
                <w:szCs w:val="20"/>
              </w:rPr>
              <w:t>0.629</w:t>
            </w:r>
          </w:p>
        </w:tc>
        <w:tc>
          <w:tcPr>
            <w:tcW w:w="549" w:type="pct"/>
            <w:tcBorders>
              <w:top w:val="single" w:sz="12" w:space="0" w:color="auto"/>
              <w:left w:val="nil"/>
              <w:bottom w:val="single" w:sz="4" w:space="0" w:color="auto"/>
              <w:right w:val="single" w:sz="12" w:space="0" w:color="auto"/>
            </w:tcBorders>
            <w:noWrap/>
            <w:vAlign w:val="bottom"/>
            <w:hideMark/>
          </w:tcPr>
          <w:p w14:paraId="64AC3ECF" w14:textId="77777777" w:rsidR="00505245" w:rsidRPr="005C0801" w:rsidRDefault="00505245" w:rsidP="00505245">
            <w:pPr>
              <w:jc w:val="center"/>
              <w:rPr>
                <w:rFonts w:ascii="Times New Roman" w:hAnsi="Times New Roman" w:cs="Times New Roman"/>
                <w:b/>
                <w:bCs/>
                <w:sz w:val="20"/>
                <w:szCs w:val="20"/>
              </w:rPr>
            </w:pPr>
            <w:r w:rsidRPr="005C0801">
              <w:rPr>
                <w:rFonts w:ascii="Times New Roman" w:hAnsi="Times New Roman" w:cs="Times New Roman"/>
                <w:b/>
                <w:bCs/>
                <w:sz w:val="20"/>
                <w:szCs w:val="20"/>
              </w:rPr>
              <w:t>0.991</w:t>
            </w:r>
          </w:p>
        </w:tc>
      </w:tr>
      <w:tr w:rsidR="00505245" w:rsidRPr="00D25007" w14:paraId="525F120B" w14:textId="77777777" w:rsidTr="00505245">
        <w:trPr>
          <w:cantSplit/>
          <w:trHeight w:val="315"/>
        </w:trPr>
        <w:tc>
          <w:tcPr>
            <w:tcW w:w="3153" w:type="pct"/>
            <w:gridSpan w:val="2"/>
            <w:tcBorders>
              <w:top w:val="nil"/>
              <w:left w:val="single" w:sz="12" w:space="0" w:color="auto"/>
              <w:bottom w:val="single" w:sz="8" w:space="0" w:color="auto"/>
              <w:right w:val="nil"/>
            </w:tcBorders>
            <w:noWrap/>
            <w:vAlign w:val="bottom"/>
            <w:hideMark/>
          </w:tcPr>
          <w:p w14:paraId="78709062" w14:textId="77777777" w:rsidR="00505245" w:rsidRPr="00750770" w:rsidRDefault="00505245" w:rsidP="00505245">
            <w:pPr>
              <w:rPr>
                <w:rFonts w:ascii="Times New Roman" w:hAnsi="Times New Roman" w:cs="Times New Roman"/>
                <w:b/>
                <w:bCs/>
                <w:sz w:val="20"/>
                <w:szCs w:val="20"/>
              </w:rPr>
            </w:pPr>
            <w:r w:rsidRPr="00C26D7F">
              <w:rPr>
                <w:rFonts w:ascii="Times New Roman" w:hAnsi="Times New Roman" w:cs="Times New Roman"/>
                <w:b/>
                <w:bCs/>
                <w:color w:val="000000"/>
                <w:sz w:val="20"/>
                <w:szCs w:val="20"/>
              </w:rPr>
              <w:t>SINGLE CHEMICAL SUBMISSION FORM COMPLETION, Annual Ongoing Period</w:t>
            </w:r>
            <w:r w:rsidRPr="00750770">
              <w:rPr>
                <w:rFonts w:ascii="Times New Roman" w:hAnsi="Times New Roman" w:cs="Times New Roman"/>
                <w:b/>
                <w:bCs/>
                <w:sz w:val="20"/>
                <w:szCs w:val="20"/>
              </w:rPr>
              <w:t> </w:t>
            </w:r>
          </w:p>
        </w:tc>
        <w:tc>
          <w:tcPr>
            <w:tcW w:w="358" w:type="pct"/>
            <w:tcBorders>
              <w:top w:val="nil"/>
              <w:left w:val="nil"/>
              <w:bottom w:val="single" w:sz="8" w:space="0" w:color="auto"/>
              <w:right w:val="nil"/>
            </w:tcBorders>
            <w:noWrap/>
            <w:vAlign w:val="bottom"/>
            <w:hideMark/>
          </w:tcPr>
          <w:p w14:paraId="115FED86" w14:textId="77777777" w:rsidR="00505245" w:rsidRPr="005C0801" w:rsidRDefault="00505245" w:rsidP="00505245">
            <w:pPr>
              <w:jc w:val="center"/>
              <w:rPr>
                <w:rFonts w:ascii="Times New Roman" w:hAnsi="Times New Roman" w:cs="Times New Roman"/>
                <w:bCs/>
                <w:sz w:val="20"/>
                <w:szCs w:val="20"/>
              </w:rPr>
            </w:pPr>
            <w:r w:rsidRPr="005C0801">
              <w:rPr>
                <w:rFonts w:ascii="Times New Roman" w:hAnsi="Times New Roman" w:cs="Times New Roman"/>
                <w:bCs/>
                <w:sz w:val="20"/>
                <w:szCs w:val="20"/>
              </w:rPr>
              <w:t>0.000</w:t>
            </w:r>
          </w:p>
        </w:tc>
        <w:tc>
          <w:tcPr>
            <w:tcW w:w="454" w:type="pct"/>
            <w:tcBorders>
              <w:top w:val="nil"/>
              <w:left w:val="nil"/>
              <w:bottom w:val="single" w:sz="8" w:space="0" w:color="auto"/>
              <w:right w:val="nil"/>
            </w:tcBorders>
            <w:noWrap/>
            <w:vAlign w:val="bottom"/>
            <w:hideMark/>
          </w:tcPr>
          <w:p w14:paraId="2827F324" w14:textId="77777777" w:rsidR="00505245" w:rsidRPr="005C0801" w:rsidRDefault="00505245" w:rsidP="00505245">
            <w:pPr>
              <w:jc w:val="center"/>
              <w:rPr>
                <w:rFonts w:ascii="Times New Roman" w:hAnsi="Times New Roman" w:cs="Times New Roman"/>
                <w:bCs/>
                <w:sz w:val="20"/>
                <w:szCs w:val="20"/>
              </w:rPr>
            </w:pPr>
            <w:r w:rsidRPr="005C0801">
              <w:rPr>
                <w:rFonts w:ascii="Times New Roman" w:hAnsi="Times New Roman" w:cs="Times New Roman"/>
                <w:bCs/>
                <w:sz w:val="20"/>
                <w:szCs w:val="20"/>
              </w:rPr>
              <w:t>0.379</w:t>
            </w:r>
          </w:p>
        </w:tc>
        <w:tc>
          <w:tcPr>
            <w:tcW w:w="486" w:type="pct"/>
            <w:tcBorders>
              <w:top w:val="single" w:sz="4" w:space="0" w:color="auto"/>
              <w:left w:val="nil"/>
              <w:bottom w:val="single" w:sz="4" w:space="0" w:color="auto"/>
              <w:right w:val="single" w:sz="4" w:space="0" w:color="auto"/>
            </w:tcBorders>
            <w:noWrap/>
            <w:vAlign w:val="bottom"/>
            <w:hideMark/>
          </w:tcPr>
          <w:p w14:paraId="1FA76E2B" w14:textId="77777777" w:rsidR="00505245" w:rsidRPr="005C0801" w:rsidRDefault="00505245" w:rsidP="00505245">
            <w:pPr>
              <w:jc w:val="center"/>
              <w:rPr>
                <w:rFonts w:ascii="Times New Roman" w:hAnsi="Times New Roman" w:cs="Times New Roman"/>
                <w:bCs/>
                <w:sz w:val="20"/>
                <w:szCs w:val="20"/>
              </w:rPr>
            </w:pPr>
            <w:r w:rsidRPr="005C0801">
              <w:rPr>
                <w:rFonts w:ascii="Times New Roman" w:hAnsi="Times New Roman" w:cs="Times New Roman"/>
                <w:bCs/>
                <w:sz w:val="20"/>
                <w:szCs w:val="20"/>
              </w:rPr>
              <w:t>0.629</w:t>
            </w:r>
          </w:p>
        </w:tc>
        <w:tc>
          <w:tcPr>
            <w:tcW w:w="549" w:type="pct"/>
            <w:tcBorders>
              <w:top w:val="single" w:sz="4" w:space="0" w:color="auto"/>
              <w:left w:val="nil"/>
              <w:bottom w:val="single" w:sz="4" w:space="0" w:color="auto"/>
              <w:right w:val="single" w:sz="12" w:space="0" w:color="auto"/>
            </w:tcBorders>
            <w:noWrap/>
            <w:vAlign w:val="bottom"/>
            <w:hideMark/>
          </w:tcPr>
          <w:p w14:paraId="753A2309" w14:textId="77777777" w:rsidR="00505245" w:rsidRPr="005C0801" w:rsidRDefault="00505245" w:rsidP="00505245">
            <w:pPr>
              <w:jc w:val="center"/>
              <w:rPr>
                <w:rFonts w:ascii="Times New Roman" w:hAnsi="Times New Roman" w:cs="Times New Roman"/>
                <w:b/>
                <w:bCs/>
                <w:sz w:val="20"/>
                <w:szCs w:val="20"/>
              </w:rPr>
            </w:pPr>
            <w:r w:rsidRPr="005C0801">
              <w:rPr>
                <w:rFonts w:ascii="Times New Roman" w:hAnsi="Times New Roman" w:cs="Times New Roman"/>
                <w:b/>
                <w:bCs/>
                <w:sz w:val="20"/>
                <w:szCs w:val="20"/>
              </w:rPr>
              <w:t>1.008</w:t>
            </w:r>
          </w:p>
        </w:tc>
      </w:tr>
      <w:tr w:rsidR="00505245" w:rsidRPr="00D25007" w14:paraId="379B0DB8" w14:textId="77777777" w:rsidTr="00505245">
        <w:trPr>
          <w:cantSplit/>
          <w:trHeight w:val="315"/>
        </w:trPr>
        <w:tc>
          <w:tcPr>
            <w:tcW w:w="2698" w:type="pct"/>
            <w:tcBorders>
              <w:top w:val="nil"/>
              <w:left w:val="single" w:sz="12" w:space="0" w:color="auto"/>
              <w:bottom w:val="single" w:sz="8" w:space="0" w:color="auto"/>
              <w:right w:val="nil"/>
            </w:tcBorders>
            <w:vAlign w:val="bottom"/>
            <w:hideMark/>
          </w:tcPr>
          <w:p w14:paraId="244420EA" w14:textId="77777777" w:rsidR="00505245" w:rsidRPr="005C0801" w:rsidRDefault="00505245" w:rsidP="00505245">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RECORDKEEPING</w:t>
            </w:r>
          </w:p>
        </w:tc>
        <w:tc>
          <w:tcPr>
            <w:tcW w:w="455" w:type="pct"/>
            <w:tcBorders>
              <w:top w:val="nil"/>
              <w:left w:val="nil"/>
              <w:bottom w:val="single" w:sz="8" w:space="0" w:color="auto"/>
              <w:right w:val="nil"/>
            </w:tcBorders>
            <w:vAlign w:val="bottom"/>
            <w:hideMark/>
          </w:tcPr>
          <w:p w14:paraId="64AF8094" w14:textId="77777777" w:rsidR="00505245" w:rsidRPr="005C0801" w:rsidRDefault="00505245" w:rsidP="00505245">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358" w:type="pct"/>
            <w:tcBorders>
              <w:top w:val="nil"/>
              <w:left w:val="nil"/>
              <w:bottom w:val="single" w:sz="8" w:space="0" w:color="auto"/>
              <w:right w:val="nil"/>
            </w:tcBorders>
            <w:noWrap/>
            <w:vAlign w:val="bottom"/>
            <w:hideMark/>
          </w:tcPr>
          <w:p w14:paraId="3BE4AA39"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54" w:type="pct"/>
            <w:tcBorders>
              <w:top w:val="nil"/>
              <w:left w:val="nil"/>
              <w:bottom w:val="single" w:sz="8" w:space="0" w:color="auto"/>
              <w:right w:val="nil"/>
            </w:tcBorders>
            <w:noWrap/>
            <w:vAlign w:val="bottom"/>
            <w:hideMark/>
          </w:tcPr>
          <w:p w14:paraId="4E631B3B"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86" w:type="pct"/>
            <w:tcBorders>
              <w:top w:val="single" w:sz="8" w:space="0" w:color="auto"/>
              <w:left w:val="nil"/>
              <w:bottom w:val="single" w:sz="8" w:space="0" w:color="auto"/>
              <w:right w:val="nil"/>
            </w:tcBorders>
            <w:noWrap/>
            <w:vAlign w:val="bottom"/>
            <w:hideMark/>
          </w:tcPr>
          <w:p w14:paraId="4B188E0F"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549" w:type="pct"/>
            <w:tcBorders>
              <w:top w:val="single" w:sz="8" w:space="0" w:color="auto"/>
              <w:left w:val="nil"/>
              <w:bottom w:val="single" w:sz="8" w:space="0" w:color="auto"/>
              <w:right w:val="single" w:sz="12" w:space="0" w:color="auto"/>
            </w:tcBorders>
            <w:noWrap/>
            <w:vAlign w:val="bottom"/>
            <w:hideMark/>
          </w:tcPr>
          <w:p w14:paraId="080EB74F"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r>
      <w:tr w:rsidR="00505245" w:rsidRPr="00D25007" w14:paraId="78BB7E54" w14:textId="77777777" w:rsidTr="00505245">
        <w:trPr>
          <w:cantSplit/>
          <w:trHeight w:val="315"/>
        </w:trPr>
        <w:tc>
          <w:tcPr>
            <w:tcW w:w="2698" w:type="pct"/>
            <w:tcBorders>
              <w:top w:val="single" w:sz="8" w:space="0" w:color="auto"/>
              <w:left w:val="single" w:sz="12" w:space="0" w:color="auto"/>
              <w:bottom w:val="double" w:sz="12" w:space="0" w:color="auto"/>
              <w:right w:val="single" w:sz="4" w:space="0" w:color="auto"/>
            </w:tcBorders>
            <w:vAlign w:val="bottom"/>
            <w:hideMark/>
          </w:tcPr>
          <w:p w14:paraId="526A1247"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Per NOA Submission, Start-Up and Annual Ongoing Periods</w:t>
            </w:r>
          </w:p>
        </w:tc>
        <w:tc>
          <w:tcPr>
            <w:tcW w:w="455" w:type="pct"/>
            <w:tcBorders>
              <w:top w:val="single" w:sz="8" w:space="0" w:color="auto"/>
              <w:left w:val="nil"/>
              <w:bottom w:val="double" w:sz="12" w:space="0" w:color="auto"/>
              <w:right w:val="single" w:sz="4" w:space="0" w:color="auto"/>
            </w:tcBorders>
            <w:vAlign w:val="bottom"/>
            <w:hideMark/>
          </w:tcPr>
          <w:p w14:paraId="4A4BFDBE"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58" w:type="pct"/>
            <w:tcBorders>
              <w:top w:val="single" w:sz="8" w:space="0" w:color="auto"/>
              <w:left w:val="nil"/>
              <w:bottom w:val="double" w:sz="12" w:space="0" w:color="auto"/>
              <w:right w:val="single" w:sz="4" w:space="0" w:color="auto"/>
            </w:tcBorders>
            <w:noWrap/>
            <w:vAlign w:val="bottom"/>
            <w:hideMark/>
          </w:tcPr>
          <w:p w14:paraId="60523498"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c>
          <w:tcPr>
            <w:tcW w:w="454" w:type="pct"/>
            <w:tcBorders>
              <w:top w:val="single" w:sz="8" w:space="0" w:color="auto"/>
              <w:left w:val="nil"/>
              <w:bottom w:val="double" w:sz="12" w:space="0" w:color="auto"/>
              <w:right w:val="single" w:sz="4" w:space="0" w:color="auto"/>
            </w:tcBorders>
            <w:noWrap/>
            <w:vAlign w:val="bottom"/>
            <w:hideMark/>
          </w:tcPr>
          <w:p w14:paraId="4CB88B8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86" w:type="pct"/>
            <w:tcBorders>
              <w:top w:val="single" w:sz="8" w:space="0" w:color="auto"/>
              <w:left w:val="nil"/>
              <w:bottom w:val="double" w:sz="12" w:space="0" w:color="auto"/>
              <w:right w:val="single" w:sz="4" w:space="0" w:color="auto"/>
            </w:tcBorders>
            <w:noWrap/>
            <w:vAlign w:val="bottom"/>
            <w:hideMark/>
          </w:tcPr>
          <w:p w14:paraId="5ECC96FF"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549" w:type="pct"/>
            <w:tcBorders>
              <w:top w:val="single" w:sz="8" w:space="0" w:color="auto"/>
              <w:left w:val="nil"/>
              <w:bottom w:val="double" w:sz="12" w:space="0" w:color="auto"/>
              <w:right w:val="single" w:sz="12" w:space="0" w:color="auto"/>
            </w:tcBorders>
            <w:noWrap/>
            <w:vAlign w:val="bottom"/>
            <w:hideMark/>
          </w:tcPr>
          <w:p w14:paraId="69C9AB3F"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r>
      <w:tr w:rsidR="00505245" w:rsidRPr="00D25007" w14:paraId="1F94BD42" w14:textId="77777777" w:rsidTr="00505245">
        <w:trPr>
          <w:cantSplit/>
          <w:trHeight w:val="300"/>
        </w:trPr>
        <w:tc>
          <w:tcPr>
            <w:tcW w:w="3153" w:type="pct"/>
            <w:gridSpan w:val="2"/>
            <w:tcBorders>
              <w:top w:val="double" w:sz="12" w:space="0" w:color="auto"/>
              <w:left w:val="single" w:sz="12" w:space="0" w:color="auto"/>
              <w:bottom w:val="single" w:sz="12" w:space="0" w:color="auto"/>
            </w:tcBorders>
            <w:vAlign w:val="center"/>
            <w:hideMark/>
          </w:tcPr>
          <w:p w14:paraId="4BEA52AD" w14:textId="77777777" w:rsidR="00505245" w:rsidRPr="005C0801" w:rsidRDefault="00505245" w:rsidP="00505245">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START-UP TOTAL, Unit Burden for Nominal Single Chemical</w:t>
            </w:r>
          </w:p>
        </w:tc>
        <w:tc>
          <w:tcPr>
            <w:tcW w:w="358" w:type="pct"/>
            <w:tcBorders>
              <w:top w:val="double" w:sz="12" w:space="0" w:color="auto"/>
              <w:bottom w:val="single" w:sz="12" w:space="0" w:color="auto"/>
            </w:tcBorders>
            <w:vAlign w:val="bottom"/>
          </w:tcPr>
          <w:p w14:paraId="7772A1EB" w14:textId="77777777" w:rsidR="00505245" w:rsidRPr="005C0801" w:rsidRDefault="00505245" w:rsidP="00505245">
            <w:pPr>
              <w:rPr>
                <w:rFonts w:ascii="Times New Roman" w:hAnsi="Times New Roman" w:cs="Times New Roman"/>
                <w:b/>
                <w:bCs/>
                <w:color w:val="000000"/>
                <w:sz w:val="20"/>
                <w:szCs w:val="20"/>
              </w:rPr>
            </w:pPr>
          </w:p>
        </w:tc>
        <w:tc>
          <w:tcPr>
            <w:tcW w:w="454" w:type="pct"/>
            <w:tcBorders>
              <w:top w:val="double" w:sz="12" w:space="0" w:color="auto"/>
              <w:bottom w:val="single" w:sz="12" w:space="0" w:color="auto"/>
            </w:tcBorders>
            <w:vAlign w:val="bottom"/>
          </w:tcPr>
          <w:p w14:paraId="03BAA3DE" w14:textId="77777777" w:rsidR="00505245" w:rsidRPr="005C0801" w:rsidRDefault="00505245" w:rsidP="00505245">
            <w:pPr>
              <w:rPr>
                <w:rFonts w:ascii="Times New Roman" w:hAnsi="Times New Roman" w:cs="Times New Roman"/>
                <w:b/>
                <w:bCs/>
                <w:color w:val="000000"/>
                <w:sz w:val="20"/>
                <w:szCs w:val="20"/>
              </w:rPr>
            </w:pPr>
          </w:p>
        </w:tc>
        <w:tc>
          <w:tcPr>
            <w:tcW w:w="486" w:type="pct"/>
            <w:tcBorders>
              <w:top w:val="double" w:sz="12" w:space="0" w:color="auto"/>
              <w:bottom w:val="single" w:sz="12" w:space="0" w:color="auto"/>
            </w:tcBorders>
            <w:vAlign w:val="bottom"/>
          </w:tcPr>
          <w:p w14:paraId="2A2D39EA" w14:textId="77777777" w:rsidR="00505245" w:rsidRPr="005C0801" w:rsidRDefault="00505245" w:rsidP="00505245">
            <w:pPr>
              <w:rPr>
                <w:rFonts w:ascii="Times New Roman" w:hAnsi="Times New Roman" w:cs="Times New Roman"/>
                <w:b/>
                <w:bCs/>
                <w:color w:val="000000"/>
                <w:sz w:val="20"/>
                <w:szCs w:val="20"/>
              </w:rPr>
            </w:pPr>
          </w:p>
        </w:tc>
        <w:tc>
          <w:tcPr>
            <w:tcW w:w="549" w:type="pct"/>
            <w:tcBorders>
              <w:top w:val="double" w:sz="12" w:space="0" w:color="auto"/>
              <w:bottom w:val="single" w:sz="12" w:space="0" w:color="auto"/>
              <w:right w:val="single" w:sz="12" w:space="0" w:color="auto"/>
            </w:tcBorders>
            <w:noWrap/>
            <w:vAlign w:val="center"/>
            <w:hideMark/>
          </w:tcPr>
          <w:p w14:paraId="24139DAD"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5.699</w:t>
            </w:r>
          </w:p>
        </w:tc>
      </w:tr>
      <w:tr w:rsidR="00505245" w:rsidRPr="00D25007" w14:paraId="7911B827" w14:textId="77777777" w:rsidTr="00505245">
        <w:trPr>
          <w:cantSplit/>
          <w:trHeight w:val="300"/>
        </w:trPr>
        <w:tc>
          <w:tcPr>
            <w:tcW w:w="4451" w:type="pct"/>
            <w:gridSpan w:val="5"/>
            <w:tcBorders>
              <w:top w:val="single" w:sz="12" w:space="0" w:color="auto"/>
              <w:left w:val="single" w:sz="12" w:space="0" w:color="auto"/>
              <w:bottom w:val="single" w:sz="12" w:space="0" w:color="auto"/>
            </w:tcBorders>
            <w:vAlign w:val="center"/>
            <w:hideMark/>
          </w:tcPr>
          <w:p w14:paraId="282D446D" w14:textId="77777777" w:rsidR="00505245" w:rsidRPr="005C0801" w:rsidRDefault="00505245" w:rsidP="00505245">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 xml:space="preserve">ANNUAL ONGOING TOTAL, Unit Burden for Nominal Single Chemical </w:t>
            </w:r>
            <w:r w:rsidRPr="005C0801">
              <w:rPr>
                <w:rFonts w:ascii="Times New Roman" w:hAnsi="Times New Roman" w:cs="Times New Roman"/>
                <w:bCs/>
                <w:color w:val="000000"/>
                <w:sz w:val="20"/>
                <w:szCs w:val="20"/>
              </w:rPr>
              <w:t>(Note: No Rule Familiarization)</w:t>
            </w:r>
          </w:p>
        </w:tc>
        <w:tc>
          <w:tcPr>
            <w:tcW w:w="549" w:type="pct"/>
            <w:tcBorders>
              <w:top w:val="single" w:sz="12" w:space="0" w:color="auto"/>
              <w:bottom w:val="single" w:sz="12" w:space="0" w:color="auto"/>
              <w:right w:val="single" w:sz="12" w:space="0" w:color="auto"/>
            </w:tcBorders>
            <w:noWrap/>
            <w:vAlign w:val="center"/>
            <w:hideMark/>
          </w:tcPr>
          <w:p w14:paraId="6BA6CCF5"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1.716</w:t>
            </w:r>
          </w:p>
        </w:tc>
      </w:tr>
      <w:tr w:rsidR="00505245" w:rsidRPr="00D25007" w14:paraId="2A06EFC7" w14:textId="77777777" w:rsidTr="00505245">
        <w:trPr>
          <w:cantSplit/>
          <w:trHeight w:val="168"/>
        </w:trPr>
        <w:tc>
          <w:tcPr>
            <w:tcW w:w="5000" w:type="pct"/>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37D2B8C3" w14:textId="77777777" w:rsidR="00505245" w:rsidRPr="005C0801" w:rsidRDefault="00505245" w:rsidP="00505245">
            <w:pPr>
              <w:rPr>
                <w:rFonts w:ascii="Times New Roman" w:hAnsi="Times New Roman" w:cs="Times New Roman"/>
                <w:b/>
                <w:bCs/>
                <w:i/>
                <w:iCs/>
                <w:color w:val="FFFFFF" w:themeColor="background1" w:themeTint="33"/>
                <w:sz w:val="20"/>
                <w:szCs w:val="20"/>
              </w:rPr>
            </w:pPr>
          </w:p>
        </w:tc>
      </w:tr>
      <w:tr w:rsidR="00505245" w:rsidRPr="00D25007" w14:paraId="390B660F" w14:textId="77777777" w:rsidTr="00505245">
        <w:trPr>
          <w:cantSplit/>
          <w:trHeight w:val="300"/>
        </w:trPr>
        <w:tc>
          <w:tcPr>
            <w:tcW w:w="5000" w:type="pct"/>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67295E16" w14:textId="77777777" w:rsidR="00505245" w:rsidRPr="005C0801" w:rsidRDefault="00505245" w:rsidP="00505245">
            <w:pPr>
              <w:rPr>
                <w:rFonts w:ascii="Times New Roman" w:hAnsi="Times New Roman" w:cs="Times New Roman"/>
                <w:b/>
                <w:bCs/>
                <w:i/>
                <w:color w:val="000000"/>
                <w:sz w:val="20"/>
                <w:szCs w:val="20"/>
              </w:rPr>
            </w:pPr>
            <w:r w:rsidRPr="005C0801">
              <w:rPr>
                <w:rFonts w:ascii="Times New Roman" w:hAnsi="Times New Roman" w:cs="Times New Roman"/>
                <w:b/>
                <w:bCs/>
                <w:i/>
                <w:iCs/>
                <w:sz w:val="20"/>
                <w:szCs w:val="20"/>
              </w:rPr>
              <w:t>AVERAGE UNIT BURDEN ACCORDING TO MULTI-CHEMICAL SUBMISSION</w:t>
            </w:r>
          </w:p>
        </w:tc>
      </w:tr>
      <w:tr w:rsidR="00505245" w:rsidRPr="00D25007" w14:paraId="31CB2C5F" w14:textId="77777777" w:rsidTr="00505245">
        <w:trPr>
          <w:cantSplit/>
          <w:trHeight w:val="300"/>
        </w:trPr>
        <w:tc>
          <w:tcPr>
            <w:tcW w:w="2698" w:type="pct"/>
            <w:tcBorders>
              <w:top w:val="single" w:sz="4" w:space="0" w:color="auto"/>
              <w:left w:val="single" w:sz="12" w:space="0" w:color="auto"/>
              <w:bottom w:val="single" w:sz="4" w:space="0" w:color="auto"/>
            </w:tcBorders>
            <w:vAlign w:val="bottom"/>
          </w:tcPr>
          <w:p w14:paraId="05570ECA" w14:textId="77777777" w:rsidR="00505245" w:rsidRPr="005C0801" w:rsidRDefault="00505245" w:rsidP="00505245">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Start-Up Period</w:t>
            </w:r>
          </w:p>
        </w:tc>
        <w:tc>
          <w:tcPr>
            <w:tcW w:w="455" w:type="pct"/>
            <w:tcBorders>
              <w:top w:val="single" w:sz="4" w:space="0" w:color="auto"/>
              <w:bottom w:val="single" w:sz="4" w:space="0" w:color="auto"/>
            </w:tcBorders>
            <w:vAlign w:val="bottom"/>
          </w:tcPr>
          <w:p w14:paraId="77DF1DD7"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4" w:space="0" w:color="auto"/>
              <w:bottom w:val="single" w:sz="4" w:space="0" w:color="auto"/>
            </w:tcBorders>
            <w:vAlign w:val="bottom"/>
          </w:tcPr>
          <w:p w14:paraId="4588C5BB" w14:textId="77777777" w:rsidR="00505245" w:rsidRPr="005C0801" w:rsidRDefault="00505245" w:rsidP="00505245">
            <w:pPr>
              <w:rPr>
                <w:rFonts w:ascii="Times New Roman" w:hAnsi="Times New Roman" w:cs="Times New Roman"/>
                <w:b/>
                <w:bCs/>
                <w:color w:val="000000"/>
                <w:sz w:val="20"/>
                <w:szCs w:val="20"/>
              </w:rPr>
            </w:pPr>
          </w:p>
        </w:tc>
        <w:tc>
          <w:tcPr>
            <w:tcW w:w="454" w:type="pct"/>
            <w:tcBorders>
              <w:top w:val="single" w:sz="4" w:space="0" w:color="auto"/>
              <w:bottom w:val="single" w:sz="4" w:space="0" w:color="auto"/>
            </w:tcBorders>
            <w:vAlign w:val="bottom"/>
          </w:tcPr>
          <w:p w14:paraId="2B165DE4" w14:textId="77777777" w:rsidR="00505245" w:rsidRPr="005C0801" w:rsidRDefault="00505245" w:rsidP="00505245">
            <w:pPr>
              <w:rPr>
                <w:rFonts w:ascii="Times New Roman" w:hAnsi="Times New Roman" w:cs="Times New Roman"/>
                <w:b/>
                <w:bCs/>
                <w:color w:val="000000"/>
                <w:sz w:val="20"/>
                <w:szCs w:val="20"/>
              </w:rPr>
            </w:pPr>
          </w:p>
        </w:tc>
        <w:tc>
          <w:tcPr>
            <w:tcW w:w="486" w:type="pct"/>
            <w:tcBorders>
              <w:top w:val="single" w:sz="4" w:space="0" w:color="auto"/>
              <w:bottom w:val="single" w:sz="4" w:space="0" w:color="auto"/>
            </w:tcBorders>
            <w:vAlign w:val="bottom"/>
          </w:tcPr>
          <w:p w14:paraId="141CCE32" w14:textId="77777777" w:rsidR="00505245" w:rsidRPr="005C0801" w:rsidRDefault="00505245" w:rsidP="00505245">
            <w:pPr>
              <w:rPr>
                <w:rFonts w:ascii="Times New Roman" w:hAnsi="Times New Roman" w:cs="Times New Roman"/>
                <w:b/>
                <w:bCs/>
                <w:color w:val="000000"/>
                <w:sz w:val="20"/>
                <w:szCs w:val="20"/>
              </w:rPr>
            </w:pPr>
          </w:p>
        </w:tc>
        <w:tc>
          <w:tcPr>
            <w:tcW w:w="549" w:type="pct"/>
            <w:tcBorders>
              <w:top w:val="single" w:sz="4" w:space="0" w:color="auto"/>
              <w:bottom w:val="single" w:sz="4" w:space="0" w:color="auto"/>
              <w:right w:val="single" w:sz="12" w:space="0" w:color="auto"/>
            </w:tcBorders>
            <w:noWrap/>
            <w:vAlign w:val="bottom"/>
          </w:tcPr>
          <w:p w14:paraId="301F09E4" w14:textId="77777777" w:rsidR="00505245" w:rsidRPr="005C0801" w:rsidRDefault="00505245" w:rsidP="00505245">
            <w:pPr>
              <w:jc w:val="center"/>
              <w:rPr>
                <w:rFonts w:ascii="Times New Roman" w:hAnsi="Times New Roman" w:cs="Times New Roman"/>
                <w:b/>
                <w:bCs/>
                <w:color w:val="000000"/>
                <w:sz w:val="20"/>
                <w:szCs w:val="20"/>
              </w:rPr>
            </w:pPr>
          </w:p>
        </w:tc>
      </w:tr>
      <w:tr w:rsidR="00505245" w:rsidRPr="00D25007" w14:paraId="3EE7E080" w14:textId="77777777" w:rsidTr="00505245">
        <w:trPr>
          <w:cantSplit/>
          <w:trHeight w:val="300"/>
        </w:trPr>
        <w:tc>
          <w:tcPr>
            <w:tcW w:w="2698" w:type="pct"/>
            <w:tcBorders>
              <w:top w:val="single" w:sz="4" w:space="0" w:color="auto"/>
              <w:left w:val="single" w:sz="12" w:space="0" w:color="auto"/>
            </w:tcBorders>
            <w:vAlign w:val="bottom"/>
          </w:tcPr>
          <w:p w14:paraId="5A72095C" w14:textId="77777777" w:rsidR="00505245" w:rsidRPr="005C0801" w:rsidRDefault="00505245" w:rsidP="00505245">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Rule Familiarization</w:t>
            </w:r>
          </w:p>
        </w:tc>
        <w:tc>
          <w:tcPr>
            <w:tcW w:w="455" w:type="pct"/>
            <w:tcBorders>
              <w:top w:val="single" w:sz="4" w:space="0" w:color="auto"/>
            </w:tcBorders>
            <w:vAlign w:val="bottom"/>
          </w:tcPr>
          <w:p w14:paraId="63DDE7E2"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4" w:space="0" w:color="auto"/>
            </w:tcBorders>
            <w:vAlign w:val="center"/>
          </w:tcPr>
          <w:p w14:paraId="5315C4A8"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tcBorders>
              <w:top w:val="single" w:sz="4" w:space="0" w:color="auto"/>
            </w:tcBorders>
            <w:vAlign w:val="center"/>
          </w:tcPr>
          <w:p w14:paraId="05264F08"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2.000</w:t>
            </w:r>
          </w:p>
        </w:tc>
        <w:tc>
          <w:tcPr>
            <w:tcW w:w="486" w:type="pct"/>
            <w:tcBorders>
              <w:top w:val="single" w:sz="4" w:space="0" w:color="auto"/>
              <w:right w:val="single" w:sz="4" w:space="0" w:color="auto"/>
            </w:tcBorders>
            <w:vAlign w:val="center"/>
          </w:tcPr>
          <w:p w14:paraId="29B28BE6"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2.000</w:t>
            </w:r>
          </w:p>
        </w:tc>
        <w:tc>
          <w:tcPr>
            <w:tcW w:w="549" w:type="pct"/>
            <w:tcBorders>
              <w:top w:val="single" w:sz="4" w:space="0" w:color="auto"/>
              <w:left w:val="single" w:sz="4" w:space="0" w:color="auto"/>
              <w:right w:val="single" w:sz="12" w:space="0" w:color="auto"/>
            </w:tcBorders>
            <w:noWrap/>
            <w:vAlign w:val="center"/>
          </w:tcPr>
          <w:p w14:paraId="41ADAD8D"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4.000</w:t>
            </w:r>
          </w:p>
        </w:tc>
      </w:tr>
      <w:tr w:rsidR="00505245" w:rsidRPr="00D25007" w14:paraId="5828446F" w14:textId="77777777" w:rsidTr="00505245">
        <w:trPr>
          <w:cantSplit/>
          <w:trHeight w:val="300"/>
        </w:trPr>
        <w:tc>
          <w:tcPr>
            <w:tcW w:w="2698" w:type="pct"/>
            <w:tcBorders>
              <w:left w:val="single" w:sz="12" w:space="0" w:color="auto"/>
            </w:tcBorders>
            <w:vAlign w:val="bottom"/>
          </w:tcPr>
          <w:p w14:paraId="609C6604" w14:textId="77777777" w:rsidR="00505245" w:rsidRPr="005C0801" w:rsidRDefault="00505245" w:rsidP="00505245">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Compliance Determination</w:t>
            </w:r>
          </w:p>
        </w:tc>
        <w:tc>
          <w:tcPr>
            <w:tcW w:w="455" w:type="pct"/>
            <w:vAlign w:val="bottom"/>
          </w:tcPr>
          <w:p w14:paraId="6B028749" w14:textId="77777777" w:rsidR="00505245" w:rsidRPr="005C0801" w:rsidRDefault="00505245" w:rsidP="00505245">
            <w:pPr>
              <w:rPr>
                <w:rFonts w:ascii="Times New Roman" w:hAnsi="Times New Roman" w:cs="Times New Roman"/>
                <w:b/>
                <w:bCs/>
                <w:color w:val="000000"/>
                <w:sz w:val="20"/>
                <w:szCs w:val="20"/>
              </w:rPr>
            </w:pPr>
          </w:p>
        </w:tc>
        <w:tc>
          <w:tcPr>
            <w:tcW w:w="358" w:type="pct"/>
            <w:vAlign w:val="center"/>
          </w:tcPr>
          <w:p w14:paraId="5B0CE192"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vAlign w:val="center"/>
          </w:tcPr>
          <w:p w14:paraId="1836872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c>
          <w:tcPr>
            <w:tcW w:w="486" w:type="pct"/>
            <w:tcBorders>
              <w:right w:val="single" w:sz="4" w:space="0" w:color="auto"/>
            </w:tcBorders>
            <w:vAlign w:val="center"/>
          </w:tcPr>
          <w:p w14:paraId="7EEC2A06"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549" w:type="pct"/>
            <w:tcBorders>
              <w:left w:val="single" w:sz="4" w:space="0" w:color="auto"/>
              <w:right w:val="single" w:sz="12" w:space="0" w:color="auto"/>
            </w:tcBorders>
            <w:noWrap/>
            <w:vAlign w:val="center"/>
          </w:tcPr>
          <w:p w14:paraId="45152B3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r>
      <w:tr w:rsidR="00505245" w:rsidRPr="00D25007" w14:paraId="79A0ED0E" w14:textId="77777777" w:rsidTr="00505245">
        <w:trPr>
          <w:cantSplit/>
          <w:trHeight w:val="300"/>
        </w:trPr>
        <w:tc>
          <w:tcPr>
            <w:tcW w:w="2698" w:type="pct"/>
            <w:tcBorders>
              <w:left w:val="single" w:sz="12" w:space="0" w:color="auto"/>
              <w:bottom w:val="single" w:sz="4" w:space="0" w:color="auto"/>
            </w:tcBorders>
            <w:vAlign w:val="bottom"/>
          </w:tcPr>
          <w:p w14:paraId="1BD6338A" w14:textId="77777777" w:rsidR="00505245" w:rsidRPr="005C0801" w:rsidRDefault="00505245" w:rsidP="00505245">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Form Completion</w:t>
            </w:r>
          </w:p>
        </w:tc>
        <w:tc>
          <w:tcPr>
            <w:tcW w:w="455" w:type="pct"/>
            <w:tcBorders>
              <w:bottom w:val="single" w:sz="4" w:space="0" w:color="auto"/>
            </w:tcBorders>
            <w:vAlign w:val="bottom"/>
          </w:tcPr>
          <w:p w14:paraId="0383E71D" w14:textId="77777777" w:rsidR="00505245" w:rsidRPr="005C0801" w:rsidRDefault="00505245" w:rsidP="00505245">
            <w:pPr>
              <w:rPr>
                <w:rFonts w:ascii="Times New Roman" w:hAnsi="Times New Roman" w:cs="Times New Roman"/>
                <w:b/>
                <w:bCs/>
                <w:color w:val="000000"/>
                <w:sz w:val="20"/>
                <w:szCs w:val="20"/>
              </w:rPr>
            </w:pPr>
          </w:p>
        </w:tc>
        <w:tc>
          <w:tcPr>
            <w:tcW w:w="358" w:type="pct"/>
            <w:tcBorders>
              <w:bottom w:val="single" w:sz="4" w:space="0" w:color="auto"/>
            </w:tcBorders>
            <w:vAlign w:val="center"/>
          </w:tcPr>
          <w:p w14:paraId="7645FCED"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tcBorders>
              <w:bottom w:val="single" w:sz="4" w:space="0" w:color="auto"/>
            </w:tcBorders>
            <w:vAlign w:val="center"/>
          </w:tcPr>
          <w:p w14:paraId="7605158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6.057</w:t>
            </w:r>
          </w:p>
        </w:tc>
        <w:tc>
          <w:tcPr>
            <w:tcW w:w="486" w:type="pct"/>
            <w:tcBorders>
              <w:bottom w:val="single" w:sz="4" w:space="0" w:color="auto"/>
              <w:right w:val="single" w:sz="4" w:space="0" w:color="auto"/>
            </w:tcBorders>
            <w:vAlign w:val="center"/>
          </w:tcPr>
          <w:p w14:paraId="3C1862A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2.754</w:t>
            </w:r>
          </w:p>
        </w:tc>
        <w:tc>
          <w:tcPr>
            <w:tcW w:w="549" w:type="pct"/>
            <w:tcBorders>
              <w:left w:val="single" w:sz="4" w:space="0" w:color="auto"/>
              <w:bottom w:val="single" w:sz="4" w:space="0" w:color="auto"/>
              <w:right w:val="single" w:sz="12" w:space="0" w:color="auto"/>
            </w:tcBorders>
            <w:noWrap/>
            <w:vAlign w:val="center"/>
          </w:tcPr>
          <w:p w14:paraId="0E8E06A0"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8.811</w:t>
            </w:r>
          </w:p>
        </w:tc>
      </w:tr>
      <w:tr w:rsidR="00505245" w:rsidRPr="00D25007" w14:paraId="08915D08" w14:textId="77777777" w:rsidTr="00505245">
        <w:trPr>
          <w:cantSplit/>
          <w:trHeight w:val="300"/>
        </w:trPr>
        <w:tc>
          <w:tcPr>
            <w:tcW w:w="2698" w:type="pct"/>
            <w:tcBorders>
              <w:top w:val="single" w:sz="4" w:space="0" w:color="auto"/>
              <w:left w:val="single" w:sz="12" w:space="0" w:color="auto"/>
            </w:tcBorders>
            <w:vAlign w:val="bottom"/>
          </w:tcPr>
          <w:p w14:paraId="2DB3367C" w14:textId="77777777" w:rsidR="00505245" w:rsidRPr="005C0801" w:rsidRDefault="00505245" w:rsidP="00505245">
            <w:pPr>
              <w:rPr>
                <w:rFonts w:ascii="Times New Roman" w:hAnsi="Times New Roman" w:cs="Times New Roman"/>
                <w:bCs/>
                <w:color w:val="000000"/>
                <w:sz w:val="20"/>
                <w:szCs w:val="20"/>
                <w:vertAlign w:val="superscript"/>
              </w:rPr>
            </w:pPr>
            <w:r w:rsidRPr="005C0801">
              <w:rPr>
                <w:rFonts w:ascii="Times New Roman" w:hAnsi="Times New Roman" w:cs="Times New Roman"/>
                <w:bCs/>
                <w:color w:val="000000"/>
                <w:sz w:val="20"/>
                <w:szCs w:val="20"/>
              </w:rPr>
              <w:t xml:space="preserve">Typical Average Unit Burden per Firm without Recordkeeping </w:t>
            </w:r>
            <w:r w:rsidRPr="005C0801">
              <w:rPr>
                <w:rFonts w:ascii="Times New Roman" w:hAnsi="Times New Roman" w:cs="Times New Roman"/>
                <w:bCs/>
                <w:color w:val="000000"/>
                <w:sz w:val="20"/>
                <w:szCs w:val="20"/>
                <w:vertAlign w:val="superscript"/>
              </w:rPr>
              <w:t>5</w:t>
            </w:r>
          </w:p>
        </w:tc>
        <w:tc>
          <w:tcPr>
            <w:tcW w:w="455" w:type="pct"/>
            <w:tcBorders>
              <w:top w:val="single" w:sz="4" w:space="0" w:color="auto"/>
            </w:tcBorders>
            <w:vAlign w:val="bottom"/>
          </w:tcPr>
          <w:p w14:paraId="4F3E0B63"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4" w:space="0" w:color="auto"/>
            </w:tcBorders>
            <w:vAlign w:val="center"/>
          </w:tcPr>
          <w:p w14:paraId="1A47B4BA" w14:textId="77777777" w:rsidR="00505245" w:rsidRPr="005C0801" w:rsidRDefault="00505245" w:rsidP="00505245">
            <w:pPr>
              <w:jc w:val="center"/>
              <w:rPr>
                <w:rFonts w:ascii="Times New Roman" w:hAnsi="Times New Roman" w:cs="Times New Roman"/>
                <w:bCs/>
                <w:color w:val="000000"/>
                <w:sz w:val="20"/>
                <w:szCs w:val="20"/>
              </w:rPr>
            </w:pPr>
          </w:p>
        </w:tc>
        <w:tc>
          <w:tcPr>
            <w:tcW w:w="454" w:type="pct"/>
            <w:tcBorders>
              <w:top w:val="single" w:sz="4" w:space="0" w:color="auto"/>
            </w:tcBorders>
            <w:vAlign w:val="center"/>
          </w:tcPr>
          <w:p w14:paraId="4BECFC4A" w14:textId="77777777" w:rsidR="00505245" w:rsidRPr="005C0801" w:rsidRDefault="00505245" w:rsidP="00505245">
            <w:pPr>
              <w:jc w:val="center"/>
              <w:rPr>
                <w:rFonts w:ascii="Times New Roman" w:hAnsi="Times New Roman" w:cs="Times New Roman"/>
                <w:bCs/>
                <w:color w:val="000000"/>
                <w:sz w:val="20"/>
                <w:szCs w:val="20"/>
              </w:rPr>
            </w:pPr>
          </w:p>
        </w:tc>
        <w:tc>
          <w:tcPr>
            <w:tcW w:w="486" w:type="pct"/>
            <w:tcBorders>
              <w:top w:val="single" w:sz="4" w:space="0" w:color="auto"/>
              <w:right w:val="single" w:sz="4" w:space="0" w:color="auto"/>
            </w:tcBorders>
            <w:vAlign w:val="center"/>
          </w:tcPr>
          <w:p w14:paraId="5D978FFA" w14:textId="77777777" w:rsidR="00505245" w:rsidRPr="005C0801" w:rsidRDefault="00505245" w:rsidP="00505245">
            <w:pPr>
              <w:jc w:val="center"/>
              <w:rPr>
                <w:rFonts w:ascii="Times New Roman" w:hAnsi="Times New Roman" w:cs="Times New Roman"/>
                <w:bCs/>
                <w:color w:val="000000"/>
                <w:sz w:val="20"/>
                <w:szCs w:val="20"/>
              </w:rPr>
            </w:pPr>
          </w:p>
        </w:tc>
        <w:tc>
          <w:tcPr>
            <w:tcW w:w="549" w:type="pct"/>
            <w:tcBorders>
              <w:top w:val="single" w:sz="4" w:space="0" w:color="auto"/>
              <w:left w:val="single" w:sz="4" w:space="0" w:color="auto"/>
              <w:right w:val="single" w:sz="12" w:space="0" w:color="auto"/>
            </w:tcBorders>
            <w:noWrap/>
            <w:vAlign w:val="center"/>
          </w:tcPr>
          <w:p w14:paraId="1A7B55A5"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14.805</w:t>
            </w:r>
          </w:p>
        </w:tc>
      </w:tr>
      <w:tr w:rsidR="00505245" w:rsidRPr="00D25007" w14:paraId="6DCBA963" w14:textId="77777777" w:rsidTr="00505245">
        <w:trPr>
          <w:cantSplit/>
          <w:trHeight w:val="300"/>
        </w:trPr>
        <w:tc>
          <w:tcPr>
            <w:tcW w:w="2698" w:type="pct"/>
            <w:tcBorders>
              <w:left w:val="single" w:sz="12" w:space="0" w:color="auto"/>
              <w:bottom w:val="single" w:sz="12" w:space="0" w:color="auto"/>
            </w:tcBorders>
            <w:vAlign w:val="bottom"/>
          </w:tcPr>
          <w:p w14:paraId="4BAAB753" w14:textId="77777777" w:rsidR="00505245" w:rsidRPr="005C0801" w:rsidRDefault="00505245" w:rsidP="00505245">
            <w:pPr>
              <w:rPr>
                <w:rFonts w:ascii="Times New Roman" w:hAnsi="Times New Roman" w:cs="Times New Roman"/>
                <w:bCs/>
                <w:i/>
                <w:color w:val="000000"/>
                <w:sz w:val="20"/>
                <w:szCs w:val="20"/>
              </w:rPr>
            </w:pPr>
            <w:r w:rsidRPr="005C0801">
              <w:rPr>
                <w:rFonts w:ascii="Times New Roman" w:hAnsi="Times New Roman" w:cs="Times New Roman"/>
                <w:bCs/>
                <w:i/>
                <w:color w:val="000000"/>
                <w:sz w:val="20"/>
                <w:szCs w:val="20"/>
              </w:rPr>
              <w:t>Recordkeeping</w:t>
            </w:r>
          </w:p>
        </w:tc>
        <w:tc>
          <w:tcPr>
            <w:tcW w:w="455" w:type="pct"/>
            <w:tcBorders>
              <w:bottom w:val="single" w:sz="12" w:space="0" w:color="auto"/>
            </w:tcBorders>
            <w:vAlign w:val="bottom"/>
          </w:tcPr>
          <w:p w14:paraId="6F47C690" w14:textId="77777777" w:rsidR="00505245" w:rsidRPr="005C0801" w:rsidRDefault="00505245" w:rsidP="00505245">
            <w:pPr>
              <w:rPr>
                <w:rFonts w:ascii="Times New Roman" w:hAnsi="Times New Roman" w:cs="Times New Roman"/>
                <w:b/>
                <w:bCs/>
                <w:color w:val="000000"/>
                <w:sz w:val="20"/>
                <w:szCs w:val="20"/>
              </w:rPr>
            </w:pPr>
          </w:p>
        </w:tc>
        <w:tc>
          <w:tcPr>
            <w:tcW w:w="358" w:type="pct"/>
            <w:tcBorders>
              <w:bottom w:val="single" w:sz="12" w:space="0" w:color="auto"/>
            </w:tcBorders>
            <w:vAlign w:val="center"/>
          </w:tcPr>
          <w:p w14:paraId="2F99733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c>
          <w:tcPr>
            <w:tcW w:w="454" w:type="pct"/>
            <w:tcBorders>
              <w:bottom w:val="single" w:sz="12" w:space="0" w:color="auto"/>
            </w:tcBorders>
            <w:vAlign w:val="center"/>
          </w:tcPr>
          <w:p w14:paraId="2CE66E15"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86" w:type="pct"/>
            <w:tcBorders>
              <w:bottom w:val="single" w:sz="12" w:space="0" w:color="auto"/>
              <w:right w:val="single" w:sz="4" w:space="0" w:color="auto"/>
            </w:tcBorders>
            <w:vAlign w:val="center"/>
          </w:tcPr>
          <w:p w14:paraId="1F19F8B1"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549" w:type="pct"/>
            <w:tcBorders>
              <w:left w:val="single" w:sz="4" w:space="0" w:color="auto"/>
              <w:bottom w:val="single" w:sz="12" w:space="0" w:color="auto"/>
              <w:right w:val="single" w:sz="12" w:space="0" w:color="auto"/>
            </w:tcBorders>
            <w:noWrap/>
            <w:vAlign w:val="center"/>
          </w:tcPr>
          <w:p w14:paraId="426668B4"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r>
      <w:tr w:rsidR="00505245" w:rsidRPr="00D25007" w14:paraId="74040BB1" w14:textId="77777777" w:rsidTr="00505245">
        <w:trPr>
          <w:cantSplit/>
          <w:trHeight w:val="300"/>
        </w:trPr>
        <w:tc>
          <w:tcPr>
            <w:tcW w:w="2698" w:type="pct"/>
            <w:tcBorders>
              <w:top w:val="single" w:sz="12" w:space="0" w:color="auto"/>
              <w:left w:val="single" w:sz="12" w:space="0" w:color="auto"/>
              <w:bottom w:val="single" w:sz="12" w:space="0" w:color="auto"/>
            </w:tcBorders>
            <w:vAlign w:val="bottom"/>
          </w:tcPr>
          <w:p w14:paraId="392E3FAA" w14:textId="77777777" w:rsidR="00505245" w:rsidRPr="005C0801" w:rsidRDefault="00505245" w:rsidP="00505245">
            <w:pPr>
              <w:rPr>
                <w:rFonts w:ascii="Times New Roman" w:hAnsi="Times New Roman" w:cs="Times New Roman"/>
                <w:b/>
                <w:bCs/>
                <w:color w:val="000000"/>
                <w:sz w:val="20"/>
                <w:szCs w:val="20"/>
                <w:vertAlign w:val="superscript"/>
              </w:rPr>
            </w:pPr>
            <w:r w:rsidRPr="005C0801">
              <w:rPr>
                <w:rFonts w:ascii="Times New Roman" w:hAnsi="Times New Roman" w:cs="Times New Roman"/>
                <w:b/>
                <w:bCs/>
                <w:color w:val="000000"/>
                <w:sz w:val="20"/>
                <w:szCs w:val="20"/>
              </w:rPr>
              <w:t xml:space="preserve">TOTAL, Typical Average Unit Burden per Firm </w:t>
            </w:r>
            <w:r w:rsidRPr="005C0801">
              <w:rPr>
                <w:rFonts w:ascii="Times New Roman" w:hAnsi="Times New Roman" w:cs="Times New Roman"/>
                <w:b/>
                <w:bCs/>
                <w:color w:val="000000"/>
                <w:sz w:val="20"/>
                <w:szCs w:val="20"/>
                <w:vertAlign w:val="superscript"/>
              </w:rPr>
              <w:t>5</w:t>
            </w:r>
          </w:p>
        </w:tc>
        <w:tc>
          <w:tcPr>
            <w:tcW w:w="455" w:type="pct"/>
            <w:tcBorders>
              <w:top w:val="single" w:sz="12" w:space="0" w:color="auto"/>
              <w:bottom w:val="single" w:sz="12" w:space="0" w:color="auto"/>
            </w:tcBorders>
            <w:vAlign w:val="bottom"/>
          </w:tcPr>
          <w:p w14:paraId="3E4D2A9C"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12" w:space="0" w:color="auto"/>
              <w:bottom w:val="single" w:sz="12" w:space="0" w:color="auto"/>
            </w:tcBorders>
            <w:vAlign w:val="center"/>
          </w:tcPr>
          <w:p w14:paraId="316871F2" w14:textId="77777777" w:rsidR="00505245" w:rsidRPr="005C0801" w:rsidRDefault="00505245" w:rsidP="00505245">
            <w:pPr>
              <w:jc w:val="center"/>
              <w:rPr>
                <w:rFonts w:ascii="Times New Roman" w:hAnsi="Times New Roman" w:cs="Times New Roman"/>
                <w:bCs/>
                <w:color w:val="000000"/>
                <w:sz w:val="20"/>
                <w:szCs w:val="20"/>
              </w:rPr>
            </w:pPr>
          </w:p>
        </w:tc>
        <w:tc>
          <w:tcPr>
            <w:tcW w:w="454" w:type="pct"/>
            <w:tcBorders>
              <w:top w:val="single" w:sz="12" w:space="0" w:color="auto"/>
              <w:bottom w:val="single" w:sz="12" w:space="0" w:color="auto"/>
            </w:tcBorders>
            <w:vAlign w:val="center"/>
          </w:tcPr>
          <w:p w14:paraId="0EE83180" w14:textId="77777777" w:rsidR="00505245" w:rsidRPr="005C0801" w:rsidRDefault="00505245" w:rsidP="00505245">
            <w:pPr>
              <w:jc w:val="center"/>
              <w:rPr>
                <w:rFonts w:ascii="Times New Roman" w:hAnsi="Times New Roman" w:cs="Times New Roman"/>
                <w:bCs/>
                <w:color w:val="000000"/>
                <w:sz w:val="20"/>
                <w:szCs w:val="20"/>
              </w:rPr>
            </w:pPr>
          </w:p>
        </w:tc>
        <w:tc>
          <w:tcPr>
            <w:tcW w:w="486" w:type="pct"/>
            <w:tcBorders>
              <w:top w:val="single" w:sz="12" w:space="0" w:color="auto"/>
              <w:bottom w:val="single" w:sz="12" w:space="0" w:color="auto"/>
            </w:tcBorders>
            <w:vAlign w:val="center"/>
          </w:tcPr>
          <w:p w14:paraId="7CBFB424" w14:textId="77777777" w:rsidR="00505245" w:rsidRPr="005C0801" w:rsidRDefault="00505245" w:rsidP="00505245">
            <w:pPr>
              <w:jc w:val="center"/>
              <w:rPr>
                <w:rFonts w:ascii="Times New Roman" w:hAnsi="Times New Roman" w:cs="Times New Roman"/>
                <w:bCs/>
                <w:color w:val="000000"/>
                <w:sz w:val="20"/>
                <w:szCs w:val="20"/>
              </w:rPr>
            </w:pPr>
          </w:p>
        </w:tc>
        <w:tc>
          <w:tcPr>
            <w:tcW w:w="549" w:type="pct"/>
            <w:tcBorders>
              <w:top w:val="single" w:sz="12" w:space="0" w:color="auto"/>
              <w:bottom w:val="single" w:sz="12" w:space="0" w:color="auto"/>
              <w:right w:val="single" w:sz="12" w:space="0" w:color="auto"/>
            </w:tcBorders>
            <w:shd w:val="clear" w:color="auto" w:fill="BFBFBF" w:themeFill="background1" w:themeFillShade="BF"/>
            <w:noWrap/>
            <w:vAlign w:val="center"/>
          </w:tcPr>
          <w:p w14:paraId="616ED591"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14.930</w:t>
            </w:r>
          </w:p>
        </w:tc>
      </w:tr>
      <w:tr w:rsidR="00505245" w:rsidRPr="00D25007" w14:paraId="57F38449" w14:textId="77777777" w:rsidTr="00505245">
        <w:trPr>
          <w:cantSplit/>
          <w:trHeight w:val="300"/>
        </w:trPr>
        <w:tc>
          <w:tcPr>
            <w:tcW w:w="2698" w:type="pct"/>
            <w:tcBorders>
              <w:top w:val="single" w:sz="12" w:space="0" w:color="auto"/>
              <w:left w:val="single" w:sz="12" w:space="0" w:color="auto"/>
              <w:bottom w:val="single" w:sz="4" w:space="0" w:color="auto"/>
            </w:tcBorders>
            <w:vAlign w:val="bottom"/>
          </w:tcPr>
          <w:p w14:paraId="5A417458" w14:textId="77777777" w:rsidR="00505245" w:rsidRPr="005C0801" w:rsidRDefault="00505245" w:rsidP="00505245">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Annual Ongoing Period</w:t>
            </w:r>
          </w:p>
        </w:tc>
        <w:tc>
          <w:tcPr>
            <w:tcW w:w="455" w:type="pct"/>
            <w:tcBorders>
              <w:top w:val="single" w:sz="12" w:space="0" w:color="auto"/>
              <w:bottom w:val="single" w:sz="4" w:space="0" w:color="auto"/>
            </w:tcBorders>
            <w:vAlign w:val="bottom"/>
          </w:tcPr>
          <w:p w14:paraId="1C19354E"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12" w:space="0" w:color="auto"/>
              <w:bottom w:val="single" w:sz="4" w:space="0" w:color="auto"/>
            </w:tcBorders>
            <w:vAlign w:val="center"/>
          </w:tcPr>
          <w:p w14:paraId="0E1EA2F1" w14:textId="77777777" w:rsidR="00505245" w:rsidRPr="005C0801" w:rsidRDefault="00505245" w:rsidP="00505245">
            <w:pPr>
              <w:jc w:val="center"/>
              <w:rPr>
                <w:rFonts w:ascii="Times New Roman" w:hAnsi="Times New Roman" w:cs="Times New Roman"/>
                <w:bCs/>
                <w:color w:val="000000"/>
                <w:sz w:val="20"/>
                <w:szCs w:val="20"/>
              </w:rPr>
            </w:pPr>
          </w:p>
        </w:tc>
        <w:tc>
          <w:tcPr>
            <w:tcW w:w="454" w:type="pct"/>
            <w:tcBorders>
              <w:top w:val="single" w:sz="12" w:space="0" w:color="auto"/>
              <w:bottom w:val="single" w:sz="4" w:space="0" w:color="auto"/>
            </w:tcBorders>
            <w:vAlign w:val="center"/>
          </w:tcPr>
          <w:p w14:paraId="485DB478" w14:textId="77777777" w:rsidR="00505245" w:rsidRPr="005C0801" w:rsidRDefault="00505245" w:rsidP="00505245">
            <w:pPr>
              <w:jc w:val="center"/>
              <w:rPr>
                <w:rFonts w:ascii="Times New Roman" w:hAnsi="Times New Roman" w:cs="Times New Roman"/>
                <w:bCs/>
                <w:color w:val="000000"/>
                <w:sz w:val="20"/>
                <w:szCs w:val="20"/>
              </w:rPr>
            </w:pPr>
          </w:p>
        </w:tc>
        <w:tc>
          <w:tcPr>
            <w:tcW w:w="486" w:type="pct"/>
            <w:tcBorders>
              <w:top w:val="single" w:sz="12" w:space="0" w:color="auto"/>
              <w:bottom w:val="single" w:sz="4" w:space="0" w:color="auto"/>
            </w:tcBorders>
            <w:vAlign w:val="center"/>
          </w:tcPr>
          <w:p w14:paraId="4DE12CEB" w14:textId="77777777" w:rsidR="00505245" w:rsidRPr="005C0801" w:rsidRDefault="00505245" w:rsidP="00505245">
            <w:pPr>
              <w:jc w:val="center"/>
              <w:rPr>
                <w:rFonts w:ascii="Times New Roman" w:hAnsi="Times New Roman" w:cs="Times New Roman"/>
                <w:bCs/>
                <w:color w:val="000000"/>
                <w:sz w:val="20"/>
                <w:szCs w:val="20"/>
              </w:rPr>
            </w:pPr>
          </w:p>
        </w:tc>
        <w:tc>
          <w:tcPr>
            <w:tcW w:w="549" w:type="pct"/>
            <w:tcBorders>
              <w:top w:val="single" w:sz="12" w:space="0" w:color="auto"/>
              <w:bottom w:val="single" w:sz="4" w:space="0" w:color="auto"/>
              <w:right w:val="single" w:sz="12" w:space="0" w:color="auto"/>
            </w:tcBorders>
            <w:shd w:val="clear" w:color="auto" w:fill="auto"/>
            <w:noWrap/>
            <w:vAlign w:val="center"/>
          </w:tcPr>
          <w:p w14:paraId="52851E98" w14:textId="77777777" w:rsidR="00505245" w:rsidRPr="005C0801" w:rsidRDefault="00505245" w:rsidP="00505245">
            <w:pPr>
              <w:jc w:val="center"/>
              <w:rPr>
                <w:rFonts w:ascii="Times New Roman" w:hAnsi="Times New Roman" w:cs="Times New Roman"/>
                <w:b/>
                <w:bCs/>
                <w:color w:val="000000"/>
                <w:sz w:val="20"/>
                <w:szCs w:val="20"/>
              </w:rPr>
            </w:pPr>
          </w:p>
        </w:tc>
      </w:tr>
      <w:tr w:rsidR="00505245" w:rsidRPr="00D25007" w14:paraId="4CD3E47B" w14:textId="77777777" w:rsidTr="00505245">
        <w:trPr>
          <w:cantSplit/>
          <w:trHeight w:val="300"/>
        </w:trPr>
        <w:tc>
          <w:tcPr>
            <w:tcW w:w="2698" w:type="pct"/>
            <w:tcBorders>
              <w:top w:val="single" w:sz="4" w:space="0" w:color="auto"/>
              <w:left w:val="single" w:sz="12" w:space="0" w:color="auto"/>
            </w:tcBorders>
            <w:vAlign w:val="bottom"/>
          </w:tcPr>
          <w:p w14:paraId="3426C0E8" w14:textId="77777777" w:rsidR="00505245" w:rsidRPr="005C0801" w:rsidRDefault="00505245" w:rsidP="00505245">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Rule Familiarization</w:t>
            </w:r>
          </w:p>
        </w:tc>
        <w:tc>
          <w:tcPr>
            <w:tcW w:w="455" w:type="pct"/>
            <w:tcBorders>
              <w:top w:val="single" w:sz="4" w:space="0" w:color="auto"/>
            </w:tcBorders>
            <w:vAlign w:val="bottom"/>
          </w:tcPr>
          <w:p w14:paraId="4DC35CB2"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4" w:space="0" w:color="auto"/>
            </w:tcBorders>
            <w:vAlign w:val="center"/>
          </w:tcPr>
          <w:p w14:paraId="5AC7FF64"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N/A</w:t>
            </w:r>
          </w:p>
        </w:tc>
        <w:tc>
          <w:tcPr>
            <w:tcW w:w="454" w:type="pct"/>
            <w:tcBorders>
              <w:top w:val="single" w:sz="4" w:space="0" w:color="auto"/>
            </w:tcBorders>
            <w:vAlign w:val="center"/>
          </w:tcPr>
          <w:p w14:paraId="459D7A4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N/A</w:t>
            </w:r>
          </w:p>
        </w:tc>
        <w:tc>
          <w:tcPr>
            <w:tcW w:w="486" w:type="pct"/>
            <w:tcBorders>
              <w:top w:val="single" w:sz="4" w:space="0" w:color="auto"/>
              <w:right w:val="single" w:sz="4" w:space="0" w:color="auto"/>
            </w:tcBorders>
            <w:vAlign w:val="center"/>
          </w:tcPr>
          <w:p w14:paraId="4569565A"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N/A</w:t>
            </w:r>
          </w:p>
        </w:tc>
        <w:tc>
          <w:tcPr>
            <w:tcW w:w="549" w:type="pct"/>
            <w:tcBorders>
              <w:top w:val="single" w:sz="4" w:space="0" w:color="auto"/>
              <w:left w:val="single" w:sz="4" w:space="0" w:color="auto"/>
              <w:right w:val="single" w:sz="12" w:space="0" w:color="auto"/>
            </w:tcBorders>
            <w:shd w:val="clear" w:color="auto" w:fill="auto"/>
            <w:noWrap/>
            <w:vAlign w:val="center"/>
          </w:tcPr>
          <w:p w14:paraId="7522A2FE" w14:textId="77777777" w:rsidR="00505245" w:rsidRPr="005C0801" w:rsidRDefault="00505245" w:rsidP="00505245">
            <w:pPr>
              <w:jc w:val="center"/>
              <w:rPr>
                <w:rFonts w:ascii="Times New Roman" w:hAnsi="Times New Roman" w:cs="Times New Roman"/>
                <w:bCs/>
                <w:color w:val="000000"/>
                <w:sz w:val="20"/>
                <w:szCs w:val="20"/>
              </w:rPr>
            </w:pPr>
          </w:p>
        </w:tc>
      </w:tr>
      <w:tr w:rsidR="00505245" w:rsidRPr="00D25007" w14:paraId="6A6AC4A9" w14:textId="77777777" w:rsidTr="00505245">
        <w:trPr>
          <w:cantSplit/>
          <w:trHeight w:val="300"/>
        </w:trPr>
        <w:tc>
          <w:tcPr>
            <w:tcW w:w="2698" w:type="pct"/>
            <w:tcBorders>
              <w:left w:val="single" w:sz="12" w:space="0" w:color="auto"/>
            </w:tcBorders>
            <w:vAlign w:val="bottom"/>
          </w:tcPr>
          <w:p w14:paraId="77F12669" w14:textId="77777777" w:rsidR="00505245" w:rsidRPr="005C0801" w:rsidRDefault="00505245" w:rsidP="00505245">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Compliance Determination</w:t>
            </w:r>
          </w:p>
        </w:tc>
        <w:tc>
          <w:tcPr>
            <w:tcW w:w="455" w:type="pct"/>
            <w:vAlign w:val="bottom"/>
          </w:tcPr>
          <w:p w14:paraId="795B8147" w14:textId="77777777" w:rsidR="00505245" w:rsidRPr="005C0801" w:rsidRDefault="00505245" w:rsidP="00505245">
            <w:pPr>
              <w:rPr>
                <w:rFonts w:ascii="Times New Roman" w:hAnsi="Times New Roman" w:cs="Times New Roman"/>
                <w:b/>
                <w:bCs/>
                <w:color w:val="000000"/>
                <w:sz w:val="20"/>
                <w:szCs w:val="20"/>
              </w:rPr>
            </w:pPr>
          </w:p>
        </w:tc>
        <w:tc>
          <w:tcPr>
            <w:tcW w:w="358" w:type="pct"/>
            <w:vAlign w:val="center"/>
          </w:tcPr>
          <w:p w14:paraId="467B79CD"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vAlign w:val="center"/>
          </w:tcPr>
          <w:p w14:paraId="09FC94CD"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c>
          <w:tcPr>
            <w:tcW w:w="486" w:type="pct"/>
            <w:tcBorders>
              <w:right w:val="single" w:sz="4" w:space="0" w:color="auto"/>
            </w:tcBorders>
            <w:vAlign w:val="center"/>
          </w:tcPr>
          <w:p w14:paraId="39E54275"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549" w:type="pct"/>
            <w:tcBorders>
              <w:left w:val="single" w:sz="4" w:space="0" w:color="auto"/>
              <w:right w:val="single" w:sz="12" w:space="0" w:color="auto"/>
            </w:tcBorders>
            <w:shd w:val="clear" w:color="auto" w:fill="auto"/>
            <w:noWrap/>
            <w:vAlign w:val="center"/>
          </w:tcPr>
          <w:p w14:paraId="2B334F02"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r>
      <w:tr w:rsidR="00505245" w:rsidRPr="00D25007" w14:paraId="41424FC1" w14:textId="77777777" w:rsidTr="00505245">
        <w:trPr>
          <w:cantSplit/>
          <w:trHeight w:val="300"/>
        </w:trPr>
        <w:tc>
          <w:tcPr>
            <w:tcW w:w="2698" w:type="pct"/>
            <w:tcBorders>
              <w:left w:val="single" w:sz="12" w:space="0" w:color="auto"/>
              <w:bottom w:val="single" w:sz="4" w:space="0" w:color="auto"/>
            </w:tcBorders>
            <w:vAlign w:val="bottom"/>
          </w:tcPr>
          <w:p w14:paraId="1D07656F" w14:textId="77777777" w:rsidR="00505245" w:rsidRPr="005C0801" w:rsidRDefault="00505245" w:rsidP="00505245">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Form Completion</w:t>
            </w:r>
          </w:p>
        </w:tc>
        <w:tc>
          <w:tcPr>
            <w:tcW w:w="455" w:type="pct"/>
            <w:tcBorders>
              <w:bottom w:val="single" w:sz="4" w:space="0" w:color="auto"/>
            </w:tcBorders>
            <w:vAlign w:val="bottom"/>
          </w:tcPr>
          <w:p w14:paraId="3FCB053A" w14:textId="77777777" w:rsidR="00505245" w:rsidRPr="005C0801" w:rsidRDefault="00505245" w:rsidP="00505245">
            <w:pPr>
              <w:rPr>
                <w:rFonts w:ascii="Times New Roman" w:hAnsi="Times New Roman" w:cs="Times New Roman"/>
                <w:b/>
                <w:bCs/>
                <w:color w:val="000000"/>
                <w:sz w:val="20"/>
                <w:szCs w:val="20"/>
              </w:rPr>
            </w:pPr>
          </w:p>
        </w:tc>
        <w:tc>
          <w:tcPr>
            <w:tcW w:w="358" w:type="pct"/>
            <w:tcBorders>
              <w:bottom w:val="single" w:sz="4" w:space="0" w:color="auto"/>
            </w:tcBorders>
            <w:vAlign w:val="center"/>
          </w:tcPr>
          <w:p w14:paraId="6A945ADC"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54" w:type="pct"/>
            <w:tcBorders>
              <w:bottom w:val="single" w:sz="4" w:space="0" w:color="auto"/>
            </w:tcBorders>
            <w:vAlign w:val="center"/>
          </w:tcPr>
          <w:p w14:paraId="586E8D20"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6.363</w:t>
            </w:r>
          </w:p>
        </w:tc>
        <w:tc>
          <w:tcPr>
            <w:tcW w:w="486" w:type="pct"/>
            <w:tcBorders>
              <w:bottom w:val="single" w:sz="4" w:space="0" w:color="auto"/>
              <w:right w:val="single" w:sz="4" w:space="0" w:color="auto"/>
            </w:tcBorders>
            <w:vAlign w:val="center"/>
          </w:tcPr>
          <w:p w14:paraId="2428F159"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2.754</w:t>
            </w:r>
          </w:p>
        </w:tc>
        <w:tc>
          <w:tcPr>
            <w:tcW w:w="549" w:type="pct"/>
            <w:tcBorders>
              <w:left w:val="single" w:sz="4" w:space="0" w:color="auto"/>
              <w:bottom w:val="single" w:sz="4" w:space="0" w:color="auto"/>
              <w:right w:val="single" w:sz="12" w:space="0" w:color="auto"/>
            </w:tcBorders>
            <w:shd w:val="clear" w:color="auto" w:fill="auto"/>
            <w:noWrap/>
            <w:vAlign w:val="center"/>
          </w:tcPr>
          <w:p w14:paraId="51BFAC50"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9.117</w:t>
            </w:r>
          </w:p>
        </w:tc>
      </w:tr>
      <w:tr w:rsidR="00505245" w:rsidRPr="00D25007" w14:paraId="4DE3E496" w14:textId="77777777" w:rsidTr="00505245">
        <w:trPr>
          <w:cantSplit/>
          <w:trHeight w:val="300"/>
        </w:trPr>
        <w:tc>
          <w:tcPr>
            <w:tcW w:w="2698" w:type="pct"/>
            <w:tcBorders>
              <w:top w:val="single" w:sz="4" w:space="0" w:color="auto"/>
              <w:left w:val="single" w:sz="12" w:space="0" w:color="auto"/>
            </w:tcBorders>
            <w:vAlign w:val="bottom"/>
          </w:tcPr>
          <w:p w14:paraId="27FA7F06" w14:textId="77777777" w:rsidR="00505245" w:rsidRPr="005C0801" w:rsidRDefault="00505245" w:rsidP="00505245">
            <w:pPr>
              <w:rPr>
                <w:rFonts w:ascii="Times New Roman" w:hAnsi="Times New Roman" w:cs="Times New Roman"/>
                <w:bCs/>
                <w:color w:val="000000"/>
                <w:sz w:val="20"/>
                <w:szCs w:val="20"/>
                <w:vertAlign w:val="superscript"/>
              </w:rPr>
            </w:pPr>
            <w:r w:rsidRPr="005C0801">
              <w:rPr>
                <w:rFonts w:ascii="Times New Roman" w:hAnsi="Times New Roman" w:cs="Times New Roman"/>
                <w:bCs/>
                <w:color w:val="000000"/>
                <w:sz w:val="20"/>
                <w:szCs w:val="20"/>
              </w:rPr>
              <w:t xml:space="preserve">Average Annual Ongoing Unit Burden per Firm without Recordkeeping </w:t>
            </w:r>
            <w:r w:rsidRPr="005C0801">
              <w:rPr>
                <w:rFonts w:ascii="Times New Roman" w:hAnsi="Times New Roman" w:cs="Times New Roman"/>
                <w:bCs/>
                <w:color w:val="000000"/>
                <w:sz w:val="20"/>
                <w:szCs w:val="20"/>
                <w:vertAlign w:val="superscript"/>
              </w:rPr>
              <w:t>5</w:t>
            </w:r>
          </w:p>
        </w:tc>
        <w:tc>
          <w:tcPr>
            <w:tcW w:w="455" w:type="pct"/>
            <w:tcBorders>
              <w:top w:val="single" w:sz="4" w:space="0" w:color="auto"/>
            </w:tcBorders>
            <w:vAlign w:val="bottom"/>
          </w:tcPr>
          <w:p w14:paraId="4FE7CFD6"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4" w:space="0" w:color="auto"/>
            </w:tcBorders>
            <w:vAlign w:val="center"/>
          </w:tcPr>
          <w:p w14:paraId="0B1D2999" w14:textId="77777777" w:rsidR="00505245" w:rsidRPr="005C0801" w:rsidRDefault="00505245" w:rsidP="00505245">
            <w:pPr>
              <w:jc w:val="center"/>
              <w:rPr>
                <w:rFonts w:ascii="Times New Roman" w:hAnsi="Times New Roman" w:cs="Times New Roman"/>
                <w:bCs/>
                <w:color w:val="000000"/>
                <w:sz w:val="20"/>
                <w:szCs w:val="20"/>
              </w:rPr>
            </w:pPr>
          </w:p>
        </w:tc>
        <w:tc>
          <w:tcPr>
            <w:tcW w:w="454" w:type="pct"/>
            <w:tcBorders>
              <w:top w:val="single" w:sz="4" w:space="0" w:color="auto"/>
            </w:tcBorders>
            <w:vAlign w:val="center"/>
          </w:tcPr>
          <w:p w14:paraId="78D198C9" w14:textId="77777777" w:rsidR="00505245" w:rsidRPr="005C0801" w:rsidRDefault="00505245" w:rsidP="00505245">
            <w:pPr>
              <w:jc w:val="center"/>
              <w:rPr>
                <w:rFonts w:ascii="Times New Roman" w:hAnsi="Times New Roman" w:cs="Times New Roman"/>
                <w:bCs/>
                <w:color w:val="000000"/>
                <w:sz w:val="20"/>
                <w:szCs w:val="20"/>
              </w:rPr>
            </w:pPr>
          </w:p>
        </w:tc>
        <w:tc>
          <w:tcPr>
            <w:tcW w:w="486" w:type="pct"/>
            <w:tcBorders>
              <w:top w:val="single" w:sz="4" w:space="0" w:color="auto"/>
              <w:right w:val="single" w:sz="4" w:space="0" w:color="auto"/>
            </w:tcBorders>
            <w:vAlign w:val="center"/>
          </w:tcPr>
          <w:p w14:paraId="1BDF5ECB" w14:textId="77777777" w:rsidR="00505245" w:rsidRPr="005C0801" w:rsidRDefault="00505245" w:rsidP="00505245">
            <w:pPr>
              <w:jc w:val="center"/>
              <w:rPr>
                <w:rFonts w:ascii="Times New Roman" w:hAnsi="Times New Roman" w:cs="Times New Roman"/>
                <w:bCs/>
                <w:color w:val="000000"/>
                <w:sz w:val="20"/>
                <w:szCs w:val="20"/>
              </w:rPr>
            </w:pPr>
          </w:p>
        </w:tc>
        <w:tc>
          <w:tcPr>
            <w:tcW w:w="549" w:type="pct"/>
            <w:tcBorders>
              <w:top w:val="single" w:sz="4" w:space="0" w:color="auto"/>
              <w:left w:val="single" w:sz="4" w:space="0" w:color="auto"/>
              <w:right w:val="single" w:sz="12" w:space="0" w:color="auto"/>
            </w:tcBorders>
            <w:shd w:val="clear" w:color="auto" w:fill="auto"/>
            <w:noWrap/>
            <w:vAlign w:val="center"/>
          </w:tcPr>
          <w:p w14:paraId="63444A51"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11.111</w:t>
            </w:r>
          </w:p>
        </w:tc>
      </w:tr>
      <w:tr w:rsidR="00505245" w:rsidRPr="00D25007" w14:paraId="6899ABA2" w14:textId="77777777" w:rsidTr="00505245">
        <w:trPr>
          <w:cantSplit/>
          <w:trHeight w:val="300"/>
        </w:trPr>
        <w:tc>
          <w:tcPr>
            <w:tcW w:w="2698" w:type="pct"/>
            <w:tcBorders>
              <w:left w:val="single" w:sz="12" w:space="0" w:color="auto"/>
              <w:bottom w:val="single" w:sz="12" w:space="0" w:color="auto"/>
            </w:tcBorders>
            <w:vAlign w:val="bottom"/>
          </w:tcPr>
          <w:p w14:paraId="3AC51C32" w14:textId="77777777" w:rsidR="00505245" w:rsidRPr="005C0801" w:rsidRDefault="00505245" w:rsidP="00505245">
            <w:pPr>
              <w:rPr>
                <w:rFonts w:ascii="Times New Roman" w:hAnsi="Times New Roman" w:cs="Times New Roman"/>
                <w:bCs/>
                <w:i/>
                <w:color w:val="000000"/>
                <w:sz w:val="20"/>
                <w:szCs w:val="20"/>
              </w:rPr>
            </w:pPr>
            <w:r w:rsidRPr="005C0801">
              <w:rPr>
                <w:rFonts w:ascii="Times New Roman" w:hAnsi="Times New Roman" w:cs="Times New Roman"/>
                <w:bCs/>
                <w:i/>
                <w:color w:val="000000"/>
                <w:sz w:val="20"/>
                <w:szCs w:val="20"/>
              </w:rPr>
              <w:t>Recordkeeping</w:t>
            </w:r>
          </w:p>
        </w:tc>
        <w:tc>
          <w:tcPr>
            <w:tcW w:w="455" w:type="pct"/>
            <w:tcBorders>
              <w:bottom w:val="single" w:sz="12" w:space="0" w:color="auto"/>
            </w:tcBorders>
            <w:vAlign w:val="bottom"/>
          </w:tcPr>
          <w:p w14:paraId="36D76B81" w14:textId="77777777" w:rsidR="00505245" w:rsidRPr="005C0801" w:rsidRDefault="00505245" w:rsidP="00505245">
            <w:pPr>
              <w:rPr>
                <w:rFonts w:ascii="Times New Roman" w:hAnsi="Times New Roman" w:cs="Times New Roman"/>
                <w:b/>
                <w:bCs/>
                <w:color w:val="000000"/>
                <w:sz w:val="20"/>
                <w:szCs w:val="20"/>
              </w:rPr>
            </w:pPr>
          </w:p>
        </w:tc>
        <w:tc>
          <w:tcPr>
            <w:tcW w:w="358" w:type="pct"/>
            <w:tcBorders>
              <w:bottom w:val="single" w:sz="12" w:space="0" w:color="auto"/>
            </w:tcBorders>
            <w:vAlign w:val="center"/>
          </w:tcPr>
          <w:p w14:paraId="0143F654"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c>
          <w:tcPr>
            <w:tcW w:w="454" w:type="pct"/>
            <w:tcBorders>
              <w:bottom w:val="single" w:sz="12" w:space="0" w:color="auto"/>
            </w:tcBorders>
            <w:vAlign w:val="center"/>
          </w:tcPr>
          <w:p w14:paraId="274DAC6A"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86" w:type="pct"/>
            <w:tcBorders>
              <w:bottom w:val="single" w:sz="12" w:space="0" w:color="auto"/>
              <w:right w:val="single" w:sz="4" w:space="0" w:color="auto"/>
            </w:tcBorders>
            <w:vAlign w:val="center"/>
          </w:tcPr>
          <w:p w14:paraId="69DC2550"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549" w:type="pct"/>
            <w:tcBorders>
              <w:left w:val="single" w:sz="4" w:space="0" w:color="auto"/>
              <w:bottom w:val="single" w:sz="12" w:space="0" w:color="auto"/>
              <w:right w:val="single" w:sz="12" w:space="0" w:color="auto"/>
            </w:tcBorders>
            <w:shd w:val="clear" w:color="auto" w:fill="auto"/>
            <w:noWrap/>
            <w:vAlign w:val="center"/>
          </w:tcPr>
          <w:p w14:paraId="3D906C5B" w14:textId="77777777" w:rsidR="00505245" w:rsidRPr="005C0801" w:rsidRDefault="00505245" w:rsidP="00505245">
            <w:pPr>
              <w:jc w:val="cente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r>
      <w:tr w:rsidR="00505245" w:rsidRPr="00D25007" w14:paraId="41C4C2E2" w14:textId="77777777" w:rsidTr="00505245">
        <w:trPr>
          <w:cantSplit/>
          <w:trHeight w:val="300"/>
        </w:trPr>
        <w:tc>
          <w:tcPr>
            <w:tcW w:w="2698" w:type="pct"/>
            <w:tcBorders>
              <w:top w:val="single" w:sz="12" w:space="0" w:color="auto"/>
              <w:left w:val="single" w:sz="12" w:space="0" w:color="auto"/>
              <w:bottom w:val="single" w:sz="12" w:space="0" w:color="auto"/>
            </w:tcBorders>
            <w:vAlign w:val="bottom"/>
          </w:tcPr>
          <w:p w14:paraId="6A5A581D" w14:textId="77777777" w:rsidR="00505245" w:rsidRPr="005C0801" w:rsidRDefault="00505245" w:rsidP="00505245">
            <w:pPr>
              <w:rPr>
                <w:rFonts w:ascii="Times New Roman" w:hAnsi="Times New Roman" w:cs="Times New Roman"/>
                <w:b/>
                <w:bCs/>
                <w:color w:val="000000"/>
                <w:sz w:val="20"/>
                <w:szCs w:val="20"/>
                <w:vertAlign w:val="superscript"/>
              </w:rPr>
            </w:pPr>
            <w:r w:rsidRPr="005C0801">
              <w:rPr>
                <w:rFonts w:ascii="Times New Roman" w:hAnsi="Times New Roman" w:cs="Times New Roman"/>
                <w:b/>
                <w:bCs/>
                <w:color w:val="000000"/>
                <w:sz w:val="20"/>
                <w:szCs w:val="20"/>
              </w:rPr>
              <w:t xml:space="preserve">TOTAL, Average Annual Ongoing Unit Burden per Firm </w:t>
            </w:r>
            <w:r w:rsidRPr="005C0801">
              <w:rPr>
                <w:rFonts w:ascii="Times New Roman" w:hAnsi="Times New Roman" w:cs="Times New Roman"/>
                <w:b/>
                <w:bCs/>
                <w:color w:val="000000"/>
                <w:sz w:val="20"/>
                <w:szCs w:val="20"/>
                <w:vertAlign w:val="superscript"/>
              </w:rPr>
              <w:t>5</w:t>
            </w:r>
          </w:p>
        </w:tc>
        <w:tc>
          <w:tcPr>
            <w:tcW w:w="455" w:type="pct"/>
            <w:tcBorders>
              <w:top w:val="single" w:sz="12" w:space="0" w:color="auto"/>
              <w:bottom w:val="single" w:sz="12" w:space="0" w:color="auto"/>
            </w:tcBorders>
            <w:vAlign w:val="bottom"/>
          </w:tcPr>
          <w:p w14:paraId="26F350D0" w14:textId="77777777" w:rsidR="00505245" w:rsidRPr="005C0801" w:rsidRDefault="00505245" w:rsidP="00505245">
            <w:pPr>
              <w:rPr>
                <w:rFonts w:ascii="Times New Roman" w:hAnsi="Times New Roman" w:cs="Times New Roman"/>
                <w:b/>
                <w:bCs/>
                <w:color w:val="000000"/>
                <w:sz w:val="20"/>
                <w:szCs w:val="20"/>
              </w:rPr>
            </w:pPr>
          </w:p>
        </w:tc>
        <w:tc>
          <w:tcPr>
            <w:tcW w:w="358" w:type="pct"/>
            <w:tcBorders>
              <w:top w:val="single" w:sz="12" w:space="0" w:color="auto"/>
              <w:bottom w:val="single" w:sz="12" w:space="0" w:color="auto"/>
            </w:tcBorders>
            <w:vAlign w:val="center"/>
          </w:tcPr>
          <w:p w14:paraId="5F701433" w14:textId="77777777" w:rsidR="00505245" w:rsidRPr="005C0801" w:rsidRDefault="00505245" w:rsidP="00505245">
            <w:pPr>
              <w:jc w:val="center"/>
              <w:rPr>
                <w:rFonts w:ascii="Times New Roman" w:hAnsi="Times New Roman" w:cs="Times New Roman"/>
                <w:bCs/>
                <w:color w:val="000000"/>
                <w:sz w:val="20"/>
                <w:szCs w:val="20"/>
              </w:rPr>
            </w:pPr>
          </w:p>
        </w:tc>
        <w:tc>
          <w:tcPr>
            <w:tcW w:w="454" w:type="pct"/>
            <w:tcBorders>
              <w:top w:val="single" w:sz="12" w:space="0" w:color="auto"/>
              <w:bottom w:val="single" w:sz="12" w:space="0" w:color="auto"/>
            </w:tcBorders>
            <w:vAlign w:val="center"/>
          </w:tcPr>
          <w:p w14:paraId="69C3E428" w14:textId="77777777" w:rsidR="00505245" w:rsidRPr="005C0801" w:rsidRDefault="00505245" w:rsidP="00505245">
            <w:pPr>
              <w:jc w:val="center"/>
              <w:rPr>
                <w:rFonts w:ascii="Times New Roman" w:hAnsi="Times New Roman" w:cs="Times New Roman"/>
                <w:bCs/>
                <w:color w:val="000000"/>
                <w:sz w:val="20"/>
                <w:szCs w:val="20"/>
              </w:rPr>
            </w:pPr>
          </w:p>
        </w:tc>
        <w:tc>
          <w:tcPr>
            <w:tcW w:w="486" w:type="pct"/>
            <w:tcBorders>
              <w:top w:val="single" w:sz="12" w:space="0" w:color="auto"/>
              <w:bottom w:val="single" w:sz="12" w:space="0" w:color="auto"/>
            </w:tcBorders>
            <w:vAlign w:val="center"/>
          </w:tcPr>
          <w:p w14:paraId="1B14C77F" w14:textId="77777777" w:rsidR="00505245" w:rsidRPr="005C0801" w:rsidRDefault="00505245" w:rsidP="00505245">
            <w:pPr>
              <w:jc w:val="center"/>
              <w:rPr>
                <w:rFonts w:ascii="Times New Roman" w:hAnsi="Times New Roman" w:cs="Times New Roman"/>
                <w:bCs/>
                <w:color w:val="000000"/>
                <w:sz w:val="20"/>
                <w:szCs w:val="20"/>
              </w:rPr>
            </w:pPr>
          </w:p>
        </w:tc>
        <w:tc>
          <w:tcPr>
            <w:tcW w:w="549" w:type="pct"/>
            <w:tcBorders>
              <w:top w:val="single" w:sz="12" w:space="0" w:color="auto"/>
              <w:bottom w:val="single" w:sz="12" w:space="0" w:color="auto"/>
              <w:right w:val="single" w:sz="12" w:space="0" w:color="auto"/>
            </w:tcBorders>
            <w:shd w:val="clear" w:color="auto" w:fill="BFBFBF" w:themeFill="background1" w:themeFillShade="BF"/>
            <w:noWrap/>
            <w:vAlign w:val="center"/>
          </w:tcPr>
          <w:p w14:paraId="07361B5F" w14:textId="77777777" w:rsidR="00505245" w:rsidRPr="005C0801" w:rsidRDefault="00505245" w:rsidP="00505245">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11.236</w:t>
            </w:r>
          </w:p>
        </w:tc>
      </w:tr>
      <w:tr w:rsidR="00505245" w:rsidRPr="00D25007" w14:paraId="105FCCD6"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34753ADC" w14:textId="77777777" w:rsidR="00505245" w:rsidRPr="00D25007" w:rsidRDefault="00505245" w:rsidP="00505245">
            <w:pPr>
              <w:keepNext/>
              <w:pageBreakBefore/>
              <w:rPr>
                <w:rFonts w:ascii="Times New Roman" w:hAnsi="Times New Roman" w:cs="Times New Roman"/>
                <w:b/>
                <w:color w:val="000000"/>
                <w:sz w:val="18"/>
                <w:szCs w:val="18"/>
              </w:rPr>
            </w:pPr>
            <w:r w:rsidRPr="00D25007">
              <w:rPr>
                <w:rFonts w:ascii="Times New Roman" w:hAnsi="Times New Roman" w:cs="Times New Roman"/>
                <w:b/>
                <w:color w:val="000000"/>
                <w:sz w:val="18"/>
                <w:szCs w:val="18"/>
              </w:rPr>
              <w:t>General Note</w:t>
            </w:r>
          </w:p>
        </w:tc>
      </w:tr>
      <w:tr w:rsidR="00505245" w:rsidRPr="00D25007" w14:paraId="6997C56F"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4641E916" w14:textId="77777777" w:rsidR="00505245" w:rsidRPr="00D25007" w:rsidRDefault="00505245" w:rsidP="00505245">
            <w:pPr>
              <w:ind w:left="90"/>
              <w:rPr>
                <w:rFonts w:ascii="Times New Roman" w:hAnsi="Times New Roman" w:cs="Times New Roman"/>
                <w:color w:val="000000"/>
                <w:sz w:val="18"/>
                <w:szCs w:val="18"/>
              </w:rPr>
            </w:pPr>
            <w:r w:rsidRPr="00D25007">
              <w:rPr>
                <w:rFonts w:ascii="Times New Roman" w:hAnsi="Times New Roman" w:cs="Times New Roman"/>
                <w:bCs/>
                <w:color w:val="000000"/>
                <w:sz w:val="18"/>
                <w:szCs w:val="16"/>
              </w:rPr>
              <w:t>Sources for unit burden estimates are drawn from various Economic Analyses and ICR Supporting Statements. Additionally, Agency BPJ was employed to finalize results</w:t>
            </w:r>
            <w:r>
              <w:rPr>
                <w:rFonts w:ascii="Times New Roman" w:hAnsi="Times New Roman" w:cs="Times New Roman"/>
                <w:bCs/>
                <w:color w:val="000000"/>
                <w:sz w:val="18"/>
                <w:szCs w:val="16"/>
              </w:rPr>
              <w:t xml:space="preserve">. For further detail, see Section 4.6 of </w:t>
            </w:r>
            <w:r w:rsidRPr="00A16BFC">
              <w:rPr>
                <w:rFonts w:ascii="Times New Roman" w:hAnsi="Times New Roman" w:cs="Times New Roman"/>
                <w:bCs/>
                <w:i/>
                <w:color w:val="000000"/>
                <w:sz w:val="18"/>
                <w:szCs w:val="16"/>
              </w:rPr>
              <w:t xml:space="preserve">Burden and Cost Report for the </w:t>
            </w:r>
            <w:r>
              <w:rPr>
                <w:rFonts w:ascii="Times New Roman" w:hAnsi="Times New Roman" w:cs="Times New Roman"/>
                <w:bCs/>
                <w:i/>
                <w:color w:val="000000"/>
                <w:sz w:val="18"/>
                <w:szCs w:val="16"/>
              </w:rPr>
              <w:t>Final</w:t>
            </w:r>
            <w:r w:rsidRPr="00A16BFC">
              <w:rPr>
                <w:rFonts w:ascii="Times New Roman" w:hAnsi="Times New Roman" w:cs="Times New Roman"/>
                <w:bCs/>
                <w:i/>
                <w:color w:val="000000"/>
                <w:sz w:val="18"/>
                <w:szCs w:val="16"/>
              </w:rPr>
              <w:t xml:space="preserve"> Rule: TSCA Inventory Notification Requirements</w:t>
            </w:r>
            <w:r>
              <w:rPr>
                <w:rFonts w:ascii="Times New Roman" w:hAnsi="Times New Roman" w:cs="Times New Roman"/>
                <w:bCs/>
                <w:i/>
                <w:color w:val="000000"/>
                <w:sz w:val="18"/>
                <w:szCs w:val="16"/>
              </w:rPr>
              <w:t xml:space="preserve"> </w:t>
            </w:r>
            <w:r>
              <w:rPr>
                <w:rFonts w:ascii="Times New Roman" w:hAnsi="Times New Roman" w:cs="Times New Roman"/>
                <w:bCs/>
                <w:i/>
                <w:color w:val="000000"/>
                <w:sz w:val="18"/>
                <w:szCs w:val="16"/>
              </w:rPr>
              <w:fldChar w:fldCharType="begin"/>
            </w:r>
            <w:r>
              <w:rPr>
                <w:rFonts w:ascii="Times New Roman" w:hAnsi="Times New Roman" w:cs="Times New Roman"/>
                <w:bCs/>
                <w:i/>
                <w:color w:val="000000"/>
                <w:sz w:val="18"/>
                <w:szCs w:val="16"/>
              </w:rPr>
              <w:instrText xml:space="preserve"> ADDIN ZOTERO_ITEM CSL_CITATION {"citationID":"a1lj38dgvnf","properties":{"formattedCitation":"(EPA,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i/>
                <w:color w:val="000000"/>
                <w:sz w:val="18"/>
                <w:szCs w:val="16"/>
              </w:rPr>
              <w:fldChar w:fldCharType="separate"/>
            </w:r>
            <w:r w:rsidRPr="00D16D9B">
              <w:rPr>
                <w:rFonts w:ascii="Times New Roman" w:hAnsi="Times New Roman" w:cs="Times New Roman"/>
                <w:sz w:val="18"/>
              </w:rPr>
              <w:t>(EPA, 2017)</w:t>
            </w:r>
            <w:r>
              <w:rPr>
                <w:rFonts w:ascii="Times New Roman" w:hAnsi="Times New Roman" w:cs="Times New Roman"/>
                <w:bCs/>
                <w:i/>
                <w:color w:val="000000"/>
                <w:sz w:val="18"/>
                <w:szCs w:val="16"/>
              </w:rPr>
              <w:fldChar w:fldCharType="end"/>
            </w:r>
            <w:r>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w:t>
            </w:r>
          </w:p>
        </w:tc>
      </w:tr>
      <w:tr w:rsidR="00505245" w:rsidRPr="00D25007" w14:paraId="48DF46FC"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7E7E285C" w14:textId="77777777" w:rsidR="00505245" w:rsidRPr="00D25007" w:rsidRDefault="00505245" w:rsidP="00505245">
            <w:pPr>
              <w:keepNext/>
              <w:rPr>
                <w:rFonts w:ascii="Times New Roman" w:hAnsi="Times New Roman" w:cs="Times New Roman"/>
                <w:b/>
                <w:color w:val="000000"/>
                <w:sz w:val="18"/>
                <w:szCs w:val="18"/>
              </w:rPr>
            </w:pPr>
            <w:r w:rsidRPr="00D25007">
              <w:rPr>
                <w:rFonts w:ascii="Times New Roman" w:hAnsi="Times New Roman" w:cs="Times New Roman"/>
                <w:b/>
                <w:color w:val="000000"/>
                <w:sz w:val="18"/>
                <w:szCs w:val="18"/>
              </w:rPr>
              <w:t>Footnotes</w:t>
            </w:r>
          </w:p>
        </w:tc>
      </w:tr>
      <w:tr w:rsidR="00505245" w:rsidRPr="00D25007" w14:paraId="47C2E6E5"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38B30B3D" w14:textId="77777777" w:rsidR="00505245" w:rsidRPr="00D25007" w:rsidRDefault="00505245" w:rsidP="00505245">
            <w:pPr>
              <w:ind w:left="90" w:hanging="90"/>
              <w:rPr>
                <w:rFonts w:ascii="Times New Roman" w:hAnsi="Times New Roman" w:cs="Times New Roman"/>
                <w:color w:val="000000"/>
                <w:sz w:val="18"/>
                <w:szCs w:val="18"/>
              </w:rPr>
            </w:pPr>
            <w:r w:rsidRPr="00D25007">
              <w:rPr>
                <w:rFonts w:ascii="Times New Roman" w:hAnsi="Times New Roman" w:cs="Times New Roman"/>
                <w:bCs/>
                <w:color w:val="000000"/>
                <w:sz w:val="18"/>
                <w:szCs w:val="16"/>
                <w:vertAlign w:val="superscript"/>
              </w:rPr>
              <w:t>1</w:t>
            </w:r>
            <w:r w:rsidRPr="00D25007">
              <w:rPr>
                <w:rFonts w:ascii="Times New Roman" w:hAnsi="Times New Roman" w:cs="Times New Roman"/>
                <w:bCs/>
                <w:color w:val="000000"/>
                <w:sz w:val="18"/>
                <w:szCs w:val="16"/>
              </w:rPr>
              <w:t xml:space="preserve"> New CDX registrations and e-signatures are expected due to: (1) firms that have not had experience with CDX, and (2) personnel turnover in firms that have experience with CDX.</w:t>
            </w:r>
          </w:p>
        </w:tc>
      </w:tr>
      <w:tr w:rsidR="00505245" w:rsidRPr="00D25007" w14:paraId="52922C21"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1B20C0D3" w14:textId="77777777" w:rsidR="00505245" w:rsidRPr="00D25007" w:rsidRDefault="00505245" w:rsidP="00505245">
            <w:pPr>
              <w:ind w:left="90" w:hanging="90"/>
              <w:rPr>
                <w:rFonts w:ascii="Times New Roman" w:hAnsi="Times New Roman" w:cs="Times New Roman"/>
                <w:bCs/>
                <w:color w:val="000000"/>
                <w:sz w:val="18"/>
                <w:szCs w:val="16"/>
              </w:rPr>
            </w:pPr>
            <w:r w:rsidRPr="00D25007">
              <w:rPr>
                <w:rFonts w:ascii="Times New Roman" w:hAnsi="Times New Roman" w:cs="Times New Roman"/>
                <w:bCs/>
                <w:color w:val="000000"/>
                <w:sz w:val="18"/>
                <w:szCs w:val="16"/>
                <w:vertAlign w:val="superscript"/>
              </w:rPr>
              <w:t xml:space="preserve">2 </w:t>
            </w:r>
            <w:r w:rsidRPr="00D25007">
              <w:rPr>
                <w:rFonts w:ascii="Times New Roman" w:hAnsi="Times New Roman" w:cs="Times New Roman"/>
                <w:bCs/>
                <w:color w:val="000000"/>
                <w:sz w:val="18"/>
                <w:szCs w:val="16"/>
              </w:rPr>
              <w:t xml:space="preserve">The composite of </w:t>
            </w:r>
            <w:r>
              <w:rPr>
                <w:rFonts w:ascii="Times New Roman" w:hAnsi="Times New Roman" w:cs="Times New Roman"/>
                <w:bCs/>
                <w:color w:val="000000"/>
                <w:sz w:val="18"/>
                <w:szCs w:val="16"/>
              </w:rPr>
              <w:t>0</w:t>
            </w:r>
            <w:r w:rsidRPr="00D25007">
              <w:rPr>
                <w:rFonts w:ascii="Times New Roman" w:hAnsi="Times New Roman" w:cs="Times New Roman"/>
                <w:bCs/>
                <w:color w:val="000000"/>
                <w:sz w:val="18"/>
                <w:szCs w:val="16"/>
              </w:rPr>
              <w:t xml:space="preserve">.083 hours, or about 5 minutes reported here is the result of the assessment that providing CBI chemical identity and chemical name (accession number plus generic name) requires 0.083 hours, and that providing non-CBI chemical identity and chemical name (CASRN and TSCA Inventory name) requires 0.083 hours. Also note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p>
        </w:tc>
      </w:tr>
      <w:tr w:rsidR="00505245" w:rsidRPr="00D25007" w14:paraId="26F7ADD9" w14:textId="77777777" w:rsidTr="00505245">
        <w:tblPrEx>
          <w:tblBorders>
            <w:top w:val="single" w:sz="4" w:space="0" w:color="auto"/>
            <w:left w:val="single" w:sz="4" w:space="0" w:color="auto"/>
            <w:bottom w:val="single" w:sz="4" w:space="0" w:color="auto"/>
            <w:right w:val="single" w:sz="4" w:space="0" w:color="auto"/>
          </w:tblBorders>
        </w:tblPrEx>
        <w:trPr>
          <w:cantSplit/>
          <w:trHeight w:val="495"/>
        </w:trPr>
        <w:tc>
          <w:tcPr>
            <w:tcW w:w="5000" w:type="pct"/>
            <w:gridSpan w:val="6"/>
            <w:tcBorders>
              <w:left w:val="single" w:sz="12" w:space="0" w:color="auto"/>
              <w:right w:val="single" w:sz="12" w:space="0" w:color="auto"/>
            </w:tcBorders>
            <w:noWrap/>
            <w:vAlign w:val="center"/>
          </w:tcPr>
          <w:p w14:paraId="4CB3C0C9" w14:textId="77777777" w:rsidR="00505245" w:rsidRPr="00D25007" w:rsidRDefault="00505245" w:rsidP="00505245">
            <w:pPr>
              <w:ind w:left="90" w:hanging="90"/>
              <w:rPr>
                <w:rFonts w:ascii="Times New Roman" w:hAnsi="Times New Roman" w:cs="Times New Roman"/>
                <w:bCs/>
                <w:color w:val="000000"/>
                <w:sz w:val="18"/>
                <w:szCs w:val="16"/>
              </w:rPr>
            </w:pPr>
            <w:r w:rsidRPr="00D25007">
              <w:rPr>
                <w:rFonts w:ascii="Times New Roman" w:hAnsi="Times New Roman" w:cs="Times New Roman"/>
                <w:bCs/>
                <w:color w:val="000000"/>
                <w:sz w:val="18"/>
                <w:szCs w:val="16"/>
                <w:vertAlign w:val="superscript"/>
              </w:rPr>
              <w:t xml:space="preserve">3 </w:t>
            </w:r>
            <w:r w:rsidRPr="00D25007">
              <w:rPr>
                <w:rFonts w:ascii="Times New Roman" w:hAnsi="Times New Roman" w:cs="Times New Roman"/>
                <w:bCs/>
                <w:color w:val="000000"/>
                <w:sz w:val="18"/>
                <w:szCs w:val="16"/>
              </w:rPr>
              <w:t xml:space="preserve">This unit burden is assumed to apply to only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submissions, given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Therefore the value shown in the table is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the </w:t>
            </w:r>
            <w:r>
              <w:rPr>
                <w:rFonts w:ascii="Times New Roman" w:hAnsi="Times New Roman" w:cs="Times New Roman"/>
                <w:bCs/>
                <w:color w:val="000000"/>
                <w:sz w:val="18"/>
                <w:szCs w:val="16"/>
              </w:rPr>
              <w:t xml:space="preserve">full value </w:t>
            </w:r>
            <w:r w:rsidRPr="00D25007">
              <w:rPr>
                <w:rFonts w:ascii="Times New Roman" w:hAnsi="Times New Roman" w:cs="Times New Roman"/>
                <w:bCs/>
                <w:color w:val="000000"/>
                <w:sz w:val="18"/>
                <w:szCs w:val="16"/>
              </w:rPr>
              <w:t xml:space="preserve">unit burden per chemical reported in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1C794A">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at </w:t>
            </w:r>
            <w:r>
              <w:rPr>
                <w:rFonts w:ascii="Times New Roman" w:hAnsi="Times New Roman" w:cs="Times New Roman"/>
                <w:bCs/>
                <w:color w:val="000000"/>
                <w:sz w:val="18"/>
                <w:szCs w:val="16"/>
              </w:rPr>
              <w:t>0.039</w:t>
            </w:r>
            <w:r w:rsidRPr="00D25007">
              <w:rPr>
                <w:rFonts w:ascii="Times New Roman" w:hAnsi="Times New Roman" w:cs="Times New Roman"/>
                <w:bCs/>
                <w:color w:val="000000"/>
                <w:sz w:val="18"/>
                <w:szCs w:val="16"/>
              </w:rPr>
              <w:t xml:space="preserve"> hours of technical labor; 0.0</w:t>
            </w:r>
            <w:r>
              <w:rPr>
                <w:rFonts w:ascii="Times New Roman" w:hAnsi="Times New Roman" w:cs="Times New Roman"/>
                <w:bCs/>
                <w:color w:val="000000"/>
                <w:sz w:val="18"/>
                <w:szCs w:val="16"/>
              </w:rPr>
              <w:t>19</w:t>
            </w:r>
            <w:r w:rsidRPr="00D25007">
              <w:rPr>
                <w:rFonts w:ascii="Times New Roman" w:hAnsi="Times New Roman" w:cs="Times New Roman"/>
                <w:bCs/>
                <w:color w:val="000000"/>
                <w:sz w:val="18"/>
                <w:szCs w:val="16"/>
              </w:rPr>
              <w:t xml:space="preserve"> hours of managerial labor. </w:t>
            </w:r>
          </w:p>
        </w:tc>
      </w:tr>
      <w:tr w:rsidR="00505245" w:rsidRPr="00D25007" w14:paraId="37844FAE"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06D5149C" w14:textId="7E0AB866" w:rsidR="00505245" w:rsidRPr="00D25007" w:rsidRDefault="00505245" w:rsidP="00505245">
            <w:pPr>
              <w:rPr>
                <w:rFonts w:ascii="Times New Roman" w:hAnsi="Times New Roman" w:cs="Times New Roman"/>
                <w:bCs/>
                <w:color w:val="000000"/>
                <w:sz w:val="18"/>
                <w:szCs w:val="16"/>
              </w:rPr>
            </w:pPr>
            <w:r w:rsidRPr="00D25007">
              <w:rPr>
                <w:rFonts w:ascii="Times New Roman" w:hAnsi="Times New Roman" w:cs="Times New Roman"/>
                <w:bCs/>
                <w:color w:val="000000"/>
                <w:sz w:val="18"/>
                <w:szCs w:val="16"/>
                <w:vertAlign w:val="superscript"/>
              </w:rPr>
              <w:t xml:space="preserve">4 </w:t>
            </w:r>
            <w:r w:rsidRPr="00D25007">
              <w:rPr>
                <w:rFonts w:ascii="Times New Roman" w:hAnsi="Times New Roman" w:cs="Times New Roman"/>
                <w:bCs/>
                <w:color w:val="000000"/>
                <w:sz w:val="18"/>
                <w:szCs w:val="16"/>
              </w:rPr>
              <w:t xml:space="preserve">This unit burden is assumed to apply to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xml:space="preserve">% of submissions, </w:t>
            </w:r>
            <w:r w:rsidRPr="00383B88">
              <w:rPr>
                <w:rFonts w:ascii="Times New Roman" w:hAnsi="Times New Roman" w:cs="Times New Roman"/>
                <w:bCs/>
                <w:color w:val="000000"/>
                <w:sz w:val="18"/>
                <w:szCs w:val="16"/>
              </w:rPr>
              <w:t>given that that 33% of CDR chemicals have CBI nonChemID data elements throughout the Form U</w:t>
            </w:r>
            <w:r>
              <w:rPr>
                <w:rFonts w:ascii="Times New Roman" w:hAnsi="Times New Roman" w:cs="Times New Roman"/>
                <w:bCs/>
                <w:color w:val="000000"/>
                <w:sz w:val="18"/>
                <w:szCs w:val="16"/>
              </w:rPr>
              <w:t>. Specifically, the same</w:t>
            </w:r>
            <w:r w:rsidRPr="00383B88">
              <w:rPr>
                <w:rFonts w:ascii="Times New Roman" w:hAnsi="Times New Roman" w:cs="Times New Roman"/>
                <w:bCs/>
                <w:color w:val="000000"/>
                <w:sz w:val="18"/>
                <w:szCs w:val="16"/>
              </w:rPr>
              <w:t xml:space="preserve"> incidence rate is assumed in this analysis </w:t>
            </w:r>
            <w:r w:rsidRPr="00D25007">
              <w:rPr>
                <w:rFonts w:ascii="Times New Roman" w:hAnsi="Times New Roman" w:cs="Times New Roman"/>
                <w:bCs/>
                <w:color w:val="000000"/>
                <w:sz w:val="18"/>
                <w:szCs w:val="16"/>
              </w:rPr>
              <w:t xml:space="preserve">for submissions in which the connection between the </w:t>
            </w:r>
            <w:r>
              <w:rPr>
                <w:rFonts w:ascii="Times New Roman" w:hAnsi="Times New Roman" w:cs="Times New Roman"/>
                <w:bCs/>
                <w:color w:val="000000"/>
                <w:sz w:val="18"/>
                <w:szCs w:val="16"/>
              </w:rPr>
              <w:t xml:space="preserve">nonCBI </w:t>
            </w:r>
            <w:r w:rsidRPr="00D25007">
              <w:rPr>
                <w:rFonts w:ascii="Times New Roman" w:hAnsi="Times New Roman" w:cs="Times New Roman"/>
                <w:bCs/>
                <w:color w:val="000000"/>
                <w:sz w:val="18"/>
                <w:szCs w:val="16"/>
              </w:rPr>
              <w:t>chemical identity and the company information, etc. is claimed to be confidential. Therefore</w:t>
            </w:r>
            <w:r w:rsidR="001B3CB4">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the value shown in the table is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of the</w:t>
            </w:r>
            <w:r>
              <w:rPr>
                <w:rFonts w:ascii="Times New Roman" w:hAnsi="Times New Roman" w:cs="Times New Roman"/>
                <w:bCs/>
                <w:color w:val="000000"/>
                <w:sz w:val="18"/>
                <w:szCs w:val="16"/>
              </w:rPr>
              <w:t xml:space="preserve"> full value</w:t>
            </w:r>
            <w:r w:rsidRPr="00D25007">
              <w:rPr>
                <w:rFonts w:ascii="Times New Roman" w:hAnsi="Times New Roman" w:cs="Times New Roman"/>
                <w:bCs/>
                <w:color w:val="000000"/>
                <w:sz w:val="18"/>
                <w:szCs w:val="16"/>
              </w:rPr>
              <w:t xml:space="preserve"> unit burden per chemical reported in</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1C794A">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sidRPr="00D25007">
              <w:rPr>
                <w:rFonts w:ascii="Times New Roman" w:hAnsi="Times New Roman" w:cs="Times New Roman"/>
                <w:bCs/>
                <w:color w:val="000000"/>
                <w:sz w:val="18"/>
                <w:szCs w:val="16"/>
              </w:rPr>
              <w:t xml:space="preserve"> at 0.</w:t>
            </w:r>
            <w:r>
              <w:rPr>
                <w:rFonts w:ascii="Times New Roman" w:hAnsi="Times New Roman" w:cs="Times New Roman"/>
                <w:bCs/>
                <w:color w:val="000000"/>
                <w:sz w:val="18"/>
                <w:szCs w:val="16"/>
              </w:rPr>
              <w:t>211</w:t>
            </w:r>
            <w:r w:rsidRPr="00D25007">
              <w:rPr>
                <w:rFonts w:ascii="Times New Roman" w:hAnsi="Times New Roman" w:cs="Times New Roman"/>
                <w:bCs/>
                <w:color w:val="000000"/>
                <w:sz w:val="18"/>
                <w:szCs w:val="16"/>
              </w:rPr>
              <w:t xml:space="preserve"> hours of technical labor; 0.</w:t>
            </w:r>
            <w:r>
              <w:rPr>
                <w:rFonts w:ascii="Times New Roman" w:hAnsi="Times New Roman" w:cs="Times New Roman"/>
                <w:bCs/>
                <w:color w:val="000000"/>
                <w:sz w:val="18"/>
                <w:szCs w:val="16"/>
              </w:rPr>
              <w:t>106</w:t>
            </w:r>
            <w:r w:rsidRPr="00D25007">
              <w:rPr>
                <w:rFonts w:ascii="Times New Roman" w:hAnsi="Times New Roman" w:cs="Times New Roman"/>
                <w:bCs/>
                <w:color w:val="000000"/>
                <w:sz w:val="18"/>
                <w:szCs w:val="16"/>
              </w:rPr>
              <w:t xml:space="preserve"> hours of managerial labor.</w:t>
            </w:r>
          </w:p>
        </w:tc>
      </w:tr>
      <w:tr w:rsidR="00505245" w:rsidRPr="00D25007" w14:paraId="77171310" w14:textId="77777777" w:rsidTr="00505245">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bottom w:val="single" w:sz="12" w:space="0" w:color="auto"/>
              <w:right w:val="single" w:sz="12" w:space="0" w:color="auto"/>
            </w:tcBorders>
            <w:noWrap/>
            <w:vAlign w:val="center"/>
          </w:tcPr>
          <w:p w14:paraId="69F1AA17" w14:textId="77777777" w:rsidR="00505245" w:rsidRPr="00D25007" w:rsidRDefault="00505245" w:rsidP="00505245">
            <w:pPr>
              <w:rPr>
                <w:rFonts w:ascii="Times New Roman" w:hAnsi="Times New Roman" w:cs="Times New Roman"/>
                <w:bCs/>
                <w:color w:val="000000"/>
                <w:sz w:val="18"/>
                <w:szCs w:val="16"/>
                <w:vertAlign w:val="superscript"/>
              </w:rPr>
            </w:pPr>
            <w:r w:rsidRPr="00D25007">
              <w:rPr>
                <w:rFonts w:ascii="Times New Roman" w:hAnsi="Times New Roman" w:cs="Times New Roman"/>
                <w:bCs/>
                <w:color w:val="000000"/>
                <w:sz w:val="18"/>
                <w:szCs w:val="16"/>
                <w:vertAlign w:val="superscript"/>
              </w:rPr>
              <w:t xml:space="preserve">5 </w:t>
            </w:r>
            <w:r w:rsidRPr="00D25007">
              <w:rPr>
                <w:rFonts w:ascii="Times New Roman" w:hAnsi="Times New Roman" w:cs="Times New Roman"/>
                <w:color w:val="000000"/>
                <w:sz w:val="18"/>
                <w:szCs w:val="18"/>
              </w:rPr>
              <w:t xml:space="preserve">An average firm is expected to report </w:t>
            </w:r>
            <w:r>
              <w:rPr>
                <w:rFonts w:ascii="Times New Roman" w:hAnsi="Times New Roman" w:cs="Times New Roman"/>
                <w:color w:val="000000"/>
                <w:sz w:val="18"/>
                <w:szCs w:val="18"/>
              </w:rPr>
              <w:t>18</w:t>
            </w:r>
            <w:r w:rsidRPr="00D25007">
              <w:rPr>
                <w:rFonts w:ascii="Times New Roman" w:hAnsi="Times New Roman" w:cs="Times New Roman"/>
                <w:color w:val="000000"/>
                <w:sz w:val="18"/>
                <w:szCs w:val="18"/>
              </w:rPr>
              <w:t xml:space="preserve"> chemicals per submission, as similarly observed for CDR as chemicals per </w:t>
            </w:r>
            <w:r>
              <w:rPr>
                <w:rFonts w:ascii="Times New Roman" w:hAnsi="Times New Roman" w:cs="Times New Roman"/>
                <w:color w:val="000000"/>
                <w:sz w:val="18"/>
                <w:szCs w:val="18"/>
              </w:rPr>
              <w:t>parent company.</w:t>
            </w:r>
          </w:p>
        </w:tc>
      </w:tr>
    </w:tbl>
    <w:p w14:paraId="4B433D6E" w14:textId="77777777" w:rsidR="00505245" w:rsidRPr="00D25007" w:rsidRDefault="00505245" w:rsidP="00505245">
      <w:pPr>
        <w:rPr>
          <w:rFonts w:ascii="Times New Roman" w:hAnsi="Times New Roman" w:cs="Times New Roman"/>
        </w:rPr>
      </w:pPr>
    </w:p>
    <w:p w14:paraId="6D987F19" w14:textId="77777777" w:rsidR="00505245" w:rsidRPr="009E51AF" w:rsidRDefault="00505245" w:rsidP="00505245">
      <w:pPr>
        <w:rPr>
          <w:rFonts w:ascii="Times New Roman" w:hAnsi="Times New Roman" w:cs="Times New Roman"/>
          <w:b/>
          <w:sz w:val="24"/>
          <w:szCs w:val="24"/>
        </w:rPr>
        <w:sectPr w:rsidR="00505245" w:rsidRPr="009E51AF" w:rsidSect="0082527B">
          <w:footerReference w:type="default" r:id="rId13"/>
          <w:pgSz w:w="15840" w:h="12240" w:orient="landscape" w:code="1"/>
          <w:pgMar w:top="1440" w:right="720" w:bottom="1440" w:left="720" w:header="720" w:footer="864" w:gutter="0"/>
          <w:cols w:space="720"/>
          <w:docGrid w:linePitch="299"/>
        </w:sectPr>
      </w:pPr>
      <w:r>
        <w:rPr>
          <w:rFonts w:ascii="Times New Roman" w:hAnsi="Times New Roman" w:cs="Times New Roman"/>
          <w:sz w:val="24"/>
          <w:szCs w:val="24"/>
        </w:rPr>
        <w:t>For t</w:t>
      </w:r>
      <w:r w:rsidRPr="00653881">
        <w:rPr>
          <w:rFonts w:ascii="Times New Roman" w:hAnsi="Times New Roman" w:cs="Times New Roman"/>
          <w:sz w:val="24"/>
          <w:szCs w:val="24"/>
        </w:rPr>
        <w:t xml:space="preserve">otal </w:t>
      </w:r>
      <w:r>
        <w:rPr>
          <w:rFonts w:ascii="Times New Roman" w:hAnsi="Times New Roman" w:cs="Times New Roman"/>
          <w:sz w:val="24"/>
          <w:szCs w:val="24"/>
        </w:rPr>
        <w:t>i</w:t>
      </w:r>
      <w:r w:rsidRPr="00653881">
        <w:rPr>
          <w:rFonts w:ascii="Times New Roman" w:hAnsi="Times New Roman" w:cs="Times New Roman"/>
          <w:sz w:val="24"/>
          <w:szCs w:val="24"/>
        </w:rPr>
        <w:t xml:space="preserve">ndustry </w:t>
      </w:r>
      <w:r>
        <w:rPr>
          <w:rFonts w:ascii="Times New Roman" w:hAnsi="Times New Roman" w:cs="Times New Roman"/>
          <w:sz w:val="24"/>
          <w:szCs w:val="24"/>
        </w:rPr>
        <w:t>b</w:t>
      </w:r>
      <w:r w:rsidRPr="00653881">
        <w:rPr>
          <w:rFonts w:ascii="Times New Roman" w:hAnsi="Times New Roman" w:cs="Times New Roman"/>
          <w:sz w:val="24"/>
          <w:szCs w:val="24"/>
        </w:rPr>
        <w:t xml:space="preserve">urden and </w:t>
      </w:r>
      <w:r>
        <w:rPr>
          <w:rFonts w:ascii="Times New Roman" w:hAnsi="Times New Roman" w:cs="Times New Roman"/>
          <w:sz w:val="24"/>
          <w:szCs w:val="24"/>
        </w:rPr>
        <w:t>c</w:t>
      </w:r>
      <w:r w:rsidRPr="00653881">
        <w:rPr>
          <w:rFonts w:ascii="Times New Roman" w:hAnsi="Times New Roman" w:cs="Times New Roman"/>
          <w:sz w:val="24"/>
          <w:szCs w:val="24"/>
        </w:rPr>
        <w:t xml:space="preserve">ost by </w:t>
      </w:r>
      <w:r>
        <w:rPr>
          <w:rFonts w:ascii="Times New Roman" w:hAnsi="Times New Roman" w:cs="Times New Roman"/>
          <w:sz w:val="24"/>
          <w:szCs w:val="24"/>
        </w:rPr>
        <w:t>a</w:t>
      </w:r>
      <w:r w:rsidRPr="00653881">
        <w:rPr>
          <w:rFonts w:ascii="Times New Roman" w:hAnsi="Times New Roman" w:cs="Times New Roman"/>
          <w:sz w:val="24"/>
          <w:szCs w:val="24"/>
        </w:rPr>
        <w:t xml:space="preserve">ctivity and </w:t>
      </w:r>
      <w:r>
        <w:rPr>
          <w:rFonts w:ascii="Times New Roman" w:hAnsi="Times New Roman" w:cs="Times New Roman"/>
          <w:sz w:val="24"/>
          <w:szCs w:val="24"/>
        </w:rPr>
        <w:t>r</w:t>
      </w:r>
      <w:r w:rsidRPr="00653881">
        <w:rPr>
          <w:rFonts w:ascii="Times New Roman" w:hAnsi="Times New Roman" w:cs="Times New Roman"/>
          <w:sz w:val="24"/>
          <w:szCs w:val="24"/>
        </w:rPr>
        <w:t xml:space="preserve">eporting </w:t>
      </w:r>
      <w:r>
        <w:rPr>
          <w:rFonts w:ascii="Times New Roman" w:hAnsi="Times New Roman" w:cs="Times New Roman"/>
          <w:sz w:val="24"/>
          <w:szCs w:val="24"/>
        </w:rPr>
        <w:t>p</w:t>
      </w:r>
      <w:r w:rsidRPr="00653881">
        <w:rPr>
          <w:rFonts w:ascii="Times New Roman" w:hAnsi="Times New Roman" w:cs="Times New Roman"/>
          <w:sz w:val="24"/>
          <w:szCs w:val="24"/>
        </w:rPr>
        <w:t>eriod</w:t>
      </w:r>
      <w:r>
        <w:rPr>
          <w:rFonts w:ascii="Times New Roman" w:hAnsi="Times New Roman" w:cs="Times New Roman"/>
          <w:sz w:val="24"/>
          <w:szCs w:val="24"/>
        </w:rPr>
        <w:t xml:space="preserve">, 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_Ref468870238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2B1022">
        <w:rPr>
          <w:rFonts w:ascii="Times New Roman" w:hAnsi="Times New Roman"/>
          <w:sz w:val="24"/>
          <w:szCs w:val="24"/>
        </w:rPr>
        <w:t xml:space="preserve">Table </w:t>
      </w:r>
      <w:r>
        <w:rPr>
          <w:rFonts w:ascii="Times New Roman" w:hAnsi="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of this document in 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Section6d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C794A">
        <w:rPr>
          <w:rFonts w:ascii="Times New Roman" w:hAnsi="Times New Roman" w:cs="Times New Roman"/>
          <w:sz w:val="24"/>
          <w:szCs w:val="24"/>
        </w:rPr>
        <w:t>6(d)</w:t>
      </w:r>
      <w:r>
        <w:rPr>
          <w:rFonts w:ascii="Times New Roman" w:hAnsi="Times New Roman" w:cs="Times New Roman"/>
          <w:sz w:val="24"/>
          <w:szCs w:val="24"/>
        </w:rPr>
        <w:fldChar w:fldCharType="end"/>
      </w:r>
      <w:r w:rsidRPr="007F09DB">
        <w:rPr>
          <w:rFonts w:ascii="Times New Roman" w:hAnsi="Times New Roman" w:cs="Times New Roman"/>
          <w:sz w:val="24"/>
          <w:szCs w:val="24"/>
        </w:rPr>
        <w:t>.</w:t>
      </w:r>
    </w:p>
    <w:p w14:paraId="0E50CFA1" w14:textId="77777777" w:rsidR="00505245" w:rsidRDefault="00505245" w:rsidP="00505245">
      <w:pPr>
        <w:pStyle w:val="Heading1"/>
      </w:pPr>
      <w:r>
        <w:t>6(b) Estimating Respondent Cost</w:t>
      </w:r>
    </w:p>
    <w:p w14:paraId="4D3A1C8B" w14:textId="77777777" w:rsidR="00505245" w:rsidRDefault="00505245" w:rsidP="00505245">
      <w:pPr>
        <w:rPr>
          <w:rFonts w:ascii="Times New Roman" w:hAnsi="Times New Roman" w:cs="Times New Roman"/>
          <w:b/>
          <w:sz w:val="24"/>
          <w:szCs w:val="24"/>
        </w:rPr>
      </w:pPr>
    </w:p>
    <w:p w14:paraId="4965DE28" w14:textId="77777777" w:rsidR="00505245" w:rsidRDefault="00505245" w:rsidP="00505245">
      <w:pPr>
        <w:pStyle w:val="BodyText"/>
        <w:ind w:firstLine="620"/>
      </w:pPr>
      <w:r>
        <w:t xml:space="preserve">Estimation of unit industry cost involves combining the unit industry burden identified in Section 6(a) with wage data </w:t>
      </w:r>
      <w:r w:rsidRPr="000B124B">
        <w:t xml:space="preserve">obtained </w:t>
      </w:r>
      <w:r>
        <w:t>for December 2016</w:t>
      </w:r>
      <w:r w:rsidRPr="00CE6D20">
        <w:t xml:space="preserve"> </w:t>
      </w:r>
      <w:r w:rsidRPr="000B124B">
        <w:t>f</w:t>
      </w:r>
      <w:r>
        <w:t xml:space="preserve">rom the BLS </w:t>
      </w:r>
      <w:r>
        <w:fldChar w:fldCharType="begin"/>
      </w:r>
      <w:r>
        <w:instrText xml:space="preserve"> ADDIN ZOTERO_ITEM CSL_CITATION {"citationID":"aq9d73ufk5","properties":{"formattedCitation":"(2017)","plainCitation":"(2017)"},"citationItems":[{"id":512,"uris":["http://zotero.org/groups/1140234/items/3DDQQ8U5"],"uri":["http://zotero.org/groups/1140234/items/3DDQQ8U5"],"itemData":{"id":512,"type":"report","title":"Employer Costs for Employee Compensation Historical Supplementary Tables: December 2006 - December 2016","URL":"http://www.bls.gov/ncs/ect/sp/ecsuphst.pdf","author":[{"literal":"BLS"}],"issued":{"date-parts":[["2017",3,17]]}},"suppress-author":true}],"schema":"https://github.com/citation-style-language/schema/raw/master/csl-citation.json"} </w:instrText>
      </w:r>
      <w:r>
        <w:fldChar w:fldCharType="separate"/>
      </w:r>
      <w:r w:rsidRPr="00A958EE">
        <w:rPr>
          <w:rFonts w:cs="Times New Roman"/>
        </w:rPr>
        <w:t>(2017)</w:t>
      </w:r>
      <w:r>
        <w:fldChar w:fldCharType="end"/>
      </w:r>
      <w:r>
        <w:t xml:space="preserve"> and converted from raw wage rate and benefit data to loaded wage rates. </w:t>
      </w:r>
      <w:r>
        <w:fldChar w:fldCharType="begin"/>
      </w:r>
      <w:r>
        <w:instrText xml:space="preserve"> REF _Ref468868282 \h </w:instrText>
      </w:r>
      <w:r>
        <w:fldChar w:fldCharType="separate"/>
      </w:r>
      <w:r w:rsidRPr="0007313C">
        <w:t xml:space="preserve">Table </w:t>
      </w:r>
      <w:r>
        <w:rPr>
          <w:noProof/>
        </w:rPr>
        <w:t>4</w:t>
      </w:r>
      <w:r>
        <w:fldChar w:fldCharType="end"/>
      </w:r>
      <w:r>
        <w:t xml:space="preserve"> presents the resultant loaded wage rates for managerial, professional/technical, and clerical staff</w:t>
      </w:r>
      <w:r w:rsidRPr="0027213C">
        <w:t xml:space="preserve">. </w:t>
      </w:r>
    </w:p>
    <w:p w14:paraId="64088051" w14:textId="77777777" w:rsidR="00505245" w:rsidRDefault="00505245" w:rsidP="00505245">
      <w:pPr>
        <w:pStyle w:val="BodyText"/>
      </w:pPr>
    </w:p>
    <w:p w14:paraId="352F90D2" w14:textId="77777777" w:rsidR="00505245" w:rsidRPr="0007313C" w:rsidRDefault="00505245" w:rsidP="00505245">
      <w:pPr>
        <w:pStyle w:val="Caption"/>
        <w:rPr>
          <w:rFonts w:ascii="Times New Roman" w:hAnsi="Times New Roman"/>
          <w:sz w:val="24"/>
          <w:szCs w:val="24"/>
        </w:rPr>
      </w:pPr>
      <w:bookmarkStart w:id="18" w:name="_Ref468868282"/>
      <w:r w:rsidRPr="0007313C">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4</w:t>
      </w:r>
      <w:r>
        <w:rPr>
          <w:rFonts w:ascii="Times New Roman" w:hAnsi="Times New Roman"/>
          <w:sz w:val="24"/>
          <w:szCs w:val="24"/>
        </w:rPr>
        <w:fldChar w:fldCharType="end"/>
      </w:r>
      <w:bookmarkEnd w:id="18"/>
      <w:r w:rsidRPr="0007313C">
        <w:rPr>
          <w:rFonts w:ascii="Times New Roman" w:hAnsi="Times New Roman"/>
          <w:sz w:val="24"/>
          <w:szCs w:val="24"/>
        </w:rPr>
        <w:t>. Industry Wage Rates (201</w:t>
      </w:r>
      <w:r>
        <w:rPr>
          <w:rFonts w:ascii="Times New Roman" w:hAnsi="Times New Roman"/>
          <w:sz w:val="24"/>
          <w:szCs w:val="24"/>
        </w:rPr>
        <w:t>6</w:t>
      </w:r>
      <w:r w:rsidRPr="0007313C">
        <w:rPr>
          <w:rFonts w:ascii="Times New Roman" w:hAnsi="Times New Roman"/>
          <w:sz w:val="24"/>
          <w:szCs w:val="24"/>
        </w:rPr>
        <w:t xml:space="preserve"> Dollars)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80"/>
        <w:gridCol w:w="1170"/>
        <w:gridCol w:w="812"/>
        <w:gridCol w:w="787"/>
        <w:gridCol w:w="923"/>
        <w:gridCol w:w="923"/>
        <w:gridCol w:w="1109"/>
        <w:gridCol w:w="1385"/>
        <w:gridCol w:w="1187"/>
      </w:tblGrid>
      <w:tr w:rsidR="00505245" w:rsidRPr="00CC4A14" w14:paraId="4AE40FEB" w14:textId="77777777" w:rsidTr="00505245">
        <w:trPr>
          <w:trHeight w:val="546"/>
          <w:tblHeader/>
        </w:trPr>
        <w:tc>
          <w:tcPr>
            <w:tcW w:w="668" w:type="pct"/>
            <w:vMerge w:val="restart"/>
            <w:tcBorders>
              <w:top w:val="single" w:sz="12" w:space="0" w:color="auto"/>
              <w:left w:val="single" w:sz="12" w:space="0" w:color="auto"/>
            </w:tcBorders>
            <w:shd w:val="clear" w:color="auto" w:fill="BFBFBF" w:themeFill="background1" w:themeFillShade="BF"/>
            <w:vAlign w:val="center"/>
            <w:hideMark/>
          </w:tcPr>
          <w:p w14:paraId="7CD3A99E" w14:textId="77777777" w:rsidR="00505245" w:rsidRPr="005051D8" w:rsidRDefault="00505245" w:rsidP="00505245">
            <w:pPr>
              <w:jc w:val="center"/>
              <w:rPr>
                <w:rFonts w:ascii="Times New Roman" w:hAnsi="Times New Roman" w:cs="Times New Roman"/>
                <w:b/>
                <w:bCs/>
                <w:color w:val="000000"/>
                <w:sz w:val="20"/>
                <w:szCs w:val="20"/>
              </w:rPr>
            </w:pPr>
            <w:r w:rsidRPr="005051D8">
              <w:rPr>
                <w:rFonts w:ascii="Times New Roman" w:hAnsi="Times New Roman" w:cs="Times New Roman"/>
                <w:b/>
                <w:bCs/>
                <w:color w:val="000000"/>
                <w:sz w:val="20"/>
                <w:szCs w:val="20"/>
              </w:rPr>
              <w:t>Labor Category</w:t>
            </w:r>
          </w:p>
        </w:tc>
        <w:tc>
          <w:tcPr>
            <w:tcW w:w="611" w:type="pct"/>
            <w:vMerge w:val="restart"/>
            <w:tcBorders>
              <w:top w:val="single" w:sz="12" w:space="0" w:color="auto"/>
            </w:tcBorders>
            <w:shd w:val="clear" w:color="auto" w:fill="BFBFBF" w:themeFill="background1" w:themeFillShade="BF"/>
            <w:vAlign w:val="center"/>
            <w:hideMark/>
          </w:tcPr>
          <w:p w14:paraId="5F1F10BA" w14:textId="77777777" w:rsidR="00505245" w:rsidRPr="005051D8" w:rsidRDefault="00505245" w:rsidP="00505245">
            <w:pPr>
              <w:jc w:val="center"/>
              <w:rPr>
                <w:rFonts w:ascii="Times New Roman" w:hAnsi="Times New Roman" w:cs="Times New Roman"/>
                <w:b/>
                <w:bCs/>
                <w:color w:val="000000"/>
                <w:sz w:val="20"/>
                <w:szCs w:val="20"/>
              </w:rPr>
            </w:pPr>
            <w:r w:rsidRPr="005051D8">
              <w:rPr>
                <w:rFonts w:ascii="Times New Roman" w:hAnsi="Times New Roman" w:cs="Times New Roman"/>
                <w:b/>
                <w:bCs/>
                <w:color w:val="000000"/>
                <w:sz w:val="20"/>
                <w:szCs w:val="20"/>
              </w:rPr>
              <w:t>Data Series</w:t>
            </w:r>
            <w:r w:rsidRPr="005051D8">
              <w:rPr>
                <w:rFonts w:ascii="Times New Roman" w:hAnsi="Times New Roman" w:cs="Times New Roman"/>
                <w:b/>
                <w:bCs/>
                <w:color w:val="000000"/>
                <w:sz w:val="20"/>
                <w:szCs w:val="20"/>
                <w:vertAlign w:val="superscript"/>
              </w:rPr>
              <w:t xml:space="preserve"> a</w:t>
            </w:r>
          </w:p>
        </w:tc>
        <w:tc>
          <w:tcPr>
            <w:tcW w:w="424" w:type="pct"/>
            <w:vMerge w:val="restart"/>
            <w:tcBorders>
              <w:top w:val="single" w:sz="12" w:space="0" w:color="auto"/>
            </w:tcBorders>
            <w:shd w:val="clear" w:color="auto" w:fill="BFBFBF" w:themeFill="background1" w:themeFillShade="BF"/>
            <w:vAlign w:val="center"/>
            <w:hideMark/>
          </w:tcPr>
          <w:p w14:paraId="45D19300" w14:textId="77777777" w:rsidR="00505245" w:rsidRPr="00E95B90" w:rsidRDefault="00505245" w:rsidP="00505245">
            <w:pPr>
              <w:jc w:val="center"/>
              <w:rPr>
                <w:rFonts w:ascii="Times New Roman" w:hAnsi="Times New Roman" w:cs="Times New Roman"/>
                <w:b/>
                <w:bCs/>
                <w:color w:val="000000"/>
                <w:sz w:val="20"/>
                <w:szCs w:val="20"/>
              </w:rPr>
            </w:pPr>
            <w:r w:rsidRPr="00E95B90">
              <w:rPr>
                <w:rFonts w:ascii="Times New Roman" w:hAnsi="Times New Roman" w:cs="Times New Roman"/>
                <w:b/>
                <w:bCs/>
                <w:color w:val="000000"/>
                <w:sz w:val="20"/>
                <w:szCs w:val="20"/>
              </w:rPr>
              <w:t>Date</w:t>
            </w:r>
          </w:p>
        </w:tc>
        <w:tc>
          <w:tcPr>
            <w:tcW w:w="411" w:type="pct"/>
            <w:tcBorders>
              <w:top w:val="single" w:sz="12" w:space="0" w:color="auto"/>
            </w:tcBorders>
            <w:shd w:val="clear" w:color="auto" w:fill="BFBFBF" w:themeFill="background1" w:themeFillShade="BF"/>
            <w:vAlign w:val="center"/>
            <w:hideMark/>
          </w:tcPr>
          <w:p w14:paraId="14014244" w14:textId="77777777" w:rsidR="00505245" w:rsidRPr="00137964" w:rsidRDefault="00505245" w:rsidP="00505245">
            <w:pPr>
              <w:jc w:val="center"/>
              <w:rPr>
                <w:rFonts w:ascii="Times New Roman" w:hAnsi="Times New Roman" w:cs="Times New Roman"/>
                <w:b/>
                <w:bCs/>
                <w:color w:val="000000"/>
                <w:sz w:val="20"/>
                <w:szCs w:val="20"/>
              </w:rPr>
            </w:pPr>
            <w:r w:rsidRPr="00137964">
              <w:rPr>
                <w:rFonts w:ascii="Times New Roman" w:hAnsi="Times New Roman" w:cs="Times New Roman"/>
                <w:b/>
                <w:bCs/>
                <w:color w:val="000000"/>
                <w:sz w:val="20"/>
                <w:szCs w:val="20"/>
              </w:rPr>
              <w:t>Wage</w:t>
            </w:r>
          </w:p>
        </w:tc>
        <w:tc>
          <w:tcPr>
            <w:tcW w:w="482" w:type="pct"/>
            <w:tcBorders>
              <w:top w:val="single" w:sz="12" w:space="0" w:color="auto"/>
            </w:tcBorders>
            <w:shd w:val="clear" w:color="auto" w:fill="BFBFBF" w:themeFill="background1" w:themeFillShade="BF"/>
            <w:vAlign w:val="center"/>
            <w:hideMark/>
          </w:tcPr>
          <w:p w14:paraId="0F57E753" w14:textId="77777777" w:rsidR="00505245" w:rsidRPr="00137964" w:rsidRDefault="00505245" w:rsidP="00505245">
            <w:pPr>
              <w:jc w:val="center"/>
              <w:rPr>
                <w:rFonts w:ascii="Times New Roman" w:hAnsi="Times New Roman" w:cs="Times New Roman"/>
                <w:b/>
                <w:bCs/>
                <w:color w:val="000000"/>
                <w:sz w:val="20"/>
                <w:szCs w:val="20"/>
              </w:rPr>
            </w:pPr>
            <w:r w:rsidRPr="00137964">
              <w:rPr>
                <w:rFonts w:ascii="Times New Roman" w:hAnsi="Times New Roman" w:cs="Times New Roman"/>
                <w:b/>
                <w:bCs/>
                <w:color w:val="000000"/>
                <w:sz w:val="20"/>
                <w:szCs w:val="20"/>
              </w:rPr>
              <w:t>Fringe Benefit</w:t>
            </w:r>
          </w:p>
        </w:tc>
        <w:tc>
          <w:tcPr>
            <w:tcW w:w="482" w:type="pct"/>
            <w:tcBorders>
              <w:top w:val="single" w:sz="12" w:space="0" w:color="auto"/>
            </w:tcBorders>
            <w:shd w:val="clear" w:color="auto" w:fill="BFBFBF" w:themeFill="background1" w:themeFillShade="BF"/>
            <w:vAlign w:val="center"/>
            <w:hideMark/>
          </w:tcPr>
          <w:p w14:paraId="3A520C9B" w14:textId="77777777" w:rsidR="00505245" w:rsidRPr="00137964" w:rsidRDefault="00505245" w:rsidP="00505245">
            <w:pPr>
              <w:jc w:val="center"/>
              <w:rPr>
                <w:rFonts w:ascii="Times New Roman" w:hAnsi="Times New Roman" w:cs="Times New Roman"/>
                <w:b/>
                <w:bCs/>
                <w:color w:val="000000"/>
                <w:sz w:val="20"/>
                <w:szCs w:val="20"/>
              </w:rPr>
            </w:pPr>
            <w:r w:rsidRPr="00137964">
              <w:rPr>
                <w:rFonts w:ascii="Times New Roman" w:hAnsi="Times New Roman" w:cs="Times New Roman"/>
                <w:b/>
                <w:bCs/>
                <w:color w:val="000000"/>
                <w:sz w:val="20"/>
                <w:szCs w:val="20"/>
              </w:rPr>
              <w:t>Fringes as % Wage</w:t>
            </w:r>
          </w:p>
        </w:tc>
        <w:tc>
          <w:tcPr>
            <w:tcW w:w="579" w:type="pct"/>
            <w:tcBorders>
              <w:top w:val="single" w:sz="12" w:space="0" w:color="auto"/>
            </w:tcBorders>
            <w:shd w:val="clear" w:color="auto" w:fill="BFBFBF" w:themeFill="background1" w:themeFillShade="BF"/>
            <w:vAlign w:val="bottom"/>
            <w:hideMark/>
          </w:tcPr>
          <w:p w14:paraId="78BA6BA6" w14:textId="77777777" w:rsidR="00505245" w:rsidRPr="00137964" w:rsidRDefault="00505245" w:rsidP="00505245">
            <w:pPr>
              <w:jc w:val="center"/>
              <w:rPr>
                <w:rFonts w:ascii="Times New Roman" w:hAnsi="Times New Roman" w:cs="Times New Roman"/>
                <w:b/>
                <w:bCs/>
                <w:color w:val="000000"/>
                <w:sz w:val="20"/>
                <w:szCs w:val="20"/>
              </w:rPr>
            </w:pPr>
            <w:r w:rsidRPr="00137964">
              <w:rPr>
                <w:rFonts w:ascii="Times New Roman" w:hAnsi="Times New Roman" w:cs="Times New Roman"/>
                <w:b/>
                <w:bCs/>
                <w:color w:val="000000"/>
                <w:sz w:val="20"/>
                <w:szCs w:val="20"/>
              </w:rPr>
              <w:t xml:space="preserve">Overhead % wage </w:t>
            </w:r>
            <w:r w:rsidRPr="00137964">
              <w:rPr>
                <w:rFonts w:ascii="Times New Roman" w:hAnsi="Times New Roman" w:cs="Times New Roman"/>
                <w:b/>
                <w:bCs/>
                <w:color w:val="000000"/>
                <w:sz w:val="20"/>
                <w:szCs w:val="20"/>
                <w:vertAlign w:val="superscript"/>
              </w:rPr>
              <w:t>b</w:t>
            </w:r>
          </w:p>
        </w:tc>
        <w:tc>
          <w:tcPr>
            <w:tcW w:w="723" w:type="pct"/>
            <w:tcBorders>
              <w:top w:val="single" w:sz="12" w:space="0" w:color="auto"/>
            </w:tcBorders>
            <w:shd w:val="clear" w:color="auto" w:fill="BFBFBF" w:themeFill="background1" w:themeFillShade="BF"/>
            <w:vAlign w:val="bottom"/>
            <w:hideMark/>
          </w:tcPr>
          <w:p w14:paraId="22C0BB3D" w14:textId="77777777" w:rsidR="00505245" w:rsidRPr="00137964" w:rsidRDefault="00505245" w:rsidP="00505245">
            <w:pPr>
              <w:jc w:val="center"/>
              <w:rPr>
                <w:rFonts w:ascii="Times New Roman" w:hAnsi="Times New Roman" w:cs="Times New Roman"/>
                <w:b/>
                <w:bCs/>
                <w:color w:val="000000"/>
                <w:sz w:val="20"/>
                <w:szCs w:val="20"/>
              </w:rPr>
            </w:pPr>
            <w:r w:rsidRPr="00137964">
              <w:rPr>
                <w:rFonts w:ascii="Times New Roman" w:hAnsi="Times New Roman" w:cs="Times New Roman"/>
                <w:b/>
                <w:bCs/>
                <w:color w:val="000000"/>
                <w:sz w:val="20"/>
                <w:szCs w:val="20"/>
              </w:rPr>
              <w:t xml:space="preserve">Fringe + Overhead Factor </w:t>
            </w:r>
            <w:r w:rsidRPr="00137964">
              <w:rPr>
                <w:rFonts w:ascii="Times New Roman" w:hAnsi="Times New Roman" w:cs="Times New Roman"/>
                <w:b/>
                <w:bCs/>
                <w:color w:val="000000"/>
                <w:sz w:val="20"/>
                <w:szCs w:val="20"/>
                <w:vertAlign w:val="superscript"/>
              </w:rPr>
              <w:t>c</w:t>
            </w:r>
          </w:p>
        </w:tc>
        <w:tc>
          <w:tcPr>
            <w:tcW w:w="620" w:type="pct"/>
            <w:tcBorders>
              <w:top w:val="single" w:sz="12" w:space="0" w:color="auto"/>
              <w:right w:val="single" w:sz="12" w:space="0" w:color="auto"/>
            </w:tcBorders>
            <w:shd w:val="clear" w:color="auto" w:fill="BFBFBF" w:themeFill="background1" w:themeFillShade="BF"/>
            <w:vAlign w:val="bottom"/>
            <w:hideMark/>
          </w:tcPr>
          <w:p w14:paraId="56DBD76B" w14:textId="77777777" w:rsidR="00505245" w:rsidRPr="00137964" w:rsidRDefault="00505245" w:rsidP="00505245">
            <w:pPr>
              <w:jc w:val="center"/>
              <w:rPr>
                <w:rFonts w:ascii="Times New Roman" w:hAnsi="Times New Roman" w:cs="Times New Roman"/>
                <w:b/>
                <w:bCs/>
                <w:color w:val="000000"/>
                <w:sz w:val="20"/>
                <w:szCs w:val="20"/>
              </w:rPr>
            </w:pPr>
            <w:r w:rsidRPr="00137964">
              <w:rPr>
                <w:rFonts w:ascii="Times New Roman" w:hAnsi="Times New Roman" w:cs="Times New Roman"/>
                <w:b/>
                <w:bCs/>
                <w:color w:val="000000"/>
                <w:sz w:val="20"/>
                <w:szCs w:val="20"/>
              </w:rPr>
              <w:t xml:space="preserve">Hourly Loaded Wages </w:t>
            </w:r>
          </w:p>
        </w:tc>
      </w:tr>
      <w:tr w:rsidR="00505245" w:rsidRPr="00CC4A14" w14:paraId="62335124" w14:textId="77777777" w:rsidTr="00505245">
        <w:trPr>
          <w:trHeight w:val="192"/>
          <w:tblHeader/>
        </w:trPr>
        <w:tc>
          <w:tcPr>
            <w:tcW w:w="668" w:type="pct"/>
            <w:vMerge/>
            <w:tcBorders>
              <w:left w:val="single" w:sz="12" w:space="0" w:color="auto"/>
              <w:bottom w:val="single" w:sz="6" w:space="0" w:color="auto"/>
            </w:tcBorders>
            <w:shd w:val="clear" w:color="auto" w:fill="BFBFBF" w:themeFill="background1" w:themeFillShade="BF"/>
            <w:vAlign w:val="center"/>
            <w:hideMark/>
          </w:tcPr>
          <w:p w14:paraId="2A43815D" w14:textId="77777777" w:rsidR="00505245" w:rsidRPr="00137964" w:rsidRDefault="00505245" w:rsidP="00505245">
            <w:pPr>
              <w:rPr>
                <w:rFonts w:ascii="Times New Roman" w:hAnsi="Times New Roman" w:cs="Times New Roman"/>
                <w:b/>
                <w:bCs/>
                <w:color w:val="000000"/>
                <w:sz w:val="20"/>
                <w:szCs w:val="20"/>
              </w:rPr>
            </w:pPr>
          </w:p>
        </w:tc>
        <w:tc>
          <w:tcPr>
            <w:tcW w:w="611" w:type="pct"/>
            <w:vMerge/>
            <w:tcBorders>
              <w:bottom w:val="single" w:sz="6" w:space="0" w:color="auto"/>
            </w:tcBorders>
            <w:shd w:val="clear" w:color="auto" w:fill="BFBFBF" w:themeFill="background1" w:themeFillShade="BF"/>
            <w:vAlign w:val="center"/>
            <w:hideMark/>
          </w:tcPr>
          <w:p w14:paraId="7AC6A233" w14:textId="77777777" w:rsidR="00505245" w:rsidRPr="00137964" w:rsidRDefault="00505245" w:rsidP="00505245">
            <w:pPr>
              <w:rPr>
                <w:rFonts w:ascii="Times New Roman" w:hAnsi="Times New Roman" w:cs="Times New Roman"/>
                <w:b/>
                <w:bCs/>
                <w:color w:val="000000"/>
                <w:sz w:val="20"/>
                <w:szCs w:val="20"/>
              </w:rPr>
            </w:pPr>
          </w:p>
        </w:tc>
        <w:tc>
          <w:tcPr>
            <w:tcW w:w="424" w:type="pct"/>
            <w:vMerge/>
            <w:tcBorders>
              <w:bottom w:val="single" w:sz="6" w:space="0" w:color="auto"/>
            </w:tcBorders>
            <w:shd w:val="clear" w:color="auto" w:fill="BFBFBF" w:themeFill="background1" w:themeFillShade="BF"/>
            <w:vAlign w:val="center"/>
            <w:hideMark/>
          </w:tcPr>
          <w:p w14:paraId="3149816E" w14:textId="77777777" w:rsidR="00505245" w:rsidRPr="00137964" w:rsidRDefault="00505245" w:rsidP="00505245">
            <w:pPr>
              <w:rPr>
                <w:rFonts w:ascii="Times New Roman" w:hAnsi="Times New Roman" w:cs="Times New Roman"/>
                <w:b/>
                <w:bCs/>
                <w:color w:val="000000"/>
                <w:sz w:val="20"/>
                <w:szCs w:val="20"/>
              </w:rPr>
            </w:pPr>
          </w:p>
        </w:tc>
        <w:tc>
          <w:tcPr>
            <w:tcW w:w="411" w:type="pct"/>
            <w:tcBorders>
              <w:bottom w:val="single" w:sz="6" w:space="0" w:color="auto"/>
            </w:tcBorders>
            <w:shd w:val="clear" w:color="auto" w:fill="BFBFBF" w:themeFill="background1" w:themeFillShade="BF"/>
            <w:vAlign w:val="center"/>
            <w:hideMark/>
          </w:tcPr>
          <w:p w14:paraId="6BF71906"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(a)</w:t>
            </w:r>
          </w:p>
        </w:tc>
        <w:tc>
          <w:tcPr>
            <w:tcW w:w="482" w:type="pct"/>
            <w:tcBorders>
              <w:bottom w:val="single" w:sz="6" w:space="0" w:color="auto"/>
            </w:tcBorders>
            <w:shd w:val="clear" w:color="auto" w:fill="BFBFBF" w:themeFill="background1" w:themeFillShade="BF"/>
            <w:vAlign w:val="center"/>
            <w:hideMark/>
          </w:tcPr>
          <w:p w14:paraId="0187E0A3"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(b)</w:t>
            </w:r>
          </w:p>
        </w:tc>
        <w:tc>
          <w:tcPr>
            <w:tcW w:w="482" w:type="pct"/>
            <w:tcBorders>
              <w:bottom w:val="single" w:sz="6" w:space="0" w:color="auto"/>
            </w:tcBorders>
            <w:shd w:val="clear" w:color="auto" w:fill="BFBFBF" w:themeFill="background1" w:themeFillShade="BF"/>
            <w:vAlign w:val="center"/>
            <w:hideMark/>
          </w:tcPr>
          <w:p w14:paraId="54C17E97"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(c) =(b)/(a)</w:t>
            </w:r>
          </w:p>
        </w:tc>
        <w:tc>
          <w:tcPr>
            <w:tcW w:w="579" w:type="pct"/>
            <w:tcBorders>
              <w:bottom w:val="single" w:sz="6" w:space="0" w:color="auto"/>
            </w:tcBorders>
            <w:shd w:val="clear" w:color="auto" w:fill="BFBFBF" w:themeFill="background1" w:themeFillShade="BF"/>
            <w:vAlign w:val="center"/>
            <w:hideMark/>
          </w:tcPr>
          <w:p w14:paraId="1E225B99"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(d)</w:t>
            </w:r>
          </w:p>
        </w:tc>
        <w:tc>
          <w:tcPr>
            <w:tcW w:w="723" w:type="pct"/>
            <w:tcBorders>
              <w:bottom w:val="single" w:sz="6" w:space="0" w:color="auto"/>
            </w:tcBorders>
            <w:shd w:val="clear" w:color="auto" w:fill="BFBFBF" w:themeFill="background1" w:themeFillShade="BF"/>
            <w:vAlign w:val="center"/>
            <w:hideMark/>
          </w:tcPr>
          <w:p w14:paraId="2720BB60"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(e)=(c)+(d)+1</w:t>
            </w:r>
          </w:p>
        </w:tc>
        <w:tc>
          <w:tcPr>
            <w:tcW w:w="620" w:type="pct"/>
            <w:tcBorders>
              <w:bottom w:val="single" w:sz="6" w:space="0" w:color="auto"/>
              <w:right w:val="single" w:sz="12" w:space="0" w:color="auto"/>
            </w:tcBorders>
            <w:shd w:val="clear" w:color="auto" w:fill="BFBFBF" w:themeFill="background1" w:themeFillShade="BF"/>
            <w:vAlign w:val="center"/>
            <w:hideMark/>
          </w:tcPr>
          <w:p w14:paraId="2DC10D98" w14:textId="77777777" w:rsidR="00505245" w:rsidRPr="005C0801" w:rsidRDefault="00505245" w:rsidP="00505245">
            <w:pPr>
              <w:jc w:val="cente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(f)=(a)×(e)</w:t>
            </w:r>
          </w:p>
        </w:tc>
      </w:tr>
      <w:tr w:rsidR="00505245" w:rsidRPr="00CC4A14" w14:paraId="5EAB908E" w14:textId="77777777" w:rsidTr="00505245">
        <w:trPr>
          <w:trHeight w:val="400"/>
        </w:trPr>
        <w:tc>
          <w:tcPr>
            <w:tcW w:w="668" w:type="pct"/>
            <w:tcBorders>
              <w:left w:val="single" w:sz="12" w:space="0" w:color="auto"/>
            </w:tcBorders>
            <w:shd w:val="clear" w:color="auto" w:fill="auto"/>
            <w:vAlign w:val="center"/>
            <w:hideMark/>
          </w:tcPr>
          <w:p w14:paraId="65BCB282"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Managerial</w:t>
            </w:r>
          </w:p>
        </w:tc>
        <w:tc>
          <w:tcPr>
            <w:tcW w:w="611" w:type="pct"/>
            <w:shd w:val="clear" w:color="auto" w:fill="auto"/>
            <w:vAlign w:val="center"/>
            <w:hideMark/>
          </w:tcPr>
          <w:p w14:paraId="13191CAA" w14:textId="77777777" w:rsidR="00505245" w:rsidRPr="005051D8" w:rsidRDefault="00505245" w:rsidP="00505245">
            <w:pPr>
              <w:rPr>
                <w:rFonts w:ascii="Times New Roman" w:hAnsi="Times New Roman" w:cs="Times New Roman"/>
                <w:color w:val="000000"/>
                <w:sz w:val="16"/>
                <w:szCs w:val="16"/>
              </w:rPr>
            </w:pPr>
            <w:r w:rsidRPr="005051D8">
              <w:rPr>
                <w:rFonts w:ascii="Times New Roman" w:hAnsi="Times New Roman" w:cs="Times New Roman"/>
                <w:color w:val="000000"/>
                <w:sz w:val="16"/>
                <w:szCs w:val="16"/>
              </w:rPr>
              <w:t>BLS ECEC, Private Manufacturing industries, “Mgt, Business, and Financial”</w:t>
            </w:r>
          </w:p>
        </w:tc>
        <w:tc>
          <w:tcPr>
            <w:tcW w:w="424" w:type="pct"/>
            <w:shd w:val="clear" w:color="auto" w:fill="auto"/>
            <w:vAlign w:val="center"/>
            <w:hideMark/>
          </w:tcPr>
          <w:p w14:paraId="456D6DC4"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Dec-16</w:t>
            </w:r>
          </w:p>
        </w:tc>
        <w:tc>
          <w:tcPr>
            <w:tcW w:w="411" w:type="pct"/>
            <w:shd w:val="clear" w:color="auto" w:fill="auto"/>
            <w:vAlign w:val="center"/>
            <w:hideMark/>
          </w:tcPr>
          <w:p w14:paraId="1218C109" w14:textId="77777777" w:rsidR="00505245" w:rsidRPr="005051D8" w:rsidRDefault="00505245" w:rsidP="00505245">
            <w:pPr>
              <w:jc w:val="center"/>
              <w:rPr>
                <w:rFonts w:ascii="Times New Roman" w:hAnsi="Times New Roman" w:cs="Times New Roman"/>
                <w:color w:val="000000"/>
                <w:sz w:val="20"/>
                <w:szCs w:val="20"/>
              </w:rPr>
            </w:pPr>
            <w:r w:rsidRPr="005051D8">
              <w:rPr>
                <w:rFonts w:ascii="Times New Roman" w:hAnsi="Times New Roman" w:cs="Times New Roman"/>
                <w:color w:val="000000"/>
                <w:sz w:val="20"/>
                <w:szCs w:val="20"/>
              </w:rPr>
              <w:t xml:space="preserve">$50.09 </w:t>
            </w:r>
          </w:p>
        </w:tc>
        <w:tc>
          <w:tcPr>
            <w:tcW w:w="482" w:type="pct"/>
            <w:shd w:val="clear" w:color="auto" w:fill="auto"/>
            <w:vAlign w:val="center"/>
            <w:hideMark/>
          </w:tcPr>
          <w:p w14:paraId="5AB23F06" w14:textId="77777777" w:rsidR="00505245" w:rsidRPr="00E95B90" w:rsidRDefault="00505245" w:rsidP="00505245">
            <w:pPr>
              <w:jc w:val="center"/>
              <w:rPr>
                <w:rFonts w:ascii="Times New Roman" w:hAnsi="Times New Roman" w:cs="Times New Roman"/>
                <w:color w:val="000000"/>
                <w:sz w:val="20"/>
                <w:szCs w:val="20"/>
              </w:rPr>
            </w:pPr>
            <w:r w:rsidRPr="005051D8">
              <w:rPr>
                <w:rFonts w:ascii="Times New Roman" w:hAnsi="Times New Roman" w:cs="Times New Roman"/>
                <w:color w:val="000000"/>
                <w:sz w:val="20"/>
                <w:szCs w:val="20"/>
              </w:rPr>
              <w:t>$24.6</w:t>
            </w:r>
            <w:r w:rsidRPr="00E95B90">
              <w:rPr>
                <w:rFonts w:ascii="Times New Roman" w:hAnsi="Times New Roman" w:cs="Times New Roman"/>
                <w:color w:val="000000"/>
                <w:sz w:val="20"/>
                <w:szCs w:val="20"/>
              </w:rPr>
              <w:t xml:space="preserve">5 </w:t>
            </w:r>
          </w:p>
        </w:tc>
        <w:tc>
          <w:tcPr>
            <w:tcW w:w="482" w:type="pct"/>
            <w:shd w:val="clear" w:color="auto" w:fill="auto"/>
            <w:vAlign w:val="center"/>
            <w:hideMark/>
          </w:tcPr>
          <w:p w14:paraId="0328B156" w14:textId="77777777" w:rsidR="00505245" w:rsidRPr="00137964" w:rsidRDefault="00505245" w:rsidP="00505245">
            <w:pPr>
              <w:jc w:val="center"/>
              <w:rPr>
                <w:rFonts w:ascii="Times New Roman" w:hAnsi="Times New Roman" w:cs="Times New Roman"/>
                <w:color w:val="000000"/>
                <w:sz w:val="20"/>
                <w:szCs w:val="20"/>
              </w:rPr>
            </w:pPr>
            <w:r w:rsidRPr="00E95B90">
              <w:rPr>
                <w:rFonts w:ascii="Times New Roman" w:hAnsi="Times New Roman" w:cs="Times New Roman"/>
                <w:color w:val="000000"/>
                <w:sz w:val="20"/>
                <w:szCs w:val="20"/>
              </w:rPr>
              <w:t>49</w:t>
            </w:r>
            <w:r w:rsidRPr="00137964">
              <w:rPr>
                <w:rFonts w:ascii="Times New Roman" w:hAnsi="Times New Roman" w:cs="Times New Roman"/>
                <w:color w:val="000000"/>
                <w:sz w:val="20"/>
                <w:szCs w:val="20"/>
              </w:rPr>
              <w:t>%</w:t>
            </w:r>
          </w:p>
        </w:tc>
        <w:tc>
          <w:tcPr>
            <w:tcW w:w="579" w:type="pct"/>
            <w:shd w:val="clear" w:color="auto" w:fill="auto"/>
            <w:vAlign w:val="center"/>
            <w:hideMark/>
          </w:tcPr>
          <w:p w14:paraId="4B27CFC9"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17%</w:t>
            </w:r>
          </w:p>
        </w:tc>
        <w:tc>
          <w:tcPr>
            <w:tcW w:w="723" w:type="pct"/>
            <w:shd w:val="clear" w:color="auto" w:fill="auto"/>
            <w:vAlign w:val="center"/>
            <w:hideMark/>
          </w:tcPr>
          <w:p w14:paraId="515B3DEB"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1.66</w:t>
            </w:r>
          </w:p>
        </w:tc>
        <w:tc>
          <w:tcPr>
            <w:tcW w:w="620" w:type="pct"/>
            <w:tcBorders>
              <w:right w:val="single" w:sz="12" w:space="0" w:color="auto"/>
            </w:tcBorders>
            <w:shd w:val="clear" w:color="auto" w:fill="auto"/>
            <w:vAlign w:val="center"/>
            <w:hideMark/>
          </w:tcPr>
          <w:p w14:paraId="3463406E" w14:textId="77777777" w:rsidR="00505245" w:rsidRPr="00137964" w:rsidRDefault="00505245" w:rsidP="00505245">
            <w:pPr>
              <w:jc w:val="center"/>
              <w:rPr>
                <w:rFonts w:ascii="Times New Roman" w:hAnsi="Times New Roman" w:cs="Times New Roman"/>
                <w:color w:val="000000"/>
                <w:sz w:val="20"/>
                <w:szCs w:val="20"/>
              </w:rPr>
            </w:pPr>
            <w:bookmarkStart w:id="19" w:name="RANGE!I13"/>
            <w:r w:rsidRPr="00137964">
              <w:rPr>
                <w:rFonts w:ascii="Times New Roman" w:hAnsi="Times New Roman" w:cs="Times New Roman"/>
                <w:color w:val="000000"/>
                <w:sz w:val="20"/>
                <w:szCs w:val="20"/>
              </w:rPr>
              <w:t xml:space="preserve">$83.26 </w:t>
            </w:r>
            <w:bookmarkEnd w:id="19"/>
          </w:p>
        </w:tc>
      </w:tr>
      <w:tr w:rsidR="00505245" w:rsidRPr="00CC4A14" w14:paraId="2849184E" w14:textId="77777777" w:rsidTr="00505245">
        <w:trPr>
          <w:trHeight w:val="316"/>
        </w:trPr>
        <w:tc>
          <w:tcPr>
            <w:tcW w:w="668" w:type="pct"/>
            <w:tcBorders>
              <w:left w:val="single" w:sz="12" w:space="0" w:color="auto"/>
            </w:tcBorders>
            <w:shd w:val="clear" w:color="auto" w:fill="auto"/>
            <w:vAlign w:val="center"/>
            <w:hideMark/>
          </w:tcPr>
          <w:p w14:paraId="76D57432"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Professional / Technical</w:t>
            </w:r>
          </w:p>
        </w:tc>
        <w:tc>
          <w:tcPr>
            <w:tcW w:w="611" w:type="pct"/>
            <w:shd w:val="clear" w:color="auto" w:fill="auto"/>
            <w:vAlign w:val="center"/>
            <w:hideMark/>
          </w:tcPr>
          <w:p w14:paraId="75D78F7B" w14:textId="77777777" w:rsidR="00505245" w:rsidRPr="005051D8" w:rsidRDefault="00505245" w:rsidP="00505245">
            <w:pPr>
              <w:rPr>
                <w:rFonts w:ascii="Times New Roman" w:hAnsi="Times New Roman" w:cs="Times New Roman"/>
                <w:color w:val="000000"/>
                <w:sz w:val="16"/>
                <w:szCs w:val="16"/>
              </w:rPr>
            </w:pPr>
            <w:r w:rsidRPr="005051D8">
              <w:rPr>
                <w:rFonts w:ascii="Times New Roman" w:hAnsi="Times New Roman" w:cs="Times New Roman"/>
                <w:color w:val="000000"/>
                <w:sz w:val="16"/>
                <w:szCs w:val="16"/>
              </w:rPr>
              <w:t>BLS ECEC, Private Manufacturing industries, “Professional and related“</w:t>
            </w:r>
          </w:p>
        </w:tc>
        <w:tc>
          <w:tcPr>
            <w:tcW w:w="424" w:type="pct"/>
            <w:shd w:val="clear" w:color="auto" w:fill="auto"/>
            <w:vAlign w:val="center"/>
            <w:hideMark/>
          </w:tcPr>
          <w:p w14:paraId="69A8627C"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Dec-16</w:t>
            </w:r>
          </w:p>
        </w:tc>
        <w:tc>
          <w:tcPr>
            <w:tcW w:w="411" w:type="pct"/>
            <w:shd w:val="clear" w:color="auto" w:fill="auto"/>
            <w:vAlign w:val="center"/>
            <w:hideMark/>
          </w:tcPr>
          <w:p w14:paraId="7BD7122C" w14:textId="77777777" w:rsidR="00505245" w:rsidRPr="005051D8" w:rsidRDefault="00505245" w:rsidP="00505245">
            <w:pPr>
              <w:jc w:val="center"/>
              <w:rPr>
                <w:rFonts w:ascii="Times New Roman" w:hAnsi="Times New Roman" w:cs="Times New Roman"/>
                <w:color w:val="000000"/>
                <w:sz w:val="20"/>
                <w:szCs w:val="20"/>
              </w:rPr>
            </w:pPr>
            <w:r w:rsidRPr="005051D8">
              <w:rPr>
                <w:rFonts w:ascii="Times New Roman" w:hAnsi="Times New Roman" w:cs="Times New Roman"/>
                <w:color w:val="000000"/>
                <w:sz w:val="20"/>
                <w:szCs w:val="20"/>
              </w:rPr>
              <w:t xml:space="preserve">$45.66 </w:t>
            </w:r>
          </w:p>
        </w:tc>
        <w:tc>
          <w:tcPr>
            <w:tcW w:w="482" w:type="pct"/>
            <w:shd w:val="clear" w:color="auto" w:fill="auto"/>
            <w:vAlign w:val="center"/>
            <w:hideMark/>
          </w:tcPr>
          <w:p w14:paraId="04E12E1B" w14:textId="77777777" w:rsidR="00505245" w:rsidRPr="00E95B90" w:rsidRDefault="00505245" w:rsidP="00505245">
            <w:pPr>
              <w:jc w:val="center"/>
              <w:rPr>
                <w:rFonts w:ascii="Times New Roman" w:hAnsi="Times New Roman" w:cs="Times New Roman"/>
                <w:color w:val="000000"/>
                <w:sz w:val="20"/>
                <w:szCs w:val="20"/>
              </w:rPr>
            </w:pPr>
            <w:r w:rsidRPr="005051D8">
              <w:rPr>
                <w:rFonts w:ascii="Times New Roman" w:hAnsi="Times New Roman" w:cs="Times New Roman"/>
                <w:color w:val="000000"/>
                <w:sz w:val="20"/>
                <w:szCs w:val="20"/>
              </w:rPr>
              <w:t>$24.</w:t>
            </w:r>
            <w:r w:rsidRPr="00E95B90">
              <w:rPr>
                <w:rFonts w:ascii="Times New Roman" w:hAnsi="Times New Roman" w:cs="Times New Roman"/>
                <w:color w:val="000000"/>
                <w:sz w:val="20"/>
                <w:szCs w:val="20"/>
              </w:rPr>
              <w:t xml:space="preserve">98 </w:t>
            </w:r>
          </w:p>
        </w:tc>
        <w:tc>
          <w:tcPr>
            <w:tcW w:w="482" w:type="pct"/>
            <w:shd w:val="clear" w:color="auto" w:fill="auto"/>
            <w:vAlign w:val="center"/>
            <w:hideMark/>
          </w:tcPr>
          <w:p w14:paraId="4DB268B2"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55%</w:t>
            </w:r>
          </w:p>
        </w:tc>
        <w:tc>
          <w:tcPr>
            <w:tcW w:w="579" w:type="pct"/>
            <w:shd w:val="clear" w:color="auto" w:fill="auto"/>
            <w:vAlign w:val="center"/>
            <w:hideMark/>
          </w:tcPr>
          <w:p w14:paraId="506758EB"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17%</w:t>
            </w:r>
          </w:p>
        </w:tc>
        <w:tc>
          <w:tcPr>
            <w:tcW w:w="723" w:type="pct"/>
            <w:shd w:val="clear" w:color="auto" w:fill="auto"/>
            <w:vAlign w:val="center"/>
            <w:hideMark/>
          </w:tcPr>
          <w:p w14:paraId="27CB0A90"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1.72</w:t>
            </w:r>
          </w:p>
        </w:tc>
        <w:tc>
          <w:tcPr>
            <w:tcW w:w="620" w:type="pct"/>
            <w:tcBorders>
              <w:right w:val="single" w:sz="12" w:space="0" w:color="auto"/>
            </w:tcBorders>
            <w:shd w:val="clear" w:color="auto" w:fill="auto"/>
            <w:vAlign w:val="center"/>
            <w:hideMark/>
          </w:tcPr>
          <w:p w14:paraId="3360EBF6" w14:textId="77777777" w:rsidR="00505245" w:rsidRPr="00137964" w:rsidRDefault="00505245" w:rsidP="00505245">
            <w:pPr>
              <w:jc w:val="center"/>
              <w:rPr>
                <w:rFonts w:ascii="Times New Roman" w:hAnsi="Times New Roman" w:cs="Times New Roman"/>
                <w:color w:val="000000"/>
                <w:sz w:val="20"/>
                <w:szCs w:val="20"/>
              </w:rPr>
            </w:pPr>
            <w:bookmarkStart w:id="20" w:name="RANGE!I14"/>
            <w:r w:rsidRPr="00137964">
              <w:rPr>
                <w:rFonts w:ascii="Times New Roman" w:hAnsi="Times New Roman" w:cs="Times New Roman"/>
                <w:color w:val="000000"/>
                <w:sz w:val="20"/>
                <w:szCs w:val="20"/>
              </w:rPr>
              <w:t xml:space="preserve">$78.40 </w:t>
            </w:r>
            <w:bookmarkEnd w:id="20"/>
          </w:p>
        </w:tc>
      </w:tr>
      <w:tr w:rsidR="00505245" w:rsidRPr="00CC4A14" w14:paraId="2C09377D" w14:textId="77777777" w:rsidTr="00505245">
        <w:trPr>
          <w:trHeight w:val="400"/>
        </w:trPr>
        <w:tc>
          <w:tcPr>
            <w:tcW w:w="668" w:type="pct"/>
            <w:tcBorders>
              <w:left w:val="single" w:sz="12" w:space="0" w:color="auto"/>
            </w:tcBorders>
            <w:shd w:val="clear" w:color="auto" w:fill="auto"/>
            <w:vAlign w:val="center"/>
            <w:hideMark/>
          </w:tcPr>
          <w:p w14:paraId="17363D4F" w14:textId="77777777" w:rsidR="00505245" w:rsidRPr="005C0801" w:rsidRDefault="00505245" w:rsidP="00505245">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Clerical</w:t>
            </w:r>
          </w:p>
        </w:tc>
        <w:tc>
          <w:tcPr>
            <w:tcW w:w="611" w:type="pct"/>
            <w:shd w:val="clear" w:color="auto" w:fill="auto"/>
            <w:vAlign w:val="center"/>
            <w:hideMark/>
          </w:tcPr>
          <w:p w14:paraId="16DAB26E" w14:textId="77777777" w:rsidR="00505245" w:rsidRPr="005051D8" w:rsidRDefault="00505245" w:rsidP="00505245">
            <w:pPr>
              <w:rPr>
                <w:rFonts w:ascii="Times New Roman" w:hAnsi="Times New Roman" w:cs="Times New Roman"/>
                <w:color w:val="000000"/>
                <w:sz w:val="16"/>
                <w:szCs w:val="16"/>
              </w:rPr>
            </w:pPr>
            <w:r w:rsidRPr="005051D8">
              <w:rPr>
                <w:rFonts w:ascii="Times New Roman" w:hAnsi="Times New Roman" w:cs="Times New Roman"/>
                <w:color w:val="000000"/>
                <w:sz w:val="16"/>
                <w:szCs w:val="16"/>
              </w:rPr>
              <w:t>BLS ECEC, Private Manufacturing industries, “Office and Administrative Support”</w:t>
            </w:r>
          </w:p>
        </w:tc>
        <w:tc>
          <w:tcPr>
            <w:tcW w:w="424" w:type="pct"/>
            <w:shd w:val="clear" w:color="auto" w:fill="auto"/>
            <w:vAlign w:val="center"/>
            <w:hideMark/>
          </w:tcPr>
          <w:p w14:paraId="5EFBD850" w14:textId="77777777" w:rsidR="00505245" w:rsidRPr="005C0801" w:rsidRDefault="00505245" w:rsidP="00505245">
            <w:pPr>
              <w:jc w:val="center"/>
              <w:rPr>
                <w:rFonts w:ascii="Times New Roman" w:hAnsi="Times New Roman" w:cs="Times New Roman"/>
                <w:color w:val="000000"/>
                <w:sz w:val="20"/>
                <w:szCs w:val="20"/>
              </w:rPr>
            </w:pPr>
            <w:r w:rsidRPr="005C0801">
              <w:rPr>
                <w:rFonts w:ascii="Times New Roman" w:hAnsi="Times New Roman" w:cs="Times New Roman"/>
                <w:color w:val="000000"/>
                <w:sz w:val="20"/>
                <w:szCs w:val="20"/>
              </w:rPr>
              <w:t>Dec-16</w:t>
            </w:r>
          </w:p>
        </w:tc>
        <w:tc>
          <w:tcPr>
            <w:tcW w:w="411" w:type="pct"/>
            <w:shd w:val="clear" w:color="auto" w:fill="auto"/>
            <w:vAlign w:val="center"/>
            <w:hideMark/>
          </w:tcPr>
          <w:p w14:paraId="7EA6514C" w14:textId="77777777" w:rsidR="00505245" w:rsidRPr="005051D8" w:rsidRDefault="00505245" w:rsidP="00505245">
            <w:pPr>
              <w:jc w:val="center"/>
              <w:rPr>
                <w:rFonts w:ascii="Times New Roman" w:hAnsi="Times New Roman" w:cs="Times New Roman"/>
                <w:color w:val="000000"/>
                <w:sz w:val="20"/>
                <w:szCs w:val="20"/>
              </w:rPr>
            </w:pPr>
            <w:r w:rsidRPr="005051D8">
              <w:rPr>
                <w:rFonts w:ascii="Times New Roman" w:hAnsi="Times New Roman" w:cs="Times New Roman"/>
                <w:color w:val="000000"/>
                <w:sz w:val="20"/>
                <w:szCs w:val="20"/>
              </w:rPr>
              <w:t xml:space="preserve">$20.29 </w:t>
            </w:r>
          </w:p>
        </w:tc>
        <w:tc>
          <w:tcPr>
            <w:tcW w:w="482" w:type="pct"/>
            <w:shd w:val="clear" w:color="auto" w:fill="auto"/>
            <w:vAlign w:val="center"/>
            <w:hideMark/>
          </w:tcPr>
          <w:p w14:paraId="4D89C173" w14:textId="77777777" w:rsidR="00505245" w:rsidRPr="00E95B90" w:rsidRDefault="00505245" w:rsidP="00505245">
            <w:pPr>
              <w:jc w:val="center"/>
              <w:rPr>
                <w:rFonts w:ascii="Times New Roman" w:hAnsi="Times New Roman" w:cs="Times New Roman"/>
                <w:color w:val="000000"/>
                <w:sz w:val="20"/>
                <w:szCs w:val="20"/>
              </w:rPr>
            </w:pPr>
            <w:r w:rsidRPr="005051D8">
              <w:rPr>
                <w:rFonts w:ascii="Times New Roman" w:hAnsi="Times New Roman" w:cs="Times New Roman"/>
                <w:color w:val="000000"/>
                <w:sz w:val="20"/>
                <w:szCs w:val="20"/>
              </w:rPr>
              <w:t>$10.52</w:t>
            </w:r>
            <w:r w:rsidRPr="00E95B90">
              <w:rPr>
                <w:rFonts w:ascii="Times New Roman" w:hAnsi="Times New Roman" w:cs="Times New Roman"/>
                <w:color w:val="000000"/>
                <w:sz w:val="20"/>
                <w:szCs w:val="20"/>
              </w:rPr>
              <w:t xml:space="preserve"> </w:t>
            </w:r>
          </w:p>
        </w:tc>
        <w:tc>
          <w:tcPr>
            <w:tcW w:w="482" w:type="pct"/>
            <w:shd w:val="clear" w:color="auto" w:fill="auto"/>
            <w:vAlign w:val="center"/>
            <w:hideMark/>
          </w:tcPr>
          <w:p w14:paraId="38CF47E6"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52%</w:t>
            </w:r>
          </w:p>
        </w:tc>
        <w:tc>
          <w:tcPr>
            <w:tcW w:w="579" w:type="pct"/>
            <w:shd w:val="clear" w:color="auto" w:fill="auto"/>
            <w:vAlign w:val="center"/>
            <w:hideMark/>
          </w:tcPr>
          <w:p w14:paraId="03060459"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17%</w:t>
            </w:r>
          </w:p>
        </w:tc>
        <w:tc>
          <w:tcPr>
            <w:tcW w:w="723" w:type="pct"/>
            <w:shd w:val="clear" w:color="auto" w:fill="auto"/>
            <w:vAlign w:val="center"/>
            <w:hideMark/>
          </w:tcPr>
          <w:p w14:paraId="18E169E1" w14:textId="77777777" w:rsidR="00505245" w:rsidRPr="00137964" w:rsidRDefault="00505245" w:rsidP="00505245">
            <w:pPr>
              <w:jc w:val="center"/>
              <w:rPr>
                <w:rFonts w:ascii="Times New Roman" w:hAnsi="Times New Roman" w:cs="Times New Roman"/>
                <w:color w:val="000000"/>
                <w:sz w:val="20"/>
                <w:szCs w:val="20"/>
              </w:rPr>
            </w:pPr>
            <w:r w:rsidRPr="00137964">
              <w:rPr>
                <w:rFonts w:ascii="Times New Roman" w:hAnsi="Times New Roman" w:cs="Times New Roman"/>
                <w:color w:val="000000"/>
                <w:sz w:val="20"/>
                <w:szCs w:val="20"/>
              </w:rPr>
              <w:t>1.69</w:t>
            </w:r>
          </w:p>
        </w:tc>
        <w:tc>
          <w:tcPr>
            <w:tcW w:w="620" w:type="pct"/>
            <w:tcBorders>
              <w:right w:val="single" w:sz="12" w:space="0" w:color="auto"/>
            </w:tcBorders>
            <w:shd w:val="clear" w:color="auto" w:fill="auto"/>
            <w:vAlign w:val="center"/>
            <w:hideMark/>
          </w:tcPr>
          <w:p w14:paraId="1AA7A247" w14:textId="77777777" w:rsidR="00505245" w:rsidRPr="00137964" w:rsidRDefault="00505245" w:rsidP="00505245">
            <w:pPr>
              <w:jc w:val="center"/>
              <w:rPr>
                <w:rFonts w:ascii="Times New Roman" w:hAnsi="Times New Roman" w:cs="Times New Roman"/>
                <w:color w:val="000000"/>
                <w:sz w:val="20"/>
                <w:szCs w:val="20"/>
              </w:rPr>
            </w:pPr>
            <w:bookmarkStart w:id="21" w:name="RANGE!I15"/>
            <w:r w:rsidRPr="00137964">
              <w:rPr>
                <w:rFonts w:ascii="Times New Roman" w:hAnsi="Times New Roman" w:cs="Times New Roman"/>
                <w:color w:val="000000"/>
                <w:sz w:val="20"/>
                <w:szCs w:val="20"/>
              </w:rPr>
              <w:t xml:space="preserve">$34.26 </w:t>
            </w:r>
            <w:bookmarkEnd w:id="21"/>
          </w:p>
        </w:tc>
      </w:tr>
      <w:tr w:rsidR="00505245" w:rsidRPr="00CC4A14" w14:paraId="5D1AEF1E" w14:textId="77777777" w:rsidTr="00505245">
        <w:trPr>
          <w:trHeight w:val="1494"/>
        </w:trPr>
        <w:tc>
          <w:tcPr>
            <w:tcW w:w="5000" w:type="pct"/>
            <w:gridSpan w:val="9"/>
            <w:tcBorders>
              <w:left w:val="single" w:sz="12" w:space="0" w:color="auto"/>
              <w:bottom w:val="single" w:sz="12" w:space="0" w:color="auto"/>
              <w:right w:val="single" w:sz="12" w:space="0" w:color="auto"/>
            </w:tcBorders>
            <w:shd w:val="clear" w:color="auto" w:fill="auto"/>
            <w:vAlign w:val="center"/>
            <w:hideMark/>
          </w:tcPr>
          <w:p w14:paraId="78A28B00" w14:textId="77777777" w:rsidR="00505245" w:rsidRPr="0007313C" w:rsidRDefault="00505245" w:rsidP="00505245">
            <w:pPr>
              <w:shd w:val="clear" w:color="auto" w:fill="F2F2F2" w:themeFill="background1" w:themeFillShade="F2"/>
              <w:rPr>
                <w:rFonts w:ascii="Times New Roman" w:hAnsi="Times New Roman" w:cs="Times New Roman"/>
                <w:b/>
                <w:bCs/>
                <w:color w:val="000000"/>
                <w:sz w:val="18"/>
                <w:szCs w:val="18"/>
              </w:rPr>
            </w:pPr>
            <w:r w:rsidRPr="0007313C">
              <w:rPr>
                <w:rFonts w:ascii="Times New Roman" w:hAnsi="Times New Roman" w:cs="Times New Roman"/>
                <w:b/>
                <w:bCs/>
                <w:color w:val="000000"/>
                <w:sz w:val="18"/>
                <w:szCs w:val="18"/>
              </w:rPr>
              <w:t>Footnotes</w:t>
            </w:r>
          </w:p>
          <w:p w14:paraId="0EBB81FA" w14:textId="77777777" w:rsidR="00505245" w:rsidRPr="0007313C" w:rsidRDefault="00505245" w:rsidP="00505245">
            <w:pPr>
              <w:shd w:val="clear" w:color="auto" w:fill="F2F2F2" w:themeFill="background1" w:themeFillShade="F2"/>
              <w:rPr>
                <w:rFonts w:ascii="Times New Roman" w:hAnsi="Times New Roman" w:cs="Times New Roman"/>
                <w:b/>
                <w:bCs/>
                <w:color w:val="000000"/>
                <w:sz w:val="18"/>
                <w:szCs w:val="18"/>
              </w:rPr>
            </w:pPr>
            <w:r w:rsidRPr="0007313C">
              <w:rPr>
                <w:rFonts w:ascii="Times New Roman" w:hAnsi="Times New Roman" w:cs="Times New Roman"/>
                <w:color w:val="000000"/>
                <w:sz w:val="18"/>
                <w:szCs w:val="18"/>
                <w:vertAlign w:val="superscript"/>
              </w:rPr>
              <w:t>a</w:t>
            </w:r>
            <w:r w:rsidRPr="0007313C">
              <w:rPr>
                <w:rFonts w:ascii="Times New Roman" w:hAnsi="Times New Roman" w:cs="Times New Roman"/>
                <w:color w:val="000000"/>
                <w:sz w:val="18"/>
                <w:szCs w:val="18"/>
              </w:rPr>
              <w:t xml:space="preserve"> Source: </w:t>
            </w:r>
            <w:r w:rsidRPr="0007313C">
              <w:rPr>
                <w:rFonts w:ascii="Times New Roman" w:hAnsi="Times New Roman" w:cs="Times New Roman"/>
                <w:i/>
                <w:iCs/>
                <w:color w:val="000000"/>
                <w:sz w:val="18"/>
                <w:szCs w:val="18"/>
              </w:rPr>
              <w:t xml:space="preserve">Employer Costs for Employee Compensation Historical Supplementary Tables: December 2006 – </w:t>
            </w:r>
            <w:r>
              <w:rPr>
                <w:rFonts w:ascii="Times New Roman" w:hAnsi="Times New Roman" w:cs="Times New Roman"/>
                <w:i/>
                <w:iCs/>
                <w:color w:val="000000"/>
                <w:sz w:val="18"/>
                <w:szCs w:val="18"/>
              </w:rPr>
              <w:t>December</w:t>
            </w:r>
            <w:r w:rsidRPr="0007313C">
              <w:rPr>
                <w:rFonts w:ascii="Times New Roman" w:hAnsi="Times New Roman" w:cs="Times New Roman"/>
                <w:i/>
                <w:iCs/>
                <w:color w:val="000000"/>
                <w:sz w:val="18"/>
                <w:szCs w:val="18"/>
              </w:rPr>
              <w:t xml:space="preserve"> 2016</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fldChar w:fldCharType="begin"/>
            </w:r>
            <w:r>
              <w:rPr>
                <w:rFonts w:ascii="Times New Roman" w:hAnsi="Times New Roman" w:cs="Times New Roman"/>
                <w:i/>
                <w:iCs/>
                <w:color w:val="000000"/>
                <w:sz w:val="18"/>
                <w:szCs w:val="18"/>
              </w:rPr>
              <w:instrText xml:space="preserve"> ADDIN ZOTERO_ITEM CSL_CITATION {"citationID":"a2dq01q59lb","properties":{"formattedCitation":"(BLS, 2017)","plainCitation":"(BLS, 2017)"},"citationItems":[{"id":512,"uris":["http://zotero.org/groups/1140234/items/3DDQQ8U5"],"uri":["http://zotero.org/groups/1140234/items/3DDQQ8U5"],"itemData":{"id":512,"type":"report","title":"Employer Costs for Employee Compensation Historical Supplementary Tables: December 2006 - December 2016","URL":"http://www.bls.gov/ncs/ect/sp/ecsuphst.pdf","author":[{"literal":"BLS"}],"issued":{"date-parts":[["2017",3,17]]}}}],"schema":"https://github.com/citation-style-language/schema/raw/master/csl-citation.json"} </w:instrText>
            </w:r>
            <w:r>
              <w:rPr>
                <w:rFonts w:ascii="Times New Roman" w:hAnsi="Times New Roman" w:cs="Times New Roman"/>
                <w:i/>
                <w:iCs/>
                <w:color w:val="000000"/>
                <w:sz w:val="18"/>
                <w:szCs w:val="18"/>
              </w:rPr>
              <w:fldChar w:fldCharType="separate"/>
            </w:r>
            <w:r w:rsidRPr="009D1C27">
              <w:rPr>
                <w:rFonts w:ascii="Times New Roman" w:hAnsi="Times New Roman" w:cs="Times New Roman"/>
                <w:sz w:val="18"/>
              </w:rPr>
              <w:t>(BLS, 2017)</w:t>
            </w:r>
            <w:r>
              <w:rPr>
                <w:rFonts w:ascii="Times New Roman" w:hAnsi="Times New Roman" w:cs="Times New Roman"/>
                <w:i/>
                <w:iCs/>
                <w:color w:val="000000"/>
                <w:sz w:val="18"/>
                <w:szCs w:val="18"/>
              </w:rPr>
              <w:fldChar w:fldCharType="end"/>
            </w:r>
            <w:r w:rsidRPr="0007313C">
              <w:rPr>
                <w:rFonts w:ascii="Times New Roman" w:hAnsi="Times New Roman" w:cs="Times New Roman"/>
                <w:color w:val="000000"/>
                <w:sz w:val="18"/>
                <w:szCs w:val="18"/>
              </w:rPr>
              <w:t>.</w:t>
            </w:r>
          </w:p>
          <w:p w14:paraId="4A761AC7" w14:textId="77777777" w:rsidR="00505245" w:rsidRPr="0007313C" w:rsidRDefault="00505245" w:rsidP="00505245">
            <w:pPr>
              <w:shd w:val="clear" w:color="auto" w:fill="F2F2F2" w:themeFill="background1" w:themeFillShade="F2"/>
              <w:rPr>
                <w:rFonts w:ascii="Times New Roman" w:hAnsi="Times New Roman" w:cs="Times New Roman"/>
                <w:b/>
                <w:bCs/>
                <w:color w:val="000000"/>
                <w:sz w:val="18"/>
                <w:szCs w:val="18"/>
              </w:rPr>
            </w:pPr>
            <w:r w:rsidRPr="0007313C">
              <w:rPr>
                <w:rFonts w:ascii="Times New Roman" w:hAnsi="Times New Roman" w:cs="Times New Roman"/>
                <w:color w:val="000000"/>
                <w:sz w:val="18"/>
                <w:szCs w:val="18"/>
                <w:vertAlign w:val="superscript"/>
              </w:rPr>
              <w:t>b</w:t>
            </w:r>
            <w:r w:rsidRPr="0007313C">
              <w:rPr>
                <w:rFonts w:ascii="Times New Roman" w:hAnsi="Times New Roman" w:cs="Times New Roman"/>
                <w:color w:val="000000"/>
                <w:sz w:val="18"/>
                <w:szCs w:val="18"/>
              </w:rPr>
              <w:t xml:space="preserve"> An overhead rate of 17% is used based on assumptions in </w:t>
            </w:r>
            <w:r w:rsidRPr="0007313C">
              <w:rPr>
                <w:rFonts w:ascii="Times New Roman" w:hAnsi="Times New Roman" w:cs="Times New Roman"/>
                <w:i/>
                <w:iCs/>
                <w:color w:val="000000"/>
                <w:sz w:val="18"/>
                <w:szCs w:val="18"/>
              </w:rPr>
              <w:t>Wage Rates for Economic Analysis of the Toxics Release Inventory Program</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fldChar w:fldCharType="begin"/>
            </w:r>
            <w:r>
              <w:rPr>
                <w:rFonts w:ascii="Times New Roman" w:hAnsi="Times New Roman" w:cs="Times New Roman"/>
                <w:i/>
                <w:iCs/>
                <w:color w:val="000000"/>
                <w:sz w:val="18"/>
                <w:szCs w:val="18"/>
              </w:rPr>
              <w:instrText xml:space="preserve"> ADDIN ZOTERO_ITEM CSL_CITATION {"citationID":"a2ard7gmp","properties":{"formattedCitation":"(Rice, 2002)","plainCitation":"(Rice, 2002)"},"citationItems":[{"id":535,"uris":["http://zotero.org/groups/1140234/items/948CM22F"],"uri":["http://zotero.org/groups/1140234/items/948CM22F"],"itemData":{"id":535,"type":"report","title":"Wage Rates for Economic Analysis of the Toxics Release Inventory Program","URL":"https://www.regulations.gov/document?D=EPA-HQ-OPPT-2014-0650-0005","author":[{"family":"Rice","given":"Cody"}],"issued":{"date-parts":[["2002"]]}}}],"schema":"https://github.com/citation-style-language/schema/raw/master/csl-citation.json"} </w:instrText>
            </w:r>
            <w:r>
              <w:rPr>
                <w:rFonts w:ascii="Times New Roman" w:hAnsi="Times New Roman" w:cs="Times New Roman"/>
                <w:i/>
                <w:iCs/>
                <w:color w:val="000000"/>
                <w:sz w:val="18"/>
                <w:szCs w:val="18"/>
              </w:rPr>
              <w:fldChar w:fldCharType="separate"/>
            </w:r>
            <w:r w:rsidRPr="00810C62">
              <w:rPr>
                <w:rFonts w:ascii="Times New Roman" w:hAnsi="Times New Roman" w:cs="Times New Roman"/>
                <w:sz w:val="18"/>
              </w:rPr>
              <w:t>(Rice, 2002)</w:t>
            </w:r>
            <w:r>
              <w:rPr>
                <w:rFonts w:ascii="Times New Roman" w:hAnsi="Times New Roman" w:cs="Times New Roman"/>
                <w:i/>
                <w:iCs/>
                <w:color w:val="000000"/>
                <w:sz w:val="18"/>
                <w:szCs w:val="18"/>
              </w:rPr>
              <w:fldChar w:fldCharType="end"/>
            </w:r>
            <w:r w:rsidRPr="0007313C">
              <w:rPr>
                <w:rFonts w:ascii="Times New Roman" w:hAnsi="Times New Roman" w:cs="Times New Roman"/>
                <w:color w:val="000000"/>
                <w:sz w:val="18"/>
                <w:szCs w:val="18"/>
              </w:rPr>
              <w:t xml:space="preserve"> and the </w:t>
            </w:r>
            <w:r w:rsidRPr="0007313C">
              <w:rPr>
                <w:rFonts w:ascii="Times New Roman" w:hAnsi="Times New Roman" w:cs="Times New Roman"/>
                <w:i/>
                <w:iCs/>
                <w:color w:val="000000"/>
                <w:sz w:val="18"/>
                <w:szCs w:val="18"/>
              </w:rPr>
              <w:t>Revised Economic Analysis for the Amended Inventory Update Rule: Final Report</w:t>
            </w:r>
            <w:r>
              <w:rPr>
                <w:rFonts w:ascii="Times New Roman" w:hAnsi="Times New Roman" w:cs="Times New Roman"/>
                <w:i/>
                <w:iCs/>
                <w:color w:val="000000"/>
                <w:sz w:val="18"/>
                <w:szCs w:val="18"/>
              </w:rPr>
              <w:t xml:space="preserve"> </w:t>
            </w:r>
            <w:r>
              <w:rPr>
                <w:rFonts w:ascii="Times New Roman" w:hAnsi="Times New Roman" w:cs="Times New Roman"/>
                <w:i/>
                <w:iCs/>
                <w:color w:val="000000"/>
                <w:sz w:val="18"/>
                <w:szCs w:val="18"/>
              </w:rPr>
              <w:fldChar w:fldCharType="begin"/>
            </w:r>
            <w:r>
              <w:rPr>
                <w:rFonts w:ascii="Times New Roman" w:hAnsi="Times New Roman" w:cs="Times New Roman"/>
                <w:i/>
                <w:iCs/>
                <w:color w:val="000000"/>
                <w:sz w:val="18"/>
                <w:szCs w:val="18"/>
              </w:rPr>
              <w:instrText xml:space="preserve"> ADDIN ZOTERO_ITEM CSL_CITATION {"citationID":"a1shq94po2g","properties":{"formattedCitation":"(EPA, 2002)","plainCitation":"(EPA, 2002)"},"citationItems":[{"id":516,"uris":["http://zotero.org/groups/1140234/items/DGNMVQV7"],"uri":["http://zotero.org/groups/1140234/items/DGNMVQV7"],"itemData":{"id":516,"type":"report","title":"Revised Economic Analysis for the Amended Inventory Update Rule: Final Report","URL":"https://www.regulations.gov/document?D=EPA-HQ-OPPT-2014-0650-0011","author":[{"literal":"EPA"}],"issued":{"date-parts":[["2002"]]}}}],"schema":"https://github.com/citation-style-language/schema/raw/master/csl-citation.json"} </w:instrText>
            </w:r>
            <w:r>
              <w:rPr>
                <w:rFonts w:ascii="Times New Roman" w:hAnsi="Times New Roman" w:cs="Times New Roman"/>
                <w:i/>
                <w:iCs/>
                <w:color w:val="000000"/>
                <w:sz w:val="18"/>
                <w:szCs w:val="18"/>
              </w:rPr>
              <w:fldChar w:fldCharType="separate"/>
            </w:r>
            <w:r w:rsidRPr="00810C62">
              <w:rPr>
                <w:rFonts w:ascii="Times New Roman" w:hAnsi="Times New Roman" w:cs="Times New Roman"/>
                <w:sz w:val="18"/>
              </w:rPr>
              <w:t>(EPA, 2002)</w:t>
            </w:r>
            <w:r>
              <w:rPr>
                <w:rFonts w:ascii="Times New Roman" w:hAnsi="Times New Roman" w:cs="Times New Roman"/>
                <w:i/>
                <w:iCs/>
                <w:color w:val="000000"/>
                <w:sz w:val="18"/>
                <w:szCs w:val="18"/>
              </w:rPr>
              <w:fldChar w:fldCharType="end"/>
            </w:r>
            <w:r w:rsidRPr="00A16BFC">
              <w:rPr>
                <w:rFonts w:ascii="Times New Roman" w:hAnsi="Times New Roman" w:cs="Times New Roman"/>
                <w:color w:val="000000"/>
                <w:sz w:val="18"/>
                <w:szCs w:val="18"/>
              </w:rPr>
              <w:t>.</w:t>
            </w:r>
          </w:p>
          <w:p w14:paraId="2FEE1EA8" w14:textId="77777777" w:rsidR="00505245" w:rsidRPr="0007313C" w:rsidRDefault="00505245" w:rsidP="00505245">
            <w:pPr>
              <w:shd w:val="clear" w:color="auto" w:fill="F2F2F2" w:themeFill="background1" w:themeFillShade="F2"/>
              <w:rPr>
                <w:rFonts w:ascii="Times New Roman" w:hAnsi="Times New Roman" w:cs="Times New Roman"/>
                <w:b/>
                <w:bCs/>
                <w:color w:val="000000"/>
                <w:sz w:val="18"/>
                <w:szCs w:val="18"/>
              </w:rPr>
            </w:pPr>
            <w:r w:rsidRPr="0007313C">
              <w:rPr>
                <w:rFonts w:ascii="Times New Roman" w:hAnsi="Times New Roman" w:cs="Times New Roman"/>
                <w:color w:val="000000"/>
                <w:sz w:val="18"/>
                <w:szCs w:val="18"/>
                <w:vertAlign w:val="superscript"/>
              </w:rPr>
              <w:t>c</w:t>
            </w:r>
            <w:r w:rsidRPr="0007313C">
              <w:rPr>
                <w:rFonts w:ascii="Times New Roman" w:hAnsi="Times New Roman" w:cs="Times New Roman"/>
                <w:color w:val="000000"/>
                <w:sz w:val="18"/>
                <w:szCs w:val="18"/>
              </w:rPr>
              <w:t xml:space="preserve"> The inflation factor of “1” in the formula for calculating the fringe + overhead factor means wage data are not escalated to reflect inflation.</w:t>
            </w:r>
          </w:p>
        </w:tc>
      </w:tr>
    </w:tbl>
    <w:p w14:paraId="6D5434CD" w14:textId="77777777" w:rsidR="00505245" w:rsidRPr="0007313C" w:rsidRDefault="00505245" w:rsidP="00505245">
      <w:pPr>
        <w:rPr>
          <w:rFonts w:ascii="Times New Roman" w:hAnsi="Times New Roman" w:cs="Times New Roman"/>
        </w:rPr>
      </w:pPr>
    </w:p>
    <w:p w14:paraId="527A93AF" w14:textId="77777777" w:rsidR="00505245" w:rsidRDefault="00505245" w:rsidP="00505245">
      <w:pPr>
        <w:ind w:firstLine="720"/>
        <w:rPr>
          <w:rFonts w:ascii="Times New Roman" w:hAnsi="Times New Roman" w:cs="Times New Roman"/>
        </w:rPr>
      </w:pPr>
      <w:r w:rsidRPr="0007313C">
        <w:rPr>
          <w:rFonts w:ascii="Times New Roman" w:hAnsi="Times New Roman" w:cs="Times New Roman"/>
          <w:sz w:val="24"/>
          <w:szCs w:val="24"/>
        </w:rPr>
        <w:t>Industry unit costs are presented below in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_Ref469294406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Pr>
          <w:rFonts w:ascii="Times New Roman" w:hAnsi="Times New Roman"/>
          <w:sz w:val="24"/>
        </w:rPr>
        <w:t xml:space="preserve">Table </w:t>
      </w:r>
      <w:r>
        <w:rPr>
          <w:rFonts w:ascii="Times New Roman" w:hAnsi="Times New Roman"/>
          <w:noProof/>
          <w:sz w:val="24"/>
        </w:rPr>
        <w:t>5</w:t>
      </w:r>
      <w:r>
        <w:rPr>
          <w:rFonts w:ascii="Times New Roman" w:hAnsi="Times New Roman" w:cs="Times New Roman"/>
          <w:sz w:val="24"/>
          <w:szCs w:val="24"/>
        </w:rPr>
        <w:fldChar w:fldCharType="end"/>
      </w:r>
      <w:r w:rsidRPr="0007313C">
        <w:rPr>
          <w:rFonts w:ascii="Times New Roman" w:hAnsi="Times New Roman" w:cs="Times New Roman"/>
          <w:sz w:val="24"/>
          <w:szCs w:val="24"/>
        </w:rPr>
        <w:t xml:space="preserve">, in similar fashion to the industry unit burdens provided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_Ref468994438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Pr>
          <w:rFonts w:ascii="Times New Roman" w:hAnsi="Times New Roman"/>
          <w:sz w:val="24"/>
        </w:rPr>
        <w:t xml:space="preserve">Table </w:t>
      </w:r>
      <w:r>
        <w:rPr>
          <w:rFonts w:ascii="Times New Roman" w:hAnsi="Times New Roman"/>
          <w:noProof/>
          <w:sz w:val="24"/>
        </w:rPr>
        <w:t>3</w:t>
      </w:r>
      <w:r>
        <w:rPr>
          <w:rFonts w:ascii="Times New Roman" w:hAnsi="Times New Roman" w:cs="Times New Roman"/>
          <w:sz w:val="24"/>
          <w:szCs w:val="24"/>
        </w:rPr>
        <w:fldChar w:fldCharType="end"/>
      </w:r>
      <w:r>
        <w:rPr>
          <w:rFonts w:ascii="Times New Roman" w:hAnsi="Times New Roman" w:cs="Times New Roman"/>
          <w:sz w:val="24"/>
          <w:szCs w:val="24"/>
        </w:rPr>
        <w:t>.</w:t>
      </w:r>
    </w:p>
    <w:p w14:paraId="43807A1D" w14:textId="77777777" w:rsidR="00505245" w:rsidRDefault="00505245" w:rsidP="00505245">
      <w:pPr>
        <w:rPr>
          <w:rFonts w:ascii="Times New Roman" w:hAnsi="Times New Roman" w:cs="Times New Roman"/>
        </w:rPr>
        <w:sectPr w:rsidR="00505245" w:rsidSect="0082527B">
          <w:pgSz w:w="12240" w:h="15840" w:code="1"/>
          <w:pgMar w:top="1440" w:right="1440" w:bottom="1440" w:left="1440" w:header="720" w:footer="864" w:gutter="0"/>
          <w:cols w:space="720"/>
          <w:docGrid w:linePitch="299"/>
        </w:sectPr>
      </w:pPr>
    </w:p>
    <w:p w14:paraId="32D986B3" w14:textId="77777777" w:rsidR="00505245" w:rsidRPr="007D7498" w:rsidRDefault="00505245" w:rsidP="00505245">
      <w:pPr>
        <w:pStyle w:val="Caption"/>
        <w:rPr>
          <w:rFonts w:ascii="Times New Roman" w:hAnsi="Times New Roman"/>
          <w:sz w:val="24"/>
        </w:rPr>
      </w:pPr>
      <w:bookmarkStart w:id="22" w:name="_Ref469294406"/>
      <w:r w:rsidRPr="007D7498">
        <w:rPr>
          <w:rFonts w:ascii="Times New Roman" w:hAnsi="Times New Roman"/>
          <w:sz w:val="24"/>
        </w:rPr>
        <w:t xml:space="preserve">Table </w:t>
      </w:r>
      <w:r w:rsidRPr="007D7498">
        <w:rPr>
          <w:rFonts w:ascii="Times New Roman" w:hAnsi="Times New Roman"/>
          <w:sz w:val="24"/>
        </w:rPr>
        <w:fldChar w:fldCharType="begin"/>
      </w:r>
      <w:r w:rsidRPr="007D7498">
        <w:rPr>
          <w:rFonts w:ascii="Times New Roman" w:hAnsi="Times New Roman"/>
          <w:sz w:val="24"/>
        </w:rPr>
        <w:instrText xml:space="preserve"> SEQ Table \* ARABIC </w:instrText>
      </w:r>
      <w:r w:rsidRPr="007D7498">
        <w:rPr>
          <w:rFonts w:ascii="Times New Roman" w:hAnsi="Times New Roman"/>
          <w:sz w:val="24"/>
        </w:rPr>
        <w:fldChar w:fldCharType="separate"/>
      </w:r>
      <w:r>
        <w:rPr>
          <w:rFonts w:ascii="Times New Roman" w:hAnsi="Times New Roman"/>
          <w:noProof/>
          <w:sz w:val="24"/>
        </w:rPr>
        <w:t>5</w:t>
      </w:r>
      <w:r w:rsidRPr="007D7498">
        <w:rPr>
          <w:rFonts w:ascii="Times New Roman" w:hAnsi="Times New Roman"/>
          <w:sz w:val="24"/>
        </w:rPr>
        <w:fldChar w:fldCharType="end"/>
      </w:r>
      <w:bookmarkEnd w:id="22"/>
      <w:r w:rsidRPr="007D7498">
        <w:rPr>
          <w:rFonts w:ascii="Times New Roman" w:hAnsi="Times New Roman"/>
          <w:sz w:val="24"/>
        </w:rPr>
        <w:t>. Unit Cost for Start-Up and Annual Ongoing Conditions</w:t>
      </w:r>
    </w:p>
    <w:tbl>
      <w:tblPr>
        <w:tblStyle w:val="TableGrid"/>
        <w:tblW w:w="4871" w:type="pct"/>
        <w:tblLayout w:type="fixed"/>
        <w:tblLook w:val="04A0" w:firstRow="1" w:lastRow="0" w:firstColumn="1" w:lastColumn="0" w:noHBand="0" w:noVBand="1"/>
      </w:tblPr>
      <w:tblGrid>
        <w:gridCol w:w="7398"/>
        <w:gridCol w:w="1256"/>
        <w:gridCol w:w="1350"/>
        <w:gridCol w:w="1350"/>
        <w:gridCol w:w="1353"/>
        <w:gridCol w:w="1532"/>
      </w:tblGrid>
      <w:tr w:rsidR="00505245" w:rsidRPr="008351E8" w14:paraId="4C8799E6" w14:textId="77777777" w:rsidTr="00505245">
        <w:trPr>
          <w:cantSplit/>
          <w:trHeight w:hRule="exact" w:val="867"/>
          <w:tblHeader/>
        </w:trPr>
        <w:tc>
          <w:tcPr>
            <w:tcW w:w="2598" w:type="pct"/>
            <w:tcBorders>
              <w:top w:val="single" w:sz="12" w:space="0" w:color="auto"/>
              <w:left w:val="single" w:sz="12" w:space="0" w:color="auto"/>
            </w:tcBorders>
            <w:shd w:val="clear" w:color="auto" w:fill="BFBFBF" w:themeFill="background1" w:themeFillShade="BF"/>
            <w:noWrap/>
            <w:vAlign w:val="bottom"/>
            <w:hideMark/>
          </w:tcPr>
          <w:p w14:paraId="5E114489" w14:textId="77777777" w:rsidR="00505245" w:rsidRPr="00436CEC" w:rsidRDefault="00505245" w:rsidP="00505245">
            <w:pPr>
              <w:spacing w:beforeLines="20" w:before="48" w:afterLines="20" w:after="48" w:line="264" w:lineRule="auto"/>
              <w:contextualSpacing/>
              <w:jc w:val="center"/>
              <w:rPr>
                <w:b/>
                <w:bCs/>
                <w:color w:val="000000"/>
                <w:szCs w:val="18"/>
              </w:rPr>
            </w:pPr>
            <w:r w:rsidRPr="00436CEC">
              <w:rPr>
                <w:b/>
                <w:bCs/>
                <w:szCs w:val="18"/>
              </w:rPr>
              <w:t>Activity</w:t>
            </w:r>
          </w:p>
        </w:tc>
        <w:tc>
          <w:tcPr>
            <w:tcW w:w="441" w:type="pct"/>
            <w:tcBorders>
              <w:top w:val="single" w:sz="12" w:space="0" w:color="auto"/>
            </w:tcBorders>
            <w:shd w:val="clear" w:color="auto" w:fill="BFBFBF" w:themeFill="background1" w:themeFillShade="BF"/>
            <w:vAlign w:val="bottom"/>
            <w:hideMark/>
          </w:tcPr>
          <w:p w14:paraId="577F2EDC" w14:textId="77777777" w:rsidR="00505245" w:rsidRPr="00436CEC" w:rsidRDefault="00505245" w:rsidP="00505245">
            <w:pPr>
              <w:spacing w:beforeLines="20" w:before="48" w:afterLines="20" w:after="48" w:line="264" w:lineRule="auto"/>
              <w:contextualSpacing/>
              <w:jc w:val="center"/>
              <w:rPr>
                <w:b/>
                <w:bCs/>
                <w:color w:val="000000"/>
                <w:szCs w:val="18"/>
              </w:rPr>
            </w:pPr>
            <w:r w:rsidRPr="00436CEC">
              <w:rPr>
                <w:b/>
                <w:bCs/>
                <w:szCs w:val="18"/>
              </w:rPr>
              <w:t>Unit of Analysis</w:t>
            </w:r>
          </w:p>
        </w:tc>
        <w:tc>
          <w:tcPr>
            <w:tcW w:w="474" w:type="pct"/>
            <w:tcBorders>
              <w:top w:val="single" w:sz="12" w:space="0" w:color="auto"/>
            </w:tcBorders>
            <w:shd w:val="clear" w:color="auto" w:fill="BFBFBF" w:themeFill="background1" w:themeFillShade="BF"/>
            <w:vAlign w:val="bottom"/>
            <w:hideMark/>
          </w:tcPr>
          <w:p w14:paraId="453587C3" w14:textId="77777777" w:rsidR="00505245" w:rsidRPr="00436CEC" w:rsidRDefault="00505245" w:rsidP="00505245">
            <w:pPr>
              <w:spacing w:beforeLines="20" w:before="48" w:afterLines="20" w:after="48" w:line="264" w:lineRule="auto"/>
              <w:contextualSpacing/>
              <w:jc w:val="center"/>
              <w:rPr>
                <w:b/>
                <w:bCs/>
                <w:color w:val="000000"/>
                <w:sz w:val="18"/>
                <w:szCs w:val="18"/>
              </w:rPr>
            </w:pPr>
            <w:r w:rsidRPr="00436CEC">
              <w:rPr>
                <w:b/>
                <w:bCs/>
                <w:szCs w:val="18"/>
              </w:rPr>
              <w:t>Clerical Cost (201</w:t>
            </w:r>
            <w:r>
              <w:rPr>
                <w:b/>
                <w:bCs/>
                <w:szCs w:val="18"/>
              </w:rPr>
              <w:t>6</w:t>
            </w:r>
            <w:r w:rsidRPr="00436CEC">
              <w:rPr>
                <w:b/>
                <w:bCs/>
                <w:szCs w:val="18"/>
              </w:rPr>
              <w:t>$)</w:t>
            </w:r>
            <w:r w:rsidRPr="00436CEC">
              <w:rPr>
                <w:b/>
                <w:bCs/>
                <w:sz w:val="18"/>
                <w:szCs w:val="18"/>
              </w:rPr>
              <w:br/>
              <w:t>(a)</w:t>
            </w:r>
          </w:p>
        </w:tc>
        <w:tc>
          <w:tcPr>
            <w:tcW w:w="474" w:type="pct"/>
            <w:tcBorders>
              <w:top w:val="single" w:sz="12" w:space="0" w:color="auto"/>
            </w:tcBorders>
            <w:shd w:val="clear" w:color="auto" w:fill="BFBFBF" w:themeFill="background1" w:themeFillShade="BF"/>
            <w:vAlign w:val="bottom"/>
            <w:hideMark/>
          </w:tcPr>
          <w:p w14:paraId="31A61583" w14:textId="77777777" w:rsidR="00505245" w:rsidRPr="00436CEC" w:rsidRDefault="00505245" w:rsidP="00505245">
            <w:pPr>
              <w:spacing w:beforeLines="20" w:before="48" w:afterLines="20" w:after="48" w:line="264" w:lineRule="auto"/>
              <w:contextualSpacing/>
              <w:jc w:val="center"/>
              <w:rPr>
                <w:b/>
                <w:bCs/>
                <w:color w:val="000000"/>
                <w:sz w:val="18"/>
                <w:szCs w:val="18"/>
              </w:rPr>
            </w:pPr>
            <w:r w:rsidRPr="00436CEC">
              <w:rPr>
                <w:b/>
                <w:bCs/>
                <w:szCs w:val="18"/>
              </w:rPr>
              <w:t>Technical Cost (201</w:t>
            </w:r>
            <w:r>
              <w:rPr>
                <w:b/>
                <w:bCs/>
                <w:szCs w:val="18"/>
              </w:rPr>
              <w:t>6</w:t>
            </w:r>
            <w:r w:rsidRPr="00436CEC">
              <w:rPr>
                <w:b/>
                <w:bCs/>
                <w:szCs w:val="18"/>
              </w:rPr>
              <w:t>$)</w:t>
            </w:r>
            <w:r w:rsidRPr="00436CEC">
              <w:rPr>
                <w:b/>
                <w:bCs/>
                <w:sz w:val="18"/>
                <w:szCs w:val="18"/>
              </w:rPr>
              <w:br/>
              <w:t>(b)</w:t>
            </w:r>
          </w:p>
        </w:tc>
        <w:tc>
          <w:tcPr>
            <w:tcW w:w="475" w:type="pct"/>
            <w:tcBorders>
              <w:top w:val="single" w:sz="12" w:space="0" w:color="auto"/>
            </w:tcBorders>
            <w:shd w:val="clear" w:color="auto" w:fill="BFBFBF" w:themeFill="background1" w:themeFillShade="BF"/>
            <w:vAlign w:val="bottom"/>
            <w:hideMark/>
          </w:tcPr>
          <w:p w14:paraId="4B941BFB" w14:textId="77777777" w:rsidR="00505245" w:rsidRPr="00436CEC" w:rsidRDefault="00505245" w:rsidP="00505245">
            <w:pPr>
              <w:spacing w:beforeLines="20" w:before="48" w:afterLines="20" w:after="48" w:line="264" w:lineRule="auto"/>
              <w:contextualSpacing/>
              <w:jc w:val="center"/>
              <w:rPr>
                <w:b/>
                <w:bCs/>
                <w:color w:val="000000"/>
                <w:sz w:val="18"/>
                <w:szCs w:val="18"/>
              </w:rPr>
            </w:pPr>
            <w:r w:rsidRPr="00436CEC">
              <w:rPr>
                <w:b/>
                <w:bCs/>
                <w:szCs w:val="18"/>
              </w:rPr>
              <w:t>Managerial Cost (201</w:t>
            </w:r>
            <w:r>
              <w:rPr>
                <w:b/>
                <w:bCs/>
                <w:szCs w:val="18"/>
              </w:rPr>
              <w:t>6</w:t>
            </w:r>
            <w:r w:rsidRPr="00436CEC">
              <w:rPr>
                <w:b/>
                <w:bCs/>
                <w:szCs w:val="18"/>
              </w:rPr>
              <w:t>$)</w:t>
            </w:r>
            <w:r w:rsidRPr="00436CEC">
              <w:rPr>
                <w:b/>
                <w:bCs/>
                <w:sz w:val="18"/>
                <w:szCs w:val="18"/>
              </w:rPr>
              <w:br/>
              <w:t>(c)</w:t>
            </w:r>
          </w:p>
        </w:tc>
        <w:tc>
          <w:tcPr>
            <w:tcW w:w="538" w:type="pct"/>
            <w:tcBorders>
              <w:top w:val="single" w:sz="12" w:space="0" w:color="auto"/>
              <w:right w:val="single" w:sz="12" w:space="0" w:color="auto"/>
            </w:tcBorders>
            <w:shd w:val="clear" w:color="auto" w:fill="BFBFBF" w:themeFill="background1" w:themeFillShade="BF"/>
            <w:vAlign w:val="bottom"/>
            <w:hideMark/>
          </w:tcPr>
          <w:p w14:paraId="0C023A6A" w14:textId="77777777" w:rsidR="00505245" w:rsidRPr="00436CEC" w:rsidRDefault="00505245" w:rsidP="00505245">
            <w:pPr>
              <w:pStyle w:val="BodyText"/>
              <w:keepNext/>
              <w:spacing w:beforeLines="20" w:before="48" w:afterLines="20" w:after="48" w:line="264" w:lineRule="auto"/>
              <w:ind w:firstLine="0"/>
              <w:contextualSpacing/>
              <w:jc w:val="center"/>
              <w:rPr>
                <w:b/>
                <w:bCs/>
                <w:color w:val="000000"/>
                <w:sz w:val="18"/>
                <w:szCs w:val="18"/>
              </w:rPr>
            </w:pPr>
            <w:r w:rsidRPr="00436CEC">
              <w:rPr>
                <w:b/>
                <w:bCs/>
                <w:sz w:val="20"/>
                <w:szCs w:val="18"/>
              </w:rPr>
              <w:t xml:space="preserve">Total Cost </w:t>
            </w:r>
            <w:r w:rsidRPr="00BA0423">
              <w:rPr>
                <w:b/>
                <w:bCs/>
                <w:sz w:val="20"/>
                <w:szCs w:val="18"/>
              </w:rPr>
              <w:t>(201</w:t>
            </w:r>
            <w:r>
              <w:rPr>
                <w:b/>
                <w:bCs/>
                <w:sz w:val="20"/>
                <w:szCs w:val="18"/>
              </w:rPr>
              <w:t>6</w:t>
            </w:r>
            <w:r w:rsidRPr="00BA0423">
              <w:rPr>
                <w:b/>
                <w:bCs/>
                <w:sz w:val="20"/>
                <w:szCs w:val="18"/>
              </w:rPr>
              <w:t>$)</w:t>
            </w:r>
            <w:r w:rsidRPr="00BA0423">
              <w:rPr>
                <w:b/>
                <w:bCs/>
                <w:sz w:val="20"/>
                <w:szCs w:val="18"/>
              </w:rPr>
              <w:br/>
            </w:r>
            <w:r w:rsidRPr="00BA0423">
              <w:rPr>
                <w:b/>
                <w:bCs/>
                <w:sz w:val="18"/>
                <w:szCs w:val="18"/>
              </w:rPr>
              <w:t>(d)=</w:t>
            </w:r>
            <w:r w:rsidRPr="00436CEC">
              <w:rPr>
                <w:b/>
                <w:bCs/>
                <w:sz w:val="18"/>
                <w:szCs w:val="18"/>
              </w:rPr>
              <w:t>(a)+(b)+</w:t>
            </w:r>
            <w:r>
              <w:rPr>
                <w:b/>
                <w:bCs/>
                <w:sz w:val="18"/>
                <w:szCs w:val="18"/>
              </w:rPr>
              <w:t>(</w:t>
            </w:r>
            <w:r w:rsidRPr="00436CEC">
              <w:rPr>
                <w:b/>
                <w:bCs/>
                <w:sz w:val="18"/>
                <w:szCs w:val="18"/>
              </w:rPr>
              <w:t>c)</w:t>
            </w:r>
          </w:p>
        </w:tc>
      </w:tr>
      <w:tr w:rsidR="00505245" w:rsidRPr="008351E8" w14:paraId="386A7B47" w14:textId="77777777" w:rsidTr="00505245">
        <w:trPr>
          <w:cantSplit/>
          <w:trHeight w:val="144"/>
        </w:trPr>
        <w:tc>
          <w:tcPr>
            <w:tcW w:w="2598" w:type="pct"/>
            <w:tcBorders>
              <w:left w:val="single" w:sz="12" w:space="0" w:color="auto"/>
            </w:tcBorders>
            <w:vAlign w:val="center"/>
            <w:hideMark/>
          </w:tcPr>
          <w:p w14:paraId="0927D889" w14:textId="77777777" w:rsidR="00505245" w:rsidRPr="008351E8" w:rsidRDefault="00505245" w:rsidP="00505245">
            <w:pPr>
              <w:contextualSpacing/>
              <w:rPr>
                <w:i/>
                <w:iCs/>
                <w:color w:val="000000"/>
              </w:rPr>
            </w:pPr>
            <w:r w:rsidRPr="008351E8">
              <w:rPr>
                <w:i/>
                <w:iCs/>
                <w:color w:val="000000"/>
              </w:rPr>
              <w:t xml:space="preserve">CDX REGISTRATION </w:t>
            </w:r>
            <w:r w:rsidRPr="008351E8">
              <w:rPr>
                <w:i/>
                <w:iCs/>
                <w:color w:val="000000"/>
                <w:vertAlign w:val="superscript"/>
              </w:rPr>
              <w:t>1</w:t>
            </w:r>
          </w:p>
        </w:tc>
        <w:tc>
          <w:tcPr>
            <w:tcW w:w="441" w:type="pct"/>
            <w:vAlign w:val="center"/>
            <w:hideMark/>
          </w:tcPr>
          <w:p w14:paraId="58AABA4A" w14:textId="77777777" w:rsidR="00505245" w:rsidRPr="005C0801" w:rsidRDefault="00505245" w:rsidP="00505245">
            <w:pPr>
              <w:contextualSpacing/>
              <w:rPr>
                <w:color w:val="000000"/>
              </w:rPr>
            </w:pPr>
            <w:r w:rsidRPr="005C0801">
              <w:rPr>
                <w:color w:val="000000"/>
              </w:rPr>
              <w:t>Registration</w:t>
            </w:r>
          </w:p>
        </w:tc>
        <w:tc>
          <w:tcPr>
            <w:tcW w:w="474" w:type="pct"/>
            <w:noWrap/>
            <w:hideMark/>
          </w:tcPr>
          <w:p w14:paraId="28B97D67"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474" w:type="pct"/>
            <w:noWrap/>
            <w:hideMark/>
          </w:tcPr>
          <w:p w14:paraId="6F0CAE0F" w14:textId="77777777" w:rsidR="00505245" w:rsidRPr="008351E8" w:rsidRDefault="00505245" w:rsidP="00505245">
            <w:pPr>
              <w:ind w:firstLineChars="100" w:firstLine="200"/>
              <w:contextualSpacing/>
              <w:jc w:val="right"/>
              <w:rPr>
                <w:color w:val="000000"/>
              </w:rPr>
            </w:pPr>
            <w:r w:rsidRPr="008351E8">
              <w:rPr>
                <w:color w:val="000000"/>
              </w:rPr>
              <w:t>$</w:t>
            </w:r>
            <w:r>
              <w:rPr>
                <w:color w:val="000000"/>
              </w:rPr>
              <w:t>14.11</w:t>
            </w:r>
          </w:p>
        </w:tc>
        <w:tc>
          <w:tcPr>
            <w:tcW w:w="475" w:type="pct"/>
            <w:noWrap/>
            <w:hideMark/>
          </w:tcPr>
          <w:p w14:paraId="547E66E4"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538" w:type="pct"/>
            <w:tcBorders>
              <w:right w:val="single" w:sz="12" w:space="0" w:color="auto"/>
            </w:tcBorders>
            <w:noWrap/>
            <w:hideMark/>
          </w:tcPr>
          <w:p w14:paraId="103E12F8" w14:textId="77777777" w:rsidR="00505245" w:rsidRPr="008351E8" w:rsidRDefault="00505245" w:rsidP="00505245">
            <w:pPr>
              <w:ind w:firstLineChars="100" w:firstLine="200"/>
              <w:contextualSpacing/>
              <w:jc w:val="right"/>
              <w:rPr>
                <w:color w:val="000000"/>
              </w:rPr>
            </w:pPr>
            <w:r w:rsidRPr="008351E8">
              <w:rPr>
                <w:color w:val="000000"/>
              </w:rPr>
              <w:t>$</w:t>
            </w:r>
            <w:r>
              <w:rPr>
                <w:color w:val="000000"/>
              </w:rPr>
              <w:t>14.11</w:t>
            </w:r>
          </w:p>
        </w:tc>
      </w:tr>
      <w:tr w:rsidR="00505245" w:rsidRPr="008351E8" w14:paraId="18BB6129" w14:textId="77777777" w:rsidTr="00505245">
        <w:trPr>
          <w:cantSplit/>
          <w:trHeight w:val="144"/>
        </w:trPr>
        <w:tc>
          <w:tcPr>
            <w:tcW w:w="2598" w:type="pct"/>
            <w:tcBorders>
              <w:left w:val="single" w:sz="12" w:space="0" w:color="auto"/>
            </w:tcBorders>
            <w:vAlign w:val="center"/>
            <w:hideMark/>
          </w:tcPr>
          <w:p w14:paraId="68081BB2" w14:textId="77777777" w:rsidR="00505245" w:rsidRPr="008351E8" w:rsidRDefault="00505245" w:rsidP="00505245">
            <w:pPr>
              <w:contextualSpacing/>
              <w:rPr>
                <w:i/>
                <w:iCs/>
                <w:color w:val="000000"/>
              </w:rPr>
            </w:pPr>
            <w:r w:rsidRPr="008351E8">
              <w:rPr>
                <w:i/>
                <w:iCs/>
                <w:color w:val="000000"/>
              </w:rPr>
              <w:t xml:space="preserve">CDX e-SIGNATURE </w:t>
            </w:r>
            <w:r w:rsidRPr="008351E8">
              <w:rPr>
                <w:i/>
                <w:iCs/>
                <w:color w:val="000000"/>
                <w:vertAlign w:val="superscript"/>
              </w:rPr>
              <w:t>1</w:t>
            </w:r>
          </w:p>
        </w:tc>
        <w:tc>
          <w:tcPr>
            <w:tcW w:w="441" w:type="pct"/>
            <w:vAlign w:val="center"/>
            <w:hideMark/>
          </w:tcPr>
          <w:p w14:paraId="1A1B71C1" w14:textId="77777777" w:rsidR="00505245" w:rsidRPr="005C0801" w:rsidRDefault="00505245" w:rsidP="00505245">
            <w:pPr>
              <w:contextualSpacing/>
              <w:rPr>
                <w:color w:val="000000"/>
              </w:rPr>
            </w:pPr>
            <w:r w:rsidRPr="005C0801">
              <w:rPr>
                <w:color w:val="000000"/>
              </w:rPr>
              <w:t>Registration</w:t>
            </w:r>
          </w:p>
        </w:tc>
        <w:tc>
          <w:tcPr>
            <w:tcW w:w="474" w:type="pct"/>
            <w:noWrap/>
            <w:hideMark/>
          </w:tcPr>
          <w:p w14:paraId="29E7B6C8"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474" w:type="pct"/>
            <w:noWrap/>
            <w:hideMark/>
          </w:tcPr>
          <w:p w14:paraId="395BDCF1" w14:textId="77777777" w:rsidR="00505245" w:rsidRPr="008351E8" w:rsidRDefault="00505245" w:rsidP="00505245">
            <w:pPr>
              <w:ind w:firstLineChars="100" w:firstLine="200"/>
              <w:contextualSpacing/>
              <w:jc w:val="right"/>
              <w:rPr>
                <w:color w:val="000000"/>
              </w:rPr>
            </w:pPr>
            <w:r w:rsidRPr="008351E8">
              <w:rPr>
                <w:color w:val="000000"/>
              </w:rPr>
              <w:t>$</w:t>
            </w:r>
            <w:r>
              <w:rPr>
                <w:color w:val="000000"/>
              </w:rPr>
              <w:t>27.44</w:t>
            </w:r>
          </w:p>
        </w:tc>
        <w:tc>
          <w:tcPr>
            <w:tcW w:w="475" w:type="pct"/>
            <w:noWrap/>
            <w:hideMark/>
          </w:tcPr>
          <w:p w14:paraId="1437CB91"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538" w:type="pct"/>
            <w:tcBorders>
              <w:right w:val="single" w:sz="12" w:space="0" w:color="auto"/>
            </w:tcBorders>
            <w:noWrap/>
            <w:hideMark/>
          </w:tcPr>
          <w:p w14:paraId="3B892E20" w14:textId="77777777" w:rsidR="00505245" w:rsidRPr="008351E8" w:rsidRDefault="00505245" w:rsidP="00505245">
            <w:pPr>
              <w:ind w:firstLineChars="100" w:firstLine="200"/>
              <w:contextualSpacing/>
              <w:jc w:val="right"/>
              <w:rPr>
                <w:color w:val="000000"/>
              </w:rPr>
            </w:pPr>
            <w:r w:rsidRPr="008351E8">
              <w:rPr>
                <w:color w:val="000000"/>
              </w:rPr>
              <w:t>$</w:t>
            </w:r>
            <w:r>
              <w:rPr>
                <w:color w:val="000000"/>
              </w:rPr>
              <w:t>27.44</w:t>
            </w:r>
          </w:p>
        </w:tc>
      </w:tr>
      <w:tr w:rsidR="00505245" w:rsidRPr="008351E8" w14:paraId="45B57D11" w14:textId="77777777" w:rsidTr="00505245">
        <w:trPr>
          <w:cantSplit/>
          <w:trHeight w:val="144"/>
        </w:trPr>
        <w:tc>
          <w:tcPr>
            <w:tcW w:w="2598" w:type="pct"/>
            <w:tcBorders>
              <w:left w:val="single" w:sz="12" w:space="0" w:color="auto"/>
            </w:tcBorders>
            <w:vAlign w:val="center"/>
            <w:hideMark/>
          </w:tcPr>
          <w:p w14:paraId="678B2C12" w14:textId="77777777" w:rsidR="00505245" w:rsidRPr="008351E8" w:rsidRDefault="00505245" w:rsidP="00505245">
            <w:pPr>
              <w:contextualSpacing/>
              <w:rPr>
                <w:i/>
                <w:iCs/>
                <w:color w:val="000000"/>
              </w:rPr>
            </w:pPr>
            <w:r w:rsidRPr="008351E8">
              <w:rPr>
                <w:i/>
                <w:iCs/>
                <w:color w:val="000000"/>
              </w:rPr>
              <w:t>RULE FAMILIARIZATION</w:t>
            </w:r>
          </w:p>
        </w:tc>
        <w:tc>
          <w:tcPr>
            <w:tcW w:w="441" w:type="pct"/>
            <w:vAlign w:val="center"/>
            <w:hideMark/>
          </w:tcPr>
          <w:p w14:paraId="6126A7FF" w14:textId="77777777" w:rsidR="00505245" w:rsidRPr="005C0801" w:rsidRDefault="00505245" w:rsidP="00505245">
            <w:pPr>
              <w:contextualSpacing/>
              <w:rPr>
                <w:color w:val="000000"/>
              </w:rPr>
            </w:pPr>
            <w:r w:rsidRPr="005C0801">
              <w:rPr>
                <w:color w:val="000000"/>
              </w:rPr>
              <w:t>Firm</w:t>
            </w:r>
          </w:p>
        </w:tc>
        <w:tc>
          <w:tcPr>
            <w:tcW w:w="474" w:type="pct"/>
            <w:noWrap/>
            <w:hideMark/>
          </w:tcPr>
          <w:p w14:paraId="2307CC56"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474" w:type="pct"/>
            <w:noWrap/>
            <w:hideMark/>
          </w:tcPr>
          <w:p w14:paraId="7D36CBE4" w14:textId="77777777" w:rsidR="00505245" w:rsidRPr="008351E8" w:rsidRDefault="00505245" w:rsidP="00505245">
            <w:pPr>
              <w:ind w:firstLineChars="100" w:firstLine="200"/>
              <w:contextualSpacing/>
              <w:jc w:val="right"/>
              <w:rPr>
                <w:color w:val="000000"/>
              </w:rPr>
            </w:pPr>
            <w:r w:rsidRPr="008351E8">
              <w:rPr>
                <w:color w:val="000000"/>
              </w:rPr>
              <w:t>$15</w:t>
            </w:r>
            <w:r>
              <w:rPr>
                <w:color w:val="000000"/>
              </w:rPr>
              <w:t>6.80</w:t>
            </w:r>
          </w:p>
        </w:tc>
        <w:tc>
          <w:tcPr>
            <w:tcW w:w="475" w:type="pct"/>
            <w:noWrap/>
            <w:hideMark/>
          </w:tcPr>
          <w:p w14:paraId="3A38E310" w14:textId="77777777" w:rsidR="00505245" w:rsidRPr="008351E8" w:rsidRDefault="00505245" w:rsidP="00505245">
            <w:pPr>
              <w:ind w:firstLineChars="100" w:firstLine="200"/>
              <w:contextualSpacing/>
              <w:jc w:val="right"/>
              <w:rPr>
                <w:color w:val="000000"/>
              </w:rPr>
            </w:pPr>
            <w:r w:rsidRPr="008351E8">
              <w:rPr>
                <w:color w:val="000000"/>
              </w:rPr>
              <w:t>$16</w:t>
            </w:r>
            <w:r>
              <w:rPr>
                <w:color w:val="000000"/>
              </w:rPr>
              <w:t>6.52</w:t>
            </w:r>
          </w:p>
        </w:tc>
        <w:tc>
          <w:tcPr>
            <w:tcW w:w="538" w:type="pct"/>
            <w:tcBorders>
              <w:right w:val="single" w:sz="12" w:space="0" w:color="auto"/>
            </w:tcBorders>
            <w:noWrap/>
            <w:hideMark/>
          </w:tcPr>
          <w:p w14:paraId="336BB2C2" w14:textId="77777777" w:rsidR="00505245" w:rsidRPr="008351E8" w:rsidRDefault="00505245" w:rsidP="00505245">
            <w:pPr>
              <w:ind w:firstLineChars="100" w:firstLine="200"/>
              <w:contextualSpacing/>
              <w:jc w:val="right"/>
              <w:rPr>
                <w:color w:val="000000"/>
              </w:rPr>
            </w:pPr>
            <w:r w:rsidRPr="008351E8">
              <w:rPr>
                <w:color w:val="000000"/>
              </w:rPr>
              <w:t>$3</w:t>
            </w:r>
            <w:r>
              <w:rPr>
                <w:color w:val="000000"/>
              </w:rPr>
              <w:t>23.32</w:t>
            </w:r>
          </w:p>
        </w:tc>
      </w:tr>
      <w:tr w:rsidR="00505245" w:rsidRPr="008351E8" w14:paraId="6D15DDF6" w14:textId="77777777" w:rsidTr="00505245">
        <w:trPr>
          <w:cantSplit/>
          <w:trHeight w:val="144"/>
        </w:trPr>
        <w:tc>
          <w:tcPr>
            <w:tcW w:w="2598" w:type="pct"/>
            <w:tcBorders>
              <w:left w:val="single" w:sz="12" w:space="0" w:color="auto"/>
            </w:tcBorders>
            <w:vAlign w:val="center"/>
            <w:hideMark/>
          </w:tcPr>
          <w:p w14:paraId="5E8BBEAE" w14:textId="77777777" w:rsidR="00505245" w:rsidRPr="008351E8" w:rsidRDefault="00505245" w:rsidP="00505245">
            <w:pPr>
              <w:contextualSpacing/>
              <w:rPr>
                <w:color w:val="000000"/>
              </w:rPr>
            </w:pPr>
            <w:r w:rsidRPr="008351E8">
              <w:rPr>
                <w:i/>
                <w:iCs/>
                <w:color w:val="000000"/>
              </w:rPr>
              <w:t>COMPLIANCE DETERMINATION</w:t>
            </w:r>
            <w:r w:rsidRPr="008351E8">
              <w:rPr>
                <w:color w:val="000000"/>
              </w:rPr>
              <w:t xml:space="preserve"> (Without Review of "Active Status" List)</w:t>
            </w:r>
          </w:p>
        </w:tc>
        <w:tc>
          <w:tcPr>
            <w:tcW w:w="441" w:type="pct"/>
            <w:vAlign w:val="center"/>
            <w:hideMark/>
          </w:tcPr>
          <w:p w14:paraId="321EFA52" w14:textId="77777777" w:rsidR="00505245" w:rsidRPr="005C0801" w:rsidRDefault="00505245" w:rsidP="00505245">
            <w:pPr>
              <w:contextualSpacing/>
              <w:rPr>
                <w:color w:val="000000"/>
              </w:rPr>
            </w:pPr>
            <w:r w:rsidRPr="005C0801">
              <w:rPr>
                <w:color w:val="000000"/>
              </w:rPr>
              <w:t>Firm</w:t>
            </w:r>
          </w:p>
        </w:tc>
        <w:tc>
          <w:tcPr>
            <w:tcW w:w="474" w:type="pct"/>
            <w:noWrap/>
            <w:hideMark/>
          </w:tcPr>
          <w:p w14:paraId="6975DED9"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474" w:type="pct"/>
            <w:noWrap/>
            <w:hideMark/>
          </w:tcPr>
          <w:p w14:paraId="69F31A79" w14:textId="77777777" w:rsidR="00505245" w:rsidRPr="008351E8" w:rsidRDefault="00505245" w:rsidP="00505245">
            <w:pPr>
              <w:ind w:firstLineChars="100" w:firstLine="200"/>
              <w:contextualSpacing/>
              <w:jc w:val="right"/>
              <w:rPr>
                <w:color w:val="000000"/>
              </w:rPr>
            </w:pPr>
            <w:r w:rsidRPr="008351E8">
              <w:rPr>
                <w:color w:val="000000"/>
              </w:rPr>
              <w:t>$3</w:t>
            </w:r>
            <w:r>
              <w:rPr>
                <w:color w:val="000000"/>
              </w:rPr>
              <w:t>9.20</w:t>
            </w:r>
          </w:p>
        </w:tc>
        <w:tc>
          <w:tcPr>
            <w:tcW w:w="475" w:type="pct"/>
            <w:noWrap/>
            <w:hideMark/>
          </w:tcPr>
          <w:p w14:paraId="2E4B8686"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538" w:type="pct"/>
            <w:tcBorders>
              <w:right w:val="single" w:sz="12" w:space="0" w:color="auto"/>
            </w:tcBorders>
            <w:noWrap/>
            <w:hideMark/>
          </w:tcPr>
          <w:p w14:paraId="2274921B" w14:textId="77777777" w:rsidR="00505245" w:rsidRPr="008351E8" w:rsidRDefault="00505245" w:rsidP="00505245">
            <w:pPr>
              <w:ind w:firstLineChars="100" w:firstLine="200"/>
              <w:contextualSpacing/>
              <w:jc w:val="right"/>
              <w:rPr>
                <w:color w:val="000000"/>
              </w:rPr>
            </w:pPr>
            <w:r w:rsidRPr="008351E8">
              <w:rPr>
                <w:color w:val="000000"/>
              </w:rPr>
              <w:t>$3</w:t>
            </w:r>
            <w:r>
              <w:rPr>
                <w:color w:val="000000"/>
              </w:rPr>
              <w:t>9.20</w:t>
            </w:r>
          </w:p>
        </w:tc>
      </w:tr>
      <w:tr w:rsidR="00505245" w:rsidRPr="008351E8" w14:paraId="5FAB035A" w14:textId="77777777" w:rsidTr="00505245">
        <w:trPr>
          <w:cantSplit/>
          <w:trHeight w:val="144"/>
        </w:trPr>
        <w:tc>
          <w:tcPr>
            <w:tcW w:w="2598" w:type="pct"/>
            <w:tcBorders>
              <w:left w:val="single" w:sz="12" w:space="0" w:color="auto"/>
              <w:bottom w:val="single" w:sz="12" w:space="0" w:color="auto"/>
            </w:tcBorders>
            <w:vAlign w:val="center"/>
            <w:hideMark/>
          </w:tcPr>
          <w:p w14:paraId="7AF1237F" w14:textId="77777777" w:rsidR="00505245" w:rsidRPr="008351E8" w:rsidRDefault="00505245" w:rsidP="00505245">
            <w:pPr>
              <w:contextualSpacing/>
              <w:rPr>
                <w:color w:val="000000"/>
              </w:rPr>
            </w:pPr>
            <w:r w:rsidRPr="008351E8">
              <w:rPr>
                <w:i/>
                <w:iCs/>
                <w:color w:val="000000"/>
              </w:rPr>
              <w:t>COMPLIANCE DETERMINATION</w:t>
            </w:r>
            <w:r w:rsidRPr="008351E8">
              <w:rPr>
                <w:color w:val="000000"/>
              </w:rPr>
              <w:t xml:space="preserve"> (Review of "Active Status" List Only)</w:t>
            </w:r>
          </w:p>
        </w:tc>
        <w:tc>
          <w:tcPr>
            <w:tcW w:w="441" w:type="pct"/>
            <w:tcBorders>
              <w:bottom w:val="single" w:sz="12" w:space="0" w:color="auto"/>
            </w:tcBorders>
            <w:vAlign w:val="center"/>
            <w:hideMark/>
          </w:tcPr>
          <w:p w14:paraId="0FEBA62B" w14:textId="77777777" w:rsidR="00505245" w:rsidRPr="005C0801" w:rsidRDefault="00505245" w:rsidP="00505245">
            <w:pPr>
              <w:contextualSpacing/>
              <w:rPr>
                <w:color w:val="000000"/>
              </w:rPr>
            </w:pPr>
            <w:r w:rsidRPr="005C0801">
              <w:rPr>
                <w:color w:val="000000"/>
              </w:rPr>
              <w:t>Chemical</w:t>
            </w:r>
          </w:p>
        </w:tc>
        <w:tc>
          <w:tcPr>
            <w:tcW w:w="474" w:type="pct"/>
            <w:tcBorders>
              <w:bottom w:val="single" w:sz="12" w:space="0" w:color="auto"/>
            </w:tcBorders>
            <w:noWrap/>
            <w:hideMark/>
          </w:tcPr>
          <w:p w14:paraId="5E5269CE"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474" w:type="pct"/>
            <w:tcBorders>
              <w:bottom w:val="single" w:sz="12" w:space="0" w:color="auto"/>
            </w:tcBorders>
            <w:noWrap/>
            <w:hideMark/>
          </w:tcPr>
          <w:p w14:paraId="1AB1E7CB" w14:textId="77777777" w:rsidR="00505245" w:rsidRPr="008351E8" w:rsidRDefault="00505245" w:rsidP="00505245">
            <w:pPr>
              <w:ind w:firstLineChars="100" w:firstLine="200"/>
              <w:contextualSpacing/>
              <w:jc w:val="right"/>
              <w:rPr>
                <w:color w:val="000000"/>
              </w:rPr>
            </w:pPr>
            <w:r w:rsidRPr="008351E8">
              <w:rPr>
                <w:color w:val="000000"/>
              </w:rPr>
              <w:t>$6.</w:t>
            </w:r>
            <w:r>
              <w:rPr>
                <w:color w:val="000000"/>
              </w:rPr>
              <w:t>51</w:t>
            </w:r>
          </w:p>
        </w:tc>
        <w:tc>
          <w:tcPr>
            <w:tcW w:w="475" w:type="pct"/>
            <w:tcBorders>
              <w:bottom w:val="single" w:sz="12" w:space="0" w:color="auto"/>
            </w:tcBorders>
            <w:noWrap/>
            <w:hideMark/>
          </w:tcPr>
          <w:p w14:paraId="36161610" w14:textId="77777777" w:rsidR="00505245" w:rsidRPr="008351E8" w:rsidRDefault="00505245" w:rsidP="00505245">
            <w:pPr>
              <w:ind w:firstLineChars="100" w:firstLine="200"/>
              <w:contextualSpacing/>
              <w:jc w:val="right"/>
              <w:rPr>
                <w:color w:val="000000"/>
              </w:rPr>
            </w:pPr>
            <w:r w:rsidRPr="008351E8">
              <w:rPr>
                <w:color w:val="000000"/>
              </w:rPr>
              <w:t>$0.00</w:t>
            </w:r>
          </w:p>
        </w:tc>
        <w:tc>
          <w:tcPr>
            <w:tcW w:w="538" w:type="pct"/>
            <w:tcBorders>
              <w:bottom w:val="single" w:sz="12" w:space="0" w:color="auto"/>
              <w:right w:val="single" w:sz="12" w:space="0" w:color="auto"/>
            </w:tcBorders>
            <w:noWrap/>
            <w:hideMark/>
          </w:tcPr>
          <w:p w14:paraId="085929F3" w14:textId="77777777" w:rsidR="00505245" w:rsidRPr="008351E8" w:rsidRDefault="00505245" w:rsidP="00505245">
            <w:pPr>
              <w:ind w:firstLineChars="100" w:firstLine="200"/>
              <w:contextualSpacing/>
              <w:jc w:val="right"/>
              <w:rPr>
                <w:color w:val="000000"/>
              </w:rPr>
            </w:pPr>
            <w:r w:rsidRPr="008351E8">
              <w:rPr>
                <w:color w:val="000000"/>
              </w:rPr>
              <w:t>$6.</w:t>
            </w:r>
            <w:r>
              <w:rPr>
                <w:color w:val="000000"/>
              </w:rPr>
              <w:t>51</w:t>
            </w:r>
          </w:p>
        </w:tc>
      </w:tr>
      <w:tr w:rsidR="00505245" w:rsidRPr="008351E8" w14:paraId="1ACE5DA0" w14:textId="77777777" w:rsidTr="00505245">
        <w:trPr>
          <w:cantSplit/>
          <w:trHeight w:hRule="exact" w:val="216"/>
        </w:trPr>
        <w:tc>
          <w:tcPr>
            <w:tcW w:w="2598" w:type="pct"/>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3EAC76C0" w14:textId="77777777" w:rsidR="00505245" w:rsidRPr="008351E8" w:rsidRDefault="00505245" w:rsidP="00505245">
            <w:pPr>
              <w:spacing w:beforeLines="20" w:before="48" w:afterLines="20" w:after="48" w:line="264" w:lineRule="auto"/>
              <w:contextualSpacing/>
              <w:rPr>
                <w:color w:val="000000"/>
              </w:rPr>
            </w:pPr>
          </w:p>
        </w:tc>
        <w:tc>
          <w:tcPr>
            <w:tcW w:w="441" w:type="pct"/>
            <w:tcBorders>
              <w:top w:val="single" w:sz="12" w:space="0" w:color="auto"/>
              <w:left w:val="nil"/>
              <w:bottom w:val="single" w:sz="12" w:space="0" w:color="auto"/>
              <w:right w:val="nil"/>
            </w:tcBorders>
            <w:shd w:val="clear" w:color="auto" w:fill="D9D9D9" w:themeFill="background1" w:themeFillShade="D9"/>
            <w:vAlign w:val="center"/>
          </w:tcPr>
          <w:p w14:paraId="79548288" w14:textId="77777777" w:rsidR="00505245" w:rsidRPr="005051D8" w:rsidRDefault="00505245" w:rsidP="00505245">
            <w:pPr>
              <w:spacing w:beforeLines="20" w:before="48" w:afterLines="20" w:after="48" w:line="264" w:lineRule="auto"/>
              <w:contextualSpacing/>
              <w:rPr>
                <w:color w:val="000000"/>
              </w:rPr>
            </w:pPr>
          </w:p>
        </w:tc>
        <w:tc>
          <w:tcPr>
            <w:tcW w:w="474" w:type="pct"/>
            <w:tcBorders>
              <w:top w:val="single" w:sz="12" w:space="0" w:color="auto"/>
              <w:left w:val="nil"/>
              <w:bottom w:val="single" w:sz="12" w:space="0" w:color="auto"/>
              <w:right w:val="nil"/>
            </w:tcBorders>
            <w:shd w:val="clear" w:color="auto" w:fill="D9D9D9" w:themeFill="background1" w:themeFillShade="D9"/>
            <w:noWrap/>
          </w:tcPr>
          <w:p w14:paraId="3A2092FE" w14:textId="77777777" w:rsidR="00505245" w:rsidRPr="008351E8" w:rsidRDefault="00505245" w:rsidP="00505245">
            <w:pPr>
              <w:spacing w:beforeLines="20" w:before="48" w:afterLines="20" w:after="48" w:line="264" w:lineRule="auto"/>
              <w:ind w:firstLineChars="100" w:firstLine="200"/>
              <w:contextualSpacing/>
              <w:jc w:val="right"/>
              <w:rPr>
                <w:color w:val="000000"/>
              </w:rPr>
            </w:pPr>
          </w:p>
        </w:tc>
        <w:tc>
          <w:tcPr>
            <w:tcW w:w="474" w:type="pct"/>
            <w:tcBorders>
              <w:top w:val="single" w:sz="12" w:space="0" w:color="auto"/>
              <w:left w:val="nil"/>
              <w:bottom w:val="single" w:sz="12" w:space="0" w:color="auto"/>
              <w:right w:val="nil"/>
            </w:tcBorders>
            <w:shd w:val="clear" w:color="auto" w:fill="D9D9D9" w:themeFill="background1" w:themeFillShade="D9"/>
            <w:noWrap/>
            <w:hideMark/>
          </w:tcPr>
          <w:p w14:paraId="0EB3F038"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 </w:t>
            </w:r>
          </w:p>
        </w:tc>
        <w:tc>
          <w:tcPr>
            <w:tcW w:w="475" w:type="pct"/>
            <w:tcBorders>
              <w:top w:val="single" w:sz="12" w:space="0" w:color="auto"/>
              <w:left w:val="nil"/>
              <w:bottom w:val="single" w:sz="12" w:space="0" w:color="auto"/>
              <w:right w:val="nil"/>
            </w:tcBorders>
            <w:shd w:val="clear" w:color="auto" w:fill="D9D9D9" w:themeFill="background1" w:themeFillShade="D9"/>
            <w:noWrap/>
            <w:hideMark/>
          </w:tcPr>
          <w:p w14:paraId="281354EF"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 </w:t>
            </w:r>
          </w:p>
        </w:tc>
        <w:tc>
          <w:tcPr>
            <w:tcW w:w="538" w:type="pct"/>
            <w:tcBorders>
              <w:top w:val="single" w:sz="12" w:space="0" w:color="auto"/>
              <w:left w:val="nil"/>
              <w:bottom w:val="single" w:sz="12" w:space="0" w:color="auto"/>
              <w:right w:val="single" w:sz="12" w:space="0" w:color="auto"/>
            </w:tcBorders>
            <w:shd w:val="clear" w:color="auto" w:fill="D9D9D9" w:themeFill="background1" w:themeFillShade="D9"/>
            <w:noWrap/>
            <w:hideMark/>
          </w:tcPr>
          <w:p w14:paraId="08AE1E55"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 </w:t>
            </w:r>
          </w:p>
        </w:tc>
      </w:tr>
      <w:tr w:rsidR="00505245" w:rsidRPr="008351E8" w14:paraId="78358C26" w14:textId="77777777" w:rsidTr="00505245">
        <w:trPr>
          <w:cantSplit/>
          <w:trHeight w:val="331"/>
        </w:trPr>
        <w:tc>
          <w:tcPr>
            <w:tcW w:w="2598" w:type="pct"/>
            <w:tcBorders>
              <w:top w:val="single" w:sz="12" w:space="0" w:color="auto"/>
              <w:left w:val="single" w:sz="12" w:space="0" w:color="auto"/>
              <w:bottom w:val="single" w:sz="4" w:space="0" w:color="auto"/>
              <w:right w:val="nil"/>
            </w:tcBorders>
            <w:vAlign w:val="center"/>
            <w:hideMark/>
          </w:tcPr>
          <w:p w14:paraId="79EA862F" w14:textId="77777777" w:rsidR="00505245" w:rsidRPr="008351E8" w:rsidRDefault="00505245" w:rsidP="00505245">
            <w:pPr>
              <w:spacing w:beforeLines="20" w:before="48" w:afterLines="20" w:after="48" w:line="264" w:lineRule="auto"/>
              <w:contextualSpacing/>
              <w:rPr>
                <w:b/>
                <w:bCs/>
                <w:i/>
                <w:iCs/>
                <w:color w:val="000000"/>
              </w:rPr>
            </w:pPr>
            <w:r w:rsidRPr="00B473E3">
              <w:rPr>
                <w:b/>
                <w:bCs/>
                <w:i/>
                <w:iCs/>
                <w:color w:val="000000"/>
              </w:rPr>
              <w:t xml:space="preserve">FORM COMPLETION FOR NOMINAL SINGLE-CHEMICAL SUBMISSION </w:t>
            </w:r>
          </w:p>
        </w:tc>
        <w:tc>
          <w:tcPr>
            <w:tcW w:w="441" w:type="pct"/>
            <w:tcBorders>
              <w:top w:val="single" w:sz="12" w:space="0" w:color="auto"/>
              <w:left w:val="nil"/>
              <w:bottom w:val="single" w:sz="4" w:space="0" w:color="auto"/>
              <w:right w:val="nil"/>
            </w:tcBorders>
            <w:vAlign w:val="center"/>
            <w:hideMark/>
          </w:tcPr>
          <w:p w14:paraId="352AA8B8" w14:textId="77777777" w:rsidR="00505245" w:rsidRPr="005051D8" w:rsidRDefault="00505245" w:rsidP="00505245">
            <w:pPr>
              <w:spacing w:beforeLines="20" w:before="48" w:afterLines="20" w:after="48" w:line="264" w:lineRule="auto"/>
              <w:contextualSpacing/>
              <w:rPr>
                <w:b/>
                <w:bCs/>
                <w:i/>
                <w:iCs/>
                <w:color w:val="000000"/>
              </w:rPr>
            </w:pPr>
            <w:r w:rsidRPr="005051D8">
              <w:rPr>
                <w:b/>
                <w:bCs/>
                <w:i/>
                <w:iCs/>
                <w:color w:val="000000"/>
              </w:rPr>
              <w:t> </w:t>
            </w:r>
          </w:p>
        </w:tc>
        <w:tc>
          <w:tcPr>
            <w:tcW w:w="474" w:type="pct"/>
            <w:tcBorders>
              <w:top w:val="single" w:sz="12" w:space="0" w:color="auto"/>
              <w:left w:val="nil"/>
              <w:bottom w:val="single" w:sz="4" w:space="0" w:color="auto"/>
              <w:right w:val="nil"/>
            </w:tcBorders>
            <w:noWrap/>
            <w:hideMark/>
          </w:tcPr>
          <w:p w14:paraId="40976732" w14:textId="77777777" w:rsidR="00505245" w:rsidRPr="008351E8" w:rsidRDefault="00505245" w:rsidP="00505245">
            <w:pPr>
              <w:spacing w:beforeLines="20" w:before="48" w:afterLines="20" w:after="48" w:line="264" w:lineRule="auto"/>
              <w:ind w:firstLineChars="100" w:firstLine="201"/>
              <w:contextualSpacing/>
              <w:jc w:val="right"/>
              <w:rPr>
                <w:b/>
                <w:bCs/>
                <w:i/>
                <w:iCs/>
                <w:color w:val="000000"/>
              </w:rPr>
            </w:pPr>
            <w:r w:rsidRPr="008351E8">
              <w:rPr>
                <w:b/>
                <w:bCs/>
                <w:i/>
                <w:iCs/>
                <w:color w:val="000000"/>
              </w:rPr>
              <w:t> </w:t>
            </w:r>
          </w:p>
        </w:tc>
        <w:tc>
          <w:tcPr>
            <w:tcW w:w="474" w:type="pct"/>
            <w:tcBorders>
              <w:top w:val="single" w:sz="12" w:space="0" w:color="auto"/>
              <w:left w:val="nil"/>
              <w:bottom w:val="single" w:sz="4" w:space="0" w:color="auto"/>
              <w:right w:val="nil"/>
            </w:tcBorders>
            <w:noWrap/>
            <w:hideMark/>
          </w:tcPr>
          <w:p w14:paraId="0B5EC687" w14:textId="77777777" w:rsidR="00505245" w:rsidRPr="008351E8" w:rsidRDefault="00505245" w:rsidP="00505245">
            <w:pPr>
              <w:spacing w:beforeLines="20" w:before="48" w:afterLines="20" w:after="48" w:line="264" w:lineRule="auto"/>
              <w:ind w:firstLineChars="100" w:firstLine="201"/>
              <w:contextualSpacing/>
              <w:jc w:val="right"/>
              <w:rPr>
                <w:b/>
                <w:bCs/>
                <w:i/>
                <w:iCs/>
                <w:color w:val="000000"/>
              </w:rPr>
            </w:pPr>
            <w:r w:rsidRPr="008351E8">
              <w:rPr>
                <w:b/>
                <w:bCs/>
                <w:i/>
                <w:iCs/>
                <w:color w:val="000000"/>
              </w:rPr>
              <w:t> </w:t>
            </w:r>
          </w:p>
        </w:tc>
        <w:tc>
          <w:tcPr>
            <w:tcW w:w="475" w:type="pct"/>
            <w:tcBorders>
              <w:top w:val="single" w:sz="12" w:space="0" w:color="auto"/>
              <w:left w:val="nil"/>
              <w:bottom w:val="single" w:sz="4" w:space="0" w:color="auto"/>
              <w:right w:val="nil"/>
            </w:tcBorders>
            <w:noWrap/>
            <w:hideMark/>
          </w:tcPr>
          <w:p w14:paraId="4DF2E8F5" w14:textId="77777777" w:rsidR="00505245" w:rsidRPr="008351E8" w:rsidRDefault="00505245" w:rsidP="00505245">
            <w:pPr>
              <w:spacing w:beforeLines="20" w:before="48" w:afterLines="20" w:after="48" w:line="264" w:lineRule="auto"/>
              <w:ind w:firstLineChars="100" w:firstLine="201"/>
              <w:contextualSpacing/>
              <w:jc w:val="right"/>
              <w:rPr>
                <w:b/>
                <w:bCs/>
                <w:i/>
                <w:iCs/>
                <w:color w:val="000000"/>
              </w:rPr>
            </w:pPr>
            <w:r w:rsidRPr="008351E8">
              <w:rPr>
                <w:b/>
                <w:bCs/>
                <w:i/>
                <w:iCs/>
                <w:color w:val="000000"/>
              </w:rPr>
              <w:t> </w:t>
            </w:r>
          </w:p>
        </w:tc>
        <w:tc>
          <w:tcPr>
            <w:tcW w:w="538" w:type="pct"/>
            <w:tcBorders>
              <w:top w:val="single" w:sz="12" w:space="0" w:color="auto"/>
              <w:left w:val="nil"/>
              <w:bottom w:val="single" w:sz="4" w:space="0" w:color="auto"/>
              <w:right w:val="single" w:sz="12" w:space="0" w:color="auto"/>
            </w:tcBorders>
            <w:noWrap/>
            <w:hideMark/>
          </w:tcPr>
          <w:p w14:paraId="7ADFD684" w14:textId="77777777" w:rsidR="00505245" w:rsidRPr="008351E8" w:rsidRDefault="00505245" w:rsidP="00505245">
            <w:pPr>
              <w:spacing w:beforeLines="20" w:before="48" w:afterLines="20" w:after="48" w:line="264" w:lineRule="auto"/>
              <w:ind w:firstLineChars="100" w:firstLine="201"/>
              <w:contextualSpacing/>
              <w:jc w:val="right"/>
              <w:rPr>
                <w:b/>
                <w:bCs/>
                <w:i/>
                <w:iCs/>
                <w:color w:val="000000"/>
              </w:rPr>
            </w:pPr>
            <w:r w:rsidRPr="008351E8">
              <w:rPr>
                <w:b/>
                <w:bCs/>
                <w:i/>
                <w:iCs/>
                <w:color w:val="000000"/>
              </w:rPr>
              <w:t> </w:t>
            </w:r>
          </w:p>
        </w:tc>
      </w:tr>
      <w:tr w:rsidR="00505245" w:rsidRPr="008351E8" w14:paraId="6F1B93AB" w14:textId="77777777" w:rsidTr="00505245">
        <w:trPr>
          <w:cantSplit/>
          <w:trHeight w:val="331"/>
        </w:trPr>
        <w:tc>
          <w:tcPr>
            <w:tcW w:w="2598" w:type="pct"/>
            <w:tcBorders>
              <w:top w:val="single" w:sz="4" w:space="0" w:color="auto"/>
              <w:left w:val="single" w:sz="12" w:space="0" w:color="auto"/>
            </w:tcBorders>
            <w:shd w:val="clear" w:color="auto" w:fill="D9D9D9" w:themeFill="background1" w:themeFillShade="D9"/>
            <w:vAlign w:val="center"/>
            <w:hideMark/>
          </w:tcPr>
          <w:p w14:paraId="394E73EF" w14:textId="77777777" w:rsidR="00505245" w:rsidRPr="008351E8" w:rsidRDefault="00505245" w:rsidP="00505245">
            <w:pPr>
              <w:spacing w:beforeLines="20" w:before="48" w:afterLines="20" w:after="48" w:line="264" w:lineRule="auto"/>
              <w:contextualSpacing/>
              <w:rPr>
                <w:color w:val="000000"/>
              </w:rPr>
            </w:pPr>
            <w:r w:rsidRPr="008351E8">
              <w:rPr>
                <w:color w:val="000000"/>
              </w:rPr>
              <w:t>(1) Submitter Authorized Official Name, Company Name, and Mailing Address and Technical Contact Name and Telephone Number</w:t>
            </w:r>
          </w:p>
        </w:tc>
        <w:tc>
          <w:tcPr>
            <w:tcW w:w="441" w:type="pct"/>
            <w:tcBorders>
              <w:top w:val="single" w:sz="4" w:space="0" w:color="auto"/>
            </w:tcBorders>
            <w:shd w:val="clear" w:color="auto" w:fill="D9D9D9" w:themeFill="background1" w:themeFillShade="D9"/>
            <w:vAlign w:val="center"/>
            <w:hideMark/>
          </w:tcPr>
          <w:p w14:paraId="11C2617B" w14:textId="77777777" w:rsidR="00505245" w:rsidRPr="005C0801" w:rsidRDefault="00505245" w:rsidP="00505245">
            <w:pPr>
              <w:spacing w:beforeLines="20" w:before="48" w:afterLines="20" w:after="48" w:line="264" w:lineRule="auto"/>
              <w:contextualSpacing/>
              <w:rPr>
                <w:color w:val="000000"/>
              </w:rPr>
            </w:pPr>
            <w:r w:rsidRPr="005C0801">
              <w:rPr>
                <w:color w:val="000000"/>
              </w:rPr>
              <w:t>Firm</w:t>
            </w:r>
          </w:p>
        </w:tc>
        <w:tc>
          <w:tcPr>
            <w:tcW w:w="474" w:type="pct"/>
            <w:tcBorders>
              <w:top w:val="single" w:sz="4" w:space="0" w:color="auto"/>
            </w:tcBorders>
            <w:shd w:val="clear" w:color="auto" w:fill="D9D9D9" w:themeFill="background1" w:themeFillShade="D9"/>
            <w:noWrap/>
            <w:vAlign w:val="center"/>
            <w:hideMark/>
          </w:tcPr>
          <w:p w14:paraId="6922745D"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tcBorders>
              <w:top w:val="single" w:sz="4" w:space="0" w:color="auto"/>
            </w:tcBorders>
            <w:shd w:val="clear" w:color="auto" w:fill="D9D9D9" w:themeFill="background1" w:themeFillShade="D9"/>
            <w:noWrap/>
            <w:vAlign w:val="center"/>
            <w:hideMark/>
          </w:tcPr>
          <w:p w14:paraId="69D6F4F7"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$0.7</w:t>
            </w:r>
            <w:r>
              <w:rPr>
                <w:color w:val="000000"/>
              </w:rPr>
              <w:t>8</w:t>
            </w:r>
          </w:p>
        </w:tc>
        <w:tc>
          <w:tcPr>
            <w:tcW w:w="475" w:type="pct"/>
            <w:tcBorders>
              <w:top w:val="single" w:sz="4" w:space="0" w:color="auto"/>
            </w:tcBorders>
            <w:shd w:val="clear" w:color="auto" w:fill="D9D9D9" w:themeFill="background1" w:themeFillShade="D9"/>
            <w:noWrap/>
            <w:vAlign w:val="center"/>
            <w:hideMark/>
          </w:tcPr>
          <w:p w14:paraId="7680981F"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$0.3</w:t>
            </w:r>
            <w:r>
              <w:rPr>
                <w:color w:val="000000"/>
              </w:rPr>
              <w:t>3</w:t>
            </w:r>
          </w:p>
        </w:tc>
        <w:tc>
          <w:tcPr>
            <w:tcW w:w="538" w:type="pct"/>
            <w:tcBorders>
              <w:top w:val="single" w:sz="4" w:space="0" w:color="auto"/>
              <w:right w:val="single" w:sz="12" w:space="0" w:color="auto"/>
            </w:tcBorders>
            <w:shd w:val="clear" w:color="auto" w:fill="D9D9D9" w:themeFill="background1" w:themeFillShade="D9"/>
            <w:noWrap/>
            <w:vAlign w:val="center"/>
            <w:hideMark/>
          </w:tcPr>
          <w:p w14:paraId="3E58C8C9"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$1.</w:t>
            </w:r>
            <w:r>
              <w:rPr>
                <w:color w:val="000000"/>
              </w:rPr>
              <w:t>11</w:t>
            </w:r>
          </w:p>
        </w:tc>
      </w:tr>
      <w:tr w:rsidR="00505245" w:rsidRPr="008351E8" w14:paraId="247C4706" w14:textId="77777777" w:rsidTr="00505245">
        <w:trPr>
          <w:cantSplit/>
          <w:trHeight w:val="331"/>
        </w:trPr>
        <w:tc>
          <w:tcPr>
            <w:tcW w:w="2598" w:type="pct"/>
            <w:tcBorders>
              <w:left w:val="single" w:sz="12" w:space="0" w:color="auto"/>
            </w:tcBorders>
            <w:shd w:val="clear" w:color="auto" w:fill="D9D9D9" w:themeFill="background1" w:themeFillShade="D9"/>
            <w:vAlign w:val="center"/>
            <w:hideMark/>
          </w:tcPr>
          <w:p w14:paraId="0FFD005C" w14:textId="77777777" w:rsidR="00505245" w:rsidRPr="008351E8" w:rsidRDefault="00505245" w:rsidP="00505245">
            <w:pPr>
              <w:spacing w:beforeLines="20" w:before="48" w:afterLines="20" w:after="48" w:line="264" w:lineRule="auto"/>
              <w:contextualSpacing/>
              <w:rPr>
                <w:color w:val="000000"/>
              </w:rPr>
            </w:pPr>
            <w:r w:rsidRPr="008351E8">
              <w:rPr>
                <w:color w:val="000000"/>
              </w:rPr>
              <w:t>(2) Technical Contact Name and Telephone Number</w:t>
            </w:r>
          </w:p>
        </w:tc>
        <w:tc>
          <w:tcPr>
            <w:tcW w:w="441" w:type="pct"/>
            <w:shd w:val="clear" w:color="auto" w:fill="D9D9D9" w:themeFill="background1" w:themeFillShade="D9"/>
            <w:vAlign w:val="center"/>
            <w:hideMark/>
          </w:tcPr>
          <w:p w14:paraId="78037900" w14:textId="77777777" w:rsidR="00505245" w:rsidRPr="005C0801" w:rsidRDefault="00505245" w:rsidP="00505245">
            <w:pPr>
              <w:spacing w:beforeLines="20" w:before="48" w:afterLines="20" w:after="48" w:line="264" w:lineRule="auto"/>
              <w:contextualSpacing/>
              <w:rPr>
                <w:color w:val="000000"/>
              </w:rPr>
            </w:pPr>
            <w:r w:rsidRPr="005C0801">
              <w:rPr>
                <w:color w:val="000000"/>
              </w:rPr>
              <w:t>Firm</w:t>
            </w:r>
          </w:p>
        </w:tc>
        <w:tc>
          <w:tcPr>
            <w:tcW w:w="474" w:type="pct"/>
            <w:shd w:val="clear" w:color="auto" w:fill="D9D9D9" w:themeFill="background1" w:themeFillShade="D9"/>
            <w:noWrap/>
            <w:vAlign w:val="center"/>
            <w:hideMark/>
          </w:tcPr>
          <w:p w14:paraId="3845DBF4"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474" w:type="pct"/>
            <w:shd w:val="clear" w:color="auto" w:fill="D9D9D9" w:themeFill="background1" w:themeFillShade="D9"/>
            <w:noWrap/>
            <w:vAlign w:val="center"/>
            <w:hideMark/>
          </w:tcPr>
          <w:p w14:paraId="6B13E94B"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475" w:type="pct"/>
            <w:shd w:val="clear" w:color="auto" w:fill="D9D9D9" w:themeFill="background1" w:themeFillShade="D9"/>
            <w:noWrap/>
            <w:vAlign w:val="center"/>
            <w:hideMark/>
          </w:tcPr>
          <w:p w14:paraId="75E9D149"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538" w:type="pct"/>
            <w:tcBorders>
              <w:right w:val="single" w:sz="12" w:space="0" w:color="auto"/>
            </w:tcBorders>
            <w:shd w:val="clear" w:color="auto" w:fill="D9D9D9" w:themeFill="background1" w:themeFillShade="D9"/>
            <w:noWrap/>
            <w:vAlign w:val="center"/>
            <w:hideMark/>
          </w:tcPr>
          <w:p w14:paraId="260EE537" w14:textId="77777777" w:rsidR="00505245" w:rsidRPr="00FA0DCC" w:rsidRDefault="00505245" w:rsidP="00505245">
            <w:pPr>
              <w:spacing w:beforeLines="20" w:before="48" w:afterLines="20" w:after="48" w:line="264" w:lineRule="auto"/>
              <w:contextualSpacing/>
              <w:jc w:val="right"/>
              <w:rPr>
                <w:color w:val="000000"/>
              </w:rPr>
            </w:pPr>
            <w:r w:rsidRPr="00750770">
              <w:rPr>
                <w:color w:val="000000"/>
              </w:rPr>
              <w:t>Included in (1) above</w:t>
            </w:r>
          </w:p>
        </w:tc>
      </w:tr>
      <w:tr w:rsidR="00505245" w:rsidRPr="008351E8" w14:paraId="34287E4C" w14:textId="77777777" w:rsidTr="00505245">
        <w:trPr>
          <w:cantSplit/>
          <w:trHeight w:val="331"/>
        </w:trPr>
        <w:tc>
          <w:tcPr>
            <w:tcW w:w="2598" w:type="pct"/>
            <w:tcBorders>
              <w:left w:val="single" w:sz="12" w:space="0" w:color="auto"/>
            </w:tcBorders>
            <w:shd w:val="clear" w:color="auto" w:fill="D9D9D9" w:themeFill="background1" w:themeFillShade="D9"/>
            <w:vAlign w:val="center"/>
            <w:hideMark/>
          </w:tcPr>
          <w:p w14:paraId="4EBD7510" w14:textId="77777777" w:rsidR="00505245" w:rsidRPr="008351E8" w:rsidRDefault="00505245" w:rsidP="00505245">
            <w:pPr>
              <w:spacing w:beforeLines="20" w:before="48" w:afterLines="20" w:after="48" w:line="264" w:lineRule="auto"/>
              <w:contextualSpacing/>
              <w:rPr>
                <w:color w:val="000000"/>
              </w:rPr>
            </w:pPr>
            <w:r w:rsidRPr="008351E8">
              <w:rPr>
                <w:color w:val="000000"/>
              </w:rPr>
              <w:t>(3) NOA Certification</w:t>
            </w:r>
          </w:p>
        </w:tc>
        <w:tc>
          <w:tcPr>
            <w:tcW w:w="441" w:type="pct"/>
            <w:shd w:val="clear" w:color="auto" w:fill="D9D9D9" w:themeFill="background1" w:themeFillShade="D9"/>
            <w:vAlign w:val="center"/>
            <w:hideMark/>
          </w:tcPr>
          <w:p w14:paraId="5540D661" w14:textId="77777777" w:rsidR="00505245" w:rsidRPr="005C0801" w:rsidRDefault="00505245" w:rsidP="00505245">
            <w:pPr>
              <w:spacing w:beforeLines="20" w:before="48" w:afterLines="20" w:after="48" w:line="264" w:lineRule="auto"/>
              <w:contextualSpacing/>
              <w:rPr>
                <w:color w:val="000000"/>
              </w:rPr>
            </w:pPr>
            <w:r w:rsidRPr="005C0801">
              <w:rPr>
                <w:color w:val="000000"/>
              </w:rPr>
              <w:t>Submission</w:t>
            </w:r>
          </w:p>
        </w:tc>
        <w:tc>
          <w:tcPr>
            <w:tcW w:w="474" w:type="pct"/>
            <w:shd w:val="clear" w:color="auto" w:fill="D9D9D9" w:themeFill="background1" w:themeFillShade="D9"/>
            <w:noWrap/>
            <w:vAlign w:val="center"/>
            <w:hideMark/>
          </w:tcPr>
          <w:p w14:paraId="336D32D6"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shd w:val="clear" w:color="auto" w:fill="D9D9D9" w:themeFill="background1" w:themeFillShade="D9"/>
            <w:noWrap/>
            <w:vAlign w:val="center"/>
            <w:hideMark/>
          </w:tcPr>
          <w:p w14:paraId="7F440F49"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5" w:type="pct"/>
            <w:shd w:val="clear" w:color="auto" w:fill="D9D9D9" w:themeFill="background1" w:themeFillShade="D9"/>
            <w:noWrap/>
            <w:vAlign w:val="center"/>
            <w:hideMark/>
          </w:tcPr>
          <w:p w14:paraId="710B51A9"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$4</w:t>
            </w:r>
            <w:r>
              <w:rPr>
                <w:color w:val="000000"/>
              </w:rPr>
              <w:t>1.63</w:t>
            </w:r>
          </w:p>
        </w:tc>
        <w:tc>
          <w:tcPr>
            <w:tcW w:w="538" w:type="pct"/>
            <w:tcBorders>
              <w:right w:val="single" w:sz="12" w:space="0" w:color="auto"/>
            </w:tcBorders>
            <w:shd w:val="clear" w:color="auto" w:fill="D9D9D9" w:themeFill="background1" w:themeFillShade="D9"/>
            <w:noWrap/>
            <w:vAlign w:val="center"/>
            <w:hideMark/>
          </w:tcPr>
          <w:p w14:paraId="5A48C132"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$4</w:t>
            </w:r>
            <w:r>
              <w:rPr>
                <w:color w:val="000000"/>
              </w:rPr>
              <w:t>1.63</w:t>
            </w:r>
          </w:p>
        </w:tc>
      </w:tr>
      <w:tr w:rsidR="00505245" w:rsidRPr="008351E8" w14:paraId="227A97B2" w14:textId="77777777" w:rsidTr="00505245">
        <w:trPr>
          <w:cantSplit/>
          <w:trHeight w:val="331"/>
        </w:trPr>
        <w:tc>
          <w:tcPr>
            <w:tcW w:w="2598" w:type="pct"/>
            <w:tcBorders>
              <w:left w:val="single" w:sz="12" w:space="0" w:color="auto"/>
            </w:tcBorders>
            <w:shd w:val="clear" w:color="auto" w:fill="D9D9D9" w:themeFill="background1" w:themeFillShade="D9"/>
            <w:vAlign w:val="center"/>
            <w:hideMark/>
          </w:tcPr>
          <w:p w14:paraId="1081E900" w14:textId="77777777" w:rsidR="00505245" w:rsidRPr="008351E8" w:rsidRDefault="00505245" w:rsidP="00505245">
            <w:pPr>
              <w:spacing w:beforeLines="20" w:before="48" w:afterLines="20" w:after="48" w:line="264" w:lineRule="auto"/>
              <w:contextualSpacing/>
              <w:rPr>
                <w:color w:val="000000"/>
              </w:rPr>
            </w:pPr>
            <w:r w:rsidRPr="008351E8">
              <w:rPr>
                <w:color w:val="000000"/>
              </w:rPr>
              <w:t>(4) Certifier E-mail</w:t>
            </w:r>
          </w:p>
        </w:tc>
        <w:tc>
          <w:tcPr>
            <w:tcW w:w="441" w:type="pct"/>
            <w:shd w:val="clear" w:color="auto" w:fill="D9D9D9" w:themeFill="background1" w:themeFillShade="D9"/>
            <w:vAlign w:val="center"/>
            <w:hideMark/>
          </w:tcPr>
          <w:p w14:paraId="62D47219" w14:textId="77777777" w:rsidR="00505245" w:rsidRPr="005C0801" w:rsidRDefault="00505245" w:rsidP="00505245">
            <w:pPr>
              <w:spacing w:beforeLines="20" w:before="48" w:afterLines="20" w:after="48" w:line="264" w:lineRule="auto"/>
              <w:contextualSpacing/>
              <w:rPr>
                <w:color w:val="000000"/>
              </w:rPr>
            </w:pPr>
            <w:r w:rsidRPr="005C0801">
              <w:rPr>
                <w:color w:val="000000"/>
              </w:rPr>
              <w:t>Submission</w:t>
            </w:r>
          </w:p>
        </w:tc>
        <w:tc>
          <w:tcPr>
            <w:tcW w:w="474" w:type="pct"/>
            <w:shd w:val="clear" w:color="auto" w:fill="D9D9D9" w:themeFill="background1" w:themeFillShade="D9"/>
            <w:noWrap/>
            <w:vAlign w:val="center"/>
            <w:hideMark/>
          </w:tcPr>
          <w:p w14:paraId="0B2A25C4"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shd w:val="clear" w:color="auto" w:fill="D9D9D9" w:themeFill="background1" w:themeFillShade="D9"/>
            <w:noWrap/>
            <w:vAlign w:val="center"/>
            <w:hideMark/>
          </w:tcPr>
          <w:p w14:paraId="6AF78D44"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$1.</w:t>
            </w:r>
            <w:r>
              <w:rPr>
                <w:color w:val="000000"/>
              </w:rPr>
              <w:t>33</w:t>
            </w:r>
          </w:p>
        </w:tc>
        <w:tc>
          <w:tcPr>
            <w:tcW w:w="475" w:type="pct"/>
            <w:shd w:val="clear" w:color="auto" w:fill="D9D9D9" w:themeFill="background1" w:themeFillShade="D9"/>
            <w:noWrap/>
            <w:vAlign w:val="center"/>
            <w:hideMark/>
          </w:tcPr>
          <w:p w14:paraId="35F36B54"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538" w:type="pct"/>
            <w:tcBorders>
              <w:right w:val="single" w:sz="12" w:space="0" w:color="auto"/>
            </w:tcBorders>
            <w:shd w:val="clear" w:color="auto" w:fill="D9D9D9" w:themeFill="background1" w:themeFillShade="D9"/>
            <w:noWrap/>
            <w:vAlign w:val="center"/>
            <w:hideMark/>
          </w:tcPr>
          <w:p w14:paraId="566958A5"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$1.</w:t>
            </w:r>
            <w:r>
              <w:rPr>
                <w:color w:val="000000"/>
              </w:rPr>
              <w:t>33</w:t>
            </w:r>
          </w:p>
        </w:tc>
      </w:tr>
      <w:tr w:rsidR="00505245" w:rsidRPr="008351E8" w14:paraId="09DCC397" w14:textId="77777777" w:rsidTr="00505245">
        <w:trPr>
          <w:cantSplit/>
          <w:trHeight w:val="331"/>
        </w:trPr>
        <w:tc>
          <w:tcPr>
            <w:tcW w:w="2598" w:type="pct"/>
            <w:tcBorders>
              <w:left w:val="single" w:sz="12" w:space="0" w:color="auto"/>
            </w:tcBorders>
            <w:vAlign w:val="center"/>
            <w:hideMark/>
          </w:tcPr>
          <w:p w14:paraId="541A54C4" w14:textId="77777777" w:rsidR="00505245" w:rsidRPr="008351E8" w:rsidRDefault="00505245" w:rsidP="00505245">
            <w:pPr>
              <w:spacing w:beforeLines="20" w:before="48" w:afterLines="20" w:after="48" w:line="264" w:lineRule="auto"/>
              <w:contextualSpacing/>
              <w:rPr>
                <w:color w:val="000000"/>
              </w:rPr>
            </w:pPr>
            <w:r w:rsidRPr="008351E8">
              <w:rPr>
                <w:color w:val="000000"/>
              </w:rPr>
              <w:t xml:space="preserve">(5) Chemical Name </w:t>
            </w:r>
            <w:r w:rsidRPr="008351E8">
              <w:rPr>
                <w:color w:val="000000"/>
                <w:vertAlign w:val="superscript"/>
              </w:rPr>
              <w:t>2</w:t>
            </w:r>
          </w:p>
        </w:tc>
        <w:tc>
          <w:tcPr>
            <w:tcW w:w="441" w:type="pct"/>
            <w:vAlign w:val="center"/>
            <w:hideMark/>
          </w:tcPr>
          <w:p w14:paraId="1132B986" w14:textId="77777777" w:rsidR="00505245" w:rsidRPr="005C0801" w:rsidRDefault="00505245" w:rsidP="00505245">
            <w:pPr>
              <w:spacing w:beforeLines="20" w:before="48" w:afterLines="20" w:after="48" w:line="264" w:lineRule="auto"/>
              <w:contextualSpacing/>
              <w:rPr>
                <w:color w:val="000000"/>
              </w:rPr>
            </w:pPr>
            <w:r w:rsidRPr="005C0801">
              <w:rPr>
                <w:color w:val="000000"/>
              </w:rPr>
              <w:t>Chemical</w:t>
            </w:r>
          </w:p>
        </w:tc>
        <w:tc>
          <w:tcPr>
            <w:tcW w:w="474" w:type="pct"/>
            <w:noWrap/>
            <w:vAlign w:val="center"/>
            <w:hideMark/>
          </w:tcPr>
          <w:p w14:paraId="620406BF"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noWrap/>
            <w:vAlign w:val="center"/>
            <w:hideMark/>
          </w:tcPr>
          <w:p w14:paraId="4F83A8A6"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$6.</w:t>
            </w:r>
            <w:r>
              <w:rPr>
                <w:color w:val="000000"/>
              </w:rPr>
              <w:t>51</w:t>
            </w:r>
          </w:p>
        </w:tc>
        <w:tc>
          <w:tcPr>
            <w:tcW w:w="475" w:type="pct"/>
            <w:noWrap/>
            <w:vAlign w:val="center"/>
            <w:hideMark/>
          </w:tcPr>
          <w:p w14:paraId="08E9CB4A"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538" w:type="pct"/>
            <w:tcBorders>
              <w:right w:val="single" w:sz="12" w:space="0" w:color="auto"/>
            </w:tcBorders>
            <w:noWrap/>
            <w:vAlign w:val="center"/>
            <w:hideMark/>
          </w:tcPr>
          <w:p w14:paraId="0C288757"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$6.</w:t>
            </w:r>
            <w:r>
              <w:rPr>
                <w:color w:val="000000"/>
              </w:rPr>
              <w:t>51</w:t>
            </w:r>
          </w:p>
        </w:tc>
      </w:tr>
      <w:tr w:rsidR="00505245" w:rsidRPr="008351E8" w14:paraId="248BB264" w14:textId="77777777" w:rsidTr="00505245">
        <w:trPr>
          <w:cantSplit/>
          <w:trHeight w:val="331"/>
        </w:trPr>
        <w:tc>
          <w:tcPr>
            <w:tcW w:w="2598" w:type="pct"/>
            <w:tcBorders>
              <w:left w:val="single" w:sz="12" w:space="0" w:color="auto"/>
            </w:tcBorders>
            <w:vAlign w:val="center"/>
            <w:hideMark/>
          </w:tcPr>
          <w:p w14:paraId="7548270F" w14:textId="77777777" w:rsidR="00505245" w:rsidRPr="008351E8" w:rsidRDefault="00505245" w:rsidP="00505245">
            <w:pPr>
              <w:spacing w:beforeLines="20" w:before="48" w:afterLines="20" w:after="48" w:line="264" w:lineRule="auto"/>
              <w:contextualSpacing/>
              <w:rPr>
                <w:color w:val="000000"/>
              </w:rPr>
            </w:pPr>
            <w:r w:rsidRPr="008351E8">
              <w:rPr>
                <w:color w:val="000000"/>
              </w:rPr>
              <w:t xml:space="preserve">(6) Chemical Identity </w:t>
            </w:r>
            <w:r w:rsidRPr="008351E8">
              <w:rPr>
                <w:color w:val="000000"/>
                <w:vertAlign w:val="superscript"/>
              </w:rPr>
              <w:t>2</w:t>
            </w:r>
          </w:p>
        </w:tc>
        <w:tc>
          <w:tcPr>
            <w:tcW w:w="441" w:type="pct"/>
            <w:vAlign w:val="center"/>
            <w:hideMark/>
          </w:tcPr>
          <w:p w14:paraId="6C0F54EC" w14:textId="77777777" w:rsidR="00505245" w:rsidRPr="005C0801" w:rsidRDefault="00505245" w:rsidP="00505245">
            <w:pPr>
              <w:spacing w:beforeLines="20" w:before="48" w:afterLines="20" w:after="48" w:line="264" w:lineRule="auto"/>
              <w:contextualSpacing/>
              <w:rPr>
                <w:color w:val="000000"/>
              </w:rPr>
            </w:pPr>
            <w:r w:rsidRPr="005C0801">
              <w:rPr>
                <w:color w:val="000000"/>
              </w:rPr>
              <w:t>Chemical</w:t>
            </w:r>
          </w:p>
        </w:tc>
        <w:tc>
          <w:tcPr>
            <w:tcW w:w="474" w:type="pct"/>
            <w:noWrap/>
            <w:vAlign w:val="center"/>
            <w:hideMark/>
          </w:tcPr>
          <w:p w14:paraId="2339BFEC"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474" w:type="pct"/>
            <w:noWrap/>
            <w:vAlign w:val="center"/>
            <w:hideMark/>
          </w:tcPr>
          <w:p w14:paraId="798480A5"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475" w:type="pct"/>
            <w:noWrap/>
            <w:vAlign w:val="center"/>
            <w:hideMark/>
          </w:tcPr>
          <w:p w14:paraId="6B4837D2"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538" w:type="pct"/>
            <w:tcBorders>
              <w:right w:val="single" w:sz="12" w:space="0" w:color="auto"/>
            </w:tcBorders>
            <w:noWrap/>
            <w:vAlign w:val="center"/>
            <w:hideMark/>
          </w:tcPr>
          <w:p w14:paraId="4C92531F" w14:textId="77777777" w:rsidR="00505245" w:rsidRPr="00D95C21" w:rsidRDefault="00505245" w:rsidP="00505245">
            <w:pPr>
              <w:spacing w:beforeLines="20" w:before="48" w:afterLines="20" w:after="48" w:line="264" w:lineRule="auto"/>
              <w:contextualSpacing/>
              <w:jc w:val="right"/>
              <w:rPr>
                <w:color w:val="000000"/>
              </w:rPr>
            </w:pPr>
            <w:r w:rsidRPr="00C26D7F">
              <w:rPr>
                <w:color w:val="000000"/>
                <w:szCs w:val="22"/>
              </w:rPr>
              <w:t>Included in (5) above</w:t>
            </w:r>
          </w:p>
        </w:tc>
      </w:tr>
      <w:tr w:rsidR="00505245" w:rsidRPr="008351E8" w14:paraId="3EB19AEE" w14:textId="77777777" w:rsidTr="00505245">
        <w:trPr>
          <w:cantSplit/>
          <w:trHeight w:val="331"/>
        </w:trPr>
        <w:tc>
          <w:tcPr>
            <w:tcW w:w="2598" w:type="pct"/>
            <w:tcBorders>
              <w:left w:val="single" w:sz="12" w:space="0" w:color="auto"/>
            </w:tcBorders>
            <w:vAlign w:val="center"/>
            <w:hideMark/>
          </w:tcPr>
          <w:p w14:paraId="1E476FE9" w14:textId="77777777" w:rsidR="00505245" w:rsidRPr="008351E8" w:rsidRDefault="00505245" w:rsidP="00505245">
            <w:pPr>
              <w:spacing w:beforeLines="20" w:before="48" w:afterLines="20" w:after="48" w:line="264" w:lineRule="auto"/>
              <w:contextualSpacing/>
              <w:rPr>
                <w:color w:val="000000"/>
              </w:rPr>
            </w:pPr>
            <w:r w:rsidRPr="008351E8">
              <w:rPr>
                <w:color w:val="000000"/>
              </w:rPr>
              <w:t xml:space="preserve">(7) CBI Designations for </w:t>
            </w:r>
            <w:r>
              <w:rPr>
                <w:color w:val="000000"/>
              </w:rPr>
              <w:t xml:space="preserve">Chemical Name and </w:t>
            </w:r>
            <w:r w:rsidRPr="008351E8">
              <w:rPr>
                <w:color w:val="000000"/>
              </w:rPr>
              <w:t>Chemical Identity</w:t>
            </w:r>
          </w:p>
        </w:tc>
        <w:tc>
          <w:tcPr>
            <w:tcW w:w="441" w:type="pct"/>
            <w:vAlign w:val="center"/>
            <w:hideMark/>
          </w:tcPr>
          <w:p w14:paraId="359CFF5C" w14:textId="77777777" w:rsidR="00505245" w:rsidRPr="005C0801" w:rsidRDefault="00505245" w:rsidP="00505245">
            <w:pPr>
              <w:spacing w:beforeLines="20" w:before="48" w:afterLines="20" w:after="48" w:line="264" w:lineRule="auto"/>
              <w:contextualSpacing/>
              <w:rPr>
                <w:color w:val="000000"/>
              </w:rPr>
            </w:pPr>
            <w:r w:rsidRPr="005C0801">
              <w:rPr>
                <w:color w:val="000000"/>
              </w:rPr>
              <w:t>Chemical</w:t>
            </w:r>
          </w:p>
        </w:tc>
        <w:tc>
          <w:tcPr>
            <w:tcW w:w="474" w:type="pct"/>
            <w:noWrap/>
            <w:vAlign w:val="center"/>
            <w:hideMark/>
          </w:tcPr>
          <w:p w14:paraId="62FD2B5C"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474" w:type="pct"/>
            <w:noWrap/>
            <w:vAlign w:val="center"/>
            <w:hideMark/>
          </w:tcPr>
          <w:p w14:paraId="25755871"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475" w:type="pct"/>
            <w:noWrap/>
            <w:vAlign w:val="center"/>
            <w:hideMark/>
          </w:tcPr>
          <w:p w14:paraId="21CEAFBC" w14:textId="77777777" w:rsidR="00505245" w:rsidRPr="008351E8" w:rsidRDefault="00505245" w:rsidP="00505245">
            <w:pPr>
              <w:spacing w:beforeLines="20" w:before="48" w:afterLines="20" w:after="48" w:line="264" w:lineRule="auto"/>
              <w:contextualSpacing/>
              <w:jc w:val="right"/>
              <w:rPr>
                <w:color w:val="000000"/>
              </w:rPr>
            </w:pPr>
            <w:r w:rsidRPr="008351E8">
              <w:rPr>
                <w:color w:val="000000"/>
              </w:rPr>
              <w:t> </w:t>
            </w:r>
          </w:p>
        </w:tc>
        <w:tc>
          <w:tcPr>
            <w:tcW w:w="538" w:type="pct"/>
            <w:tcBorders>
              <w:right w:val="single" w:sz="12" w:space="0" w:color="auto"/>
            </w:tcBorders>
            <w:noWrap/>
            <w:vAlign w:val="center"/>
            <w:hideMark/>
          </w:tcPr>
          <w:p w14:paraId="11387A1E" w14:textId="77777777" w:rsidR="00505245" w:rsidRPr="00D95C21" w:rsidRDefault="00505245" w:rsidP="00505245">
            <w:pPr>
              <w:spacing w:beforeLines="20" w:before="48" w:afterLines="20" w:after="48" w:line="264" w:lineRule="auto"/>
              <w:contextualSpacing/>
              <w:jc w:val="right"/>
              <w:rPr>
                <w:color w:val="000000"/>
              </w:rPr>
            </w:pPr>
            <w:r w:rsidRPr="00C26D7F">
              <w:rPr>
                <w:color w:val="000000"/>
                <w:szCs w:val="22"/>
              </w:rPr>
              <w:t>Estimated at zero</w:t>
            </w:r>
          </w:p>
        </w:tc>
      </w:tr>
      <w:tr w:rsidR="00505245" w:rsidRPr="008351E8" w14:paraId="17C7FB23" w14:textId="77777777" w:rsidTr="00505245">
        <w:trPr>
          <w:cantSplit/>
          <w:trHeight w:val="331"/>
        </w:trPr>
        <w:tc>
          <w:tcPr>
            <w:tcW w:w="2598" w:type="pct"/>
            <w:tcBorders>
              <w:left w:val="single" w:sz="12" w:space="0" w:color="auto"/>
            </w:tcBorders>
            <w:vAlign w:val="center"/>
          </w:tcPr>
          <w:p w14:paraId="3E91619F" w14:textId="77777777" w:rsidR="00505245" w:rsidRPr="008351E8" w:rsidRDefault="00505245" w:rsidP="00505245">
            <w:pPr>
              <w:spacing w:beforeLines="20" w:before="48" w:afterLines="20" w:after="48" w:line="264" w:lineRule="auto"/>
              <w:contextualSpacing/>
              <w:rPr>
                <w:color w:val="000000"/>
              </w:rPr>
            </w:pPr>
            <w:r>
              <w:rPr>
                <w:color w:val="000000"/>
              </w:rPr>
              <w:t>(8) Start Date of Manufacture, Import, and/or Process (applies only to Annual Ongoing Reporting)</w:t>
            </w:r>
          </w:p>
        </w:tc>
        <w:tc>
          <w:tcPr>
            <w:tcW w:w="441" w:type="pct"/>
            <w:vAlign w:val="center"/>
          </w:tcPr>
          <w:p w14:paraId="6A5ADD56" w14:textId="77777777" w:rsidR="00505245" w:rsidRPr="005C0801" w:rsidRDefault="00505245" w:rsidP="00505245">
            <w:pPr>
              <w:spacing w:beforeLines="20" w:before="48" w:afterLines="20" w:after="48" w:line="264" w:lineRule="auto"/>
              <w:contextualSpacing/>
              <w:rPr>
                <w:color w:val="000000"/>
              </w:rPr>
            </w:pPr>
            <w:r w:rsidRPr="005051D8">
              <w:rPr>
                <w:color w:val="000000"/>
              </w:rPr>
              <w:t>Chemical</w:t>
            </w:r>
          </w:p>
        </w:tc>
        <w:tc>
          <w:tcPr>
            <w:tcW w:w="474" w:type="pct"/>
            <w:noWrap/>
            <w:vAlign w:val="center"/>
          </w:tcPr>
          <w:p w14:paraId="3AEA1E82"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Pr>
                <w:color w:val="000000"/>
              </w:rPr>
              <w:t>$0.00</w:t>
            </w:r>
          </w:p>
        </w:tc>
        <w:tc>
          <w:tcPr>
            <w:tcW w:w="474" w:type="pct"/>
            <w:noWrap/>
            <w:vAlign w:val="center"/>
          </w:tcPr>
          <w:p w14:paraId="42A13B24"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Pr>
                <w:color w:val="000000"/>
              </w:rPr>
              <w:t>$1.33</w:t>
            </w:r>
          </w:p>
        </w:tc>
        <w:tc>
          <w:tcPr>
            <w:tcW w:w="475" w:type="pct"/>
            <w:noWrap/>
            <w:vAlign w:val="center"/>
          </w:tcPr>
          <w:p w14:paraId="3E66ACB8"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Pr>
                <w:color w:val="000000"/>
              </w:rPr>
              <w:t>$0.00</w:t>
            </w:r>
          </w:p>
        </w:tc>
        <w:tc>
          <w:tcPr>
            <w:tcW w:w="538" w:type="pct"/>
            <w:tcBorders>
              <w:right w:val="single" w:sz="12" w:space="0" w:color="auto"/>
            </w:tcBorders>
            <w:noWrap/>
            <w:vAlign w:val="center"/>
          </w:tcPr>
          <w:p w14:paraId="03FCE41E"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Pr>
                <w:color w:val="000000"/>
              </w:rPr>
              <w:t>$1.33</w:t>
            </w:r>
          </w:p>
        </w:tc>
      </w:tr>
      <w:tr w:rsidR="00505245" w:rsidRPr="008351E8" w14:paraId="22C1D830" w14:textId="77777777" w:rsidTr="00505245">
        <w:trPr>
          <w:cantSplit/>
          <w:trHeight w:val="331"/>
        </w:trPr>
        <w:tc>
          <w:tcPr>
            <w:tcW w:w="2598" w:type="pct"/>
            <w:tcBorders>
              <w:left w:val="single" w:sz="12" w:space="0" w:color="auto"/>
            </w:tcBorders>
            <w:vAlign w:val="center"/>
          </w:tcPr>
          <w:p w14:paraId="6DFA35F1" w14:textId="77777777" w:rsidR="00505245" w:rsidRPr="008351E8" w:rsidRDefault="00505245" w:rsidP="00505245">
            <w:pPr>
              <w:spacing w:beforeLines="20" w:before="48" w:afterLines="20" w:after="48" w:line="264" w:lineRule="auto"/>
              <w:contextualSpacing/>
              <w:rPr>
                <w:color w:val="000000"/>
              </w:rPr>
            </w:pPr>
            <w:r>
              <w:rPr>
                <w:color w:val="000000"/>
              </w:rPr>
              <w:t>(9) CBI Designation for Start Date (applies only to Annual Ongoing Reporting)</w:t>
            </w:r>
          </w:p>
        </w:tc>
        <w:tc>
          <w:tcPr>
            <w:tcW w:w="441" w:type="pct"/>
            <w:vAlign w:val="center"/>
          </w:tcPr>
          <w:p w14:paraId="32F462A7" w14:textId="77777777" w:rsidR="00505245" w:rsidRPr="005C0801" w:rsidRDefault="00505245" w:rsidP="00505245">
            <w:pPr>
              <w:spacing w:beforeLines="20" w:before="48" w:afterLines="20" w:after="48" w:line="264" w:lineRule="auto"/>
              <w:contextualSpacing/>
              <w:rPr>
                <w:color w:val="000000"/>
              </w:rPr>
            </w:pPr>
            <w:r w:rsidRPr="005051D8">
              <w:rPr>
                <w:color w:val="000000"/>
              </w:rPr>
              <w:t>Chemical</w:t>
            </w:r>
          </w:p>
        </w:tc>
        <w:tc>
          <w:tcPr>
            <w:tcW w:w="474" w:type="pct"/>
            <w:noWrap/>
            <w:vAlign w:val="center"/>
          </w:tcPr>
          <w:p w14:paraId="64795D22" w14:textId="77777777" w:rsidR="00505245" w:rsidRPr="008351E8" w:rsidRDefault="00505245" w:rsidP="00505245">
            <w:pPr>
              <w:spacing w:beforeLines="20" w:before="48" w:afterLines="20" w:after="48" w:line="264" w:lineRule="auto"/>
              <w:ind w:firstLineChars="100" w:firstLine="200"/>
              <w:contextualSpacing/>
              <w:jc w:val="right"/>
              <w:rPr>
                <w:color w:val="000000"/>
              </w:rPr>
            </w:pPr>
          </w:p>
        </w:tc>
        <w:tc>
          <w:tcPr>
            <w:tcW w:w="474" w:type="pct"/>
            <w:noWrap/>
            <w:vAlign w:val="center"/>
          </w:tcPr>
          <w:p w14:paraId="1EF6D199" w14:textId="77777777" w:rsidR="00505245" w:rsidRPr="008351E8" w:rsidRDefault="00505245" w:rsidP="00505245">
            <w:pPr>
              <w:spacing w:beforeLines="20" w:before="48" w:afterLines="20" w:after="48" w:line="264" w:lineRule="auto"/>
              <w:ind w:firstLineChars="100" w:firstLine="200"/>
              <w:contextualSpacing/>
              <w:jc w:val="right"/>
              <w:rPr>
                <w:color w:val="000000"/>
              </w:rPr>
            </w:pPr>
          </w:p>
        </w:tc>
        <w:tc>
          <w:tcPr>
            <w:tcW w:w="475" w:type="pct"/>
            <w:noWrap/>
            <w:vAlign w:val="center"/>
          </w:tcPr>
          <w:p w14:paraId="7DD391CD" w14:textId="77777777" w:rsidR="00505245" w:rsidRPr="008351E8" w:rsidRDefault="00505245" w:rsidP="00505245">
            <w:pPr>
              <w:spacing w:beforeLines="20" w:before="48" w:afterLines="20" w:after="48" w:line="264" w:lineRule="auto"/>
              <w:ind w:firstLineChars="100" w:firstLine="200"/>
              <w:contextualSpacing/>
              <w:jc w:val="right"/>
              <w:rPr>
                <w:color w:val="000000"/>
              </w:rPr>
            </w:pPr>
          </w:p>
        </w:tc>
        <w:tc>
          <w:tcPr>
            <w:tcW w:w="538" w:type="pct"/>
            <w:tcBorders>
              <w:right w:val="single" w:sz="12" w:space="0" w:color="auto"/>
            </w:tcBorders>
            <w:noWrap/>
            <w:vAlign w:val="center"/>
          </w:tcPr>
          <w:p w14:paraId="388D60A8" w14:textId="77777777" w:rsidR="00505245" w:rsidRPr="00FA0DCC" w:rsidRDefault="00505245" w:rsidP="00505245">
            <w:pPr>
              <w:spacing w:beforeLines="20" w:before="48" w:afterLines="20" w:after="48" w:line="264" w:lineRule="auto"/>
              <w:ind w:firstLineChars="100" w:firstLine="200"/>
              <w:contextualSpacing/>
              <w:jc w:val="right"/>
              <w:rPr>
                <w:color w:val="000000"/>
              </w:rPr>
            </w:pPr>
            <w:r w:rsidRPr="00750770">
              <w:rPr>
                <w:color w:val="000000"/>
              </w:rPr>
              <w:t>Estimated at zero</w:t>
            </w:r>
          </w:p>
        </w:tc>
      </w:tr>
      <w:tr w:rsidR="00505245" w:rsidRPr="008351E8" w14:paraId="347EC8FF" w14:textId="77777777" w:rsidTr="00505245">
        <w:trPr>
          <w:cantSplit/>
          <w:trHeight w:val="331"/>
        </w:trPr>
        <w:tc>
          <w:tcPr>
            <w:tcW w:w="2598" w:type="pct"/>
            <w:tcBorders>
              <w:left w:val="single" w:sz="12" w:space="0" w:color="auto"/>
            </w:tcBorders>
            <w:vAlign w:val="center"/>
            <w:hideMark/>
          </w:tcPr>
          <w:p w14:paraId="018F6409" w14:textId="77777777" w:rsidR="00505245" w:rsidRPr="008351E8" w:rsidRDefault="00505245" w:rsidP="00505245">
            <w:pPr>
              <w:spacing w:beforeLines="20" w:before="48" w:afterLines="20" w:after="48" w:line="264" w:lineRule="auto"/>
              <w:contextualSpacing/>
              <w:rPr>
                <w:color w:val="000000"/>
              </w:rPr>
            </w:pPr>
            <w:r w:rsidRPr="008351E8">
              <w:rPr>
                <w:color w:val="000000"/>
              </w:rPr>
              <w:t>(</w:t>
            </w:r>
            <w:r>
              <w:rPr>
                <w:color w:val="000000"/>
              </w:rPr>
              <w:t>10</w:t>
            </w:r>
            <w:r w:rsidRPr="008351E8">
              <w:rPr>
                <w:color w:val="000000"/>
              </w:rPr>
              <w:t>) Chemical Identity CBI Status Declaration: maintain or not maintain claim of confidentiality of the full chemical substance identity on the TSCA Inventory</w:t>
            </w:r>
          </w:p>
        </w:tc>
        <w:tc>
          <w:tcPr>
            <w:tcW w:w="441" w:type="pct"/>
            <w:vAlign w:val="center"/>
            <w:hideMark/>
          </w:tcPr>
          <w:p w14:paraId="74FD6264" w14:textId="77777777" w:rsidR="00505245" w:rsidRPr="005C0801" w:rsidRDefault="00505245" w:rsidP="00505245">
            <w:pPr>
              <w:spacing w:beforeLines="20" w:before="48" w:afterLines="20" w:after="48" w:line="264" w:lineRule="auto"/>
              <w:contextualSpacing/>
              <w:rPr>
                <w:color w:val="000000"/>
              </w:rPr>
            </w:pPr>
            <w:r w:rsidRPr="005C0801">
              <w:rPr>
                <w:color w:val="000000"/>
              </w:rPr>
              <w:t>Chemical</w:t>
            </w:r>
          </w:p>
        </w:tc>
        <w:tc>
          <w:tcPr>
            <w:tcW w:w="474" w:type="pct"/>
            <w:noWrap/>
            <w:vAlign w:val="center"/>
            <w:hideMark/>
          </w:tcPr>
          <w:p w14:paraId="37B48E37"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noWrap/>
            <w:vAlign w:val="center"/>
            <w:hideMark/>
          </w:tcPr>
          <w:p w14:paraId="24C0AAF9"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$0.1</w:t>
            </w:r>
            <w:r>
              <w:rPr>
                <w:color w:val="000000"/>
              </w:rPr>
              <w:t>6</w:t>
            </w:r>
          </w:p>
        </w:tc>
        <w:tc>
          <w:tcPr>
            <w:tcW w:w="475" w:type="pct"/>
            <w:noWrap/>
            <w:vAlign w:val="center"/>
            <w:hideMark/>
          </w:tcPr>
          <w:p w14:paraId="0E6BE7E1"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538" w:type="pct"/>
            <w:tcBorders>
              <w:right w:val="single" w:sz="12" w:space="0" w:color="auto"/>
            </w:tcBorders>
            <w:noWrap/>
            <w:vAlign w:val="center"/>
            <w:hideMark/>
          </w:tcPr>
          <w:p w14:paraId="5CAB58E9"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$0.1</w:t>
            </w:r>
            <w:r>
              <w:rPr>
                <w:color w:val="000000"/>
              </w:rPr>
              <w:t>6</w:t>
            </w:r>
          </w:p>
        </w:tc>
      </w:tr>
      <w:tr w:rsidR="00505245" w:rsidRPr="008351E8" w14:paraId="55B9B5BC" w14:textId="77777777" w:rsidTr="00505245">
        <w:trPr>
          <w:cantSplit/>
          <w:trHeight w:val="331"/>
        </w:trPr>
        <w:tc>
          <w:tcPr>
            <w:tcW w:w="2598" w:type="pct"/>
            <w:tcBorders>
              <w:left w:val="single" w:sz="12" w:space="0" w:color="auto"/>
            </w:tcBorders>
            <w:vAlign w:val="center"/>
            <w:hideMark/>
          </w:tcPr>
          <w:p w14:paraId="7EF1BD1E" w14:textId="77777777" w:rsidR="00505245" w:rsidRPr="008351E8" w:rsidRDefault="00505245" w:rsidP="00505245">
            <w:pPr>
              <w:spacing w:beforeLines="20" w:before="48" w:afterLines="20" w:after="48" w:line="264" w:lineRule="auto"/>
              <w:contextualSpacing/>
              <w:rPr>
                <w:color w:val="000000"/>
              </w:rPr>
            </w:pPr>
            <w:r w:rsidRPr="008351E8">
              <w:rPr>
                <w:color w:val="000000"/>
              </w:rPr>
              <w:t>(</w:t>
            </w:r>
            <w:r>
              <w:rPr>
                <w:color w:val="000000"/>
              </w:rPr>
              <w:t>11</w:t>
            </w:r>
            <w:r w:rsidRPr="008351E8">
              <w:rPr>
                <w:color w:val="000000"/>
              </w:rPr>
              <w:t xml:space="preserve">) CBI Substantiation for Chemical Identity </w:t>
            </w:r>
            <w:r w:rsidRPr="008351E8">
              <w:rPr>
                <w:color w:val="000000"/>
                <w:vertAlign w:val="superscript"/>
              </w:rPr>
              <w:t>3</w:t>
            </w:r>
          </w:p>
        </w:tc>
        <w:tc>
          <w:tcPr>
            <w:tcW w:w="441" w:type="pct"/>
            <w:vAlign w:val="center"/>
            <w:hideMark/>
          </w:tcPr>
          <w:p w14:paraId="1AF129FA" w14:textId="77777777" w:rsidR="00505245" w:rsidRPr="005C0801" w:rsidRDefault="00505245" w:rsidP="00505245">
            <w:pPr>
              <w:spacing w:beforeLines="20" w:before="48" w:afterLines="20" w:after="48" w:line="264" w:lineRule="auto"/>
              <w:contextualSpacing/>
              <w:rPr>
                <w:color w:val="000000"/>
              </w:rPr>
            </w:pPr>
            <w:r w:rsidRPr="005C0801">
              <w:rPr>
                <w:color w:val="000000"/>
              </w:rPr>
              <w:t>Chemical</w:t>
            </w:r>
          </w:p>
        </w:tc>
        <w:tc>
          <w:tcPr>
            <w:tcW w:w="474" w:type="pct"/>
            <w:noWrap/>
            <w:vAlign w:val="center"/>
            <w:hideMark/>
          </w:tcPr>
          <w:p w14:paraId="30E41BE3"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noWrap/>
            <w:vAlign w:val="center"/>
            <w:hideMark/>
          </w:tcPr>
          <w:p w14:paraId="3A0E928E"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w:t>
            </w:r>
            <w:r>
              <w:rPr>
                <w:color w:val="000000"/>
              </w:rPr>
              <w:t>3.06</w:t>
            </w:r>
          </w:p>
        </w:tc>
        <w:tc>
          <w:tcPr>
            <w:tcW w:w="475" w:type="pct"/>
            <w:noWrap/>
            <w:vAlign w:val="center"/>
            <w:hideMark/>
          </w:tcPr>
          <w:p w14:paraId="5C19292D"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w:t>
            </w:r>
            <w:r>
              <w:rPr>
                <w:color w:val="000000"/>
              </w:rPr>
              <w:t>1.58</w:t>
            </w:r>
          </w:p>
        </w:tc>
        <w:tc>
          <w:tcPr>
            <w:tcW w:w="538" w:type="pct"/>
            <w:tcBorders>
              <w:right w:val="single" w:sz="12" w:space="0" w:color="auto"/>
            </w:tcBorders>
            <w:noWrap/>
            <w:vAlign w:val="center"/>
            <w:hideMark/>
          </w:tcPr>
          <w:p w14:paraId="4C4D8A26"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w:t>
            </w:r>
            <w:r>
              <w:rPr>
                <w:color w:val="000000"/>
              </w:rPr>
              <w:t>4.64</w:t>
            </w:r>
          </w:p>
        </w:tc>
      </w:tr>
      <w:tr w:rsidR="00505245" w:rsidRPr="008351E8" w14:paraId="18DE4AA4" w14:textId="77777777" w:rsidTr="00505245">
        <w:trPr>
          <w:cantSplit/>
          <w:trHeight w:val="331"/>
        </w:trPr>
        <w:tc>
          <w:tcPr>
            <w:tcW w:w="2598" w:type="pct"/>
            <w:tcBorders>
              <w:left w:val="single" w:sz="12" w:space="0" w:color="auto"/>
            </w:tcBorders>
            <w:vAlign w:val="center"/>
            <w:hideMark/>
          </w:tcPr>
          <w:p w14:paraId="507DD6A5" w14:textId="77777777" w:rsidR="00505245" w:rsidRPr="008351E8" w:rsidRDefault="00505245" w:rsidP="00505245">
            <w:pPr>
              <w:spacing w:beforeLines="20" w:before="48" w:afterLines="20" w:after="48" w:line="264" w:lineRule="auto"/>
              <w:contextualSpacing/>
              <w:rPr>
                <w:color w:val="000000"/>
              </w:rPr>
            </w:pPr>
            <w:r w:rsidRPr="008351E8">
              <w:rPr>
                <w:color w:val="000000"/>
              </w:rPr>
              <w:t>(1</w:t>
            </w:r>
            <w:r>
              <w:rPr>
                <w:color w:val="000000"/>
              </w:rPr>
              <w:t>2</w:t>
            </w:r>
            <w:r w:rsidRPr="008351E8">
              <w:rPr>
                <w:color w:val="000000"/>
              </w:rPr>
              <w:t xml:space="preserve">) CBI Substantiation for non-Chemical Identity data elements </w:t>
            </w:r>
            <w:r w:rsidRPr="008351E8">
              <w:rPr>
                <w:color w:val="000000"/>
                <w:vertAlign w:val="superscript"/>
              </w:rPr>
              <w:t>4</w:t>
            </w:r>
          </w:p>
        </w:tc>
        <w:tc>
          <w:tcPr>
            <w:tcW w:w="441" w:type="pct"/>
            <w:vAlign w:val="center"/>
            <w:hideMark/>
          </w:tcPr>
          <w:p w14:paraId="06A0609F" w14:textId="77777777" w:rsidR="00505245" w:rsidRPr="005C0801" w:rsidRDefault="00505245" w:rsidP="00505245">
            <w:pPr>
              <w:spacing w:beforeLines="20" w:before="48" w:afterLines="20" w:after="48" w:line="264" w:lineRule="auto"/>
              <w:contextualSpacing/>
              <w:rPr>
                <w:color w:val="000000"/>
              </w:rPr>
            </w:pPr>
            <w:r w:rsidRPr="005C0801">
              <w:rPr>
                <w:color w:val="000000"/>
              </w:rPr>
              <w:t>Chemical</w:t>
            </w:r>
          </w:p>
        </w:tc>
        <w:tc>
          <w:tcPr>
            <w:tcW w:w="474" w:type="pct"/>
            <w:noWrap/>
            <w:vAlign w:val="center"/>
            <w:hideMark/>
          </w:tcPr>
          <w:p w14:paraId="51A75DB9"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$0.00</w:t>
            </w:r>
          </w:p>
        </w:tc>
        <w:tc>
          <w:tcPr>
            <w:tcW w:w="474" w:type="pct"/>
            <w:noWrap/>
            <w:vAlign w:val="center"/>
            <w:hideMark/>
          </w:tcPr>
          <w:p w14:paraId="1CC35142"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w:t>
            </w:r>
            <w:r>
              <w:rPr>
                <w:color w:val="000000"/>
              </w:rPr>
              <w:t>16.54</w:t>
            </w:r>
          </w:p>
        </w:tc>
        <w:tc>
          <w:tcPr>
            <w:tcW w:w="475" w:type="pct"/>
            <w:noWrap/>
            <w:vAlign w:val="center"/>
            <w:hideMark/>
          </w:tcPr>
          <w:p w14:paraId="0C111CA8"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w:t>
            </w:r>
            <w:r>
              <w:rPr>
                <w:color w:val="000000"/>
              </w:rPr>
              <w:t>8.83</w:t>
            </w:r>
          </w:p>
        </w:tc>
        <w:tc>
          <w:tcPr>
            <w:tcW w:w="538" w:type="pct"/>
            <w:tcBorders>
              <w:right w:val="single" w:sz="12" w:space="0" w:color="auto"/>
            </w:tcBorders>
            <w:noWrap/>
            <w:vAlign w:val="center"/>
            <w:hideMark/>
          </w:tcPr>
          <w:p w14:paraId="07851E0B" w14:textId="77777777" w:rsidR="00505245" w:rsidRPr="008351E8" w:rsidRDefault="00505245" w:rsidP="00505245">
            <w:pPr>
              <w:spacing w:beforeLines="20" w:before="48" w:afterLines="20" w:after="48" w:line="264" w:lineRule="auto"/>
              <w:ind w:firstLineChars="100" w:firstLine="200"/>
              <w:contextualSpacing/>
              <w:jc w:val="right"/>
              <w:rPr>
                <w:color w:val="000000"/>
              </w:rPr>
            </w:pPr>
            <w:r w:rsidRPr="008351E8">
              <w:rPr>
                <w:color w:val="000000"/>
              </w:rPr>
              <w:t>$</w:t>
            </w:r>
            <w:r>
              <w:rPr>
                <w:color w:val="000000"/>
              </w:rPr>
              <w:t>25.37</w:t>
            </w:r>
          </w:p>
        </w:tc>
      </w:tr>
      <w:tr w:rsidR="00505245" w:rsidRPr="008351E8" w14:paraId="47615EE0" w14:textId="77777777" w:rsidTr="00505245">
        <w:trPr>
          <w:cantSplit/>
          <w:trHeight w:val="317"/>
        </w:trPr>
        <w:tc>
          <w:tcPr>
            <w:tcW w:w="2598" w:type="pct"/>
            <w:tcBorders>
              <w:left w:val="single" w:sz="12" w:space="0" w:color="auto"/>
              <w:bottom w:val="single" w:sz="12" w:space="0" w:color="auto"/>
            </w:tcBorders>
            <w:vAlign w:val="center"/>
            <w:hideMark/>
          </w:tcPr>
          <w:p w14:paraId="22E2235D" w14:textId="77777777" w:rsidR="00505245" w:rsidRPr="008351E8" w:rsidRDefault="00505245" w:rsidP="00505245">
            <w:pPr>
              <w:spacing w:before="20" w:after="20" w:line="264" w:lineRule="auto"/>
              <w:contextualSpacing/>
              <w:rPr>
                <w:color w:val="000000"/>
              </w:rPr>
            </w:pPr>
            <w:r w:rsidRPr="008351E8">
              <w:rPr>
                <w:color w:val="000000"/>
              </w:rPr>
              <w:t xml:space="preserve"> Date and Time Stamps</w:t>
            </w:r>
          </w:p>
        </w:tc>
        <w:tc>
          <w:tcPr>
            <w:tcW w:w="441" w:type="pct"/>
            <w:tcBorders>
              <w:bottom w:val="single" w:sz="12" w:space="0" w:color="auto"/>
            </w:tcBorders>
            <w:vAlign w:val="center"/>
            <w:hideMark/>
          </w:tcPr>
          <w:p w14:paraId="58735996" w14:textId="77777777" w:rsidR="00505245" w:rsidRPr="005C0801" w:rsidRDefault="00505245" w:rsidP="00505245">
            <w:pPr>
              <w:spacing w:before="20" w:after="20" w:line="264" w:lineRule="auto"/>
              <w:contextualSpacing/>
              <w:rPr>
                <w:color w:val="000000"/>
              </w:rPr>
            </w:pPr>
            <w:r w:rsidRPr="005C0801">
              <w:rPr>
                <w:color w:val="000000"/>
              </w:rPr>
              <w:t>Submission</w:t>
            </w:r>
          </w:p>
        </w:tc>
        <w:tc>
          <w:tcPr>
            <w:tcW w:w="474" w:type="pct"/>
            <w:tcBorders>
              <w:bottom w:val="single" w:sz="12" w:space="0" w:color="auto"/>
            </w:tcBorders>
            <w:noWrap/>
            <w:vAlign w:val="center"/>
            <w:hideMark/>
          </w:tcPr>
          <w:p w14:paraId="5C40AF2D" w14:textId="77777777" w:rsidR="00505245" w:rsidRPr="008351E8" w:rsidRDefault="00505245" w:rsidP="00505245">
            <w:pPr>
              <w:spacing w:before="20" w:after="20" w:line="264" w:lineRule="auto"/>
              <w:contextualSpacing/>
              <w:jc w:val="right"/>
              <w:rPr>
                <w:color w:val="000000"/>
              </w:rPr>
            </w:pPr>
            <w:r w:rsidRPr="008351E8">
              <w:rPr>
                <w:color w:val="000000"/>
              </w:rPr>
              <w:t> </w:t>
            </w:r>
          </w:p>
        </w:tc>
        <w:tc>
          <w:tcPr>
            <w:tcW w:w="474" w:type="pct"/>
            <w:tcBorders>
              <w:bottom w:val="single" w:sz="12" w:space="0" w:color="auto"/>
            </w:tcBorders>
            <w:noWrap/>
            <w:vAlign w:val="center"/>
            <w:hideMark/>
          </w:tcPr>
          <w:p w14:paraId="388D2977" w14:textId="77777777" w:rsidR="00505245" w:rsidRPr="008351E8" w:rsidRDefault="00505245" w:rsidP="00505245">
            <w:pPr>
              <w:spacing w:before="20" w:after="20" w:line="264" w:lineRule="auto"/>
              <w:contextualSpacing/>
              <w:jc w:val="right"/>
              <w:rPr>
                <w:color w:val="000000"/>
              </w:rPr>
            </w:pPr>
            <w:r w:rsidRPr="008351E8">
              <w:rPr>
                <w:color w:val="000000"/>
              </w:rPr>
              <w:t> </w:t>
            </w:r>
          </w:p>
        </w:tc>
        <w:tc>
          <w:tcPr>
            <w:tcW w:w="475" w:type="pct"/>
            <w:tcBorders>
              <w:bottom w:val="single" w:sz="12" w:space="0" w:color="auto"/>
            </w:tcBorders>
            <w:noWrap/>
            <w:vAlign w:val="center"/>
            <w:hideMark/>
          </w:tcPr>
          <w:p w14:paraId="1A7C8516" w14:textId="77777777" w:rsidR="00505245" w:rsidRPr="008351E8" w:rsidRDefault="00505245" w:rsidP="00505245">
            <w:pPr>
              <w:spacing w:before="20" w:after="20" w:line="264" w:lineRule="auto"/>
              <w:contextualSpacing/>
              <w:jc w:val="right"/>
              <w:rPr>
                <w:color w:val="000000"/>
              </w:rPr>
            </w:pPr>
            <w:r w:rsidRPr="008351E8">
              <w:rPr>
                <w:color w:val="000000"/>
              </w:rPr>
              <w:t> </w:t>
            </w:r>
          </w:p>
        </w:tc>
        <w:tc>
          <w:tcPr>
            <w:tcW w:w="538" w:type="pct"/>
            <w:tcBorders>
              <w:bottom w:val="single" w:sz="12" w:space="0" w:color="auto"/>
              <w:right w:val="single" w:sz="12" w:space="0" w:color="auto"/>
            </w:tcBorders>
            <w:noWrap/>
            <w:vAlign w:val="center"/>
            <w:hideMark/>
          </w:tcPr>
          <w:p w14:paraId="360A6214" w14:textId="77777777" w:rsidR="00505245" w:rsidRPr="00FA0DCC" w:rsidRDefault="00505245" w:rsidP="00505245">
            <w:pPr>
              <w:spacing w:before="20" w:after="20" w:line="264" w:lineRule="auto"/>
              <w:contextualSpacing/>
              <w:jc w:val="right"/>
              <w:rPr>
                <w:color w:val="000000"/>
              </w:rPr>
            </w:pPr>
            <w:r w:rsidRPr="00750770">
              <w:rPr>
                <w:color w:val="000000"/>
              </w:rPr>
              <w:t>System-Generated</w:t>
            </w:r>
          </w:p>
        </w:tc>
      </w:tr>
      <w:tr w:rsidR="00505245" w:rsidRPr="008351E8" w14:paraId="0758B9F5" w14:textId="77777777" w:rsidTr="00505245">
        <w:trPr>
          <w:cantSplit/>
          <w:trHeight w:val="317"/>
        </w:trPr>
        <w:tc>
          <w:tcPr>
            <w:tcW w:w="2598" w:type="pct"/>
            <w:tcBorders>
              <w:top w:val="single" w:sz="12" w:space="0" w:color="auto"/>
              <w:left w:val="single" w:sz="12" w:space="0" w:color="auto"/>
              <w:bottom w:val="single" w:sz="12" w:space="0" w:color="auto"/>
              <w:right w:val="nil"/>
            </w:tcBorders>
            <w:noWrap/>
            <w:vAlign w:val="center"/>
            <w:hideMark/>
          </w:tcPr>
          <w:p w14:paraId="7D818765" w14:textId="77777777" w:rsidR="00505245" w:rsidRPr="008351E8" w:rsidRDefault="00505245" w:rsidP="00505245">
            <w:pPr>
              <w:pageBreakBefore/>
              <w:spacing w:before="20" w:after="20" w:line="264" w:lineRule="auto"/>
              <w:contextualSpacing/>
              <w:rPr>
                <w:b/>
                <w:bCs/>
                <w:color w:val="000000"/>
              </w:rPr>
            </w:pPr>
            <w:r w:rsidRPr="008351E8">
              <w:rPr>
                <w:b/>
                <w:bCs/>
                <w:color w:val="000000"/>
              </w:rPr>
              <w:t>SINGLE CHEMICAL SUBMISSION FORM COMPLETION, Start-Up Period</w:t>
            </w:r>
          </w:p>
        </w:tc>
        <w:tc>
          <w:tcPr>
            <w:tcW w:w="441" w:type="pct"/>
            <w:tcBorders>
              <w:top w:val="single" w:sz="12" w:space="0" w:color="auto"/>
              <w:left w:val="nil"/>
              <w:bottom w:val="single" w:sz="12" w:space="0" w:color="auto"/>
            </w:tcBorders>
            <w:noWrap/>
            <w:vAlign w:val="center"/>
            <w:hideMark/>
          </w:tcPr>
          <w:p w14:paraId="6D342D97" w14:textId="77777777" w:rsidR="00505245" w:rsidRPr="005C0801" w:rsidRDefault="00505245" w:rsidP="00505245">
            <w:pPr>
              <w:spacing w:before="20" w:after="20" w:line="264" w:lineRule="auto"/>
              <w:contextualSpacing/>
              <w:rPr>
                <w:b/>
                <w:bCs/>
                <w:color w:val="000000"/>
              </w:rPr>
            </w:pPr>
            <w:r w:rsidRPr="005C0801">
              <w:rPr>
                <w:b/>
                <w:bCs/>
                <w:color w:val="000000"/>
              </w:rPr>
              <w:t> </w:t>
            </w:r>
          </w:p>
        </w:tc>
        <w:tc>
          <w:tcPr>
            <w:tcW w:w="474" w:type="pct"/>
            <w:tcBorders>
              <w:top w:val="single" w:sz="12" w:space="0" w:color="auto"/>
              <w:bottom w:val="single" w:sz="12" w:space="0" w:color="auto"/>
            </w:tcBorders>
            <w:noWrap/>
            <w:vAlign w:val="center"/>
            <w:hideMark/>
          </w:tcPr>
          <w:p w14:paraId="05C5FC76"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$0.00</w:t>
            </w:r>
          </w:p>
        </w:tc>
        <w:tc>
          <w:tcPr>
            <w:tcW w:w="474" w:type="pct"/>
            <w:tcBorders>
              <w:top w:val="single" w:sz="12" w:space="0" w:color="auto"/>
              <w:bottom w:val="single" w:sz="12" w:space="0" w:color="auto"/>
            </w:tcBorders>
            <w:noWrap/>
            <w:vAlign w:val="center"/>
            <w:hideMark/>
          </w:tcPr>
          <w:p w14:paraId="1772DF0F"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28.38</w:t>
            </w:r>
          </w:p>
        </w:tc>
        <w:tc>
          <w:tcPr>
            <w:tcW w:w="475" w:type="pct"/>
            <w:tcBorders>
              <w:top w:val="single" w:sz="12" w:space="0" w:color="auto"/>
              <w:bottom w:val="single" w:sz="12" w:space="0" w:color="auto"/>
            </w:tcBorders>
            <w:noWrap/>
            <w:vAlign w:val="center"/>
            <w:hideMark/>
          </w:tcPr>
          <w:p w14:paraId="2CE41206"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52.37</w:t>
            </w:r>
          </w:p>
        </w:tc>
        <w:tc>
          <w:tcPr>
            <w:tcW w:w="538" w:type="pct"/>
            <w:tcBorders>
              <w:top w:val="single" w:sz="12" w:space="0" w:color="auto"/>
              <w:bottom w:val="single" w:sz="12" w:space="0" w:color="auto"/>
              <w:right w:val="single" w:sz="12" w:space="0" w:color="auto"/>
            </w:tcBorders>
            <w:noWrap/>
            <w:vAlign w:val="center"/>
            <w:hideMark/>
          </w:tcPr>
          <w:p w14:paraId="44944646"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80.75</w:t>
            </w:r>
          </w:p>
        </w:tc>
      </w:tr>
      <w:tr w:rsidR="00505245" w:rsidRPr="008351E8" w14:paraId="69FAA510" w14:textId="77777777" w:rsidTr="00505245">
        <w:trPr>
          <w:cantSplit/>
          <w:trHeight w:val="317"/>
        </w:trPr>
        <w:tc>
          <w:tcPr>
            <w:tcW w:w="3039" w:type="pct"/>
            <w:gridSpan w:val="2"/>
            <w:tcBorders>
              <w:top w:val="single" w:sz="12" w:space="0" w:color="auto"/>
              <w:left w:val="single" w:sz="12" w:space="0" w:color="auto"/>
              <w:bottom w:val="single" w:sz="12" w:space="0" w:color="auto"/>
            </w:tcBorders>
            <w:noWrap/>
            <w:vAlign w:val="center"/>
            <w:hideMark/>
          </w:tcPr>
          <w:p w14:paraId="71E2AD44" w14:textId="77777777" w:rsidR="00505245" w:rsidRPr="005C0801" w:rsidRDefault="00505245" w:rsidP="00505245">
            <w:pPr>
              <w:spacing w:before="20" w:after="20" w:line="264" w:lineRule="auto"/>
              <w:contextualSpacing/>
              <w:rPr>
                <w:b/>
                <w:bCs/>
                <w:color w:val="000000"/>
              </w:rPr>
            </w:pPr>
            <w:r w:rsidRPr="008351E8">
              <w:rPr>
                <w:b/>
                <w:bCs/>
                <w:color w:val="000000"/>
              </w:rPr>
              <w:t>SINGLE CHEMICAL SUBMISSION FORM COMPLETION, Annual Ongoing Period</w:t>
            </w:r>
          </w:p>
        </w:tc>
        <w:tc>
          <w:tcPr>
            <w:tcW w:w="474" w:type="pct"/>
            <w:tcBorders>
              <w:top w:val="single" w:sz="12" w:space="0" w:color="auto"/>
              <w:bottom w:val="single" w:sz="12" w:space="0" w:color="auto"/>
            </w:tcBorders>
            <w:noWrap/>
            <w:vAlign w:val="center"/>
            <w:hideMark/>
          </w:tcPr>
          <w:p w14:paraId="201DEB90"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$0.00</w:t>
            </w:r>
          </w:p>
        </w:tc>
        <w:tc>
          <w:tcPr>
            <w:tcW w:w="474" w:type="pct"/>
            <w:tcBorders>
              <w:top w:val="single" w:sz="12" w:space="0" w:color="auto"/>
              <w:bottom w:val="single" w:sz="12" w:space="0" w:color="auto"/>
            </w:tcBorders>
            <w:noWrap/>
            <w:vAlign w:val="center"/>
            <w:hideMark/>
          </w:tcPr>
          <w:p w14:paraId="36E2AF7B"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29.71</w:t>
            </w:r>
          </w:p>
        </w:tc>
        <w:tc>
          <w:tcPr>
            <w:tcW w:w="475" w:type="pct"/>
            <w:tcBorders>
              <w:top w:val="single" w:sz="12" w:space="0" w:color="auto"/>
              <w:bottom w:val="single" w:sz="12" w:space="0" w:color="auto"/>
            </w:tcBorders>
            <w:noWrap/>
            <w:vAlign w:val="center"/>
            <w:hideMark/>
          </w:tcPr>
          <w:p w14:paraId="3172D60E"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52.37</w:t>
            </w:r>
          </w:p>
        </w:tc>
        <w:tc>
          <w:tcPr>
            <w:tcW w:w="538" w:type="pct"/>
            <w:tcBorders>
              <w:top w:val="single" w:sz="12" w:space="0" w:color="auto"/>
              <w:bottom w:val="single" w:sz="12" w:space="0" w:color="auto"/>
              <w:right w:val="single" w:sz="12" w:space="0" w:color="auto"/>
            </w:tcBorders>
            <w:noWrap/>
            <w:vAlign w:val="center"/>
            <w:hideMark/>
          </w:tcPr>
          <w:p w14:paraId="1D8A9ECB"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82.08</w:t>
            </w:r>
          </w:p>
        </w:tc>
      </w:tr>
      <w:tr w:rsidR="00505245" w:rsidRPr="008351E8" w14:paraId="351FC667" w14:textId="77777777" w:rsidTr="00505245">
        <w:trPr>
          <w:cantSplit/>
          <w:trHeight w:val="317"/>
        </w:trPr>
        <w:tc>
          <w:tcPr>
            <w:tcW w:w="2598" w:type="pct"/>
            <w:tcBorders>
              <w:top w:val="single" w:sz="12" w:space="0" w:color="auto"/>
              <w:left w:val="single" w:sz="12" w:space="0" w:color="auto"/>
              <w:bottom w:val="single" w:sz="4" w:space="0" w:color="auto"/>
              <w:right w:val="nil"/>
            </w:tcBorders>
            <w:vAlign w:val="center"/>
            <w:hideMark/>
          </w:tcPr>
          <w:p w14:paraId="4F9B566A" w14:textId="77777777" w:rsidR="00505245" w:rsidRPr="008351E8" w:rsidRDefault="00505245" w:rsidP="00505245">
            <w:pPr>
              <w:keepNext/>
              <w:spacing w:before="20" w:after="20" w:line="264" w:lineRule="auto"/>
              <w:contextualSpacing/>
              <w:rPr>
                <w:b/>
                <w:bCs/>
                <w:i/>
                <w:iCs/>
                <w:color w:val="000000"/>
              </w:rPr>
            </w:pPr>
            <w:r w:rsidRPr="008351E8">
              <w:rPr>
                <w:b/>
                <w:bCs/>
                <w:i/>
                <w:iCs/>
                <w:color w:val="000000"/>
              </w:rPr>
              <w:t>RECORDKEEPING</w:t>
            </w:r>
          </w:p>
        </w:tc>
        <w:tc>
          <w:tcPr>
            <w:tcW w:w="441" w:type="pct"/>
            <w:tcBorders>
              <w:top w:val="single" w:sz="12" w:space="0" w:color="auto"/>
              <w:left w:val="nil"/>
              <w:bottom w:val="single" w:sz="4" w:space="0" w:color="auto"/>
              <w:right w:val="nil"/>
            </w:tcBorders>
            <w:vAlign w:val="center"/>
            <w:hideMark/>
          </w:tcPr>
          <w:p w14:paraId="154F072A" w14:textId="77777777" w:rsidR="00505245" w:rsidRPr="005C0801" w:rsidRDefault="00505245" w:rsidP="00505245">
            <w:pPr>
              <w:spacing w:before="20" w:after="20" w:line="264" w:lineRule="auto"/>
              <w:contextualSpacing/>
              <w:rPr>
                <w:b/>
                <w:bCs/>
                <w:i/>
                <w:iCs/>
                <w:color w:val="000000"/>
              </w:rPr>
            </w:pPr>
            <w:r w:rsidRPr="005C0801">
              <w:rPr>
                <w:b/>
                <w:bCs/>
                <w:i/>
                <w:iCs/>
                <w:color w:val="000000"/>
              </w:rPr>
              <w:t> </w:t>
            </w:r>
          </w:p>
        </w:tc>
        <w:tc>
          <w:tcPr>
            <w:tcW w:w="474" w:type="pct"/>
            <w:tcBorders>
              <w:top w:val="single" w:sz="12" w:space="0" w:color="auto"/>
              <w:left w:val="nil"/>
              <w:bottom w:val="single" w:sz="4" w:space="0" w:color="auto"/>
              <w:right w:val="nil"/>
            </w:tcBorders>
            <w:noWrap/>
            <w:vAlign w:val="center"/>
            <w:hideMark/>
          </w:tcPr>
          <w:p w14:paraId="13D283E4" w14:textId="77777777" w:rsidR="00505245" w:rsidRPr="008351E8" w:rsidRDefault="00505245" w:rsidP="00505245">
            <w:pPr>
              <w:spacing w:before="20" w:after="20" w:line="264" w:lineRule="auto"/>
              <w:ind w:firstLineChars="100" w:firstLine="201"/>
              <w:contextualSpacing/>
              <w:jc w:val="right"/>
              <w:rPr>
                <w:b/>
                <w:bCs/>
                <w:i/>
                <w:iCs/>
                <w:color w:val="000000"/>
              </w:rPr>
            </w:pPr>
            <w:r w:rsidRPr="008351E8">
              <w:rPr>
                <w:b/>
                <w:bCs/>
                <w:i/>
                <w:iCs/>
                <w:color w:val="000000"/>
              </w:rPr>
              <w:t> </w:t>
            </w:r>
          </w:p>
        </w:tc>
        <w:tc>
          <w:tcPr>
            <w:tcW w:w="474" w:type="pct"/>
            <w:tcBorders>
              <w:top w:val="single" w:sz="12" w:space="0" w:color="auto"/>
              <w:left w:val="nil"/>
              <w:bottom w:val="single" w:sz="4" w:space="0" w:color="auto"/>
              <w:right w:val="nil"/>
            </w:tcBorders>
            <w:noWrap/>
            <w:vAlign w:val="center"/>
            <w:hideMark/>
          </w:tcPr>
          <w:p w14:paraId="0E1A8D0F" w14:textId="77777777" w:rsidR="00505245" w:rsidRPr="008351E8" w:rsidRDefault="00505245" w:rsidP="00505245">
            <w:pPr>
              <w:spacing w:before="20" w:after="20" w:line="264" w:lineRule="auto"/>
              <w:ind w:firstLineChars="100" w:firstLine="201"/>
              <w:contextualSpacing/>
              <w:jc w:val="right"/>
              <w:rPr>
                <w:b/>
                <w:bCs/>
                <w:i/>
                <w:iCs/>
                <w:color w:val="000000"/>
              </w:rPr>
            </w:pPr>
            <w:r w:rsidRPr="008351E8">
              <w:rPr>
                <w:b/>
                <w:bCs/>
                <w:i/>
                <w:iCs/>
                <w:color w:val="000000"/>
              </w:rPr>
              <w:t> </w:t>
            </w:r>
          </w:p>
        </w:tc>
        <w:tc>
          <w:tcPr>
            <w:tcW w:w="475" w:type="pct"/>
            <w:tcBorders>
              <w:top w:val="single" w:sz="12" w:space="0" w:color="auto"/>
              <w:left w:val="nil"/>
              <w:bottom w:val="single" w:sz="4" w:space="0" w:color="auto"/>
              <w:right w:val="nil"/>
            </w:tcBorders>
            <w:noWrap/>
            <w:vAlign w:val="center"/>
            <w:hideMark/>
          </w:tcPr>
          <w:p w14:paraId="2BA23A03" w14:textId="77777777" w:rsidR="00505245" w:rsidRPr="008351E8" w:rsidRDefault="00505245" w:rsidP="00505245">
            <w:pPr>
              <w:spacing w:before="20" w:after="20" w:line="264" w:lineRule="auto"/>
              <w:ind w:firstLineChars="100" w:firstLine="201"/>
              <w:contextualSpacing/>
              <w:jc w:val="right"/>
              <w:rPr>
                <w:b/>
                <w:bCs/>
                <w:i/>
                <w:iCs/>
                <w:color w:val="000000"/>
              </w:rPr>
            </w:pPr>
            <w:r w:rsidRPr="008351E8">
              <w:rPr>
                <w:b/>
                <w:bCs/>
                <w:i/>
                <w:iCs/>
                <w:color w:val="000000"/>
              </w:rPr>
              <w:t> </w:t>
            </w:r>
          </w:p>
        </w:tc>
        <w:tc>
          <w:tcPr>
            <w:tcW w:w="538" w:type="pct"/>
            <w:tcBorders>
              <w:top w:val="single" w:sz="12" w:space="0" w:color="auto"/>
              <w:left w:val="nil"/>
              <w:bottom w:val="single" w:sz="4" w:space="0" w:color="auto"/>
              <w:right w:val="single" w:sz="12" w:space="0" w:color="auto"/>
            </w:tcBorders>
            <w:noWrap/>
            <w:vAlign w:val="center"/>
            <w:hideMark/>
          </w:tcPr>
          <w:p w14:paraId="09985C76" w14:textId="77777777" w:rsidR="00505245" w:rsidRPr="008351E8" w:rsidRDefault="00505245" w:rsidP="00505245">
            <w:pPr>
              <w:spacing w:before="20" w:after="20" w:line="264" w:lineRule="auto"/>
              <w:ind w:firstLineChars="100" w:firstLine="201"/>
              <w:contextualSpacing/>
              <w:jc w:val="right"/>
              <w:rPr>
                <w:b/>
                <w:bCs/>
                <w:i/>
                <w:iCs/>
                <w:color w:val="000000"/>
              </w:rPr>
            </w:pPr>
            <w:r w:rsidRPr="008351E8">
              <w:rPr>
                <w:b/>
                <w:bCs/>
                <w:i/>
                <w:iCs/>
                <w:color w:val="000000"/>
              </w:rPr>
              <w:t> </w:t>
            </w:r>
          </w:p>
        </w:tc>
      </w:tr>
      <w:tr w:rsidR="00505245" w:rsidRPr="008351E8" w14:paraId="35BBA8C7" w14:textId="77777777" w:rsidTr="00505245">
        <w:trPr>
          <w:cantSplit/>
          <w:trHeight w:val="317"/>
        </w:trPr>
        <w:tc>
          <w:tcPr>
            <w:tcW w:w="2598" w:type="pct"/>
            <w:tcBorders>
              <w:left w:val="single" w:sz="12" w:space="0" w:color="auto"/>
              <w:bottom w:val="double" w:sz="12" w:space="0" w:color="auto"/>
            </w:tcBorders>
            <w:vAlign w:val="center"/>
            <w:hideMark/>
          </w:tcPr>
          <w:p w14:paraId="1F0B255A" w14:textId="77777777" w:rsidR="00505245" w:rsidRPr="008351E8" w:rsidRDefault="00505245" w:rsidP="00505245">
            <w:pPr>
              <w:spacing w:before="20" w:after="20" w:line="264" w:lineRule="auto"/>
              <w:contextualSpacing/>
              <w:rPr>
                <w:color w:val="000000"/>
              </w:rPr>
            </w:pPr>
            <w:r w:rsidRPr="008351E8">
              <w:rPr>
                <w:color w:val="000000"/>
              </w:rPr>
              <w:t>Per NOA Submission, Start-Up and Annual Ongoing Periods</w:t>
            </w:r>
          </w:p>
        </w:tc>
        <w:tc>
          <w:tcPr>
            <w:tcW w:w="441" w:type="pct"/>
            <w:tcBorders>
              <w:bottom w:val="double" w:sz="12" w:space="0" w:color="auto"/>
            </w:tcBorders>
            <w:vAlign w:val="center"/>
            <w:hideMark/>
          </w:tcPr>
          <w:p w14:paraId="09A4AF90" w14:textId="77777777" w:rsidR="00505245" w:rsidRPr="005C0801" w:rsidRDefault="00505245" w:rsidP="00505245">
            <w:pPr>
              <w:spacing w:before="20" w:after="20" w:line="264" w:lineRule="auto"/>
              <w:contextualSpacing/>
              <w:rPr>
                <w:color w:val="000000"/>
              </w:rPr>
            </w:pPr>
            <w:r w:rsidRPr="005C0801">
              <w:rPr>
                <w:color w:val="000000"/>
              </w:rPr>
              <w:t>Firm</w:t>
            </w:r>
          </w:p>
        </w:tc>
        <w:tc>
          <w:tcPr>
            <w:tcW w:w="474" w:type="pct"/>
            <w:tcBorders>
              <w:bottom w:val="double" w:sz="12" w:space="0" w:color="auto"/>
            </w:tcBorders>
            <w:noWrap/>
            <w:vAlign w:val="center"/>
            <w:hideMark/>
          </w:tcPr>
          <w:p w14:paraId="0DEFCDD4"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$4.2</w:t>
            </w:r>
            <w:r>
              <w:rPr>
                <w:color w:val="000000"/>
              </w:rPr>
              <w:t>8</w:t>
            </w:r>
          </w:p>
        </w:tc>
        <w:tc>
          <w:tcPr>
            <w:tcW w:w="474" w:type="pct"/>
            <w:tcBorders>
              <w:bottom w:val="double" w:sz="12" w:space="0" w:color="auto"/>
            </w:tcBorders>
            <w:noWrap/>
            <w:vAlign w:val="center"/>
            <w:hideMark/>
          </w:tcPr>
          <w:p w14:paraId="43B7FF6E"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5" w:type="pct"/>
            <w:tcBorders>
              <w:bottom w:val="double" w:sz="12" w:space="0" w:color="auto"/>
            </w:tcBorders>
            <w:noWrap/>
            <w:vAlign w:val="center"/>
            <w:hideMark/>
          </w:tcPr>
          <w:p w14:paraId="04CEE865"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538" w:type="pct"/>
            <w:tcBorders>
              <w:bottom w:val="double" w:sz="12" w:space="0" w:color="auto"/>
              <w:right w:val="single" w:sz="12" w:space="0" w:color="auto"/>
            </w:tcBorders>
            <w:noWrap/>
            <w:vAlign w:val="center"/>
            <w:hideMark/>
          </w:tcPr>
          <w:p w14:paraId="10B61E78"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$4.2</w:t>
            </w:r>
            <w:r>
              <w:rPr>
                <w:color w:val="000000"/>
              </w:rPr>
              <w:t>8</w:t>
            </w:r>
          </w:p>
        </w:tc>
      </w:tr>
      <w:tr w:rsidR="00505245" w:rsidRPr="008351E8" w14:paraId="08899A48" w14:textId="77777777" w:rsidTr="00505245">
        <w:trPr>
          <w:cantSplit/>
          <w:trHeight w:val="317"/>
        </w:trPr>
        <w:tc>
          <w:tcPr>
            <w:tcW w:w="4462" w:type="pct"/>
            <w:gridSpan w:val="5"/>
            <w:tcBorders>
              <w:top w:val="double" w:sz="12" w:space="0" w:color="auto"/>
              <w:left w:val="single" w:sz="12" w:space="0" w:color="auto"/>
              <w:bottom w:val="single" w:sz="12" w:space="0" w:color="auto"/>
            </w:tcBorders>
            <w:vAlign w:val="center"/>
            <w:hideMark/>
          </w:tcPr>
          <w:p w14:paraId="7B46A332" w14:textId="77777777" w:rsidR="00505245" w:rsidRPr="005051D8" w:rsidRDefault="00505245" w:rsidP="00505245">
            <w:pPr>
              <w:spacing w:before="20" w:after="20" w:line="264" w:lineRule="auto"/>
              <w:contextualSpacing/>
              <w:rPr>
                <w:b/>
                <w:bCs/>
                <w:color w:val="000000"/>
              </w:rPr>
            </w:pPr>
            <w:r w:rsidRPr="005051D8">
              <w:rPr>
                <w:b/>
                <w:bCs/>
                <w:color w:val="000000"/>
              </w:rPr>
              <w:t>START-UP TOTAL, Unit Cost for Nominal Single Chemical</w:t>
            </w:r>
          </w:p>
        </w:tc>
        <w:tc>
          <w:tcPr>
            <w:tcW w:w="538" w:type="pct"/>
            <w:tcBorders>
              <w:top w:val="double" w:sz="12" w:space="0" w:color="auto"/>
              <w:bottom w:val="single" w:sz="12" w:space="0" w:color="auto"/>
              <w:right w:val="single" w:sz="12" w:space="0" w:color="auto"/>
            </w:tcBorders>
            <w:noWrap/>
            <w:vAlign w:val="center"/>
            <w:hideMark/>
          </w:tcPr>
          <w:p w14:paraId="5FEFAB40"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454.06</w:t>
            </w:r>
          </w:p>
        </w:tc>
      </w:tr>
      <w:tr w:rsidR="00505245" w:rsidRPr="008351E8" w14:paraId="10EE9FA1" w14:textId="77777777" w:rsidTr="00505245">
        <w:trPr>
          <w:cantSplit/>
          <w:trHeight w:val="317"/>
        </w:trPr>
        <w:tc>
          <w:tcPr>
            <w:tcW w:w="4462" w:type="pct"/>
            <w:gridSpan w:val="5"/>
            <w:tcBorders>
              <w:top w:val="single" w:sz="12" w:space="0" w:color="auto"/>
              <w:left w:val="single" w:sz="12" w:space="0" w:color="auto"/>
              <w:bottom w:val="single" w:sz="12" w:space="0" w:color="auto"/>
            </w:tcBorders>
            <w:vAlign w:val="center"/>
            <w:hideMark/>
          </w:tcPr>
          <w:p w14:paraId="21F08271" w14:textId="77777777" w:rsidR="00505245" w:rsidRPr="005051D8" w:rsidRDefault="00505245" w:rsidP="00505245">
            <w:pPr>
              <w:spacing w:before="20" w:after="20" w:line="264" w:lineRule="auto"/>
              <w:contextualSpacing/>
              <w:rPr>
                <w:b/>
                <w:bCs/>
                <w:color w:val="000000"/>
              </w:rPr>
            </w:pPr>
            <w:r w:rsidRPr="005051D8">
              <w:rPr>
                <w:b/>
                <w:bCs/>
                <w:color w:val="000000"/>
              </w:rPr>
              <w:t xml:space="preserve">ANNUAL ONGOING TOTAL, Unit Cost for Nominal Single Chemical </w:t>
            </w:r>
            <w:r w:rsidRPr="005051D8">
              <w:rPr>
                <w:color w:val="000000"/>
              </w:rPr>
              <w:t>(Note: No Rule Familiarization)</w:t>
            </w:r>
          </w:p>
        </w:tc>
        <w:tc>
          <w:tcPr>
            <w:tcW w:w="538" w:type="pct"/>
            <w:tcBorders>
              <w:top w:val="single" w:sz="12" w:space="0" w:color="auto"/>
              <w:bottom w:val="single" w:sz="12" w:space="0" w:color="auto"/>
              <w:right w:val="single" w:sz="12" w:space="0" w:color="auto"/>
            </w:tcBorders>
            <w:noWrap/>
            <w:vAlign w:val="center"/>
            <w:hideMark/>
          </w:tcPr>
          <w:p w14:paraId="22C8EB11"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132.07</w:t>
            </w:r>
          </w:p>
        </w:tc>
      </w:tr>
      <w:tr w:rsidR="00505245" w:rsidRPr="008351E8" w14:paraId="42C4821B" w14:textId="77777777" w:rsidTr="00505245">
        <w:trPr>
          <w:cantSplit/>
          <w:trHeight w:val="216"/>
        </w:trPr>
        <w:tc>
          <w:tcPr>
            <w:tcW w:w="2598" w:type="pct"/>
            <w:tcBorders>
              <w:top w:val="single" w:sz="12" w:space="0" w:color="auto"/>
              <w:left w:val="single" w:sz="12" w:space="0" w:color="auto"/>
              <w:bottom w:val="single" w:sz="12" w:space="0" w:color="auto"/>
              <w:right w:val="nil"/>
            </w:tcBorders>
            <w:shd w:val="clear" w:color="auto" w:fill="D9D9D9" w:themeFill="background1" w:themeFillShade="D9"/>
            <w:vAlign w:val="center"/>
            <w:hideMark/>
          </w:tcPr>
          <w:p w14:paraId="2D6E9CA9"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41" w:type="pct"/>
            <w:tcBorders>
              <w:top w:val="single" w:sz="12" w:space="0" w:color="auto"/>
              <w:left w:val="nil"/>
              <w:bottom w:val="single" w:sz="12" w:space="0" w:color="auto"/>
              <w:right w:val="nil"/>
            </w:tcBorders>
            <w:shd w:val="clear" w:color="auto" w:fill="D9D9D9" w:themeFill="background1" w:themeFillShade="D9"/>
            <w:hideMark/>
          </w:tcPr>
          <w:p w14:paraId="077CC994" w14:textId="77777777" w:rsidR="00505245" w:rsidRPr="005051D8" w:rsidRDefault="00505245" w:rsidP="00505245">
            <w:pPr>
              <w:spacing w:before="20" w:after="20" w:line="264" w:lineRule="auto"/>
              <w:contextualSpacing/>
              <w:rPr>
                <w:b/>
                <w:bCs/>
                <w:color w:val="000000"/>
              </w:rPr>
            </w:pPr>
            <w:r w:rsidRPr="005051D8">
              <w:rPr>
                <w:b/>
                <w:bCs/>
                <w:color w:val="000000"/>
              </w:rPr>
              <w:t> </w:t>
            </w:r>
          </w:p>
        </w:tc>
        <w:tc>
          <w:tcPr>
            <w:tcW w:w="474" w:type="pct"/>
            <w:tcBorders>
              <w:top w:val="single" w:sz="12" w:space="0" w:color="auto"/>
              <w:left w:val="nil"/>
              <w:bottom w:val="single" w:sz="12" w:space="0" w:color="auto"/>
              <w:right w:val="nil"/>
            </w:tcBorders>
            <w:shd w:val="clear" w:color="auto" w:fill="D9D9D9" w:themeFill="background1" w:themeFillShade="D9"/>
            <w:hideMark/>
          </w:tcPr>
          <w:p w14:paraId="594DDF7F"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74" w:type="pct"/>
            <w:tcBorders>
              <w:top w:val="single" w:sz="12" w:space="0" w:color="auto"/>
              <w:left w:val="nil"/>
              <w:bottom w:val="single" w:sz="12" w:space="0" w:color="auto"/>
              <w:right w:val="nil"/>
            </w:tcBorders>
            <w:shd w:val="clear" w:color="auto" w:fill="D9D9D9" w:themeFill="background1" w:themeFillShade="D9"/>
            <w:hideMark/>
          </w:tcPr>
          <w:p w14:paraId="1B83F5D6"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75" w:type="pct"/>
            <w:tcBorders>
              <w:top w:val="single" w:sz="12" w:space="0" w:color="auto"/>
              <w:left w:val="nil"/>
              <w:bottom w:val="single" w:sz="12" w:space="0" w:color="auto"/>
              <w:right w:val="nil"/>
            </w:tcBorders>
            <w:shd w:val="clear" w:color="auto" w:fill="D9D9D9" w:themeFill="background1" w:themeFillShade="D9"/>
            <w:hideMark/>
          </w:tcPr>
          <w:p w14:paraId="307ADF65"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538" w:type="pct"/>
            <w:tcBorders>
              <w:top w:val="single" w:sz="12" w:space="0" w:color="auto"/>
              <w:left w:val="nil"/>
              <w:bottom w:val="single" w:sz="12" w:space="0" w:color="auto"/>
              <w:right w:val="single" w:sz="12" w:space="0" w:color="auto"/>
            </w:tcBorders>
            <w:shd w:val="clear" w:color="auto" w:fill="D9D9D9" w:themeFill="background1" w:themeFillShade="D9"/>
            <w:noWrap/>
            <w:hideMark/>
          </w:tcPr>
          <w:p w14:paraId="74D8F88F"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r>
      <w:tr w:rsidR="00505245" w:rsidRPr="008351E8" w14:paraId="7507CE1D" w14:textId="77777777" w:rsidTr="00505245">
        <w:trPr>
          <w:cantSplit/>
          <w:trHeight w:val="317"/>
        </w:trPr>
        <w:tc>
          <w:tcPr>
            <w:tcW w:w="2598" w:type="pct"/>
            <w:tcBorders>
              <w:top w:val="single" w:sz="12" w:space="0" w:color="auto"/>
              <w:left w:val="single" w:sz="12" w:space="0" w:color="auto"/>
              <w:bottom w:val="single" w:sz="12" w:space="0" w:color="auto"/>
              <w:right w:val="nil"/>
            </w:tcBorders>
            <w:noWrap/>
            <w:vAlign w:val="center"/>
            <w:hideMark/>
          </w:tcPr>
          <w:p w14:paraId="07C01EE7" w14:textId="77777777" w:rsidR="00505245" w:rsidRPr="008351E8" w:rsidRDefault="00505245" w:rsidP="00505245">
            <w:pPr>
              <w:spacing w:before="20" w:after="20" w:line="264" w:lineRule="auto"/>
              <w:contextualSpacing/>
              <w:rPr>
                <w:b/>
                <w:bCs/>
                <w:i/>
                <w:iCs/>
                <w:color w:val="000000"/>
              </w:rPr>
            </w:pPr>
            <w:r w:rsidRPr="008351E8">
              <w:rPr>
                <w:b/>
                <w:bCs/>
                <w:i/>
                <w:iCs/>
                <w:color w:val="000000"/>
              </w:rPr>
              <w:t>AVERAGE UNIT COST ACCORDING TO MULTI-CHEMICAL SUBMISSION</w:t>
            </w:r>
          </w:p>
        </w:tc>
        <w:tc>
          <w:tcPr>
            <w:tcW w:w="441" w:type="pct"/>
            <w:tcBorders>
              <w:top w:val="single" w:sz="12" w:space="0" w:color="auto"/>
              <w:left w:val="nil"/>
              <w:bottom w:val="single" w:sz="12" w:space="0" w:color="auto"/>
              <w:right w:val="nil"/>
            </w:tcBorders>
            <w:noWrap/>
            <w:hideMark/>
          </w:tcPr>
          <w:p w14:paraId="706E3644" w14:textId="77777777" w:rsidR="00505245" w:rsidRPr="008351E8" w:rsidRDefault="00505245" w:rsidP="00505245">
            <w:pPr>
              <w:spacing w:before="20" w:after="20" w:line="264" w:lineRule="auto"/>
              <w:contextualSpacing/>
              <w:rPr>
                <w:b/>
                <w:bCs/>
                <w:i/>
                <w:iCs/>
                <w:color w:val="000000"/>
              </w:rPr>
            </w:pPr>
            <w:r w:rsidRPr="008351E8">
              <w:rPr>
                <w:b/>
                <w:bCs/>
                <w:i/>
                <w:iCs/>
                <w:color w:val="000000"/>
              </w:rPr>
              <w:t> </w:t>
            </w:r>
          </w:p>
        </w:tc>
        <w:tc>
          <w:tcPr>
            <w:tcW w:w="474" w:type="pct"/>
            <w:tcBorders>
              <w:top w:val="single" w:sz="12" w:space="0" w:color="auto"/>
              <w:left w:val="nil"/>
              <w:bottom w:val="single" w:sz="12" w:space="0" w:color="auto"/>
              <w:right w:val="nil"/>
            </w:tcBorders>
            <w:noWrap/>
            <w:hideMark/>
          </w:tcPr>
          <w:p w14:paraId="4F24D14D"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474" w:type="pct"/>
            <w:tcBorders>
              <w:top w:val="single" w:sz="12" w:space="0" w:color="auto"/>
              <w:left w:val="nil"/>
              <w:bottom w:val="single" w:sz="12" w:space="0" w:color="auto"/>
              <w:right w:val="nil"/>
            </w:tcBorders>
            <w:noWrap/>
            <w:hideMark/>
          </w:tcPr>
          <w:p w14:paraId="527E67E4"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475" w:type="pct"/>
            <w:tcBorders>
              <w:top w:val="single" w:sz="12" w:space="0" w:color="auto"/>
              <w:left w:val="nil"/>
              <w:bottom w:val="single" w:sz="12" w:space="0" w:color="auto"/>
              <w:right w:val="nil"/>
            </w:tcBorders>
            <w:noWrap/>
            <w:hideMark/>
          </w:tcPr>
          <w:p w14:paraId="56646567"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538" w:type="pct"/>
            <w:tcBorders>
              <w:top w:val="single" w:sz="12" w:space="0" w:color="auto"/>
              <w:left w:val="nil"/>
              <w:bottom w:val="single" w:sz="12" w:space="0" w:color="auto"/>
              <w:right w:val="single" w:sz="12" w:space="0" w:color="auto"/>
            </w:tcBorders>
            <w:noWrap/>
            <w:hideMark/>
          </w:tcPr>
          <w:p w14:paraId="6492F682"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r>
      <w:tr w:rsidR="00505245" w:rsidRPr="008351E8" w14:paraId="36D53906" w14:textId="77777777" w:rsidTr="00505245">
        <w:trPr>
          <w:cantSplit/>
          <w:trHeight w:val="317"/>
        </w:trPr>
        <w:tc>
          <w:tcPr>
            <w:tcW w:w="2598" w:type="pct"/>
            <w:tcBorders>
              <w:top w:val="single" w:sz="12" w:space="0" w:color="auto"/>
              <w:left w:val="single" w:sz="12" w:space="0" w:color="auto"/>
              <w:right w:val="nil"/>
            </w:tcBorders>
            <w:noWrap/>
            <w:vAlign w:val="center"/>
            <w:hideMark/>
          </w:tcPr>
          <w:p w14:paraId="477B1629" w14:textId="77777777" w:rsidR="00505245" w:rsidRPr="008351E8" w:rsidRDefault="00505245" w:rsidP="00505245">
            <w:pPr>
              <w:spacing w:before="20" w:after="20" w:line="264" w:lineRule="auto"/>
              <w:contextualSpacing/>
              <w:rPr>
                <w:b/>
                <w:bCs/>
                <w:color w:val="000000"/>
              </w:rPr>
            </w:pPr>
            <w:r w:rsidRPr="008351E8">
              <w:rPr>
                <w:b/>
                <w:bCs/>
                <w:color w:val="000000"/>
              </w:rPr>
              <w:t>Start-Up Period</w:t>
            </w:r>
          </w:p>
        </w:tc>
        <w:tc>
          <w:tcPr>
            <w:tcW w:w="441" w:type="pct"/>
            <w:tcBorders>
              <w:top w:val="single" w:sz="12" w:space="0" w:color="auto"/>
              <w:left w:val="nil"/>
              <w:bottom w:val="single" w:sz="4" w:space="0" w:color="auto"/>
              <w:right w:val="nil"/>
            </w:tcBorders>
            <w:noWrap/>
            <w:hideMark/>
          </w:tcPr>
          <w:p w14:paraId="580E04D3"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74" w:type="pct"/>
            <w:tcBorders>
              <w:top w:val="single" w:sz="12" w:space="0" w:color="auto"/>
              <w:left w:val="nil"/>
              <w:right w:val="nil"/>
            </w:tcBorders>
            <w:noWrap/>
            <w:hideMark/>
          </w:tcPr>
          <w:p w14:paraId="2CDBFC01"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c>
          <w:tcPr>
            <w:tcW w:w="474" w:type="pct"/>
            <w:tcBorders>
              <w:top w:val="single" w:sz="12" w:space="0" w:color="auto"/>
              <w:left w:val="nil"/>
              <w:bottom w:val="single" w:sz="4" w:space="0" w:color="auto"/>
              <w:right w:val="nil"/>
            </w:tcBorders>
            <w:noWrap/>
            <w:hideMark/>
          </w:tcPr>
          <w:p w14:paraId="0E5F74AE"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c>
          <w:tcPr>
            <w:tcW w:w="475" w:type="pct"/>
            <w:tcBorders>
              <w:top w:val="single" w:sz="12" w:space="0" w:color="auto"/>
              <w:left w:val="nil"/>
              <w:right w:val="nil"/>
            </w:tcBorders>
            <w:noWrap/>
            <w:hideMark/>
          </w:tcPr>
          <w:p w14:paraId="7F0BE12B"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c>
          <w:tcPr>
            <w:tcW w:w="538" w:type="pct"/>
            <w:tcBorders>
              <w:top w:val="single" w:sz="12" w:space="0" w:color="auto"/>
              <w:left w:val="nil"/>
              <w:right w:val="single" w:sz="12" w:space="0" w:color="auto"/>
            </w:tcBorders>
            <w:noWrap/>
            <w:hideMark/>
          </w:tcPr>
          <w:p w14:paraId="05CA240A" w14:textId="77777777" w:rsidR="00505245" w:rsidRPr="008351E8" w:rsidRDefault="00505245" w:rsidP="00505245">
            <w:pPr>
              <w:spacing w:before="20" w:after="20" w:line="264" w:lineRule="auto"/>
              <w:ind w:firstLineChars="100" w:firstLine="201"/>
              <w:contextualSpacing/>
              <w:jc w:val="right"/>
              <w:rPr>
                <w:b/>
                <w:bCs/>
                <w:color w:val="000000"/>
              </w:rPr>
            </w:pPr>
            <w:bookmarkStart w:id="23" w:name="RANGE!F34"/>
            <w:r w:rsidRPr="008351E8">
              <w:rPr>
                <w:b/>
                <w:bCs/>
                <w:color w:val="000000"/>
              </w:rPr>
              <w:t> </w:t>
            </w:r>
            <w:bookmarkEnd w:id="23"/>
          </w:p>
        </w:tc>
      </w:tr>
      <w:tr w:rsidR="00505245" w:rsidRPr="008351E8" w14:paraId="14DDA92A" w14:textId="77777777" w:rsidTr="00505245">
        <w:trPr>
          <w:cantSplit/>
          <w:trHeight w:val="317"/>
        </w:trPr>
        <w:tc>
          <w:tcPr>
            <w:tcW w:w="2598" w:type="pct"/>
            <w:tcBorders>
              <w:left w:val="single" w:sz="12" w:space="0" w:color="auto"/>
              <w:bottom w:val="nil"/>
              <w:right w:val="nil"/>
            </w:tcBorders>
            <w:noWrap/>
            <w:vAlign w:val="center"/>
            <w:hideMark/>
          </w:tcPr>
          <w:p w14:paraId="2CF96729" w14:textId="77777777" w:rsidR="00505245" w:rsidRPr="008351E8" w:rsidRDefault="00505245" w:rsidP="00505245">
            <w:pPr>
              <w:spacing w:before="20" w:after="20" w:line="264" w:lineRule="auto"/>
              <w:contextualSpacing/>
              <w:rPr>
                <w:color w:val="000000"/>
              </w:rPr>
            </w:pPr>
            <w:r w:rsidRPr="008351E8">
              <w:rPr>
                <w:color w:val="000000"/>
              </w:rPr>
              <w:t>Rule Familiarization</w:t>
            </w:r>
          </w:p>
        </w:tc>
        <w:tc>
          <w:tcPr>
            <w:tcW w:w="441" w:type="pct"/>
            <w:tcBorders>
              <w:left w:val="nil"/>
              <w:bottom w:val="nil"/>
              <w:right w:val="nil"/>
            </w:tcBorders>
            <w:noWrap/>
            <w:hideMark/>
          </w:tcPr>
          <w:p w14:paraId="76F74A69"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74" w:type="pct"/>
            <w:tcBorders>
              <w:left w:val="nil"/>
              <w:bottom w:val="nil"/>
              <w:right w:val="nil"/>
            </w:tcBorders>
            <w:noWrap/>
            <w:vAlign w:val="center"/>
            <w:hideMark/>
          </w:tcPr>
          <w:p w14:paraId="07EE9908"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4" w:type="pct"/>
            <w:tcBorders>
              <w:left w:val="nil"/>
              <w:bottom w:val="nil"/>
              <w:right w:val="nil"/>
            </w:tcBorders>
            <w:noWrap/>
            <w:vAlign w:val="center"/>
            <w:hideMark/>
          </w:tcPr>
          <w:p w14:paraId="6771772F"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$15</w:t>
            </w:r>
            <w:r>
              <w:rPr>
                <w:color w:val="000000"/>
              </w:rPr>
              <w:t>6.80</w:t>
            </w:r>
          </w:p>
        </w:tc>
        <w:tc>
          <w:tcPr>
            <w:tcW w:w="475" w:type="pct"/>
            <w:tcBorders>
              <w:left w:val="nil"/>
              <w:bottom w:val="nil"/>
            </w:tcBorders>
            <w:noWrap/>
            <w:vAlign w:val="center"/>
            <w:hideMark/>
          </w:tcPr>
          <w:p w14:paraId="06F63785"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$16</w:t>
            </w:r>
            <w:r>
              <w:rPr>
                <w:color w:val="000000"/>
              </w:rPr>
              <w:t>6.52</w:t>
            </w:r>
          </w:p>
        </w:tc>
        <w:tc>
          <w:tcPr>
            <w:tcW w:w="538" w:type="pct"/>
            <w:tcBorders>
              <w:bottom w:val="nil"/>
              <w:right w:val="single" w:sz="12" w:space="0" w:color="auto"/>
            </w:tcBorders>
            <w:noWrap/>
            <w:vAlign w:val="center"/>
            <w:hideMark/>
          </w:tcPr>
          <w:p w14:paraId="2EBC9CF2"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$3</w:t>
            </w:r>
            <w:r>
              <w:rPr>
                <w:color w:val="000000"/>
              </w:rPr>
              <w:t>23.32</w:t>
            </w:r>
          </w:p>
        </w:tc>
      </w:tr>
      <w:tr w:rsidR="00505245" w:rsidRPr="008351E8" w14:paraId="3F4173B0" w14:textId="77777777" w:rsidTr="00505245">
        <w:trPr>
          <w:cantSplit/>
          <w:trHeight w:val="317"/>
        </w:trPr>
        <w:tc>
          <w:tcPr>
            <w:tcW w:w="2598" w:type="pct"/>
            <w:tcBorders>
              <w:top w:val="nil"/>
              <w:left w:val="single" w:sz="12" w:space="0" w:color="auto"/>
              <w:bottom w:val="nil"/>
              <w:right w:val="nil"/>
            </w:tcBorders>
            <w:noWrap/>
            <w:vAlign w:val="center"/>
            <w:hideMark/>
          </w:tcPr>
          <w:p w14:paraId="16AF5B0B" w14:textId="77777777" w:rsidR="00505245" w:rsidRPr="008351E8" w:rsidRDefault="00505245" w:rsidP="00505245">
            <w:pPr>
              <w:spacing w:before="20" w:after="20" w:line="264" w:lineRule="auto"/>
              <w:contextualSpacing/>
              <w:rPr>
                <w:color w:val="000000"/>
              </w:rPr>
            </w:pPr>
            <w:r w:rsidRPr="008351E8">
              <w:rPr>
                <w:color w:val="000000"/>
              </w:rPr>
              <w:t>Compliance Determination</w:t>
            </w:r>
          </w:p>
        </w:tc>
        <w:tc>
          <w:tcPr>
            <w:tcW w:w="441" w:type="pct"/>
            <w:tcBorders>
              <w:top w:val="nil"/>
              <w:left w:val="nil"/>
              <w:bottom w:val="nil"/>
              <w:right w:val="nil"/>
            </w:tcBorders>
            <w:noWrap/>
            <w:hideMark/>
          </w:tcPr>
          <w:p w14:paraId="604483F8" w14:textId="77777777" w:rsidR="00505245" w:rsidRPr="008351E8" w:rsidRDefault="00505245" w:rsidP="00505245">
            <w:pPr>
              <w:spacing w:before="20" w:after="20" w:line="264" w:lineRule="auto"/>
              <w:contextualSpacing/>
              <w:rPr>
                <w:b/>
                <w:bCs/>
                <w:color w:val="000000"/>
              </w:rPr>
            </w:pPr>
          </w:p>
        </w:tc>
        <w:tc>
          <w:tcPr>
            <w:tcW w:w="474" w:type="pct"/>
            <w:tcBorders>
              <w:top w:val="nil"/>
              <w:left w:val="nil"/>
              <w:bottom w:val="nil"/>
              <w:right w:val="nil"/>
            </w:tcBorders>
            <w:noWrap/>
            <w:vAlign w:val="center"/>
            <w:hideMark/>
          </w:tcPr>
          <w:p w14:paraId="3F87AC2B"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4" w:type="pct"/>
            <w:tcBorders>
              <w:top w:val="nil"/>
              <w:left w:val="nil"/>
              <w:bottom w:val="nil"/>
              <w:right w:val="nil"/>
            </w:tcBorders>
            <w:noWrap/>
            <w:vAlign w:val="center"/>
            <w:hideMark/>
          </w:tcPr>
          <w:p w14:paraId="52E4B6C0"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156.38</w:t>
            </w:r>
          </w:p>
        </w:tc>
        <w:tc>
          <w:tcPr>
            <w:tcW w:w="475" w:type="pct"/>
            <w:tcBorders>
              <w:top w:val="nil"/>
              <w:left w:val="nil"/>
              <w:bottom w:val="nil"/>
            </w:tcBorders>
            <w:noWrap/>
            <w:vAlign w:val="center"/>
            <w:hideMark/>
          </w:tcPr>
          <w:p w14:paraId="2B43C861"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538" w:type="pct"/>
            <w:tcBorders>
              <w:top w:val="nil"/>
              <w:bottom w:val="nil"/>
              <w:right w:val="single" w:sz="12" w:space="0" w:color="auto"/>
            </w:tcBorders>
            <w:noWrap/>
            <w:vAlign w:val="center"/>
            <w:hideMark/>
          </w:tcPr>
          <w:p w14:paraId="626B08E7"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156.38</w:t>
            </w:r>
          </w:p>
        </w:tc>
      </w:tr>
      <w:tr w:rsidR="00505245" w:rsidRPr="008351E8" w14:paraId="282393DE" w14:textId="77777777" w:rsidTr="00505245">
        <w:trPr>
          <w:cantSplit/>
          <w:trHeight w:val="317"/>
        </w:trPr>
        <w:tc>
          <w:tcPr>
            <w:tcW w:w="2598" w:type="pct"/>
            <w:tcBorders>
              <w:top w:val="nil"/>
              <w:left w:val="single" w:sz="12" w:space="0" w:color="auto"/>
              <w:bottom w:val="single" w:sz="4" w:space="0" w:color="auto"/>
              <w:right w:val="nil"/>
            </w:tcBorders>
            <w:noWrap/>
            <w:vAlign w:val="center"/>
            <w:hideMark/>
          </w:tcPr>
          <w:p w14:paraId="4D0004BF" w14:textId="77777777" w:rsidR="00505245" w:rsidRPr="008351E8" w:rsidRDefault="00505245" w:rsidP="00505245">
            <w:pPr>
              <w:spacing w:before="20" w:after="20" w:line="264" w:lineRule="auto"/>
              <w:contextualSpacing/>
              <w:rPr>
                <w:color w:val="000000"/>
              </w:rPr>
            </w:pPr>
            <w:r w:rsidRPr="008351E8">
              <w:rPr>
                <w:color w:val="000000"/>
              </w:rPr>
              <w:t>Form Completion</w:t>
            </w:r>
          </w:p>
        </w:tc>
        <w:tc>
          <w:tcPr>
            <w:tcW w:w="441" w:type="pct"/>
            <w:tcBorders>
              <w:top w:val="nil"/>
              <w:left w:val="nil"/>
              <w:bottom w:val="single" w:sz="4" w:space="0" w:color="auto"/>
              <w:right w:val="nil"/>
            </w:tcBorders>
            <w:noWrap/>
            <w:hideMark/>
          </w:tcPr>
          <w:p w14:paraId="14C2FD1D"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74" w:type="pct"/>
            <w:tcBorders>
              <w:top w:val="nil"/>
              <w:left w:val="nil"/>
              <w:bottom w:val="single" w:sz="4" w:space="0" w:color="auto"/>
              <w:right w:val="nil"/>
            </w:tcBorders>
            <w:noWrap/>
            <w:vAlign w:val="center"/>
            <w:hideMark/>
          </w:tcPr>
          <w:p w14:paraId="17750054"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4" w:type="pct"/>
            <w:tcBorders>
              <w:top w:val="nil"/>
              <w:left w:val="nil"/>
              <w:bottom w:val="single" w:sz="4" w:space="0" w:color="auto"/>
              <w:right w:val="nil"/>
            </w:tcBorders>
            <w:noWrap/>
            <w:vAlign w:val="center"/>
            <w:hideMark/>
          </w:tcPr>
          <w:p w14:paraId="7E9A523B"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474.97</w:t>
            </w:r>
          </w:p>
        </w:tc>
        <w:tc>
          <w:tcPr>
            <w:tcW w:w="475" w:type="pct"/>
            <w:tcBorders>
              <w:top w:val="nil"/>
              <w:left w:val="nil"/>
              <w:bottom w:val="single" w:sz="4" w:space="0" w:color="auto"/>
            </w:tcBorders>
            <w:noWrap/>
            <w:vAlign w:val="center"/>
            <w:hideMark/>
          </w:tcPr>
          <w:p w14:paraId="015198B9"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229.34</w:t>
            </w:r>
          </w:p>
        </w:tc>
        <w:tc>
          <w:tcPr>
            <w:tcW w:w="538" w:type="pct"/>
            <w:tcBorders>
              <w:top w:val="nil"/>
              <w:bottom w:val="single" w:sz="4" w:space="0" w:color="auto"/>
              <w:right w:val="single" w:sz="12" w:space="0" w:color="auto"/>
            </w:tcBorders>
            <w:noWrap/>
            <w:vAlign w:val="center"/>
            <w:hideMark/>
          </w:tcPr>
          <w:p w14:paraId="325CAB47"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704.31</w:t>
            </w:r>
          </w:p>
        </w:tc>
      </w:tr>
      <w:tr w:rsidR="00505245" w:rsidRPr="008351E8" w14:paraId="6749AB8C" w14:textId="77777777" w:rsidTr="00505245">
        <w:trPr>
          <w:cantSplit/>
          <w:trHeight w:val="317"/>
        </w:trPr>
        <w:tc>
          <w:tcPr>
            <w:tcW w:w="2598" w:type="pct"/>
            <w:tcBorders>
              <w:left w:val="single" w:sz="12" w:space="0" w:color="auto"/>
              <w:bottom w:val="nil"/>
              <w:right w:val="nil"/>
            </w:tcBorders>
            <w:noWrap/>
            <w:vAlign w:val="center"/>
            <w:hideMark/>
          </w:tcPr>
          <w:p w14:paraId="77EC7F27" w14:textId="77777777" w:rsidR="00505245" w:rsidRPr="008351E8" w:rsidRDefault="00505245" w:rsidP="00505245">
            <w:pPr>
              <w:spacing w:before="20" w:after="20" w:line="264" w:lineRule="auto"/>
              <w:contextualSpacing/>
              <w:rPr>
                <w:color w:val="000000"/>
              </w:rPr>
            </w:pPr>
            <w:r w:rsidRPr="008351E8">
              <w:rPr>
                <w:color w:val="000000"/>
              </w:rPr>
              <w:t xml:space="preserve">Typical Average Unit Cost per Firm in Start-Up Period </w:t>
            </w:r>
            <w:r w:rsidRPr="008351E8">
              <w:rPr>
                <w:color w:val="000000"/>
                <w:vertAlign w:val="superscript"/>
              </w:rPr>
              <w:t>5</w:t>
            </w:r>
          </w:p>
        </w:tc>
        <w:tc>
          <w:tcPr>
            <w:tcW w:w="441" w:type="pct"/>
            <w:tcBorders>
              <w:left w:val="nil"/>
              <w:bottom w:val="nil"/>
              <w:right w:val="nil"/>
            </w:tcBorders>
            <w:noWrap/>
            <w:hideMark/>
          </w:tcPr>
          <w:p w14:paraId="46D6F903" w14:textId="77777777" w:rsidR="00505245" w:rsidRPr="008351E8" w:rsidRDefault="00505245" w:rsidP="00505245">
            <w:pPr>
              <w:spacing w:before="20" w:after="20" w:line="264" w:lineRule="auto"/>
              <w:contextualSpacing/>
              <w:rPr>
                <w:b/>
                <w:bCs/>
                <w:color w:val="000000"/>
              </w:rPr>
            </w:pPr>
          </w:p>
        </w:tc>
        <w:tc>
          <w:tcPr>
            <w:tcW w:w="474" w:type="pct"/>
            <w:tcBorders>
              <w:left w:val="nil"/>
              <w:bottom w:val="nil"/>
              <w:right w:val="nil"/>
            </w:tcBorders>
            <w:noWrap/>
            <w:vAlign w:val="center"/>
            <w:hideMark/>
          </w:tcPr>
          <w:p w14:paraId="401BB14C" w14:textId="77777777" w:rsidR="00505245" w:rsidRPr="008351E8" w:rsidRDefault="00505245" w:rsidP="00505245">
            <w:pPr>
              <w:spacing w:before="20" w:after="20" w:line="264" w:lineRule="auto"/>
              <w:ind w:firstLineChars="100" w:firstLine="200"/>
              <w:contextualSpacing/>
              <w:jc w:val="right"/>
              <w:rPr>
                <w:color w:val="000000"/>
              </w:rPr>
            </w:pPr>
          </w:p>
        </w:tc>
        <w:tc>
          <w:tcPr>
            <w:tcW w:w="474" w:type="pct"/>
            <w:tcBorders>
              <w:left w:val="nil"/>
              <w:bottom w:val="nil"/>
              <w:right w:val="nil"/>
            </w:tcBorders>
            <w:noWrap/>
            <w:vAlign w:val="center"/>
            <w:hideMark/>
          </w:tcPr>
          <w:p w14:paraId="016D75D9" w14:textId="77777777" w:rsidR="00505245" w:rsidRPr="008351E8" w:rsidRDefault="00505245" w:rsidP="00505245">
            <w:pPr>
              <w:spacing w:before="20" w:after="20" w:line="264" w:lineRule="auto"/>
              <w:ind w:firstLineChars="100" w:firstLine="200"/>
              <w:contextualSpacing/>
              <w:jc w:val="right"/>
              <w:rPr>
                <w:color w:val="000000"/>
              </w:rPr>
            </w:pPr>
          </w:p>
        </w:tc>
        <w:tc>
          <w:tcPr>
            <w:tcW w:w="475" w:type="pct"/>
            <w:tcBorders>
              <w:left w:val="nil"/>
              <w:bottom w:val="nil"/>
            </w:tcBorders>
            <w:noWrap/>
            <w:vAlign w:val="center"/>
            <w:hideMark/>
          </w:tcPr>
          <w:p w14:paraId="5F4EB303"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538" w:type="pct"/>
            <w:tcBorders>
              <w:bottom w:val="nil"/>
              <w:right w:val="single" w:sz="12" w:space="0" w:color="auto"/>
            </w:tcBorders>
            <w:noWrap/>
            <w:vAlign w:val="center"/>
            <w:hideMark/>
          </w:tcPr>
          <w:p w14:paraId="6936683C"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1,184.01</w:t>
            </w:r>
          </w:p>
        </w:tc>
      </w:tr>
      <w:tr w:rsidR="00505245" w:rsidRPr="008351E8" w14:paraId="1679F98E" w14:textId="77777777" w:rsidTr="00505245">
        <w:trPr>
          <w:cantSplit/>
          <w:trHeight w:val="317"/>
        </w:trPr>
        <w:tc>
          <w:tcPr>
            <w:tcW w:w="2598" w:type="pct"/>
            <w:tcBorders>
              <w:top w:val="nil"/>
              <w:left w:val="single" w:sz="12" w:space="0" w:color="auto"/>
              <w:bottom w:val="single" w:sz="12" w:space="0" w:color="auto"/>
              <w:right w:val="nil"/>
            </w:tcBorders>
            <w:noWrap/>
            <w:vAlign w:val="center"/>
            <w:hideMark/>
          </w:tcPr>
          <w:p w14:paraId="10470D54" w14:textId="77777777" w:rsidR="00505245" w:rsidRPr="008351E8" w:rsidRDefault="00505245" w:rsidP="00505245">
            <w:pPr>
              <w:spacing w:before="20" w:after="20" w:line="264" w:lineRule="auto"/>
              <w:contextualSpacing/>
              <w:rPr>
                <w:i/>
                <w:iCs/>
                <w:color w:val="000000"/>
              </w:rPr>
            </w:pPr>
            <w:r w:rsidRPr="008351E8">
              <w:rPr>
                <w:i/>
                <w:iCs/>
                <w:color w:val="000000"/>
              </w:rPr>
              <w:t>Recordkeeping</w:t>
            </w:r>
          </w:p>
        </w:tc>
        <w:tc>
          <w:tcPr>
            <w:tcW w:w="441" w:type="pct"/>
            <w:tcBorders>
              <w:top w:val="nil"/>
              <w:left w:val="nil"/>
              <w:bottom w:val="single" w:sz="12" w:space="0" w:color="auto"/>
              <w:right w:val="nil"/>
            </w:tcBorders>
            <w:noWrap/>
            <w:hideMark/>
          </w:tcPr>
          <w:p w14:paraId="10D6FF79" w14:textId="77777777" w:rsidR="00505245" w:rsidRPr="008351E8" w:rsidRDefault="00505245" w:rsidP="00505245">
            <w:pPr>
              <w:spacing w:before="20" w:after="20" w:line="264" w:lineRule="auto"/>
              <w:contextualSpacing/>
              <w:rPr>
                <w:b/>
                <w:bCs/>
                <w:color w:val="000000"/>
              </w:rPr>
            </w:pPr>
          </w:p>
        </w:tc>
        <w:tc>
          <w:tcPr>
            <w:tcW w:w="474" w:type="pct"/>
            <w:tcBorders>
              <w:top w:val="nil"/>
              <w:left w:val="nil"/>
              <w:bottom w:val="single" w:sz="12" w:space="0" w:color="auto"/>
              <w:right w:val="nil"/>
            </w:tcBorders>
            <w:noWrap/>
            <w:vAlign w:val="center"/>
            <w:hideMark/>
          </w:tcPr>
          <w:p w14:paraId="23138207"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$4.2</w:t>
            </w:r>
            <w:r>
              <w:rPr>
                <w:color w:val="000000"/>
              </w:rPr>
              <w:t>8</w:t>
            </w:r>
          </w:p>
        </w:tc>
        <w:tc>
          <w:tcPr>
            <w:tcW w:w="474" w:type="pct"/>
            <w:tcBorders>
              <w:top w:val="nil"/>
              <w:left w:val="nil"/>
              <w:bottom w:val="single" w:sz="12" w:space="0" w:color="auto"/>
              <w:right w:val="nil"/>
            </w:tcBorders>
            <w:noWrap/>
            <w:vAlign w:val="center"/>
            <w:hideMark/>
          </w:tcPr>
          <w:p w14:paraId="3E6FFB71"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5" w:type="pct"/>
            <w:tcBorders>
              <w:top w:val="nil"/>
              <w:left w:val="nil"/>
              <w:bottom w:val="single" w:sz="12" w:space="0" w:color="auto"/>
            </w:tcBorders>
            <w:noWrap/>
            <w:vAlign w:val="center"/>
            <w:hideMark/>
          </w:tcPr>
          <w:p w14:paraId="690E0107"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538" w:type="pct"/>
            <w:tcBorders>
              <w:top w:val="nil"/>
              <w:bottom w:val="single" w:sz="12" w:space="0" w:color="auto"/>
              <w:right w:val="single" w:sz="12" w:space="0" w:color="auto"/>
            </w:tcBorders>
            <w:noWrap/>
            <w:vAlign w:val="center"/>
            <w:hideMark/>
          </w:tcPr>
          <w:p w14:paraId="594A67B9"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$4.2</w:t>
            </w:r>
            <w:r>
              <w:rPr>
                <w:color w:val="000000"/>
              </w:rPr>
              <w:t>8</w:t>
            </w:r>
          </w:p>
        </w:tc>
      </w:tr>
      <w:tr w:rsidR="00505245" w:rsidRPr="008351E8" w14:paraId="31AB3102" w14:textId="77777777" w:rsidTr="00505245">
        <w:trPr>
          <w:cantSplit/>
          <w:trHeight w:val="317"/>
        </w:trPr>
        <w:tc>
          <w:tcPr>
            <w:tcW w:w="2598" w:type="pct"/>
            <w:tcBorders>
              <w:top w:val="single" w:sz="12" w:space="0" w:color="auto"/>
              <w:left w:val="single" w:sz="12" w:space="0" w:color="auto"/>
              <w:bottom w:val="single" w:sz="12" w:space="0" w:color="auto"/>
              <w:right w:val="nil"/>
            </w:tcBorders>
            <w:noWrap/>
            <w:vAlign w:val="center"/>
            <w:hideMark/>
          </w:tcPr>
          <w:p w14:paraId="60676BCA" w14:textId="77777777" w:rsidR="00505245" w:rsidRPr="008351E8" w:rsidRDefault="00505245" w:rsidP="00505245">
            <w:pPr>
              <w:spacing w:before="20" w:after="20" w:line="264" w:lineRule="auto"/>
              <w:contextualSpacing/>
              <w:rPr>
                <w:b/>
                <w:bCs/>
                <w:color w:val="000000"/>
              </w:rPr>
            </w:pPr>
            <w:r w:rsidRPr="008351E8">
              <w:rPr>
                <w:b/>
                <w:bCs/>
                <w:color w:val="000000"/>
              </w:rPr>
              <w:t xml:space="preserve">TOTAL, Typical Average Unit Cost per Firm </w:t>
            </w:r>
            <w:r w:rsidRPr="008351E8">
              <w:rPr>
                <w:b/>
                <w:bCs/>
                <w:color w:val="000000"/>
                <w:vertAlign w:val="superscript"/>
              </w:rPr>
              <w:t>5</w:t>
            </w:r>
          </w:p>
        </w:tc>
        <w:tc>
          <w:tcPr>
            <w:tcW w:w="441" w:type="pct"/>
            <w:tcBorders>
              <w:top w:val="single" w:sz="12" w:space="0" w:color="auto"/>
              <w:left w:val="nil"/>
              <w:bottom w:val="single" w:sz="12" w:space="0" w:color="auto"/>
              <w:right w:val="nil"/>
            </w:tcBorders>
            <w:noWrap/>
            <w:hideMark/>
          </w:tcPr>
          <w:p w14:paraId="7A9F0EDA" w14:textId="77777777" w:rsidR="00505245" w:rsidRPr="008351E8" w:rsidRDefault="00505245" w:rsidP="00505245">
            <w:pPr>
              <w:spacing w:before="20" w:after="20" w:line="264" w:lineRule="auto"/>
              <w:contextualSpacing/>
              <w:rPr>
                <w:b/>
                <w:bCs/>
                <w:color w:val="000000"/>
              </w:rPr>
            </w:pPr>
            <w:r w:rsidRPr="008351E8">
              <w:rPr>
                <w:b/>
                <w:bCs/>
                <w:color w:val="000000"/>
              </w:rPr>
              <w:t> </w:t>
            </w:r>
          </w:p>
        </w:tc>
        <w:tc>
          <w:tcPr>
            <w:tcW w:w="474" w:type="pct"/>
            <w:tcBorders>
              <w:top w:val="single" w:sz="12" w:space="0" w:color="auto"/>
              <w:left w:val="nil"/>
              <w:bottom w:val="single" w:sz="12" w:space="0" w:color="auto"/>
              <w:right w:val="nil"/>
            </w:tcBorders>
            <w:noWrap/>
            <w:vAlign w:val="center"/>
            <w:hideMark/>
          </w:tcPr>
          <w:p w14:paraId="4309C5AB"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474" w:type="pct"/>
            <w:tcBorders>
              <w:top w:val="single" w:sz="12" w:space="0" w:color="auto"/>
              <w:left w:val="nil"/>
              <w:bottom w:val="single" w:sz="12" w:space="0" w:color="auto"/>
              <w:right w:val="nil"/>
            </w:tcBorders>
            <w:noWrap/>
            <w:vAlign w:val="center"/>
            <w:hideMark/>
          </w:tcPr>
          <w:p w14:paraId="68F1105A"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475" w:type="pct"/>
            <w:tcBorders>
              <w:top w:val="single" w:sz="12" w:space="0" w:color="auto"/>
              <w:left w:val="nil"/>
              <w:bottom w:val="single" w:sz="12" w:space="0" w:color="auto"/>
              <w:right w:val="nil"/>
            </w:tcBorders>
            <w:noWrap/>
            <w:vAlign w:val="center"/>
            <w:hideMark/>
          </w:tcPr>
          <w:p w14:paraId="030D47BB"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538" w:type="pct"/>
            <w:tcBorders>
              <w:top w:val="single" w:sz="12" w:space="0" w:color="auto"/>
              <w:left w:val="nil"/>
              <w:bottom w:val="single" w:sz="12" w:space="0" w:color="auto"/>
              <w:right w:val="single" w:sz="12" w:space="0" w:color="auto"/>
            </w:tcBorders>
            <w:shd w:val="clear" w:color="auto" w:fill="BFBFBF" w:themeFill="background1" w:themeFillShade="BF"/>
            <w:noWrap/>
            <w:vAlign w:val="center"/>
            <w:hideMark/>
          </w:tcPr>
          <w:p w14:paraId="2F858E27"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1,188.29</w:t>
            </w:r>
          </w:p>
        </w:tc>
      </w:tr>
      <w:tr w:rsidR="00505245" w:rsidRPr="008351E8" w14:paraId="314BC399" w14:textId="77777777" w:rsidTr="00505245">
        <w:trPr>
          <w:cantSplit/>
          <w:trHeight w:val="317"/>
        </w:trPr>
        <w:tc>
          <w:tcPr>
            <w:tcW w:w="2598" w:type="pct"/>
            <w:tcBorders>
              <w:top w:val="single" w:sz="12" w:space="0" w:color="auto"/>
              <w:left w:val="single" w:sz="12" w:space="0" w:color="auto"/>
              <w:right w:val="nil"/>
            </w:tcBorders>
            <w:noWrap/>
            <w:vAlign w:val="center"/>
            <w:hideMark/>
          </w:tcPr>
          <w:p w14:paraId="0F83E51C" w14:textId="77777777" w:rsidR="00505245" w:rsidRPr="008351E8" w:rsidRDefault="00505245" w:rsidP="00505245">
            <w:pPr>
              <w:spacing w:before="20" w:after="20" w:line="264" w:lineRule="auto"/>
              <w:contextualSpacing/>
              <w:rPr>
                <w:b/>
                <w:bCs/>
                <w:color w:val="000000"/>
              </w:rPr>
            </w:pPr>
            <w:r w:rsidRPr="008351E8">
              <w:rPr>
                <w:b/>
                <w:bCs/>
                <w:color w:val="000000"/>
              </w:rPr>
              <w:t>Annual Ongoing Period</w:t>
            </w:r>
          </w:p>
        </w:tc>
        <w:tc>
          <w:tcPr>
            <w:tcW w:w="441" w:type="pct"/>
            <w:tcBorders>
              <w:top w:val="single" w:sz="12" w:space="0" w:color="auto"/>
              <w:left w:val="nil"/>
              <w:right w:val="nil"/>
            </w:tcBorders>
            <w:noWrap/>
            <w:hideMark/>
          </w:tcPr>
          <w:p w14:paraId="51F90C4F" w14:textId="77777777" w:rsidR="00505245" w:rsidRPr="008351E8" w:rsidRDefault="00505245" w:rsidP="00505245">
            <w:pPr>
              <w:spacing w:before="20" w:after="20" w:line="264" w:lineRule="auto"/>
              <w:contextualSpacing/>
              <w:rPr>
                <w:color w:val="000000"/>
              </w:rPr>
            </w:pPr>
            <w:r w:rsidRPr="008351E8">
              <w:rPr>
                <w:color w:val="000000"/>
              </w:rPr>
              <w:t> </w:t>
            </w:r>
          </w:p>
        </w:tc>
        <w:tc>
          <w:tcPr>
            <w:tcW w:w="474" w:type="pct"/>
            <w:tcBorders>
              <w:top w:val="single" w:sz="12" w:space="0" w:color="auto"/>
              <w:left w:val="nil"/>
              <w:right w:val="nil"/>
            </w:tcBorders>
            <w:noWrap/>
            <w:vAlign w:val="center"/>
            <w:hideMark/>
          </w:tcPr>
          <w:p w14:paraId="5A5A01D2"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c>
          <w:tcPr>
            <w:tcW w:w="474" w:type="pct"/>
            <w:tcBorders>
              <w:top w:val="single" w:sz="12" w:space="0" w:color="auto"/>
              <w:left w:val="nil"/>
              <w:right w:val="nil"/>
            </w:tcBorders>
            <w:noWrap/>
            <w:vAlign w:val="center"/>
            <w:hideMark/>
          </w:tcPr>
          <w:p w14:paraId="4A04CE4C"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c>
          <w:tcPr>
            <w:tcW w:w="475" w:type="pct"/>
            <w:tcBorders>
              <w:top w:val="single" w:sz="12" w:space="0" w:color="auto"/>
              <w:left w:val="nil"/>
              <w:right w:val="nil"/>
            </w:tcBorders>
            <w:noWrap/>
            <w:vAlign w:val="center"/>
            <w:hideMark/>
          </w:tcPr>
          <w:p w14:paraId="356B20DD"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c>
          <w:tcPr>
            <w:tcW w:w="538" w:type="pct"/>
            <w:tcBorders>
              <w:top w:val="single" w:sz="12" w:space="0" w:color="auto"/>
              <w:left w:val="nil"/>
              <w:right w:val="single" w:sz="12" w:space="0" w:color="auto"/>
            </w:tcBorders>
            <w:noWrap/>
            <w:vAlign w:val="center"/>
            <w:hideMark/>
          </w:tcPr>
          <w:p w14:paraId="69D87D4C"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 </w:t>
            </w:r>
          </w:p>
        </w:tc>
      </w:tr>
      <w:tr w:rsidR="00505245" w:rsidRPr="008351E8" w14:paraId="70D414ED" w14:textId="77777777" w:rsidTr="00505245">
        <w:trPr>
          <w:cantSplit/>
          <w:trHeight w:val="317"/>
        </w:trPr>
        <w:tc>
          <w:tcPr>
            <w:tcW w:w="2598" w:type="pct"/>
            <w:tcBorders>
              <w:left w:val="single" w:sz="12" w:space="0" w:color="auto"/>
              <w:bottom w:val="nil"/>
              <w:right w:val="nil"/>
            </w:tcBorders>
            <w:noWrap/>
            <w:vAlign w:val="center"/>
            <w:hideMark/>
          </w:tcPr>
          <w:p w14:paraId="429B8924" w14:textId="77777777" w:rsidR="00505245" w:rsidRPr="008351E8" w:rsidRDefault="00505245" w:rsidP="00505245">
            <w:pPr>
              <w:spacing w:before="20" w:after="20" w:line="264" w:lineRule="auto"/>
              <w:contextualSpacing/>
              <w:rPr>
                <w:color w:val="000000"/>
              </w:rPr>
            </w:pPr>
            <w:r w:rsidRPr="008351E8">
              <w:rPr>
                <w:color w:val="000000"/>
              </w:rPr>
              <w:t>Rule Familiarization</w:t>
            </w:r>
          </w:p>
        </w:tc>
        <w:tc>
          <w:tcPr>
            <w:tcW w:w="441" w:type="pct"/>
            <w:tcBorders>
              <w:left w:val="nil"/>
              <w:bottom w:val="nil"/>
              <w:right w:val="nil"/>
            </w:tcBorders>
            <w:noWrap/>
            <w:hideMark/>
          </w:tcPr>
          <w:p w14:paraId="63E90BA2" w14:textId="77777777" w:rsidR="00505245" w:rsidRPr="008351E8" w:rsidRDefault="00505245" w:rsidP="00505245">
            <w:pPr>
              <w:spacing w:before="20" w:after="20" w:line="264" w:lineRule="auto"/>
              <w:contextualSpacing/>
              <w:rPr>
                <w:color w:val="000000"/>
              </w:rPr>
            </w:pPr>
            <w:r w:rsidRPr="008351E8">
              <w:rPr>
                <w:color w:val="000000"/>
              </w:rPr>
              <w:t> </w:t>
            </w:r>
          </w:p>
        </w:tc>
        <w:tc>
          <w:tcPr>
            <w:tcW w:w="474" w:type="pct"/>
            <w:tcBorders>
              <w:left w:val="nil"/>
              <w:bottom w:val="nil"/>
              <w:right w:val="nil"/>
            </w:tcBorders>
            <w:noWrap/>
            <w:vAlign w:val="center"/>
            <w:hideMark/>
          </w:tcPr>
          <w:p w14:paraId="7E7032B8"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N/A</w:t>
            </w:r>
          </w:p>
        </w:tc>
        <w:tc>
          <w:tcPr>
            <w:tcW w:w="474" w:type="pct"/>
            <w:tcBorders>
              <w:left w:val="nil"/>
              <w:bottom w:val="nil"/>
              <w:right w:val="nil"/>
            </w:tcBorders>
            <w:noWrap/>
            <w:vAlign w:val="center"/>
            <w:hideMark/>
          </w:tcPr>
          <w:p w14:paraId="3156BA20"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N/A</w:t>
            </w:r>
          </w:p>
        </w:tc>
        <w:tc>
          <w:tcPr>
            <w:tcW w:w="475" w:type="pct"/>
            <w:tcBorders>
              <w:left w:val="nil"/>
              <w:bottom w:val="nil"/>
            </w:tcBorders>
            <w:noWrap/>
            <w:vAlign w:val="center"/>
            <w:hideMark/>
          </w:tcPr>
          <w:p w14:paraId="672F2C13"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N/A</w:t>
            </w:r>
          </w:p>
        </w:tc>
        <w:tc>
          <w:tcPr>
            <w:tcW w:w="538" w:type="pct"/>
            <w:tcBorders>
              <w:bottom w:val="nil"/>
              <w:right w:val="single" w:sz="12" w:space="0" w:color="auto"/>
            </w:tcBorders>
            <w:noWrap/>
            <w:vAlign w:val="center"/>
            <w:hideMark/>
          </w:tcPr>
          <w:p w14:paraId="17BAB590"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r>
      <w:tr w:rsidR="00505245" w:rsidRPr="008351E8" w14:paraId="373D1369" w14:textId="77777777" w:rsidTr="00505245">
        <w:trPr>
          <w:cantSplit/>
          <w:trHeight w:val="317"/>
        </w:trPr>
        <w:tc>
          <w:tcPr>
            <w:tcW w:w="2598" w:type="pct"/>
            <w:tcBorders>
              <w:top w:val="nil"/>
              <w:left w:val="single" w:sz="12" w:space="0" w:color="auto"/>
              <w:bottom w:val="nil"/>
              <w:right w:val="nil"/>
            </w:tcBorders>
            <w:noWrap/>
            <w:vAlign w:val="center"/>
            <w:hideMark/>
          </w:tcPr>
          <w:p w14:paraId="1333AA1B" w14:textId="77777777" w:rsidR="00505245" w:rsidRPr="008351E8" w:rsidRDefault="00505245" w:rsidP="00505245">
            <w:pPr>
              <w:spacing w:before="20" w:after="20" w:line="264" w:lineRule="auto"/>
              <w:contextualSpacing/>
              <w:rPr>
                <w:color w:val="000000"/>
              </w:rPr>
            </w:pPr>
            <w:r w:rsidRPr="008351E8">
              <w:rPr>
                <w:color w:val="000000"/>
              </w:rPr>
              <w:t>Compliance Determination</w:t>
            </w:r>
          </w:p>
        </w:tc>
        <w:tc>
          <w:tcPr>
            <w:tcW w:w="441" w:type="pct"/>
            <w:tcBorders>
              <w:top w:val="nil"/>
              <w:left w:val="nil"/>
              <w:bottom w:val="nil"/>
              <w:right w:val="nil"/>
            </w:tcBorders>
            <w:noWrap/>
            <w:hideMark/>
          </w:tcPr>
          <w:p w14:paraId="401197C3" w14:textId="77777777" w:rsidR="00505245" w:rsidRPr="008351E8" w:rsidRDefault="00505245" w:rsidP="00505245">
            <w:pPr>
              <w:spacing w:before="20" w:after="20" w:line="264" w:lineRule="auto"/>
              <w:contextualSpacing/>
              <w:rPr>
                <w:color w:val="000000"/>
              </w:rPr>
            </w:pPr>
          </w:p>
        </w:tc>
        <w:tc>
          <w:tcPr>
            <w:tcW w:w="474" w:type="pct"/>
            <w:tcBorders>
              <w:top w:val="nil"/>
              <w:left w:val="nil"/>
              <w:bottom w:val="nil"/>
              <w:right w:val="nil"/>
            </w:tcBorders>
            <w:noWrap/>
            <w:vAlign w:val="center"/>
            <w:hideMark/>
          </w:tcPr>
          <w:p w14:paraId="7DF7F864"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4" w:type="pct"/>
            <w:tcBorders>
              <w:top w:val="nil"/>
              <w:left w:val="nil"/>
              <w:bottom w:val="nil"/>
              <w:right w:val="nil"/>
            </w:tcBorders>
            <w:noWrap/>
            <w:vAlign w:val="center"/>
            <w:hideMark/>
          </w:tcPr>
          <w:p w14:paraId="2D010B64"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156.38</w:t>
            </w:r>
          </w:p>
        </w:tc>
        <w:tc>
          <w:tcPr>
            <w:tcW w:w="475" w:type="pct"/>
            <w:tcBorders>
              <w:top w:val="nil"/>
              <w:left w:val="nil"/>
              <w:bottom w:val="nil"/>
            </w:tcBorders>
            <w:noWrap/>
            <w:vAlign w:val="center"/>
            <w:hideMark/>
          </w:tcPr>
          <w:p w14:paraId="1C1EC6EF"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538" w:type="pct"/>
            <w:tcBorders>
              <w:top w:val="nil"/>
              <w:bottom w:val="nil"/>
              <w:right w:val="single" w:sz="12" w:space="0" w:color="auto"/>
            </w:tcBorders>
            <w:noWrap/>
            <w:vAlign w:val="center"/>
            <w:hideMark/>
          </w:tcPr>
          <w:p w14:paraId="63C27CDD"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156.38</w:t>
            </w:r>
          </w:p>
        </w:tc>
      </w:tr>
      <w:tr w:rsidR="00505245" w:rsidRPr="008351E8" w14:paraId="36B5306B" w14:textId="77777777" w:rsidTr="00505245">
        <w:trPr>
          <w:cantSplit/>
          <w:trHeight w:val="317"/>
        </w:trPr>
        <w:tc>
          <w:tcPr>
            <w:tcW w:w="2598" w:type="pct"/>
            <w:tcBorders>
              <w:top w:val="nil"/>
              <w:left w:val="single" w:sz="12" w:space="0" w:color="auto"/>
              <w:right w:val="nil"/>
            </w:tcBorders>
            <w:noWrap/>
            <w:vAlign w:val="center"/>
            <w:hideMark/>
          </w:tcPr>
          <w:p w14:paraId="3D1E76EA" w14:textId="77777777" w:rsidR="00505245" w:rsidRPr="008351E8" w:rsidRDefault="00505245" w:rsidP="00505245">
            <w:pPr>
              <w:spacing w:before="20" w:after="20" w:line="264" w:lineRule="auto"/>
              <w:contextualSpacing/>
              <w:rPr>
                <w:color w:val="000000"/>
              </w:rPr>
            </w:pPr>
            <w:r w:rsidRPr="008351E8">
              <w:rPr>
                <w:color w:val="000000"/>
              </w:rPr>
              <w:t>Form Completion</w:t>
            </w:r>
          </w:p>
        </w:tc>
        <w:tc>
          <w:tcPr>
            <w:tcW w:w="441" w:type="pct"/>
            <w:tcBorders>
              <w:top w:val="nil"/>
              <w:left w:val="nil"/>
              <w:right w:val="nil"/>
            </w:tcBorders>
            <w:noWrap/>
            <w:hideMark/>
          </w:tcPr>
          <w:p w14:paraId="54C4CBB1" w14:textId="77777777" w:rsidR="00505245" w:rsidRPr="008351E8" w:rsidRDefault="00505245" w:rsidP="00505245">
            <w:pPr>
              <w:spacing w:before="20" w:after="20" w:line="264" w:lineRule="auto"/>
              <w:contextualSpacing/>
              <w:rPr>
                <w:color w:val="000000"/>
              </w:rPr>
            </w:pPr>
            <w:r w:rsidRPr="008351E8">
              <w:rPr>
                <w:color w:val="000000"/>
              </w:rPr>
              <w:t> </w:t>
            </w:r>
          </w:p>
        </w:tc>
        <w:tc>
          <w:tcPr>
            <w:tcW w:w="474" w:type="pct"/>
            <w:tcBorders>
              <w:top w:val="nil"/>
              <w:left w:val="nil"/>
              <w:right w:val="nil"/>
            </w:tcBorders>
            <w:noWrap/>
            <w:vAlign w:val="center"/>
            <w:hideMark/>
          </w:tcPr>
          <w:p w14:paraId="1CC73998"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4" w:type="pct"/>
            <w:tcBorders>
              <w:top w:val="nil"/>
              <w:left w:val="nil"/>
              <w:right w:val="nil"/>
            </w:tcBorders>
            <w:noWrap/>
            <w:vAlign w:val="center"/>
            <w:hideMark/>
          </w:tcPr>
          <w:p w14:paraId="21F92C1A"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498.91</w:t>
            </w:r>
          </w:p>
        </w:tc>
        <w:tc>
          <w:tcPr>
            <w:tcW w:w="475" w:type="pct"/>
            <w:tcBorders>
              <w:top w:val="nil"/>
              <w:left w:val="nil"/>
            </w:tcBorders>
            <w:noWrap/>
            <w:vAlign w:val="center"/>
            <w:hideMark/>
          </w:tcPr>
          <w:p w14:paraId="6F1D978A"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229.34</w:t>
            </w:r>
          </w:p>
        </w:tc>
        <w:tc>
          <w:tcPr>
            <w:tcW w:w="538" w:type="pct"/>
            <w:tcBorders>
              <w:top w:val="nil"/>
              <w:bottom w:val="single" w:sz="4" w:space="0" w:color="auto"/>
              <w:right w:val="single" w:sz="12" w:space="0" w:color="auto"/>
            </w:tcBorders>
            <w:noWrap/>
            <w:vAlign w:val="center"/>
            <w:hideMark/>
          </w:tcPr>
          <w:p w14:paraId="5D4B8EE1"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w:t>
            </w:r>
            <w:r>
              <w:rPr>
                <w:color w:val="000000"/>
              </w:rPr>
              <w:t>728.25</w:t>
            </w:r>
          </w:p>
        </w:tc>
      </w:tr>
      <w:tr w:rsidR="00505245" w:rsidRPr="008351E8" w14:paraId="58AF45C5" w14:textId="77777777" w:rsidTr="00505245">
        <w:trPr>
          <w:cantSplit/>
          <w:trHeight w:val="317"/>
        </w:trPr>
        <w:tc>
          <w:tcPr>
            <w:tcW w:w="2598" w:type="pct"/>
            <w:tcBorders>
              <w:left w:val="single" w:sz="12" w:space="0" w:color="auto"/>
              <w:bottom w:val="nil"/>
              <w:right w:val="nil"/>
            </w:tcBorders>
            <w:noWrap/>
            <w:vAlign w:val="center"/>
            <w:hideMark/>
          </w:tcPr>
          <w:p w14:paraId="600F5B2D" w14:textId="77777777" w:rsidR="00505245" w:rsidRPr="008351E8" w:rsidRDefault="00505245" w:rsidP="00505245">
            <w:pPr>
              <w:spacing w:before="20" w:after="20" w:line="264" w:lineRule="auto"/>
              <w:contextualSpacing/>
              <w:rPr>
                <w:color w:val="000000"/>
              </w:rPr>
            </w:pPr>
            <w:r w:rsidRPr="008351E8">
              <w:rPr>
                <w:color w:val="000000"/>
              </w:rPr>
              <w:t xml:space="preserve">Average Unit Cost per Firm in Annual Ongoing Period </w:t>
            </w:r>
            <w:r w:rsidRPr="008351E8">
              <w:rPr>
                <w:color w:val="000000"/>
                <w:vertAlign w:val="superscript"/>
              </w:rPr>
              <w:t>5</w:t>
            </w:r>
            <w:r w:rsidRPr="008351E8">
              <w:rPr>
                <w:color w:val="000000"/>
              </w:rPr>
              <w:t xml:space="preserve"> </w:t>
            </w:r>
          </w:p>
        </w:tc>
        <w:tc>
          <w:tcPr>
            <w:tcW w:w="441" w:type="pct"/>
            <w:tcBorders>
              <w:left w:val="nil"/>
              <w:bottom w:val="nil"/>
              <w:right w:val="nil"/>
            </w:tcBorders>
            <w:noWrap/>
            <w:hideMark/>
          </w:tcPr>
          <w:p w14:paraId="4829B32D" w14:textId="77777777" w:rsidR="00505245" w:rsidRPr="008351E8" w:rsidRDefault="00505245" w:rsidP="00505245">
            <w:pPr>
              <w:spacing w:before="20" w:after="20" w:line="264" w:lineRule="auto"/>
              <w:contextualSpacing/>
              <w:rPr>
                <w:color w:val="000000"/>
              </w:rPr>
            </w:pPr>
          </w:p>
        </w:tc>
        <w:tc>
          <w:tcPr>
            <w:tcW w:w="474" w:type="pct"/>
            <w:tcBorders>
              <w:left w:val="nil"/>
              <w:bottom w:val="nil"/>
              <w:right w:val="nil"/>
            </w:tcBorders>
            <w:noWrap/>
            <w:vAlign w:val="center"/>
            <w:hideMark/>
          </w:tcPr>
          <w:p w14:paraId="02CB996C" w14:textId="77777777" w:rsidR="00505245" w:rsidRPr="008351E8" w:rsidRDefault="00505245" w:rsidP="00505245">
            <w:pPr>
              <w:spacing w:before="20" w:after="20" w:line="264" w:lineRule="auto"/>
              <w:ind w:firstLineChars="100" w:firstLine="200"/>
              <w:contextualSpacing/>
              <w:jc w:val="right"/>
              <w:rPr>
                <w:color w:val="000000"/>
              </w:rPr>
            </w:pPr>
          </w:p>
        </w:tc>
        <w:tc>
          <w:tcPr>
            <w:tcW w:w="474" w:type="pct"/>
            <w:tcBorders>
              <w:left w:val="nil"/>
              <w:bottom w:val="nil"/>
              <w:right w:val="nil"/>
            </w:tcBorders>
            <w:noWrap/>
            <w:vAlign w:val="center"/>
            <w:hideMark/>
          </w:tcPr>
          <w:p w14:paraId="57C97011" w14:textId="77777777" w:rsidR="00505245" w:rsidRPr="008351E8" w:rsidRDefault="00505245" w:rsidP="00505245">
            <w:pPr>
              <w:spacing w:before="20" w:after="20" w:line="264" w:lineRule="auto"/>
              <w:ind w:firstLineChars="100" w:firstLine="200"/>
              <w:contextualSpacing/>
              <w:jc w:val="right"/>
              <w:rPr>
                <w:color w:val="000000"/>
              </w:rPr>
            </w:pPr>
          </w:p>
        </w:tc>
        <w:tc>
          <w:tcPr>
            <w:tcW w:w="475" w:type="pct"/>
            <w:tcBorders>
              <w:left w:val="nil"/>
              <w:bottom w:val="nil"/>
            </w:tcBorders>
            <w:noWrap/>
            <w:vAlign w:val="center"/>
            <w:hideMark/>
          </w:tcPr>
          <w:p w14:paraId="65DD1FFB"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 </w:t>
            </w:r>
          </w:p>
        </w:tc>
        <w:tc>
          <w:tcPr>
            <w:tcW w:w="538" w:type="pct"/>
            <w:tcBorders>
              <w:bottom w:val="nil"/>
              <w:right w:val="single" w:sz="12" w:space="0" w:color="auto"/>
            </w:tcBorders>
            <w:noWrap/>
            <w:vAlign w:val="center"/>
            <w:hideMark/>
          </w:tcPr>
          <w:p w14:paraId="6F20CEED"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884.63</w:t>
            </w:r>
          </w:p>
        </w:tc>
      </w:tr>
      <w:tr w:rsidR="00505245" w:rsidRPr="008351E8" w14:paraId="5F25EB1D" w14:textId="77777777" w:rsidTr="00505245">
        <w:trPr>
          <w:cantSplit/>
          <w:trHeight w:val="317"/>
        </w:trPr>
        <w:tc>
          <w:tcPr>
            <w:tcW w:w="2598" w:type="pct"/>
            <w:tcBorders>
              <w:top w:val="nil"/>
              <w:left w:val="single" w:sz="12" w:space="0" w:color="auto"/>
              <w:bottom w:val="single" w:sz="12" w:space="0" w:color="auto"/>
              <w:right w:val="nil"/>
            </w:tcBorders>
            <w:noWrap/>
            <w:vAlign w:val="center"/>
            <w:hideMark/>
          </w:tcPr>
          <w:p w14:paraId="57147127" w14:textId="77777777" w:rsidR="00505245" w:rsidRPr="008351E8" w:rsidRDefault="00505245" w:rsidP="00505245">
            <w:pPr>
              <w:spacing w:before="20" w:after="20" w:line="264" w:lineRule="auto"/>
              <w:contextualSpacing/>
              <w:rPr>
                <w:i/>
                <w:iCs/>
                <w:color w:val="000000"/>
              </w:rPr>
            </w:pPr>
            <w:r w:rsidRPr="008351E8">
              <w:rPr>
                <w:i/>
                <w:iCs/>
                <w:color w:val="000000"/>
              </w:rPr>
              <w:t>Recordkeeping</w:t>
            </w:r>
          </w:p>
        </w:tc>
        <w:tc>
          <w:tcPr>
            <w:tcW w:w="441" w:type="pct"/>
            <w:tcBorders>
              <w:top w:val="nil"/>
              <w:left w:val="nil"/>
              <w:bottom w:val="single" w:sz="12" w:space="0" w:color="auto"/>
              <w:right w:val="nil"/>
            </w:tcBorders>
            <w:noWrap/>
            <w:hideMark/>
          </w:tcPr>
          <w:p w14:paraId="4645D629" w14:textId="77777777" w:rsidR="00505245" w:rsidRPr="008351E8" w:rsidRDefault="00505245" w:rsidP="00505245">
            <w:pPr>
              <w:spacing w:before="20" w:after="20" w:line="264" w:lineRule="auto"/>
              <w:contextualSpacing/>
              <w:rPr>
                <w:color w:val="000000"/>
              </w:rPr>
            </w:pPr>
            <w:r w:rsidRPr="008351E8">
              <w:rPr>
                <w:color w:val="000000"/>
              </w:rPr>
              <w:t> </w:t>
            </w:r>
          </w:p>
        </w:tc>
        <w:tc>
          <w:tcPr>
            <w:tcW w:w="474" w:type="pct"/>
            <w:tcBorders>
              <w:top w:val="nil"/>
              <w:left w:val="nil"/>
              <w:bottom w:val="single" w:sz="12" w:space="0" w:color="auto"/>
              <w:right w:val="nil"/>
            </w:tcBorders>
            <w:noWrap/>
            <w:vAlign w:val="center"/>
            <w:hideMark/>
          </w:tcPr>
          <w:p w14:paraId="0035B971"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$4.2</w:t>
            </w:r>
            <w:r>
              <w:rPr>
                <w:color w:val="000000"/>
              </w:rPr>
              <w:t>8</w:t>
            </w:r>
          </w:p>
        </w:tc>
        <w:tc>
          <w:tcPr>
            <w:tcW w:w="474" w:type="pct"/>
            <w:tcBorders>
              <w:top w:val="nil"/>
              <w:left w:val="nil"/>
              <w:bottom w:val="single" w:sz="12" w:space="0" w:color="auto"/>
              <w:right w:val="nil"/>
            </w:tcBorders>
            <w:noWrap/>
            <w:vAlign w:val="center"/>
            <w:hideMark/>
          </w:tcPr>
          <w:p w14:paraId="2817CFA9"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475" w:type="pct"/>
            <w:tcBorders>
              <w:top w:val="nil"/>
              <w:left w:val="nil"/>
              <w:bottom w:val="single" w:sz="12" w:space="0" w:color="auto"/>
            </w:tcBorders>
            <w:noWrap/>
            <w:vAlign w:val="center"/>
            <w:hideMark/>
          </w:tcPr>
          <w:p w14:paraId="3486554C"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$0.00</w:t>
            </w:r>
          </w:p>
        </w:tc>
        <w:tc>
          <w:tcPr>
            <w:tcW w:w="538" w:type="pct"/>
            <w:tcBorders>
              <w:top w:val="nil"/>
              <w:bottom w:val="single" w:sz="12" w:space="0" w:color="auto"/>
              <w:right w:val="single" w:sz="12" w:space="0" w:color="auto"/>
            </w:tcBorders>
            <w:noWrap/>
            <w:vAlign w:val="center"/>
            <w:hideMark/>
          </w:tcPr>
          <w:p w14:paraId="208310BD" w14:textId="77777777" w:rsidR="00505245" w:rsidRPr="008351E8" w:rsidRDefault="00505245" w:rsidP="00505245">
            <w:pPr>
              <w:spacing w:before="20" w:after="20" w:line="264" w:lineRule="auto"/>
              <w:ind w:firstLineChars="100" w:firstLine="200"/>
              <w:contextualSpacing/>
              <w:jc w:val="right"/>
              <w:rPr>
                <w:color w:val="000000"/>
              </w:rPr>
            </w:pPr>
            <w:r w:rsidRPr="008351E8">
              <w:rPr>
                <w:color w:val="000000"/>
              </w:rPr>
              <w:t>$4.2</w:t>
            </w:r>
            <w:r>
              <w:rPr>
                <w:color w:val="000000"/>
              </w:rPr>
              <w:t>8</w:t>
            </w:r>
          </w:p>
        </w:tc>
      </w:tr>
      <w:tr w:rsidR="00505245" w:rsidRPr="008351E8" w14:paraId="090B17A4" w14:textId="77777777" w:rsidTr="00505245">
        <w:trPr>
          <w:cantSplit/>
          <w:trHeight w:val="317"/>
        </w:trPr>
        <w:tc>
          <w:tcPr>
            <w:tcW w:w="2598" w:type="pct"/>
            <w:tcBorders>
              <w:top w:val="single" w:sz="12" w:space="0" w:color="auto"/>
              <w:left w:val="single" w:sz="12" w:space="0" w:color="auto"/>
              <w:bottom w:val="single" w:sz="12" w:space="0" w:color="auto"/>
              <w:right w:val="nil"/>
            </w:tcBorders>
            <w:noWrap/>
            <w:vAlign w:val="center"/>
            <w:hideMark/>
          </w:tcPr>
          <w:p w14:paraId="4CB9AA2D" w14:textId="77777777" w:rsidR="00505245" w:rsidRPr="008351E8" w:rsidRDefault="00505245" w:rsidP="00505245">
            <w:pPr>
              <w:spacing w:before="20" w:after="20" w:line="264" w:lineRule="auto"/>
              <w:contextualSpacing/>
              <w:rPr>
                <w:b/>
                <w:bCs/>
                <w:color w:val="000000"/>
              </w:rPr>
            </w:pPr>
            <w:r w:rsidRPr="008351E8">
              <w:rPr>
                <w:b/>
                <w:bCs/>
                <w:color w:val="000000"/>
              </w:rPr>
              <w:t xml:space="preserve">TOTAL, Average Annual Ongoing Unit Cost per Firm </w:t>
            </w:r>
            <w:r w:rsidRPr="008351E8">
              <w:rPr>
                <w:b/>
                <w:bCs/>
                <w:color w:val="000000"/>
                <w:vertAlign w:val="superscript"/>
              </w:rPr>
              <w:t>5</w:t>
            </w:r>
          </w:p>
        </w:tc>
        <w:tc>
          <w:tcPr>
            <w:tcW w:w="441" w:type="pct"/>
            <w:tcBorders>
              <w:top w:val="single" w:sz="12" w:space="0" w:color="auto"/>
              <w:left w:val="nil"/>
              <w:bottom w:val="single" w:sz="12" w:space="0" w:color="auto"/>
              <w:right w:val="nil"/>
            </w:tcBorders>
            <w:noWrap/>
            <w:hideMark/>
          </w:tcPr>
          <w:p w14:paraId="09C256BE" w14:textId="77777777" w:rsidR="00505245" w:rsidRPr="008351E8" w:rsidRDefault="00505245" w:rsidP="00505245">
            <w:pPr>
              <w:spacing w:before="20" w:after="20" w:line="264" w:lineRule="auto"/>
              <w:contextualSpacing/>
              <w:rPr>
                <w:color w:val="000000"/>
              </w:rPr>
            </w:pPr>
            <w:r w:rsidRPr="008351E8">
              <w:rPr>
                <w:color w:val="000000"/>
              </w:rPr>
              <w:t> </w:t>
            </w:r>
          </w:p>
        </w:tc>
        <w:tc>
          <w:tcPr>
            <w:tcW w:w="474" w:type="pct"/>
            <w:tcBorders>
              <w:top w:val="single" w:sz="12" w:space="0" w:color="auto"/>
              <w:left w:val="nil"/>
              <w:bottom w:val="single" w:sz="12" w:space="0" w:color="auto"/>
              <w:right w:val="nil"/>
            </w:tcBorders>
            <w:noWrap/>
            <w:vAlign w:val="center"/>
            <w:hideMark/>
          </w:tcPr>
          <w:p w14:paraId="7F867B0E" w14:textId="77777777" w:rsidR="00505245" w:rsidRPr="008351E8" w:rsidRDefault="00505245" w:rsidP="00505245">
            <w:pPr>
              <w:spacing w:before="20" w:after="20" w:line="264" w:lineRule="auto"/>
              <w:contextualSpacing/>
              <w:jc w:val="right"/>
              <w:rPr>
                <w:color w:val="000000"/>
              </w:rPr>
            </w:pPr>
            <w:r w:rsidRPr="008351E8">
              <w:rPr>
                <w:color w:val="000000"/>
              </w:rPr>
              <w:t> </w:t>
            </w:r>
          </w:p>
        </w:tc>
        <w:tc>
          <w:tcPr>
            <w:tcW w:w="474" w:type="pct"/>
            <w:tcBorders>
              <w:top w:val="single" w:sz="12" w:space="0" w:color="auto"/>
              <w:left w:val="nil"/>
              <w:bottom w:val="single" w:sz="12" w:space="0" w:color="auto"/>
              <w:right w:val="nil"/>
            </w:tcBorders>
            <w:noWrap/>
            <w:vAlign w:val="center"/>
            <w:hideMark/>
          </w:tcPr>
          <w:p w14:paraId="652BC597" w14:textId="77777777" w:rsidR="00505245" w:rsidRPr="008351E8" w:rsidRDefault="00505245" w:rsidP="00505245">
            <w:pPr>
              <w:spacing w:before="20" w:after="20" w:line="264" w:lineRule="auto"/>
              <w:contextualSpacing/>
              <w:jc w:val="right"/>
              <w:rPr>
                <w:color w:val="000000"/>
              </w:rPr>
            </w:pPr>
            <w:r w:rsidRPr="008351E8">
              <w:rPr>
                <w:color w:val="000000"/>
              </w:rPr>
              <w:t> </w:t>
            </w:r>
          </w:p>
        </w:tc>
        <w:tc>
          <w:tcPr>
            <w:tcW w:w="475" w:type="pct"/>
            <w:tcBorders>
              <w:top w:val="single" w:sz="12" w:space="0" w:color="auto"/>
              <w:left w:val="nil"/>
              <w:bottom w:val="single" w:sz="12" w:space="0" w:color="auto"/>
              <w:right w:val="nil"/>
            </w:tcBorders>
            <w:noWrap/>
            <w:vAlign w:val="center"/>
            <w:hideMark/>
          </w:tcPr>
          <w:p w14:paraId="5B481549" w14:textId="77777777" w:rsidR="00505245" w:rsidRPr="008351E8" w:rsidRDefault="00505245" w:rsidP="00505245">
            <w:pPr>
              <w:spacing w:before="20" w:after="20" w:line="264" w:lineRule="auto"/>
              <w:contextualSpacing/>
              <w:jc w:val="right"/>
              <w:rPr>
                <w:color w:val="000000"/>
              </w:rPr>
            </w:pPr>
            <w:r w:rsidRPr="008351E8">
              <w:rPr>
                <w:color w:val="000000"/>
              </w:rPr>
              <w:t> </w:t>
            </w:r>
          </w:p>
        </w:tc>
        <w:tc>
          <w:tcPr>
            <w:tcW w:w="538" w:type="pct"/>
            <w:tcBorders>
              <w:top w:val="single" w:sz="12" w:space="0" w:color="auto"/>
              <w:left w:val="nil"/>
              <w:bottom w:val="single" w:sz="12" w:space="0" w:color="auto"/>
              <w:right w:val="single" w:sz="12" w:space="0" w:color="auto"/>
            </w:tcBorders>
            <w:shd w:val="clear" w:color="auto" w:fill="BFBFBF" w:themeFill="background1" w:themeFillShade="BF"/>
            <w:noWrap/>
            <w:vAlign w:val="center"/>
            <w:hideMark/>
          </w:tcPr>
          <w:p w14:paraId="77656CC7" w14:textId="77777777" w:rsidR="00505245" w:rsidRPr="008351E8" w:rsidRDefault="00505245" w:rsidP="00505245">
            <w:pPr>
              <w:spacing w:before="20" w:after="20" w:line="264" w:lineRule="auto"/>
              <w:ind w:firstLineChars="100" w:firstLine="201"/>
              <w:contextualSpacing/>
              <w:jc w:val="right"/>
              <w:rPr>
                <w:b/>
                <w:bCs/>
                <w:color w:val="000000"/>
              </w:rPr>
            </w:pPr>
            <w:r w:rsidRPr="008351E8">
              <w:rPr>
                <w:b/>
                <w:bCs/>
                <w:color w:val="000000"/>
              </w:rPr>
              <w:t>$</w:t>
            </w:r>
            <w:r>
              <w:rPr>
                <w:b/>
                <w:bCs/>
                <w:color w:val="000000"/>
              </w:rPr>
              <w:t>888.91</w:t>
            </w:r>
          </w:p>
        </w:tc>
      </w:tr>
    </w:tbl>
    <w:tbl>
      <w:tblPr>
        <w:tblW w:w="4871" w:type="pct"/>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14239"/>
      </w:tblGrid>
      <w:tr w:rsidR="00505245" w:rsidRPr="003071D3" w14:paraId="7289081E" w14:textId="77777777" w:rsidTr="00505245">
        <w:trPr>
          <w:trHeight w:val="144"/>
        </w:trPr>
        <w:tc>
          <w:tcPr>
            <w:tcW w:w="5000" w:type="pct"/>
            <w:tcBorders>
              <w:top w:val="single" w:sz="12" w:space="0" w:color="auto"/>
              <w:bottom w:val="nil"/>
            </w:tcBorders>
            <w:noWrap/>
            <w:vAlign w:val="center"/>
          </w:tcPr>
          <w:p w14:paraId="0996A01C" w14:textId="77777777" w:rsidR="00505245" w:rsidRPr="00BA0423" w:rsidRDefault="00505245" w:rsidP="00505245">
            <w:pPr>
              <w:keepNext/>
              <w:pageBreakBefore/>
              <w:spacing w:before="20" w:after="20" w:line="264" w:lineRule="auto"/>
              <w:contextualSpacing/>
              <w:rPr>
                <w:rFonts w:ascii="Times New Roman" w:hAnsi="Times New Roman" w:cs="Times New Roman"/>
                <w:b/>
                <w:color w:val="000000"/>
                <w:sz w:val="18"/>
                <w:szCs w:val="18"/>
              </w:rPr>
            </w:pPr>
            <w:r w:rsidRPr="00BA0423">
              <w:rPr>
                <w:rFonts w:ascii="Times New Roman" w:hAnsi="Times New Roman" w:cs="Times New Roman"/>
                <w:b/>
                <w:color w:val="000000"/>
                <w:sz w:val="18"/>
                <w:szCs w:val="18"/>
              </w:rPr>
              <w:t>General Note</w:t>
            </w:r>
          </w:p>
        </w:tc>
      </w:tr>
      <w:tr w:rsidR="00505245" w:rsidRPr="003071D3" w14:paraId="188330AE" w14:textId="77777777" w:rsidTr="00505245">
        <w:trPr>
          <w:trHeight w:val="144"/>
        </w:trPr>
        <w:tc>
          <w:tcPr>
            <w:tcW w:w="5000" w:type="pct"/>
            <w:tcBorders>
              <w:top w:val="nil"/>
            </w:tcBorders>
            <w:noWrap/>
            <w:vAlign w:val="center"/>
          </w:tcPr>
          <w:p w14:paraId="0E095EB6" w14:textId="77777777" w:rsidR="00505245" w:rsidRPr="00BA0423" w:rsidRDefault="00505245" w:rsidP="00505245">
            <w:pPr>
              <w:keepNext/>
              <w:ind w:left="90"/>
              <w:rPr>
                <w:rFonts w:ascii="Times New Roman" w:hAnsi="Times New Roman" w:cs="Times New Roman"/>
                <w:color w:val="000000"/>
                <w:sz w:val="18"/>
                <w:szCs w:val="18"/>
              </w:rPr>
            </w:pPr>
            <w:r w:rsidRPr="00BA0423">
              <w:rPr>
                <w:rFonts w:ascii="Times New Roman" w:hAnsi="Times New Roman" w:cs="Times New Roman"/>
                <w:bCs/>
                <w:color w:val="000000"/>
                <w:sz w:val="18"/>
                <w:szCs w:val="16"/>
              </w:rPr>
              <w:t>Sources for Unit Burden estimates are drawn from various Economic Analyses and ICR Supporting Statements. Additionally</w:t>
            </w:r>
            <w:r>
              <w:rPr>
                <w:rFonts w:ascii="Times New Roman" w:hAnsi="Times New Roman" w:cs="Times New Roman"/>
                <w:bCs/>
                <w:color w:val="000000"/>
                <w:sz w:val="18"/>
                <w:szCs w:val="16"/>
              </w:rPr>
              <w:t>,</w:t>
            </w:r>
            <w:r w:rsidRPr="00BA0423">
              <w:rPr>
                <w:rFonts w:ascii="Times New Roman" w:hAnsi="Times New Roman" w:cs="Times New Roman"/>
                <w:bCs/>
                <w:color w:val="000000"/>
                <w:sz w:val="18"/>
                <w:szCs w:val="16"/>
              </w:rPr>
              <w:t xml:space="preserve"> Agency BPJ was employed to finalize results</w:t>
            </w:r>
            <w:r>
              <w:rPr>
                <w:rFonts w:ascii="Times New Roman" w:hAnsi="Times New Roman" w:cs="Times New Roman"/>
                <w:bCs/>
                <w:color w:val="000000"/>
                <w:sz w:val="18"/>
                <w:szCs w:val="16"/>
              </w:rPr>
              <w:t xml:space="preserve">. For further detail, see Section 4.6 of </w:t>
            </w:r>
            <w:r w:rsidRPr="006E23EB">
              <w:rPr>
                <w:rFonts w:ascii="Times New Roman" w:hAnsi="Times New Roman" w:cs="Times New Roman"/>
                <w:bCs/>
                <w:i/>
                <w:color w:val="000000"/>
                <w:sz w:val="18"/>
                <w:szCs w:val="16"/>
              </w:rPr>
              <w:t xml:space="preserve">Burden and Cost Report for the </w:t>
            </w:r>
            <w:r>
              <w:rPr>
                <w:rFonts w:ascii="Times New Roman" w:hAnsi="Times New Roman" w:cs="Times New Roman"/>
                <w:bCs/>
                <w:i/>
                <w:color w:val="000000"/>
                <w:sz w:val="18"/>
                <w:szCs w:val="16"/>
              </w:rPr>
              <w:t>Final</w:t>
            </w:r>
            <w:r w:rsidRPr="006E23EB">
              <w:rPr>
                <w:rFonts w:ascii="Times New Roman" w:hAnsi="Times New Roman" w:cs="Times New Roman"/>
                <w:bCs/>
                <w:i/>
                <w:color w:val="000000"/>
                <w:sz w:val="18"/>
                <w:szCs w:val="16"/>
              </w:rPr>
              <w:t xml:space="preserve"> Rule: TSCA Inventory Notification Requirements</w:t>
            </w:r>
            <w:r>
              <w:rPr>
                <w:rFonts w:ascii="Times New Roman" w:hAnsi="Times New Roman" w:cs="Times New Roman"/>
                <w:bCs/>
                <w:i/>
                <w:color w:val="000000"/>
                <w:sz w:val="18"/>
                <w:szCs w:val="16"/>
              </w:rPr>
              <w:t xml:space="preserve"> </w:t>
            </w:r>
            <w:r>
              <w:rPr>
                <w:rFonts w:ascii="Times New Roman" w:hAnsi="Times New Roman" w:cs="Times New Roman"/>
                <w:bCs/>
                <w:i/>
                <w:color w:val="000000"/>
                <w:sz w:val="18"/>
                <w:szCs w:val="16"/>
              </w:rPr>
              <w:fldChar w:fldCharType="begin"/>
            </w:r>
            <w:r>
              <w:rPr>
                <w:rFonts w:ascii="Times New Roman" w:hAnsi="Times New Roman" w:cs="Times New Roman"/>
                <w:bCs/>
                <w:i/>
                <w:color w:val="000000"/>
                <w:sz w:val="18"/>
                <w:szCs w:val="16"/>
              </w:rPr>
              <w:instrText xml:space="preserve"> ADDIN ZOTERO_ITEM CSL_CITATION {"citationID":"af88rvtv46","properties":{"formattedCitation":"(EPA,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i/>
                <w:color w:val="000000"/>
                <w:sz w:val="18"/>
                <w:szCs w:val="16"/>
              </w:rPr>
              <w:fldChar w:fldCharType="separate"/>
            </w:r>
            <w:r w:rsidRPr="00D16D9B">
              <w:rPr>
                <w:rFonts w:ascii="Times New Roman" w:hAnsi="Times New Roman" w:cs="Times New Roman"/>
                <w:sz w:val="18"/>
              </w:rPr>
              <w:t>(EPA, 2017)</w:t>
            </w:r>
            <w:r>
              <w:rPr>
                <w:rFonts w:ascii="Times New Roman" w:hAnsi="Times New Roman" w:cs="Times New Roman"/>
                <w:bCs/>
                <w:i/>
                <w:color w:val="000000"/>
                <w:sz w:val="18"/>
                <w:szCs w:val="16"/>
              </w:rPr>
              <w:fldChar w:fldCharType="end"/>
            </w:r>
            <w:r>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w:t>
            </w:r>
          </w:p>
        </w:tc>
      </w:tr>
      <w:tr w:rsidR="00505245" w:rsidRPr="008D65A5" w14:paraId="2439E24A" w14:textId="77777777" w:rsidTr="00505245">
        <w:trPr>
          <w:trHeight w:val="144"/>
        </w:trPr>
        <w:tc>
          <w:tcPr>
            <w:tcW w:w="5000" w:type="pct"/>
            <w:noWrap/>
            <w:vAlign w:val="center"/>
          </w:tcPr>
          <w:p w14:paraId="7BEF3E67" w14:textId="77777777" w:rsidR="00505245" w:rsidRPr="00BA0423" w:rsidRDefault="00505245" w:rsidP="00505245">
            <w:pPr>
              <w:rPr>
                <w:rFonts w:ascii="Times New Roman" w:hAnsi="Times New Roman" w:cs="Times New Roman"/>
                <w:b/>
                <w:color w:val="000000"/>
                <w:sz w:val="18"/>
                <w:szCs w:val="18"/>
              </w:rPr>
            </w:pPr>
            <w:r w:rsidRPr="00BA0423">
              <w:rPr>
                <w:rFonts w:ascii="Times New Roman" w:hAnsi="Times New Roman" w:cs="Times New Roman"/>
                <w:b/>
                <w:color w:val="000000"/>
                <w:sz w:val="18"/>
                <w:szCs w:val="18"/>
              </w:rPr>
              <w:t>Footnotes</w:t>
            </w:r>
          </w:p>
        </w:tc>
      </w:tr>
      <w:tr w:rsidR="00505245" w:rsidRPr="003071D3" w14:paraId="4B59F1CB" w14:textId="77777777" w:rsidTr="00505245">
        <w:trPr>
          <w:trHeight w:val="144"/>
        </w:trPr>
        <w:tc>
          <w:tcPr>
            <w:tcW w:w="5000" w:type="pct"/>
            <w:noWrap/>
            <w:vAlign w:val="center"/>
          </w:tcPr>
          <w:p w14:paraId="5BAB07E0" w14:textId="77777777" w:rsidR="00505245" w:rsidRPr="00BA0423" w:rsidRDefault="00505245" w:rsidP="00505245">
            <w:pPr>
              <w:ind w:left="90" w:hanging="90"/>
              <w:rPr>
                <w:rFonts w:ascii="Times New Roman" w:hAnsi="Times New Roman" w:cs="Times New Roman"/>
                <w:color w:val="000000"/>
                <w:sz w:val="18"/>
                <w:szCs w:val="18"/>
              </w:rPr>
            </w:pPr>
            <w:r w:rsidRPr="00BA0423">
              <w:rPr>
                <w:rFonts w:ascii="Times New Roman" w:hAnsi="Times New Roman" w:cs="Times New Roman"/>
                <w:bCs/>
                <w:color w:val="000000"/>
                <w:sz w:val="18"/>
                <w:szCs w:val="16"/>
                <w:vertAlign w:val="superscript"/>
              </w:rPr>
              <w:t>1</w:t>
            </w:r>
            <w:r w:rsidRPr="00BA0423">
              <w:rPr>
                <w:rFonts w:ascii="Times New Roman" w:hAnsi="Times New Roman" w:cs="Times New Roman"/>
                <w:bCs/>
                <w:color w:val="000000"/>
                <w:sz w:val="18"/>
                <w:szCs w:val="16"/>
              </w:rPr>
              <w:t xml:space="preserve"> New CDX registrations and e-signatures are expected due to: (1) firms that have not had experience with CDX, and (2) personnel turnover in firms that have experience with CDX.</w:t>
            </w:r>
          </w:p>
        </w:tc>
      </w:tr>
      <w:tr w:rsidR="00505245" w:rsidRPr="008D65A5" w14:paraId="460C1182" w14:textId="77777777" w:rsidTr="00505245">
        <w:trPr>
          <w:trHeight w:val="144"/>
        </w:trPr>
        <w:tc>
          <w:tcPr>
            <w:tcW w:w="5000" w:type="pct"/>
            <w:noWrap/>
            <w:vAlign w:val="center"/>
          </w:tcPr>
          <w:p w14:paraId="549DD548" w14:textId="77777777" w:rsidR="00505245" w:rsidRPr="00BA0423" w:rsidRDefault="00505245" w:rsidP="00505245">
            <w:pPr>
              <w:ind w:left="90" w:hanging="90"/>
              <w:rPr>
                <w:rFonts w:ascii="Times New Roman" w:hAnsi="Times New Roman" w:cs="Times New Roman"/>
                <w:bCs/>
                <w:color w:val="000000"/>
                <w:sz w:val="18"/>
                <w:szCs w:val="16"/>
              </w:rPr>
            </w:pPr>
            <w:r w:rsidRPr="00BA0423">
              <w:rPr>
                <w:rFonts w:ascii="Times New Roman" w:hAnsi="Times New Roman" w:cs="Times New Roman"/>
                <w:bCs/>
                <w:color w:val="000000"/>
                <w:sz w:val="18"/>
                <w:szCs w:val="16"/>
                <w:vertAlign w:val="superscript"/>
              </w:rPr>
              <w:t xml:space="preserve">2 </w:t>
            </w:r>
            <w:r w:rsidRPr="00BA0423">
              <w:rPr>
                <w:rFonts w:ascii="Times New Roman" w:hAnsi="Times New Roman" w:cs="Times New Roman"/>
                <w:bCs/>
                <w:color w:val="000000"/>
                <w:sz w:val="18"/>
                <w:szCs w:val="16"/>
              </w:rPr>
              <w:t xml:space="preserve">The composite of </w:t>
            </w:r>
            <w:r>
              <w:rPr>
                <w:rFonts w:ascii="Times New Roman" w:hAnsi="Times New Roman" w:cs="Times New Roman"/>
                <w:bCs/>
                <w:color w:val="000000"/>
                <w:sz w:val="18"/>
                <w:szCs w:val="16"/>
              </w:rPr>
              <w:t>0</w:t>
            </w:r>
            <w:r w:rsidRPr="00BA0423">
              <w:rPr>
                <w:rFonts w:ascii="Times New Roman" w:hAnsi="Times New Roman" w:cs="Times New Roman"/>
                <w:bCs/>
                <w:color w:val="000000"/>
                <w:sz w:val="18"/>
                <w:szCs w:val="16"/>
              </w:rPr>
              <w:t xml:space="preserve">.083 hours, or about 5 minutes reported here is the result of that assessment that providing CBI chemical identity and chemical name (accession number plus generic name) requires 0.083 hours, and that providing non-CBI chemical identity and chemical name (CASRN and TSCA Inventory name) requires 0.083 hours. See Appendix B for further detail and reference. Also note that about </w:t>
            </w:r>
            <w:r>
              <w:rPr>
                <w:rFonts w:ascii="Times New Roman" w:hAnsi="Times New Roman" w:cs="Times New Roman"/>
                <w:bCs/>
                <w:color w:val="000000"/>
                <w:sz w:val="18"/>
                <w:szCs w:val="16"/>
              </w:rPr>
              <w:t>5</w:t>
            </w:r>
            <w:r w:rsidRPr="00BA0423">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p>
        </w:tc>
      </w:tr>
      <w:tr w:rsidR="00505245" w:rsidRPr="008D65A5" w14:paraId="5145DE71" w14:textId="77777777" w:rsidTr="00505245">
        <w:trPr>
          <w:trHeight w:val="144"/>
        </w:trPr>
        <w:tc>
          <w:tcPr>
            <w:tcW w:w="5000" w:type="pct"/>
            <w:noWrap/>
            <w:vAlign w:val="center"/>
          </w:tcPr>
          <w:p w14:paraId="580886B6" w14:textId="77777777" w:rsidR="00505245" w:rsidRPr="00BA0423" w:rsidRDefault="00505245" w:rsidP="00505245">
            <w:pPr>
              <w:ind w:left="90" w:hanging="90"/>
              <w:rPr>
                <w:rFonts w:ascii="Times New Roman" w:hAnsi="Times New Roman" w:cs="Times New Roman"/>
                <w:bCs/>
                <w:color w:val="000000"/>
                <w:sz w:val="18"/>
                <w:szCs w:val="16"/>
              </w:rPr>
            </w:pPr>
            <w:r w:rsidRPr="00BA0423">
              <w:rPr>
                <w:rFonts w:ascii="Times New Roman" w:hAnsi="Times New Roman" w:cs="Times New Roman"/>
                <w:bCs/>
                <w:color w:val="000000"/>
                <w:sz w:val="18"/>
                <w:szCs w:val="16"/>
                <w:vertAlign w:val="superscript"/>
              </w:rPr>
              <w:t xml:space="preserve">3 </w:t>
            </w:r>
            <w:r w:rsidRPr="00BA0423">
              <w:rPr>
                <w:rFonts w:ascii="Times New Roman" w:hAnsi="Times New Roman" w:cs="Times New Roman"/>
                <w:bCs/>
                <w:color w:val="000000"/>
                <w:sz w:val="18"/>
                <w:szCs w:val="16"/>
              </w:rPr>
              <w:t xml:space="preserve">This unit burden is assumed to apply to only </w:t>
            </w:r>
            <w:r>
              <w:rPr>
                <w:rFonts w:ascii="Times New Roman" w:hAnsi="Times New Roman" w:cs="Times New Roman"/>
                <w:bCs/>
                <w:color w:val="000000"/>
                <w:sz w:val="18"/>
                <w:szCs w:val="16"/>
              </w:rPr>
              <w:t>5</w:t>
            </w:r>
            <w:r w:rsidRPr="00BA0423">
              <w:rPr>
                <w:rFonts w:ascii="Times New Roman" w:hAnsi="Times New Roman" w:cs="Times New Roman"/>
                <w:bCs/>
                <w:color w:val="000000"/>
                <w:sz w:val="18"/>
                <w:szCs w:val="16"/>
              </w:rPr>
              <w:t xml:space="preserve">% of submissions, given that </w:t>
            </w:r>
            <w:r>
              <w:rPr>
                <w:rFonts w:ascii="Times New Roman" w:hAnsi="Times New Roman" w:cs="Times New Roman"/>
                <w:bCs/>
                <w:color w:val="000000"/>
                <w:sz w:val="18"/>
                <w:szCs w:val="16"/>
              </w:rPr>
              <w:t>5</w:t>
            </w:r>
            <w:r w:rsidRPr="00BA0423">
              <w:rPr>
                <w:rFonts w:ascii="Times New Roman" w:hAnsi="Times New Roman" w:cs="Times New Roman"/>
                <w:bCs/>
                <w:color w:val="000000"/>
                <w:sz w:val="18"/>
                <w:szCs w:val="16"/>
              </w:rPr>
              <w:t xml:space="preserve">% of CDR chemicals are reported as having CBI chemical identities. Therefore the value shown in the table reflects </w:t>
            </w:r>
            <w:r>
              <w:rPr>
                <w:rFonts w:ascii="Times New Roman" w:hAnsi="Times New Roman" w:cs="Times New Roman"/>
                <w:bCs/>
                <w:color w:val="000000"/>
                <w:sz w:val="18"/>
                <w:szCs w:val="16"/>
              </w:rPr>
              <w:t>5</w:t>
            </w:r>
            <w:r w:rsidRPr="00BA0423">
              <w:rPr>
                <w:rFonts w:ascii="Times New Roman" w:hAnsi="Times New Roman" w:cs="Times New Roman"/>
                <w:bCs/>
                <w:color w:val="000000"/>
                <w:sz w:val="18"/>
                <w:szCs w:val="16"/>
              </w:rPr>
              <w:t xml:space="preserve">% of the </w:t>
            </w:r>
            <w:r>
              <w:rPr>
                <w:rFonts w:ascii="Times New Roman" w:hAnsi="Times New Roman" w:cs="Times New Roman"/>
                <w:bCs/>
                <w:color w:val="000000"/>
                <w:sz w:val="18"/>
                <w:szCs w:val="16"/>
              </w:rPr>
              <w:t xml:space="preserve">full </w:t>
            </w:r>
            <w:r w:rsidRPr="00BA0423">
              <w:rPr>
                <w:rFonts w:ascii="Times New Roman" w:hAnsi="Times New Roman" w:cs="Times New Roman"/>
                <w:bCs/>
                <w:color w:val="000000"/>
                <w:sz w:val="18"/>
                <w:szCs w:val="16"/>
              </w:rPr>
              <w:t xml:space="preserve">value associated with the unit burden per chemical reported </w:t>
            </w:r>
            <w:r>
              <w:rPr>
                <w:rFonts w:ascii="Times New Roman" w:hAnsi="Times New Roman" w:cs="Times New Roman"/>
                <w:bCs/>
                <w:color w:val="000000"/>
                <w:sz w:val="18"/>
                <w:szCs w:val="16"/>
              </w:rPr>
              <w:t xml:space="preserve">in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1C794A">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r w:rsidRPr="00BA0423">
              <w:rPr>
                <w:rFonts w:ascii="Times New Roman" w:hAnsi="Times New Roman" w:cs="Times New Roman"/>
                <w:bCs/>
                <w:color w:val="000000"/>
                <w:sz w:val="18"/>
                <w:szCs w:val="16"/>
              </w:rPr>
              <w:t xml:space="preserve">at </w:t>
            </w:r>
            <w:r>
              <w:rPr>
                <w:rFonts w:ascii="Times New Roman" w:hAnsi="Times New Roman" w:cs="Times New Roman"/>
                <w:bCs/>
                <w:color w:val="000000"/>
                <w:sz w:val="18"/>
                <w:szCs w:val="16"/>
              </w:rPr>
              <w:t>0.</w:t>
            </w:r>
            <w:r w:rsidRPr="00BA0423">
              <w:rPr>
                <w:rFonts w:ascii="Times New Roman" w:hAnsi="Times New Roman" w:cs="Times New Roman"/>
                <w:bCs/>
                <w:color w:val="000000"/>
                <w:sz w:val="18"/>
                <w:szCs w:val="16"/>
              </w:rPr>
              <w:t>0</w:t>
            </w:r>
            <w:r>
              <w:rPr>
                <w:rFonts w:ascii="Times New Roman" w:hAnsi="Times New Roman" w:cs="Times New Roman"/>
                <w:bCs/>
                <w:color w:val="000000"/>
                <w:sz w:val="18"/>
                <w:szCs w:val="16"/>
              </w:rPr>
              <w:t>39</w:t>
            </w:r>
            <w:r w:rsidRPr="00BA0423">
              <w:rPr>
                <w:rFonts w:ascii="Times New Roman" w:hAnsi="Times New Roman" w:cs="Times New Roman"/>
                <w:bCs/>
                <w:color w:val="000000"/>
                <w:sz w:val="18"/>
                <w:szCs w:val="16"/>
              </w:rPr>
              <w:t xml:space="preserve"> hours of technical labor; 0.0</w:t>
            </w:r>
            <w:r>
              <w:rPr>
                <w:rFonts w:ascii="Times New Roman" w:hAnsi="Times New Roman" w:cs="Times New Roman"/>
                <w:bCs/>
                <w:color w:val="000000"/>
                <w:sz w:val="18"/>
                <w:szCs w:val="16"/>
              </w:rPr>
              <w:t>19</w:t>
            </w:r>
            <w:r w:rsidRPr="00BA0423">
              <w:rPr>
                <w:rFonts w:ascii="Times New Roman" w:hAnsi="Times New Roman" w:cs="Times New Roman"/>
                <w:bCs/>
                <w:color w:val="000000"/>
                <w:sz w:val="18"/>
                <w:szCs w:val="16"/>
              </w:rPr>
              <w:t xml:space="preserve"> hours of managerial labor. </w:t>
            </w:r>
          </w:p>
          <w:p w14:paraId="5A24CFD4" w14:textId="77777777" w:rsidR="00505245" w:rsidRPr="00BA0423" w:rsidRDefault="00505245" w:rsidP="00505245">
            <w:pPr>
              <w:ind w:left="90" w:hanging="90"/>
              <w:rPr>
                <w:rFonts w:ascii="Times New Roman" w:hAnsi="Times New Roman" w:cs="Times New Roman"/>
                <w:bCs/>
                <w:color w:val="000000"/>
                <w:sz w:val="18"/>
                <w:szCs w:val="16"/>
              </w:rPr>
            </w:pPr>
            <w:r w:rsidRPr="00BA0423">
              <w:rPr>
                <w:rFonts w:ascii="Times New Roman" w:hAnsi="Times New Roman" w:cs="Times New Roman"/>
                <w:bCs/>
                <w:color w:val="000000"/>
                <w:sz w:val="18"/>
                <w:szCs w:val="16"/>
                <w:vertAlign w:val="superscript"/>
              </w:rPr>
              <w:t>4</w:t>
            </w:r>
            <w:r w:rsidRPr="00BA0423">
              <w:rPr>
                <w:rFonts w:ascii="Times New Roman" w:hAnsi="Times New Roman" w:cs="Times New Roman"/>
                <w:bCs/>
                <w:color w:val="000000"/>
                <w:sz w:val="18"/>
                <w:szCs w:val="16"/>
              </w:rPr>
              <w:t xml:space="preserve"> This unit burden is assumed to apply to </w:t>
            </w:r>
            <w:r>
              <w:rPr>
                <w:rFonts w:ascii="Times New Roman" w:hAnsi="Times New Roman" w:cs="Times New Roman"/>
                <w:bCs/>
                <w:color w:val="000000"/>
                <w:sz w:val="18"/>
                <w:szCs w:val="16"/>
              </w:rPr>
              <w:t>33</w:t>
            </w:r>
            <w:r w:rsidRPr="00BA0423">
              <w:rPr>
                <w:rFonts w:ascii="Times New Roman" w:hAnsi="Times New Roman" w:cs="Times New Roman"/>
                <w:bCs/>
                <w:color w:val="000000"/>
                <w:sz w:val="18"/>
                <w:szCs w:val="16"/>
              </w:rPr>
              <w:t xml:space="preserve">% of submissions, </w:t>
            </w:r>
            <w:r w:rsidRPr="00383B88">
              <w:rPr>
                <w:rFonts w:ascii="Times New Roman" w:hAnsi="Times New Roman" w:cs="Times New Roman"/>
                <w:bCs/>
                <w:color w:val="000000"/>
                <w:sz w:val="18"/>
                <w:szCs w:val="16"/>
              </w:rPr>
              <w:t>given that that 33% of CDR chemicals have CBI non</w:t>
            </w:r>
            <w:r>
              <w:rPr>
                <w:rFonts w:ascii="Times New Roman" w:hAnsi="Times New Roman" w:cs="Times New Roman"/>
                <w:bCs/>
                <w:color w:val="000000"/>
                <w:sz w:val="18"/>
                <w:szCs w:val="16"/>
              </w:rPr>
              <w:t>-c</w:t>
            </w:r>
            <w:r w:rsidRPr="00383B88">
              <w:rPr>
                <w:rFonts w:ascii="Times New Roman" w:hAnsi="Times New Roman" w:cs="Times New Roman"/>
                <w:bCs/>
                <w:color w:val="000000"/>
                <w:sz w:val="18"/>
                <w:szCs w:val="16"/>
              </w:rPr>
              <w:t xml:space="preserve">hemID data elements throughout the Form U. Specifically, the same incidence rate is assumed in this analysis </w:t>
            </w:r>
            <w:r w:rsidRPr="00BA0423">
              <w:rPr>
                <w:rFonts w:ascii="Times New Roman" w:hAnsi="Times New Roman" w:cs="Times New Roman"/>
                <w:bCs/>
                <w:color w:val="000000"/>
                <w:sz w:val="18"/>
                <w:szCs w:val="16"/>
              </w:rPr>
              <w:t xml:space="preserve">for submissions in which the connection between the </w:t>
            </w:r>
            <w:r>
              <w:rPr>
                <w:rFonts w:ascii="Times New Roman" w:hAnsi="Times New Roman" w:cs="Times New Roman"/>
                <w:bCs/>
                <w:color w:val="000000"/>
                <w:sz w:val="18"/>
                <w:szCs w:val="16"/>
              </w:rPr>
              <w:t xml:space="preserve">non-CBI </w:t>
            </w:r>
            <w:r w:rsidRPr="00BA0423">
              <w:rPr>
                <w:rFonts w:ascii="Times New Roman" w:hAnsi="Times New Roman" w:cs="Times New Roman"/>
                <w:bCs/>
                <w:color w:val="000000"/>
                <w:sz w:val="18"/>
                <w:szCs w:val="16"/>
              </w:rPr>
              <w:t xml:space="preserve">chemical identity and the company information, etc. is claimed to be confidential. Therefore, the value shown in the table reflects </w:t>
            </w:r>
            <w:r>
              <w:rPr>
                <w:rFonts w:ascii="Times New Roman" w:hAnsi="Times New Roman" w:cs="Times New Roman"/>
                <w:bCs/>
                <w:color w:val="000000"/>
                <w:sz w:val="18"/>
                <w:szCs w:val="16"/>
              </w:rPr>
              <w:t>33</w:t>
            </w:r>
            <w:r w:rsidRPr="00BA0423">
              <w:rPr>
                <w:rFonts w:ascii="Times New Roman" w:hAnsi="Times New Roman" w:cs="Times New Roman"/>
                <w:bCs/>
                <w:color w:val="000000"/>
                <w:sz w:val="18"/>
                <w:szCs w:val="16"/>
              </w:rPr>
              <w:t xml:space="preserve">% of the </w:t>
            </w:r>
            <w:r>
              <w:rPr>
                <w:rFonts w:ascii="Times New Roman" w:hAnsi="Times New Roman" w:cs="Times New Roman"/>
                <w:bCs/>
                <w:color w:val="000000"/>
                <w:sz w:val="18"/>
                <w:szCs w:val="16"/>
              </w:rPr>
              <w:t xml:space="preserve">full </w:t>
            </w:r>
            <w:r w:rsidRPr="00BA0423">
              <w:rPr>
                <w:rFonts w:ascii="Times New Roman" w:hAnsi="Times New Roman" w:cs="Times New Roman"/>
                <w:bCs/>
                <w:color w:val="000000"/>
                <w:sz w:val="18"/>
                <w:szCs w:val="16"/>
              </w:rPr>
              <w:t>value associated with the unit burden per chemical reported in</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1C794A">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sidRPr="00BA0423">
              <w:rPr>
                <w:rFonts w:ascii="Times New Roman" w:hAnsi="Times New Roman" w:cs="Times New Roman"/>
                <w:bCs/>
                <w:color w:val="000000"/>
                <w:sz w:val="18"/>
                <w:szCs w:val="16"/>
              </w:rPr>
              <w:t xml:space="preserve"> at 0.</w:t>
            </w:r>
            <w:r>
              <w:rPr>
                <w:rFonts w:ascii="Times New Roman" w:hAnsi="Times New Roman" w:cs="Times New Roman"/>
                <w:bCs/>
                <w:color w:val="000000"/>
                <w:sz w:val="18"/>
                <w:szCs w:val="16"/>
              </w:rPr>
              <w:t xml:space="preserve">211 </w:t>
            </w:r>
            <w:r w:rsidRPr="00BA0423">
              <w:rPr>
                <w:rFonts w:ascii="Times New Roman" w:hAnsi="Times New Roman" w:cs="Times New Roman"/>
                <w:bCs/>
                <w:color w:val="000000"/>
                <w:sz w:val="18"/>
                <w:szCs w:val="16"/>
              </w:rPr>
              <w:t>hours of technical labor; 0.</w:t>
            </w:r>
            <w:r>
              <w:rPr>
                <w:rFonts w:ascii="Times New Roman" w:hAnsi="Times New Roman" w:cs="Times New Roman"/>
                <w:bCs/>
                <w:color w:val="000000"/>
                <w:sz w:val="18"/>
                <w:szCs w:val="16"/>
              </w:rPr>
              <w:t>106</w:t>
            </w:r>
            <w:r w:rsidRPr="00BA0423">
              <w:rPr>
                <w:rFonts w:ascii="Times New Roman" w:hAnsi="Times New Roman" w:cs="Times New Roman"/>
                <w:bCs/>
                <w:color w:val="000000"/>
                <w:sz w:val="18"/>
                <w:szCs w:val="16"/>
              </w:rPr>
              <w:t xml:space="preserve"> hours of managerial labor.  </w:t>
            </w:r>
          </w:p>
        </w:tc>
      </w:tr>
      <w:tr w:rsidR="00505245" w:rsidRPr="008D65A5" w14:paraId="692F7E74" w14:textId="77777777" w:rsidTr="00505245">
        <w:trPr>
          <w:trHeight w:val="144"/>
        </w:trPr>
        <w:tc>
          <w:tcPr>
            <w:tcW w:w="5000" w:type="pct"/>
            <w:noWrap/>
            <w:vAlign w:val="center"/>
          </w:tcPr>
          <w:p w14:paraId="00737A82" w14:textId="77777777" w:rsidR="00505245" w:rsidRPr="00BA0423" w:rsidRDefault="00505245" w:rsidP="00505245">
            <w:pPr>
              <w:rPr>
                <w:rFonts w:ascii="Times New Roman" w:hAnsi="Times New Roman" w:cs="Times New Roman"/>
                <w:bCs/>
                <w:color w:val="000000"/>
                <w:sz w:val="18"/>
                <w:szCs w:val="16"/>
              </w:rPr>
            </w:pPr>
            <w:r w:rsidRPr="00BA0423">
              <w:rPr>
                <w:rFonts w:ascii="Times New Roman" w:hAnsi="Times New Roman" w:cs="Times New Roman"/>
                <w:bCs/>
                <w:color w:val="000000"/>
                <w:sz w:val="18"/>
                <w:szCs w:val="16"/>
                <w:vertAlign w:val="superscript"/>
              </w:rPr>
              <w:t xml:space="preserve">5 </w:t>
            </w:r>
            <w:r w:rsidRPr="00BA0423">
              <w:rPr>
                <w:rFonts w:ascii="Times New Roman" w:hAnsi="Times New Roman" w:cs="Times New Roman"/>
                <w:color w:val="000000"/>
                <w:sz w:val="18"/>
                <w:szCs w:val="18"/>
              </w:rPr>
              <w:t xml:space="preserve">An average firm is expected to report </w:t>
            </w:r>
            <w:r>
              <w:rPr>
                <w:rFonts w:ascii="Times New Roman" w:hAnsi="Times New Roman" w:cs="Times New Roman"/>
                <w:color w:val="000000"/>
                <w:sz w:val="18"/>
                <w:szCs w:val="18"/>
              </w:rPr>
              <w:t>18</w:t>
            </w:r>
            <w:r w:rsidRPr="00BA0423">
              <w:rPr>
                <w:rFonts w:ascii="Times New Roman" w:hAnsi="Times New Roman" w:cs="Times New Roman"/>
                <w:color w:val="000000"/>
                <w:sz w:val="18"/>
                <w:szCs w:val="18"/>
              </w:rPr>
              <w:t xml:space="preserve"> chemicals per submission, as similarly observed for CDR as chemicals per </w:t>
            </w:r>
            <w:r>
              <w:rPr>
                <w:rFonts w:ascii="Times New Roman" w:hAnsi="Times New Roman" w:cs="Times New Roman"/>
                <w:color w:val="000000"/>
                <w:sz w:val="18"/>
                <w:szCs w:val="18"/>
              </w:rPr>
              <w:t>parent company</w:t>
            </w:r>
            <w:r w:rsidRPr="00BA0423">
              <w:rPr>
                <w:rFonts w:ascii="Times New Roman" w:hAnsi="Times New Roman" w:cs="Times New Roman"/>
                <w:color w:val="000000"/>
                <w:sz w:val="18"/>
                <w:szCs w:val="18"/>
              </w:rPr>
              <w:t xml:space="preserve"> reported</w:t>
            </w:r>
            <w:r>
              <w:rPr>
                <w:rFonts w:ascii="Times New Roman" w:hAnsi="Times New Roman" w:cs="Times New Roman"/>
                <w:color w:val="000000"/>
                <w:sz w:val="18"/>
                <w:szCs w:val="18"/>
              </w:rPr>
              <w:t xml:space="preserve">. </w:t>
            </w:r>
          </w:p>
        </w:tc>
      </w:tr>
    </w:tbl>
    <w:p w14:paraId="5E130EF1" w14:textId="77777777" w:rsidR="00505245" w:rsidRDefault="00505245" w:rsidP="00505245">
      <w:pPr>
        <w:sectPr w:rsidR="00505245" w:rsidSect="0082527B">
          <w:pgSz w:w="15840" w:h="12240" w:orient="landscape" w:code="1"/>
          <w:pgMar w:top="1440" w:right="720" w:bottom="1440" w:left="720" w:header="720" w:footer="720" w:gutter="0"/>
          <w:cols w:space="720"/>
          <w:docGrid w:linePitch="299"/>
        </w:sectPr>
      </w:pPr>
    </w:p>
    <w:p w14:paraId="1C3120F3" w14:textId="77777777" w:rsidR="00505245" w:rsidRDefault="00505245" w:rsidP="00505245">
      <w:pPr>
        <w:pStyle w:val="Heading1"/>
      </w:pPr>
      <w:r>
        <w:t>6(c) Estimating Agency Burden and Cost</w:t>
      </w:r>
    </w:p>
    <w:p w14:paraId="23C9C53F" w14:textId="77777777" w:rsidR="00505245" w:rsidRDefault="00505245" w:rsidP="00505245">
      <w:pPr>
        <w:autoSpaceDE w:val="0"/>
        <w:autoSpaceDN w:val="0"/>
        <w:adjustRightInd w:val="0"/>
        <w:rPr>
          <w:rFonts w:ascii="Times New Roman" w:hAnsi="Times New Roman" w:cs="Times New Roman"/>
          <w:sz w:val="24"/>
          <w:szCs w:val="24"/>
        </w:rPr>
      </w:pPr>
      <w:bookmarkStart w:id="24" w:name="_Toc241299452"/>
      <w:bookmarkStart w:id="25" w:name="_Toc258934350"/>
    </w:p>
    <w:p w14:paraId="0EA0D9DB" w14:textId="77777777" w:rsidR="00505245" w:rsidRPr="00CE0EC5" w:rsidRDefault="00505245" w:rsidP="00505245">
      <w:pPr>
        <w:autoSpaceDE w:val="0"/>
        <w:autoSpaceDN w:val="0"/>
        <w:adjustRightInd w:val="0"/>
        <w:ind w:firstLine="720"/>
        <w:rPr>
          <w:rFonts w:ascii="Times New Roman" w:hAnsi="Times New Roman" w:cs="Times New Roman"/>
          <w:sz w:val="24"/>
          <w:szCs w:val="24"/>
        </w:rPr>
      </w:pPr>
      <w:r w:rsidRPr="00CE0EC5">
        <w:rPr>
          <w:rFonts w:ascii="Times New Roman" w:hAnsi="Times New Roman" w:cs="Times New Roman"/>
          <w:sz w:val="24"/>
          <w:szCs w:val="24"/>
        </w:rPr>
        <w:t xml:space="preserve">The implementation of EPA capacity to receive and process NOAs will involve new costs in the start-up year and on an ongoing basis. </w:t>
      </w:r>
      <w:r>
        <w:rPr>
          <w:rFonts w:ascii="Times New Roman" w:hAnsi="Times New Roman" w:cs="Times New Roman"/>
          <w:sz w:val="24"/>
          <w:szCs w:val="24"/>
        </w:rPr>
        <w:t xml:space="preserve">EPA will implement </w:t>
      </w:r>
      <w:r w:rsidRPr="00CE0EC5">
        <w:rPr>
          <w:rFonts w:ascii="Times New Roman" w:hAnsi="Times New Roman" w:cs="Times New Roman"/>
          <w:sz w:val="24"/>
          <w:szCs w:val="24"/>
        </w:rPr>
        <w:t>new software and integration with CDX to facilitate form submission and processing. Additionally, the CISS database must be expanded to incorporate the new type of submission. Last, new tasks will be added to</w:t>
      </w:r>
      <w:r>
        <w:rPr>
          <w:rFonts w:ascii="Times New Roman" w:hAnsi="Times New Roman" w:cs="Times New Roman"/>
          <w:sz w:val="24"/>
          <w:szCs w:val="24"/>
        </w:rPr>
        <w:t xml:space="preserve"> manage NOA submissions and take care of</w:t>
      </w:r>
      <w:r w:rsidRPr="00CE0EC5">
        <w:rPr>
          <w:rFonts w:ascii="Times New Roman" w:hAnsi="Times New Roman" w:cs="Times New Roman"/>
          <w:sz w:val="24"/>
          <w:szCs w:val="24"/>
        </w:rPr>
        <w:t xml:space="preserve"> routine TSCA inventory maintenance.</w:t>
      </w:r>
      <w:bookmarkEnd w:id="24"/>
      <w:bookmarkEnd w:id="25"/>
      <w:r w:rsidRPr="00CE0EC5">
        <w:rPr>
          <w:rFonts w:ascii="Times New Roman" w:hAnsi="Times New Roman" w:cs="Times New Roman"/>
          <w:sz w:val="24"/>
          <w:szCs w:val="24"/>
        </w:rPr>
        <w:t xml:space="preserve">  </w:t>
      </w:r>
    </w:p>
    <w:p w14:paraId="4BD2637A" w14:textId="77777777" w:rsidR="00505245" w:rsidRDefault="00505245" w:rsidP="00505245">
      <w:pPr>
        <w:pStyle w:val="BodyText"/>
        <w:tabs>
          <w:tab w:val="left" w:pos="1180"/>
        </w:tabs>
        <w:spacing w:line="293" w:lineRule="exact"/>
        <w:ind w:left="0" w:firstLine="0"/>
        <w:rPr>
          <w:rFonts w:cs="Times New Roman"/>
        </w:rPr>
      </w:pPr>
    </w:p>
    <w:p w14:paraId="613F0CA5" w14:textId="77777777" w:rsidR="00505245" w:rsidRPr="00BC3A65" w:rsidRDefault="00505245" w:rsidP="00505245">
      <w:pPr>
        <w:pStyle w:val="BodyText"/>
        <w:tabs>
          <w:tab w:val="left" w:pos="720"/>
        </w:tabs>
        <w:spacing w:line="293" w:lineRule="exact"/>
        <w:ind w:left="0"/>
        <w:rPr>
          <w:rFonts w:cs="Times New Roman"/>
        </w:rPr>
      </w:pPr>
      <w:r>
        <w:rPr>
          <w:rFonts w:cs="Times New Roman"/>
        </w:rPr>
        <w:t>New o</w:t>
      </w:r>
      <w:r w:rsidRPr="00FE5F07">
        <w:rPr>
          <w:rFonts w:cs="Times New Roman"/>
        </w:rPr>
        <w:t xml:space="preserve">ngoing </w:t>
      </w:r>
      <w:r w:rsidRPr="00BC3A65">
        <w:rPr>
          <w:rFonts w:cs="Times New Roman"/>
        </w:rPr>
        <w:t xml:space="preserve">agency costs </w:t>
      </w:r>
      <w:r>
        <w:rPr>
          <w:rFonts w:cs="Times New Roman"/>
        </w:rPr>
        <w:t>associated with the information collection</w:t>
      </w:r>
      <w:r w:rsidRPr="00BC3A65">
        <w:rPr>
          <w:rFonts w:cs="Times New Roman"/>
        </w:rPr>
        <w:t xml:space="preserve"> are associated with the following tasks:</w:t>
      </w:r>
    </w:p>
    <w:p w14:paraId="4AD5012A" w14:textId="77777777" w:rsidR="00505245" w:rsidRPr="00BC3A65" w:rsidRDefault="00505245" w:rsidP="00505245">
      <w:pPr>
        <w:pStyle w:val="BodyText"/>
        <w:numPr>
          <w:ilvl w:val="0"/>
          <w:numId w:val="34"/>
        </w:numPr>
        <w:tabs>
          <w:tab w:val="left" w:pos="1180"/>
        </w:tabs>
        <w:spacing w:line="293" w:lineRule="exact"/>
        <w:rPr>
          <w:rFonts w:cs="Times New Roman"/>
        </w:rPr>
      </w:pPr>
      <w:r w:rsidRPr="00BC3A65">
        <w:rPr>
          <w:rFonts w:cs="Times New Roman"/>
        </w:rPr>
        <w:t>Reviewing NOA submissions;</w:t>
      </w:r>
    </w:p>
    <w:p w14:paraId="689A7F53" w14:textId="77777777" w:rsidR="00505245" w:rsidRPr="009E51AF" w:rsidRDefault="00505245" w:rsidP="00505245">
      <w:pPr>
        <w:pStyle w:val="BodyText"/>
        <w:numPr>
          <w:ilvl w:val="0"/>
          <w:numId w:val="34"/>
        </w:numPr>
        <w:tabs>
          <w:tab w:val="left" w:pos="1180"/>
        </w:tabs>
        <w:spacing w:before="21" w:line="274" w:lineRule="exact"/>
        <w:ind w:right="596"/>
        <w:rPr>
          <w:rFonts w:cs="Times New Roman"/>
        </w:rPr>
      </w:pPr>
      <w:r w:rsidRPr="009C764F">
        <w:rPr>
          <w:rFonts w:cs="Times New Roman"/>
          <w:spacing w:val="-1"/>
        </w:rPr>
        <w:t>Analyz</w:t>
      </w:r>
      <w:r w:rsidRPr="009147F2">
        <w:rPr>
          <w:rFonts w:cs="Times New Roman"/>
          <w:spacing w:val="-1"/>
        </w:rPr>
        <w:t>ing</w:t>
      </w:r>
      <w:r w:rsidRPr="009147F2">
        <w:rPr>
          <w:rFonts w:cs="Times New Roman"/>
        </w:rPr>
        <w:t xml:space="preserve"> submissions for confidentiality</w:t>
      </w:r>
      <w:r w:rsidRPr="007357A9">
        <w:rPr>
          <w:rFonts w:cs="Times New Roman"/>
          <w:spacing w:val="-1"/>
        </w:rPr>
        <w:t xml:space="preserve"> and providing appropriate protection for</w:t>
      </w:r>
      <w:r w:rsidRPr="009E51AF">
        <w:rPr>
          <w:rFonts w:cs="Times New Roman"/>
          <w:spacing w:val="22"/>
        </w:rPr>
        <w:t xml:space="preserve"> </w:t>
      </w:r>
      <w:r w:rsidRPr="009E51AF">
        <w:rPr>
          <w:rFonts w:cs="Times New Roman"/>
          <w:spacing w:val="-1"/>
        </w:rPr>
        <w:t>confidential data;</w:t>
      </w:r>
    </w:p>
    <w:p w14:paraId="0A136F8B" w14:textId="77777777" w:rsidR="00505245" w:rsidRPr="009E51AF" w:rsidRDefault="00505245" w:rsidP="00505245">
      <w:pPr>
        <w:pStyle w:val="BodyText"/>
        <w:numPr>
          <w:ilvl w:val="0"/>
          <w:numId w:val="34"/>
        </w:numPr>
        <w:tabs>
          <w:tab w:val="left" w:pos="1180"/>
        </w:tabs>
        <w:spacing w:before="24" w:line="274" w:lineRule="exact"/>
        <w:ind w:right="504"/>
        <w:rPr>
          <w:rFonts w:cs="Times New Roman"/>
        </w:rPr>
      </w:pPr>
      <w:r w:rsidRPr="009E51AF">
        <w:rPr>
          <w:rFonts w:cs="Times New Roman"/>
          <w:spacing w:val="-1"/>
        </w:rPr>
        <w:t>Acknowledging receipt of submissions and notifying respondents of any submission errors or deficiencies;</w:t>
      </w:r>
    </w:p>
    <w:p w14:paraId="26AAD98D" w14:textId="77777777" w:rsidR="00505245" w:rsidRPr="009E51AF" w:rsidRDefault="00505245" w:rsidP="00505245">
      <w:pPr>
        <w:pStyle w:val="BodyText"/>
        <w:numPr>
          <w:ilvl w:val="0"/>
          <w:numId w:val="34"/>
        </w:numPr>
        <w:tabs>
          <w:tab w:val="left" w:pos="1180"/>
        </w:tabs>
        <w:spacing w:line="293" w:lineRule="exact"/>
        <w:rPr>
          <w:rFonts w:cs="Times New Roman"/>
        </w:rPr>
      </w:pPr>
      <w:r w:rsidRPr="009E51AF">
        <w:rPr>
          <w:rFonts w:cs="Times New Roman"/>
          <w:spacing w:val="-1"/>
        </w:rPr>
        <w:t>Filing</w:t>
      </w:r>
      <w:r w:rsidRPr="009E51AF">
        <w:rPr>
          <w:rFonts w:cs="Times New Roman"/>
        </w:rPr>
        <w:t xml:space="preserve"> and storage of submissions to Agency</w:t>
      </w:r>
      <w:r w:rsidRPr="009E51AF">
        <w:rPr>
          <w:rFonts w:cs="Times New Roman"/>
          <w:spacing w:val="-6"/>
        </w:rPr>
        <w:t xml:space="preserve"> </w:t>
      </w:r>
      <w:r w:rsidRPr="009E51AF">
        <w:rPr>
          <w:rFonts w:cs="Times New Roman"/>
          <w:spacing w:val="-1"/>
        </w:rPr>
        <w:t>data systems;</w:t>
      </w:r>
    </w:p>
    <w:p w14:paraId="0368B697" w14:textId="77777777" w:rsidR="00505245" w:rsidRPr="009E51AF" w:rsidRDefault="00505245" w:rsidP="00505245">
      <w:pPr>
        <w:pStyle w:val="BodyText"/>
        <w:numPr>
          <w:ilvl w:val="0"/>
          <w:numId w:val="34"/>
        </w:numPr>
        <w:tabs>
          <w:tab w:val="left" w:pos="1180"/>
        </w:tabs>
        <w:spacing w:line="293" w:lineRule="exact"/>
        <w:rPr>
          <w:rFonts w:cs="Times New Roman"/>
        </w:rPr>
      </w:pPr>
      <w:r w:rsidRPr="009E51AF">
        <w:rPr>
          <w:rFonts w:cs="Times New Roman"/>
          <w:spacing w:val="-1"/>
        </w:rPr>
        <w:t xml:space="preserve">Updating the TSCA Inventory based on notices received; </w:t>
      </w:r>
    </w:p>
    <w:p w14:paraId="63317374" w14:textId="77777777" w:rsidR="00505245" w:rsidRPr="009E51AF" w:rsidRDefault="00505245" w:rsidP="00505245">
      <w:pPr>
        <w:pStyle w:val="BodyText"/>
        <w:numPr>
          <w:ilvl w:val="0"/>
          <w:numId w:val="34"/>
        </w:numPr>
        <w:tabs>
          <w:tab w:val="left" w:pos="1180"/>
        </w:tabs>
        <w:spacing w:line="293" w:lineRule="exact"/>
        <w:rPr>
          <w:rFonts w:cs="Times New Roman"/>
        </w:rPr>
      </w:pPr>
      <w:r w:rsidRPr="009E51AF">
        <w:rPr>
          <w:rFonts w:cs="Times New Roman"/>
          <w:spacing w:val="-1"/>
        </w:rPr>
        <w:t>Providing</w:t>
      </w:r>
      <w:r w:rsidRPr="009E51AF">
        <w:rPr>
          <w:rFonts w:cs="Times New Roman"/>
        </w:rPr>
        <w:t xml:space="preserve"> technical</w:t>
      </w:r>
      <w:r w:rsidRPr="009E51AF">
        <w:rPr>
          <w:rFonts w:cs="Times New Roman"/>
          <w:spacing w:val="-1"/>
        </w:rPr>
        <w:t xml:space="preserve"> </w:t>
      </w:r>
      <w:r w:rsidRPr="009E51AF">
        <w:rPr>
          <w:rFonts w:cs="Times New Roman"/>
        </w:rPr>
        <w:t>assistance</w:t>
      </w:r>
      <w:r w:rsidRPr="009E51AF">
        <w:rPr>
          <w:rFonts w:cs="Times New Roman"/>
          <w:spacing w:val="-1"/>
        </w:rPr>
        <w:t xml:space="preserve"> </w:t>
      </w:r>
      <w:r w:rsidRPr="009E51AF">
        <w:rPr>
          <w:rFonts w:cs="Times New Roman"/>
        </w:rPr>
        <w:t>to</w:t>
      </w:r>
      <w:r w:rsidRPr="009E51AF">
        <w:rPr>
          <w:rFonts w:cs="Times New Roman"/>
          <w:spacing w:val="-1"/>
        </w:rPr>
        <w:t xml:space="preserve"> respondents;</w:t>
      </w:r>
      <w:r w:rsidRPr="009E51AF">
        <w:rPr>
          <w:rFonts w:cs="Times New Roman"/>
        </w:rPr>
        <w:t xml:space="preserve"> </w:t>
      </w:r>
      <w:r w:rsidRPr="009E51AF">
        <w:rPr>
          <w:rFonts w:cs="Times New Roman"/>
          <w:spacing w:val="-1"/>
        </w:rPr>
        <w:t>and</w:t>
      </w:r>
    </w:p>
    <w:p w14:paraId="7B27169C" w14:textId="77777777" w:rsidR="00505245" w:rsidRPr="00BC1F84" w:rsidRDefault="00505245" w:rsidP="00505245">
      <w:pPr>
        <w:pStyle w:val="BodyText"/>
        <w:numPr>
          <w:ilvl w:val="0"/>
          <w:numId w:val="34"/>
        </w:numPr>
        <w:tabs>
          <w:tab w:val="left" w:pos="1180"/>
        </w:tabs>
        <w:spacing w:before="21" w:line="274" w:lineRule="exact"/>
        <w:ind w:right="480"/>
        <w:rPr>
          <w:szCs w:val="22"/>
        </w:rPr>
      </w:pPr>
      <w:r w:rsidRPr="009E51AF">
        <w:rPr>
          <w:rFonts w:cs="Times New Roman"/>
        </w:rPr>
        <w:t>Conducting</w:t>
      </w:r>
      <w:r w:rsidRPr="009E51AF">
        <w:rPr>
          <w:rFonts w:cs="Times New Roman"/>
          <w:spacing w:val="-1"/>
        </w:rPr>
        <w:t xml:space="preserve"> </w:t>
      </w:r>
      <w:r w:rsidRPr="009E51AF">
        <w:rPr>
          <w:rFonts w:cs="Times New Roman"/>
        </w:rPr>
        <w:t>site</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record</w:t>
      </w:r>
      <w:r w:rsidRPr="009E51AF">
        <w:rPr>
          <w:rFonts w:cs="Times New Roman"/>
          <w:spacing w:val="-1"/>
        </w:rPr>
        <w:t xml:space="preserve"> </w:t>
      </w:r>
      <w:r w:rsidRPr="009E51AF">
        <w:rPr>
          <w:rFonts w:cs="Times New Roman"/>
        </w:rPr>
        <w:t>inspections</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performing</w:t>
      </w:r>
      <w:r w:rsidRPr="009E51AF">
        <w:rPr>
          <w:rFonts w:cs="Times New Roman"/>
          <w:spacing w:val="-1"/>
        </w:rPr>
        <w:t xml:space="preserve"> </w:t>
      </w:r>
      <w:r w:rsidRPr="009E51AF">
        <w:rPr>
          <w:rFonts w:cs="Times New Roman"/>
        </w:rPr>
        <w:t>related</w:t>
      </w:r>
      <w:r w:rsidRPr="009E51AF">
        <w:rPr>
          <w:rFonts w:cs="Times New Roman"/>
          <w:spacing w:val="-1"/>
        </w:rPr>
        <w:t xml:space="preserve"> </w:t>
      </w:r>
      <w:r w:rsidRPr="009E51AF">
        <w:rPr>
          <w:rFonts w:cs="Times New Roman"/>
        </w:rPr>
        <w:t>compliance</w:t>
      </w:r>
      <w:r w:rsidRPr="009E51AF">
        <w:rPr>
          <w:rFonts w:cs="Times New Roman"/>
          <w:spacing w:val="-1"/>
        </w:rPr>
        <w:t xml:space="preserve"> </w:t>
      </w:r>
      <w:r w:rsidRPr="009E51AF">
        <w:rPr>
          <w:rFonts w:cs="Times New Roman"/>
        </w:rPr>
        <w:t xml:space="preserve">monitoring </w:t>
      </w:r>
      <w:r w:rsidRPr="009E51AF">
        <w:rPr>
          <w:rFonts w:cs="Times New Roman"/>
          <w:spacing w:val="-1"/>
        </w:rPr>
        <w:t>functions</w:t>
      </w:r>
      <w:r w:rsidRPr="00BC1F84">
        <w:rPr>
          <w:spacing w:val="-1"/>
          <w:szCs w:val="22"/>
        </w:rPr>
        <w:t>.</w:t>
      </w:r>
    </w:p>
    <w:p w14:paraId="259B46F9" w14:textId="77777777" w:rsidR="00505245" w:rsidRDefault="00505245" w:rsidP="00505245">
      <w:pPr>
        <w:rPr>
          <w:rFonts w:ascii="Times New Roman" w:hAnsi="Times New Roman" w:cs="Times New Roman"/>
          <w:b/>
          <w:sz w:val="24"/>
          <w:szCs w:val="24"/>
        </w:rPr>
      </w:pPr>
    </w:p>
    <w:p w14:paraId="50FE924D" w14:textId="77777777" w:rsidR="00505245" w:rsidRDefault="00505245" w:rsidP="00505245">
      <w:pPr>
        <w:autoSpaceDE w:val="0"/>
        <w:autoSpaceDN w:val="0"/>
        <w:adjustRightInd w:val="0"/>
        <w:ind w:firstLine="720"/>
        <w:rPr>
          <w:rFonts w:ascii="Times New Roman" w:hAnsi="Times New Roman" w:cs="Times New Roman"/>
          <w:sz w:val="24"/>
          <w:szCs w:val="24"/>
        </w:rPr>
      </w:pPr>
      <w:r w:rsidRPr="00CE0EC5">
        <w:rPr>
          <w:rFonts w:ascii="Times New Roman" w:hAnsi="Times New Roman" w:cs="Times New Roman"/>
          <w:sz w:val="24"/>
          <w:szCs w:val="24"/>
        </w:rPr>
        <w:t xml:space="preserve">Estimates of Agency labor required to complete startup and ongoing tasks </w:t>
      </w:r>
      <w:r>
        <w:rPr>
          <w:rFonts w:ascii="Times New Roman" w:hAnsi="Times New Roman" w:cs="Times New Roman"/>
          <w:sz w:val="24"/>
          <w:szCs w:val="24"/>
        </w:rPr>
        <w:t xml:space="preserve">are discussed in Section 4.6 of </w:t>
      </w:r>
      <w:r w:rsidRPr="00BC3A65">
        <w:rPr>
          <w:rFonts w:ascii="Times New Roman" w:hAnsi="Times New Roman" w:cs="Times New Roman"/>
          <w:sz w:val="24"/>
          <w:szCs w:val="24"/>
        </w:rPr>
        <w:t xml:space="preserve">the </w:t>
      </w:r>
      <w:r w:rsidRPr="00CE0EC5">
        <w:rPr>
          <w:rFonts w:ascii="Times New Roman" w:eastAsia="Times New Roman" w:hAnsi="Times New Roman"/>
          <w:i/>
          <w:spacing w:val="-1"/>
          <w:sz w:val="24"/>
          <w:szCs w:val="24"/>
        </w:rPr>
        <w:t xml:space="preserve">Burden and Cost Report for the </w:t>
      </w:r>
      <w:r>
        <w:rPr>
          <w:rFonts w:ascii="Times New Roman" w:eastAsia="Times New Roman" w:hAnsi="Times New Roman"/>
          <w:i/>
          <w:spacing w:val="-1"/>
          <w:sz w:val="24"/>
          <w:szCs w:val="24"/>
        </w:rPr>
        <w:t>Final</w:t>
      </w:r>
      <w:r w:rsidRPr="00CE0EC5">
        <w:rPr>
          <w:rFonts w:ascii="Times New Roman" w:eastAsia="Times New Roman" w:hAnsi="Times New Roman"/>
          <w:i/>
          <w:spacing w:val="-1"/>
          <w:sz w:val="24"/>
          <w:szCs w:val="24"/>
        </w:rPr>
        <w:t xml:space="preserve"> Rule: TSCA Inventory Notification Requirements</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fldChar w:fldCharType="begin"/>
      </w:r>
      <w:r>
        <w:rPr>
          <w:rFonts w:ascii="Times New Roman" w:eastAsia="Times New Roman" w:hAnsi="Times New Roman"/>
          <w:spacing w:val="-1"/>
          <w:sz w:val="24"/>
          <w:szCs w:val="24"/>
        </w:rPr>
        <w:instrText xml:space="preserve"> ADDIN ZOTERO_ITEM CSL_CITATION {"citationID":"a2ge15f4agl","properties":{"formattedCitation":"(EPA,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eastAsia="Times New Roman" w:hAnsi="Times New Roman"/>
          <w:spacing w:val="-1"/>
          <w:sz w:val="24"/>
          <w:szCs w:val="24"/>
        </w:rPr>
        <w:fldChar w:fldCharType="separate"/>
      </w:r>
      <w:r w:rsidRPr="009D1C27">
        <w:rPr>
          <w:rFonts w:ascii="Times New Roman" w:hAnsi="Times New Roman" w:cs="Times New Roman"/>
          <w:sz w:val="24"/>
        </w:rPr>
        <w:t>(EPA, 2017)</w:t>
      </w:r>
      <w:r>
        <w:rPr>
          <w:rFonts w:ascii="Times New Roman" w:eastAsia="Times New Roman" w:hAnsi="Times New Roman"/>
          <w:spacing w:val="-1"/>
          <w:sz w:val="24"/>
          <w:szCs w:val="24"/>
        </w:rPr>
        <w:fldChar w:fldCharType="end"/>
      </w:r>
      <w:r w:rsidRPr="00CE0EC5">
        <w:rPr>
          <w:rFonts w:ascii="Times New Roman" w:hAnsi="Times New Roman" w:cs="Times New Roman"/>
          <w:color w:val="000000"/>
          <w:sz w:val="24"/>
          <w:szCs w:val="24"/>
        </w:rPr>
        <w:t>.</w:t>
      </w:r>
      <w:r w:rsidRPr="00BC3A65">
        <w:rPr>
          <w:rFonts w:ascii="Times New Roman" w:hAnsi="Times New Roman" w:cs="Times New Roman"/>
          <w:sz w:val="24"/>
          <w:szCs w:val="24"/>
        </w:rPr>
        <w:t xml:space="preserve"> </w:t>
      </w:r>
      <w:r w:rsidRPr="00CE0EC5">
        <w:rPr>
          <w:rFonts w:ascii="Times New Roman" w:hAnsi="Times New Roman" w:cs="Times New Roman"/>
          <w:sz w:val="24"/>
          <w:szCs w:val="24"/>
        </w:rPr>
        <w:t xml:space="preserve">Agency burden is combined with wage data in </w:t>
      </w:r>
      <w:r w:rsidRPr="006E66CF">
        <w:rPr>
          <w:rFonts w:ascii="Times New Roman" w:hAnsi="Times New Roman" w:cs="Times New Roman"/>
          <w:sz w:val="24"/>
          <w:szCs w:val="24"/>
        </w:rPr>
        <w:fldChar w:fldCharType="begin"/>
      </w:r>
      <w:r w:rsidRPr="006E66CF">
        <w:rPr>
          <w:rFonts w:ascii="Times New Roman" w:hAnsi="Times New Roman" w:cs="Times New Roman"/>
          <w:sz w:val="24"/>
          <w:szCs w:val="24"/>
        </w:rPr>
        <w:instrText xml:space="preserve"> REF _Ref468869898 \h </w:instrText>
      </w:r>
      <w:r>
        <w:rPr>
          <w:rFonts w:ascii="Times New Roman" w:hAnsi="Times New Roman" w:cs="Times New Roman"/>
          <w:sz w:val="24"/>
          <w:szCs w:val="24"/>
        </w:rPr>
        <w:instrText xml:space="preserve"> \* MERGEFORMAT </w:instrText>
      </w:r>
      <w:r w:rsidRPr="006E66CF">
        <w:rPr>
          <w:rFonts w:ascii="Times New Roman" w:hAnsi="Times New Roman" w:cs="Times New Roman"/>
          <w:sz w:val="24"/>
          <w:szCs w:val="24"/>
        </w:rPr>
      </w:r>
      <w:r w:rsidRPr="006E66CF">
        <w:rPr>
          <w:rFonts w:ascii="Times New Roman" w:hAnsi="Times New Roman" w:cs="Times New Roman"/>
          <w:sz w:val="24"/>
          <w:szCs w:val="24"/>
        </w:rPr>
        <w:fldChar w:fldCharType="separate"/>
      </w:r>
      <w:r w:rsidRPr="001C794A">
        <w:rPr>
          <w:rFonts w:ascii="Times New Roman" w:hAnsi="Times New Roman" w:cs="Times New Roman"/>
        </w:rPr>
        <w:t xml:space="preserve">Table </w:t>
      </w:r>
      <w:r w:rsidRPr="001C794A">
        <w:rPr>
          <w:rFonts w:ascii="Times New Roman" w:hAnsi="Times New Roman" w:cs="Times New Roman"/>
          <w:noProof/>
        </w:rPr>
        <w:t>6</w:t>
      </w:r>
      <w:r w:rsidRPr="006E66CF">
        <w:rPr>
          <w:rFonts w:ascii="Times New Roman" w:hAnsi="Times New Roman" w:cs="Times New Roman"/>
          <w:sz w:val="24"/>
          <w:szCs w:val="24"/>
        </w:rPr>
        <w:fldChar w:fldCharType="end"/>
      </w:r>
      <w:r w:rsidRPr="00CE0EC5">
        <w:rPr>
          <w:rFonts w:ascii="Times New Roman" w:hAnsi="Times New Roman" w:cs="Times New Roman"/>
          <w:sz w:val="24"/>
          <w:szCs w:val="24"/>
        </w:rPr>
        <w:t xml:space="preserve"> to estimate Agency cost, as shown </w:t>
      </w:r>
      <w:r>
        <w:rPr>
          <w:rFonts w:ascii="Times New Roman" w:hAnsi="Times New Roman" w:cs="Times New Roman"/>
          <w:sz w:val="24"/>
          <w:szCs w:val="24"/>
        </w:rPr>
        <w:t xml:space="preserve">in </w:t>
      </w:r>
      <w:r w:rsidRPr="006E66CF">
        <w:rPr>
          <w:rFonts w:ascii="Times New Roman" w:hAnsi="Times New Roman" w:cs="Times New Roman"/>
          <w:sz w:val="24"/>
          <w:szCs w:val="24"/>
        </w:rPr>
        <w:fldChar w:fldCharType="begin"/>
      </w:r>
      <w:r w:rsidRPr="006E66CF">
        <w:rPr>
          <w:rFonts w:ascii="Times New Roman" w:hAnsi="Times New Roman" w:cs="Times New Roman"/>
          <w:sz w:val="24"/>
          <w:szCs w:val="24"/>
        </w:rPr>
        <w:instrText xml:space="preserve"> REF _Ref468869953 \h </w:instrText>
      </w:r>
      <w:r>
        <w:rPr>
          <w:rFonts w:ascii="Times New Roman" w:hAnsi="Times New Roman" w:cs="Times New Roman"/>
          <w:sz w:val="24"/>
          <w:szCs w:val="24"/>
        </w:rPr>
        <w:instrText xml:space="preserve"> \* MERGEFORMAT </w:instrText>
      </w:r>
      <w:r w:rsidRPr="006E66CF">
        <w:rPr>
          <w:rFonts w:ascii="Times New Roman" w:hAnsi="Times New Roman" w:cs="Times New Roman"/>
          <w:sz w:val="24"/>
          <w:szCs w:val="24"/>
        </w:rPr>
      </w:r>
      <w:r w:rsidRPr="006E66CF">
        <w:rPr>
          <w:rFonts w:ascii="Times New Roman" w:hAnsi="Times New Roman" w:cs="Times New Roman"/>
          <w:sz w:val="24"/>
          <w:szCs w:val="24"/>
        </w:rPr>
        <w:fldChar w:fldCharType="separate"/>
      </w:r>
      <w:r w:rsidRPr="001C794A">
        <w:rPr>
          <w:rFonts w:ascii="Times New Roman" w:hAnsi="Times New Roman" w:cs="Times New Roman"/>
        </w:rPr>
        <w:t xml:space="preserve">Table </w:t>
      </w:r>
      <w:r w:rsidRPr="001C794A">
        <w:rPr>
          <w:rFonts w:ascii="Times New Roman" w:hAnsi="Times New Roman" w:cs="Times New Roman"/>
          <w:noProof/>
        </w:rPr>
        <w:t>7</w:t>
      </w:r>
      <w:r w:rsidRPr="006E66CF">
        <w:rPr>
          <w:rFonts w:ascii="Times New Roman" w:hAnsi="Times New Roman" w:cs="Times New Roman"/>
          <w:sz w:val="24"/>
          <w:szCs w:val="24"/>
        </w:rPr>
        <w:fldChar w:fldCharType="end"/>
      </w:r>
      <w:r>
        <w:rPr>
          <w:rFonts w:ascii="Times New Roman" w:hAnsi="Times New Roman" w:cs="Times New Roman"/>
          <w:sz w:val="24"/>
          <w:szCs w:val="24"/>
        </w:rPr>
        <w:t>.</w:t>
      </w:r>
      <w:r w:rsidRPr="00CE0EC5">
        <w:rPr>
          <w:rFonts w:ascii="Times New Roman" w:hAnsi="Times New Roman" w:cs="Times New Roman"/>
          <w:sz w:val="24"/>
          <w:szCs w:val="24"/>
        </w:rPr>
        <w:t xml:space="preserve"> </w:t>
      </w:r>
    </w:p>
    <w:p w14:paraId="513F77A0" w14:textId="77777777" w:rsidR="00505245" w:rsidRPr="00CE0EC5" w:rsidRDefault="00505245" w:rsidP="00505245">
      <w:pPr>
        <w:autoSpaceDE w:val="0"/>
        <w:autoSpaceDN w:val="0"/>
        <w:adjustRightInd w:val="0"/>
        <w:rPr>
          <w:rFonts w:ascii="Times New Roman" w:hAnsi="Times New Roman" w:cs="Times New Roman"/>
          <w:sz w:val="24"/>
          <w:szCs w:val="24"/>
        </w:rPr>
      </w:pPr>
    </w:p>
    <w:p w14:paraId="0ADD254C" w14:textId="77777777" w:rsidR="00505245" w:rsidRPr="00CE0EC5" w:rsidRDefault="00505245" w:rsidP="00505245">
      <w:pPr>
        <w:pStyle w:val="Caption"/>
        <w:rPr>
          <w:rFonts w:ascii="Times New Roman" w:hAnsi="Times New Roman"/>
          <w:sz w:val="24"/>
          <w:szCs w:val="24"/>
        </w:rPr>
      </w:pPr>
      <w:bookmarkStart w:id="26" w:name="_Ref468869898"/>
      <w:r w:rsidRPr="00CE0EC5">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6</w:t>
      </w:r>
      <w:r>
        <w:rPr>
          <w:rFonts w:ascii="Times New Roman" w:hAnsi="Times New Roman"/>
          <w:sz w:val="24"/>
          <w:szCs w:val="24"/>
        </w:rPr>
        <w:fldChar w:fldCharType="end"/>
      </w:r>
      <w:bookmarkEnd w:id="26"/>
      <w:r w:rsidRPr="00CE0EC5">
        <w:rPr>
          <w:rFonts w:ascii="Times New Roman" w:hAnsi="Times New Roman"/>
          <w:sz w:val="24"/>
          <w:szCs w:val="24"/>
        </w:rPr>
        <w:t>. Agency Wage Rate (2016 Dollars)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0"/>
        <w:gridCol w:w="2303"/>
        <w:gridCol w:w="923"/>
        <w:gridCol w:w="1168"/>
        <w:gridCol w:w="934"/>
        <w:gridCol w:w="1114"/>
        <w:gridCol w:w="1193"/>
        <w:gridCol w:w="1023"/>
      </w:tblGrid>
      <w:tr w:rsidR="00505245" w:rsidRPr="00BC3A65" w14:paraId="48228CBA" w14:textId="77777777" w:rsidTr="00505245">
        <w:trPr>
          <w:trHeight w:val="468"/>
        </w:trPr>
        <w:tc>
          <w:tcPr>
            <w:tcW w:w="0" w:type="auto"/>
            <w:vMerge w:val="restart"/>
            <w:tcBorders>
              <w:top w:val="single" w:sz="12" w:space="0" w:color="auto"/>
              <w:left w:val="single" w:sz="12" w:space="0" w:color="auto"/>
            </w:tcBorders>
            <w:shd w:val="clear" w:color="auto" w:fill="BFBFBF" w:themeFill="background1" w:themeFillShade="BF"/>
            <w:vAlign w:val="center"/>
            <w:hideMark/>
          </w:tcPr>
          <w:p w14:paraId="60EC84DD"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Labor Category</w:t>
            </w:r>
          </w:p>
        </w:tc>
        <w:tc>
          <w:tcPr>
            <w:tcW w:w="0" w:type="auto"/>
            <w:vMerge w:val="restart"/>
            <w:tcBorders>
              <w:top w:val="single" w:sz="12" w:space="0" w:color="auto"/>
            </w:tcBorders>
            <w:shd w:val="clear" w:color="auto" w:fill="BFBFBF" w:themeFill="background1" w:themeFillShade="BF"/>
            <w:vAlign w:val="center"/>
            <w:hideMark/>
          </w:tcPr>
          <w:p w14:paraId="6CB1EB39"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Data Source for Wage Information</w:t>
            </w:r>
          </w:p>
        </w:tc>
        <w:tc>
          <w:tcPr>
            <w:tcW w:w="0" w:type="auto"/>
            <w:tcBorders>
              <w:top w:val="single" w:sz="12" w:space="0" w:color="auto"/>
            </w:tcBorders>
            <w:shd w:val="clear" w:color="auto" w:fill="BFBFBF" w:themeFill="background1" w:themeFillShade="BF"/>
            <w:vAlign w:val="center"/>
            <w:hideMark/>
          </w:tcPr>
          <w:p w14:paraId="0099DADA"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Wage ($/hour)</w:t>
            </w:r>
          </w:p>
        </w:tc>
        <w:tc>
          <w:tcPr>
            <w:tcW w:w="0" w:type="auto"/>
            <w:tcBorders>
              <w:top w:val="single" w:sz="12" w:space="0" w:color="auto"/>
            </w:tcBorders>
            <w:shd w:val="clear" w:color="auto" w:fill="BFBFBF" w:themeFill="background1" w:themeFillShade="BF"/>
            <w:vAlign w:val="center"/>
            <w:hideMark/>
          </w:tcPr>
          <w:p w14:paraId="296D9B76"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Fringe Benefit</w:t>
            </w:r>
          </w:p>
        </w:tc>
        <w:tc>
          <w:tcPr>
            <w:tcW w:w="0" w:type="auto"/>
            <w:tcBorders>
              <w:top w:val="single" w:sz="12" w:space="0" w:color="auto"/>
            </w:tcBorders>
            <w:shd w:val="clear" w:color="auto" w:fill="BFBFBF" w:themeFill="background1" w:themeFillShade="BF"/>
            <w:vAlign w:val="center"/>
            <w:hideMark/>
          </w:tcPr>
          <w:p w14:paraId="6CF1D588"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Fringes as % wage</w:t>
            </w:r>
          </w:p>
        </w:tc>
        <w:tc>
          <w:tcPr>
            <w:tcW w:w="0" w:type="auto"/>
            <w:tcBorders>
              <w:top w:val="single" w:sz="12" w:space="0" w:color="auto"/>
            </w:tcBorders>
            <w:shd w:val="clear" w:color="auto" w:fill="BFBFBF" w:themeFill="background1" w:themeFillShade="BF"/>
            <w:vAlign w:val="center"/>
            <w:hideMark/>
          </w:tcPr>
          <w:p w14:paraId="1499BBAE"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Overhead as % wage</w:t>
            </w:r>
          </w:p>
        </w:tc>
        <w:tc>
          <w:tcPr>
            <w:tcW w:w="0" w:type="auto"/>
            <w:tcBorders>
              <w:top w:val="single" w:sz="12" w:space="0" w:color="auto"/>
            </w:tcBorders>
            <w:shd w:val="clear" w:color="auto" w:fill="BFBFBF" w:themeFill="background1" w:themeFillShade="BF"/>
            <w:vAlign w:val="center"/>
            <w:hideMark/>
          </w:tcPr>
          <w:p w14:paraId="68C1C86B"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Fringe + Overhead Factor</w:t>
            </w:r>
            <w:r w:rsidRPr="00CE0EC5">
              <w:rPr>
                <w:rFonts w:ascii="Times New Roman" w:hAnsi="Times New Roman" w:cs="Times New Roman"/>
                <w:b/>
                <w:bCs/>
                <w:color w:val="000000"/>
                <w:sz w:val="20"/>
              </w:rPr>
              <w:t xml:space="preserve"> </w:t>
            </w:r>
            <w:r w:rsidRPr="00CE0EC5">
              <w:rPr>
                <w:rFonts w:ascii="Times New Roman" w:hAnsi="Times New Roman" w:cs="Times New Roman"/>
                <w:b/>
                <w:bCs/>
                <w:color w:val="000000"/>
                <w:sz w:val="20"/>
                <w:vertAlign w:val="superscript"/>
              </w:rPr>
              <w:t>c</w:t>
            </w:r>
          </w:p>
        </w:tc>
        <w:tc>
          <w:tcPr>
            <w:tcW w:w="0" w:type="auto"/>
            <w:tcBorders>
              <w:top w:val="single" w:sz="12" w:space="0" w:color="auto"/>
              <w:right w:val="single" w:sz="12" w:space="0" w:color="auto"/>
            </w:tcBorders>
            <w:shd w:val="clear" w:color="auto" w:fill="BFBFBF" w:themeFill="background1" w:themeFillShade="BF"/>
            <w:vAlign w:val="center"/>
            <w:hideMark/>
          </w:tcPr>
          <w:p w14:paraId="6D329247" w14:textId="77777777" w:rsidR="00505245" w:rsidRPr="00CE0EC5" w:rsidRDefault="00505245" w:rsidP="00505245">
            <w:pPr>
              <w:jc w:val="center"/>
              <w:rPr>
                <w:rFonts w:ascii="Times New Roman" w:hAnsi="Times New Roman" w:cs="Times New Roman"/>
                <w:b/>
                <w:bCs/>
                <w:color w:val="000000"/>
                <w:sz w:val="18"/>
                <w:szCs w:val="18"/>
              </w:rPr>
            </w:pPr>
            <w:r w:rsidRPr="00CE0EC5">
              <w:rPr>
                <w:rFonts w:ascii="Times New Roman" w:hAnsi="Times New Roman" w:cs="Times New Roman"/>
                <w:b/>
                <w:bCs/>
                <w:color w:val="000000"/>
                <w:sz w:val="18"/>
                <w:szCs w:val="18"/>
              </w:rPr>
              <w:t>Loaded Wage ($/h</w:t>
            </w:r>
            <w:r>
              <w:rPr>
                <w:rFonts w:ascii="Times New Roman" w:hAnsi="Times New Roman" w:cs="Times New Roman"/>
                <w:b/>
                <w:bCs/>
                <w:color w:val="000000"/>
                <w:sz w:val="18"/>
                <w:szCs w:val="18"/>
              </w:rPr>
              <w:t>ou</w:t>
            </w:r>
            <w:r w:rsidRPr="00CE0EC5">
              <w:rPr>
                <w:rFonts w:ascii="Times New Roman" w:hAnsi="Times New Roman" w:cs="Times New Roman"/>
                <w:b/>
                <w:bCs/>
                <w:color w:val="000000"/>
                <w:sz w:val="18"/>
                <w:szCs w:val="18"/>
              </w:rPr>
              <w:t>r)</w:t>
            </w:r>
          </w:p>
        </w:tc>
      </w:tr>
      <w:tr w:rsidR="00505245" w:rsidRPr="00BC3A65" w14:paraId="1BE17537" w14:textId="77777777" w:rsidTr="00505245">
        <w:trPr>
          <w:trHeight w:val="300"/>
        </w:trPr>
        <w:tc>
          <w:tcPr>
            <w:tcW w:w="0" w:type="auto"/>
            <w:vMerge/>
            <w:tcBorders>
              <w:left w:val="single" w:sz="12" w:space="0" w:color="auto"/>
            </w:tcBorders>
            <w:shd w:val="clear" w:color="auto" w:fill="BFBFBF" w:themeFill="background1" w:themeFillShade="BF"/>
            <w:vAlign w:val="center"/>
            <w:hideMark/>
          </w:tcPr>
          <w:p w14:paraId="707D9ACD" w14:textId="77777777" w:rsidR="00505245" w:rsidRPr="00CE0EC5" w:rsidRDefault="00505245" w:rsidP="00505245">
            <w:pPr>
              <w:rPr>
                <w:rFonts w:ascii="Times New Roman" w:hAnsi="Times New Roman" w:cs="Times New Roman"/>
                <w:b/>
                <w:bCs/>
                <w:color w:val="000000"/>
                <w:sz w:val="18"/>
                <w:szCs w:val="18"/>
              </w:rPr>
            </w:pPr>
          </w:p>
        </w:tc>
        <w:tc>
          <w:tcPr>
            <w:tcW w:w="0" w:type="auto"/>
            <w:vMerge/>
            <w:shd w:val="clear" w:color="auto" w:fill="BFBFBF" w:themeFill="background1" w:themeFillShade="BF"/>
            <w:vAlign w:val="center"/>
            <w:hideMark/>
          </w:tcPr>
          <w:p w14:paraId="1DA8A582" w14:textId="77777777" w:rsidR="00505245" w:rsidRPr="00CE0EC5" w:rsidRDefault="00505245" w:rsidP="00505245">
            <w:pPr>
              <w:rPr>
                <w:rFonts w:ascii="Times New Roman" w:hAnsi="Times New Roman" w:cs="Times New Roman"/>
                <w:b/>
                <w:bCs/>
                <w:color w:val="000000"/>
                <w:sz w:val="18"/>
                <w:szCs w:val="18"/>
              </w:rPr>
            </w:pPr>
          </w:p>
        </w:tc>
        <w:tc>
          <w:tcPr>
            <w:tcW w:w="0" w:type="auto"/>
            <w:shd w:val="clear" w:color="auto" w:fill="BFBFBF" w:themeFill="background1" w:themeFillShade="BF"/>
            <w:vAlign w:val="center"/>
            <w:hideMark/>
          </w:tcPr>
          <w:p w14:paraId="69E22997" w14:textId="77777777" w:rsidR="00505245" w:rsidRPr="00CE0EC5" w:rsidRDefault="00505245" w:rsidP="00505245">
            <w:pPr>
              <w:jc w:val="center"/>
              <w:rPr>
                <w:rFonts w:ascii="Times New Roman" w:hAnsi="Times New Roman" w:cs="Times New Roman"/>
                <w:b/>
                <w:bCs/>
                <w:color w:val="000000"/>
                <w:sz w:val="16"/>
                <w:szCs w:val="16"/>
              </w:rPr>
            </w:pPr>
            <w:r w:rsidRPr="00CE0EC5">
              <w:rPr>
                <w:rFonts w:ascii="Times New Roman" w:hAnsi="Times New Roman" w:cs="Times New Roman"/>
                <w:b/>
                <w:bCs/>
                <w:color w:val="000000"/>
                <w:sz w:val="16"/>
                <w:szCs w:val="16"/>
              </w:rPr>
              <w:t>(a)</w:t>
            </w:r>
          </w:p>
        </w:tc>
        <w:tc>
          <w:tcPr>
            <w:tcW w:w="0" w:type="auto"/>
            <w:shd w:val="clear" w:color="auto" w:fill="BFBFBF" w:themeFill="background1" w:themeFillShade="BF"/>
            <w:vAlign w:val="center"/>
            <w:hideMark/>
          </w:tcPr>
          <w:p w14:paraId="24627CFE" w14:textId="77777777" w:rsidR="00505245" w:rsidRPr="00CE0EC5" w:rsidRDefault="00505245" w:rsidP="00505245">
            <w:pPr>
              <w:jc w:val="center"/>
              <w:rPr>
                <w:rFonts w:ascii="Times New Roman" w:hAnsi="Times New Roman" w:cs="Times New Roman"/>
                <w:b/>
                <w:bCs/>
                <w:color w:val="000000"/>
                <w:sz w:val="16"/>
                <w:szCs w:val="16"/>
              </w:rPr>
            </w:pPr>
            <w:r w:rsidRPr="00CE0EC5">
              <w:rPr>
                <w:rFonts w:ascii="Times New Roman" w:hAnsi="Times New Roman" w:cs="Times New Roman"/>
                <w:b/>
                <w:bCs/>
                <w:color w:val="000000"/>
                <w:sz w:val="16"/>
                <w:szCs w:val="16"/>
              </w:rPr>
              <w:t>(b)</w:t>
            </w:r>
          </w:p>
        </w:tc>
        <w:tc>
          <w:tcPr>
            <w:tcW w:w="0" w:type="auto"/>
            <w:shd w:val="clear" w:color="auto" w:fill="BFBFBF" w:themeFill="background1" w:themeFillShade="BF"/>
            <w:vAlign w:val="center"/>
            <w:hideMark/>
          </w:tcPr>
          <w:p w14:paraId="7161EEC4" w14:textId="77777777" w:rsidR="00505245" w:rsidRPr="00CE0EC5" w:rsidRDefault="00505245" w:rsidP="00505245">
            <w:pPr>
              <w:jc w:val="center"/>
              <w:rPr>
                <w:rFonts w:ascii="Times New Roman" w:hAnsi="Times New Roman" w:cs="Times New Roman"/>
                <w:b/>
                <w:bCs/>
                <w:color w:val="000000"/>
                <w:sz w:val="16"/>
                <w:szCs w:val="16"/>
              </w:rPr>
            </w:pPr>
            <w:r w:rsidRPr="00CE0EC5">
              <w:rPr>
                <w:rFonts w:ascii="Times New Roman" w:hAnsi="Times New Roman" w:cs="Times New Roman"/>
                <w:b/>
                <w:bCs/>
                <w:color w:val="000000"/>
                <w:sz w:val="16"/>
                <w:szCs w:val="16"/>
              </w:rPr>
              <w:t>(c) = (b) / (a)</w:t>
            </w:r>
          </w:p>
        </w:tc>
        <w:tc>
          <w:tcPr>
            <w:tcW w:w="0" w:type="auto"/>
            <w:shd w:val="clear" w:color="auto" w:fill="BFBFBF" w:themeFill="background1" w:themeFillShade="BF"/>
            <w:vAlign w:val="center"/>
            <w:hideMark/>
          </w:tcPr>
          <w:p w14:paraId="5511D4E1" w14:textId="77777777" w:rsidR="00505245" w:rsidRPr="00CE0EC5" w:rsidRDefault="00505245" w:rsidP="00505245">
            <w:pPr>
              <w:jc w:val="center"/>
              <w:rPr>
                <w:rFonts w:ascii="Times New Roman" w:hAnsi="Times New Roman" w:cs="Times New Roman"/>
                <w:b/>
                <w:bCs/>
                <w:color w:val="000000"/>
                <w:sz w:val="16"/>
                <w:szCs w:val="16"/>
              </w:rPr>
            </w:pPr>
            <w:r w:rsidRPr="00CE0EC5">
              <w:rPr>
                <w:rFonts w:ascii="Times New Roman" w:hAnsi="Times New Roman" w:cs="Times New Roman"/>
                <w:b/>
                <w:bCs/>
                <w:color w:val="000000"/>
                <w:sz w:val="16"/>
                <w:szCs w:val="16"/>
              </w:rPr>
              <w:t>(d)</w:t>
            </w:r>
          </w:p>
        </w:tc>
        <w:tc>
          <w:tcPr>
            <w:tcW w:w="0" w:type="auto"/>
            <w:shd w:val="clear" w:color="auto" w:fill="BFBFBF" w:themeFill="background1" w:themeFillShade="BF"/>
            <w:vAlign w:val="center"/>
            <w:hideMark/>
          </w:tcPr>
          <w:p w14:paraId="2820A95C" w14:textId="77777777" w:rsidR="00505245" w:rsidRPr="00CE0EC5" w:rsidRDefault="00505245" w:rsidP="00505245">
            <w:pPr>
              <w:jc w:val="center"/>
              <w:rPr>
                <w:rFonts w:ascii="Times New Roman" w:hAnsi="Times New Roman" w:cs="Times New Roman"/>
                <w:b/>
                <w:bCs/>
                <w:color w:val="000000"/>
                <w:sz w:val="16"/>
                <w:szCs w:val="16"/>
              </w:rPr>
            </w:pPr>
            <w:r w:rsidRPr="00CE0EC5">
              <w:rPr>
                <w:rFonts w:ascii="Times New Roman" w:hAnsi="Times New Roman" w:cs="Times New Roman"/>
                <w:b/>
                <w:bCs/>
                <w:color w:val="000000"/>
                <w:sz w:val="16"/>
                <w:szCs w:val="16"/>
              </w:rPr>
              <w:t>(e) = (c) + (d) + 1</w:t>
            </w:r>
          </w:p>
        </w:tc>
        <w:tc>
          <w:tcPr>
            <w:tcW w:w="0" w:type="auto"/>
            <w:tcBorders>
              <w:right w:val="single" w:sz="12" w:space="0" w:color="auto"/>
            </w:tcBorders>
            <w:shd w:val="clear" w:color="auto" w:fill="BFBFBF" w:themeFill="background1" w:themeFillShade="BF"/>
            <w:vAlign w:val="center"/>
            <w:hideMark/>
          </w:tcPr>
          <w:p w14:paraId="080DFE4D" w14:textId="77777777" w:rsidR="00505245" w:rsidRPr="00CE0EC5" w:rsidRDefault="00505245" w:rsidP="00505245">
            <w:pPr>
              <w:jc w:val="center"/>
              <w:rPr>
                <w:rFonts w:ascii="Times New Roman" w:hAnsi="Times New Roman" w:cs="Times New Roman"/>
                <w:b/>
                <w:bCs/>
                <w:color w:val="000000"/>
                <w:sz w:val="16"/>
                <w:szCs w:val="16"/>
              </w:rPr>
            </w:pPr>
            <w:r w:rsidRPr="00CE0EC5">
              <w:rPr>
                <w:rFonts w:ascii="Times New Roman" w:hAnsi="Times New Roman" w:cs="Times New Roman"/>
                <w:b/>
                <w:bCs/>
                <w:color w:val="000000"/>
                <w:sz w:val="16"/>
                <w:szCs w:val="16"/>
              </w:rPr>
              <w:t xml:space="preserve">(f) = (a) </w:t>
            </w:r>
            <w:r w:rsidRPr="005C0801">
              <w:rPr>
                <w:rFonts w:ascii="Times New Roman" w:hAnsi="Times New Roman" w:cs="Times New Roman"/>
                <w:b/>
                <w:bCs/>
                <w:i/>
                <w:iCs/>
                <w:color w:val="000000"/>
                <w:sz w:val="20"/>
                <w:szCs w:val="20"/>
              </w:rPr>
              <w:t>×</w:t>
            </w:r>
            <w:r w:rsidRPr="00CE0EC5">
              <w:rPr>
                <w:rFonts w:ascii="Times New Roman" w:hAnsi="Times New Roman" w:cs="Times New Roman"/>
                <w:b/>
                <w:bCs/>
                <w:color w:val="000000"/>
                <w:sz w:val="16"/>
                <w:szCs w:val="16"/>
              </w:rPr>
              <w:t xml:space="preserve"> (e)</w:t>
            </w:r>
          </w:p>
        </w:tc>
      </w:tr>
      <w:tr w:rsidR="00505245" w:rsidRPr="00BC3A65" w14:paraId="6B57097F" w14:textId="77777777" w:rsidTr="00505245">
        <w:trPr>
          <w:trHeight w:val="288"/>
        </w:trPr>
        <w:tc>
          <w:tcPr>
            <w:tcW w:w="0" w:type="auto"/>
            <w:vMerge w:val="restart"/>
            <w:tcBorders>
              <w:left w:val="single" w:sz="12" w:space="0" w:color="auto"/>
            </w:tcBorders>
            <w:shd w:val="clear" w:color="auto" w:fill="auto"/>
            <w:vAlign w:val="center"/>
            <w:hideMark/>
          </w:tcPr>
          <w:p w14:paraId="335A7D06" w14:textId="77777777" w:rsidR="00505245" w:rsidRPr="00CE0EC5" w:rsidRDefault="00505245" w:rsidP="00505245">
            <w:pPr>
              <w:rPr>
                <w:rFonts w:ascii="Times New Roman" w:hAnsi="Times New Roman" w:cs="Times New Roman"/>
                <w:color w:val="000000"/>
                <w:sz w:val="20"/>
              </w:rPr>
            </w:pPr>
            <w:r w:rsidRPr="00CE0EC5">
              <w:rPr>
                <w:rFonts w:ascii="Times New Roman" w:hAnsi="Times New Roman" w:cs="Times New Roman"/>
                <w:color w:val="000000"/>
                <w:sz w:val="20"/>
              </w:rPr>
              <w:t>EPA staff</w:t>
            </w:r>
          </w:p>
        </w:tc>
        <w:tc>
          <w:tcPr>
            <w:tcW w:w="0" w:type="auto"/>
            <w:vMerge w:val="restart"/>
            <w:shd w:val="clear" w:color="auto" w:fill="auto"/>
            <w:vAlign w:val="center"/>
            <w:hideMark/>
          </w:tcPr>
          <w:p w14:paraId="317B11F1" w14:textId="77777777" w:rsidR="00505245" w:rsidRPr="00CE0EC5" w:rsidRDefault="00505245" w:rsidP="00505245">
            <w:pPr>
              <w:rPr>
                <w:rFonts w:ascii="Times New Roman" w:hAnsi="Times New Roman" w:cs="Times New Roman"/>
                <w:color w:val="000000"/>
                <w:sz w:val="16"/>
                <w:szCs w:val="16"/>
              </w:rPr>
            </w:pPr>
            <w:r w:rsidRPr="00CE0EC5">
              <w:rPr>
                <w:rFonts w:ascii="Times New Roman" w:hAnsi="Times New Roman" w:cs="Times New Roman"/>
                <w:color w:val="000000"/>
                <w:sz w:val="16"/>
                <w:szCs w:val="16"/>
              </w:rPr>
              <w:t>Annual federal staff cost: OPM Washington-Baltimore-Northern Virginia, DC-MD-PA-VA-WV area,</w:t>
            </w:r>
            <w:r w:rsidRPr="00CE0EC5">
              <w:rPr>
                <w:rFonts w:ascii="Times New Roman" w:hAnsi="Times New Roman" w:cs="Times New Roman"/>
                <w:color w:val="000000"/>
                <w:sz w:val="16"/>
                <w:szCs w:val="16"/>
                <w:u w:val="single"/>
              </w:rPr>
              <w:t xml:space="preserve"> </w:t>
            </w:r>
            <w:r w:rsidRPr="00CE0EC5">
              <w:rPr>
                <w:rFonts w:ascii="Times New Roman" w:hAnsi="Times New Roman" w:cs="Times New Roman"/>
                <w:color w:val="000000"/>
                <w:sz w:val="16"/>
                <w:szCs w:val="16"/>
              </w:rPr>
              <w:t xml:space="preserve">GS-13 Step 5 pay rates </w:t>
            </w:r>
            <w:r w:rsidRPr="00CE0EC5">
              <w:rPr>
                <w:rFonts w:ascii="Times New Roman" w:hAnsi="Times New Roman" w:cs="Times New Roman"/>
                <w:color w:val="000000"/>
                <w:sz w:val="16"/>
                <w:szCs w:val="16"/>
                <w:vertAlign w:val="superscript"/>
              </w:rPr>
              <w:t>a</w:t>
            </w:r>
          </w:p>
        </w:tc>
        <w:tc>
          <w:tcPr>
            <w:tcW w:w="0" w:type="auto"/>
            <w:vMerge w:val="restart"/>
            <w:shd w:val="clear" w:color="auto" w:fill="auto"/>
            <w:vAlign w:val="center"/>
            <w:hideMark/>
          </w:tcPr>
          <w:p w14:paraId="596C1E52" w14:textId="77777777" w:rsidR="00505245" w:rsidRPr="00CE0EC5" w:rsidRDefault="00505245" w:rsidP="00505245">
            <w:pPr>
              <w:jc w:val="center"/>
              <w:rPr>
                <w:rFonts w:ascii="Times New Roman" w:hAnsi="Times New Roman" w:cs="Times New Roman"/>
                <w:color w:val="000000"/>
                <w:sz w:val="20"/>
              </w:rPr>
            </w:pPr>
            <w:r w:rsidRPr="00CE0EC5">
              <w:rPr>
                <w:rFonts w:ascii="Times New Roman" w:hAnsi="Times New Roman" w:cs="Times New Roman"/>
                <w:color w:val="000000"/>
                <w:sz w:val="20"/>
              </w:rPr>
              <w:t>$50.04</w:t>
            </w:r>
          </w:p>
        </w:tc>
        <w:tc>
          <w:tcPr>
            <w:tcW w:w="0" w:type="auto"/>
            <w:vMerge w:val="restart"/>
            <w:shd w:val="clear" w:color="auto" w:fill="auto"/>
            <w:vAlign w:val="center"/>
            <w:hideMark/>
          </w:tcPr>
          <w:p w14:paraId="23D40C7A" w14:textId="77777777" w:rsidR="00505245" w:rsidRPr="00CE0EC5" w:rsidRDefault="00505245" w:rsidP="00505245">
            <w:pPr>
              <w:rPr>
                <w:rFonts w:ascii="Times New Roman" w:hAnsi="Times New Roman" w:cs="Times New Roman"/>
                <w:color w:val="000000"/>
                <w:sz w:val="20"/>
              </w:rPr>
            </w:pPr>
            <w:r w:rsidRPr="00CE0EC5">
              <w:rPr>
                <w:rFonts w:ascii="Times New Roman" w:hAnsi="Times New Roman" w:cs="Times New Roman"/>
                <w:color w:val="000000"/>
                <w:sz w:val="20"/>
              </w:rPr>
              <w:t>Included in 60% overhead</w:t>
            </w:r>
          </w:p>
        </w:tc>
        <w:tc>
          <w:tcPr>
            <w:tcW w:w="0" w:type="auto"/>
            <w:vMerge w:val="restart"/>
            <w:shd w:val="clear" w:color="auto" w:fill="auto"/>
            <w:vAlign w:val="center"/>
            <w:hideMark/>
          </w:tcPr>
          <w:p w14:paraId="18EF7240" w14:textId="77777777" w:rsidR="00505245" w:rsidRPr="00CE0EC5" w:rsidRDefault="00505245" w:rsidP="00505245">
            <w:pPr>
              <w:jc w:val="center"/>
              <w:rPr>
                <w:rFonts w:ascii="Times New Roman" w:hAnsi="Times New Roman" w:cs="Times New Roman"/>
                <w:color w:val="000000"/>
                <w:sz w:val="20"/>
              </w:rPr>
            </w:pPr>
            <w:r w:rsidRPr="00CE0EC5">
              <w:rPr>
                <w:rFonts w:ascii="Times New Roman" w:hAnsi="Times New Roman" w:cs="Times New Roman"/>
                <w:color w:val="000000"/>
                <w:sz w:val="20"/>
              </w:rPr>
              <w:t>N/A</w:t>
            </w:r>
          </w:p>
        </w:tc>
        <w:tc>
          <w:tcPr>
            <w:tcW w:w="0" w:type="auto"/>
            <w:vMerge w:val="restart"/>
            <w:shd w:val="clear" w:color="auto" w:fill="auto"/>
            <w:vAlign w:val="center"/>
            <w:hideMark/>
          </w:tcPr>
          <w:p w14:paraId="34FEB121" w14:textId="77777777" w:rsidR="00505245" w:rsidRPr="00CE0EC5" w:rsidRDefault="00505245" w:rsidP="00505245">
            <w:pPr>
              <w:jc w:val="center"/>
              <w:rPr>
                <w:rFonts w:ascii="Times New Roman" w:hAnsi="Times New Roman" w:cs="Times New Roman"/>
                <w:color w:val="000000"/>
                <w:sz w:val="20"/>
              </w:rPr>
            </w:pPr>
            <w:r w:rsidRPr="00CE0EC5">
              <w:rPr>
                <w:rFonts w:ascii="Times New Roman" w:hAnsi="Times New Roman" w:cs="Times New Roman"/>
                <w:color w:val="000000"/>
                <w:sz w:val="20"/>
              </w:rPr>
              <w:t xml:space="preserve">60% </w:t>
            </w:r>
            <w:r w:rsidRPr="00CE0EC5">
              <w:rPr>
                <w:rFonts w:ascii="Times New Roman" w:hAnsi="Times New Roman" w:cs="Times New Roman"/>
                <w:color w:val="000000"/>
                <w:sz w:val="20"/>
                <w:vertAlign w:val="superscript"/>
              </w:rPr>
              <w:t>b</w:t>
            </w:r>
          </w:p>
        </w:tc>
        <w:tc>
          <w:tcPr>
            <w:tcW w:w="0" w:type="auto"/>
            <w:vMerge w:val="restart"/>
            <w:shd w:val="clear" w:color="auto" w:fill="auto"/>
            <w:vAlign w:val="center"/>
            <w:hideMark/>
          </w:tcPr>
          <w:p w14:paraId="29DE1B74" w14:textId="77777777" w:rsidR="00505245" w:rsidRPr="00CE0EC5" w:rsidRDefault="00505245" w:rsidP="00505245">
            <w:pPr>
              <w:jc w:val="center"/>
              <w:rPr>
                <w:rFonts w:ascii="Times New Roman" w:hAnsi="Times New Roman" w:cs="Times New Roman"/>
                <w:color w:val="000000"/>
                <w:sz w:val="20"/>
              </w:rPr>
            </w:pPr>
            <w:r w:rsidRPr="00CE0EC5">
              <w:rPr>
                <w:rFonts w:ascii="Times New Roman" w:hAnsi="Times New Roman" w:cs="Times New Roman"/>
                <w:color w:val="000000"/>
                <w:sz w:val="20"/>
              </w:rPr>
              <w:t>1.6</w:t>
            </w:r>
          </w:p>
        </w:tc>
        <w:tc>
          <w:tcPr>
            <w:tcW w:w="0" w:type="auto"/>
            <w:vMerge w:val="restart"/>
            <w:tcBorders>
              <w:right w:val="single" w:sz="12" w:space="0" w:color="auto"/>
            </w:tcBorders>
            <w:shd w:val="clear" w:color="auto" w:fill="auto"/>
            <w:vAlign w:val="center"/>
            <w:hideMark/>
          </w:tcPr>
          <w:p w14:paraId="48CFEA29" w14:textId="77777777" w:rsidR="00505245" w:rsidRPr="00CE0EC5" w:rsidRDefault="00505245" w:rsidP="00505245">
            <w:pPr>
              <w:jc w:val="center"/>
              <w:rPr>
                <w:rFonts w:ascii="Times New Roman" w:hAnsi="Times New Roman" w:cs="Times New Roman"/>
                <w:color w:val="000000"/>
                <w:sz w:val="20"/>
              </w:rPr>
            </w:pPr>
            <w:bookmarkStart w:id="27" w:name="RANGE!H4"/>
            <w:r w:rsidRPr="00CE0EC5">
              <w:rPr>
                <w:rFonts w:ascii="Times New Roman" w:hAnsi="Times New Roman" w:cs="Times New Roman"/>
                <w:color w:val="000000"/>
                <w:sz w:val="20"/>
              </w:rPr>
              <w:t>$80.06</w:t>
            </w:r>
            <w:bookmarkEnd w:id="27"/>
          </w:p>
        </w:tc>
      </w:tr>
      <w:tr w:rsidR="00505245" w:rsidRPr="00BC3A65" w14:paraId="5EB460B9" w14:textId="77777777" w:rsidTr="00505245">
        <w:trPr>
          <w:trHeight w:val="675"/>
        </w:trPr>
        <w:tc>
          <w:tcPr>
            <w:tcW w:w="0" w:type="auto"/>
            <w:vMerge/>
            <w:tcBorders>
              <w:left w:val="single" w:sz="12" w:space="0" w:color="auto"/>
              <w:bottom w:val="single" w:sz="6" w:space="0" w:color="auto"/>
            </w:tcBorders>
            <w:vAlign w:val="center"/>
            <w:hideMark/>
          </w:tcPr>
          <w:p w14:paraId="05144ED7" w14:textId="77777777" w:rsidR="00505245" w:rsidRPr="00CE0EC5" w:rsidRDefault="00505245" w:rsidP="00505245">
            <w:pPr>
              <w:rPr>
                <w:rFonts w:ascii="Times New Roman" w:hAnsi="Times New Roman" w:cs="Times New Roman"/>
                <w:color w:val="000000"/>
                <w:sz w:val="20"/>
              </w:rPr>
            </w:pPr>
          </w:p>
        </w:tc>
        <w:tc>
          <w:tcPr>
            <w:tcW w:w="0" w:type="auto"/>
            <w:vMerge/>
            <w:tcBorders>
              <w:bottom w:val="single" w:sz="6" w:space="0" w:color="auto"/>
            </w:tcBorders>
            <w:vAlign w:val="center"/>
            <w:hideMark/>
          </w:tcPr>
          <w:p w14:paraId="772151C3" w14:textId="77777777" w:rsidR="00505245" w:rsidRPr="00CE0EC5" w:rsidRDefault="00505245" w:rsidP="00505245">
            <w:pPr>
              <w:rPr>
                <w:rFonts w:ascii="Times New Roman" w:hAnsi="Times New Roman" w:cs="Times New Roman"/>
                <w:color w:val="000000"/>
                <w:sz w:val="16"/>
                <w:szCs w:val="16"/>
              </w:rPr>
            </w:pPr>
          </w:p>
        </w:tc>
        <w:tc>
          <w:tcPr>
            <w:tcW w:w="0" w:type="auto"/>
            <w:vMerge/>
            <w:tcBorders>
              <w:bottom w:val="single" w:sz="6" w:space="0" w:color="auto"/>
            </w:tcBorders>
            <w:vAlign w:val="center"/>
            <w:hideMark/>
          </w:tcPr>
          <w:p w14:paraId="544AA6DE" w14:textId="77777777" w:rsidR="00505245" w:rsidRPr="00CE0EC5" w:rsidRDefault="00505245" w:rsidP="00505245">
            <w:pPr>
              <w:rPr>
                <w:rFonts w:ascii="Times New Roman" w:hAnsi="Times New Roman" w:cs="Times New Roman"/>
                <w:color w:val="000000"/>
                <w:sz w:val="20"/>
              </w:rPr>
            </w:pPr>
          </w:p>
        </w:tc>
        <w:tc>
          <w:tcPr>
            <w:tcW w:w="0" w:type="auto"/>
            <w:vMerge/>
            <w:tcBorders>
              <w:bottom w:val="single" w:sz="6" w:space="0" w:color="auto"/>
            </w:tcBorders>
            <w:vAlign w:val="center"/>
            <w:hideMark/>
          </w:tcPr>
          <w:p w14:paraId="4EF06465" w14:textId="77777777" w:rsidR="00505245" w:rsidRPr="00CE0EC5" w:rsidRDefault="00505245" w:rsidP="00505245">
            <w:pPr>
              <w:rPr>
                <w:rFonts w:ascii="Times New Roman" w:hAnsi="Times New Roman" w:cs="Times New Roman"/>
                <w:color w:val="000000"/>
                <w:sz w:val="20"/>
              </w:rPr>
            </w:pPr>
          </w:p>
        </w:tc>
        <w:tc>
          <w:tcPr>
            <w:tcW w:w="0" w:type="auto"/>
            <w:vMerge/>
            <w:tcBorders>
              <w:bottom w:val="single" w:sz="6" w:space="0" w:color="auto"/>
            </w:tcBorders>
            <w:vAlign w:val="center"/>
            <w:hideMark/>
          </w:tcPr>
          <w:p w14:paraId="7748570C" w14:textId="77777777" w:rsidR="00505245" w:rsidRPr="00CE0EC5" w:rsidRDefault="00505245" w:rsidP="00505245">
            <w:pPr>
              <w:rPr>
                <w:rFonts w:ascii="Times New Roman" w:hAnsi="Times New Roman" w:cs="Times New Roman"/>
                <w:color w:val="000000"/>
                <w:sz w:val="20"/>
              </w:rPr>
            </w:pPr>
          </w:p>
        </w:tc>
        <w:tc>
          <w:tcPr>
            <w:tcW w:w="0" w:type="auto"/>
            <w:vMerge/>
            <w:tcBorders>
              <w:bottom w:val="single" w:sz="6" w:space="0" w:color="auto"/>
            </w:tcBorders>
            <w:vAlign w:val="center"/>
            <w:hideMark/>
          </w:tcPr>
          <w:p w14:paraId="2D4057D4" w14:textId="77777777" w:rsidR="00505245" w:rsidRPr="00CE0EC5" w:rsidRDefault="00505245" w:rsidP="00505245">
            <w:pPr>
              <w:rPr>
                <w:rFonts w:ascii="Times New Roman" w:hAnsi="Times New Roman" w:cs="Times New Roman"/>
                <w:color w:val="000000"/>
                <w:sz w:val="20"/>
              </w:rPr>
            </w:pPr>
          </w:p>
        </w:tc>
        <w:tc>
          <w:tcPr>
            <w:tcW w:w="0" w:type="auto"/>
            <w:vMerge/>
            <w:tcBorders>
              <w:bottom w:val="single" w:sz="6" w:space="0" w:color="auto"/>
            </w:tcBorders>
            <w:vAlign w:val="center"/>
            <w:hideMark/>
          </w:tcPr>
          <w:p w14:paraId="18762C38" w14:textId="77777777" w:rsidR="00505245" w:rsidRPr="00CE0EC5" w:rsidRDefault="00505245" w:rsidP="00505245">
            <w:pPr>
              <w:rPr>
                <w:rFonts w:ascii="Times New Roman" w:hAnsi="Times New Roman" w:cs="Times New Roman"/>
                <w:color w:val="000000"/>
                <w:sz w:val="20"/>
              </w:rPr>
            </w:pPr>
          </w:p>
        </w:tc>
        <w:tc>
          <w:tcPr>
            <w:tcW w:w="0" w:type="auto"/>
            <w:vMerge/>
            <w:tcBorders>
              <w:bottom w:val="single" w:sz="6" w:space="0" w:color="auto"/>
              <w:right w:val="single" w:sz="12" w:space="0" w:color="auto"/>
            </w:tcBorders>
            <w:vAlign w:val="center"/>
            <w:hideMark/>
          </w:tcPr>
          <w:p w14:paraId="088B2FC5" w14:textId="77777777" w:rsidR="00505245" w:rsidRPr="00CE0EC5" w:rsidRDefault="00505245" w:rsidP="00505245">
            <w:pPr>
              <w:rPr>
                <w:rFonts w:ascii="Times New Roman" w:hAnsi="Times New Roman" w:cs="Times New Roman"/>
                <w:color w:val="000000"/>
                <w:sz w:val="20"/>
              </w:rPr>
            </w:pPr>
          </w:p>
        </w:tc>
      </w:tr>
      <w:tr w:rsidR="00505245" w:rsidRPr="00BC3A65" w14:paraId="7AD8915D" w14:textId="77777777" w:rsidTr="00505245">
        <w:trPr>
          <w:trHeight w:val="1110"/>
        </w:trPr>
        <w:tc>
          <w:tcPr>
            <w:tcW w:w="0" w:type="auto"/>
            <w:gridSpan w:val="8"/>
            <w:tcBorders>
              <w:left w:val="single" w:sz="12" w:space="0" w:color="auto"/>
              <w:bottom w:val="single" w:sz="12" w:space="0" w:color="auto"/>
              <w:right w:val="single" w:sz="12" w:space="0" w:color="auto"/>
            </w:tcBorders>
            <w:shd w:val="clear" w:color="auto" w:fill="F2F2F2" w:themeFill="background1" w:themeFillShade="F2"/>
            <w:vAlign w:val="center"/>
            <w:hideMark/>
          </w:tcPr>
          <w:p w14:paraId="48EF6FF9" w14:textId="77777777" w:rsidR="00505245" w:rsidRPr="004E3E02" w:rsidRDefault="00505245" w:rsidP="00505245">
            <w:pPr>
              <w:rPr>
                <w:rFonts w:ascii="Times New Roman" w:hAnsi="Times New Roman" w:cs="Times New Roman"/>
                <w:b/>
                <w:color w:val="000000"/>
                <w:sz w:val="18"/>
                <w:szCs w:val="18"/>
              </w:rPr>
            </w:pPr>
            <w:r w:rsidRPr="004E3E02">
              <w:rPr>
                <w:rFonts w:ascii="Times New Roman" w:hAnsi="Times New Roman" w:cs="Times New Roman"/>
                <w:b/>
                <w:color w:val="000000"/>
                <w:sz w:val="18"/>
                <w:szCs w:val="18"/>
              </w:rPr>
              <w:t>Footnotes</w:t>
            </w:r>
          </w:p>
          <w:p w14:paraId="24A78A56" w14:textId="77777777" w:rsidR="00505245" w:rsidRPr="004E3E02" w:rsidRDefault="00505245" w:rsidP="00505245">
            <w:pPr>
              <w:shd w:val="clear" w:color="auto" w:fill="F2F2F2" w:themeFill="background1" w:themeFillShade="F2"/>
              <w:rPr>
                <w:rFonts w:ascii="Times New Roman" w:hAnsi="Times New Roman" w:cs="Times New Roman"/>
                <w:b/>
                <w:color w:val="000000"/>
                <w:sz w:val="18"/>
                <w:szCs w:val="18"/>
              </w:rPr>
            </w:pPr>
            <w:r w:rsidRPr="004E3E02">
              <w:rPr>
                <w:rFonts w:ascii="Times New Roman" w:hAnsi="Times New Roman" w:cs="Times New Roman"/>
                <w:color w:val="000000"/>
                <w:sz w:val="18"/>
                <w:szCs w:val="18"/>
                <w:vertAlign w:val="superscript"/>
              </w:rPr>
              <w:t>a</w:t>
            </w:r>
            <w:r w:rsidRPr="004E3E02">
              <w:rPr>
                <w:rFonts w:ascii="Times New Roman" w:hAnsi="Times New Roman" w:cs="Times New Roman"/>
                <w:color w:val="000000"/>
                <w:sz w:val="18"/>
                <w:szCs w:val="18"/>
              </w:rPr>
              <w:t xml:space="preserve"> Source: Salaries &amp; Wages for the locality of Washington-Baltimore-Arlington </w:t>
            </w:r>
            <w:r w:rsidRPr="004E3E02">
              <w:rPr>
                <w:rFonts w:ascii="Times New Roman" w:hAnsi="Times New Roman" w:cs="Times New Roman"/>
                <w:color w:val="000000"/>
                <w:sz w:val="18"/>
                <w:szCs w:val="18"/>
              </w:rPr>
              <w:fldChar w:fldCharType="begin"/>
            </w:r>
            <w:r w:rsidRPr="004E3E02">
              <w:rPr>
                <w:rFonts w:ascii="Times New Roman" w:hAnsi="Times New Roman" w:cs="Times New Roman"/>
                <w:color w:val="000000"/>
                <w:sz w:val="18"/>
                <w:szCs w:val="18"/>
              </w:rPr>
              <w:instrText xml:space="preserve"> ADDIN ZOTERO_ITEM CSL_CITATION {"citationID":"a1s9lmpqqji","properties":{"formattedCitation":"(OPM, 2016)","plainCitation":"(OPM, 2016)"},"citationItems":[{"id":534,"uris":["http://zotero.org/groups/1140234/items/NQX6DG96"],"uri":["http://zotero.org/groups/1140234/items/NQX6DG96"],"itemData":{"id":534,"type":"webpage","title":"Pay &amp; Leave: Salaries &amp; Wages: Salary Table 2016-DCB","URL":"www.opm.gov/policy-data-oversight/pay-leave/salaries-wages/salary-tables/16Tables/html/DCB_h.aspx","shortTitle":"Pay &amp; Leave: Salaries &amp; Wages: Salary Table 2016-DCB","author":[{"literal":"OPM"}],"issued":{"date-parts":[["2016"]]}}}],"schema":"https://github.com/citation-style-language/schema/raw/master/csl-citation.json"} </w:instrText>
            </w:r>
            <w:r w:rsidRPr="004E3E02">
              <w:rPr>
                <w:rFonts w:ascii="Times New Roman" w:hAnsi="Times New Roman" w:cs="Times New Roman"/>
                <w:color w:val="000000"/>
                <w:sz w:val="18"/>
                <w:szCs w:val="18"/>
              </w:rPr>
              <w:fldChar w:fldCharType="separate"/>
            </w:r>
            <w:r w:rsidRPr="00810C62">
              <w:rPr>
                <w:rFonts w:ascii="Times New Roman" w:hAnsi="Times New Roman" w:cs="Times New Roman"/>
                <w:sz w:val="18"/>
              </w:rPr>
              <w:t>(OPM, 2016)</w:t>
            </w:r>
            <w:r w:rsidRPr="004E3E02">
              <w:rPr>
                <w:rFonts w:ascii="Times New Roman" w:hAnsi="Times New Roman" w:cs="Times New Roman"/>
                <w:color w:val="000000"/>
                <w:sz w:val="18"/>
                <w:szCs w:val="18"/>
              </w:rPr>
              <w:fldChar w:fldCharType="end"/>
            </w:r>
            <w:r w:rsidRPr="004E3E02">
              <w:rPr>
                <w:rFonts w:ascii="Times New Roman" w:hAnsi="Times New Roman" w:cs="Times New Roman"/>
                <w:color w:val="000000"/>
                <w:sz w:val="18"/>
                <w:szCs w:val="18"/>
              </w:rPr>
              <w:t>.</w:t>
            </w:r>
          </w:p>
          <w:p w14:paraId="4A72C7C7" w14:textId="77777777" w:rsidR="00505245" w:rsidRPr="004E3E02" w:rsidRDefault="00505245" w:rsidP="00505245">
            <w:pPr>
              <w:shd w:val="clear" w:color="auto" w:fill="F2F2F2" w:themeFill="background1" w:themeFillShade="F2"/>
              <w:rPr>
                <w:rFonts w:ascii="Times New Roman" w:hAnsi="Times New Roman" w:cs="Times New Roman"/>
                <w:b/>
                <w:color w:val="000000"/>
                <w:sz w:val="18"/>
                <w:szCs w:val="18"/>
              </w:rPr>
            </w:pPr>
            <w:r w:rsidRPr="004E3E02">
              <w:rPr>
                <w:rFonts w:ascii="Times New Roman" w:hAnsi="Times New Roman" w:cs="Times New Roman"/>
                <w:color w:val="000000"/>
                <w:sz w:val="18"/>
                <w:szCs w:val="18"/>
                <w:vertAlign w:val="superscript"/>
              </w:rPr>
              <w:t xml:space="preserve">b </w:t>
            </w:r>
            <w:r w:rsidRPr="004E3E02">
              <w:rPr>
                <w:rFonts w:ascii="Times New Roman" w:hAnsi="Times New Roman" w:cs="Times New Roman"/>
                <w:color w:val="000000"/>
                <w:sz w:val="18"/>
                <w:szCs w:val="18"/>
              </w:rPr>
              <w:t>The 60 percent fringes-and-overhead rate is from</w:t>
            </w:r>
            <w:r w:rsidRPr="004E3E02">
              <w:rPr>
                <w:rFonts w:ascii="Times New Roman" w:hAnsi="Times New Roman" w:cs="Times New Roman"/>
                <w:i/>
                <w:iCs/>
                <w:color w:val="000000"/>
                <w:sz w:val="18"/>
                <w:szCs w:val="18"/>
              </w:rPr>
              <w:t xml:space="preserve"> Instructions for Preparing ICRs </w:t>
            </w:r>
            <w:r w:rsidRPr="004E3E02">
              <w:rPr>
                <w:rFonts w:ascii="Times New Roman" w:hAnsi="Times New Roman" w:cs="Times New Roman"/>
                <w:i/>
                <w:iCs/>
                <w:color w:val="000000"/>
                <w:sz w:val="18"/>
                <w:szCs w:val="18"/>
              </w:rPr>
              <w:fldChar w:fldCharType="begin"/>
            </w:r>
            <w:r w:rsidRPr="004E3E02">
              <w:rPr>
                <w:rFonts w:ascii="Times New Roman" w:hAnsi="Times New Roman" w:cs="Times New Roman"/>
                <w:i/>
                <w:iCs/>
                <w:color w:val="000000"/>
                <w:sz w:val="18"/>
                <w:szCs w:val="18"/>
              </w:rPr>
              <w:instrText xml:space="preserve"> ADDIN ZOTERO_ITEM CSL_CITATION {"citationID":"a1pf3p0m0p9","properties":{"formattedCitation":"(EPA, 2009)","plainCitation":"(EPA, 2009)"},"citationItems":[{"id":518,"uris":["http://zotero.org/groups/1140234/items/5J3UQV4V"],"uri":["http://zotero.org/groups/1140234/items/5J3UQV4V"],"itemData":{"id":518,"type":"report","title":"ICR Handbook: EPA's Guide to Writing Information Collection Requests under the Paperwork Reduction Act of 1995","URL":"https://www.pdffiller.com/10247637--ICR-Handbook---Environmental-Protection-Agency-","author":[{"literal":"EPA"}],"issued":{"date-parts":[["2009"]]}}}],"schema":"https://github.com/citation-style-language/schema/raw/master/csl-citation.json"} </w:instrText>
            </w:r>
            <w:r w:rsidRPr="004E3E02">
              <w:rPr>
                <w:rFonts w:ascii="Times New Roman" w:hAnsi="Times New Roman" w:cs="Times New Roman"/>
                <w:i/>
                <w:iCs/>
                <w:color w:val="000000"/>
                <w:sz w:val="18"/>
                <w:szCs w:val="18"/>
              </w:rPr>
              <w:fldChar w:fldCharType="separate"/>
            </w:r>
            <w:r w:rsidRPr="00810C62">
              <w:rPr>
                <w:rFonts w:ascii="Times New Roman" w:hAnsi="Times New Roman" w:cs="Times New Roman"/>
                <w:sz w:val="18"/>
              </w:rPr>
              <w:t>(EPA, 2009)</w:t>
            </w:r>
            <w:r w:rsidRPr="004E3E02">
              <w:rPr>
                <w:rFonts w:ascii="Times New Roman" w:hAnsi="Times New Roman" w:cs="Times New Roman"/>
                <w:i/>
                <w:iCs/>
                <w:color w:val="000000"/>
                <w:sz w:val="18"/>
                <w:szCs w:val="18"/>
              </w:rPr>
              <w:fldChar w:fldCharType="end"/>
            </w:r>
            <w:r w:rsidRPr="004E3E02">
              <w:rPr>
                <w:rFonts w:ascii="Times New Roman" w:hAnsi="Times New Roman" w:cs="Times New Roman"/>
                <w:color w:val="000000"/>
                <w:sz w:val="18"/>
                <w:szCs w:val="18"/>
              </w:rPr>
              <w:t>.</w:t>
            </w:r>
          </w:p>
          <w:p w14:paraId="30670286" w14:textId="77777777" w:rsidR="00505245" w:rsidRPr="004E3E02" w:rsidRDefault="00505245" w:rsidP="00505245">
            <w:pPr>
              <w:shd w:val="clear" w:color="auto" w:fill="F2F2F2" w:themeFill="background1" w:themeFillShade="F2"/>
              <w:rPr>
                <w:rFonts w:ascii="Times New Roman" w:hAnsi="Times New Roman" w:cs="Times New Roman"/>
                <w:b/>
                <w:color w:val="000000"/>
                <w:sz w:val="18"/>
                <w:szCs w:val="18"/>
              </w:rPr>
            </w:pPr>
            <w:r w:rsidRPr="004E3E02">
              <w:rPr>
                <w:rFonts w:ascii="Times New Roman" w:hAnsi="Times New Roman" w:cs="Times New Roman"/>
                <w:color w:val="000000"/>
                <w:sz w:val="18"/>
                <w:szCs w:val="18"/>
                <w:vertAlign w:val="superscript"/>
              </w:rPr>
              <w:t>c</w:t>
            </w:r>
            <w:r w:rsidRPr="004E3E02">
              <w:rPr>
                <w:rFonts w:ascii="Times New Roman" w:hAnsi="Times New Roman" w:cs="Times New Roman"/>
                <w:color w:val="000000"/>
                <w:sz w:val="18"/>
                <w:szCs w:val="18"/>
              </w:rPr>
              <w:t xml:space="preserve"> The inflation factor of “1” in the formula for calculating the fringe + overhead factor means wage data are not escalated to reflect inflation.</w:t>
            </w:r>
          </w:p>
        </w:tc>
      </w:tr>
    </w:tbl>
    <w:p w14:paraId="614D8FF3" w14:textId="77777777" w:rsidR="00505245" w:rsidRPr="00CE0EC5" w:rsidRDefault="00505245" w:rsidP="00505245">
      <w:pPr>
        <w:autoSpaceDE w:val="0"/>
        <w:autoSpaceDN w:val="0"/>
        <w:adjustRightInd w:val="0"/>
        <w:rPr>
          <w:rFonts w:ascii="Times New Roman" w:hAnsi="Times New Roman" w:cs="Times New Roman"/>
        </w:rPr>
      </w:pPr>
    </w:p>
    <w:p w14:paraId="77983E28" w14:textId="77777777" w:rsidR="00505245" w:rsidRDefault="00505245" w:rsidP="00505245">
      <w:pPr>
        <w:keepNext/>
        <w:spacing w:after="120" w:line="264" w:lineRule="auto"/>
        <w:rPr>
          <w:rFonts w:ascii="Times New Roman" w:hAnsi="Times New Roman"/>
          <w:b/>
          <w:bCs/>
          <w:sz w:val="24"/>
          <w:szCs w:val="24"/>
        </w:rPr>
      </w:pPr>
      <w:bookmarkStart w:id="28" w:name="_Ref468869953"/>
      <w:r w:rsidRPr="00CB1F18">
        <w:rPr>
          <w:rFonts w:ascii="Times New Roman" w:hAnsi="Times New Roman"/>
          <w:b/>
          <w:bCs/>
          <w:sz w:val="24"/>
          <w:szCs w:val="24"/>
        </w:rPr>
        <w:t xml:space="preserve">Table </w:t>
      </w:r>
      <w:r>
        <w:rPr>
          <w:rFonts w:ascii="Times New Roman" w:hAnsi="Times New Roman"/>
          <w:sz w:val="24"/>
          <w:szCs w:val="24"/>
        </w:rPr>
        <w:fldChar w:fldCharType="begin"/>
      </w:r>
      <w:r>
        <w:rPr>
          <w:rFonts w:ascii="Times New Roman" w:hAnsi="Times New Roman"/>
          <w:b/>
          <w:bCs/>
          <w:sz w:val="24"/>
          <w:szCs w:val="24"/>
        </w:rPr>
        <w:instrText xml:space="preserve"> SEQ Table \* ARABIC </w:instrText>
      </w:r>
      <w:r>
        <w:rPr>
          <w:rFonts w:ascii="Times New Roman" w:hAnsi="Times New Roman"/>
          <w:sz w:val="24"/>
          <w:szCs w:val="24"/>
        </w:rPr>
        <w:fldChar w:fldCharType="separate"/>
      </w:r>
      <w:r>
        <w:rPr>
          <w:rFonts w:ascii="Times New Roman" w:hAnsi="Times New Roman"/>
          <w:b/>
          <w:bCs/>
          <w:noProof/>
          <w:sz w:val="24"/>
          <w:szCs w:val="24"/>
        </w:rPr>
        <w:t>7</w:t>
      </w:r>
      <w:r>
        <w:rPr>
          <w:rFonts w:ascii="Times New Roman" w:hAnsi="Times New Roman"/>
          <w:sz w:val="24"/>
          <w:szCs w:val="24"/>
        </w:rPr>
        <w:fldChar w:fldCharType="end"/>
      </w:r>
      <w:bookmarkEnd w:id="28"/>
      <w:r w:rsidRPr="00CB1F18">
        <w:rPr>
          <w:rFonts w:ascii="Times New Roman" w:hAnsi="Times New Roman"/>
          <w:b/>
          <w:bCs/>
          <w:sz w:val="24"/>
          <w:szCs w:val="24"/>
        </w:rPr>
        <w:t>. Agency Burden and Cost for IT and Inventory Publicatio</w:t>
      </w:r>
      <w:r>
        <w:rPr>
          <w:rFonts w:ascii="Times New Roman" w:hAnsi="Times New Roman"/>
          <w:b/>
          <w:bCs/>
          <w:sz w:val="24"/>
          <w:szCs w:val="24"/>
        </w:rPr>
        <w:t>n</w:t>
      </w:r>
    </w:p>
    <w:tbl>
      <w:tblPr>
        <w:tblW w:w="9113" w:type="dxa"/>
        <w:tblInd w:w="103" w:type="dxa"/>
        <w:tblLayout w:type="fixed"/>
        <w:tblLook w:val="04A0" w:firstRow="1" w:lastRow="0" w:firstColumn="1" w:lastColumn="0" w:noHBand="0" w:noVBand="1"/>
      </w:tblPr>
      <w:tblGrid>
        <w:gridCol w:w="2885"/>
        <w:gridCol w:w="1620"/>
        <w:gridCol w:w="1350"/>
        <w:gridCol w:w="1530"/>
        <w:gridCol w:w="1728"/>
      </w:tblGrid>
      <w:tr w:rsidR="00505245" w:rsidRPr="008D24E0" w14:paraId="42AD58B2" w14:textId="77777777" w:rsidTr="00505245">
        <w:trPr>
          <w:trHeight w:val="288"/>
        </w:trPr>
        <w:tc>
          <w:tcPr>
            <w:tcW w:w="2885" w:type="dxa"/>
            <w:tcBorders>
              <w:top w:val="single" w:sz="12" w:space="0" w:color="auto"/>
              <w:left w:val="single" w:sz="12" w:space="0" w:color="auto"/>
              <w:bottom w:val="nil"/>
              <w:right w:val="single" w:sz="4" w:space="0" w:color="auto"/>
            </w:tcBorders>
            <w:shd w:val="clear" w:color="auto" w:fill="BFBFBF" w:themeFill="background1" w:themeFillShade="BF"/>
            <w:noWrap/>
            <w:vAlign w:val="bottom"/>
            <w:hideMark/>
          </w:tcPr>
          <w:p w14:paraId="26957F6A" w14:textId="77777777" w:rsidR="00505245" w:rsidRPr="00BA0423" w:rsidRDefault="00505245" w:rsidP="00505245">
            <w:pPr>
              <w:keepNext/>
              <w:spacing w:beforeLines="20" w:before="48" w:afterLines="20" w:after="48"/>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Activity</w:t>
            </w:r>
          </w:p>
        </w:tc>
        <w:tc>
          <w:tcPr>
            <w:tcW w:w="1620" w:type="dxa"/>
            <w:tcBorders>
              <w:top w:val="single" w:sz="12" w:space="0" w:color="auto"/>
              <w:left w:val="nil"/>
              <w:bottom w:val="nil"/>
              <w:right w:val="single" w:sz="4" w:space="0" w:color="auto"/>
            </w:tcBorders>
            <w:shd w:val="clear" w:color="auto" w:fill="BFBFBF" w:themeFill="background1" w:themeFillShade="BF"/>
            <w:noWrap/>
            <w:vAlign w:val="bottom"/>
            <w:hideMark/>
          </w:tcPr>
          <w:p w14:paraId="5045DB26" w14:textId="77777777" w:rsidR="00505245" w:rsidRPr="00BA0423" w:rsidRDefault="00505245" w:rsidP="00505245">
            <w:pPr>
              <w:keepNext/>
              <w:spacing w:beforeLines="20" w:before="48" w:afterLines="20" w:after="48"/>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Burden</w:t>
            </w:r>
          </w:p>
        </w:tc>
        <w:tc>
          <w:tcPr>
            <w:tcW w:w="1350" w:type="dxa"/>
            <w:tcBorders>
              <w:top w:val="single" w:sz="12" w:space="0" w:color="auto"/>
              <w:left w:val="nil"/>
              <w:bottom w:val="nil"/>
              <w:right w:val="single" w:sz="4" w:space="0" w:color="auto"/>
            </w:tcBorders>
            <w:shd w:val="clear" w:color="auto" w:fill="BFBFBF" w:themeFill="background1" w:themeFillShade="BF"/>
            <w:noWrap/>
            <w:vAlign w:val="bottom"/>
            <w:hideMark/>
          </w:tcPr>
          <w:p w14:paraId="22F53240" w14:textId="77777777" w:rsidR="00505245" w:rsidRPr="00BA0423" w:rsidRDefault="00505245" w:rsidP="00505245">
            <w:pPr>
              <w:keepNext/>
              <w:spacing w:beforeLines="20" w:before="48" w:afterLines="20" w:after="48"/>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Labor Cost</w:t>
            </w:r>
          </w:p>
        </w:tc>
        <w:tc>
          <w:tcPr>
            <w:tcW w:w="1530" w:type="dxa"/>
            <w:tcBorders>
              <w:top w:val="single" w:sz="12" w:space="0" w:color="auto"/>
              <w:left w:val="nil"/>
              <w:bottom w:val="nil"/>
              <w:right w:val="single" w:sz="4" w:space="0" w:color="auto"/>
            </w:tcBorders>
            <w:shd w:val="clear" w:color="auto" w:fill="BFBFBF" w:themeFill="background1" w:themeFillShade="BF"/>
            <w:noWrap/>
            <w:vAlign w:val="bottom"/>
            <w:hideMark/>
          </w:tcPr>
          <w:p w14:paraId="339574E0" w14:textId="77777777" w:rsidR="00505245" w:rsidRPr="00BA0423" w:rsidRDefault="00505245" w:rsidP="00505245">
            <w:pPr>
              <w:keepNext/>
              <w:spacing w:beforeLines="20" w:before="48" w:afterLines="20" w:after="48"/>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Non-Labor Cost</w:t>
            </w:r>
          </w:p>
        </w:tc>
        <w:tc>
          <w:tcPr>
            <w:tcW w:w="1728" w:type="dxa"/>
            <w:tcBorders>
              <w:top w:val="single" w:sz="12" w:space="0" w:color="auto"/>
              <w:left w:val="nil"/>
              <w:bottom w:val="nil"/>
              <w:right w:val="single" w:sz="12" w:space="0" w:color="auto"/>
            </w:tcBorders>
            <w:shd w:val="clear" w:color="auto" w:fill="BFBFBF" w:themeFill="background1" w:themeFillShade="BF"/>
            <w:vAlign w:val="bottom"/>
            <w:hideMark/>
          </w:tcPr>
          <w:p w14:paraId="07B194FD" w14:textId="77777777" w:rsidR="00505245" w:rsidRPr="00BA0423" w:rsidRDefault="00505245" w:rsidP="00505245">
            <w:pPr>
              <w:keepNext/>
              <w:spacing w:beforeLines="20" w:before="48" w:afterLines="20" w:after="48"/>
              <w:contextualSpacing/>
              <w:jc w:val="center"/>
              <w:rPr>
                <w:rFonts w:ascii="Times New Roman" w:hAnsi="Times New Roman" w:cs="Times New Roman"/>
                <w:b/>
                <w:bCs/>
                <w:color w:val="000000"/>
                <w:sz w:val="20"/>
              </w:rPr>
            </w:pPr>
            <w:r w:rsidRPr="00BA0423">
              <w:rPr>
                <w:rFonts w:ascii="Times New Roman" w:hAnsi="Times New Roman" w:cs="Times New Roman"/>
                <w:b/>
                <w:bCs/>
                <w:color w:val="000000"/>
                <w:sz w:val="20"/>
              </w:rPr>
              <w:t>Total Cost (2016$)</w:t>
            </w:r>
          </w:p>
        </w:tc>
      </w:tr>
      <w:tr w:rsidR="00505245" w:rsidRPr="008D24E0" w14:paraId="44E9F489" w14:textId="77777777" w:rsidTr="00505245">
        <w:trPr>
          <w:trHeight w:val="300"/>
        </w:trPr>
        <w:tc>
          <w:tcPr>
            <w:tcW w:w="2885" w:type="dxa"/>
            <w:tcBorders>
              <w:top w:val="single" w:sz="4" w:space="0" w:color="auto"/>
              <w:left w:val="single" w:sz="12" w:space="0" w:color="auto"/>
              <w:bottom w:val="single" w:sz="4" w:space="0" w:color="auto"/>
              <w:right w:val="nil"/>
            </w:tcBorders>
            <w:shd w:val="clear" w:color="auto" w:fill="auto"/>
            <w:noWrap/>
            <w:vAlign w:val="bottom"/>
            <w:hideMark/>
          </w:tcPr>
          <w:p w14:paraId="0F3073A4" w14:textId="77777777" w:rsidR="00505245" w:rsidRPr="00BA0423" w:rsidRDefault="00505245" w:rsidP="00505245">
            <w:pPr>
              <w:keepNext/>
              <w:spacing w:beforeLines="20" w:before="48" w:afterLines="20" w:after="48"/>
              <w:contextualSpacing/>
              <w:rPr>
                <w:rFonts w:ascii="Times New Roman" w:hAnsi="Times New Roman" w:cs="Times New Roman"/>
                <w:b/>
                <w:i/>
                <w:iCs/>
                <w:color w:val="000000"/>
                <w:sz w:val="20"/>
              </w:rPr>
            </w:pPr>
            <w:r w:rsidRPr="00BA0423">
              <w:rPr>
                <w:rFonts w:ascii="Times New Roman" w:hAnsi="Times New Roman" w:cs="Times New Roman"/>
                <w:b/>
                <w:i/>
                <w:iCs/>
                <w:color w:val="000000"/>
                <w:sz w:val="20"/>
              </w:rPr>
              <w:t>Start-Up Reporting Period</w:t>
            </w:r>
          </w:p>
        </w:tc>
        <w:tc>
          <w:tcPr>
            <w:tcW w:w="1620" w:type="dxa"/>
            <w:tcBorders>
              <w:top w:val="single" w:sz="4" w:space="0" w:color="auto"/>
              <w:left w:val="nil"/>
              <w:bottom w:val="single" w:sz="4" w:space="0" w:color="auto"/>
              <w:right w:val="nil"/>
            </w:tcBorders>
            <w:shd w:val="clear" w:color="auto" w:fill="auto"/>
            <w:noWrap/>
            <w:vAlign w:val="center"/>
            <w:hideMark/>
          </w:tcPr>
          <w:p w14:paraId="50D11F49" w14:textId="77777777" w:rsidR="00505245" w:rsidRPr="00BA0423" w:rsidRDefault="00505245" w:rsidP="00505245">
            <w:pPr>
              <w:keepNext/>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 </w:t>
            </w:r>
          </w:p>
        </w:tc>
        <w:tc>
          <w:tcPr>
            <w:tcW w:w="1350" w:type="dxa"/>
            <w:tcBorders>
              <w:top w:val="single" w:sz="4" w:space="0" w:color="auto"/>
              <w:left w:val="nil"/>
              <w:bottom w:val="single" w:sz="4" w:space="0" w:color="auto"/>
              <w:right w:val="nil"/>
            </w:tcBorders>
            <w:shd w:val="clear" w:color="auto" w:fill="auto"/>
            <w:noWrap/>
            <w:vAlign w:val="center"/>
            <w:hideMark/>
          </w:tcPr>
          <w:p w14:paraId="01AA2304"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 </w:t>
            </w:r>
          </w:p>
        </w:tc>
        <w:tc>
          <w:tcPr>
            <w:tcW w:w="1530" w:type="dxa"/>
            <w:tcBorders>
              <w:top w:val="single" w:sz="4" w:space="0" w:color="auto"/>
              <w:left w:val="nil"/>
              <w:bottom w:val="single" w:sz="4" w:space="0" w:color="auto"/>
              <w:right w:val="nil"/>
            </w:tcBorders>
            <w:shd w:val="clear" w:color="auto" w:fill="auto"/>
            <w:noWrap/>
            <w:vAlign w:val="center"/>
            <w:hideMark/>
          </w:tcPr>
          <w:p w14:paraId="770E0EB7"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 </w:t>
            </w:r>
          </w:p>
        </w:tc>
        <w:tc>
          <w:tcPr>
            <w:tcW w:w="1728" w:type="dxa"/>
            <w:tcBorders>
              <w:top w:val="single" w:sz="4" w:space="0" w:color="auto"/>
              <w:left w:val="nil"/>
              <w:bottom w:val="single" w:sz="4" w:space="0" w:color="auto"/>
              <w:right w:val="single" w:sz="12" w:space="0" w:color="auto"/>
            </w:tcBorders>
            <w:shd w:val="clear" w:color="auto" w:fill="auto"/>
            <w:noWrap/>
            <w:vAlign w:val="center"/>
            <w:hideMark/>
          </w:tcPr>
          <w:p w14:paraId="71578082"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 </w:t>
            </w:r>
          </w:p>
        </w:tc>
      </w:tr>
      <w:tr w:rsidR="00505245" w:rsidRPr="008D24E0" w14:paraId="580D2AAF" w14:textId="77777777" w:rsidTr="00505245">
        <w:trPr>
          <w:trHeight w:val="300"/>
        </w:trPr>
        <w:tc>
          <w:tcPr>
            <w:tcW w:w="2885" w:type="dxa"/>
            <w:tcBorders>
              <w:top w:val="nil"/>
              <w:left w:val="single" w:sz="12" w:space="0" w:color="auto"/>
              <w:bottom w:val="single" w:sz="4" w:space="0" w:color="auto"/>
              <w:right w:val="single" w:sz="4" w:space="0" w:color="auto"/>
            </w:tcBorders>
            <w:shd w:val="clear" w:color="auto" w:fill="auto"/>
            <w:noWrap/>
            <w:vAlign w:val="center"/>
            <w:hideMark/>
          </w:tcPr>
          <w:p w14:paraId="5E57089B" w14:textId="77777777" w:rsidR="00505245" w:rsidRPr="00BA0423" w:rsidRDefault="00505245" w:rsidP="00505245">
            <w:pPr>
              <w:keepNext/>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CDX and CISS Expansion</w:t>
            </w:r>
          </w:p>
        </w:tc>
        <w:tc>
          <w:tcPr>
            <w:tcW w:w="1620" w:type="dxa"/>
            <w:tcBorders>
              <w:top w:val="nil"/>
              <w:left w:val="nil"/>
              <w:bottom w:val="single" w:sz="4" w:space="0" w:color="auto"/>
              <w:right w:val="single" w:sz="4" w:space="0" w:color="auto"/>
            </w:tcBorders>
            <w:shd w:val="clear" w:color="auto" w:fill="auto"/>
            <w:noWrap/>
            <w:vAlign w:val="center"/>
            <w:hideMark/>
          </w:tcPr>
          <w:p w14:paraId="4BF1FE2C" w14:textId="77777777" w:rsidR="00505245" w:rsidRPr="00BA0423" w:rsidRDefault="00505245" w:rsidP="00505245">
            <w:pPr>
              <w:keepNext/>
              <w:spacing w:beforeLines="20" w:before="48" w:afterLines="20" w:after="48"/>
              <w:contextualSpacing/>
              <w:jc w:val="center"/>
              <w:rPr>
                <w:rFonts w:ascii="Times New Roman" w:hAnsi="Times New Roman" w:cs="Times New Roman"/>
                <w:color w:val="000000"/>
                <w:sz w:val="20"/>
              </w:rPr>
            </w:pPr>
            <w:r w:rsidRPr="00BA0423">
              <w:rPr>
                <w:rFonts w:ascii="Times New Roman" w:hAnsi="Times New Roman" w:cs="Times New Roman"/>
                <w:color w:val="000000"/>
                <w:sz w:val="20"/>
              </w:rPr>
              <w:t>2 FTE</w:t>
            </w:r>
          </w:p>
        </w:tc>
        <w:tc>
          <w:tcPr>
            <w:tcW w:w="1350" w:type="dxa"/>
            <w:tcBorders>
              <w:top w:val="nil"/>
              <w:left w:val="nil"/>
              <w:bottom w:val="single" w:sz="4" w:space="0" w:color="auto"/>
              <w:right w:val="single" w:sz="4" w:space="0" w:color="auto"/>
            </w:tcBorders>
            <w:shd w:val="clear" w:color="auto" w:fill="auto"/>
            <w:noWrap/>
            <w:vAlign w:val="center"/>
            <w:hideMark/>
          </w:tcPr>
          <w:p w14:paraId="1DB0ABFD"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$333,050</w:t>
            </w:r>
          </w:p>
        </w:tc>
        <w:tc>
          <w:tcPr>
            <w:tcW w:w="1530" w:type="dxa"/>
            <w:tcBorders>
              <w:top w:val="nil"/>
              <w:left w:val="nil"/>
              <w:bottom w:val="single" w:sz="4" w:space="0" w:color="auto"/>
              <w:right w:val="single" w:sz="4" w:space="0" w:color="auto"/>
            </w:tcBorders>
            <w:shd w:val="clear" w:color="auto" w:fill="auto"/>
            <w:noWrap/>
            <w:vAlign w:val="center"/>
            <w:hideMark/>
          </w:tcPr>
          <w:p w14:paraId="1DC2BFC3"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$185,000</w:t>
            </w:r>
          </w:p>
        </w:tc>
        <w:tc>
          <w:tcPr>
            <w:tcW w:w="1728" w:type="dxa"/>
            <w:tcBorders>
              <w:top w:val="nil"/>
              <w:left w:val="nil"/>
              <w:bottom w:val="single" w:sz="4" w:space="0" w:color="auto"/>
              <w:right w:val="single" w:sz="12" w:space="0" w:color="auto"/>
            </w:tcBorders>
            <w:shd w:val="clear" w:color="auto" w:fill="auto"/>
            <w:noWrap/>
            <w:vAlign w:val="center"/>
            <w:hideMark/>
          </w:tcPr>
          <w:p w14:paraId="53434DD1"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$518,050</w:t>
            </w:r>
          </w:p>
        </w:tc>
      </w:tr>
      <w:tr w:rsidR="00505245" w:rsidRPr="008D24E0" w14:paraId="267C957B" w14:textId="77777777" w:rsidTr="00505245">
        <w:trPr>
          <w:trHeight w:val="600"/>
        </w:trPr>
        <w:tc>
          <w:tcPr>
            <w:tcW w:w="2885" w:type="dxa"/>
            <w:tcBorders>
              <w:top w:val="nil"/>
              <w:left w:val="single" w:sz="12" w:space="0" w:color="auto"/>
              <w:bottom w:val="single" w:sz="4" w:space="0" w:color="auto"/>
              <w:right w:val="single" w:sz="4" w:space="0" w:color="auto"/>
            </w:tcBorders>
            <w:shd w:val="clear" w:color="auto" w:fill="auto"/>
            <w:noWrap/>
            <w:vAlign w:val="center"/>
            <w:hideMark/>
          </w:tcPr>
          <w:p w14:paraId="0C2B5AA9" w14:textId="77777777" w:rsidR="00505245" w:rsidRPr="00BA0423" w:rsidRDefault="00505245" w:rsidP="00505245">
            <w:pPr>
              <w:keepNext/>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Management of NOA Submissions</w:t>
            </w:r>
          </w:p>
        </w:tc>
        <w:tc>
          <w:tcPr>
            <w:tcW w:w="1620" w:type="dxa"/>
            <w:tcBorders>
              <w:top w:val="nil"/>
              <w:left w:val="nil"/>
              <w:bottom w:val="single" w:sz="4" w:space="0" w:color="auto"/>
              <w:right w:val="single" w:sz="4" w:space="0" w:color="auto"/>
            </w:tcBorders>
            <w:shd w:val="clear" w:color="auto" w:fill="auto"/>
            <w:vAlign w:val="center"/>
            <w:hideMark/>
          </w:tcPr>
          <w:p w14:paraId="7641CC20" w14:textId="77777777" w:rsidR="00505245" w:rsidRPr="00BA0423" w:rsidRDefault="00505245" w:rsidP="00505245">
            <w:pPr>
              <w:keepNext/>
              <w:spacing w:beforeLines="20" w:before="48" w:afterLines="20" w:after="48"/>
              <w:contextualSpacing/>
              <w:jc w:val="center"/>
              <w:rPr>
                <w:rFonts w:ascii="Times New Roman" w:hAnsi="Times New Roman" w:cs="Times New Roman"/>
                <w:color w:val="000000"/>
                <w:sz w:val="20"/>
              </w:rPr>
            </w:pPr>
            <w:r>
              <w:rPr>
                <w:rFonts w:ascii="Times New Roman" w:hAnsi="Times New Roman" w:cs="Times New Roman"/>
                <w:color w:val="000000"/>
                <w:sz w:val="20"/>
              </w:rPr>
              <w:t>19</w:t>
            </w:r>
            <w:r w:rsidRPr="00BA0423">
              <w:rPr>
                <w:rFonts w:ascii="Times New Roman" w:hAnsi="Times New Roman" w:cs="Times New Roman"/>
                <w:color w:val="000000"/>
                <w:sz w:val="20"/>
              </w:rPr>
              <w:t>.</w:t>
            </w:r>
            <w:r>
              <w:rPr>
                <w:rFonts w:ascii="Times New Roman" w:hAnsi="Times New Roman" w:cs="Times New Roman"/>
                <w:color w:val="000000"/>
                <w:sz w:val="20"/>
              </w:rPr>
              <w:t>8</w:t>
            </w:r>
            <w:r w:rsidRPr="00BA0423">
              <w:rPr>
                <w:rFonts w:ascii="Times New Roman" w:hAnsi="Times New Roman" w:cs="Times New Roman"/>
                <w:color w:val="000000"/>
                <w:sz w:val="20"/>
              </w:rPr>
              <w:t xml:space="preserve">0 hours × </w:t>
            </w:r>
            <w:r>
              <w:rPr>
                <w:rFonts w:ascii="Times New Roman" w:hAnsi="Times New Roman" w:cs="Times New Roman"/>
                <w:color w:val="000000"/>
                <w:sz w:val="20"/>
              </w:rPr>
              <w:t>1,685</w:t>
            </w:r>
            <w:r w:rsidRPr="00BA0423">
              <w:rPr>
                <w:rFonts w:ascii="Times New Roman" w:hAnsi="Times New Roman" w:cs="Times New Roman"/>
                <w:color w:val="000000"/>
                <w:sz w:val="20"/>
              </w:rPr>
              <w:t xml:space="preserve"> submissions</w:t>
            </w:r>
          </w:p>
        </w:tc>
        <w:tc>
          <w:tcPr>
            <w:tcW w:w="1350" w:type="dxa"/>
            <w:tcBorders>
              <w:top w:val="nil"/>
              <w:left w:val="nil"/>
              <w:bottom w:val="single" w:sz="4" w:space="0" w:color="auto"/>
              <w:right w:val="single" w:sz="4" w:space="0" w:color="auto"/>
            </w:tcBorders>
            <w:shd w:val="clear" w:color="auto" w:fill="auto"/>
            <w:noWrap/>
            <w:vAlign w:val="center"/>
            <w:hideMark/>
          </w:tcPr>
          <w:p w14:paraId="5540D372"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w:t>
            </w:r>
            <w:r>
              <w:rPr>
                <w:rFonts w:ascii="Times New Roman" w:hAnsi="Times New Roman" w:cs="Times New Roman"/>
                <w:color w:val="000000"/>
                <w:sz w:val="20"/>
              </w:rPr>
              <w:t>2,671,042</w:t>
            </w:r>
          </w:p>
        </w:tc>
        <w:tc>
          <w:tcPr>
            <w:tcW w:w="1530" w:type="dxa"/>
            <w:tcBorders>
              <w:top w:val="nil"/>
              <w:left w:val="nil"/>
              <w:bottom w:val="single" w:sz="4" w:space="0" w:color="auto"/>
              <w:right w:val="single" w:sz="4" w:space="0" w:color="auto"/>
            </w:tcBorders>
            <w:shd w:val="clear" w:color="auto" w:fill="auto"/>
            <w:noWrap/>
            <w:vAlign w:val="center"/>
            <w:hideMark/>
          </w:tcPr>
          <w:p w14:paraId="32FCA4F1"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$0</w:t>
            </w:r>
          </w:p>
        </w:tc>
        <w:tc>
          <w:tcPr>
            <w:tcW w:w="1728" w:type="dxa"/>
            <w:tcBorders>
              <w:top w:val="nil"/>
              <w:left w:val="nil"/>
              <w:bottom w:val="single" w:sz="4" w:space="0" w:color="auto"/>
              <w:right w:val="single" w:sz="12" w:space="0" w:color="auto"/>
            </w:tcBorders>
            <w:shd w:val="clear" w:color="auto" w:fill="auto"/>
            <w:noWrap/>
            <w:vAlign w:val="center"/>
            <w:hideMark/>
          </w:tcPr>
          <w:p w14:paraId="215073F0"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w:t>
            </w:r>
            <w:r>
              <w:rPr>
                <w:rFonts w:ascii="Times New Roman" w:hAnsi="Times New Roman" w:cs="Times New Roman"/>
                <w:color w:val="000000"/>
                <w:sz w:val="20"/>
              </w:rPr>
              <w:t>2,671,042</w:t>
            </w:r>
          </w:p>
        </w:tc>
      </w:tr>
      <w:tr w:rsidR="00505245" w:rsidRPr="008D24E0" w14:paraId="3CF1DF9C" w14:textId="77777777" w:rsidTr="00505245">
        <w:trPr>
          <w:trHeight w:val="300"/>
        </w:trPr>
        <w:tc>
          <w:tcPr>
            <w:tcW w:w="2885" w:type="dxa"/>
            <w:tcBorders>
              <w:top w:val="nil"/>
              <w:left w:val="single" w:sz="12" w:space="0" w:color="auto"/>
              <w:bottom w:val="single" w:sz="12" w:space="0" w:color="auto"/>
              <w:right w:val="single" w:sz="4" w:space="0" w:color="auto"/>
            </w:tcBorders>
            <w:shd w:val="clear" w:color="auto" w:fill="auto"/>
            <w:noWrap/>
            <w:vAlign w:val="center"/>
            <w:hideMark/>
          </w:tcPr>
          <w:p w14:paraId="147F5A9D" w14:textId="77777777" w:rsidR="00505245" w:rsidRPr="00BA0423" w:rsidRDefault="00505245" w:rsidP="00505245">
            <w:pPr>
              <w:keepNext/>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TSCA Inventory Setup</w:t>
            </w:r>
          </w:p>
        </w:tc>
        <w:tc>
          <w:tcPr>
            <w:tcW w:w="1620" w:type="dxa"/>
            <w:tcBorders>
              <w:top w:val="nil"/>
              <w:left w:val="nil"/>
              <w:bottom w:val="single" w:sz="12" w:space="0" w:color="auto"/>
              <w:right w:val="single" w:sz="4" w:space="0" w:color="auto"/>
            </w:tcBorders>
            <w:shd w:val="clear" w:color="auto" w:fill="auto"/>
            <w:noWrap/>
            <w:vAlign w:val="center"/>
            <w:hideMark/>
          </w:tcPr>
          <w:p w14:paraId="74C40516" w14:textId="77777777" w:rsidR="00505245" w:rsidRPr="00BA0423" w:rsidRDefault="00505245" w:rsidP="00505245">
            <w:pPr>
              <w:keepNext/>
              <w:spacing w:beforeLines="20" w:before="48" w:afterLines="20" w:after="48"/>
              <w:contextualSpacing/>
              <w:jc w:val="center"/>
              <w:rPr>
                <w:rFonts w:ascii="Times New Roman" w:hAnsi="Times New Roman" w:cs="Times New Roman"/>
                <w:color w:val="000000"/>
                <w:sz w:val="20"/>
              </w:rPr>
            </w:pPr>
            <w:r w:rsidRPr="00BA0423">
              <w:rPr>
                <w:rFonts w:ascii="Times New Roman" w:hAnsi="Times New Roman" w:cs="Times New Roman"/>
                <w:color w:val="000000"/>
                <w:sz w:val="20"/>
              </w:rPr>
              <w:t>2 FTE</w:t>
            </w:r>
          </w:p>
        </w:tc>
        <w:tc>
          <w:tcPr>
            <w:tcW w:w="1350" w:type="dxa"/>
            <w:tcBorders>
              <w:top w:val="nil"/>
              <w:left w:val="nil"/>
              <w:bottom w:val="single" w:sz="12" w:space="0" w:color="auto"/>
              <w:right w:val="single" w:sz="4" w:space="0" w:color="auto"/>
            </w:tcBorders>
            <w:shd w:val="clear" w:color="auto" w:fill="auto"/>
            <w:noWrap/>
            <w:vAlign w:val="center"/>
            <w:hideMark/>
          </w:tcPr>
          <w:p w14:paraId="1F0404D8"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$333,050</w:t>
            </w:r>
          </w:p>
        </w:tc>
        <w:tc>
          <w:tcPr>
            <w:tcW w:w="1530" w:type="dxa"/>
            <w:tcBorders>
              <w:top w:val="nil"/>
              <w:left w:val="nil"/>
              <w:bottom w:val="single" w:sz="12" w:space="0" w:color="auto"/>
              <w:right w:val="single" w:sz="4" w:space="0" w:color="auto"/>
            </w:tcBorders>
            <w:shd w:val="clear" w:color="auto" w:fill="auto"/>
            <w:noWrap/>
            <w:vAlign w:val="center"/>
            <w:hideMark/>
          </w:tcPr>
          <w:p w14:paraId="783AA303"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$100,000</w:t>
            </w:r>
          </w:p>
        </w:tc>
        <w:tc>
          <w:tcPr>
            <w:tcW w:w="1728" w:type="dxa"/>
            <w:tcBorders>
              <w:top w:val="nil"/>
              <w:left w:val="nil"/>
              <w:bottom w:val="single" w:sz="12" w:space="0" w:color="auto"/>
              <w:right w:val="single" w:sz="12" w:space="0" w:color="auto"/>
            </w:tcBorders>
            <w:shd w:val="clear" w:color="auto" w:fill="auto"/>
            <w:noWrap/>
            <w:vAlign w:val="center"/>
            <w:hideMark/>
          </w:tcPr>
          <w:p w14:paraId="7C8CB467"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$433,050</w:t>
            </w:r>
          </w:p>
        </w:tc>
      </w:tr>
      <w:tr w:rsidR="00505245" w:rsidRPr="008D24E0" w14:paraId="765B3E64" w14:textId="77777777" w:rsidTr="00505245">
        <w:trPr>
          <w:trHeight w:val="300"/>
        </w:trPr>
        <w:tc>
          <w:tcPr>
            <w:tcW w:w="2885" w:type="dxa"/>
            <w:tcBorders>
              <w:top w:val="single" w:sz="12" w:space="0" w:color="auto"/>
              <w:left w:val="single" w:sz="12" w:space="0" w:color="auto"/>
              <w:bottom w:val="single" w:sz="12" w:space="0" w:color="auto"/>
              <w:right w:val="nil"/>
            </w:tcBorders>
            <w:shd w:val="clear" w:color="auto" w:fill="auto"/>
            <w:noWrap/>
            <w:vAlign w:val="center"/>
            <w:hideMark/>
          </w:tcPr>
          <w:p w14:paraId="261C37D1" w14:textId="77777777" w:rsidR="00505245" w:rsidRPr="00BA0423" w:rsidRDefault="00505245" w:rsidP="00505245">
            <w:pPr>
              <w:keepNext/>
              <w:spacing w:beforeLines="20" w:before="48" w:afterLines="20" w:after="48"/>
              <w:contextualSpacing/>
              <w:rPr>
                <w:rFonts w:ascii="Times New Roman" w:hAnsi="Times New Roman" w:cs="Times New Roman"/>
                <w:b/>
                <w:bCs/>
                <w:color w:val="000000"/>
                <w:sz w:val="20"/>
              </w:rPr>
            </w:pPr>
            <w:r w:rsidRPr="00BA0423">
              <w:rPr>
                <w:rFonts w:ascii="Times New Roman" w:hAnsi="Times New Roman" w:cs="Times New Roman"/>
                <w:b/>
                <w:bCs/>
                <w:color w:val="000000"/>
                <w:sz w:val="20"/>
              </w:rPr>
              <w:t>TOTAL Start-Up Period Costs</w:t>
            </w:r>
          </w:p>
        </w:tc>
        <w:tc>
          <w:tcPr>
            <w:tcW w:w="1620" w:type="dxa"/>
            <w:tcBorders>
              <w:top w:val="single" w:sz="12" w:space="0" w:color="auto"/>
              <w:left w:val="nil"/>
              <w:bottom w:val="single" w:sz="12" w:space="0" w:color="auto"/>
              <w:right w:val="nil"/>
            </w:tcBorders>
            <w:shd w:val="clear" w:color="auto" w:fill="auto"/>
            <w:noWrap/>
            <w:vAlign w:val="center"/>
            <w:hideMark/>
          </w:tcPr>
          <w:p w14:paraId="23962618" w14:textId="77777777" w:rsidR="00505245" w:rsidRPr="00BA0423" w:rsidRDefault="00505245" w:rsidP="00505245">
            <w:pPr>
              <w:keepNext/>
              <w:spacing w:beforeLines="20" w:before="48" w:afterLines="20" w:after="48"/>
              <w:contextualSpacing/>
              <w:jc w:val="center"/>
              <w:rPr>
                <w:rFonts w:ascii="Times New Roman" w:hAnsi="Times New Roman" w:cs="Times New Roman"/>
                <w:color w:val="000000"/>
                <w:sz w:val="20"/>
              </w:rPr>
            </w:pPr>
            <w:r w:rsidRPr="00BA0423">
              <w:rPr>
                <w:rFonts w:ascii="Times New Roman" w:hAnsi="Times New Roman" w:cs="Times New Roman"/>
                <w:color w:val="000000"/>
                <w:sz w:val="20"/>
              </w:rPr>
              <w:t> </w:t>
            </w:r>
          </w:p>
        </w:tc>
        <w:tc>
          <w:tcPr>
            <w:tcW w:w="1350" w:type="dxa"/>
            <w:tcBorders>
              <w:top w:val="single" w:sz="12" w:space="0" w:color="auto"/>
              <w:left w:val="nil"/>
              <w:bottom w:val="single" w:sz="12" w:space="0" w:color="auto"/>
              <w:right w:val="nil"/>
            </w:tcBorders>
            <w:shd w:val="clear" w:color="auto" w:fill="auto"/>
            <w:noWrap/>
            <w:vAlign w:val="center"/>
            <w:hideMark/>
          </w:tcPr>
          <w:p w14:paraId="5240200A"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 </w:t>
            </w:r>
          </w:p>
        </w:tc>
        <w:tc>
          <w:tcPr>
            <w:tcW w:w="1530" w:type="dxa"/>
            <w:tcBorders>
              <w:top w:val="single" w:sz="12" w:space="0" w:color="auto"/>
              <w:left w:val="nil"/>
              <w:bottom w:val="single" w:sz="12" w:space="0" w:color="auto"/>
              <w:right w:val="nil"/>
            </w:tcBorders>
            <w:shd w:val="clear" w:color="auto" w:fill="auto"/>
            <w:noWrap/>
            <w:vAlign w:val="center"/>
            <w:hideMark/>
          </w:tcPr>
          <w:p w14:paraId="0119F7C1"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 </w:t>
            </w:r>
          </w:p>
        </w:tc>
        <w:tc>
          <w:tcPr>
            <w:tcW w:w="1728" w:type="dxa"/>
            <w:tcBorders>
              <w:top w:val="single" w:sz="12" w:space="0" w:color="auto"/>
              <w:left w:val="nil"/>
              <w:bottom w:val="single" w:sz="12" w:space="0" w:color="auto"/>
              <w:right w:val="single" w:sz="12" w:space="0" w:color="auto"/>
            </w:tcBorders>
            <w:shd w:val="clear" w:color="auto" w:fill="auto"/>
            <w:noWrap/>
            <w:vAlign w:val="center"/>
            <w:hideMark/>
          </w:tcPr>
          <w:p w14:paraId="5C424B9A" w14:textId="77777777" w:rsidR="00505245" w:rsidRPr="00BA0423" w:rsidRDefault="00505245" w:rsidP="00505245">
            <w:pPr>
              <w:keepNext/>
              <w:spacing w:beforeLines="20" w:before="48" w:afterLines="20" w:after="48"/>
              <w:ind w:firstLineChars="100" w:firstLine="201"/>
              <w:contextualSpacing/>
              <w:jc w:val="right"/>
              <w:rPr>
                <w:rFonts w:ascii="Times New Roman" w:hAnsi="Times New Roman" w:cs="Times New Roman"/>
                <w:b/>
                <w:bCs/>
                <w:color w:val="000000"/>
                <w:sz w:val="20"/>
              </w:rPr>
            </w:pPr>
            <w:r w:rsidRPr="00BA0423">
              <w:rPr>
                <w:rFonts w:ascii="Times New Roman" w:hAnsi="Times New Roman" w:cs="Times New Roman"/>
                <w:b/>
                <w:bCs/>
                <w:color w:val="000000"/>
                <w:sz w:val="20"/>
              </w:rPr>
              <w:t>$</w:t>
            </w:r>
            <w:r>
              <w:rPr>
                <w:rFonts w:ascii="Times New Roman" w:hAnsi="Times New Roman" w:cs="Times New Roman"/>
                <w:b/>
                <w:bCs/>
                <w:color w:val="000000"/>
                <w:sz w:val="20"/>
              </w:rPr>
              <w:t>3,622,142</w:t>
            </w:r>
          </w:p>
        </w:tc>
      </w:tr>
      <w:tr w:rsidR="00505245" w:rsidRPr="008D24E0" w14:paraId="26CD1C5C" w14:textId="77777777" w:rsidTr="00505245">
        <w:trPr>
          <w:trHeight w:val="300"/>
        </w:trPr>
        <w:tc>
          <w:tcPr>
            <w:tcW w:w="9113" w:type="dxa"/>
            <w:gridSpan w:val="5"/>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57579C4" w14:textId="77777777" w:rsidR="00505245" w:rsidRPr="00BA0423" w:rsidRDefault="00505245" w:rsidP="00505245">
            <w:pPr>
              <w:keepNext/>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b/>
                <w:i/>
                <w:iCs/>
                <w:color w:val="000000"/>
                <w:sz w:val="20"/>
              </w:rPr>
              <w:t>Annual Ongoing Reporting Period</w:t>
            </w:r>
            <w:r w:rsidRPr="00BA0423">
              <w:rPr>
                <w:rFonts w:ascii="Times New Roman" w:hAnsi="Times New Roman" w:cs="Times New Roman"/>
                <w:color w:val="000000"/>
                <w:sz w:val="20"/>
              </w:rPr>
              <w:t> </w:t>
            </w:r>
          </w:p>
        </w:tc>
      </w:tr>
      <w:tr w:rsidR="00505245" w:rsidRPr="008D24E0" w14:paraId="63DB52DE" w14:textId="77777777" w:rsidTr="00505245">
        <w:trPr>
          <w:trHeight w:val="300"/>
        </w:trPr>
        <w:tc>
          <w:tcPr>
            <w:tcW w:w="2885" w:type="dxa"/>
            <w:tcBorders>
              <w:top w:val="nil"/>
              <w:left w:val="single" w:sz="12" w:space="0" w:color="auto"/>
              <w:bottom w:val="single" w:sz="4" w:space="0" w:color="auto"/>
              <w:right w:val="single" w:sz="4" w:space="0" w:color="auto"/>
            </w:tcBorders>
            <w:shd w:val="clear" w:color="auto" w:fill="auto"/>
            <w:noWrap/>
            <w:vAlign w:val="center"/>
            <w:hideMark/>
          </w:tcPr>
          <w:p w14:paraId="25C5CC31" w14:textId="77777777" w:rsidR="00505245" w:rsidRPr="00BA0423" w:rsidRDefault="00505245" w:rsidP="00505245">
            <w:pPr>
              <w:keepNext/>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CDX and CISS</w:t>
            </w:r>
          </w:p>
        </w:tc>
        <w:tc>
          <w:tcPr>
            <w:tcW w:w="1620" w:type="dxa"/>
            <w:tcBorders>
              <w:top w:val="nil"/>
              <w:left w:val="nil"/>
              <w:bottom w:val="single" w:sz="4" w:space="0" w:color="auto"/>
              <w:right w:val="single" w:sz="4" w:space="0" w:color="auto"/>
            </w:tcBorders>
            <w:shd w:val="clear" w:color="auto" w:fill="auto"/>
            <w:noWrap/>
            <w:vAlign w:val="center"/>
            <w:hideMark/>
          </w:tcPr>
          <w:p w14:paraId="30373451" w14:textId="77777777" w:rsidR="00505245" w:rsidRPr="00BA0423" w:rsidRDefault="00505245" w:rsidP="00505245">
            <w:pPr>
              <w:keepNext/>
              <w:spacing w:beforeLines="20" w:before="48" w:afterLines="20" w:after="48"/>
              <w:contextualSpacing/>
              <w:jc w:val="center"/>
              <w:rPr>
                <w:rFonts w:ascii="Times New Roman" w:hAnsi="Times New Roman" w:cs="Times New Roman"/>
                <w:color w:val="000000"/>
                <w:sz w:val="20"/>
              </w:rPr>
            </w:pPr>
            <w:r w:rsidRPr="00BA0423">
              <w:rPr>
                <w:rFonts w:ascii="Times New Roman" w:hAnsi="Times New Roman" w:cs="Times New Roman"/>
                <w:color w:val="000000"/>
                <w:sz w:val="20"/>
              </w:rPr>
              <w:t>0.5 FTE</w:t>
            </w:r>
          </w:p>
        </w:tc>
        <w:tc>
          <w:tcPr>
            <w:tcW w:w="1350" w:type="dxa"/>
            <w:tcBorders>
              <w:top w:val="nil"/>
              <w:left w:val="nil"/>
              <w:bottom w:val="single" w:sz="4" w:space="0" w:color="auto"/>
              <w:right w:val="single" w:sz="4" w:space="0" w:color="auto"/>
            </w:tcBorders>
            <w:shd w:val="clear" w:color="auto" w:fill="auto"/>
            <w:noWrap/>
            <w:vAlign w:val="center"/>
            <w:hideMark/>
          </w:tcPr>
          <w:p w14:paraId="50DEC9F6"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$83,262</w:t>
            </w:r>
          </w:p>
        </w:tc>
        <w:tc>
          <w:tcPr>
            <w:tcW w:w="1530" w:type="dxa"/>
            <w:tcBorders>
              <w:top w:val="nil"/>
              <w:left w:val="nil"/>
              <w:bottom w:val="single" w:sz="4" w:space="0" w:color="auto"/>
              <w:right w:val="single" w:sz="4" w:space="0" w:color="auto"/>
            </w:tcBorders>
            <w:shd w:val="clear" w:color="auto" w:fill="auto"/>
            <w:noWrap/>
            <w:vAlign w:val="center"/>
            <w:hideMark/>
          </w:tcPr>
          <w:p w14:paraId="0DF6C799"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$10,000</w:t>
            </w:r>
          </w:p>
        </w:tc>
        <w:tc>
          <w:tcPr>
            <w:tcW w:w="1728" w:type="dxa"/>
            <w:tcBorders>
              <w:top w:val="nil"/>
              <w:left w:val="nil"/>
              <w:bottom w:val="single" w:sz="4" w:space="0" w:color="auto"/>
              <w:right w:val="single" w:sz="12" w:space="0" w:color="auto"/>
            </w:tcBorders>
            <w:shd w:val="clear" w:color="auto" w:fill="auto"/>
            <w:noWrap/>
            <w:vAlign w:val="center"/>
            <w:hideMark/>
          </w:tcPr>
          <w:p w14:paraId="4F53FB45" w14:textId="77777777" w:rsidR="00505245" w:rsidRPr="00BA0423" w:rsidRDefault="00505245" w:rsidP="00505245">
            <w:pPr>
              <w:keepNext/>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$93,262</w:t>
            </w:r>
          </w:p>
        </w:tc>
      </w:tr>
      <w:tr w:rsidR="00505245" w:rsidRPr="008D24E0" w14:paraId="38E59B3B" w14:textId="77777777" w:rsidTr="00505245">
        <w:trPr>
          <w:trHeight w:val="600"/>
        </w:trPr>
        <w:tc>
          <w:tcPr>
            <w:tcW w:w="2885" w:type="dxa"/>
            <w:tcBorders>
              <w:top w:val="nil"/>
              <w:left w:val="single" w:sz="12" w:space="0" w:color="auto"/>
              <w:bottom w:val="single" w:sz="4" w:space="0" w:color="auto"/>
              <w:right w:val="single" w:sz="4" w:space="0" w:color="auto"/>
            </w:tcBorders>
            <w:shd w:val="clear" w:color="auto" w:fill="auto"/>
            <w:noWrap/>
            <w:vAlign w:val="center"/>
            <w:hideMark/>
          </w:tcPr>
          <w:p w14:paraId="7006EF74" w14:textId="77777777" w:rsidR="00505245" w:rsidRPr="00BA0423" w:rsidRDefault="00505245" w:rsidP="00505245">
            <w:pPr>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Management of NOA Submissions</w:t>
            </w:r>
          </w:p>
        </w:tc>
        <w:tc>
          <w:tcPr>
            <w:tcW w:w="1620" w:type="dxa"/>
            <w:tcBorders>
              <w:top w:val="nil"/>
              <w:left w:val="nil"/>
              <w:bottom w:val="single" w:sz="4" w:space="0" w:color="auto"/>
              <w:right w:val="single" w:sz="4" w:space="0" w:color="auto"/>
            </w:tcBorders>
            <w:shd w:val="clear" w:color="auto" w:fill="auto"/>
            <w:vAlign w:val="center"/>
            <w:hideMark/>
          </w:tcPr>
          <w:p w14:paraId="551D290E" w14:textId="77777777" w:rsidR="00505245" w:rsidRPr="00BA0423" w:rsidRDefault="00505245" w:rsidP="00505245">
            <w:pPr>
              <w:spacing w:beforeLines="20" w:before="48" w:afterLines="20" w:after="48"/>
              <w:contextualSpacing/>
              <w:jc w:val="center"/>
              <w:rPr>
                <w:rFonts w:ascii="Times New Roman" w:hAnsi="Times New Roman" w:cs="Times New Roman"/>
                <w:color w:val="000000"/>
                <w:sz w:val="20"/>
              </w:rPr>
            </w:pPr>
            <w:r>
              <w:rPr>
                <w:rFonts w:ascii="Times New Roman" w:hAnsi="Times New Roman" w:cs="Times New Roman"/>
                <w:color w:val="000000"/>
                <w:sz w:val="20"/>
              </w:rPr>
              <w:t>19.8</w:t>
            </w:r>
            <w:r w:rsidRPr="00BA0423">
              <w:rPr>
                <w:rFonts w:ascii="Times New Roman" w:hAnsi="Times New Roman" w:cs="Times New Roman"/>
                <w:color w:val="000000"/>
                <w:sz w:val="20"/>
              </w:rPr>
              <w:t>0 hours × 20 submissions</w:t>
            </w:r>
          </w:p>
        </w:tc>
        <w:tc>
          <w:tcPr>
            <w:tcW w:w="1350" w:type="dxa"/>
            <w:tcBorders>
              <w:top w:val="nil"/>
              <w:left w:val="nil"/>
              <w:bottom w:val="single" w:sz="4" w:space="0" w:color="auto"/>
              <w:right w:val="single" w:sz="4" w:space="0" w:color="auto"/>
            </w:tcBorders>
            <w:shd w:val="clear" w:color="auto" w:fill="auto"/>
            <w:noWrap/>
            <w:vAlign w:val="center"/>
            <w:hideMark/>
          </w:tcPr>
          <w:p w14:paraId="5ABCD7EC" w14:textId="77777777" w:rsidR="00505245" w:rsidRPr="00BA0423" w:rsidRDefault="00505245" w:rsidP="00505245">
            <w:pPr>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w:t>
            </w:r>
            <w:r>
              <w:rPr>
                <w:rFonts w:ascii="Times New Roman" w:hAnsi="Times New Roman" w:cs="Times New Roman"/>
                <w:color w:val="000000"/>
                <w:sz w:val="20"/>
              </w:rPr>
              <w:t>31,704</w:t>
            </w:r>
          </w:p>
        </w:tc>
        <w:tc>
          <w:tcPr>
            <w:tcW w:w="1530" w:type="dxa"/>
            <w:tcBorders>
              <w:top w:val="nil"/>
              <w:left w:val="nil"/>
              <w:bottom w:val="single" w:sz="4" w:space="0" w:color="auto"/>
              <w:right w:val="single" w:sz="4" w:space="0" w:color="auto"/>
            </w:tcBorders>
            <w:shd w:val="clear" w:color="auto" w:fill="auto"/>
            <w:noWrap/>
            <w:vAlign w:val="center"/>
            <w:hideMark/>
          </w:tcPr>
          <w:p w14:paraId="19B470C6" w14:textId="77777777" w:rsidR="00505245" w:rsidRPr="00BA0423" w:rsidRDefault="00505245" w:rsidP="00505245">
            <w:pPr>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$0</w:t>
            </w:r>
          </w:p>
        </w:tc>
        <w:tc>
          <w:tcPr>
            <w:tcW w:w="1728" w:type="dxa"/>
            <w:tcBorders>
              <w:top w:val="nil"/>
              <w:left w:val="nil"/>
              <w:bottom w:val="single" w:sz="4" w:space="0" w:color="auto"/>
              <w:right w:val="single" w:sz="12" w:space="0" w:color="auto"/>
            </w:tcBorders>
            <w:shd w:val="clear" w:color="auto" w:fill="auto"/>
            <w:noWrap/>
            <w:vAlign w:val="center"/>
            <w:hideMark/>
          </w:tcPr>
          <w:p w14:paraId="3A570EF5" w14:textId="77777777" w:rsidR="00505245" w:rsidRPr="00BA0423" w:rsidRDefault="00505245" w:rsidP="00505245">
            <w:pPr>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w:t>
            </w:r>
            <w:r>
              <w:rPr>
                <w:rFonts w:ascii="Times New Roman" w:hAnsi="Times New Roman" w:cs="Times New Roman"/>
                <w:color w:val="000000"/>
                <w:sz w:val="20"/>
              </w:rPr>
              <w:t>31,704</w:t>
            </w:r>
          </w:p>
        </w:tc>
      </w:tr>
      <w:tr w:rsidR="00505245" w:rsidRPr="008D24E0" w14:paraId="08BDFC5F" w14:textId="77777777" w:rsidTr="00505245">
        <w:trPr>
          <w:trHeight w:val="300"/>
        </w:trPr>
        <w:tc>
          <w:tcPr>
            <w:tcW w:w="2885" w:type="dxa"/>
            <w:tcBorders>
              <w:top w:val="nil"/>
              <w:left w:val="single" w:sz="12" w:space="0" w:color="auto"/>
              <w:bottom w:val="single" w:sz="12" w:space="0" w:color="auto"/>
              <w:right w:val="single" w:sz="4" w:space="0" w:color="auto"/>
            </w:tcBorders>
            <w:shd w:val="clear" w:color="auto" w:fill="auto"/>
            <w:noWrap/>
            <w:vAlign w:val="center"/>
            <w:hideMark/>
          </w:tcPr>
          <w:p w14:paraId="5B80F22F" w14:textId="77777777" w:rsidR="00505245" w:rsidRPr="00BA0423" w:rsidRDefault="00505245" w:rsidP="00505245">
            <w:pPr>
              <w:spacing w:beforeLines="20" w:before="48" w:afterLines="20" w:after="48"/>
              <w:contextualSpacing/>
              <w:rPr>
                <w:rFonts w:ascii="Times New Roman" w:hAnsi="Times New Roman" w:cs="Times New Roman"/>
                <w:color w:val="000000"/>
                <w:sz w:val="20"/>
              </w:rPr>
            </w:pPr>
            <w:r w:rsidRPr="00BA0423">
              <w:rPr>
                <w:rFonts w:ascii="Times New Roman" w:hAnsi="Times New Roman" w:cs="Times New Roman"/>
                <w:color w:val="000000"/>
                <w:sz w:val="20"/>
              </w:rPr>
              <w:t>TSCA Inventory Maintenance</w:t>
            </w:r>
          </w:p>
        </w:tc>
        <w:tc>
          <w:tcPr>
            <w:tcW w:w="1620" w:type="dxa"/>
            <w:tcBorders>
              <w:top w:val="nil"/>
              <w:left w:val="nil"/>
              <w:bottom w:val="single" w:sz="12" w:space="0" w:color="auto"/>
              <w:right w:val="single" w:sz="4" w:space="0" w:color="auto"/>
            </w:tcBorders>
            <w:shd w:val="clear" w:color="auto" w:fill="auto"/>
            <w:noWrap/>
            <w:vAlign w:val="center"/>
            <w:hideMark/>
          </w:tcPr>
          <w:p w14:paraId="7CD7E769" w14:textId="77777777" w:rsidR="00505245" w:rsidRPr="00BA0423" w:rsidRDefault="00505245" w:rsidP="00505245">
            <w:pPr>
              <w:spacing w:beforeLines="20" w:before="48" w:afterLines="20" w:after="48"/>
              <w:contextualSpacing/>
              <w:jc w:val="center"/>
              <w:rPr>
                <w:rFonts w:ascii="Times New Roman" w:hAnsi="Times New Roman" w:cs="Times New Roman"/>
                <w:color w:val="000000"/>
                <w:sz w:val="20"/>
              </w:rPr>
            </w:pPr>
            <w:r w:rsidRPr="00BA0423">
              <w:rPr>
                <w:rFonts w:ascii="Times New Roman" w:hAnsi="Times New Roman" w:cs="Times New Roman"/>
                <w:color w:val="000000"/>
                <w:sz w:val="20"/>
              </w:rPr>
              <w:t>0.5 FTE</w:t>
            </w:r>
          </w:p>
        </w:tc>
        <w:tc>
          <w:tcPr>
            <w:tcW w:w="1350" w:type="dxa"/>
            <w:tcBorders>
              <w:top w:val="nil"/>
              <w:left w:val="nil"/>
              <w:bottom w:val="single" w:sz="12" w:space="0" w:color="auto"/>
              <w:right w:val="single" w:sz="4" w:space="0" w:color="auto"/>
            </w:tcBorders>
            <w:shd w:val="clear" w:color="auto" w:fill="auto"/>
            <w:noWrap/>
            <w:vAlign w:val="center"/>
            <w:hideMark/>
          </w:tcPr>
          <w:p w14:paraId="01D5AE65" w14:textId="77777777" w:rsidR="00505245" w:rsidRPr="00BA0423" w:rsidRDefault="00505245" w:rsidP="00505245">
            <w:pPr>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$83,262</w:t>
            </w:r>
          </w:p>
        </w:tc>
        <w:tc>
          <w:tcPr>
            <w:tcW w:w="1530" w:type="dxa"/>
            <w:tcBorders>
              <w:top w:val="nil"/>
              <w:left w:val="nil"/>
              <w:bottom w:val="single" w:sz="12" w:space="0" w:color="auto"/>
              <w:right w:val="single" w:sz="4" w:space="0" w:color="auto"/>
            </w:tcBorders>
            <w:shd w:val="clear" w:color="auto" w:fill="auto"/>
            <w:noWrap/>
            <w:vAlign w:val="center"/>
            <w:hideMark/>
          </w:tcPr>
          <w:p w14:paraId="7D9006EB" w14:textId="77777777" w:rsidR="00505245" w:rsidRPr="00BA0423" w:rsidRDefault="00505245" w:rsidP="00505245">
            <w:pPr>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$10,000</w:t>
            </w:r>
          </w:p>
        </w:tc>
        <w:tc>
          <w:tcPr>
            <w:tcW w:w="1728" w:type="dxa"/>
            <w:tcBorders>
              <w:top w:val="nil"/>
              <w:left w:val="nil"/>
              <w:bottom w:val="single" w:sz="12" w:space="0" w:color="auto"/>
              <w:right w:val="single" w:sz="12" w:space="0" w:color="auto"/>
            </w:tcBorders>
            <w:shd w:val="clear" w:color="auto" w:fill="auto"/>
            <w:noWrap/>
            <w:vAlign w:val="center"/>
            <w:hideMark/>
          </w:tcPr>
          <w:p w14:paraId="1966685A" w14:textId="77777777" w:rsidR="00505245" w:rsidRPr="00BA0423" w:rsidRDefault="00505245" w:rsidP="00505245">
            <w:pPr>
              <w:spacing w:beforeLines="20" w:before="48" w:afterLines="20" w:after="48"/>
              <w:ind w:firstLineChars="100" w:firstLine="200"/>
              <w:contextualSpacing/>
              <w:jc w:val="right"/>
              <w:rPr>
                <w:rFonts w:ascii="Times New Roman" w:hAnsi="Times New Roman" w:cs="Times New Roman"/>
                <w:color w:val="000000"/>
                <w:sz w:val="20"/>
              </w:rPr>
            </w:pPr>
            <w:r w:rsidRPr="00BA0423">
              <w:rPr>
                <w:rFonts w:ascii="Times New Roman" w:hAnsi="Times New Roman" w:cs="Times New Roman"/>
                <w:color w:val="000000"/>
                <w:sz w:val="20"/>
              </w:rPr>
              <w:t>$93,262</w:t>
            </w:r>
          </w:p>
        </w:tc>
      </w:tr>
      <w:tr w:rsidR="00505245" w:rsidRPr="008D24E0" w14:paraId="16081265" w14:textId="77777777" w:rsidTr="00505245">
        <w:trPr>
          <w:trHeight w:val="300"/>
        </w:trPr>
        <w:tc>
          <w:tcPr>
            <w:tcW w:w="4505" w:type="dxa"/>
            <w:gridSpan w:val="2"/>
            <w:tcBorders>
              <w:top w:val="single" w:sz="12" w:space="0" w:color="auto"/>
              <w:left w:val="single" w:sz="12" w:space="0" w:color="auto"/>
              <w:bottom w:val="single" w:sz="12" w:space="0" w:color="auto"/>
              <w:right w:val="nil"/>
            </w:tcBorders>
            <w:shd w:val="clear" w:color="auto" w:fill="auto"/>
            <w:noWrap/>
            <w:vAlign w:val="bottom"/>
            <w:hideMark/>
          </w:tcPr>
          <w:p w14:paraId="7B877A69" w14:textId="77777777" w:rsidR="00505245" w:rsidRPr="00BA0423" w:rsidRDefault="00505245" w:rsidP="00505245">
            <w:pPr>
              <w:spacing w:beforeLines="20" w:before="48" w:afterLines="20" w:after="48"/>
              <w:contextualSpacing/>
              <w:rPr>
                <w:rFonts w:ascii="Times New Roman" w:hAnsi="Times New Roman" w:cs="Times New Roman"/>
                <w:b/>
                <w:bCs/>
                <w:color w:val="000000"/>
                <w:sz w:val="20"/>
              </w:rPr>
            </w:pPr>
            <w:r w:rsidRPr="00BA0423">
              <w:rPr>
                <w:rFonts w:ascii="Times New Roman" w:hAnsi="Times New Roman" w:cs="Times New Roman"/>
                <w:b/>
                <w:bCs/>
                <w:color w:val="000000"/>
                <w:sz w:val="20"/>
              </w:rPr>
              <w:t>TOTAL Annual Ongoing Costs</w:t>
            </w:r>
          </w:p>
        </w:tc>
        <w:tc>
          <w:tcPr>
            <w:tcW w:w="1350" w:type="dxa"/>
            <w:tcBorders>
              <w:top w:val="single" w:sz="12" w:space="0" w:color="auto"/>
              <w:left w:val="nil"/>
              <w:bottom w:val="single" w:sz="12" w:space="0" w:color="auto"/>
              <w:right w:val="nil"/>
            </w:tcBorders>
            <w:shd w:val="clear" w:color="auto" w:fill="auto"/>
            <w:noWrap/>
            <w:vAlign w:val="bottom"/>
            <w:hideMark/>
          </w:tcPr>
          <w:p w14:paraId="17700D4D" w14:textId="77777777" w:rsidR="00505245" w:rsidRPr="00BA0423" w:rsidRDefault="00505245" w:rsidP="00505245">
            <w:pPr>
              <w:spacing w:beforeLines="20" w:before="48" w:afterLines="20" w:after="48"/>
              <w:contextualSpacing/>
              <w:rPr>
                <w:rFonts w:ascii="Times New Roman" w:hAnsi="Times New Roman" w:cs="Times New Roman"/>
                <w:b/>
                <w:bCs/>
                <w:color w:val="000000"/>
                <w:sz w:val="20"/>
              </w:rPr>
            </w:pPr>
            <w:r w:rsidRPr="00BA0423">
              <w:rPr>
                <w:rFonts w:ascii="Times New Roman" w:hAnsi="Times New Roman" w:cs="Times New Roman"/>
                <w:b/>
                <w:bCs/>
                <w:color w:val="000000"/>
                <w:sz w:val="20"/>
              </w:rPr>
              <w:t> </w:t>
            </w:r>
          </w:p>
        </w:tc>
        <w:tc>
          <w:tcPr>
            <w:tcW w:w="1530" w:type="dxa"/>
            <w:tcBorders>
              <w:top w:val="single" w:sz="12" w:space="0" w:color="auto"/>
              <w:left w:val="nil"/>
              <w:bottom w:val="single" w:sz="12" w:space="0" w:color="auto"/>
              <w:right w:val="nil"/>
            </w:tcBorders>
            <w:shd w:val="clear" w:color="auto" w:fill="auto"/>
            <w:noWrap/>
            <w:vAlign w:val="bottom"/>
            <w:hideMark/>
          </w:tcPr>
          <w:p w14:paraId="40BAFFE4" w14:textId="77777777" w:rsidR="00505245" w:rsidRPr="00BA0423" w:rsidRDefault="00505245" w:rsidP="00505245">
            <w:pPr>
              <w:spacing w:beforeLines="20" w:before="48" w:afterLines="20" w:after="48"/>
              <w:contextualSpacing/>
              <w:rPr>
                <w:rFonts w:ascii="Times New Roman" w:hAnsi="Times New Roman" w:cs="Times New Roman"/>
                <w:b/>
                <w:bCs/>
                <w:color w:val="000000"/>
                <w:sz w:val="20"/>
              </w:rPr>
            </w:pPr>
            <w:r w:rsidRPr="00BA0423">
              <w:rPr>
                <w:rFonts w:ascii="Times New Roman" w:hAnsi="Times New Roman" w:cs="Times New Roman"/>
                <w:b/>
                <w:bCs/>
                <w:color w:val="000000"/>
                <w:sz w:val="20"/>
              </w:rPr>
              <w:t> </w:t>
            </w:r>
          </w:p>
        </w:tc>
        <w:tc>
          <w:tcPr>
            <w:tcW w:w="1728" w:type="dxa"/>
            <w:tcBorders>
              <w:top w:val="single" w:sz="12" w:space="0" w:color="auto"/>
              <w:left w:val="nil"/>
              <w:bottom w:val="single" w:sz="12" w:space="0" w:color="auto"/>
              <w:right w:val="single" w:sz="12" w:space="0" w:color="auto"/>
            </w:tcBorders>
            <w:shd w:val="clear" w:color="auto" w:fill="auto"/>
            <w:noWrap/>
            <w:vAlign w:val="center"/>
            <w:hideMark/>
          </w:tcPr>
          <w:p w14:paraId="60F79B27" w14:textId="77777777" w:rsidR="00505245" w:rsidRPr="00BA0423" w:rsidRDefault="00505245" w:rsidP="00505245">
            <w:pPr>
              <w:spacing w:beforeLines="20" w:before="48" w:afterLines="20" w:after="48"/>
              <w:ind w:firstLineChars="100" w:firstLine="201"/>
              <w:contextualSpacing/>
              <w:jc w:val="right"/>
              <w:rPr>
                <w:rFonts w:ascii="Times New Roman" w:hAnsi="Times New Roman" w:cs="Times New Roman"/>
                <w:b/>
                <w:bCs/>
                <w:color w:val="000000"/>
                <w:sz w:val="20"/>
              </w:rPr>
            </w:pPr>
            <w:r w:rsidRPr="00BA0423">
              <w:rPr>
                <w:rFonts w:ascii="Times New Roman" w:hAnsi="Times New Roman" w:cs="Times New Roman"/>
                <w:b/>
                <w:bCs/>
                <w:color w:val="000000"/>
                <w:sz w:val="20"/>
              </w:rPr>
              <w:t>$</w:t>
            </w:r>
            <w:r>
              <w:rPr>
                <w:rFonts w:ascii="Times New Roman" w:hAnsi="Times New Roman" w:cs="Times New Roman"/>
                <w:b/>
                <w:bCs/>
                <w:color w:val="000000"/>
                <w:sz w:val="20"/>
              </w:rPr>
              <w:t>218,228</w:t>
            </w:r>
          </w:p>
        </w:tc>
      </w:tr>
      <w:tr w:rsidR="00505245" w:rsidRPr="003071D3" w14:paraId="4529C814" w14:textId="77777777" w:rsidTr="00505245">
        <w:trPr>
          <w:trHeight w:val="144"/>
        </w:trPr>
        <w:tc>
          <w:tcPr>
            <w:tcW w:w="9113" w:type="dxa"/>
            <w:gridSpan w:val="5"/>
            <w:tcBorders>
              <w:top w:val="single" w:sz="12" w:space="0" w:color="auto"/>
              <w:left w:val="single" w:sz="12" w:space="0" w:color="auto"/>
              <w:right w:val="single" w:sz="12" w:space="0" w:color="auto"/>
            </w:tcBorders>
            <w:noWrap/>
            <w:vAlign w:val="center"/>
          </w:tcPr>
          <w:p w14:paraId="4EB65D65" w14:textId="77777777" w:rsidR="00505245" w:rsidRPr="00BA0423" w:rsidRDefault="00505245" w:rsidP="00505245">
            <w:pPr>
              <w:rPr>
                <w:rFonts w:ascii="Times New Roman" w:hAnsi="Times New Roman" w:cs="Times New Roman"/>
                <w:b/>
                <w:color w:val="000000"/>
                <w:sz w:val="18"/>
                <w:szCs w:val="18"/>
              </w:rPr>
            </w:pPr>
            <w:r w:rsidRPr="00BA0423">
              <w:rPr>
                <w:rFonts w:ascii="Times New Roman" w:hAnsi="Times New Roman" w:cs="Times New Roman"/>
                <w:b/>
                <w:color w:val="000000"/>
                <w:sz w:val="18"/>
                <w:szCs w:val="18"/>
              </w:rPr>
              <w:t>General Notes</w:t>
            </w:r>
          </w:p>
        </w:tc>
      </w:tr>
      <w:tr w:rsidR="00505245" w:rsidRPr="00FA54F1" w14:paraId="28481CF0" w14:textId="77777777" w:rsidTr="00505245">
        <w:trPr>
          <w:trHeight w:val="144"/>
        </w:trPr>
        <w:tc>
          <w:tcPr>
            <w:tcW w:w="9113" w:type="dxa"/>
            <w:gridSpan w:val="5"/>
            <w:tcBorders>
              <w:left w:val="single" w:sz="12" w:space="0" w:color="auto"/>
              <w:right w:val="single" w:sz="12" w:space="0" w:color="auto"/>
            </w:tcBorders>
            <w:noWrap/>
            <w:vAlign w:val="center"/>
          </w:tcPr>
          <w:p w14:paraId="6EED7FAE" w14:textId="77777777" w:rsidR="00505245" w:rsidRPr="00BA0423" w:rsidRDefault="00505245" w:rsidP="00505245">
            <w:pPr>
              <w:pStyle w:val="ListParagraph"/>
              <w:widowControl/>
              <w:numPr>
                <w:ilvl w:val="0"/>
                <w:numId w:val="31"/>
              </w:numPr>
              <w:contextualSpacing/>
              <w:rPr>
                <w:rFonts w:ascii="Times New Roman" w:hAnsi="Times New Roman" w:cs="Times New Roman"/>
                <w:color w:val="000000"/>
                <w:sz w:val="18"/>
                <w:szCs w:val="18"/>
              </w:rPr>
            </w:pPr>
            <w:r w:rsidRPr="00BA0423">
              <w:rPr>
                <w:rFonts w:ascii="Times New Roman" w:hAnsi="Times New Roman" w:cs="Times New Roman"/>
                <w:bCs/>
                <w:color w:val="000000"/>
                <w:sz w:val="18"/>
                <w:szCs w:val="16"/>
              </w:rPr>
              <w:t>Sources: Agency BPJ</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ADDIN ZOTERO_ITEM CSL_CITATION {"citationID":"a1ki1p5ckse","properties":{"formattedCitation":"(Williamson, 2016)","plainCitation":"(Williamson, 2016)"},"citationItems":[{"id":540,"uris":["http://zotero.org/groups/1140234/items/2RZNISCA"],"uri":["http://zotero.org/groups/1140234/items/2RZNISCA"],"itemData":{"id":540,"type":"article-journal","title":"Email from Tracy Williamson to Cody Rice and Laura Nielsen. October 26, 2016.","container-title":"RE: INV rule - internal resources.","shortTitle":"Email from Tracy Williamson to Cody Rice and Laura Nielsen. October 26, 2016.","author":[{"family":"Williamson","given":"Tracy"}],"issued":{"date-parts":[["2016",10,26]]}}}],"schema":"https://github.com/citation-style-language/schema/raw/master/csl-citation.json"} </w:instrText>
            </w:r>
            <w:r>
              <w:rPr>
                <w:rFonts w:ascii="Times New Roman" w:hAnsi="Times New Roman" w:cs="Times New Roman"/>
                <w:bCs/>
                <w:color w:val="000000"/>
                <w:sz w:val="18"/>
                <w:szCs w:val="16"/>
              </w:rPr>
              <w:fldChar w:fldCharType="separate"/>
            </w:r>
            <w:r w:rsidRPr="00810C62">
              <w:rPr>
                <w:rFonts w:ascii="Times New Roman" w:hAnsi="Times New Roman" w:cs="Times New Roman"/>
                <w:sz w:val="18"/>
              </w:rPr>
              <w:t>(Williamson, 2016)</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r w:rsidRPr="00BA0423">
              <w:rPr>
                <w:rFonts w:ascii="Times New Roman" w:hAnsi="Times New Roman" w:cs="Times New Roman"/>
                <w:bCs/>
                <w:color w:val="000000"/>
                <w:sz w:val="18"/>
                <w:szCs w:val="16"/>
              </w:rPr>
              <w:t>NOC estimate for “review of NOC forms”</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ADDIN ZOTERO_ITEM CSL_CITATION {"citationID":"a20rku9ji9d","properties":{"formattedCitation":"(EPA,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Pr>
                <w:rFonts w:ascii="Times New Roman" w:hAnsi="Times New Roman" w:cs="Times New Roman"/>
                <w:bCs/>
                <w:color w:val="000000"/>
                <w:sz w:val="18"/>
                <w:szCs w:val="16"/>
              </w:rPr>
              <w:fldChar w:fldCharType="separate"/>
            </w:r>
            <w:r w:rsidRPr="00610836">
              <w:rPr>
                <w:rFonts w:ascii="Times New Roman" w:hAnsi="Times New Roman" w:cs="Times New Roman"/>
                <w:sz w:val="18"/>
              </w:rPr>
              <w:t>(EPA, 2015b)</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and wage rate in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_Ref468869898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1C794A">
              <w:rPr>
                <w:rFonts w:ascii="Times New Roman" w:hAnsi="Times New Roman" w:cs="Times New Roman"/>
                <w:bCs/>
                <w:color w:val="000000"/>
                <w:sz w:val="18"/>
                <w:szCs w:val="16"/>
              </w:rPr>
              <w:t>Table 6</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p>
        </w:tc>
      </w:tr>
      <w:tr w:rsidR="00505245" w:rsidRPr="00FA54F1" w14:paraId="686300C5" w14:textId="77777777" w:rsidTr="00505245">
        <w:trPr>
          <w:trHeight w:val="144"/>
        </w:trPr>
        <w:tc>
          <w:tcPr>
            <w:tcW w:w="9113" w:type="dxa"/>
            <w:gridSpan w:val="5"/>
            <w:tcBorders>
              <w:left w:val="single" w:sz="12" w:space="0" w:color="auto"/>
              <w:bottom w:val="single" w:sz="12" w:space="0" w:color="auto"/>
              <w:right w:val="single" w:sz="12" w:space="0" w:color="auto"/>
            </w:tcBorders>
            <w:noWrap/>
            <w:vAlign w:val="center"/>
          </w:tcPr>
          <w:p w14:paraId="718AFE39" w14:textId="77777777" w:rsidR="00505245" w:rsidRPr="000530A5" w:rsidRDefault="00505245" w:rsidP="00505245">
            <w:pPr>
              <w:pStyle w:val="ListParagraph"/>
              <w:widowControl/>
              <w:numPr>
                <w:ilvl w:val="0"/>
                <w:numId w:val="31"/>
              </w:numPr>
              <w:contextualSpacing/>
              <w:rPr>
                <w:rFonts w:ascii="Times New Roman" w:hAnsi="Times New Roman" w:cs="Times New Roman"/>
                <w:color w:val="000000"/>
                <w:sz w:val="18"/>
                <w:szCs w:val="18"/>
              </w:rPr>
            </w:pPr>
            <w:r w:rsidRPr="00BA0423">
              <w:rPr>
                <w:rFonts w:ascii="Times New Roman" w:hAnsi="Times New Roman" w:cs="Times New Roman"/>
                <w:bCs/>
                <w:color w:val="000000"/>
                <w:sz w:val="18"/>
                <w:szCs w:val="16"/>
              </w:rPr>
              <w:t>All FTE hours are associated with a labor cost based on wage rate for GS-13 Step 5 of $80.06</w:t>
            </w:r>
            <w:r>
              <w:rPr>
                <w:rFonts w:ascii="Times New Roman" w:hAnsi="Times New Roman" w:cs="Times New Roman"/>
                <w:bCs/>
                <w:color w:val="000000"/>
                <w:sz w:val="18"/>
                <w:szCs w:val="16"/>
              </w:rPr>
              <w:t xml:space="preserve"> </w:t>
            </w:r>
            <w:r w:rsidRPr="005C0801">
              <w:rPr>
                <w:rFonts w:ascii="Times New Roman" w:hAnsi="Times New Roman" w:cs="Times New Roman"/>
                <w:bCs/>
                <w:color w:val="000000"/>
                <w:sz w:val="18"/>
                <w:szCs w:val="16"/>
              </w:rPr>
              <w:t>per hour and assumes 2,080 working hours per year</w:t>
            </w:r>
            <w:r w:rsidRPr="00137964">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t xml:space="preserve">(see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_Ref468869898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1C794A">
              <w:rPr>
                <w:rFonts w:ascii="Times New Roman" w:hAnsi="Times New Roman" w:cs="Times New Roman"/>
                <w:bCs/>
                <w:color w:val="000000"/>
                <w:sz w:val="18"/>
                <w:szCs w:val="16"/>
              </w:rPr>
              <w:t>Table 6</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w:t>
            </w:r>
          </w:p>
          <w:p w14:paraId="7C47C524" w14:textId="77777777" w:rsidR="00505245" w:rsidRPr="00BA0423" w:rsidRDefault="00505245" w:rsidP="00505245">
            <w:pPr>
              <w:pStyle w:val="ListParagraph"/>
              <w:widowControl/>
              <w:numPr>
                <w:ilvl w:val="0"/>
                <w:numId w:val="31"/>
              </w:numPr>
              <w:contextualSpacing/>
              <w:rPr>
                <w:rFonts w:ascii="Times New Roman" w:hAnsi="Times New Roman" w:cs="Times New Roman"/>
                <w:color w:val="000000"/>
                <w:sz w:val="18"/>
                <w:szCs w:val="18"/>
              </w:rPr>
            </w:pPr>
            <w:r>
              <w:rPr>
                <w:rFonts w:ascii="Times New Roman" w:hAnsi="Times New Roman" w:cs="Times New Roman"/>
                <w:bCs/>
                <w:noProof/>
                <w:color w:val="000000"/>
                <w:sz w:val="18"/>
                <w:szCs w:val="16"/>
              </w:rPr>
              <w:t xml:space="preserve">An average firm is expected to report 18 chemicals per submission, as similarly observed for CDR as chemicals per parent company reported </w:t>
            </w:r>
            <w:r>
              <w:rPr>
                <w:rFonts w:ascii="Times New Roman" w:hAnsi="Times New Roman" w:cs="Times New Roman"/>
                <w:bCs/>
                <w:noProof/>
                <w:color w:val="000000"/>
                <w:sz w:val="18"/>
                <w:szCs w:val="16"/>
              </w:rPr>
              <w:fldChar w:fldCharType="begin"/>
            </w:r>
            <w:r>
              <w:rPr>
                <w:rFonts w:ascii="Times New Roman" w:hAnsi="Times New Roman" w:cs="Times New Roman"/>
                <w:bCs/>
                <w:noProof/>
                <w:color w:val="000000"/>
                <w:sz w:val="18"/>
                <w:szCs w:val="16"/>
              </w:rPr>
              <w:instrText xml:space="preserve"> ADDIN ZOTERO_ITEM CSL_CITATION {"citationID":"a229pt589ba","properties":{"formattedCitation":"(EPA,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noProof/>
                <w:color w:val="000000"/>
                <w:sz w:val="18"/>
                <w:szCs w:val="16"/>
              </w:rPr>
              <w:fldChar w:fldCharType="separate"/>
            </w:r>
            <w:r w:rsidRPr="00610836">
              <w:rPr>
                <w:rFonts w:ascii="Times New Roman" w:hAnsi="Times New Roman" w:cs="Times New Roman"/>
                <w:sz w:val="18"/>
              </w:rPr>
              <w:t>(</w:t>
            </w:r>
            <w:r>
              <w:rPr>
                <w:rFonts w:ascii="Times New Roman" w:hAnsi="Times New Roman" w:cs="Times New Roman"/>
                <w:sz w:val="18"/>
              </w:rPr>
              <w:t xml:space="preserve">see </w:t>
            </w:r>
            <w:r w:rsidRPr="00610836">
              <w:rPr>
                <w:rFonts w:ascii="Times New Roman" w:hAnsi="Times New Roman" w:cs="Times New Roman"/>
                <w:sz w:val="18"/>
              </w:rPr>
              <w:t>EPA, 2017)</w:t>
            </w:r>
            <w:r>
              <w:rPr>
                <w:rFonts w:ascii="Times New Roman" w:hAnsi="Times New Roman" w:cs="Times New Roman"/>
                <w:bCs/>
                <w:noProof/>
                <w:color w:val="000000"/>
                <w:sz w:val="18"/>
                <w:szCs w:val="16"/>
              </w:rPr>
              <w:fldChar w:fldCharType="end"/>
            </w:r>
            <w:r>
              <w:rPr>
                <w:rFonts w:ascii="Times New Roman" w:hAnsi="Times New Roman" w:cs="Times New Roman"/>
                <w:bCs/>
                <w:noProof/>
                <w:color w:val="000000"/>
                <w:sz w:val="18"/>
                <w:szCs w:val="16"/>
              </w:rPr>
              <w:t>.</w:t>
            </w:r>
            <w:r w:rsidRPr="00BA0423">
              <w:rPr>
                <w:rFonts w:ascii="Times New Roman" w:hAnsi="Times New Roman" w:cs="Times New Roman"/>
                <w:bCs/>
                <w:noProof/>
                <w:color w:val="000000"/>
                <w:sz w:val="18"/>
                <w:szCs w:val="16"/>
              </w:rPr>
              <w:t xml:space="preserve"> </w:t>
            </w:r>
          </w:p>
        </w:tc>
      </w:tr>
    </w:tbl>
    <w:p w14:paraId="392167CC" w14:textId="77777777" w:rsidR="00505245" w:rsidRDefault="00505245" w:rsidP="00505245">
      <w:pPr>
        <w:rPr>
          <w:rFonts w:ascii="Times New Roman" w:hAnsi="Times New Roman" w:cs="Times New Roman"/>
          <w:b/>
          <w:sz w:val="24"/>
          <w:szCs w:val="24"/>
        </w:rPr>
      </w:pPr>
    </w:p>
    <w:p w14:paraId="5197DBF8" w14:textId="77777777" w:rsidR="00505245" w:rsidRDefault="00505245" w:rsidP="00505245">
      <w:pPr>
        <w:pStyle w:val="Heading1"/>
      </w:pPr>
      <w:bookmarkStart w:id="29" w:name="Section6d"/>
      <w:bookmarkStart w:id="30" w:name="_Ref469037096"/>
      <w:r>
        <w:t>6(d)</w:t>
      </w:r>
      <w:bookmarkEnd w:id="29"/>
      <w:r>
        <w:t xml:space="preserve"> Estimating the Respondent Universe and Total Burden and Costs</w:t>
      </w:r>
      <w:bookmarkEnd w:id="30"/>
    </w:p>
    <w:p w14:paraId="49DE9149" w14:textId="77777777" w:rsidR="00505245" w:rsidRDefault="00505245" w:rsidP="00505245">
      <w:pPr>
        <w:rPr>
          <w:rFonts w:ascii="Times New Roman" w:hAnsi="Times New Roman" w:cs="Times New Roman"/>
          <w:b/>
          <w:sz w:val="24"/>
          <w:szCs w:val="24"/>
        </w:rPr>
      </w:pPr>
    </w:p>
    <w:p w14:paraId="7A786F57" w14:textId="77777777" w:rsidR="00505245" w:rsidRPr="00543166" w:rsidRDefault="00505245" w:rsidP="00505245">
      <w:pPr>
        <w:ind w:firstLine="720"/>
        <w:rPr>
          <w:rFonts w:ascii="Times New Roman" w:hAnsi="Times New Roman" w:cs="Times New Roman"/>
          <w:b/>
          <w:sz w:val="24"/>
          <w:szCs w:val="24"/>
        </w:rPr>
      </w:pPr>
      <w:r w:rsidRPr="00AB363E">
        <w:rPr>
          <w:rFonts w:ascii="Times New Roman" w:hAnsi="Times New Roman" w:cs="Times New Roman"/>
          <w:sz w:val="24"/>
          <w:szCs w:val="24"/>
        </w:rPr>
        <w:t xml:space="preserve">Total industry burden and cost are estimated by combining industry unit burdens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_Ref468994438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Pr>
          <w:rFonts w:ascii="Times New Roman" w:hAnsi="Times New Roman"/>
          <w:sz w:val="24"/>
        </w:rPr>
        <w:t xml:space="preserve">Table </w:t>
      </w:r>
      <w:r>
        <w:rPr>
          <w:rFonts w:ascii="Times New Roman" w:hAnsi="Times New Roman"/>
          <w:noProof/>
          <w:sz w:val="24"/>
        </w:rPr>
        <w:t>3</w:t>
      </w:r>
      <w:r>
        <w:rPr>
          <w:rFonts w:ascii="Times New Roman" w:hAnsi="Times New Roman" w:cs="Times New Roman"/>
          <w:sz w:val="24"/>
          <w:szCs w:val="24"/>
        </w:rPr>
        <w:fldChar w:fldCharType="end"/>
      </w:r>
      <w:r w:rsidRPr="00AB363E">
        <w:rPr>
          <w:rFonts w:ascii="Times New Roman" w:hAnsi="Times New Roman" w:cs="Times New Roman"/>
          <w:sz w:val="24"/>
          <w:szCs w:val="24"/>
        </w:rPr>
        <w:t xml:space="preserve"> and industry unit costs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_Ref469294406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498">
        <w:rPr>
          <w:rFonts w:ascii="Times New Roman" w:hAnsi="Times New Roman"/>
          <w:sz w:val="24"/>
        </w:rPr>
        <w:t xml:space="preserve">Table </w:t>
      </w:r>
      <w:r>
        <w:rPr>
          <w:rFonts w:ascii="Times New Roman" w:hAnsi="Times New Roman"/>
          <w:noProof/>
          <w:sz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B363E">
        <w:rPr>
          <w:rFonts w:ascii="Times New Roman" w:hAnsi="Times New Roman" w:cs="Times New Roman"/>
          <w:sz w:val="24"/>
          <w:szCs w:val="24"/>
        </w:rPr>
        <w:t>with affected universe counts</w:t>
      </w:r>
      <w:r>
        <w:rPr>
          <w:rFonts w:ascii="Times New Roman" w:hAnsi="Times New Roman" w:cs="Times New Roman"/>
          <w:sz w:val="24"/>
          <w:szCs w:val="24"/>
        </w:rPr>
        <w:t xml:space="preserve">, as derived in </w:t>
      </w:r>
      <w:r>
        <w:rPr>
          <w:rFonts w:ascii="Times New Roman" w:hAnsi="Times New Roman" w:cs="Times New Roman"/>
          <w:bCs/>
          <w:color w:val="000000"/>
          <w:sz w:val="24"/>
          <w:szCs w:val="24"/>
        </w:rPr>
        <w:t>the</w:t>
      </w:r>
      <w:r w:rsidRPr="00AB363E">
        <w:rPr>
          <w:rFonts w:ascii="Times New Roman" w:eastAsia="Times New Roman" w:hAnsi="Times New Roman"/>
          <w:i/>
          <w:spacing w:val="-1"/>
          <w:sz w:val="24"/>
          <w:szCs w:val="24"/>
        </w:rPr>
        <w:t xml:space="preserve"> Burden and Cost Report for the </w:t>
      </w:r>
      <w:r>
        <w:rPr>
          <w:rFonts w:ascii="Times New Roman" w:eastAsia="Times New Roman" w:hAnsi="Times New Roman"/>
          <w:i/>
          <w:spacing w:val="-1"/>
          <w:sz w:val="24"/>
          <w:szCs w:val="24"/>
        </w:rPr>
        <w:t>Final</w:t>
      </w:r>
      <w:r w:rsidRPr="00AB363E">
        <w:rPr>
          <w:rFonts w:ascii="Times New Roman" w:eastAsia="Times New Roman" w:hAnsi="Times New Roman"/>
          <w:i/>
          <w:spacing w:val="-1"/>
          <w:sz w:val="24"/>
          <w:szCs w:val="24"/>
        </w:rPr>
        <w:t xml:space="preserve"> Rule: TSCA Inventory Notification Requirements</w:t>
      </w:r>
      <w:r>
        <w:rPr>
          <w:rFonts w:ascii="Times New Roman" w:eastAsia="Times New Roman" w:hAnsi="Times New Roman"/>
          <w:i/>
          <w:spacing w:val="-1"/>
          <w:sz w:val="24"/>
          <w:szCs w:val="24"/>
        </w:rPr>
        <w:t xml:space="preserve"> </w:t>
      </w:r>
      <w:r>
        <w:rPr>
          <w:rFonts w:ascii="Times New Roman" w:eastAsia="Times New Roman" w:hAnsi="Times New Roman"/>
          <w:i/>
          <w:spacing w:val="-1"/>
          <w:sz w:val="24"/>
          <w:szCs w:val="24"/>
        </w:rPr>
        <w:fldChar w:fldCharType="begin"/>
      </w:r>
      <w:r>
        <w:rPr>
          <w:rFonts w:ascii="Times New Roman" w:eastAsia="Times New Roman" w:hAnsi="Times New Roman"/>
          <w:i/>
          <w:spacing w:val="-1"/>
          <w:sz w:val="24"/>
          <w:szCs w:val="24"/>
        </w:rPr>
        <w:instrText xml:space="preserve"> ADDIN ZOTERO_ITEM CSL_CITATION {"citationID":"ae5k1sugg0","properties":{"formattedCitation":"(EPA,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eastAsia="Times New Roman" w:hAnsi="Times New Roman"/>
          <w:i/>
          <w:spacing w:val="-1"/>
          <w:sz w:val="24"/>
          <w:szCs w:val="24"/>
        </w:rPr>
        <w:fldChar w:fldCharType="separate"/>
      </w:r>
      <w:r w:rsidRPr="00610836">
        <w:rPr>
          <w:rFonts w:ascii="Times New Roman" w:hAnsi="Times New Roman" w:cs="Times New Roman"/>
          <w:sz w:val="24"/>
        </w:rPr>
        <w:t>(EPA, 2017)</w:t>
      </w:r>
      <w:r>
        <w:rPr>
          <w:rFonts w:ascii="Times New Roman" w:eastAsia="Times New Roman" w:hAnsi="Times New Roman"/>
          <w:i/>
          <w:spacing w:val="-1"/>
          <w:sz w:val="24"/>
          <w:szCs w:val="24"/>
        </w:rPr>
        <w:fldChar w:fldCharType="end"/>
      </w:r>
      <w:r w:rsidRPr="00AB363E">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AB363E">
        <w:rPr>
          <w:rFonts w:ascii="Times New Roman" w:hAnsi="Times New Roman" w:cs="Times New Roman"/>
          <w:sz w:val="24"/>
          <w:szCs w:val="24"/>
        </w:rPr>
        <w:t xml:space="preserve"> Total burden and total costs are then aggregated for all firms in the affected universe. Total industry burden and cost are presented </w:t>
      </w:r>
      <w:r w:rsidRPr="006E66CF">
        <w:rPr>
          <w:rFonts w:ascii="Times New Roman" w:hAnsi="Times New Roman" w:cs="Times New Roman"/>
          <w:sz w:val="24"/>
          <w:szCs w:val="24"/>
        </w:rPr>
        <w:t xml:space="preserve">in </w:t>
      </w:r>
      <w:r w:rsidRPr="006E66CF">
        <w:rPr>
          <w:rFonts w:ascii="Times New Roman" w:hAnsi="Times New Roman" w:cs="Times New Roman"/>
          <w:sz w:val="24"/>
          <w:szCs w:val="24"/>
        </w:rPr>
        <w:fldChar w:fldCharType="begin"/>
      </w:r>
      <w:r w:rsidRPr="006E66CF">
        <w:rPr>
          <w:rFonts w:ascii="Times New Roman" w:hAnsi="Times New Roman" w:cs="Times New Roman"/>
          <w:sz w:val="24"/>
          <w:szCs w:val="24"/>
        </w:rPr>
        <w:instrText xml:space="preserve"> REF _Ref468870238 \h </w:instrText>
      </w:r>
      <w:r>
        <w:rPr>
          <w:rFonts w:ascii="Times New Roman" w:hAnsi="Times New Roman" w:cs="Times New Roman"/>
          <w:sz w:val="24"/>
          <w:szCs w:val="24"/>
        </w:rPr>
        <w:instrText xml:space="preserve"> \* MERGEFORMAT </w:instrText>
      </w:r>
      <w:r w:rsidRPr="006E66CF">
        <w:rPr>
          <w:rFonts w:ascii="Times New Roman" w:hAnsi="Times New Roman" w:cs="Times New Roman"/>
          <w:sz w:val="24"/>
          <w:szCs w:val="24"/>
        </w:rPr>
      </w:r>
      <w:r w:rsidRPr="006E66CF">
        <w:rPr>
          <w:rFonts w:ascii="Times New Roman" w:hAnsi="Times New Roman" w:cs="Times New Roman"/>
          <w:sz w:val="24"/>
          <w:szCs w:val="24"/>
        </w:rPr>
        <w:fldChar w:fldCharType="separate"/>
      </w:r>
      <w:r w:rsidRPr="001C794A">
        <w:rPr>
          <w:rFonts w:ascii="Times New Roman" w:hAnsi="Times New Roman" w:cs="Times New Roman"/>
        </w:rPr>
        <w:t xml:space="preserve">Table </w:t>
      </w:r>
      <w:r w:rsidRPr="001C794A">
        <w:rPr>
          <w:rFonts w:ascii="Times New Roman" w:hAnsi="Times New Roman" w:cs="Times New Roman"/>
          <w:noProof/>
        </w:rPr>
        <w:t>8</w:t>
      </w:r>
      <w:r w:rsidRPr="006E66CF">
        <w:rPr>
          <w:rFonts w:ascii="Times New Roman" w:hAnsi="Times New Roman" w:cs="Times New Roman"/>
          <w:sz w:val="24"/>
          <w:szCs w:val="24"/>
        </w:rPr>
        <w:fldChar w:fldCharType="end"/>
      </w:r>
      <w:r w:rsidRPr="006E66CF">
        <w:rPr>
          <w:rFonts w:ascii="Times New Roman" w:hAnsi="Times New Roman" w:cs="Times New Roman"/>
          <w:sz w:val="24"/>
          <w:szCs w:val="24"/>
        </w:rPr>
        <w:t>.</w:t>
      </w:r>
    </w:p>
    <w:p w14:paraId="795443EE" w14:textId="77777777" w:rsidR="00505245" w:rsidRDefault="00505245" w:rsidP="00505245">
      <w:pPr>
        <w:ind w:firstLine="720"/>
        <w:rPr>
          <w:rFonts w:ascii="Times New Roman" w:hAnsi="Times New Roman" w:cs="Times New Roman"/>
          <w:b/>
          <w:sz w:val="24"/>
          <w:szCs w:val="24"/>
        </w:rPr>
        <w:sectPr w:rsidR="00505245" w:rsidSect="0082527B">
          <w:pgSz w:w="12240" w:h="15840"/>
          <w:pgMar w:top="1480" w:right="1340" w:bottom="920" w:left="1340" w:header="720" w:footer="720" w:gutter="0"/>
          <w:cols w:space="720"/>
          <w:docGrid w:linePitch="299"/>
        </w:sectPr>
      </w:pPr>
    </w:p>
    <w:p w14:paraId="30BEEDE2" w14:textId="77777777" w:rsidR="00505245" w:rsidRDefault="00505245" w:rsidP="00505245">
      <w:pPr>
        <w:pStyle w:val="Caption"/>
        <w:rPr>
          <w:rFonts w:ascii="Times New Roman" w:hAnsi="Times New Roman"/>
          <w:sz w:val="24"/>
          <w:szCs w:val="24"/>
        </w:rPr>
      </w:pPr>
      <w:bookmarkStart w:id="31" w:name="_Ref468997227"/>
      <w:bookmarkStart w:id="32" w:name="_Ref468870238"/>
      <w:r w:rsidRPr="002B1022">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8</w:t>
      </w:r>
      <w:r>
        <w:rPr>
          <w:rFonts w:ascii="Times New Roman" w:hAnsi="Times New Roman"/>
          <w:sz w:val="24"/>
          <w:szCs w:val="24"/>
        </w:rPr>
        <w:fldChar w:fldCharType="end"/>
      </w:r>
      <w:bookmarkEnd w:id="31"/>
      <w:bookmarkEnd w:id="32"/>
      <w:r w:rsidRPr="002B1022">
        <w:rPr>
          <w:rFonts w:ascii="Times New Roman" w:hAnsi="Times New Roman"/>
          <w:sz w:val="24"/>
          <w:szCs w:val="24"/>
        </w:rPr>
        <w:t>. Total Industry Burden and Cost by Activity and Reporting Period</w:t>
      </w:r>
    </w:p>
    <w:tbl>
      <w:tblPr>
        <w:tblStyle w:val="TableGrid"/>
        <w:tblW w:w="5000" w:type="pct"/>
        <w:tblLayout w:type="fixed"/>
        <w:tblLook w:val="04A0" w:firstRow="1" w:lastRow="0" w:firstColumn="1" w:lastColumn="0" w:noHBand="0" w:noVBand="1"/>
      </w:tblPr>
      <w:tblGrid>
        <w:gridCol w:w="5508"/>
        <w:gridCol w:w="1080"/>
        <w:gridCol w:w="1170"/>
        <w:gridCol w:w="1621"/>
        <w:gridCol w:w="1349"/>
        <w:gridCol w:w="1080"/>
        <w:gridCol w:w="1368"/>
      </w:tblGrid>
      <w:tr w:rsidR="00505245" w:rsidRPr="00CC1999" w14:paraId="1B92A9E0" w14:textId="77777777" w:rsidTr="00505245">
        <w:trPr>
          <w:cantSplit/>
          <w:trHeight w:val="20"/>
          <w:tblHeader/>
        </w:trPr>
        <w:tc>
          <w:tcPr>
            <w:tcW w:w="2090" w:type="pct"/>
            <w:tcBorders>
              <w:top w:val="single" w:sz="12" w:space="0" w:color="auto"/>
              <w:left w:val="single" w:sz="12" w:space="0" w:color="auto"/>
              <w:bottom w:val="single" w:sz="4" w:space="0" w:color="auto"/>
            </w:tcBorders>
            <w:shd w:val="clear" w:color="auto" w:fill="BFBFBF" w:themeFill="background1" w:themeFillShade="BF"/>
            <w:noWrap/>
            <w:vAlign w:val="bottom"/>
            <w:hideMark/>
          </w:tcPr>
          <w:p w14:paraId="27B8CAA6" w14:textId="77777777" w:rsidR="00505245" w:rsidRPr="00137964" w:rsidRDefault="00505245" w:rsidP="00505245">
            <w:pPr>
              <w:pStyle w:val="BodyText"/>
              <w:keepNext/>
              <w:spacing w:beforeLines="20" w:before="48" w:afterLines="20" w:after="48" w:line="264" w:lineRule="auto"/>
              <w:contextualSpacing/>
              <w:jc w:val="center"/>
              <w:rPr>
                <w:b/>
                <w:bCs/>
                <w:sz w:val="20"/>
                <w:szCs w:val="20"/>
              </w:rPr>
            </w:pPr>
            <w:r w:rsidRPr="00137964">
              <w:rPr>
                <w:b/>
                <w:bCs/>
                <w:sz w:val="20"/>
                <w:szCs w:val="20"/>
              </w:rPr>
              <w:t>Reporting Group</w:t>
            </w:r>
          </w:p>
        </w:tc>
        <w:tc>
          <w:tcPr>
            <w:tcW w:w="410" w:type="pct"/>
            <w:tcBorders>
              <w:top w:val="single" w:sz="12" w:space="0" w:color="auto"/>
              <w:bottom w:val="single" w:sz="4" w:space="0" w:color="auto"/>
            </w:tcBorders>
            <w:shd w:val="clear" w:color="auto" w:fill="BFBFBF" w:themeFill="background1" w:themeFillShade="BF"/>
            <w:vAlign w:val="bottom"/>
            <w:hideMark/>
          </w:tcPr>
          <w:p w14:paraId="77430A15" w14:textId="77777777" w:rsidR="00505245" w:rsidRPr="00137964" w:rsidRDefault="00505245" w:rsidP="00505245">
            <w:pPr>
              <w:pStyle w:val="BodyText"/>
              <w:keepNext/>
              <w:spacing w:beforeLines="20" w:before="48" w:afterLines="20" w:after="48" w:line="264" w:lineRule="auto"/>
              <w:ind w:left="0" w:firstLine="0"/>
              <w:contextualSpacing/>
              <w:jc w:val="center"/>
              <w:rPr>
                <w:b/>
                <w:bCs/>
                <w:sz w:val="20"/>
                <w:szCs w:val="20"/>
              </w:rPr>
            </w:pPr>
            <w:r w:rsidRPr="00137964">
              <w:rPr>
                <w:b/>
                <w:bCs/>
                <w:sz w:val="20"/>
                <w:szCs w:val="20"/>
              </w:rPr>
              <w:t>Unit Burden (Hours per Firm)</w:t>
            </w:r>
          </w:p>
        </w:tc>
        <w:tc>
          <w:tcPr>
            <w:tcW w:w="444" w:type="pct"/>
            <w:tcBorders>
              <w:top w:val="single" w:sz="12" w:space="0" w:color="auto"/>
              <w:bottom w:val="single" w:sz="4" w:space="0" w:color="auto"/>
            </w:tcBorders>
            <w:shd w:val="clear" w:color="auto" w:fill="BFBFBF" w:themeFill="background1" w:themeFillShade="BF"/>
            <w:vAlign w:val="bottom"/>
            <w:hideMark/>
          </w:tcPr>
          <w:p w14:paraId="61E6C847" w14:textId="77777777" w:rsidR="00505245" w:rsidRPr="00137964" w:rsidRDefault="00505245" w:rsidP="00505245">
            <w:pPr>
              <w:pStyle w:val="BodyText"/>
              <w:keepNext/>
              <w:spacing w:beforeLines="20" w:before="48" w:afterLines="20" w:after="48" w:line="264" w:lineRule="auto"/>
              <w:ind w:left="0" w:firstLine="0"/>
              <w:contextualSpacing/>
              <w:jc w:val="center"/>
              <w:rPr>
                <w:b/>
                <w:bCs/>
                <w:sz w:val="20"/>
                <w:szCs w:val="20"/>
              </w:rPr>
            </w:pPr>
            <w:r w:rsidRPr="00137964">
              <w:rPr>
                <w:b/>
                <w:bCs/>
                <w:sz w:val="20"/>
                <w:szCs w:val="20"/>
              </w:rPr>
              <w:t>Unit Costs (2016$)</w:t>
            </w:r>
          </w:p>
        </w:tc>
        <w:tc>
          <w:tcPr>
            <w:tcW w:w="615" w:type="pct"/>
            <w:tcBorders>
              <w:top w:val="single" w:sz="12" w:space="0" w:color="auto"/>
              <w:bottom w:val="single" w:sz="4" w:space="0" w:color="auto"/>
            </w:tcBorders>
            <w:shd w:val="clear" w:color="auto" w:fill="BFBFBF" w:themeFill="background1" w:themeFillShade="BF"/>
            <w:vAlign w:val="bottom"/>
            <w:hideMark/>
          </w:tcPr>
          <w:p w14:paraId="6D9E4759" w14:textId="77777777" w:rsidR="00505245" w:rsidRPr="00137964" w:rsidRDefault="00505245" w:rsidP="00505245">
            <w:pPr>
              <w:pStyle w:val="BodyText"/>
              <w:keepNext/>
              <w:spacing w:beforeLines="20" w:before="48" w:afterLines="20" w:after="48" w:line="264" w:lineRule="auto"/>
              <w:ind w:left="0" w:firstLine="0"/>
              <w:contextualSpacing/>
              <w:jc w:val="center"/>
              <w:rPr>
                <w:b/>
                <w:bCs/>
                <w:sz w:val="20"/>
                <w:szCs w:val="20"/>
                <w:vertAlign w:val="superscript"/>
              </w:rPr>
            </w:pPr>
            <w:r w:rsidRPr="00137964">
              <w:rPr>
                <w:b/>
                <w:bCs/>
                <w:sz w:val="20"/>
                <w:szCs w:val="20"/>
              </w:rPr>
              <w:t>Rule Familiarization (Number of Firms)</w:t>
            </w:r>
          </w:p>
        </w:tc>
        <w:tc>
          <w:tcPr>
            <w:tcW w:w="512" w:type="pct"/>
            <w:tcBorders>
              <w:top w:val="single" w:sz="12" w:space="0" w:color="auto"/>
              <w:bottom w:val="single" w:sz="4" w:space="0" w:color="auto"/>
            </w:tcBorders>
            <w:shd w:val="clear" w:color="auto" w:fill="BFBFBF" w:themeFill="background1" w:themeFillShade="BF"/>
            <w:vAlign w:val="bottom"/>
            <w:hideMark/>
          </w:tcPr>
          <w:p w14:paraId="6C240F53" w14:textId="77777777" w:rsidR="00505245" w:rsidRPr="00137964" w:rsidRDefault="00505245" w:rsidP="00505245">
            <w:pPr>
              <w:pStyle w:val="BodyText"/>
              <w:keepNext/>
              <w:spacing w:beforeLines="20" w:before="48" w:afterLines="20" w:after="48" w:line="264" w:lineRule="auto"/>
              <w:ind w:left="0" w:firstLine="0"/>
              <w:contextualSpacing/>
              <w:jc w:val="center"/>
              <w:rPr>
                <w:b/>
                <w:bCs/>
                <w:sz w:val="20"/>
                <w:szCs w:val="20"/>
                <w:vertAlign w:val="superscript"/>
              </w:rPr>
            </w:pPr>
            <w:r w:rsidRPr="00137964">
              <w:rPr>
                <w:b/>
                <w:bCs/>
                <w:sz w:val="20"/>
                <w:szCs w:val="20"/>
              </w:rPr>
              <w:t>Submission Respondents (Number of Firms)</w:t>
            </w:r>
          </w:p>
        </w:tc>
        <w:tc>
          <w:tcPr>
            <w:tcW w:w="410" w:type="pct"/>
            <w:tcBorders>
              <w:top w:val="single" w:sz="12" w:space="0" w:color="auto"/>
              <w:bottom w:val="single" w:sz="4" w:space="0" w:color="auto"/>
            </w:tcBorders>
            <w:shd w:val="clear" w:color="auto" w:fill="BFBFBF" w:themeFill="background1" w:themeFillShade="BF"/>
            <w:vAlign w:val="bottom"/>
            <w:hideMark/>
          </w:tcPr>
          <w:p w14:paraId="3E6CD5DE" w14:textId="77777777" w:rsidR="00505245" w:rsidRPr="00137964" w:rsidRDefault="00505245" w:rsidP="00505245">
            <w:pPr>
              <w:pStyle w:val="BodyText"/>
              <w:keepNext/>
              <w:spacing w:beforeLines="20" w:before="48" w:afterLines="20" w:after="48" w:line="264" w:lineRule="auto"/>
              <w:ind w:left="0" w:firstLine="0"/>
              <w:contextualSpacing/>
              <w:jc w:val="center"/>
              <w:rPr>
                <w:b/>
                <w:bCs/>
                <w:sz w:val="20"/>
                <w:szCs w:val="20"/>
              </w:rPr>
            </w:pPr>
            <w:r w:rsidRPr="00137964">
              <w:rPr>
                <w:b/>
                <w:bCs/>
                <w:sz w:val="20"/>
                <w:szCs w:val="20"/>
              </w:rPr>
              <w:t>Total Burden (Hours)</w:t>
            </w:r>
          </w:p>
        </w:tc>
        <w:tc>
          <w:tcPr>
            <w:tcW w:w="519" w:type="pct"/>
            <w:tcBorders>
              <w:top w:val="single" w:sz="12" w:space="0" w:color="auto"/>
              <w:bottom w:val="single" w:sz="4" w:space="0" w:color="auto"/>
              <w:right w:val="single" w:sz="12" w:space="0" w:color="auto"/>
            </w:tcBorders>
            <w:shd w:val="clear" w:color="auto" w:fill="BFBFBF" w:themeFill="background1" w:themeFillShade="BF"/>
            <w:vAlign w:val="bottom"/>
            <w:hideMark/>
          </w:tcPr>
          <w:p w14:paraId="70558315" w14:textId="77777777" w:rsidR="00505245" w:rsidRPr="00137964" w:rsidRDefault="00505245" w:rsidP="00505245">
            <w:pPr>
              <w:pStyle w:val="BodyText"/>
              <w:keepNext/>
              <w:spacing w:beforeLines="20" w:before="48" w:afterLines="20" w:after="48" w:line="264" w:lineRule="auto"/>
              <w:ind w:left="0" w:firstLine="0"/>
              <w:contextualSpacing/>
              <w:jc w:val="center"/>
              <w:rPr>
                <w:b/>
                <w:bCs/>
                <w:sz w:val="20"/>
                <w:szCs w:val="20"/>
              </w:rPr>
            </w:pPr>
            <w:r w:rsidRPr="00137964">
              <w:rPr>
                <w:b/>
                <w:bCs/>
                <w:sz w:val="20"/>
                <w:szCs w:val="20"/>
              </w:rPr>
              <w:t>Total Costs (2016$)</w:t>
            </w:r>
          </w:p>
        </w:tc>
      </w:tr>
      <w:tr w:rsidR="00505245" w:rsidRPr="00CC1999" w14:paraId="14D8C19C" w14:textId="77777777" w:rsidTr="00505245">
        <w:trPr>
          <w:cantSplit/>
          <w:trHeight w:val="20"/>
        </w:trPr>
        <w:tc>
          <w:tcPr>
            <w:tcW w:w="3559" w:type="pct"/>
            <w:gridSpan w:val="4"/>
            <w:tcBorders>
              <w:top w:val="single" w:sz="4" w:space="0" w:color="auto"/>
              <w:left w:val="single" w:sz="12" w:space="0" w:color="auto"/>
              <w:bottom w:val="single" w:sz="4" w:space="0" w:color="auto"/>
              <w:right w:val="nil"/>
            </w:tcBorders>
            <w:noWrap/>
            <w:hideMark/>
          </w:tcPr>
          <w:p w14:paraId="648BC9EB" w14:textId="77777777" w:rsidR="00505245" w:rsidRPr="00137964" w:rsidRDefault="00505245" w:rsidP="00505245">
            <w:pPr>
              <w:pStyle w:val="BodyText"/>
              <w:keepNext/>
              <w:spacing w:beforeLines="20" w:before="48" w:afterLines="20" w:after="48" w:line="264" w:lineRule="auto"/>
              <w:ind w:left="0" w:firstLine="0"/>
              <w:contextualSpacing/>
              <w:rPr>
                <w:b/>
                <w:bCs/>
                <w:i/>
                <w:iCs/>
                <w:sz w:val="20"/>
                <w:szCs w:val="20"/>
              </w:rPr>
            </w:pPr>
            <w:r w:rsidRPr="00137964">
              <w:rPr>
                <w:b/>
                <w:bCs/>
                <w:i/>
                <w:iCs/>
                <w:sz w:val="20"/>
                <w:szCs w:val="20"/>
              </w:rPr>
              <w:t>PHASE I START-UP: INITIAL REPORTING FOR MANUFACTURERS AND IMPORTERS (APPROXIMATELY JUN</w:t>
            </w:r>
            <w:r>
              <w:rPr>
                <w:b/>
                <w:bCs/>
                <w:i/>
                <w:iCs/>
                <w:sz w:val="20"/>
                <w:szCs w:val="20"/>
              </w:rPr>
              <w:t>E</w:t>
            </w:r>
            <w:r w:rsidRPr="00137964">
              <w:rPr>
                <w:b/>
                <w:bCs/>
                <w:i/>
                <w:iCs/>
                <w:sz w:val="20"/>
                <w:szCs w:val="20"/>
              </w:rPr>
              <w:t>-DEC</w:t>
            </w:r>
            <w:r>
              <w:rPr>
                <w:b/>
                <w:bCs/>
                <w:i/>
                <w:iCs/>
                <w:sz w:val="20"/>
                <w:szCs w:val="20"/>
              </w:rPr>
              <w:t>EMBER</w:t>
            </w:r>
            <w:r w:rsidRPr="00137964">
              <w:rPr>
                <w:b/>
                <w:bCs/>
                <w:i/>
                <w:iCs/>
                <w:sz w:val="20"/>
                <w:szCs w:val="20"/>
              </w:rPr>
              <w:t xml:space="preserve"> 2017)</w:t>
            </w:r>
          </w:p>
        </w:tc>
        <w:tc>
          <w:tcPr>
            <w:tcW w:w="512" w:type="pct"/>
            <w:tcBorders>
              <w:top w:val="single" w:sz="4" w:space="0" w:color="auto"/>
              <w:left w:val="nil"/>
              <w:bottom w:val="single" w:sz="4" w:space="0" w:color="auto"/>
              <w:right w:val="nil"/>
            </w:tcBorders>
            <w:noWrap/>
            <w:hideMark/>
          </w:tcPr>
          <w:p w14:paraId="61CE2A84" w14:textId="77777777" w:rsidR="00505245" w:rsidRPr="00137964" w:rsidRDefault="00505245" w:rsidP="00505245">
            <w:pPr>
              <w:pStyle w:val="BodyText"/>
              <w:keepNext/>
              <w:spacing w:beforeLines="20" w:before="48" w:afterLines="20" w:after="48" w:line="264" w:lineRule="auto"/>
              <w:contextualSpacing/>
              <w:rPr>
                <w:sz w:val="20"/>
                <w:szCs w:val="20"/>
              </w:rPr>
            </w:pPr>
          </w:p>
        </w:tc>
        <w:tc>
          <w:tcPr>
            <w:tcW w:w="410" w:type="pct"/>
            <w:tcBorders>
              <w:top w:val="single" w:sz="4" w:space="0" w:color="auto"/>
              <w:left w:val="nil"/>
              <w:bottom w:val="single" w:sz="4" w:space="0" w:color="auto"/>
              <w:right w:val="nil"/>
            </w:tcBorders>
            <w:noWrap/>
            <w:hideMark/>
          </w:tcPr>
          <w:p w14:paraId="3D41E43E" w14:textId="77777777" w:rsidR="00505245" w:rsidRPr="00137964" w:rsidRDefault="00505245" w:rsidP="00505245">
            <w:pPr>
              <w:pStyle w:val="BodyText"/>
              <w:keepNext/>
              <w:spacing w:beforeLines="20" w:before="48" w:afterLines="20" w:after="48" w:line="264" w:lineRule="auto"/>
              <w:contextualSpacing/>
              <w:rPr>
                <w:sz w:val="20"/>
                <w:szCs w:val="20"/>
              </w:rPr>
            </w:pPr>
          </w:p>
        </w:tc>
        <w:tc>
          <w:tcPr>
            <w:tcW w:w="519" w:type="pct"/>
            <w:tcBorders>
              <w:top w:val="single" w:sz="4" w:space="0" w:color="auto"/>
              <w:left w:val="nil"/>
              <w:bottom w:val="single" w:sz="4" w:space="0" w:color="auto"/>
              <w:right w:val="single" w:sz="12" w:space="0" w:color="auto"/>
            </w:tcBorders>
            <w:noWrap/>
            <w:hideMark/>
          </w:tcPr>
          <w:p w14:paraId="23DDF3A5" w14:textId="77777777" w:rsidR="00505245" w:rsidRPr="00137964" w:rsidRDefault="00505245" w:rsidP="00505245">
            <w:pPr>
              <w:pStyle w:val="BodyText"/>
              <w:keepNext/>
              <w:spacing w:beforeLines="20" w:before="48" w:afterLines="20" w:after="48" w:line="264" w:lineRule="auto"/>
              <w:contextualSpacing/>
              <w:rPr>
                <w:sz w:val="20"/>
                <w:szCs w:val="20"/>
              </w:rPr>
            </w:pPr>
          </w:p>
        </w:tc>
      </w:tr>
      <w:tr w:rsidR="00505245" w:rsidRPr="00CC1999" w14:paraId="509F8022" w14:textId="77777777" w:rsidTr="00505245">
        <w:trPr>
          <w:cantSplit/>
          <w:trHeight w:val="20"/>
        </w:trPr>
        <w:tc>
          <w:tcPr>
            <w:tcW w:w="2090" w:type="pct"/>
            <w:tcBorders>
              <w:top w:val="single" w:sz="4" w:space="0" w:color="auto"/>
              <w:left w:val="single" w:sz="12" w:space="0" w:color="auto"/>
            </w:tcBorders>
            <w:noWrap/>
            <w:hideMark/>
          </w:tcPr>
          <w:p w14:paraId="5A8827C8"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Rule Familiarization</w:t>
            </w:r>
          </w:p>
        </w:tc>
        <w:tc>
          <w:tcPr>
            <w:tcW w:w="410" w:type="pct"/>
            <w:tcBorders>
              <w:top w:val="single" w:sz="4" w:space="0" w:color="auto"/>
            </w:tcBorders>
            <w:noWrap/>
            <w:vAlign w:val="center"/>
            <w:hideMark/>
          </w:tcPr>
          <w:p w14:paraId="346B00A5"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4.000</w:t>
            </w:r>
          </w:p>
        </w:tc>
        <w:tc>
          <w:tcPr>
            <w:tcW w:w="444" w:type="pct"/>
            <w:tcBorders>
              <w:top w:val="single" w:sz="4" w:space="0" w:color="auto"/>
            </w:tcBorders>
            <w:noWrap/>
            <w:vAlign w:val="center"/>
            <w:hideMark/>
          </w:tcPr>
          <w:p w14:paraId="08047D61"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$323.32</w:t>
            </w:r>
          </w:p>
        </w:tc>
        <w:tc>
          <w:tcPr>
            <w:tcW w:w="615" w:type="pct"/>
            <w:tcBorders>
              <w:top w:val="single" w:sz="4" w:space="0" w:color="auto"/>
            </w:tcBorders>
            <w:noWrap/>
            <w:vAlign w:val="center"/>
            <w:hideMark/>
          </w:tcPr>
          <w:p w14:paraId="2F4AB7FF"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4,957</w:t>
            </w:r>
          </w:p>
        </w:tc>
        <w:tc>
          <w:tcPr>
            <w:tcW w:w="512" w:type="pct"/>
            <w:tcBorders>
              <w:top w:val="single" w:sz="4" w:space="0" w:color="auto"/>
            </w:tcBorders>
            <w:noWrap/>
            <w:vAlign w:val="center"/>
            <w:hideMark/>
          </w:tcPr>
          <w:p w14:paraId="60818F98"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hideMark/>
          </w:tcPr>
          <w:p w14:paraId="656EB1E1"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19,828</w:t>
            </w:r>
          </w:p>
        </w:tc>
        <w:tc>
          <w:tcPr>
            <w:tcW w:w="519" w:type="pct"/>
            <w:tcBorders>
              <w:top w:val="single" w:sz="4" w:space="0" w:color="auto"/>
              <w:right w:val="single" w:sz="12" w:space="0" w:color="auto"/>
            </w:tcBorders>
            <w:noWrap/>
            <w:vAlign w:val="center"/>
            <w:hideMark/>
          </w:tcPr>
          <w:p w14:paraId="62AAE1A6"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$1,602,697</w:t>
            </w:r>
          </w:p>
        </w:tc>
      </w:tr>
      <w:tr w:rsidR="00505245" w:rsidRPr="00CC1999" w14:paraId="0496B262" w14:textId="77777777" w:rsidTr="00505245">
        <w:trPr>
          <w:cantSplit/>
          <w:trHeight w:val="20"/>
        </w:trPr>
        <w:tc>
          <w:tcPr>
            <w:tcW w:w="2090" w:type="pct"/>
            <w:tcBorders>
              <w:left w:val="single" w:sz="12" w:space="0" w:color="auto"/>
            </w:tcBorders>
            <w:noWrap/>
            <w:hideMark/>
          </w:tcPr>
          <w:p w14:paraId="12038899"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Compliance Determination</w:t>
            </w:r>
          </w:p>
        </w:tc>
        <w:tc>
          <w:tcPr>
            <w:tcW w:w="410" w:type="pct"/>
            <w:noWrap/>
            <w:vAlign w:val="center"/>
            <w:hideMark/>
          </w:tcPr>
          <w:p w14:paraId="2C9C0CCE"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1.994</w:t>
            </w:r>
          </w:p>
        </w:tc>
        <w:tc>
          <w:tcPr>
            <w:tcW w:w="444" w:type="pct"/>
            <w:noWrap/>
            <w:vAlign w:val="center"/>
            <w:hideMark/>
          </w:tcPr>
          <w:p w14:paraId="79A40FA7"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$156.38</w:t>
            </w:r>
          </w:p>
        </w:tc>
        <w:tc>
          <w:tcPr>
            <w:tcW w:w="615" w:type="pct"/>
            <w:noWrap/>
            <w:vAlign w:val="center"/>
            <w:hideMark/>
          </w:tcPr>
          <w:p w14:paraId="25F96B30"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noWrap/>
            <w:vAlign w:val="center"/>
            <w:hideMark/>
          </w:tcPr>
          <w:p w14:paraId="6C91CB1B"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1,220</w:t>
            </w:r>
          </w:p>
        </w:tc>
        <w:tc>
          <w:tcPr>
            <w:tcW w:w="410" w:type="pct"/>
            <w:noWrap/>
            <w:vAlign w:val="center"/>
            <w:hideMark/>
          </w:tcPr>
          <w:p w14:paraId="3029AD44"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2,433</w:t>
            </w:r>
          </w:p>
        </w:tc>
        <w:tc>
          <w:tcPr>
            <w:tcW w:w="519" w:type="pct"/>
            <w:tcBorders>
              <w:right w:val="single" w:sz="12" w:space="0" w:color="auto"/>
            </w:tcBorders>
            <w:noWrap/>
            <w:vAlign w:val="center"/>
            <w:hideMark/>
          </w:tcPr>
          <w:p w14:paraId="49E8D741"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$190,784</w:t>
            </w:r>
          </w:p>
        </w:tc>
      </w:tr>
      <w:tr w:rsidR="00505245" w:rsidRPr="00CC1999" w14:paraId="7559F994" w14:textId="77777777" w:rsidTr="00505245">
        <w:trPr>
          <w:cantSplit/>
          <w:trHeight w:val="143"/>
        </w:trPr>
        <w:tc>
          <w:tcPr>
            <w:tcW w:w="2090" w:type="pct"/>
            <w:tcBorders>
              <w:left w:val="single" w:sz="12" w:space="0" w:color="auto"/>
            </w:tcBorders>
            <w:noWrap/>
            <w:hideMark/>
          </w:tcPr>
          <w:p w14:paraId="2445FDF2"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Form Completion</w:t>
            </w:r>
          </w:p>
        </w:tc>
        <w:tc>
          <w:tcPr>
            <w:tcW w:w="410" w:type="pct"/>
            <w:noWrap/>
            <w:vAlign w:val="center"/>
            <w:hideMark/>
          </w:tcPr>
          <w:p w14:paraId="2C2BE410"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8.811</w:t>
            </w:r>
          </w:p>
        </w:tc>
        <w:tc>
          <w:tcPr>
            <w:tcW w:w="444" w:type="pct"/>
            <w:noWrap/>
            <w:vAlign w:val="center"/>
            <w:hideMark/>
          </w:tcPr>
          <w:p w14:paraId="2AD907AA"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$704.31</w:t>
            </w:r>
          </w:p>
        </w:tc>
        <w:tc>
          <w:tcPr>
            <w:tcW w:w="615" w:type="pct"/>
            <w:noWrap/>
            <w:vAlign w:val="center"/>
            <w:hideMark/>
          </w:tcPr>
          <w:p w14:paraId="6307D408"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noWrap/>
            <w:vAlign w:val="center"/>
            <w:hideMark/>
          </w:tcPr>
          <w:p w14:paraId="3E5E177D"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1,220</w:t>
            </w:r>
          </w:p>
        </w:tc>
        <w:tc>
          <w:tcPr>
            <w:tcW w:w="410" w:type="pct"/>
            <w:noWrap/>
            <w:vAlign w:val="center"/>
            <w:hideMark/>
          </w:tcPr>
          <w:p w14:paraId="3AB7F56B"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10,749</w:t>
            </w:r>
          </w:p>
        </w:tc>
        <w:tc>
          <w:tcPr>
            <w:tcW w:w="519" w:type="pct"/>
            <w:tcBorders>
              <w:right w:val="single" w:sz="12" w:space="0" w:color="auto"/>
            </w:tcBorders>
            <w:noWrap/>
            <w:vAlign w:val="center"/>
            <w:hideMark/>
          </w:tcPr>
          <w:p w14:paraId="3E4EF000"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$858,258</w:t>
            </w:r>
          </w:p>
        </w:tc>
      </w:tr>
      <w:tr w:rsidR="00505245" w:rsidRPr="00CC1999" w14:paraId="7D0D52A9" w14:textId="77777777" w:rsidTr="00505245">
        <w:trPr>
          <w:cantSplit/>
          <w:trHeight w:val="20"/>
        </w:trPr>
        <w:tc>
          <w:tcPr>
            <w:tcW w:w="2090" w:type="pct"/>
            <w:tcBorders>
              <w:left w:val="single" w:sz="12" w:space="0" w:color="auto"/>
              <w:bottom w:val="single" w:sz="4" w:space="0" w:color="auto"/>
            </w:tcBorders>
            <w:noWrap/>
            <w:hideMark/>
          </w:tcPr>
          <w:p w14:paraId="17C88AD8"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Recordkeeping</w:t>
            </w:r>
          </w:p>
        </w:tc>
        <w:tc>
          <w:tcPr>
            <w:tcW w:w="410" w:type="pct"/>
            <w:tcBorders>
              <w:bottom w:val="single" w:sz="4" w:space="0" w:color="auto"/>
            </w:tcBorders>
            <w:noWrap/>
            <w:vAlign w:val="center"/>
            <w:hideMark/>
          </w:tcPr>
          <w:p w14:paraId="03833F7D"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0.125</w:t>
            </w:r>
          </w:p>
        </w:tc>
        <w:tc>
          <w:tcPr>
            <w:tcW w:w="444" w:type="pct"/>
            <w:tcBorders>
              <w:bottom w:val="single" w:sz="4" w:space="0" w:color="auto"/>
            </w:tcBorders>
            <w:noWrap/>
            <w:vAlign w:val="center"/>
            <w:hideMark/>
          </w:tcPr>
          <w:p w14:paraId="5D2748AB"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$4.28</w:t>
            </w:r>
          </w:p>
        </w:tc>
        <w:tc>
          <w:tcPr>
            <w:tcW w:w="615" w:type="pct"/>
            <w:tcBorders>
              <w:bottom w:val="single" w:sz="4" w:space="0" w:color="auto"/>
            </w:tcBorders>
            <w:noWrap/>
            <w:vAlign w:val="center"/>
            <w:hideMark/>
          </w:tcPr>
          <w:p w14:paraId="471BB30B"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tcBorders>
              <w:bottom w:val="single" w:sz="4" w:space="0" w:color="auto"/>
            </w:tcBorders>
            <w:noWrap/>
            <w:vAlign w:val="center"/>
            <w:hideMark/>
          </w:tcPr>
          <w:p w14:paraId="0CB08E8E"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1,220</w:t>
            </w:r>
          </w:p>
        </w:tc>
        <w:tc>
          <w:tcPr>
            <w:tcW w:w="410" w:type="pct"/>
            <w:tcBorders>
              <w:bottom w:val="single" w:sz="4" w:space="0" w:color="auto"/>
            </w:tcBorders>
            <w:noWrap/>
            <w:vAlign w:val="center"/>
            <w:hideMark/>
          </w:tcPr>
          <w:p w14:paraId="6C59A417"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153</w:t>
            </w:r>
          </w:p>
        </w:tc>
        <w:tc>
          <w:tcPr>
            <w:tcW w:w="519" w:type="pct"/>
            <w:tcBorders>
              <w:bottom w:val="single" w:sz="4" w:space="0" w:color="auto"/>
              <w:right w:val="single" w:sz="12" w:space="0" w:color="auto"/>
            </w:tcBorders>
            <w:noWrap/>
            <w:vAlign w:val="center"/>
            <w:hideMark/>
          </w:tcPr>
          <w:p w14:paraId="45F903A3"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$5,222</w:t>
            </w:r>
          </w:p>
        </w:tc>
      </w:tr>
      <w:tr w:rsidR="00505245" w:rsidRPr="00CC1999" w14:paraId="3195D05E" w14:textId="77777777" w:rsidTr="00505245">
        <w:trPr>
          <w:cantSplit/>
          <w:trHeight w:val="20"/>
        </w:trPr>
        <w:tc>
          <w:tcPr>
            <w:tcW w:w="2090" w:type="pct"/>
            <w:tcBorders>
              <w:top w:val="single" w:sz="4" w:space="0" w:color="auto"/>
              <w:left w:val="single" w:sz="12" w:space="0" w:color="auto"/>
              <w:bottom w:val="single" w:sz="12" w:space="0" w:color="auto"/>
              <w:right w:val="nil"/>
            </w:tcBorders>
            <w:shd w:val="clear" w:color="auto" w:fill="D9D9D9" w:themeFill="background1" w:themeFillShade="D9"/>
            <w:noWrap/>
            <w:hideMark/>
          </w:tcPr>
          <w:p w14:paraId="0329246B" w14:textId="77777777" w:rsidR="00505245" w:rsidRPr="00137964" w:rsidRDefault="00505245" w:rsidP="00505245">
            <w:pPr>
              <w:pStyle w:val="BodyText"/>
              <w:keepNext/>
              <w:spacing w:beforeLines="20" w:before="48" w:afterLines="20" w:after="48" w:line="264" w:lineRule="auto"/>
              <w:ind w:left="0" w:firstLine="0"/>
              <w:contextualSpacing/>
              <w:rPr>
                <w:b/>
                <w:bCs/>
                <w:sz w:val="20"/>
                <w:szCs w:val="20"/>
              </w:rPr>
            </w:pPr>
            <w:r w:rsidRPr="00137964">
              <w:rPr>
                <w:b/>
                <w:bCs/>
                <w:sz w:val="20"/>
                <w:szCs w:val="20"/>
              </w:rPr>
              <w:t xml:space="preserve">Total Phase I Start-Up </w:t>
            </w:r>
            <w:r w:rsidRPr="00137964">
              <w:rPr>
                <w:b/>
                <w:bCs/>
                <w:sz w:val="20"/>
                <w:szCs w:val="20"/>
                <w:vertAlign w:val="superscript"/>
              </w:rPr>
              <w:t>1</w:t>
            </w:r>
          </w:p>
        </w:tc>
        <w:tc>
          <w:tcPr>
            <w:tcW w:w="410" w:type="pct"/>
            <w:tcBorders>
              <w:top w:val="single" w:sz="4" w:space="0" w:color="auto"/>
              <w:left w:val="nil"/>
              <w:bottom w:val="single" w:sz="12" w:space="0" w:color="auto"/>
              <w:right w:val="nil"/>
            </w:tcBorders>
            <w:shd w:val="clear" w:color="auto" w:fill="D9D9D9" w:themeFill="background1" w:themeFillShade="D9"/>
            <w:noWrap/>
            <w:vAlign w:val="center"/>
            <w:hideMark/>
          </w:tcPr>
          <w:p w14:paraId="5C66DCA2"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444" w:type="pct"/>
            <w:tcBorders>
              <w:top w:val="single" w:sz="4" w:space="0" w:color="auto"/>
              <w:left w:val="nil"/>
              <w:bottom w:val="single" w:sz="12" w:space="0" w:color="auto"/>
              <w:right w:val="nil"/>
            </w:tcBorders>
            <w:shd w:val="clear" w:color="auto" w:fill="D9D9D9" w:themeFill="background1" w:themeFillShade="D9"/>
            <w:noWrap/>
            <w:hideMark/>
          </w:tcPr>
          <w:p w14:paraId="712B22CB" w14:textId="77777777" w:rsidR="00505245" w:rsidRPr="00137964" w:rsidRDefault="00505245" w:rsidP="00505245">
            <w:pPr>
              <w:pStyle w:val="BodyText"/>
              <w:keepNext/>
              <w:spacing w:beforeLines="20" w:before="48" w:afterLines="20" w:after="48" w:line="264" w:lineRule="auto"/>
              <w:contextualSpacing/>
              <w:rPr>
                <w:sz w:val="20"/>
                <w:szCs w:val="20"/>
              </w:rPr>
            </w:pPr>
          </w:p>
        </w:tc>
        <w:tc>
          <w:tcPr>
            <w:tcW w:w="615"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14:paraId="1EE2C4D4"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tcBorders>
              <w:left w:val="single" w:sz="4" w:space="0" w:color="auto"/>
              <w:bottom w:val="single" w:sz="12" w:space="0" w:color="auto"/>
            </w:tcBorders>
            <w:shd w:val="clear" w:color="auto" w:fill="D9D9D9" w:themeFill="background1" w:themeFillShade="D9"/>
            <w:noWrap/>
            <w:vAlign w:val="center"/>
            <w:hideMark/>
          </w:tcPr>
          <w:p w14:paraId="7CA5AEE3" w14:textId="77777777" w:rsidR="00505245" w:rsidRPr="00137964" w:rsidRDefault="00505245" w:rsidP="00505245">
            <w:pPr>
              <w:pStyle w:val="BodyText"/>
              <w:keepNext/>
              <w:spacing w:beforeLines="20" w:before="48" w:afterLines="20" w:after="48" w:line="264" w:lineRule="auto"/>
              <w:ind w:left="0" w:firstLine="0"/>
              <w:contextualSpacing/>
              <w:jc w:val="center"/>
              <w:rPr>
                <w:b/>
                <w:bCs/>
                <w:i/>
                <w:sz w:val="20"/>
                <w:szCs w:val="20"/>
              </w:rPr>
            </w:pPr>
            <w:r w:rsidRPr="00137964">
              <w:rPr>
                <w:b/>
                <w:bCs/>
                <w:i/>
                <w:sz w:val="20"/>
                <w:szCs w:val="20"/>
              </w:rPr>
              <w:t>1,220</w:t>
            </w:r>
          </w:p>
        </w:tc>
        <w:tc>
          <w:tcPr>
            <w:tcW w:w="410" w:type="pct"/>
            <w:tcBorders>
              <w:bottom w:val="single" w:sz="12" w:space="0" w:color="auto"/>
            </w:tcBorders>
            <w:shd w:val="clear" w:color="auto" w:fill="D9D9D9" w:themeFill="background1" w:themeFillShade="D9"/>
            <w:noWrap/>
            <w:vAlign w:val="center"/>
            <w:hideMark/>
          </w:tcPr>
          <w:p w14:paraId="7B332B4E" w14:textId="77777777" w:rsidR="00505245" w:rsidRPr="00137964" w:rsidRDefault="00505245" w:rsidP="00505245">
            <w:pPr>
              <w:pStyle w:val="BodyText"/>
              <w:keepNext/>
              <w:spacing w:beforeLines="20" w:before="48" w:afterLines="20" w:after="48" w:line="264" w:lineRule="auto"/>
              <w:ind w:left="0" w:firstLine="0"/>
              <w:contextualSpacing/>
              <w:jc w:val="center"/>
              <w:rPr>
                <w:b/>
                <w:bCs/>
                <w:i/>
                <w:sz w:val="20"/>
                <w:szCs w:val="20"/>
              </w:rPr>
            </w:pPr>
            <w:r w:rsidRPr="00137964">
              <w:rPr>
                <w:b/>
                <w:bCs/>
                <w:i/>
                <w:sz w:val="20"/>
                <w:szCs w:val="20"/>
              </w:rPr>
              <w:t>33,163</w:t>
            </w:r>
          </w:p>
        </w:tc>
        <w:tc>
          <w:tcPr>
            <w:tcW w:w="519" w:type="pct"/>
            <w:tcBorders>
              <w:bottom w:val="single" w:sz="12" w:space="0" w:color="auto"/>
              <w:right w:val="single" w:sz="12" w:space="0" w:color="auto"/>
            </w:tcBorders>
            <w:shd w:val="clear" w:color="auto" w:fill="D9D9D9" w:themeFill="background1" w:themeFillShade="D9"/>
            <w:noWrap/>
            <w:vAlign w:val="center"/>
            <w:hideMark/>
          </w:tcPr>
          <w:p w14:paraId="75113E74" w14:textId="77777777" w:rsidR="00505245" w:rsidRPr="00137964" w:rsidRDefault="00505245" w:rsidP="00505245">
            <w:pPr>
              <w:pStyle w:val="BodyText"/>
              <w:keepNext/>
              <w:spacing w:beforeLines="20" w:before="48" w:afterLines="20" w:after="48" w:line="264" w:lineRule="auto"/>
              <w:ind w:firstLine="0"/>
              <w:contextualSpacing/>
              <w:jc w:val="right"/>
              <w:rPr>
                <w:b/>
                <w:bCs/>
                <w:i/>
                <w:sz w:val="20"/>
                <w:szCs w:val="20"/>
              </w:rPr>
            </w:pPr>
            <w:r w:rsidRPr="00137964">
              <w:rPr>
                <w:b/>
                <w:bCs/>
                <w:i/>
                <w:sz w:val="20"/>
                <w:szCs w:val="20"/>
              </w:rPr>
              <w:t>$2,657,961</w:t>
            </w:r>
          </w:p>
        </w:tc>
      </w:tr>
      <w:tr w:rsidR="00505245" w:rsidRPr="00CC1999" w14:paraId="146C4A53" w14:textId="77777777" w:rsidTr="00505245">
        <w:trPr>
          <w:cantSplit/>
          <w:trHeight w:val="20"/>
        </w:trPr>
        <w:tc>
          <w:tcPr>
            <w:tcW w:w="2944" w:type="pct"/>
            <w:gridSpan w:val="3"/>
            <w:tcBorders>
              <w:top w:val="single" w:sz="12" w:space="0" w:color="auto"/>
              <w:left w:val="single" w:sz="12" w:space="0" w:color="auto"/>
              <w:bottom w:val="single" w:sz="4" w:space="0" w:color="auto"/>
              <w:right w:val="nil"/>
            </w:tcBorders>
            <w:noWrap/>
            <w:hideMark/>
          </w:tcPr>
          <w:p w14:paraId="5B677319" w14:textId="77777777" w:rsidR="00505245" w:rsidRPr="00137964" w:rsidRDefault="00505245" w:rsidP="00505245">
            <w:pPr>
              <w:pStyle w:val="BodyText"/>
              <w:keepNext/>
              <w:spacing w:beforeLines="20" w:before="48" w:afterLines="20" w:after="48" w:line="264" w:lineRule="auto"/>
              <w:ind w:left="0" w:firstLine="0"/>
              <w:contextualSpacing/>
              <w:rPr>
                <w:b/>
                <w:bCs/>
                <w:i/>
                <w:iCs/>
                <w:sz w:val="20"/>
                <w:szCs w:val="20"/>
              </w:rPr>
            </w:pPr>
            <w:r w:rsidRPr="00137964">
              <w:rPr>
                <w:b/>
                <w:bCs/>
                <w:i/>
                <w:iCs/>
                <w:sz w:val="20"/>
                <w:szCs w:val="20"/>
              </w:rPr>
              <w:t>PHASE II START-UP: INITIAL REPORTING PERIOD FOR PROCESSORS (APPROXIMATELY JAN-JUN 2018)</w:t>
            </w:r>
          </w:p>
        </w:tc>
        <w:tc>
          <w:tcPr>
            <w:tcW w:w="615" w:type="pct"/>
            <w:tcBorders>
              <w:top w:val="single" w:sz="12" w:space="0" w:color="auto"/>
              <w:left w:val="nil"/>
              <w:bottom w:val="single" w:sz="4" w:space="0" w:color="auto"/>
              <w:right w:val="nil"/>
            </w:tcBorders>
            <w:noWrap/>
            <w:hideMark/>
          </w:tcPr>
          <w:p w14:paraId="2AB774D4" w14:textId="77777777" w:rsidR="00505245" w:rsidRPr="00137964" w:rsidRDefault="00505245" w:rsidP="00505245">
            <w:pPr>
              <w:pStyle w:val="BodyText"/>
              <w:keepNext/>
              <w:spacing w:beforeLines="20" w:before="48" w:afterLines="20" w:after="48" w:line="264" w:lineRule="auto"/>
              <w:contextualSpacing/>
              <w:rPr>
                <w:sz w:val="20"/>
                <w:szCs w:val="20"/>
              </w:rPr>
            </w:pPr>
          </w:p>
        </w:tc>
        <w:tc>
          <w:tcPr>
            <w:tcW w:w="512" w:type="pct"/>
            <w:tcBorders>
              <w:top w:val="single" w:sz="12" w:space="0" w:color="auto"/>
              <w:left w:val="nil"/>
              <w:bottom w:val="single" w:sz="4" w:space="0" w:color="auto"/>
              <w:right w:val="nil"/>
            </w:tcBorders>
            <w:noWrap/>
            <w:hideMark/>
          </w:tcPr>
          <w:p w14:paraId="5B09AE53" w14:textId="77777777" w:rsidR="00505245" w:rsidRPr="00137964" w:rsidRDefault="00505245" w:rsidP="00505245">
            <w:pPr>
              <w:pStyle w:val="BodyText"/>
              <w:keepNext/>
              <w:spacing w:beforeLines="20" w:before="48" w:afterLines="20" w:after="48" w:line="264" w:lineRule="auto"/>
              <w:contextualSpacing/>
              <w:rPr>
                <w:sz w:val="20"/>
                <w:szCs w:val="20"/>
              </w:rPr>
            </w:pPr>
          </w:p>
        </w:tc>
        <w:tc>
          <w:tcPr>
            <w:tcW w:w="410" w:type="pct"/>
            <w:tcBorders>
              <w:top w:val="single" w:sz="12" w:space="0" w:color="auto"/>
              <w:left w:val="nil"/>
              <w:bottom w:val="single" w:sz="4" w:space="0" w:color="auto"/>
              <w:right w:val="nil"/>
            </w:tcBorders>
            <w:noWrap/>
            <w:hideMark/>
          </w:tcPr>
          <w:p w14:paraId="1D7180AB" w14:textId="77777777" w:rsidR="00505245" w:rsidRPr="00137964" w:rsidRDefault="00505245" w:rsidP="00505245">
            <w:pPr>
              <w:pStyle w:val="BodyText"/>
              <w:keepNext/>
              <w:spacing w:beforeLines="20" w:before="48" w:afterLines="20" w:after="48" w:line="264" w:lineRule="auto"/>
              <w:contextualSpacing/>
              <w:rPr>
                <w:sz w:val="20"/>
                <w:szCs w:val="20"/>
              </w:rPr>
            </w:pPr>
          </w:p>
        </w:tc>
        <w:tc>
          <w:tcPr>
            <w:tcW w:w="519" w:type="pct"/>
            <w:tcBorders>
              <w:top w:val="single" w:sz="12" w:space="0" w:color="auto"/>
              <w:left w:val="nil"/>
              <w:bottom w:val="single" w:sz="4" w:space="0" w:color="auto"/>
              <w:right w:val="single" w:sz="12" w:space="0" w:color="auto"/>
            </w:tcBorders>
            <w:noWrap/>
            <w:hideMark/>
          </w:tcPr>
          <w:p w14:paraId="2661E3C9" w14:textId="77777777" w:rsidR="00505245" w:rsidRPr="00137964" w:rsidRDefault="00505245" w:rsidP="00505245">
            <w:pPr>
              <w:pStyle w:val="BodyText"/>
              <w:keepNext/>
              <w:spacing w:beforeLines="20" w:before="48" w:afterLines="20" w:after="48" w:line="264" w:lineRule="auto"/>
              <w:contextualSpacing/>
              <w:rPr>
                <w:sz w:val="20"/>
                <w:szCs w:val="20"/>
              </w:rPr>
            </w:pPr>
          </w:p>
        </w:tc>
      </w:tr>
      <w:tr w:rsidR="00505245" w:rsidRPr="00CC1999" w14:paraId="5EE49162" w14:textId="77777777" w:rsidTr="00505245">
        <w:trPr>
          <w:cantSplit/>
          <w:trHeight w:val="20"/>
        </w:trPr>
        <w:tc>
          <w:tcPr>
            <w:tcW w:w="5000" w:type="pct"/>
            <w:gridSpan w:val="7"/>
            <w:tcBorders>
              <w:top w:val="single" w:sz="4" w:space="0" w:color="auto"/>
              <w:left w:val="single" w:sz="12" w:space="0" w:color="auto"/>
              <w:bottom w:val="single" w:sz="4" w:space="0" w:color="auto"/>
              <w:right w:val="single" w:sz="12" w:space="0" w:color="auto"/>
            </w:tcBorders>
            <w:noWrap/>
            <w:hideMark/>
          </w:tcPr>
          <w:p w14:paraId="196BFD63"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i/>
                <w:iCs/>
                <w:sz w:val="20"/>
                <w:szCs w:val="20"/>
              </w:rPr>
              <w:t>Group 1 – Additional Manufacturers and Importers Reporting (After Phase I)</w:t>
            </w:r>
          </w:p>
        </w:tc>
      </w:tr>
      <w:tr w:rsidR="00505245" w:rsidRPr="00CC1999" w14:paraId="25D03631" w14:textId="77777777" w:rsidTr="00505245">
        <w:trPr>
          <w:cantSplit/>
          <w:trHeight w:val="20"/>
        </w:trPr>
        <w:tc>
          <w:tcPr>
            <w:tcW w:w="2090" w:type="pct"/>
            <w:tcBorders>
              <w:top w:val="single" w:sz="4" w:space="0" w:color="auto"/>
              <w:left w:val="single" w:sz="12" w:space="0" w:color="auto"/>
            </w:tcBorders>
            <w:noWrap/>
            <w:hideMark/>
          </w:tcPr>
          <w:p w14:paraId="01AA5551"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Rule Familiarization</w:t>
            </w:r>
          </w:p>
        </w:tc>
        <w:tc>
          <w:tcPr>
            <w:tcW w:w="410" w:type="pct"/>
            <w:tcBorders>
              <w:top w:val="single" w:sz="4" w:space="0" w:color="auto"/>
            </w:tcBorders>
            <w:noWrap/>
            <w:vAlign w:val="center"/>
            <w:hideMark/>
          </w:tcPr>
          <w:p w14:paraId="7E97A970"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4.000</w:t>
            </w:r>
          </w:p>
        </w:tc>
        <w:tc>
          <w:tcPr>
            <w:tcW w:w="444" w:type="pct"/>
            <w:tcBorders>
              <w:top w:val="single" w:sz="4" w:space="0" w:color="auto"/>
            </w:tcBorders>
            <w:noWrap/>
            <w:vAlign w:val="center"/>
            <w:hideMark/>
          </w:tcPr>
          <w:p w14:paraId="1B4C238E"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$323.32</w:t>
            </w:r>
          </w:p>
        </w:tc>
        <w:tc>
          <w:tcPr>
            <w:tcW w:w="615" w:type="pct"/>
            <w:tcBorders>
              <w:top w:val="single" w:sz="4" w:space="0" w:color="auto"/>
            </w:tcBorders>
            <w:noWrap/>
            <w:vAlign w:val="center"/>
            <w:hideMark/>
          </w:tcPr>
          <w:p w14:paraId="52FCB2F6"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365</w:t>
            </w:r>
          </w:p>
        </w:tc>
        <w:tc>
          <w:tcPr>
            <w:tcW w:w="512" w:type="pct"/>
            <w:tcBorders>
              <w:top w:val="single" w:sz="4" w:space="0" w:color="auto"/>
            </w:tcBorders>
            <w:noWrap/>
            <w:vAlign w:val="center"/>
            <w:hideMark/>
          </w:tcPr>
          <w:p w14:paraId="436A5FEF"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hideMark/>
          </w:tcPr>
          <w:p w14:paraId="62EF221F"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1,460</w:t>
            </w:r>
          </w:p>
        </w:tc>
        <w:tc>
          <w:tcPr>
            <w:tcW w:w="519" w:type="pct"/>
            <w:tcBorders>
              <w:top w:val="single" w:sz="4" w:space="0" w:color="auto"/>
              <w:right w:val="single" w:sz="12" w:space="0" w:color="auto"/>
            </w:tcBorders>
            <w:noWrap/>
            <w:vAlign w:val="center"/>
            <w:hideMark/>
          </w:tcPr>
          <w:p w14:paraId="0AFCF859"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$118,012</w:t>
            </w:r>
          </w:p>
        </w:tc>
      </w:tr>
      <w:tr w:rsidR="00505245" w:rsidRPr="00CC1999" w14:paraId="0721D89F" w14:textId="77777777" w:rsidTr="00505245">
        <w:trPr>
          <w:cantSplit/>
          <w:trHeight w:val="20"/>
        </w:trPr>
        <w:tc>
          <w:tcPr>
            <w:tcW w:w="2090" w:type="pct"/>
            <w:tcBorders>
              <w:left w:val="single" w:sz="12" w:space="0" w:color="auto"/>
            </w:tcBorders>
            <w:noWrap/>
            <w:hideMark/>
          </w:tcPr>
          <w:p w14:paraId="3FBBB0B2"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Compliance Determination</w:t>
            </w:r>
          </w:p>
        </w:tc>
        <w:tc>
          <w:tcPr>
            <w:tcW w:w="410" w:type="pct"/>
            <w:noWrap/>
            <w:vAlign w:val="center"/>
            <w:hideMark/>
          </w:tcPr>
          <w:p w14:paraId="1E766DAA"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1.994</w:t>
            </w:r>
          </w:p>
        </w:tc>
        <w:tc>
          <w:tcPr>
            <w:tcW w:w="444" w:type="pct"/>
            <w:noWrap/>
            <w:vAlign w:val="center"/>
            <w:hideMark/>
          </w:tcPr>
          <w:p w14:paraId="4059D3CC"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$156.38</w:t>
            </w:r>
          </w:p>
        </w:tc>
        <w:tc>
          <w:tcPr>
            <w:tcW w:w="615" w:type="pct"/>
            <w:noWrap/>
            <w:vAlign w:val="center"/>
            <w:hideMark/>
          </w:tcPr>
          <w:p w14:paraId="511F060F"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noWrap/>
            <w:vAlign w:val="center"/>
            <w:hideMark/>
          </w:tcPr>
          <w:p w14:paraId="2E385C32"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365</w:t>
            </w:r>
          </w:p>
        </w:tc>
        <w:tc>
          <w:tcPr>
            <w:tcW w:w="410" w:type="pct"/>
            <w:noWrap/>
            <w:vAlign w:val="center"/>
            <w:hideMark/>
          </w:tcPr>
          <w:p w14:paraId="4335AF79"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728</w:t>
            </w:r>
          </w:p>
        </w:tc>
        <w:tc>
          <w:tcPr>
            <w:tcW w:w="519" w:type="pct"/>
            <w:tcBorders>
              <w:right w:val="single" w:sz="12" w:space="0" w:color="auto"/>
            </w:tcBorders>
            <w:noWrap/>
            <w:vAlign w:val="center"/>
            <w:hideMark/>
          </w:tcPr>
          <w:p w14:paraId="7D998F78"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$57,079</w:t>
            </w:r>
          </w:p>
        </w:tc>
      </w:tr>
      <w:tr w:rsidR="00505245" w:rsidRPr="00CC1999" w14:paraId="64700B7C" w14:textId="77777777" w:rsidTr="00505245">
        <w:trPr>
          <w:cantSplit/>
          <w:trHeight w:val="20"/>
        </w:trPr>
        <w:tc>
          <w:tcPr>
            <w:tcW w:w="2090" w:type="pct"/>
            <w:tcBorders>
              <w:left w:val="single" w:sz="12" w:space="0" w:color="auto"/>
            </w:tcBorders>
            <w:noWrap/>
            <w:hideMark/>
          </w:tcPr>
          <w:p w14:paraId="38800023"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Form Completion</w:t>
            </w:r>
          </w:p>
        </w:tc>
        <w:tc>
          <w:tcPr>
            <w:tcW w:w="410" w:type="pct"/>
            <w:noWrap/>
            <w:vAlign w:val="center"/>
            <w:hideMark/>
          </w:tcPr>
          <w:p w14:paraId="21921748"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8.811</w:t>
            </w:r>
          </w:p>
        </w:tc>
        <w:tc>
          <w:tcPr>
            <w:tcW w:w="444" w:type="pct"/>
            <w:noWrap/>
            <w:vAlign w:val="center"/>
            <w:hideMark/>
          </w:tcPr>
          <w:p w14:paraId="7C93F374"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$704.31</w:t>
            </w:r>
          </w:p>
        </w:tc>
        <w:tc>
          <w:tcPr>
            <w:tcW w:w="615" w:type="pct"/>
            <w:noWrap/>
            <w:vAlign w:val="center"/>
            <w:hideMark/>
          </w:tcPr>
          <w:p w14:paraId="52EFA239"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noWrap/>
            <w:vAlign w:val="center"/>
            <w:hideMark/>
          </w:tcPr>
          <w:p w14:paraId="4E2F52ED"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365</w:t>
            </w:r>
          </w:p>
        </w:tc>
        <w:tc>
          <w:tcPr>
            <w:tcW w:w="410" w:type="pct"/>
            <w:noWrap/>
            <w:vAlign w:val="center"/>
            <w:hideMark/>
          </w:tcPr>
          <w:p w14:paraId="088D2F5C"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3,216</w:t>
            </w:r>
          </w:p>
        </w:tc>
        <w:tc>
          <w:tcPr>
            <w:tcW w:w="519" w:type="pct"/>
            <w:tcBorders>
              <w:right w:val="single" w:sz="12" w:space="0" w:color="auto"/>
            </w:tcBorders>
            <w:noWrap/>
            <w:vAlign w:val="center"/>
            <w:hideMark/>
          </w:tcPr>
          <w:p w14:paraId="2B5E870F"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$257,073</w:t>
            </w:r>
          </w:p>
        </w:tc>
      </w:tr>
      <w:tr w:rsidR="00505245" w:rsidRPr="00CC1999" w14:paraId="516DBF40" w14:textId="77777777" w:rsidTr="00505245">
        <w:trPr>
          <w:cantSplit/>
          <w:trHeight w:val="20"/>
        </w:trPr>
        <w:tc>
          <w:tcPr>
            <w:tcW w:w="2090" w:type="pct"/>
            <w:tcBorders>
              <w:left w:val="single" w:sz="12" w:space="0" w:color="auto"/>
              <w:bottom w:val="single" w:sz="4" w:space="0" w:color="auto"/>
            </w:tcBorders>
            <w:noWrap/>
            <w:hideMark/>
          </w:tcPr>
          <w:p w14:paraId="3975875D" w14:textId="77777777" w:rsidR="00505245" w:rsidRPr="00137964" w:rsidRDefault="00505245" w:rsidP="00505245">
            <w:pPr>
              <w:pStyle w:val="BodyText"/>
              <w:keepNext/>
              <w:spacing w:beforeLines="20" w:before="48" w:afterLines="20" w:after="48" w:line="264" w:lineRule="auto"/>
              <w:ind w:left="0" w:firstLine="0"/>
              <w:contextualSpacing/>
              <w:rPr>
                <w:sz w:val="20"/>
                <w:szCs w:val="20"/>
              </w:rPr>
            </w:pPr>
            <w:r w:rsidRPr="00137964">
              <w:rPr>
                <w:sz w:val="20"/>
                <w:szCs w:val="20"/>
              </w:rPr>
              <w:t>Recordkeeping</w:t>
            </w:r>
          </w:p>
        </w:tc>
        <w:tc>
          <w:tcPr>
            <w:tcW w:w="410" w:type="pct"/>
            <w:tcBorders>
              <w:bottom w:val="single" w:sz="4" w:space="0" w:color="auto"/>
            </w:tcBorders>
            <w:noWrap/>
            <w:vAlign w:val="center"/>
            <w:hideMark/>
          </w:tcPr>
          <w:p w14:paraId="6CD6C32A"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0.125</w:t>
            </w:r>
          </w:p>
        </w:tc>
        <w:tc>
          <w:tcPr>
            <w:tcW w:w="444" w:type="pct"/>
            <w:tcBorders>
              <w:bottom w:val="single" w:sz="4" w:space="0" w:color="auto"/>
            </w:tcBorders>
            <w:noWrap/>
            <w:vAlign w:val="center"/>
            <w:hideMark/>
          </w:tcPr>
          <w:p w14:paraId="060A0DEF" w14:textId="77777777" w:rsidR="00505245" w:rsidRPr="00137964" w:rsidRDefault="00505245" w:rsidP="00505245">
            <w:pPr>
              <w:pStyle w:val="BodyText"/>
              <w:keepNext/>
              <w:spacing w:beforeLines="20" w:before="48" w:afterLines="20" w:after="48" w:line="264" w:lineRule="auto"/>
              <w:ind w:firstLine="0"/>
              <w:contextualSpacing/>
              <w:jc w:val="center"/>
              <w:rPr>
                <w:sz w:val="20"/>
                <w:szCs w:val="20"/>
              </w:rPr>
            </w:pPr>
            <w:r w:rsidRPr="00137964">
              <w:rPr>
                <w:sz w:val="20"/>
                <w:szCs w:val="20"/>
              </w:rPr>
              <w:t>$4.28</w:t>
            </w:r>
          </w:p>
        </w:tc>
        <w:tc>
          <w:tcPr>
            <w:tcW w:w="615" w:type="pct"/>
            <w:tcBorders>
              <w:bottom w:val="single" w:sz="4" w:space="0" w:color="auto"/>
            </w:tcBorders>
            <w:noWrap/>
            <w:vAlign w:val="center"/>
            <w:hideMark/>
          </w:tcPr>
          <w:p w14:paraId="4AC53E0D" w14:textId="77777777" w:rsidR="00505245" w:rsidRPr="00137964" w:rsidRDefault="00505245" w:rsidP="00505245">
            <w:pPr>
              <w:pStyle w:val="BodyText"/>
              <w:keepNext/>
              <w:spacing w:beforeLines="20" w:before="48" w:afterLines="20" w:after="48" w:line="264" w:lineRule="auto"/>
              <w:contextualSpacing/>
              <w:jc w:val="center"/>
              <w:rPr>
                <w:sz w:val="20"/>
                <w:szCs w:val="20"/>
              </w:rPr>
            </w:pPr>
          </w:p>
        </w:tc>
        <w:tc>
          <w:tcPr>
            <w:tcW w:w="512" w:type="pct"/>
            <w:noWrap/>
            <w:vAlign w:val="center"/>
            <w:hideMark/>
          </w:tcPr>
          <w:p w14:paraId="0BEA435B"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365</w:t>
            </w:r>
          </w:p>
        </w:tc>
        <w:tc>
          <w:tcPr>
            <w:tcW w:w="410" w:type="pct"/>
            <w:noWrap/>
            <w:vAlign w:val="center"/>
            <w:hideMark/>
          </w:tcPr>
          <w:p w14:paraId="3526AA3D" w14:textId="77777777" w:rsidR="00505245" w:rsidRPr="00137964" w:rsidRDefault="00505245" w:rsidP="00505245">
            <w:pPr>
              <w:pStyle w:val="BodyText"/>
              <w:keepNext/>
              <w:spacing w:beforeLines="20" w:before="48" w:afterLines="20" w:after="48" w:line="264" w:lineRule="auto"/>
              <w:ind w:left="0" w:firstLine="0"/>
              <w:contextualSpacing/>
              <w:jc w:val="center"/>
              <w:rPr>
                <w:sz w:val="20"/>
                <w:szCs w:val="20"/>
              </w:rPr>
            </w:pPr>
            <w:r w:rsidRPr="00137964">
              <w:rPr>
                <w:sz w:val="20"/>
                <w:szCs w:val="20"/>
              </w:rPr>
              <w:t>46</w:t>
            </w:r>
          </w:p>
        </w:tc>
        <w:tc>
          <w:tcPr>
            <w:tcW w:w="519" w:type="pct"/>
            <w:tcBorders>
              <w:right w:val="single" w:sz="12" w:space="0" w:color="auto"/>
            </w:tcBorders>
            <w:noWrap/>
            <w:vAlign w:val="center"/>
            <w:hideMark/>
          </w:tcPr>
          <w:p w14:paraId="275DB822" w14:textId="77777777" w:rsidR="00505245" w:rsidRPr="00137964" w:rsidRDefault="00505245" w:rsidP="00505245">
            <w:pPr>
              <w:pStyle w:val="BodyText"/>
              <w:keepNext/>
              <w:spacing w:beforeLines="20" w:before="48" w:afterLines="20" w:after="48" w:line="264" w:lineRule="auto"/>
              <w:ind w:firstLine="0"/>
              <w:contextualSpacing/>
              <w:jc w:val="right"/>
              <w:rPr>
                <w:sz w:val="20"/>
                <w:szCs w:val="20"/>
              </w:rPr>
            </w:pPr>
            <w:r w:rsidRPr="00137964">
              <w:rPr>
                <w:sz w:val="20"/>
                <w:szCs w:val="20"/>
              </w:rPr>
              <w:t>$1,562</w:t>
            </w:r>
          </w:p>
        </w:tc>
      </w:tr>
      <w:tr w:rsidR="00505245" w:rsidRPr="00CC1999" w14:paraId="526AE38E" w14:textId="77777777" w:rsidTr="00505245">
        <w:trPr>
          <w:cantSplit/>
          <w:trHeight w:val="20"/>
        </w:trPr>
        <w:tc>
          <w:tcPr>
            <w:tcW w:w="2090" w:type="pct"/>
            <w:tcBorders>
              <w:top w:val="single" w:sz="4" w:space="0" w:color="auto"/>
              <w:left w:val="single" w:sz="12" w:space="0" w:color="auto"/>
              <w:bottom w:val="single" w:sz="4" w:space="0" w:color="auto"/>
              <w:right w:val="nil"/>
            </w:tcBorders>
            <w:noWrap/>
            <w:hideMark/>
          </w:tcPr>
          <w:p w14:paraId="7A4EDE5A" w14:textId="77777777" w:rsidR="00505245" w:rsidRPr="00137964" w:rsidRDefault="00505245" w:rsidP="00505245">
            <w:pPr>
              <w:pStyle w:val="BodyText"/>
              <w:spacing w:beforeLines="20" w:before="48" w:afterLines="20" w:after="48" w:line="264" w:lineRule="auto"/>
              <w:ind w:left="0" w:firstLine="0"/>
              <w:contextualSpacing/>
              <w:rPr>
                <w:b/>
                <w:bCs/>
                <w:i/>
                <w:iCs/>
                <w:sz w:val="20"/>
                <w:szCs w:val="20"/>
              </w:rPr>
            </w:pPr>
            <w:r w:rsidRPr="00137964">
              <w:rPr>
                <w:b/>
                <w:bCs/>
                <w:i/>
                <w:iCs/>
                <w:sz w:val="20"/>
                <w:szCs w:val="20"/>
              </w:rPr>
              <w:t xml:space="preserve">Group 1 Subtotal </w:t>
            </w:r>
            <w:r w:rsidRPr="00137964">
              <w:rPr>
                <w:b/>
                <w:bCs/>
                <w:i/>
                <w:iCs/>
                <w:sz w:val="20"/>
                <w:szCs w:val="20"/>
                <w:vertAlign w:val="superscript"/>
              </w:rPr>
              <w:t>1</w:t>
            </w:r>
          </w:p>
        </w:tc>
        <w:tc>
          <w:tcPr>
            <w:tcW w:w="410" w:type="pct"/>
            <w:tcBorders>
              <w:top w:val="single" w:sz="4" w:space="0" w:color="auto"/>
              <w:left w:val="nil"/>
              <w:bottom w:val="single" w:sz="4" w:space="0" w:color="auto"/>
              <w:right w:val="nil"/>
            </w:tcBorders>
            <w:noWrap/>
            <w:vAlign w:val="center"/>
            <w:hideMark/>
          </w:tcPr>
          <w:p w14:paraId="3EB5164F"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44" w:type="pct"/>
            <w:tcBorders>
              <w:top w:val="single" w:sz="4" w:space="0" w:color="auto"/>
              <w:left w:val="nil"/>
              <w:bottom w:val="single" w:sz="4" w:space="0" w:color="auto"/>
              <w:right w:val="nil"/>
            </w:tcBorders>
            <w:noWrap/>
            <w:vAlign w:val="center"/>
            <w:hideMark/>
          </w:tcPr>
          <w:p w14:paraId="4425B907"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615" w:type="pct"/>
            <w:tcBorders>
              <w:top w:val="single" w:sz="4" w:space="0" w:color="auto"/>
              <w:left w:val="nil"/>
              <w:bottom w:val="single" w:sz="4" w:space="0" w:color="auto"/>
              <w:right w:val="single" w:sz="4" w:space="0" w:color="auto"/>
            </w:tcBorders>
            <w:noWrap/>
            <w:vAlign w:val="center"/>
            <w:hideMark/>
          </w:tcPr>
          <w:p w14:paraId="763823B2" w14:textId="77777777" w:rsidR="00505245" w:rsidRPr="00137964" w:rsidRDefault="00505245" w:rsidP="00505245">
            <w:pPr>
              <w:pStyle w:val="BodyText"/>
              <w:spacing w:beforeLines="20" w:before="48" w:afterLines="20" w:after="48" w:line="264" w:lineRule="auto"/>
              <w:contextualSpacing/>
              <w:jc w:val="center"/>
              <w:rPr>
                <w:b/>
                <w:bCs/>
                <w:sz w:val="20"/>
                <w:szCs w:val="20"/>
              </w:rPr>
            </w:pPr>
          </w:p>
        </w:tc>
        <w:tc>
          <w:tcPr>
            <w:tcW w:w="512" w:type="pct"/>
            <w:tcBorders>
              <w:left w:val="single" w:sz="4" w:space="0" w:color="auto"/>
              <w:bottom w:val="single" w:sz="4" w:space="0" w:color="auto"/>
            </w:tcBorders>
            <w:noWrap/>
            <w:vAlign w:val="center"/>
            <w:hideMark/>
          </w:tcPr>
          <w:p w14:paraId="62BE61EB" w14:textId="77777777" w:rsidR="00505245" w:rsidRPr="00137964" w:rsidRDefault="00505245" w:rsidP="00505245">
            <w:pPr>
              <w:pStyle w:val="BodyText"/>
              <w:spacing w:beforeLines="20" w:before="48" w:afterLines="20" w:after="48" w:line="264" w:lineRule="auto"/>
              <w:ind w:left="0" w:firstLine="0"/>
              <w:contextualSpacing/>
              <w:jc w:val="center"/>
              <w:rPr>
                <w:b/>
                <w:bCs/>
                <w:i/>
                <w:iCs/>
                <w:sz w:val="20"/>
                <w:szCs w:val="20"/>
              </w:rPr>
            </w:pPr>
            <w:r w:rsidRPr="00137964">
              <w:rPr>
                <w:b/>
                <w:bCs/>
                <w:i/>
                <w:iCs/>
                <w:sz w:val="20"/>
                <w:szCs w:val="20"/>
              </w:rPr>
              <w:t>365</w:t>
            </w:r>
          </w:p>
        </w:tc>
        <w:tc>
          <w:tcPr>
            <w:tcW w:w="410" w:type="pct"/>
            <w:tcBorders>
              <w:bottom w:val="single" w:sz="4" w:space="0" w:color="auto"/>
            </w:tcBorders>
            <w:noWrap/>
            <w:vAlign w:val="center"/>
            <w:hideMark/>
          </w:tcPr>
          <w:p w14:paraId="3CBF50C2" w14:textId="77777777" w:rsidR="00505245" w:rsidRPr="00137964" w:rsidRDefault="00505245" w:rsidP="00505245">
            <w:pPr>
              <w:pStyle w:val="BodyText"/>
              <w:spacing w:beforeLines="20" w:before="48" w:afterLines="20" w:after="48" w:line="264" w:lineRule="auto"/>
              <w:ind w:left="0" w:firstLine="0"/>
              <w:contextualSpacing/>
              <w:jc w:val="center"/>
              <w:rPr>
                <w:b/>
                <w:bCs/>
                <w:i/>
                <w:iCs/>
                <w:sz w:val="20"/>
                <w:szCs w:val="20"/>
              </w:rPr>
            </w:pPr>
            <w:r w:rsidRPr="00137964">
              <w:rPr>
                <w:b/>
                <w:bCs/>
                <w:i/>
                <w:iCs/>
                <w:sz w:val="20"/>
                <w:szCs w:val="20"/>
              </w:rPr>
              <w:t>5,450</w:t>
            </w:r>
          </w:p>
        </w:tc>
        <w:tc>
          <w:tcPr>
            <w:tcW w:w="519" w:type="pct"/>
            <w:tcBorders>
              <w:bottom w:val="single" w:sz="4" w:space="0" w:color="auto"/>
              <w:right w:val="single" w:sz="12" w:space="0" w:color="auto"/>
            </w:tcBorders>
            <w:noWrap/>
            <w:vAlign w:val="center"/>
            <w:hideMark/>
          </w:tcPr>
          <w:p w14:paraId="1289FAE5" w14:textId="77777777" w:rsidR="00505245" w:rsidRPr="00137964" w:rsidRDefault="00505245" w:rsidP="00505245">
            <w:pPr>
              <w:pStyle w:val="BodyText"/>
              <w:spacing w:beforeLines="20" w:before="48" w:afterLines="20" w:after="48" w:line="264" w:lineRule="auto"/>
              <w:ind w:firstLine="0"/>
              <w:contextualSpacing/>
              <w:jc w:val="right"/>
              <w:rPr>
                <w:b/>
                <w:bCs/>
                <w:i/>
                <w:iCs/>
                <w:sz w:val="20"/>
                <w:szCs w:val="20"/>
              </w:rPr>
            </w:pPr>
            <w:r w:rsidRPr="00137964">
              <w:rPr>
                <w:b/>
                <w:bCs/>
                <w:i/>
                <w:iCs/>
                <w:sz w:val="20"/>
                <w:szCs w:val="20"/>
              </w:rPr>
              <w:t>$433,726</w:t>
            </w:r>
          </w:p>
        </w:tc>
      </w:tr>
      <w:tr w:rsidR="00505245" w:rsidRPr="00CC1999" w14:paraId="1D397332" w14:textId="77777777" w:rsidTr="00505245">
        <w:trPr>
          <w:cantSplit/>
          <w:trHeight w:val="20"/>
        </w:trPr>
        <w:tc>
          <w:tcPr>
            <w:tcW w:w="2090" w:type="pct"/>
            <w:tcBorders>
              <w:top w:val="single" w:sz="4" w:space="0" w:color="auto"/>
              <w:left w:val="single" w:sz="12" w:space="0" w:color="auto"/>
              <w:bottom w:val="single" w:sz="4" w:space="0" w:color="auto"/>
              <w:right w:val="nil"/>
            </w:tcBorders>
            <w:noWrap/>
            <w:hideMark/>
          </w:tcPr>
          <w:p w14:paraId="69A8998C" w14:textId="77777777" w:rsidR="00505245" w:rsidRPr="00137964" w:rsidRDefault="00505245" w:rsidP="00505245">
            <w:pPr>
              <w:pStyle w:val="BodyText"/>
              <w:spacing w:beforeLines="20" w:before="48" w:afterLines="20" w:after="48" w:line="264" w:lineRule="auto"/>
              <w:ind w:left="0" w:firstLine="0"/>
              <w:contextualSpacing/>
              <w:rPr>
                <w:i/>
                <w:iCs/>
                <w:sz w:val="20"/>
                <w:szCs w:val="20"/>
              </w:rPr>
            </w:pPr>
            <w:r w:rsidRPr="00137964">
              <w:rPr>
                <w:i/>
                <w:iCs/>
                <w:sz w:val="20"/>
                <w:szCs w:val="20"/>
              </w:rPr>
              <w:t>Group 2 - Processors</w:t>
            </w:r>
          </w:p>
        </w:tc>
        <w:tc>
          <w:tcPr>
            <w:tcW w:w="410" w:type="pct"/>
            <w:tcBorders>
              <w:top w:val="single" w:sz="4" w:space="0" w:color="auto"/>
              <w:left w:val="nil"/>
              <w:bottom w:val="single" w:sz="4" w:space="0" w:color="auto"/>
              <w:right w:val="nil"/>
            </w:tcBorders>
            <w:noWrap/>
            <w:vAlign w:val="center"/>
            <w:hideMark/>
          </w:tcPr>
          <w:p w14:paraId="04177D55"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44" w:type="pct"/>
            <w:tcBorders>
              <w:top w:val="single" w:sz="4" w:space="0" w:color="auto"/>
              <w:left w:val="nil"/>
              <w:bottom w:val="single" w:sz="4" w:space="0" w:color="auto"/>
              <w:right w:val="nil"/>
            </w:tcBorders>
            <w:noWrap/>
            <w:vAlign w:val="center"/>
            <w:hideMark/>
          </w:tcPr>
          <w:p w14:paraId="142FE7D2"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615" w:type="pct"/>
            <w:tcBorders>
              <w:top w:val="single" w:sz="4" w:space="0" w:color="auto"/>
              <w:left w:val="nil"/>
              <w:bottom w:val="single" w:sz="4" w:space="0" w:color="auto"/>
              <w:right w:val="nil"/>
            </w:tcBorders>
            <w:noWrap/>
            <w:vAlign w:val="center"/>
            <w:hideMark/>
          </w:tcPr>
          <w:p w14:paraId="0CDD10C6"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top w:val="single" w:sz="4" w:space="0" w:color="auto"/>
              <w:left w:val="nil"/>
              <w:bottom w:val="single" w:sz="4" w:space="0" w:color="auto"/>
              <w:right w:val="nil"/>
            </w:tcBorders>
            <w:noWrap/>
            <w:vAlign w:val="center"/>
            <w:hideMark/>
          </w:tcPr>
          <w:p w14:paraId="17D93939"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10" w:type="pct"/>
            <w:tcBorders>
              <w:top w:val="single" w:sz="4" w:space="0" w:color="auto"/>
              <w:left w:val="nil"/>
              <w:bottom w:val="single" w:sz="4" w:space="0" w:color="auto"/>
              <w:right w:val="nil"/>
            </w:tcBorders>
            <w:noWrap/>
            <w:vAlign w:val="center"/>
            <w:hideMark/>
          </w:tcPr>
          <w:p w14:paraId="03750984"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9" w:type="pct"/>
            <w:tcBorders>
              <w:top w:val="single" w:sz="4" w:space="0" w:color="auto"/>
              <w:left w:val="nil"/>
              <w:bottom w:val="single" w:sz="4" w:space="0" w:color="auto"/>
              <w:right w:val="single" w:sz="12" w:space="0" w:color="auto"/>
            </w:tcBorders>
            <w:noWrap/>
            <w:vAlign w:val="center"/>
            <w:hideMark/>
          </w:tcPr>
          <w:p w14:paraId="3BFABD35" w14:textId="77777777" w:rsidR="00505245" w:rsidRPr="00137964" w:rsidRDefault="00505245" w:rsidP="00505245">
            <w:pPr>
              <w:pStyle w:val="BodyText"/>
              <w:spacing w:beforeLines="20" w:before="48" w:afterLines="20" w:after="48" w:line="264" w:lineRule="auto"/>
              <w:contextualSpacing/>
              <w:jc w:val="right"/>
              <w:rPr>
                <w:sz w:val="20"/>
                <w:szCs w:val="20"/>
              </w:rPr>
            </w:pPr>
          </w:p>
        </w:tc>
      </w:tr>
      <w:tr w:rsidR="00505245" w:rsidRPr="00CC1999" w14:paraId="6C6A9225" w14:textId="77777777" w:rsidTr="00505245">
        <w:trPr>
          <w:cantSplit/>
          <w:trHeight w:val="20"/>
        </w:trPr>
        <w:tc>
          <w:tcPr>
            <w:tcW w:w="2090" w:type="pct"/>
            <w:tcBorders>
              <w:top w:val="single" w:sz="4" w:space="0" w:color="auto"/>
              <w:left w:val="single" w:sz="12" w:space="0" w:color="auto"/>
            </w:tcBorders>
            <w:noWrap/>
            <w:hideMark/>
          </w:tcPr>
          <w:p w14:paraId="40050FF1"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Rule Familiarization</w:t>
            </w:r>
          </w:p>
        </w:tc>
        <w:tc>
          <w:tcPr>
            <w:tcW w:w="410" w:type="pct"/>
            <w:tcBorders>
              <w:top w:val="single" w:sz="4" w:space="0" w:color="auto"/>
            </w:tcBorders>
            <w:noWrap/>
            <w:vAlign w:val="center"/>
            <w:hideMark/>
          </w:tcPr>
          <w:p w14:paraId="1D417508"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4.000</w:t>
            </w:r>
          </w:p>
        </w:tc>
        <w:tc>
          <w:tcPr>
            <w:tcW w:w="444" w:type="pct"/>
            <w:tcBorders>
              <w:top w:val="single" w:sz="4" w:space="0" w:color="auto"/>
            </w:tcBorders>
            <w:noWrap/>
            <w:vAlign w:val="center"/>
            <w:hideMark/>
          </w:tcPr>
          <w:p w14:paraId="73337DA2" w14:textId="77777777" w:rsidR="00505245" w:rsidRPr="00137964" w:rsidRDefault="00505245" w:rsidP="00505245">
            <w:pPr>
              <w:pStyle w:val="BodyText"/>
              <w:spacing w:beforeLines="20" w:before="48" w:afterLines="20" w:after="48" w:line="264" w:lineRule="auto"/>
              <w:ind w:firstLine="0"/>
              <w:contextualSpacing/>
              <w:jc w:val="center"/>
              <w:rPr>
                <w:sz w:val="20"/>
                <w:szCs w:val="20"/>
              </w:rPr>
            </w:pPr>
            <w:r w:rsidRPr="00137964">
              <w:rPr>
                <w:sz w:val="20"/>
                <w:szCs w:val="20"/>
              </w:rPr>
              <w:t>$323.32</w:t>
            </w:r>
          </w:p>
        </w:tc>
        <w:tc>
          <w:tcPr>
            <w:tcW w:w="615" w:type="pct"/>
            <w:tcBorders>
              <w:top w:val="single" w:sz="4" w:space="0" w:color="auto"/>
            </w:tcBorders>
            <w:noWrap/>
            <w:vAlign w:val="center"/>
            <w:hideMark/>
          </w:tcPr>
          <w:p w14:paraId="1967A5DE"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283,993</w:t>
            </w:r>
          </w:p>
        </w:tc>
        <w:tc>
          <w:tcPr>
            <w:tcW w:w="512" w:type="pct"/>
            <w:tcBorders>
              <w:top w:val="single" w:sz="4" w:space="0" w:color="auto"/>
            </w:tcBorders>
            <w:noWrap/>
            <w:vAlign w:val="center"/>
            <w:hideMark/>
          </w:tcPr>
          <w:p w14:paraId="3852EC6C"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hideMark/>
          </w:tcPr>
          <w:p w14:paraId="6044BC9B"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1,135,972</w:t>
            </w:r>
          </w:p>
        </w:tc>
        <w:tc>
          <w:tcPr>
            <w:tcW w:w="519" w:type="pct"/>
            <w:tcBorders>
              <w:top w:val="single" w:sz="4" w:space="0" w:color="auto"/>
              <w:right w:val="single" w:sz="12" w:space="0" w:color="auto"/>
            </w:tcBorders>
            <w:noWrap/>
            <w:vAlign w:val="center"/>
            <w:hideMark/>
          </w:tcPr>
          <w:p w14:paraId="48046A30"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$91,820,617</w:t>
            </w:r>
          </w:p>
        </w:tc>
      </w:tr>
      <w:tr w:rsidR="00505245" w:rsidRPr="00CC1999" w14:paraId="659E7EF5" w14:textId="77777777" w:rsidTr="00505245">
        <w:trPr>
          <w:cantSplit/>
          <w:trHeight w:val="20"/>
        </w:trPr>
        <w:tc>
          <w:tcPr>
            <w:tcW w:w="2090" w:type="pct"/>
            <w:tcBorders>
              <w:left w:val="single" w:sz="12" w:space="0" w:color="auto"/>
            </w:tcBorders>
            <w:noWrap/>
            <w:hideMark/>
          </w:tcPr>
          <w:p w14:paraId="4F75860F"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Compliance Determination</w:t>
            </w:r>
          </w:p>
        </w:tc>
        <w:tc>
          <w:tcPr>
            <w:tcW w:w="410" w:type="pct"/>
            <w:noWrap/>
            <w:vAlign w:val="center"/>
            <w:hideMark/>
          </w:tcPr>
          <w:p w14:paraId="6AA4C796"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0.583</w:t>
            </w:r>
          </w:p>
        </w:tc>
        <w:tc>
          <w:tcPr>
            <w:tcW w:w="444" w:type="pct"/>
            <w:noWrap/>
            <w:vAlign w:val="center"/>
            <w:hideMark/>
          </w:tcPr>
          <w:p w14:paraId="4E89B309" w14:textId="77777777" w:rsidR="00505245" w:rsidRPr="00137964" w:rsidRDefault="00505245" w:rsidP="00505245">
            <w:pPr>
              <w:pStyle w:val="BodyText"/>
              <w:spacing w:beforeLines="20" w:before="48" w:afterLines="20" w:after="48" w:line="264" w:lineRule="auto"/>
              <w:ind w:firstLine="0"/>
              <w:contextualSpacing/>
              <w:jc w:val="center"/>
              <w:rPr>
                <w:sz w:val="20"/>
                <w:szCs w:val="20"/>
              </w:rPr>
            </w:pPr>
            <w:r w:rsidRPr="00137964">
              <w:rPr>
                <w:sz w:val="20"/>
                <w:szCs w:val="20"/>
              </w:rPr>
              <w:t>$45.71</w:t>
            </w:r>
          </w:p>
        </w:tc>
        <w:tc>
          <w:tcPr>
            <w:tcW w:w="615" w:type="pct"/>
            <w:noWrap/>
            <w:vAlign w:val="center"/>
            <w:hideMark/>
          </w:tcPr>
          <w:p w14:paraId="13A64F8B"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noWrap/>
            <w:vAlign w:val="center"/>
            <w:hideMark/>
          </w:tcPr>
          <w:p w14:paraId="6E4630DB"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100</w:t>
            </w:r>
          </w:p>
        </w:tc>
        <w:tc>
          <w:tcPr>
            <w:tcW w:w="410" w:type="pct"/>
            <w:noWrap/>
            <w:vAlign w:val="center"/>
            <w:hideMark/>
          </w:tcPr>
          <w:p w14:paraId="15CD2597"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58</w:t>
            </w:r>
          </w:p>
        </w:tc>
        <w:tc>
          <w:tcPr>
            <w:tcW w:w="519" w:type="pct"/>
            <w:tcBorders>
              <w:right w:val="single" w:sz="12" w:space="0" w:color="auto"/>
            </w:tcBorders>
            <w:noWrap/>
            <w:vAlign w:val="center"/>
            <w:hideMark/>
          </w:tcPr>
          <w:p w14:paraId="7A27D836"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$4,571</w:t>
            </w:r>
          </w:p>
        </w:tc>
      </w:tr>
      <w:tr w:rsidR="00505245" w:rsidRPr="00CC1999" w14:paraId="3A97C8D4" w14:textId="77777777" w:rsidTr="00505245">
        <w:trPr>
          <w:cantSplit/>
          <w:trHeight w:val="20"/>
        </w:trPr>
        <w:tc>
          <w:tcPr>
            <w:tcW w:w="2090" w:type="pct"/>
            <w:tcBorders>
              <w:left w:val="single" w:sz="12" w:space="0" w:color="auto"/>
            </w:tcBorders>
            <w:noWrap/>
            <w:hideMark/>
          </w:tcPr>
          <w:p w14:paraId="0C797A36"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Form Completion</w:t>
            </w:r>
          </w:p>
        </w:tc>
        <w:tc>
          <w:tcPr>
            <w:tcW w:w="410" w:type="pct"/>
            <w:noWrap/>
            <w:vAlign w:val="center"/>
            <w:hideMark/>
          </w:tcPr>
          <w:p w14:paraId="2B52311A"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0.991</w:t>
            </w:r>
          </w:p>
        </w:tc>
        <w:tc>
          <w:tcPr>
            <w:tcW w:w="444" w:type="pct"/>
            <w:noWrap/>
            <w:vAlign w:val="center"/>
            <w:hideMark/>
          </w:tcPr>
          <w:p w14:paraId="0B3270DD" w14:textId="77777777" w:rsidR="00505245" w:rsidRPr="00137964" w:rsidRDefault="00505245" w:rsidP="00505245">
            <w:pPr>
              <w:pStyle w:val="BodyText"/>
              <w:spacing w:beforeLines="20" w:before="48" w:afterLines="20" w:after="48" w:line="264" w:lineRule="auto"/>
              <w:ind w:firstLine="0"/>
              <w:contextualSpacing/>
              <w:jc w:val="center"/>
              <w:rPr>
                <w:sz w:val="20"/>
                <w:szCs w:val="20"/>
              </w:rPr>
            </w:pPr>
            <w:r w:rsidRPr="00137964">
              <w:rPr>
                <w:sz w:val="20"/>
                <w:szCs w:val="20"/>
              </w:rPr>
              <w:t>$80.75</w:t>
            </w:r>
          </w:p>
        </w:tc>
        <w:tc>
          <w:tcPr>
            <w:tcW w:w="615" w:type="pct"/>
            <w:noWrap/>
            <w:vAlign w:val="center"/>
            <w:hideMark/>
          </w:tcPr>
          <w:p w14:paraId="29208D87"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noWrap/>
            <w:vAlign w:val="center"/>
            <w:hideMark/>
          </w:tcPr>
          <w:p w14:paraId="60E23335"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100</w:t>
            </w:r>
          </w:p>
        </w:tc>
        <w:tc>
          <w:tcPr>
            <w:tcW w:w="410" w:type="pct"/>
            <w:noWrap/>
            <w:vAlign w:val="center"/>
            <w:hideMark/>
          </w:tcPr>
          <w:p w14:paraId="60D356D0"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99</w:t>
            </w:r>
          </w:p>
        </w:tc>
        <w:tc>
          <w:tcPr>
            <w:tcW w:w="519" w:type="pct"/>
            <w:tcBorders>
              <w:right w:val="single" w:sz="12" w:space="0" w:color="auto"/>
            </w:tcBorders>
            <w:noWrap/>
            <w:vAlign w:val="center"/>
            <w:hideMark/>
          </w:tcPr>
          <w:p w14:paraId="26B64C3F"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$8,075</w:t>
            </w:r>
          </w:p>
        </w:tc>
      </w:tr>
      <w:tr w:rsidR="00505245" w:rsidRPr="00CC1999" w14:paraId="46EC2BE1" w14:textId="77777777" w:rsidTr="00505245">
        <w:trPr>
          <w:cantSplit/>
          <w:trHeight w:val="20"/>
        </w:trPr>
        <w:tc>
          <w:tcPr>
            <w:tcW w:w="2090" w:type="pct"/>
            <w:tcBorders>
              <w:left w:val="single" w:sz="12" w:space="0" w:color="auto"/>
              <w:bottom w:val="single" w:sz="4" w:space="0" w:color="auto"/>
            </w:tcBorders>
            <w:noWrap/>
            <w:hideMark/>
          </w:tcPr>
          <w:p w14:paraId="6C0052D7"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Recordkeeping</w:t>
            </w:r>
          </w:p>
        </w:tc>
        <w:tc>
          <w:tcPr>
            <w:tcW w:w="410" w:type="pct"/>
            <w:tcBorders>
              <w:bottom w:val="single" w:sz="4" w:space="0" w:color="auto"/>
            </w:tcBorders>
            <w:noWrap/>
            <w:vAlign w:val="center"/>
            <w:hideMark/>
          </w:tcPr>
          <w:p w14:paraId="6376FC89"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0.125</w:t>
            </w:r>
          </w:p>
        </w:tc>
        <w:tc>
          <w:tcPr>
            <w:tcW w:w="444" w:type="pct"/>
            <w:tcBorders>
              <w:bottom w:val="single" w:sz="4" w:space="0" w:color="auto"/>
            </w:tcBorders>
            <w:noWrap/>
            <w:vAlign w:val="center"/>
            <w:hideMark/>
          </w:tcPr>
          <w:p w14:paraId="66C30C7A" w14:textId="77777777" w:rsidR="00505245" w:rsidRPr="00137964" w:rsidRDefault="00505245" w:rsidP="00505245">
            <w:pPr>
              <w:pStyle w:val="BodyText"/>
              <w:spacing w:beforeLines="20" w:before="48" w:afterLines="20" w:after="48" w:line="264" w:lineRule="auto"/>
              <w:ind w:firstLine="0"/>
              <w:contextualSpacing/>
              <w:jc w:val="center"/>
              <w:rPr>
                <w:sz w:val="20"/>
                <w:szCs w:val="20"/>
              </w:rPr>
            </w:pPr>
            <w:r w:rsidRPr="00137964">
              <w:rPr>
                <w:sz w:val="20"/>
                <w:szCs w:val="20"/>
              </w:rPr>
              <w:t>$4.28</w:t>
            </w:r>
          </w:p>
        </w:tc>
        <w:tc>
          <w:tcPr>
            <w:tcW w:w="615" w:type="pct"/>
            <w:tcBorders>
              <w:bottom w:val="single" w:sz="4" w:space="0" w:color="auto"/>
            </w:tcBorders>
            <w:noWrap/>
            <w:vAlign w:val="center"/>
            <w:hideMark/>
          </w:tcPr>
          <w:p w14:paraId="63C2960F"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noWrap/>
            <w:vAlign w:val="center"/>
            <w:hideMark/>
          </w:tcPr>
          <w:p w14:paraId="3B03B350"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100</w:t>
            </w:r>
          </w:p>
        </w:tc>
        <w:tc>
          <w:tcPr>
            <w:tcW w:w="410" w:type="pct"/>
            <w:noWrap/>
            <w:vAlign w:val="center"/>
            <w:hideMark/>
          </w:tcPr>
          <w:p w14:paraId="1802D331"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13</w:t>
            </w:r>
          </w:p>
        </w:tc>
        <w:tc>
          <w:tcPr>
            <w:tcW w:w="519" w:type="pct"/>
            <w:tcBorders>
              <w:right w:val="single" w:sz="12" w:space="0" w:color="auto"/>
            </w:tcBorders>
            <w:noWrap/>
            <w:vAlign w:val="center"/>
            <w:hideMark/>
          </w:tcPr>
          <w:p w14:paraId="3F6CAB15"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$428</w:t>
            </w:r>
          </w:p>
        </w:tc>
      </w:tr>
      <w:tr w:rsidR="00505245" w:rsidRPr="00CC1999" w14:paraId="59324598" w14:textId="77777777" w:rsidTr="00505245">
        <w:trPr>
          <w:cantSplit/>
          <w:trHeight w:val="20"/>
        </w:trPr>
        <w:tc>
          <w:tcPr>
            <w:tcW w:w="2090" w:type="pct"/>
            <w:tcBorders>
              <w:top w:val="single" w:sz="4" w:space="0" w:color="auto"/>
              <w:left w:val="single" w:sz="12" w:space="0" w:color="auto"/>
              <w:bottom w:val="single" w:sz="4" w:space="0" w:color="auto"/>
              <w:right w:val="nil"/>
            </w:tcBorders>
            <w:noWrap/>
            <w:hideMark/>
          </w:tcPr>
          <w:p w14:paraId="6D5C3C1D" w14:textId="77777777" w:rsidR="00505245" w:rsidRPr="00137964" w:rsidRDefault="00505245" w:rsidP="00505245">
            <w:pPr>
              <w:pStyle w:val="BodyText"/>
              <w:spacing w:beforeLines="20" w:before="48" w:afterLines="20" w:after="48" w:line="264" w:lineRule="auto"/>
              <w:ind w:left="0" w:firstLine="0"/>
              <w:contextualSpacing/>
              <w:rPr>
                <w:b/>
                <w:bCs/>
                <w:i/>
                <w:iCs/>
                <w:sz w:val="20"/>
                <w:szCs w:val="20"/>
              </w:rPr>
            </w:pPr>
            <w:r w:rsidRPr="00137964">
              <w:rPr>
                <w:b/>
                <w:bCs/>
                <w:i/>
                <w:iCs/>
                <w:sz w:val="20"/>
                <w:szCs w:val="20"/>
              </w:rPr>
              <w:t xml:space="preserve">Group 2 Subtotal </w:t>
            </w:r>
            <w:r w:rsidRPr="00137964">
              <w:rPr>
                <w:b/>
                <w:bCs/>
                <w:i/>
                <w:iCs/>
                <w:sz w:val="20"/>
                <w:szCs w:val="20"/>
                <w:vertAlign w:val="superscript"/>
              </w:rPr>
              <w:t>2</w:t>
            </w:r>
          </w:p>
        </w:tc>
        <w:tc>
          <w:tcPr>
            <w:tcW w:w="410" w:type="pct"/>
            <w:tcBorders>
              <w:top w:val="single" w:sz="4" w:space="0" w:color="auto"/>
              <w:left w:val="nil"/>
              <w:bottom w:val="single" w:sz="4" w:space="0" w:color="auto"/>
              <w:right w:val="nil"/>
            </w:tcBorders>
            <w:noWrap/>
            <w:vAlign w:val="center"/>
            <w:hideMark/>
          </w:tcPr>
          <w:p w14:paraId="067B1B86"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44" w:type="pct"/>
            <w:tcBorders>
              <w:top w:val="single" w:sz="4" w:space="0" w:color="auto"/>
              <w:left w:val="nil"/>
              <w:bottom w:val="single" w:sz="4" w:space="0" w:color="auto"/>
              <w:right w:val="nil"/>
            </w:tcBorders>
            <w:noWrap/>
            <w:vAlign w:val="center"/>
            <w:hideMark/>
          </w:tcPr>
          <w:p w14:paraId="3BDBA83D"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615" w:type="pct"/>
            <w:tcBorders>
              <w:top w:val="single" w:sz="4" w:space="0" w:color="auto"/>
              <w:left w:val="nil"/>
              <w:bottom w:val="single" w:sz="4" w:space="0" w:color="auto"/>
              <w:right w:val="single" w:sz="4" w:space="0" w:color="auto"/>
            </w:tcBorders>
            <w:noWrap/>
            <w:vAlign w:val="center"/>
            <w:hideMark/>
          </w:tcPr>
          <w:p w14:paraId="74D20DB7"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left w:val="single" w:sz="4" w:space="0" w:color="auto"/>
              <w:bottom w:val="single" w:sz="4" w:space="0" w:color="auto"/>
            </w:tcBorders>
            <w:noWrap/>
            <w:vAlign w:val="center"/>
            <w:hideMark/>
          </w:tcPr>
          <w:p w14:paraId="3965125A" w14:textId="77777777" w:rsidR="00505245" w:rsidRPr="00137964" w:rsidRDefault="00505245" w:rsidP="00505245">
            <w:pPr>
              <w:pStyle w:val="BodyText"/>
              <w:spacing w:beforeLines="20" w:before="48" w:afterLines="20" w:after="48" w:line="264" w:lineRule="auto"/>
              <w:ind w:left="0" w:firstLine="0"/>
              <w:contextualSpacing/>
              <w:jc w:val="center"/>
              <w:rPr>
                <w:b/>
                <w:bCs/>
                <w:i/>
                <w:iCs/>
                <w:sz w:val="20"/>
                <w:szCs w:val="20"/>
              </w:rPr>
            </w:pPr>
            <w:r w:rsidRPr="00137964">
              <w:rPr>
                <w:b/>
                <w:bCs/>
                <w:i/>
                <w:iCs/>
                <w:sz w:val="20"/>
                <w:szCs w:val="20"/>
              </w:rPr>
              <w:t>100</w:t>
            </w:r>
          </w:p>
        </w:tc>
        <w:tc>
          <w:tcPr>
            <w:tcW w:w="410" w:type="pct"/>
            <w:tcBorders>
              <w:bottom w:val="single" w:sz="4" w:space="0" w:color="auto"/>
            </w:tcBorders>
            <w:noWrap/>
            <w:vAlign w:val="center"/>
            <w:hideMark/>
          </w:tcPr>
          <w:p w14:paraId="757DDDAF" w14:textId="77777777" w:rsidR="00505245" w:rsidRPr="00137964" w:rsidRDefault="00505245" w:rsidP="00505245">
            <w:pPr>
              <w:pStyle w:val="BodyText"/>
              <w:spacing w:beforeLines="20" w:before="48" w:afterLines="20" w:after="48" w:line="264" w:lineRule="auto"/>
              <w:ind w:left="0" w:firstLine="0"/>
              <w:contextualSpacing/>
              <w:jc w:val="center"/>
              <w:rPr>
                <w:b/>
                <w:bCs/>
                <w:i/>
                <w:iCs/>
                <w:sz w:val="20"/>
                <w:szCs w:val="20"/>
              </w:rPr>
            </w:pPr>
            <w:r w:rsidRPr="00137964">
              <w:rPr>
                <w:b/>
                <w:bCs/>
                <w:i/>
                <w:iCs/>
                <w:sz w:val="20"/>
                <w:szCs w:val="20"/>
              </w:rPr>
              <w:t>1,136,142</w:t>
            </w:r>
          </w:p>
        </w:tc>
        <w:tc>
          <w:tcPr>
            <w:tcW w:w="519" w:type="pct"/>
            <w:tcBorders>
              <w:bottom w:val="single" w:sz="4" w:space="0" w:color="auto"/>
              <w:right w:val="single" w:sz="12" w:space="0" w:color="auto"/>
            </w:tcBorders>
            <w:noWrap/>
            <w:vAlign w:val="center"/>
            <w:hideMark/>
          </w:tcPr>
          <w:p w14:paraId="78AE7E5A" w14:textId="77777777" w:rsidR="00505245" w:rsidRPr="00137964" w:rsidRDefault="00505245" w:rsidP="00505245">
            <w:pPr>
              <w:pStyle w:val="BodyText"/>
              <w:spacing w:beforeLines="20" w:before="48" w:afterLines="20" w:after="48" w:line="264" w:lineRule="auto"/>
              <w:ind w:firstLine="0"/>
              <w:contextualSpacing/>
              <w:jc w:val="right"/>
              <w:rPr>
                <w:b/>
                <w:bCs/>
                <w:i/>
                <w:iCs/>
                <w:sz w:val="20"/>
                <w:szCs w:val="20"/>
              </w:rPr>
            </w:pPr>
            <w:r w:rsidRPr="00137964">
              <w:rPr>
                <w:b/>
                <w:bCs/>
                <w:i/>
                <w:iCs/>
                <w:sz w:val="20"/>
                <w:szCs w:val="20"/>
              </w:rPr>
              <w:t>$91,833,691</w:t>
            </w:r>
          </w:p>
        </w:tc>
      </w:tr>
      <w:tr w:rsidR="00505245" w:rsidRPr="00CC1999" w14:paraId="4241D46C" w14:textId="77777777" w:rsidTr="00505245">
        <w:trPr>
          <w:cantSplit/>
          <w:trHeight w:val="20"/>
        </w:trPr>
        <w:tc>
          <w:tcPr>
            <w:tcW w:w="2090" w:type="pct"/>
            <w:tcBorders>
              <w:top w:val="single" w:sz="4" w:space="0" w:color="auto"/>
              <w:left w:val="single" w:sz="12" w:space="0" w:color="auto"/>
              <w:bottom w:val="single" w:sz="12" w:space="0" w:color="auto"/>
              <w:right w:val="nil"/>
            </w:tcBorders>
            <w:shd w:val="clear" w:color="auto" w:fill="D9D9D9" w:themeFill="background1" w:themeFillShade="D9"/>
            <w:noWrap/>
            <w:hideMark/>
          </w:tcPr>
          <w:p w14:paraId="78A4BEA5" w14:textId="77777777" w:rsidR="00505245" w:rsidRPr="00137964" w:rsidRDefault="00505245" w:rsidP="00505245">
            <w:pPr>
              <w:pStyle w:val="BodyText"/>
              <w:spacing w:beforeLines="20" w:before="48" w:afterLines="20" w:after="48" w:line="264" w:lineRule="auto"/>
              <w:ind w:left="0" w:firstLine="0"/>
              <w:contextualSpacing/>
              <w:rPr>
                <w:b/>
                <w:bCs/>
                <w:sz w:val="20"/>
                <w:szCs w:val="20"/>
              </w:rPr>
            </w:pPr>
            <w:r w:rsidRPr="00137964">
              <w:rPr>
                <w:b/>
                <w:bCs/>
                <w:sz w:val="20"/>
                <w:szCs w:val="20"/>
              </w:rPr>
              <w:t>Total Phase II Start-Up</w:t>
            </w:r>
          </w:p>
        </w:tc>
        <w:tc>
          <w:tcPr>
            <w:tcW w:w="410" w:type="pct"/>
            <w:tcBorders>
              <w:top w:val="single" w:sz="4" w:space="0" w:color="auto"/>
              <w:left w:val="nil"/>
              <w:bottom w:val="single" w:sz="12" w:space="0" w:color="auto"/>
              <w:right w:val="nil"/>
            </w:tcBorders>
            <w:shd w:val="clear" w:color="auto" w:fill="D9D9D9" w:themeFill="background1" w:themeFillShade="D9"/>
            <w:noWrap/>
            <w:vAlign w:val="center"/>
            <w:hideMark/>
          </w:tcPr>
          <w:p w14:paraId="6332A564"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44" w:type="pct"/>
            <w:tcBorders>
              <w:top w:val="single" w:sz="4" w:space="0" w:color="auto"/>
              <w:left w:val="nil"/>
              <w:bottom w:val="single" w:sz="12" w:space="0" w:color="auto"/>
              <w:right w:val="nil"/>
            </w:tcBorders>
            <w:shd w:val="clear" w:color="auto" w:fill="D9D9D9" w:themeFill="background1" w:themeFillShade="D9"/>
            <w:noWrap/>
            <w:vAlign w:val="center"/>
            <w:hideMark/>
          </w:tcPr>
          <w:p w14:paraId="28FFEB6F"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615"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14:paraId="7CF7CFB2"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left w:val="single" w:sz="4" w:space="0" w:color="auto"/>
              <w:bottom w:val="single" w:sz="12" w:space="0" w:color="auto"/>
            </w:tcBorders>
            <w:shd w:val="clear" w:color="auto" w:fill="D9D9D9" w:themeFill="background1" w:themeFillShade="D9"/>
            <w:noWrap/>
            <w:vAlign w:val="center"/>
            <w:hideMark/>
          </w:tcPr>
          <w:p w14:paraId="49E7DFB7" w14:textId="77777777" w:rsidR="00505245" w:rsidRPr="00137964" w:rsidRDefault="00505245" w:rsidP="00505245">
            <w:pPr>
              <w:pStyle w:val="BodyText"/>
              <w:spacing w:beforeLines="20" w:before="48" w:afterLines="20" w:after="48" w:line="264" w:lineRule="auto"/>
              <w:ind w:left="0" w:firstLine="0"/>
              <w:contextualSpacing/>
              <w:jc w:val="center"/>
              <w:rPr>
                <w:b/>
                <w:bCs/>
                <w:sz w:val="20"/>
                <w:szCs w:val="20"/>
              </w:rPr>
            </w:pPr>
            <w:r w:rsidRPr="00137964">
              <w:rPr>
                <w:b/>
                <w:bCs/>
                <w:sz w:val="20"/>
                <w:szCs w:val="20"/>
              </w:rPr>
              <w:t>465</w:t>
            </w:r>
          </w:p>
        </w:tc>
        <w:tc>
          <w:tcPr>
            <w:tcW w:w="410" w:type="pct"/>
            <w:tcBorders>
              <w:bottom w:val="single" w:sz="12" w:space="0" w:color="auto"/>
            </w:tcBorders>
            <w:shd w:val="clear" w:color="auto" w:fill="D9D9D9" w:themeFill="background1" w:themeFillShade="D9"/>
            <w:noWrap/>
            <w:vAlign w:val="center"/>
            <w:hideMark/>
          </w:tcPr>
          <w:p w14:paraId="5F7E59A7" w14:textId="77777777" w:rsidR="00505245" w:rsidRPr="00137964" w:rsidRDefault="00505245" w:rsidP="00505245">
            <w:pPr>
              <w:pStyle w:val="BodyText"/>
              <w:spacing w:beforeLines="20" w:before="48" w:afterLines="20" w:after="48" w:line="264" w:lineRule="auto"/>
              <w:ind w:left="0" w:firstLine="0"/>
              <w:contextualSpacing/>
              <w:jc w:val="center"/>
              <w:rPr>
                <w:b/>
                <w:bCs/>
                <w:sz w:val="20"/>
                <w:szCs w:val="20"/>
              </w:rPr>
            </w:pPr>
            <w:r w:rsidRPr="00137964">
              <w:rPr>
                <w:b/>
                <w:bCs/>
                <w:sz w:val="20"/>
                <w:szCs w:val="20"/>
              </w:rPr>
              <w:t>1,141,592</w:t>
            </w:r>
          </w:p>
        </w:tc>
        <w:tc>
          <w:tcPr>
            <w:tcW w:w="519" w:type="pct"/>
            <w:tcBorders>
              <w:bottom w:val="single" w:sz="12" w:space="0" w:color="auto"/>
              <w:right w:val="single" w:sz="12" w:space="0" w:color="auto"/>
            </w:tcBorders>
            <w:shd w:val="clear" w:color="auto" w:fill="D9D9D9" w:themeFill="background1" w:themeFillShade="D9"/>
            <w:noWrap/>
            <w:vAlign w:val="center"/>
            <w:hideMark/>
          </w:tcPr>
          <w:p w14:paraId="0D424445" w14:textId="77777777" w:rsidR="00505245" w:rsidRPr="00137964" w:rsidRDefault="00505245" w:rsidP="00505245">
            <w:pPr>
              <w:pStyle w:val="BodyText"/>
              <w:spacing w:beforeLines="20" w:before="48" w:afterLines="20" w:after="48" w:line="264" w:lineRule="auto"/>
              <w:ind w:firstLine="0"/>
              <w:contextualSpacing/>
              <w:jc w:val="right"/>
              <w:rPr>
                <w:b/>
                <w:bCs/>
                <w:sz w:val="20"/>
                <w:szCs w:val="20"/>
              </w:rPr>
            </w:pPr>
            <w:r w:rsidRPr="00137964">
              <w:rPr>
                <w:b/>
                <w:bCs/>
                <w:sz w:val="20"/>
                <w:szCs w:val="20"/>
              </w:rPr>
              <w:t>$92,267,417</w:t>
            </w:r>
          </w:p>
        </w:tc>
      </w:tr>
      <w:tr w:rsidR="00505245" w:rsidRPr="00CC1999" w14:paraId="37D841B7" w14:textId="77777777" w:rsidTr="00505245">
        <w:trPr>
          <w:cantSplit/>
          <w:trHeight w:val="20"/>
        </w:trPr>
        <w:tc>
          <w:tcPr>
            <w:tcW w:w="2090" w:type="pct"/>
            <w:tcBorders>
              <w:top w:val="single" w:sz="12" w:space="0" w:color="auto"/>
              <w:left w:val="single" w:sz="12" w:space="0" w:color="auto"/>
              <w:bottom w:val="single" w:sz="12" w:space="0" w:color="auto"/>
            </w:tcBorders>
            <w:noWrap/>
            <w:hideMark/>
          </w:tcPr>
          <w:p w14:paraId="727F0667"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 xml:space="preserve">CDX Registration and e-Signature (Phase I and II Combined) </w:t>
            </w:r>
            <w:r w:rsidRPr="00137964">
              <w:rPr>
                <w:sz w:val="20"/>
                <w:szCs w:val="20"/>
                <w:vertAlign w:val="superscript"/>
              </w:rPr>
              <w:t>3</w:t>
            </w:r>
          </w:p>
        </w:tc>
        <w:tc>
          <w:tcPr>
            <w:tcW w:w="410" w:type="pct"/>
            <w:tcBorders>
              <w:top w:val="single" w:sz="12" w:space="0" w:color="auto"/>
              <w:bottom w:val="single" w:sz="12" w:space="0" w:color="auto"/>
            </w:tcBorders>
            <w:noWrap/>
            <w:vAlign w:val="center"/>
            <w:hideMark/>
          </w:tcPr>
          <w:p w14:paraId="0E258F16"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0.530</w:t>
            </w:r>
          </w:p>
        </w:tc>
        <w:tc>
          <w:tcPr>
            <w:tcW w:w="444" w:type="pct"/>
            <w:tcBorders>
              <w:top w:val="single" w:sz="12" w:space="0" w:color="auto"/>
              <w:bottom w:val="single" w:sz="12" w:space="0" w:color="auto"/>
            </w:tcBorders>
            <w:noWrap/>
            <w:vAlign w:val="center"/>
            <w:hideMark/>
          </w:tcPr>
          <w:p w14:paraId="51EF0799" w14:textId="77777777" w:rsidR="00505245" w:rsidRPr="00137964" w:rsidRDefault="00505245" w:rsidP="00505245">
            <w:pPr>
              <w:pStyle w:val="BodyText"/>
              <w:spacing w:beforeLines="20" w:before="48" w:afterLines="20" w:after="48" w:line="264" w:lineRule="auto"/>
              <w:ind w:firstLine="0"/>
              <w:contextualSpacing/>
              <w:jc w:val="center"/>
              <w:rPr>
                <w:sz w:val="20"/>
                <w:szCs w:val="20"/>
              </w:rPr>
            </w:pPr>
            <w:r w:rsidRPr="00137964">
              <w:rPr>
                <w:sz w:val="20"/>
                <w:szCs w:val="20"/>
              </w:rPr>
              <w:t>$41.55</w:t>
            </w:r>
          </w:p>
        </w:tc>
        <w:tc>
          <w:tcPr>
            <w:tcW w:w="615" w:type="pct"/>
            <w:tcBorders>
              <w:top w:val="single" w:sz="12" w:space="0" w:color="auto"/>
              <w:bottom w:val="single" w:sz="12" w:space="0" w:color="auto"/>
            </w:tcBorders>
            <w:noWrap/>
            <w:vAlign w:val="center"/>
            <w:hideMark/>
          </w:tcPr>
          <w:p w14:paraId="5A0352CB"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top w:val="single" w:sz="12" w:space="0" w:color="auto"/>
              <w:bottom w:val="single" w:sz="12" w:space="0" w:color="auto"/>
            </w:tcBorders>
            <w:noWrap/>
            <w:vAlign w:val="center"/>
            <w:hideMark/>
          </w:tcPr>
          <w:p w14:paraId="4C8C2A42"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169</w:t>
            </w:r>
          </w:p>
        </w:tc>
        <w:tc>
          <w:tcPr>
            <w:tcW w:w="410" w:type="pct"/>
            <w:tcBorders>
              <w:top w:val="single" w:sz="12" w:space="0" w:color="auto"/>
              <w:bottom w:val="single" w:sz="12" w:space="0" w:color="auto"/>
            </w:tcBorders>
            <w:noWrap/>
            <w:vAlign w:val="center"/>
            <w:hideMark/>
          </w:tcPr>
          <w:p w14:paraId="383E1120"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90</w:t>
            </w:r>
          </w:p>
        </w:tc>
        <w:tc>
          <w:tcPr>
            <w:tcW w:w="519" w:type="pct"/>
            <w:tcBorders>
              <w:top w:val="single" w:sz="12" w:space="0" w:color="auto"/>
              <w:bottom w:val="single" w:sz="12" w:space="0" w:color="auto"/>
              <w:right w:val="single" w:sz="12" w:space="0" w:color="auto"/>
            </w:tcBorders>
            <w:noWrap/>
            <w:vAlign w:val="center"/>
            <w:hideMark/>
          </w:tcPr>
          <w:p w14:paraId="4023C8B9"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$7,022</w:t>
            </w:r>
          </w:p>
        </w:tc>
      </w:tr>
      <w:tr w:rsidR="00505245" w:rsidRPr="00CC1999" w14:paraId="09BF482A" w14:textId="77777777" w:rsidTr="00505245">
        <w:trPr>
          <w:cantSplit/>
          <w:trHeight w:val="20"/>
        </w:trPr>
        <w:tc>
          <w:tcPr>
            <w:tcW w:w="2090" w:type="pct"/>
            <w:tcBorders>
              <w:top w:val="single" w:sz="12" w:space="0" w:color="auto"/>
              <w:left w:val="single" w:sz="12" w:space="0" w:color="auto"/>
              <w:bottom w:val="single" w:sz="12" w:space="0" w:color="auto"/>
              <w:right w:val="nil"/>
            </w:tcBorders>
            <w:shd w:val="clear" w:color="auto" w:fill="D9D9D9" w:themeFill="background1" w:themeFillShade="D9"/>
            <w:noWrap/>
            <w:hideMark/>
          </w:tcPr>
          <w:p w14:paraId="7E5DE185" w14:textId="77777777" w:rsidR="00505245" w:rsidRPr="00137964" w:rsidRDefault="00505245" w:rsidP="00505245">
            <w:pPr>
              <w:pStyle w:val="BodyText"/>
              <w:spacing w:beforeLines="20" w:before="48" w:afterLines="20" w:after="48" w:line="264" w:lineRule="auto"/>
              <w:ind w:left="0" w:firstLine="0"/>
              <w:contextualSpacing/>
              <w:rPr>
                <w:b/>
                <w:bCs/>
                <w:sz w:val="20"/>
                <w:szCs w:val="20"/>
              </w:rPr>
            </w:pPr>
            <w:r w:rsidRPr="00137964">
              <w:rPr>
                <w:b/>
                <w:bCs/>
                <w:sz w:val="20"/>
                <w:szCs w:val="20"/>
              </w:rPr>
              <w:t>TOTAL START-UP REPORTING</w:t>
            </w:r>
          </w:p>
        </w:tc>
        <w:tc>
          <w:tcPr>
            <w:tcW w:w="410" w:type="pct"/>
            <w:tcBorders>
              <w:top w:val="single" w:sz="12" w:space="0" w:color="auto"/>
              <w:left w:val="nil"/>
              <w:bottom w:val="single" w:sz="12" w:space="0" w:color="auto"/>
              <w:right w:val="nil"/>
            </w:tcBorders>
            <w:shd w:val="clear" w:color="auto" w:fill="D9D9D9" w:themeFill="background1" w:themeFillShade="D9"/>
            <w:noWrap/>
            <w:hideMark/>
          </w:tcPr>
          <w:p w14:paraId="72A19590" w14:textId="77777777" w:rsidR="00505245" w:rsidRPr="00137964" w:rsidRDefault="00505245" w:rsidP="00505245">
            <w:pPr>
              <w:pStyle w:val="BodyText"/>
              <w:spacing w:beforeLines="20" w:before="48" w:afterLines="20" w:after="48" w:line="264" w:lineRule="auto"/>
              <w:contextualSpacing/>
              <w:rPr>
                <w:sz w:val="20"/>
                <w:szCs w:val="20"/>
              </w:rPr>
            </w:pPr>
          </w:p>
        </w:tc>
        <w:tc>
          <w:tcPr>
            <w:tcW w:w="444" w:type="pct"/>
            <w:tcBorders>
              <w:top w:val="single" w:sz="12" w:space="0" w:color="auto"/>
              <w:left w:val="nil"/>
              <w:bottom w:val="single" w:sz="12" w:space="0" w:color="auto"/>
              <w:right w:val="nil"/>
            </w:tcBorders>
            <w:shd w:val="clear" w:color="auto" w:fill="D9D9D9" w:themeFill="background1" w:themeFillShade="D9"/>
            <w:noWrap/>
            <w:hideMark/>
          </w:tcPr>
          <w:p w14:paraId="3BF3A508" w14:textId="77777777" w:rsidR="00505245" w:rsidRPr="00137964" w:rsidRDefault="00505245" w:rsidP="00505245">
            <w:pPr>
              <w:pStyle w:val="BodyText"/>
              <w:spacing w:beforeLines="20" w:before="48" w:afterLines="20" w:after="48" w:line="264" w:lineRule="auto"/>
              <w:contextualSpacing/>
              <w:rPr>
                <w:sz w:val="20"/>
                <w:szCs w:val="20"/>
              </w:rPr>
            </w:pPr>
          </w:p>
        </w:tc>
        <w:tc>
          <w:tcPr>
            <w:tcW w:w="615" w:type="pct"/>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14:paraId="0D0EF728"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top w:val="single" w:sz="12" w:space="0" w:color="auto"/>
              <w:left w:val="single" w:sz="4" w:space="0" w:color="auto"/>
              <w:bottom w:val="single" w:sz="12" w:space="0" w:color="auto"/>
            </w:tcBorders>
            <w:shd w:val="clear" w:color="auto" w:fill="D9D9D9" w:themeFill="background1" w:themeFillShade="D9"/>
            <w:noWrap/>
            <w:vAlign w:val="center"/>
            <w:hideMark/>
          </w:tcPr>
          <w:p w14:paraId="122C6571" w14:textId="77777777" w:rsidR="00505245" w:rsidRPr="00137964" w:rsidRDefault="00505245" w:rsidP="00505245">
            <w:pPr>
              <w:pStyle w:val="BodyText"/>
              <w:spacing w:beforeLines="20" w:before="48" w:afterLines="20" w:after="48" w:line="264" w:lineRule="auto"/>
              <w:ind w:left="0" w:firstLine="0"/>
              <w:contextualSpacing/>
              <w:jc w:val="center"/>
              <w:rPr>
                <w:b/>
                <w:bCs/>
                <w:sz w:val="20"/>
                <w:szCs w:val="20"/>
              </w:rPr>
            </w:pPr>
            <w:r w:rsidRPr="00137964">
              <w:rPr>
                <w:b/>
                <w:bCs/>
                <w:sz w:val="20"/>
                <w:szCs w:val="20"/>
              </w:rPr>
              <w:t>1,685</w:t>
            </w:r>
          </w:p>
        </w:tc>
        <w:tc>
          <w:tcPr>
            <w:tcW w:w="410" w:type="pct"/>
            <w:tcBorders>
              <w:top w:val="single" w:sz="12" w:space="0" w:color="auto"/>
              <w:bottom w:val="single" w:sz="12" w:space="0" w:color="auto"/>
            </w:tcBorders>
            <w:shd w:val="clear" w:color="auto" w:fill="D9D9D9" w:themeFill="background1" w:themeFillShade="D9"/>
            <w:noWrap/>
            <w:vAlign w:val="center"/>
            <w:hideMark/>
          </w:tcPr>
          <w:p w14:paraId="4C3C6476" w14:textId="77777777" w:rsidR="00505245" w:rsidRPr="00137964" w:rsidRDefault="00505245" w:rsidP="00505245">
            <w:pPr>
              <w:pStyle w:val="BodyText"/>
              <w:spacing w:beforeLines="20" w:before="48" w:afterLines="20" w:after="48" w:line="264" w:lineRule="auto"/>
              <w:ind w:left="0" w:firstLine="0"/>
              <w:contextualSpacing/>
              <w:jc w:val="center"/>
              <w:rPr>
                <w:b/>
                <w:bCs/>
                <w:sz w:val="20"/>
                <w:szCs w:val="20"/>
              </w:rPr>
            </w:pPr>
            <w:r w:rsidRPr="00137964">
              <w:rPr>
                <w:b/>
                <w:bCs/>
                <w:sz w:val="20"/>
                <w:szCs w:val="20"/>
              </w:rPr>
              <w:t>1,174,845</w:t>
            </w:r>
          </w:p>
        </w:tc>
        <w:tc>
          <w:tcPr>
            <w:tcW w:w="519" w:type="pct"/>
            <w:tcBorders>
              <w:top w:val="single" w:sz="12" w:space="0" w:color="auto"/>
              <w:bottom w:val="single" w:sz="12" w:space="0" w:color="auto"/>
              <w:right w:val="single" w:sz="12" w:space="0" w:color="auto"/>
            </w:tcBorders>
            <w:shd w:val="clear" w:color="auto" w:fill="D9D9D9" w:themeFill="background1" w:themeFillShade="D9"/>
            <w:noWrap/>
            <w:vAlign w:val="center"/>
            <w:hideMark/>
          </w:tcPr>
          <w:p w14:paraId="43E6D67D" w14:textId="77777777" w:rsidR="00505245" w:rsidRPr="00137964" w:rsidRDefault="00505245" w:rsidP="00505245">
            <w:pPr>
              <w:pStyle w:val="BodyText"/>
              <w:spacing w:beforeLines="20" w:before="48" w:afterLines="20" w:after="48" w:line="264" w:lineRule="auto"/>
              <w:ind w:firstLine="0"/>
              <w:contextualSpacing/>
              <w:jc w:val="right"/>
              <w:rPr>
                <w:b/>
                <w:bCs/>
                <w:sz w:val="20"/>
                <w:szCs w:val="20"/>
              </w:rPr>
            </w:pPr>
            <w:r w:rsidRPr="00137964">
              <w:rPr>
                <w:b/>
                <w:bCs/>
                <w:sz w:val="20"/>
                <w:szCs w:val="20"/>
              </w:rPr>
              <w:t>$94,931,400</w:t>
            </w:r>
          </w:p>
        </w:tc>
      </w:tr>
      <w:tr w:rsidR="00505245" w:rsidRPr="00CC1999" w14:paraId="12A5C491" w14:textId="77777777" w:rsidTr="00505245">
        <w:trPr>
          <w:cantSplit/>
          <w:trHeight w:val="20"/>
        </w:trPr>
        <w:tc>
          <w:tcPr>
            <w:tcW w:w="2090" w:type="pct"/>
            <w:tcBorders>
              <w:top w:val="single" w:sz="12" w:space="0" w:color="auto"/>
              <w:left w:val="single" w:sz="12" w:space="0" w:color="auto"/>
              <w:bottom w:val="single" w:sz="4" w:space="0" w:color="auto"/>
              <w:right w:val="nil"/>
            </w:tcBorders>
            <w:noWrap/>
            <w:hideMark/>
          </w:tcPr>
          <w:p w14:paraId="0A402311" w14:textId="77777777" w:rsidR="00505245" w:rsidRPr="00137964" w:rsidRDefault="00505245" w:rsidP="00505245">
            <w:pPr>
              <w:pStyle w:val="BodyText"/>
              <w:spacing w:beforeLines="20" w:before="48" w:afterLines="20" w:after="48" w:line="264" w:lineRule="auto"/>
              <w:ind w:left="0" w:firstLine="0"/>
              <w:contextualSpacing/>
              <w:rPr>
                <w:b/>
                <w:bCs/>
                <w:i/>
                <w:iCs/>
                <w:sz w:val="20"/>
                <w:szCs w:val="20"/>
              </w:rPr>
            </w:pPr>
            <w:r w:rsidRPr="00137964">
              <w:rPr>
                <w:b/>
                <w:bCs/>
                <w:i/>
                <w:iCs/>
                <w:sz w:val="20"/>
                <w:szCs w:val="20"/>
              </w:rPr>
              <w:t xml:space="preserve">ANNUAL ONGOING REPORTING </w:t>
            </w:r>
          </w:p>
          <w:p w14:paraId="598DF24E" w14:textId="77777777" w:rsidR="00505245" w:rsidRPr="00137964" w:rsidRDefault="00505245" w:rsidP="00505245">
            <w:pPr>
              <w:pStyle w:val="BodyText"/>
              <w:spacing w:beforeLines="20" w:before="48" w:afterLines="20" w:after="48" w:line="264" w:lineRule="auto"/>
              <w:ind w:left="0" w:firstLine="0"/>
              <w:contextualSpacing/>
              <w:rPr>
                <w:b/>
                <w:bCs/>
                <w:i/>
                <w:iCs/>
                <w:sz w:val="20"/>
                <w:szCs w:val="20"/>
              </w:rPr>
            </w:pPr>
            <w:r w:rsidRPr="00137964">
              <w:rPr>
                <w:b/>
                <w:bCs/>
                <w:i/>
                <w:iCs/>
                <w:sz w:val="20"/>
                <w:szCs w:val="20"/>
              </w:rPr>
              <w:t>(APPROXIMATELY POST JUN</w:t>
            </w:r>
            <w:r>
              <w:rPr>
                <w:b/>
                <w:bCs/>
                <w:i/>
                <w:iCs/>
                <w:sz w:val="20"/>
                <w:szCs w:val="20"/>
              </w:rPr>
              <w:t>E</w:t>
            </w:r>
            <w:r w:rsidRPr="00137964">
              <w:rPr>
                <w:b/>
                <w:bCs/>
                <w:i/>
                <w:iCs/>
                <w:sz w:val="20"/>
                <w:szCs w:val="20"/>
              </w:rPr>
              <w:t xml:space="preserve"> 2018)</w:t>
            </w:r>
          </w:p>
        </w:tc>
        <w:tc>
          <w:tcPr>
            <w:tcW w:w="410" w:type="pct"/>
            <w:tcBorders>
              <w:top w:val="single" w:sz="12" w:space="0" w:color="auto"/>
              <w:left w:val="nil"/>
              <w:bottom w:val="single" w:sz="4" w:space="0" w:color="auto"/>
              <w:right w:val="nil"/>
            </w:tcBorders>
            <w:noWrap/>
            <w:hideMark/>
          </w:tcPr>
          <w:p w14:paraId="35957DD7" w14:textId="77777777" w:rsidR="00505245" w:rsidRPr="00137964" w:rsidRDefault="00505245" w:rsidP="00505245">
            <w:pPr>
              <w:pStyle w:val="BodyText"/>
              <w:spacing w:beforeLines="20" w:before="48" w:afterLines="20" w:after="48" w:line="264" w:lineRule="auto"/>
              <w:contextualSpacing/>
              <w:rPr>
                <w:sz w:val="20"/>
                <w:szCs w:val="20"/>
              </w:rPr>
            </w:pPr>
          </w:p>
        </w:tc>
        <w:tc>
          <w:tcPr>
            <w:tcW w:w="444" w:type="pct"/>
            <w:tcBorders>
              <w:top w:val="single" w:sz="12" w:space="0" w:color="auto"/>
              <w:left w:val="nil"/>
              <w:bottom w:val="single" w:sz="4" w:space="0" w:color="auto"/>
              <w:right w:val="nil"/>
            </w:tcBorders>
            <w:noWrap/>
            <w:hideMark/>
          </w:tcPr>
          <w:p w14:paraId="43098356" w14:textId="77777777" w:rsidR="00505245" w:rsidRPr="00137964" w:rsidRDefault="00505245" w:rsidP="00505245">
            <w:pPr>
              <w:pStyle w:val="BodyText"/>
              <w:spacing w:beforeLines="20" w:before="48" w:afterLines="20" w:after="48" w:line="264" w:lineRule="auto"/>
              <w:contextualSpacing/>
              <w:rPr>
                <w:sz w:val="20"/>
                <w:szCs w:val="20"/>
              </w:rPr>
            </w:pPr>
          </w:p>
        </w:tc>
        <w:tc>
          <w:tcPr>
            <w:tcW w:w="615" w:type="pct"/>
            <w:tcBorders>
              <w:top w:val="single" w:sz="12" w:space="0" w:color="auto"/>
              <w:left w:val="nil"/>
              <w:bottom w:val="single" w:sz="4" w:space="0" w:color="auto"/>
              <w:right w:val="nil"/>
            </w:tcBorders>
            <w:noWrap/>
            <w:hideMark/>
          </w:tcPr>
          <w:p w14:paraId="5F00591A" w14:textId="77777777" w:rsidR="00505245" w:rsidRPr="00137964" w:rsidRDefault="00505245" w:rsidP="00505245">
            <w:pPr>
              <w:pStyle w:val="BodyText"/>
              <w:spacing w:beforeLines="20" w:before="48" w:afterLines="20" w:after="48" w:line="264" w:lineRule="auto"/>
              <w:contextualSpacing/>
              <w:rPr>
                <w:sz w:val="20"/>
                <w:szCs w:val="20"/>
              </w:rPr>
            </w:pPr>
          </w:p>
        </w:tc>
        <w:tc>
          <w:tcPr>
            <w:tcW w:w="512" w:type="pct"/>
            <w:tcBorders>
              <w:top w:val="single" w:sz="12" w:space="0" w:color="auto"/>
              <w:left w:val="nil"/>
              <w:bottom w:val="single" w:sz="4" w:space="0" w:color="auto"/>
              <w:right w:val="nil"/>
            </w:tcBorders>
            <w:noWrap/>
            <w:hideMark/>
          </w:tcPr>
          <w:p w14:paraId="2B6712A3" w14:textId="77777777" w:rsidR="00505245" w:rsidRPr="00137964" w:rsidRDefault="00505245" w:rsidP="00505245">
            <w:pPr>
              <w:pStyle w:val="BodyText"/>
              <w:spacing w:beforeLines="20" w:before="48" w:afterLines="20" w:after="48" w:line="264" w:lineRule="auto"/>
              <w:contextualSpacing/>
              <w:rPr>
                <w:sz w:val="20"/>
                <w:szCs w:val="20"/>
              </w:rPr>
            </w:pPr>
          </w:p>
        </w:tc>
        <w:tc>
          <w:tcPr>
            <w:tcW w:w="410" w:type="pct"/>
            <w:tcBorders>
              <w:top w:val="single" w:sz="12" w:space="0" w:color="auto"/>
              <w:left w:val="nil"/>
              <w:bottom w:val="single" w:sz="4" w:space="0" w:color="auto"/>
              <w:right w:val="nil"/>
            </w:tcBorders>
            <w:noWrap/>
            <w:hideMark/>
          </w:tcPr>
          <w:p w14:paraId="2C42C90A" w14:textId="77777777" w:rsidR="00505245" w:rsidRPr="00137964" w:rsidRDefault="00505245" w:rsidP="00505245">
            <w:pPr>
              <w:pStyle w:val="BodyText"/>
              <w:spacing w:beforeLines="20" w:before="48" w:afterLines="20" w:after="48" w:line="264" w:lineRule="auto"/>
              <w:contextualSpacing/>
              <w:rPr>
                <w:sz w:val="20"/>
                <w:szCs w:val="20"/>
              </w:rPr>
            </w:pPr>
          </w:p>
        </w:tc>
        <w:tc>
          <w:tcPr>
            <w:tcW w:w="519" w:type="pct"/>
            <w:tcBorders>
              <w:top w:val="single" w:sz="12" w:space="0" w:color="auto"/>
              <w:left w:val="nil"/>
              <w:bottom w:val="single" w:sz="4" w:space="0" w:color="auto"/>
              <w:right w:val="single" w:sz="12" w:space="0" w:color="auto"/>
            </w:tcBorders>
            <w:noWrap/>
            <w:hideMark/>
          </w:tcPr>
          <w:p w14:paraId="19274599" w14:textId="77777777" w:rsidR="00505245" w:rsidRPr="00137964" w:rsidRDefault="00505245" w:rsidP="00505245">
            <w:pPr>
              <w:pStyle w:val="BodyText"/>
              <w:spacing w:beforeLines="20" w:before="48" w:afterLines="20" w:after="48" w:line="264" w:lineRule="auto"/>
              <w:contextualSpacing/>
              <w:rPr>
                <w:sz w:val="20"/>
                <w:szCs w:val="20"/>
              </w:rPr>
            </w:pPr>
          </w:p>
        </w:tc>
      </w:tr>
      <w:tr w:rsidR="00505245" w:rsidRPr="00CC1999" w14:paraId="30551FEC" w14:textId="77777777" w:rsidTr="00505245">
        <w:trPr>
          <w:cantSplit/>
          <w:trHeight w:val="20"/>
        </w:trPr>
        <w:tc>
          <w:tcPr>
            <w:tcW w:w="2090" w:type="pct"/>
            <w:tcBorders>
              <w:top w:val="single" w:sz="4" w:space="0" w:color="auto"/>
              <w:left w:val="single" w:sz="12" w:space="0" w:color="auto"/>
            </w:tcBorders>
            <w:noWrap/>
            <w:hideMark/>
          </w:tcPr>
          <w:p w14:paraId="7C72BB2D"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Rule Familiarization</w:t>
            </w:r>
          </w:p>
        </w:tc>
        <w:tc>
          <w:tcPr>
            <w:tcW w:w="410" w:type="pct"/>
            <w:tcBorders>
              <w:top w:val="single" w:sz="4" w:space="0" w:color="auto"/>
            </w:tcBorders>
            <w:noWrap/>
            <w:vAlign w:val="center"/>
            <w:hideMark/>
          </w:tcPr>
          <w:p w14:paraId="588398A5"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N/A</w:t>
            </w:r>
          </w:p>
        </w:tc>
        <w:tc>
          <w:tcPr>
            <w:tcW w:w="444" w:type="pct"/>
            <w:tcBorders>
              <w:top w:val="single" w:sz="4" w:space="0" w:color="auto"/>
            </w:tcBorders>
            <w:noWrap/>
            <w:vAlign w:val="center"/>
            <w:hideMark/>
          </w:tcPr>
          <w:p w14:paraId="4B83CFFA"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N/A</w:t>
            </w:r>
          </w:p>
        </w:tc>
        <w:tc>
          <w:tcPr>
            <w:tcW w:w="615" w:type="pct"/>
            <w:tcBorders>
              <w:top w:val="single" w:sz="4" w:space="0" w:color="auto"/>
            </w:tcBorders>
            <w:noWrap/>
            <w:vAlign w:val="center"/>
            <w:hideMark/>
          </w:tcPr>
          <w:p w14:paraId="1ACE8217"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top w:val="single" w:sz="4" w:space="0" w:color="auto"/>
            </w:tcBorders>
            <w:noWrap/>
            <w:vAlign w:val="center"/>
          </w:tcPr>
          <w:p w14:paraId="7F615EC7"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tcPr>
          <w:p w14:paraId="557E01DC"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9" w:type="pct"/>
            <w:tcBorders>
              <w:top w:val="single" w:sz="4" w:space="0" w:color="auto"/>
              <w:right w:val="single" w:sz="12" w:space="0" w:color="auto"/>
            </w:tcBorders>
            <w:noWrap/>
            <w:vAlign w:val="center"/>
          </w:tcPr>
          <w:p w14:paraId="5E1A41A4" w14:textId="77777777" w:rsidR="00505245" w:rsidRPr="00137964" w:rsidRDefault="00505245" w:rsidP="00505245">
            <w:pPr>
              <w:pStyle w:val="BodyText"/>
              <w:spacing w:beforeLines="20" w:before="48" w:afterLines="20" w:after="48" w:line="264" w:lineRule="auto"/>
              <w:contextualSpacing/>
              <w:jc w:val="right"/>
              <w:rPr>
                <w:sz w:val="20"/>
                <w:szCs w:val="20"/>
              </w:rPr>
            </w:pPr>
          </w:p>
        </w:tc>
      </w:tr>
      <w:tr w:rsidR="00505245" w:rsidRPr="00CC1999" w14:paraId="78A939B1" w14:textId="77777777" w:rsidTr="00505245">
        <w:trPr>
          <w:cantSplit/>
          <w:trHeight w:val="20"/>
        </w:trPr>
        <w:tc>
          <w:tcPr>
            <w:tcW w:w="2090" w:type="pct"/>
            <w:tcBorders>
              <w:left w:val="single" w:sz="12" w:space="0" w:color="auto"/>
            </w:tcBorders>
            <w:noWrap/>
            <w:hideMark/>
          </w:tcPr>
          <w:p w14:paraId="4CB6776D"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Compliance Determination</w:t>
            </w:r>
          </w:p>
        </w:tc>
        <w:tc>
          <w:tcPr>
            <w:tcW w:w="410" w:type="pct"/>
            <w:noWrap/>
            <w:vAlign w:val="center"/>
            <w:hideMark/>
          </w:tcPr>
          <w:p w14:paraId="0F107082"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1.994</w:t>
            </w:r>
          </w:p>
        </w:tc>
        <w:tc>
          <w:tcPr>
            <w:tcW w:w="444" w:type="pct"/>
            <w:noWrap/>
            <w:vAlign w:val="center"/>
            <w:hideMark/>
          </w:tcPr>
          <w:p w14:paraId="04B8F1E3"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$156.38</w:t>
            </w:r>
          </w:p>
        </w:tc>
        <w:tc>
          <w:tcPr>
            <w:tcW w:w="615" w:type="pct"/>
            <w:noWrap/>
            <w:vAlign w:val="center"/>
            <w:hideMark/>
          </w:tcPr>
          <w:p w14:paraId="46244FF4"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noWrap/>
            <w:vAlign w:val="center"/>
            <w:hideMark/>
          </w:tcPr>
          <w:p w14:paraId="7A1C3035"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20</w:t>
            </w:r>
          </w:p>
        </w:tc>
        <w:tc>
          <w:tcPr>
            <w:tcW w:w="410" w:type="pct"/>
            <w:noWrap/>
            <w:vAlign w:val="center"/>
            <w:hideMark/>
          </w:tcPr>
          <w:p w14:paraId="26726907"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40</w:t>
            </w:r>
          </w:p>
        </w:tc>
        <w:tc>
          <w:tcPr>
            <w:tcW w:w="519" w:type="pct"/>
            <w:tcBorders>
              <w:right w:val="single" w:sz="12" w:space="0" w:color="auto"/>
            </w:tcBorders>
            <w:noWrap/>
            <w:vAlign w:val="center"/>
            <w:hideMark/>
          </w:tcPr>
          <w:p w14:paraId="0E33EA1E"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$3,128</w:t>
            </w:r>
          </w:p>
        </w:tc>
      </w:tr>
      <w:tr w:rsidR="00505245" w:rsidRPr="00CC1999" w14:paraId="2A2A80CE" w14:textId="77777777" w:rsidTr="00505245">
        <w:trPr>
          <w:cantSplit/>
          <w:trHeight w:val="20"/>
        </w:trPr>
        <w:tc>
          <w:tcPr>
            <w:tcW w:w="2090" w:type="pct"/>
            <w:tcBorders>
              <w:left w:val="single" w:sz="12" w:space="0" w:color="auto"/>
            </w:tcBorders>
            <w:noWrap/>
            <w:hideMark/>
          </w:tcPr>
          <w:p w14:paraId="0F172F5E"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Form Completion</w:t>
            </w:r>
          </w:p>
        </w:tc>
        <w:tc>
          <w:tcPr>
            <w:tcW w:w="410" w:type="pct"/>
            <w:noWrap/>
            <w:vAlign w:val="center"/>
            <w:hideMark/>
          </w:tcPr>
          <w:p w14:paraId="0780EA91"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9.117</w:t>
            </w:r>
          </w:p>
        </w:tc>
        <w:tc>
          <w:tcPr>
            <w:tcW w:w="444" w:type="pct"/>
            <w:noWrap/>
            <w:vAlign w:val="center"/>
            <w:hideMark/>
          </w:tcPr>
          <w:p w14:paraId="77B35FBD"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$728.25</w:t>
            </w:r>
          </w:p>
        </w:tc>
        <w:tc>
          <w:tcPr>
            <w:tcW w:w="615" w:type="pct"/>
            <w:noWrap/>
            <w:vAlign w:val="center"/>
          </w:tcPr>
          <w:p w14:paraId="376CD62A"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noWrap/>
            <w:vAlign w:val="center"/>
            <w:hideMark/>
          </w:tcPr>
          <w:p w14:paraId="6560D083"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20</w:t>
            </w:r>
          </w:p>
        </w:tc>
        <w:tc>
          <w:tcPr>
            <w:tcW w:w="410" w:type="pct"/>
            <w:noWrap/>
            <w:vAlign w:val="center"/>
            <w:hideMark/>
          </w:tcPr>
          <w:p w14:paraId="4E2C27D3"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182</w:t>
            </w:r>
          </w:p>
        </w:tc>
        <w:tc>
          <w:tcPr>
            <w:tcW w:w="519" w:type="pct"/>
            <w:tcBorders>
              <w:right w:val="single" w:sz="12" w:space="0" w:color="auto"/>
            </w:tcBorders>
            <w:noWrap/>
            <w:vAlign w:val="center"/>
            <w:hideMark/>
          </w:tcPr>
          <w:p w14:paraId="0F00BB9F"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$14,565</w:t>
            </w:r>
          </w:p>
        </w:tc>
      </w:tr>
      <w:tr w:rsidR="00505245" w:rsidRPr="00CC1999" w14:paraId="39CF51DB" w14:textId="77777777" w:rsidTr="00505245">
        <w:trPr>
          <w:cantSplit/>
          <w:trHeight w:val="20"/>
        </w:trPr>
        <w:tc>
          <w:tcPr>
            <w:tcW w:w="2090" w:type="pct"/>
            <w:tcBorders>
              <w:left w:val="single" w:sz="12" w:space="0" w:color="auto"/>
              <w:bottom w:val="single" w:sz="12" w:space="0" w:color="auto"/>
            </w:tcBorders>
            <w:noWrap/>
            <w:hideMark/>
          </w:tcPr>
          <w:p w14:paraId="3B9C2199" w14:textId="77777777" w:rsidR="00505245" w:rsidRPr="00137964" w:rsidRDefault="00505245" w:rsidP="00505245">
            <w:pPr>
              <w:pStyle w:val="BodyText"/>
              <w:spacing w:beforeLines="20" w:before="48" w:afterLines="20" w:after="48" w:line="264" w:lineRule="auto"/>
              <w:ind w:left="0" w:firstLine="0"/>
              <w:contextualSpacing/>
              <w:rPr>
                <w:sz w:val="20"/>
                <w:szCs w:val="20"/>
              </w:rPr>
            </w:pPr>
            <w:r w:rsidRPr="00137964">
              <w:rPr>
                <w:sz w:val="20"/>
                <w:szCs w:val="20"/>
              </w:rPr>
              <w:t>Recordkeeping</w:t>
            </w:r>
          </w:p>
        </w:tc>
        <w:tc>
          <w:tcPr>
            <w:tcW w:w="410" w:type="pct"/>
            <w:tcBorders>
              <w:bottom w:val="single" w:sz="12" w:space="0" w:color="auto"/>
            </w:tcBorders>
            <w:noWrap/>
            <w:vAlign w:val="center"/>
            <w:hideMark/>
          </w:tcPr>
          <w:p w14:paraId="6FC1BE59"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0.125</w:t>
            </w:r>
          </w:p>
        </w:tc>
        <w:tc>
          <w:tcPr>
            <w:tcW w:w="444" w:type="pct"/>
            <w:tcBorders>
              <w:bottom w:val="single" w:sz="12" w:space="0" w:color="auto"/>
            </w:tcBorders>
            <w:noWrap/>
            <w:vAlign w:val="center"/>
            <w:hideMark/>
          </w:tcPr>
          <w:p w14:paraId="76B05F61"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$4.28</w:t>
            </w:r>
          </w:p>
        </w:tc>
        <w:tc>
          <w:tcPr>
            <w:tcW w:w="615" w:type="pct"/>
            <w:tcBorders>
              <w:bottom w:val="single" w:sz="12" w:space="0" w:color="auto"/>
            </w:tcBorders>
            <w:noWrap/>
            <w:vAlign w:val="center"/>
          </w:tcPr>
          <w:p w14:paraId="6748009A"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bottom w:val="single" w:sz="12" w:space="0" w:color="auto"/>
            </w:tcBorders>
            <w:noWrap/>
            <w:vAlign w:val="center"/>
            <w:hideMark/>
          </w:tcPr>
          <w:p w14:paraId="504BF13B"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20</w:t>
            </w:r>
          </w:p>
        </w:tc>
        <w:tc>
          <w:tcPr>
            <w:tcW w:w="410" w:type="pct"/>
            <w:tcBorders>
              <w:bottom w:val="single" w:sz="12" w:space="0" w:color="auto"/>
            </w:tcBorders>
            <w:noWrap/>
            <w:vAlign w:val="center"/>
            <w:hideMark/>
          </w:tcPr>
          <w:p w14:paraId="0C7243BF" w14:textId="77777777" w:rsidR="00505245" w:rsidRPr="00137964" w:rsidRDefault="00505245" w:rsidP="00505245">
            <w:pPr>
              <w:pStyle w:val="BodyText"/>
              <w:spacing w:beforeLines="20" w:before="48" w:afterLines="20" w:after="48" w:line="264" w:lineRule="auto"/>
              <w:ind w:left="0" w:firstLine="0"/>
              <w:contextualSpacing/>
              <w:jc w:val="center"/>
              <w:rPr>
                <w:sz w:val="20"/>
                <w:szCs w:val="20"/>
              </w:rPr>
            </w:pPr>
            <w:r w:rsidRPr="00137964">
              <w:rPr>
                <w:sz w:val="20"/>
                <w:szCs w:val="20"/>
              </w:rPr>
              <w:t>3</w:t>
            </w:r>
          </w:p>
        </w:tc>
        <w:tc>
          <w:tcPr>
            <w:tcW w:w="519" w:type="pct"/>
            <w:tcBorders>
              <w:bottom w:val="single" w:sz="12" w:space="0" w:color="auto"/>
              <w:right w:val="single" w:sz="12" w:space="0" w:color="auto"/>
            </w:tcBorders>
            <w:noWrap/>
            <w:vAlign w:val="center"/>
            <w:hideMark/>
          </w:tcPr>
          <w:p w14:paraId="169DABAA" w14:textId="77777777" w:rsidR="00505245" w:rsidRPr="00137964" w:rsidRDefault="00505245" w:rsidP="00505245">
            <w:pPr>
              <w:pStyle w:val="BodyText"/>
              <w:spacing w:beforeLines="20" w:before="48" w:afterLines="20" w:after="48" w:line="264" w:lineRule="auto"/>
              <w:ind w:firstLine="0"/>
              <w:contextualSpacing/>
              <w:jc w:val="right"/>
              <w:rPr>
                <w:sz w:val="20"/>
                <w:szCs w:val="20"/>
              </w:rPr>
            </w:pPr>
            <w:r w:rsidRPr="00137964">
              <w:rPr>
                <w:sz w:val="20"/>
                <w:szCs w:val="20"/>
              </w:rPr>
              <w:t>$86</w:t>
            </w:r>
          </w:p>
        </w:tc>
      </w:tr>
      <w:tr w:rsidR="00505245" w:rsidRPr="00CC1999" w14:paraId="081612E4" w14:textId="77777777" w:rsidTr="00505245">
        <w:trPr>
          <w:cantSplit/>
          <w:trHeight w:val="20"/>
        </w:trPr>
        <w:tc>
          <w:tcPr>
            <w:tcW w:w="2090" w:type="pct"/>
            <w:tcBorders>
              <w:top w:val="single" w:sz="12" w:space="0" w:color="auto"/>
              <w:left w:val="single" w:sz="12" w:space="0" w:color="auto"/>
              <w:bottom w:val="single" w:sz="12" w:space="0" w:color="auto"/>
              <w:right w:val="nil"/>
            </w:tcBorders>
            <w:shd w:val="clear" w:color="auto" w:fill="D9D9D9" w:themeFill="background1" w:themeFillShade="D9"/>
            <w:noWrap/>
            <w:hideMark/>
          </w:tcPr>
          <w:p w14:paraId="618401C4" w14:textId="77777777" w:rsidR="00505245" w:rsidRPr="00137964" w:rsidRDefault="00505245" w:rsidP="00505245">
            <w:pPr>
              <w:pStyle w:val="BodyText"/>
              <w:spacing w:beforeLines="20" w:before="48" w:afterLines="20" w:after="48" w:line="264" w:lineRule="auto"/>
              <w:ind w:left="0" w:firstLine="0"/>
              <w:contextualSpacing/>
              <w:rPr>
                <w:b/>
                <w:bCs/>
                <w:sz w:val="20"/>
                <w:szCs w:val="20"/>
                <w:vertAlign w:val="superscript"/>
              </w:rPr>
            </w:pPr>
            <w:r w:rsidRPr="00137964">
              <w:rPr>
                <w:b/>
                <w:bCs/>
                <w:sz w:val="20"/>
                <w:szCs w:val="20"/>
              </w:rPr>
              <w:t>TOTAL ANNUAL ONGOING REPORTING</w:t>
            </w:r>
            <w:r w:rsidRPr="00137964">
              <w:rPr>
                <w:b/>
                <w:bCs/>
                <w:sz w:val="20"/>
                <w:szCs w:val="20"/>
                <w:vertAlign w:val="superscript"/>
              </w:rPr>
              <w:t xml:space="preserve"> 1</w:t>
            </w:r>
          </w:p>
        </w:tc>
        <w:tc>
          <w:tcPr>
            <w:tcW w:w="410" w:type="pct"/>
            <w:tcBorders>
              <w:top w:val="single" w:sz="12" w:space="0" w:color="auto"/>
              <w:left w:val="nil"/>
              <w:bottom w:val="single" w:sz="12" w:space="0" w:color="auto"/>
              <w:right w:val="nil"/>
            </w:tcBorders>
            <w:shd w:val="clear" w:color="auto" w:fill="D9D9D9" w:themeFill="background1" w:themeFillShade="D9"/>
            <w:noWrap/>
            <w:hideMark/>
          </w:tcPr>
          <w:p w14:paraId="2044B9C9" w14:textId="77777777" w:rsidR="00505245" w:rsidRPr="00137964" w:rsidRDefault="00505245" w:rsidP="00505245">
            <w:pPr>
              <w:pStyle w:val="BodyText"/>
              <w:spacing w:beforeLines="20" w:before="48" w:afterLines="20" w:after="48" w:line="264" w:lineRule="auto"/>
              <w:contextualSpacing/>
              <w:rPr>
                <w:sz w:val="20"/>
                <w:szCs w:val="20"/>
              </w:rPr>
            </w:pPr>
          </w:p>
        </w:tc>
        <w:tc>
          <w:tcPr>
            <w:tcW w:w="444" w:type="pct"/>
            <w:tcBorders>
              <w:top w:val="single" w:sz="12" w:space="0" w:color="auto"/>
              <w:left w:val="nil"/>
              <w:bottom w:val="single" w:sz="12" w:space="0" w:color="auto"/>
              <w:right w:val="nil"/>
            </w:tcBorders>
            <w:shd w:val="clear" w:color="auto" w:fill="D9D9D9" w:themeFill="background1" w:themeFillShade="D9"/>
            <w:noWrap/>
            <w:hideMark/>
          </w:tcPr>
          <w:p w14:paraId="079817FC" w14:textId="77777777" w:rsidR="00505245" w:rsidRPr="00137964" w:rsidRDefault="00505245" w:rsidP="00505245">
            <w:pPr>
              <w:pStyle w:val="BodyText"/>
              <w:spacing w:beforeLines="20" w:before="48" w:afterLines="20" w:after="48" w:line="264" w:lineRule="auto"/>
              <w:contextualSpacing/>
              <w:rPr>
                <w:sz w:val="20"/>
                <w:szCs w:val="20"/>
              </w:rPr>
            </w:pPr>
          </w:p>
        </w:tc>
        <w:tc>
          <w:tcPr>
            <w:tcW w:w="615" w:type="pct"/>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14:paraId="70DCC85B" w14:textId="77777777" w:rsidR="00505245" w:rsidRPr="00137964" w:rsidRDefault="00505245" w:rsidP="00505245">
            <w:pPr>
              <w:pStyle w:val="BodyText"/>
              <w:spacing w:beforeLines="20" w:before="48" w:afterLines="20" w:after="48" w:line="264" w:lineRule="auto"/>
              <w:contextualSpacing/>
              <w:jc w:val="center"/>
              <w:rPr>
                <w:sz w:val="20"/>
                <w:szCs w:val="20"/>
              </w:rPr>
            </w:pPr>
          </w:p>
        </w:tc>
        <w:tc>
          <w:tcPr>
            <w:tcW w:w="512" w:type="pct"/>
            <w:tcBorders>
              <w:top w:val="single" w:sz="12" w:space="0" w:color="auto"/>
              <w:left w:val="single" w:sz="4" w:space="0" w:color="auto"/>
              <w:bottom w:val="single" w:sz="12" w:space="0" w:color="auto"/>
            </w:tcBorders>
            <w:shd w:val="clear" w:color="auto" w:fill="D9D9D9" w:themeFill="background1" w:themeFillShade="D9"/>
            <w:noWrap/>
            <w:vAlign w:val="center"/>
            <w:hideMark/>
          </w:tcPr>
          <w:p w14:paraId="60FF3288" w14:textId="77777777" w:rsidR="00505245" w:rsidRPr="00137964" w:rsidRDefault="00505245" w:rsidP="00505245">
            <w:pPr>
              <w:pStyle w:val="BodyText"/>
              <w:spacing w:beforeLines="20" w:before="48" w:afterLines="20" w:after="48" w:line="264" w:lineRule="auto"/>
              <w:ind w:left="0" w:firstLine="0"/>
              <w:contextualSpacing/>
              <w:jc w:val="center"/>
              <w:rPr>
                <w:b/>
                <w:bCs/>
                <w:sz w:val="20"/>
                <w:szCs w:val="20"/>
              </w:rPr>
            </w:pPr>
            <w:r w:rsidRPr="00137964">
              <w:rPr>
                <w:b/>
                <w:bCs/>
                <w:sz w:val="20"/>
                <w:szCs w:val="20"/>
              </w:rPr>
              <w:t>20</w:t>
            </w:r>
          </w:p>
        </w:tc>
        <w:tc>
          <w:tcPr>
            <w:tcW w:w="410" w:type="pct"/>
            <w:tcBorders>
              <w:top w:val="single" w:sz="12" w:space="0" w:color="auto"/>
              <w:bottom w:val="single" w:sz="12" w:space="0" w:color="auto"/>
            </w:tcBorders>
            <w:shd w:val="clear" w:color="auto" w:fill="D9D9D9" w:themeFill="background1" w:themeFillShade="D9"/>
            <w:noWrap/>
            <w:vAlign w:val="center"/>
            <w:hideMark/>
          </w:tcPr>
          <w:p w14:paraId="394285C4" w14:textId="77777777" w:rsidR="00505245" w:rsidRPr="00137964" w:rsidRDefault="00505245" w:rsidP="00505245">
            <w:pPr>
              <w:pStyle w:val="BodyText"/>
              <w:spacing w:beforeLines="20" w:before="48" w:afterLines="20" w:after="48" w:line="264" w:lineRule="auto"/>
              <w:ind w:left="0" w:firstLine="0"/>
              <w:contextualSpacing/>
              <w:jc w:val="center"/>
              <w:rPr>
                <w:b/>
                <w:bCs/>
                <w:sz w:val="20"/>
                <w:szCs w:val="20"/>
              </w:rPr>
            </w:pPr>
            <w:r w:rsidRPr="00137964">
              <w:rPr>
                <w:b/>
                <w:bCs/>
                <w:sz w:val="20"/>
                <w:szCs w:val="20"/>
              </w:rPr>
              <w:t>225</w:t>
            </w:r>
          </w:p>
        </w:tc>
        <w:tc>
          <w:tcPr>
            <w:tcW w:w="519" w:type="pct"/>
            <w:tcBorders>
              <w:top w:val="single" w:sz="12" w:space="0" w:color="auto"/>
              <w:bottom w:val="single" w:sz="12" w:space="0" w:color="auto"/>
              <w:right w:val="single" w:sz="12" w:space="0" w:color="auto"/>
            </w:tcBorders>
            <w:shd w:val="clear" w:color="auto" w:fill="D9D9D9" w:themeFill="background1" w:themeFillShade="D9"/>
            <w:noWrap/>
            <w:vAlign w:val="center"/>
            <w:hideMark/>
          </w:tcPr>
          <w:p w14:paraId="48127B6E" w14:textId="77777777" w:rsidR="00505245" w:rsidRPr="00137964" w:rsidRDefault="00505245" w:rsidP="00505245">
            <w:pPr>
              <w:pStyle w:val="BodyText"/>
              <w:spacing w:beforeLines="20" w:before="48" w:afterLines="20" w:after="48" w:line="264" w:lineRule="auto"/>
              <w:ind w:firstLine="0"/>
              <w:contextualSpacing/>
              <w:jc w:val="right"/>
              <w:rPr>
                <w:b/>
                <w:bCs/>
                <w:sz w:val="20"/>
                <w:szCs w:val="20"/>
              </w:rPr>
            </w:pPr>
            <w:r w:rsidRPr="00137964">
              <w:rPr>
                <w:b/>
                <w:bCs/>
                <w:sz w:val="20"/>
                <w:szCs w:val="20"/>
              </w:rPr>
              <w:t>$17,779</w:t>
            </w:r>
          </w:p>
        </w:tc>
      </w:tr>
    </w:tbl>
    <w:tbl>
      <w:tblPr>
        <w:tblW w:w="5000" w:type="pct"/>
        <w:tblBorders>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76"/>
      </w:tblGrid>
      <w:tr w:rsidR="00505245" w:rsidRPr="003071D3" w14:paraId="2F5D61BA" w14:textId="77777777" w:rsidTr="00505245">
        <w:trPr>
          <w:trHeight w:val="144"/>
        </w:trPr>
        <w:tc>
          <w:tcPr>
            <w:tcW w:w="5000" w:type="pct"/>
            <w:noWrap/>
            <w:vAlign w:val="center"/>
          </w:tcPr>
          <w:p w14:paraId="51DF65D5" w14:textId="77777777" w:rsidR="00505245" w:rsidRPr="00BA0423" w:rsidRDefault="00505245" w:rsidP="00505245">
            <w:pPr>
              <w:rPr>
                <w:rFonts w:ascii="Times New Roman" w:hAnsi="Times New Roman" w:cs="Times New Roman"/>
                <w:b/>
                <w:sz w:val="18"/>
              </w:rPr>
            </w:pPr>
            <w:r w:rsidRPr="00BA0423">
              <w:rPr>
                <w:rFonts w:ascii="Times New Roman" w:hAnsi="Times New Roman" w:cs="Times New Roman"/>
                <w:b/>
                <w:sz w:val="18"/>
              </w:rPr>
              <w:t>General Note</w:t>
            </w:r>
          </w:p>
          <w:p w14:paraId="02526E48" w14:textId="77777777" w:rsidR="00505245" w:rsidRPr="00BA0423" w:rsidRDefault="00505245" w:rsidP="00505245">
            <w:pPr>
              <w:rPr>
                <w:rFonts w:ascii="Times New Roman" w:hAnsi="Times New Roman" w:cs="Times New Roman"/>
                <w:color w:val="000000"/>
                <w:sz w:val="18"/>
                <w:szCs w:val="18"/>
              </w:rPr>
            </w:pPr>
            <w:r w:rsidRPr="00BA0423">
              <w:rPr>
                <w:rFonts w:ascii="Times New Roman" w:hAnsi="Times New Roman" w:cs="Times New Roman"/>
                <w:color w:val="000000"/>
                <w:sz w:val="18"/>
                <w:szCs w:val="18"/>
              </w:rPr>
              <w:t xml:space="preserve">Total industry burden and cost are estimated by combining unit </w:t>
            </w:r>
            <w:r w:rsidRPr="005A05D9">
              <w:rPr>
                <w:rFonts w:ascii="Times New Roman" w:hAnsi="Times New Roman" w:cs="Times New Roman"/>
                <w:color w:val="000000"/>
                <w:sz w:val="18"/>
                <w:szCs w:val="18"/>
              </w:rPr>
              <w:t>burdens (</w:t>
            </w:r>
            <w:r w:rsidRPr="005A05D9">
              <w:rPr>
                <w:rFonts w:ascii="Times New Roman" w:hAnsi="Times New Roman" w:cs="Times New Roman"/>
                <w:color w:val="000000"/>
                <w:sz w:val="18"/>
                <w:szCs w:val="18"/>
              </w:rPr>
              <w:fldChar w:fldCharType="begin"/>
            </w:r>
            <w:r w:rsidRPr="005A05D9">
              <w:rPr>
                <w:rFonts w:ascii="Times New Roman" w:hAnsi="Times New Roman" w:cs="Times New Roman"/>
                <w:color w:val="000000"/>
                <w:sz w:val="18"/>
                <w:szCs w:val="18"/>
              </w:rPr>
              <w:instrText xml:space="preserve"> REF _Ref468994438 \h </w:instrText>
            </w:r>
            <w:r>
              <w:rPr>
                <w:rFonts w:ascii="Times New Roman" w:hAnsi="Times New Roman" w:cs="Times New Roman"/>
                <w:color w:val="000000"/>
                <w:sz w:val="18"/>
                <w:szCs w:val="18"/>
              </w:rPr>
              <w:instrText xml:space="preserve"> \* MERGEFORMAT </w:instrText>
            </w:r>
            <w:r w:rsidRPr="005A05D9">
              <w:rPr>
                <w:rFonts w:ascii="Times New Roman" w:hAnsi="Times New Roman" w:cs="Times New Roman"/>
                <w:color w:val="000000"/>
                <w:sz w:val="18"/>
                <w:szCs w:val="18"/>
              </w:rPr>
            </w:r>
            <w:r w:rsidRPr="005A05D9">
              <w:rPr>
                <w:rFonts w:ascii="Times New Roman" w:hAnsi="Times New Roman" w:cs="Times New Roman"/>
                <w:color w:val="000000"/>
                <w:sz w:val="18"/>
                <w:szCs w:val="18"/>
              </w:rPr>
              <w:fldChar w:fldCharType="separate"/>
            </w:r>
            <w:r w:rsidRPr="001C794A">
              <w:rPr>
                <w:rFonts w:ascii="Times New Roman" w:hAnsi="Times New Roman"/>
                <w:sz w:val="18"/>
                <w:szCs w:val="18"/>
              </w:rPr>
              <w:t xml:space="preserve">Table </w:t>
            </w:r>
            <w:r w:rsidRPr="001C794A">
              <w:rPr>
                <w:rFonts w:ascii="Times New Roman" w:hAnsi="Times New Roman"/>
                <w:noProof/>
                <w:sz w:val="18"/>
                <w:szCs w:val="18"/>
              </w:rPr>
              <w:t>3</w:t>
            </w:r>
            <w:r w:rsidRPr="005A05D9">
              <w:rPr>
                <w:rFonts w:ascii="Times New Roman" w:hAnsi="Times New Roman" w:cs="Times New Roman"/>
                <w:color w:val="000000"/>
                <w:sz w:val="18"/>
                <w:szCs w:val="18"/>
              </w:rPr>
              <w:fldChar w:fldCharType="end"/>
            </w:r>
            <w:r w:rsidRPr="005A05D9">
              <w:rPr>
                <w:rFonts w:ascii="Times New Roman" w:hAnsi="Times New Roman" w:cs="Times New Roman"/>
                <w:color w:val="000000"/>
                <w:sz w:val="18"/>
                <w:szCs w:val="18"/>
              </w:rPr>
              <w:t>) and</w:t>
            </w:r>
            <w:r w:rsidRPr="00BA0423">
              <w:rPr>
                <w:rFonts w:ascii="Times New Roman" w:hAnsi="Times New Roman" w:cs="Times New Roman"/>
                <w:color w:val="000000"/>
                <w:sz w:val="18"/>
                <w:szCs w:val="18"/>
              </w:rPr>
              <w:t xml:space="preserve"> </w:t>
            </w:r>
            <w:r w:rsidRPr="005A05D9">
              <w:rPr>
                <w:rFonts w:ascii="Times New Roman" w:hAnsi="Times New Roman" w:cs="Times New Roman"/>
                <w:color w:val="000000"/>
                <w:sz w:val="18"/>
                <w:szCs w:val="18"/>
              </w:rPr>
              <w:t>costs (</w:t>
            </w:r>
            <w:r w:rsidRPr="005A05D9">
              <w:rPr>
                <w:rFonts w:ascii="Times New Roman" w:hAnsi="Times New Roman" w:cs="Times New Roman"/>
                <w:color w:val="000000"/>
                <w:sz w:val="18"/>
                <w:szCs w:val="18"/>
              </w:rPr>
              <w:fldChar w:fldCharType="begin"/>
            </w:r>
            <w:r w:rsidRPr="005A05D9">
              <w:rPr>
                <w:rFonts w:ascii="Times New Roman" w:hAnsi="Times New Roman" w:cs="Times New Roman"/>
                <w:color w:val="000000"/>
                <w:sz w:val="18"/>
                <w:szCs w:val="18"/>
              </w:rPr>
              <w:instrText xml:space="preserve"> REF _Ref469294406 \h </w:instrText>
            </w:r>
            <w:r>
              <w:rPr>
                <w:rFonts w:ascii="Times New Roman" w:hAnsi="Times New Roman" w:cs="Times New Roman"/>
                <w:color w:val="000000"/>
                <w:sz w:val="18"/>
                <w:szCs w:val="18"/>
              </w:rPr>
              <w:instrText xml:space="preserve"> \* MERGEFORMAT </w:instrText>
            </w:r>
            <w:r w:rsidRPr="005A05D9">
              <w:rPr>
                <w:rFonts w:ascii="Times New Roman" w:hAnsi="Times New Roman" w:cs="Times New Roman"/>
                <w:color w:val="000000"/>
                <w:sz w:val="18"/>
                <w:szCs w:val="18"/>
              </w:rPr>
            </w:r>
            <w:r w:rsidRPr="005A05D9">
              <w:rPr>
                <w:rFonts w:ascii="Times New Roman" w:hAnsi="Times New Roman" w:cs="Times New Roman"/>
                <w:color w:val="000000"/>
                <w:sz w:val="18"/>
                <w:szCs w:val="18"/>
              </w:rPr>
              <w:fldChar w:fldCharType="separate"/>
            </w:r>
            <w:r w:rsidRPr="001C794A">
              <w:rPr>
                <w:rFonts w:ascii="Times New Roman" w:hAnsi="Times New Roman"/>
                <w:sz w:val="18"/>
                <w:szCs w:val="18"/>
              </w:rPr>
              <w:t xml:space="preserve">Table </w:t>
            </w:r>
            <w:r w:rsidRPr="001C794A">
              <w:rPr>
                <w:rFonts w:ascii="Times New Roman" w:hAnsi="Times New Roman"/>
                <w:noProof/>
                <w:sz w:val="18"/>
                <w:szCs w:val="18"/>
              </w:rPr>
              <w:t>5</w:t>
            </w:r>
            <w:r w:rsidRPr="005A05D9">
              <w:rPr>
                <w:rFonts w:ascii="Times New Roman" w:hAnsi="Times New Roman" w:cs="Times New Roman"/>
                <w:color w:val="000000"/>
                <w:sz w:val="18"/>
                <w:szCs w:val="18"/>
              </w:rPr>
              <w:fldChar w:fldCharType="end"/>
            </w:r>
            <w:r w:rsidRPr="005A05D9">
              <w:rPr>
                <w:rFonts w:ascii="Times New Roman" w:hAnsi="Times New Roman" w:cs="Times New Roman"/>
                <w:color w:val="000000"/>
                <w:sz w:val="18"/>
                <w:szCs w:val="18"/>
              </w:rPr>
              <w:t>) with</w:t>
            </w:r>
            <w:r w:rsidRPr="00BA0423">
              <w:rPr>
                <w:rFonts w:ascii="Times New Roman" w:hAnsi="Times New Roman" w:cs="Times New Roman"/>
                <w:color w:val="000000"/>
                <w:sz w:val="18"/>
                <w:szCs w:val="18"/>
              </w:rPr>
              <w:t xml:space="preserve"> estimates of the potentially affected universe (as determined in</w:t>
            </w:r>
            <w:r>
              <w:rPr>
                <w:rFonts w:ascii="Times New Roman" w:hAnsi="Times New Roman" w:cs="Times New Roman"/>
                <w:color w:val="000000"/>
                <w:sz w:val="18"/>
                <w:szCs w:val="18"/>
              </w:rPr>
              <w:t xml:space="preserve"> Section 3 and Table 2 of </w:t>
            </w:r>
            <w:r w:rsidRPr="006E23EB">
              <w:rPr>
                <w:rFonts w:ascii="Times New Roman" w:hAnsi="Times New Roman" w:cs="Times New Roman"/>
                <w:bCs/>
                <w:i/>
                <w:color w:val="000000"/>
                <w:sz w:val="18"/>
                <w:szCs w:val="16"/>
              </w:rPr>
              <w:t xml:space="preserve">Burden and Cost Report for the </w:t>
            </w:r>
            <w:r>
              <w:rPr>
                <w:rFonts w:ascii="Times New Roman" w:hAnsi="Times New Roman" w:cs="Times New Roman"/>
                <w:bCs/>
                <w:i/>
                <w:color w:val="000000"/>
                <w:sz w:val="18"/>
                <w:szCs w:val="16"/>
              </w:rPr>
              <w:t>Final</w:t>
            </w:r>
            <w:r w:rsidRPr="006E23EB">
              <w:rPr>
                <w:rFonts w:ascii="Times New Roman" w:hAnsi="Times New Roman" w:cs="Times New Roman"/>
                <w:bCs/>
                <w:i/>
                <w:color w:val="000000"/>
                <w:sz w:val="18"/>
                <w:szCs w:val="16"/>
              </w:rPr>
              <w:t xml:space="preserve"> Rule: TSCA Inventory Notification Requirements</w:t>
            </w:r>
            <w:r>
              <w:rPr>
                <w:rFonts w:ascii="Times New Roman" w:hAnsi="Times New Roman" w:cs="Times New Roman"/>
                <w:bCs/>
                <w:i/>
                <w:color w:val="000000"/>
                <w:sz w:val="18"/>
                <w:szCs w:val="16"/>
              </w:rPr>
              <w:t xml:space="preserve"> </w:t>
            </w:r>
            <w:r>
              <w:rPr>
                <w:rFonts w:ascii="Times New Roman" w:hAnsi="Times New Roman" w:cs="Times New Roman"/>
                <w:bCs/>
                <w:i/>
                <w:color w:val="000000"/>
                <w:sz w:val="18"/>
                <w:szCs w:val="16"/>
              </w:rPr>
              <w:fldChar w:fldCharType="begin"/>
            </w:r>
            <w:r>
              <w:rPr>
                <w:rFonts w:ascii="Times New Roman" w:hAnsi="Times New Roman" w:cs="Times New Roman"/>
                <w:bCs/>
                <w:i/>
                <w:color w:val="000000"/>
                <w:sz w:val="18"/>
                <w:szCs w:val="16"/>
              </w:rPr>
              <w:instrText xml:space="preserve"> ADDIN ZOTERO_ITEM CSL_CITATION {"citationID":"akpphtq1dm","properties":{"formattedCitation":"(EPA,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i/>
                <w:color w:val="000000"/>
                <w:sz w:val="18"/>
                <w:szCs w:val="16"/>
              </w:rPr>
              <w:fldChar w:fldCharType="separate"/>
            </w:r>
            <w:r w:rsidRPr="009D1C27">
              <w:rPr>
                <w:rFonts w:ascii="Times New Roman" w:hAnsi="Times New Roman" w:cs="Times New Roman"/>
                <w:sz w:val="18"/>
              </w:rPr>
              <w:t>(EPA, 2017)</w:t>
            </w:r>
            <w:r>
              <w:rPr>
                <w:rFonts w:ascii="Times New Roman" w:hAnsi="Times New Roman" w:cs="Times New Roman"/>
                <w:bCs/>
                <w:i/>
                <w:color w:val="000000"/>
                <w:sz w:val="18"/>
                <w:szCs w:val="16"/>
              </w:rPr>
              <w:fldChar w:fldCharType="end"/>
            </w:r>
            <w:r>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w:t>
            </w:r>
          </w:p>
        </w:tc>
      </w:tr>
      <w:tr w:rsidR="00505245" w:rsidRPr="003071D3" w14:paraId="00B42C35" w14:textId="77777777" w:rsidTr="00505245">
        <w:trPr>
          <w:trHeight w:val="144"/>
        </w:trPr>
        <w:tc>
          <w:tcPr>
            <w:tcW w:w="5000" w:type="pct"/>
            <w:noWrap/>
            <w:vAlign w:val="center"/>
          </w:tcPr>
          <w:p w14:paraId="2C7ADE70" w14:textId="77777777" w:rsidR="00505245" w:rsidRPr="00BA0423" w:rsidRDefault="00505245" w:rsidP="00505245">
            <w:pPr>
              <w:rPr>
                <w:rFonts w:ascii="Times New Roman" w:hAnsi="Times New Roman" w:cs="Times New Roman"/>
                <w:color w:val="000000"/>
                <w:sz w:val="18"/>
                <w:szCs w:val="18"/>
              </w:rPr>
            </w:pPr>
          </w:p>
        </w:tc>
      </w:tr>
      <w:tr w:rsidR="00505245" w:rsidRPr="008D65A5" w14:paraId="68ADCF33" w14:textId="77777777" w:rsidTr="00505245">
        <w:trPr>
          <w:trHeight w:val="144"/>
        </w:trPr>
        <w:tc>
          <w:tcPr>
            <w:tcW w:w="5000" w:type="pct"/>
            <w:noWrap/>
            <w:vAlign w:val="center"/>
          </w:tcPr>
          <w:p w14:paraId="1B10A59A" w14:textId="77777777" w:rsidR="00505245" w:rsidRPr="00BA0423" w:rsidRDefault="00505245" w:rsidP="00505245">
            <w:pPr>
              <w:rPr>
                <w:rFonts w:ascii="Times New Roman" w:hAnsi="Times New Roman" w:cs="Times New Roman"/>
                <w:b/>
                <w:color w:val="000000"/>
                <w:sz w:val="18"/>
                <w:szCs w:val="18"/>
              </w:rPr>
            </w:pPr>
            <w:r w:rsidRPr="00BA0423">
              <w:rPr>
                <w:rFonts w:ascii="Times New Roman" w:hAnsi="Times New Roman" w:cs="Times New Roman"/>
                <w:b/>
                <w:color w:val="000000"/>
                <w:sz w:val="18"/>
                <w:szCs w:val="18"/>
              </w:rPr>
              <w:t>Footnotes</w:t>
            </w:r>
          </w:p>
        </w:tc>
      </w:tr>
      <w:tr w:rsidR="00505245" w:rsidRPr="003071D3" w14:paraId="714D108A" w14:textId="77777777" w:rsidTr="00505245">
        <w:trPr>
          <w:trHeight w:val="163"/>
        </w:trPr>
        <w:tc>
          <w:tcPr>
            <w:tcW w:w="5000" w:type="pct"/>
            <w:noWrap/>
            <w:vAlign w:val="center"/>
          </w:tcPr>
          <w:p w14:paraId="6EF2BD17" w14:textId="77777777" w:rsidR="00505245" w:rsidRPr="00BA0423" w:rsidRDefault="00505245" w:rsidP="00505245">
            <w:pPr>
              <w:ind w:left="90" w:hanging="90"/>
              <w:rPr>
                <w:rFonts w:ascii="Times New Roman" w:hAnsi="Times New Roman" w:cs="Times New Roman"/>
                <w:color w:val="000000"/>
                <w:sz w:val="18"/>
                <w:szCs w:val="18"/>
              </w:rPr>
            </w:pPr>
            <w:r w:rsidRPr="00BA0423">
              <w:rPr>
                <w:rFonts w:ascii="Times New Roman" w:hAnsi="Times New Roman" w:cs="Times New Roman"/>
                <w:bCs/>
                <w:color w:val="000000"/>
                <w:sz w:val="18"/>
                <w:szCs w:val="18"/>
                <w:vertAlign w:val="superscript"/>
              </w:rPr>
              <w:t>1</w:t>
            </w:r>
            <w:r w:rsidRPr="00BA0423">
              <w:rPr>
                <w:rFonts w:ascii="Times New Roman" w:hAnsi="Times New Roman" w:cs="Times New Roman"/>
                <w:bCs/>
                <w:color w:val="000000"/>
                <w:sz w:val="18"/>
                <w:szCs w:val="18"/>
              </w:rPr>
              <w:t xml:space="preserve"> </w:t>
            </w:r>
            <w:r w:rsidRPr="00BA0423">
              <w:rPr>
                <w:rFonts w:ascii="Times New Roman" w:hAnsi="Times New Roman" w:cs="Times New Roman"/>
                <w:color w:val="000000"/>
                <w:sz w:val="18"/>
                <w:szCs w:val="18"/>
              </w:rPr>
              <w:t xml:space="preserve">Assumes the average firm includes </w:t>
            </w:r>
            <w:r>
              <w:rPr>
                <w:rFonts w:ascii="Times New Roman" w:hAnsi="Times New Roman" w:cs="Times New Roman"/>
                <w:color w:val="000000"/>
                <w:sz w:val="18"/>
                <w:szCs w:val="18"/>
              </w:rPr>
              <w:t>18</w:t>
            </w:r>
            <w:r w:rsidRPr="00BA0423">
              <w:rPr>
                <w:rFonts w:ascii="Times New Roman" w:hAnsi="Times New Roman" w:cs="Times New Roman"/>
                <w:color w:val="000000"/>
                <w:sz w:val="18"/>
                <w:szCs w:val="18"/>
              </w:rPr>
              <w:t xml:space="preserve"> chemicals per submission, similar to characteristics of the general response universe, as observed in CDR in chemicals per </w:t>
            </w:r>
            <w:r>
              <w:rPr>
                <w:rFonts w:ascii="Times New Roman" w:hAnsi="Times New Roman" w:cs="Times New Roman"/>
                <w:color w:val="000000"/>
                <w:sz w:val="18"/>
                <w:szCs w:val="18"/>
              </w:rPr>
              <w:t xml:space="preserve">parent company </w:t>
            </w: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ADDIN ZOTERO_ITEM CSL_CITATION {"citationID":"a7s2j98803","properties":{"formattedCitation":"(EPA,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color w:val="000000"/>
                <w:sz w:val="18"/>
                <w:szCs w:val="18"/>
              </w:rPr>
              <w:fldChar w:fldCharType="separate"/>
            </w:r>
            <w:r w:rsidRPr="009D1C27">
              <w:rPr>
                <w:rFonts w:ascii="Times New Roman" w:hAnsi="Times New Roman" w:cs="Times New Roman"/>
                <w:sz w:val="18"/>
              </w:rPr>
              <w:t>(</w:t>
            </w:r>
            <w:r>
              <w:rPr>
                <w:rFonts w:ascii="Times New Roman" w:hAnsi="Times New Roman" w:cs="Times New Roman"/>
                <w:sz w:val="18"/>
              </w:rPr>
              <w:t xml:space="preserve">see </w:t>
            </w:r>
            <w:r w:rsidRPr="009D1C27">
              <w:rPr>
                <w:rFonts w:ascii="Times New Roman" w:hAnsi="Times New Roman" w:cs="Times New Roman"/>
                <w:sz w:val="18"/>
              </w:rPr>
              <w:t>EPA, 2017)</w:t>
            </w:r>
            <w:r>
              <w:rPr>
                <w:rFonts w:ascii="Times New Roman" w:hAnsi="Times New Roman" w:cs="Times New Roman"/>
                <w:color w:val="000000"/>
                <w:sz w:val="18"/>
                <w:szCs w:val="18"/>
              </w:rPr>
              <w:fldChar w:fldCharType="end"/>
            </w:r>
            <w:r w:rsidRPr="00BA0423">
              <w:rPr>
                <w:rFonts w:ascii="Times New Roman" w:hAnsi="Times New Roman" w:cs="Times New Roman"/>
                <w:color w:val="000000"/>
                <w:sz w:val="18"/>
                <w:szCs w:val="18"/>
              </w:rPr>
              <w:t>.</w:t>
            </w:r>
          </w:p>
        </w:tc>
      </w:tr>
      <w:tr w:rsidR="00505245" w:rsidRPr="008D65A5" w14:paraId="40F9F54D" w14:textId="77777777" w:rsidTr="00505245">
        <w:trPr>
          <w:trHeight w:val="144"/>
        </w:trPr>
        <w:tc>
          <w:tcPr>
            <w:tcW w:w="5000" w:type="pct"/>
            <w:noWrap/>
            <w:vAlign w:val="center"/>
          </w:tcPr>
          <w:p w14:paraId="348081A2" w14:textId="77777777" w:rsidR="00505245" w:rsidRPr="00BA0423" w:rsidRDefault="00505245" w:rsidP="00505245">
            <w:pPr>
              <w:ind w:left="90" w:hanging="90"/>
              <w:rPr>
                <w:rFonts w:ascii="Times New Roman" w:hAnsi="Times New Roman" w:cs="Times New Roman"/>
                <w:bCs/>
                <w:color w:val="000000"/>
                <w:sz w:val="18"/>
                <w:szCs w:val="18"/>
              </w:rPr>
            </w:pPr>
            <w:r w:rsidRPr="00BA0423">
              <w:rPr>
                <w:rFonts w:ascii="Times New Roman" w:hAnsi="Times New Roman" w:cs="Times New Roman"/>
                <w:bCs/>
                <w:color w:val="000000"/>
                <w:sz w:val="18"/>
                <w:szCs w:val="18"/>
                <w:vertAlign w:val="superscript"/>
              </w:rPr>
              <w:t>2</w:t>
            </w:r>
            <w:r w:rsidRPr="00BA0423">
              <w:rPr>
                <w:rFonts w:ascii="Times New Roman" w:hAnsi="Times New Roman" w:cs="Times New Roman"/>
                <w:color w:val="000000"/>
                <w:sz w:val="18"/>
                <w:szCs w:val="18"/>
              </w:rPr>
              <w:t xml:space="preserve"> Assumes the average firm includes one chemical per submission, given the nature of the submission.</w:t>
            </w:r>
          </w:p>
        </w:tc>
      </w:tr>
      <w:tr w:rsidR="00505245" w:rsidRPr="008D65A5" w14:paraId="67A91617" w14:textId="77777777" w:rsidTr="00505245">
        <w:trPr>
          <w:trHeight w:val="144"/>
        </w:trPr>
        <w:tc>
          <w:tcPr>
            <w:tcW w:w="5000" w:type="pct"/>
            <w:noWrap/>
            <w:vAlign w:val="center"/>
          </w:tcPr>
          <w:p w14:paraId="50444F75" w14:textId="77777777" w:rsidR="00505245" w:rsidRPr="00BA0423" w:rsidRDefault="00505245" w:rsidP="00505245">
            <w:pPr>
              <w:rPr>
                <w:rFonts w:ascii="Times New Roman" w:hAnsi="Times New Roman" w:cs="Times New Roman"/>
                <w:bCs/>
                <w:color w:val="000000"/>
                <w:sz w:val="18"/>
                <w:szCs w:val="18"/>
              </w:rPr>
            </w:pPr>
            <w:r w:rsidRPr="00BA0423">
              <w:rPr>
                <w:rFonts w:ascii="Times New Roman" w:hAnsi="Times New Roman" w:cs="Times New Roman"/>
                <w:bCs/>
                <w:color w:val="000000"/>
                <w:sz w:val="18"/>
                <w:szCs w:val="18"/>
                <w:vertAlign w:val="superscript"/>
              </w:rPr>
              <w:t xml:space="preserve">3 </w:t>
            </w:r>
            <w:r w:rsidRPr="00BA0423">
              <w:rPr>
                <w:rFonts w:ascii="Times New Roman" w:hAnsi="Times New Roman" w:cs="Times New Roman"/>
                <w:color w:val="000000"/>
                <w:sz w:val="18"/>
                <w:szCs w:val="18"/>
              </w:rPr>
              <w:t>Total reflects assumption that the number of CDX registrations is 10% of the count of affected</w:t>
            </w:r>
            <w:r>
              <w:rPr>
                <w:rFonts w:ascii="Times New Roman" w:hAnsi="Times New Roman" w:cs="Times New Roman"/>
                <w:color w:val="000000"/>
                <w:sz w:val="18"/>
                <w:szCs w:val="18"/>
              </w:rPr>
              <w:t xml:space="preserve"> firms</w:t>
            </w:r>
            <w:r w:rsidRPr="00BA0423">
              <w:rPr>
                <w:rFonts w:ascii="Times New Roman" w:hAnsi="Times New Roman" w:cs="Times New Roman"/>
                <w:color w:val="000000"/>
                <w:sz w:val="18"/>
                <w:szCs w:val="18"/>
              </w:rPr>
              <w:t xml:space="preserve"> in the start-up period.</w:t>
            </w:r>
          </w:p>
        </w:tc>
      </w:tr>
    </w:tbl>
    <w:p w14:paraId="5CC16159" w14:textId="77777777" w:rsidR="00505245" w:rsidRPr="00AF1607" w:rsidRDefault="00505245" w:rsidP="00505245">
      <w:pPr>
        <w:pStyle w:val="BodyText"/>
        <w:rPr>
          <w:sz w:val="18"/>
        </w:rPr>
      </w:pPr>
    </w:p>
    <w:p w14:paraId="01C069E1" w14:textId="77777777" w:rsidR="00505245" w:rsidRDefault="00505245" w:rsidP="00505245">
      <w:pPr>
        <w:rPr>
          <w:rFonts w:ascii="Times New Roman" w:hAnsi="Times New Roman" w:cs="Times New Roman"/>
          <w:b/>
          <w:sz w:val="24"/>
          <w:szCs w:val="24"/>
        </w:rPr>
        <w:sectPr w:rsidR="00505245" w:rsidSect="0082527B">
          <w:pgSz w:w="15840" w:h="12240" w:orient="landscape"/>
          <w:pgMar w:top="1440" w:right="1440" w:bottom="1440" w:left="1440" w:header="720" w:footer="720" w:gutter="0"/>
          <w:cols w:space="720"/>
          <w:docGrid w:linePitch="299"/>
        </w:sectPr>
      </w:pPr>
    </w:p>
    <w:p w14:paraId="4DAA8859" w14:textId="77777777" w:rsidR="00505245" w:rsidRDefault="00505245" w:rsidP="00505245">
      <w:pPr>
        <w:pStyle w:val="Heading1"/>
      </w:pPr>
      <w:r>
        <w:t>6(e) Bottom Line Burden Hours and Costs</w:t>
      </w:r>
    </w:p>
    <w:p w14:paraId="223D8D3C" w14:textId="77777777" w:rsidR="00505245" w:rsidRDefault="00505245" w:rsidP="00505245">
      <w:pPr>
        <w:ind w:firstLine="720"/>
        <w:rPr>
          <w:rFonts w:ascii="Times New Roman" w:hAnsi="Times New Roman" w:cs="Times New Roman"/>
          <w:b/>
          <w:sz w:val="24"/>
          <w:szCs w:val="24"/>
        </w:rPr>
      </w:pPr>
    </w:p>
    <w:p w14:paraId="2E600B8B" w14:textId="77777777" w:rsidR="00505245"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ab/>
      </w:r>
      <w:r w:rsidRPr="002B1022">
        <w:rPr>
          <w:rFonts w:ascii="Times New Roman" w:hAnsi="Times New Roman" w:cs="Times New Roman"/>
          <w:sz w:val="24"/>
          <w:szCs w:val="24"/>
        </w:rPr>
        <w:t>The following table</w:t>
      </w:r>
      <w:r>
        <w:rPr>
          <w:rFonts w:ascii="Times New Roman" w:hAnsi="Times New Roman" w:cs="Times New Roman"/>
          <w:sz w:val="24"/>
          <w:szCs w:val="24"/>
        </w:rPr>
        <w:t>s</w:t>
      </w:r>
      <w:r w:rsidRPr="002B1022">
        <w:rPr>
          <w:rFonts w:ascii="Times New Roman" w:hAnsi="Times New Roman" w:cs="Times New Roman"/>
          <w:sz w:val="24"/>
          <w:szCs w:val="24"/>
        </w:rPr>
        <w:t xml:space="preserve"> display the annual burden and costs borne by respondents and EPA associated with </w:t>
      </w:r>
      <w:r>
        <w:rPr>
          <w:rFonts w:ascii="Times New Roman" w:hAnsi="Times New Roman" w:cs="Times New Roman"/>
          <w:sz w:val="24"/>
          <w:szCs w:val="24"/>
        </w:rPr>
        <w:t>submitting</w:t>
      </w:r>
      <w:r w:rsidRPr="002B1022">
        <w:rPr>
          <w:rFonts w:ascii="Times New Roman" w:hAnsi="Times New Roman" w:cs="Times New Roman"/>
          <w:sz w:val="24"/>
          <w:szCs w:val="24"/>
        </w:rPr>
        <w:t xml:space="preserve"> and </w:t>
      </w:r>
      <w:r>
        <w:rPr>
          <w:rFonts w:ascii="Times New Roman" w:hAnsi="Times New Roman" w:cs="Times New Roman"/>
          <w:sz w:val="24"/>
          <w:szCs w:val="24"/>
        </w:rPr>
        <w:t>processing</w:t>
      </w:r>
      <w:r w:rsidRPr="002B1022">
        <w:rPr>
          <w:rFonts w:ascii="Times New Roman" w:hAnsi="Times New Roman" w:cs="Times New Roman"/>
          <w:sz w:val="24"/>
          <w:szCs w:val="24"/>
        </w:rPr>
        <w:t xml:space="preserve"> </w:t>
      </w:r>
      <w:r>
        <w:rPr>
          <w:rFonts w:ascii="Times New Roman" w:hAnsi="Times New Roman" w:cs="Times New Roman"/>
          <w:sz w:val="24"/>
          <w:szCs w:val="24"/>
        </w:rPr>
        <w:t xml:space="preserve">NOAs </w:t>
      </w:r>
      <w:r w:rsidRPr="002B1022">
        <w:rPr>
          <w:rFonts w:ascii="Times New Roman" w:hAnsi="Times New Roman" w:cs="Times New Roman"/>
          <w:sz w:val="24"/>
          <w:szCs w:val="24"/>
        </w:rPr>
        <w:t>a</w:t>
      </w:r>
      <w:r>
        <w:rPr>
          <w:rFonts w:ascii="Times New Roman" w:hAnsi="Times New Roman" w:cs="Times New Roman"/>
          <w:sz w:val="24"/>
          <w:szCs w:val="24"/>
        </w:rPr>
        <w:t>s a</w:t>
      </w:r>
      <w:r w:rsidRPr="002B1022">
        <w:rPr>
          <w:rFonts w:ascii="Times New Roman" w:hAnsi="Times New Roman" w:cs="Times New Roman"/>
          <w:sz w:val="24"/>
          <w:szCs w:val="24"/>
        </w:rPr>
        <w:t xml:space="preserve"> result</w:t>
      </w:r>
      <w:r>
        <w:rPr>
          <w:rFonts w:ascii="Times New Roman" w:hAnsi="Times New Roman" w:cs="Times New Roman"/>
          <w:sz w:val="24"/>
          <w:szCs w:val="24"/>
        </w:rPr>
        <w:t xml:space="preserve"> of this information collection for the period of this initial ICR period.</w:t>
      </w:r>
    </w:p>
    <w:p w14:paraId="35A797AF" w14:textId="77777777" w:rsidR="00505245" w:rsidRDefault="00505245" w:rsidP="00505245">
      <w:pPr>
        <w:rPr>
          <w:rFonts w:ascii="Times New Roman" w:hAnsi="Times New Roman" w:cs="Times New Roman"/>
          <w:b/>
          <w:sz w:val="24"/>
          <w:szCs w:val="24"/>
        </w:rPr>
      </w:pPr>
    </w:p>
    <w:p w14:paraId="7972D349" w14:textId="77777777" w:rsidR="00505245" w:rsidRPr="005C0801" w:rsidRDefault="00505245" w:rsidP="00505245">
      <w:pPr>
        <w:pStyle w:val="Caption"/>
        <w:spacing w:after="0"/>
        <w:rPr>
          <w:rFonts w:ascii="Times New Roman" w:hAnsi="Times New Roman"/>
          <w:sz w:val="24"/>
          <w:szCs w:val="24"/>
        </w:rPr>
      </w:pPr>
      <w:bookmarkStart w:id="33" w:name="_Ref481675711"/>
      <w:r w:rsidRPr="005C0801">
        <w:rPr>
          <w:rFonts w:ascii="Times New Roman" w:hAnsi="Times New Roman"/>
          <w:sz w:val="24"/>
          <w:szCs w:val="24"/>
        </w:rPr>
        <w:t xml:space="preserve">Table </w:t>
      </w:r>
      <w:r w:rsidRPr="005C0801">
        <w:rPr>
          <w:rFonts w:ascii="Times New Roman" w:hAnsi="Times New Roman"/>
          <w:sz w:val="24"/>
          <w:szCs w:val="24"/>
        </w:rPr>
        <w:fldChar w:fldCharType="begin"/>
      </w:r>
      <w:r w:rsidRPr="005C0801">
        <w:rPr>
          <w:rFonts w:ascii="Times New Roman" w:hAnsi="Times New Roman"/>
          <w:sz w:val="24"/>
          <w:szCs w:val="24"/>
        </w:rPr>
        <w:instrText xml:space="preserve"> SEQ Table \* ARABIC </w:instrText>
      </w:r>
      <w:r w:rsidRPr="005C0801">
        <w:rPr>
          <w:rFonts w:ascii="Times New Roman" w:hAnsi="Times New Roman"/>
          <w:sz w:val="24"/>
          <w:szCs w:val="24"/>
        </w:rPr>
        <w:fldChar w:fldCharType="separate"/>
      </w:r>
      <w:r>
        <w:rPr>
          <w:rFonts w:ascii="Times New Roman" w:hAnsi="Times New Roman"/>
          <w:noProof/>
          <w:sz w:val="24"/>
          <w:szCs w:val="24"/>
        </w:rPr>
        <w:t>9</w:t>
      </w:r>
      <w:r w:rsidRPr="005C0801">
        <w:rPr>
          <w:rFonts w:ascii="Times New Roman" w:hAnsi="Times New Roman"/>
          <w:sz w:val="24"/>
          <w:szCs w:val="24"/>
        </w:rPr>
        <w:fldChar w:fldCharType="end"/>
      </w:r>
      <w:bookmarkEnd w:id="33"/>
      <w:r w:rsidRPr="005C0801">
        <w:rPr>
          <w:rFonts w:ascii="Times New Roman" w:hAnsi="Times New Roman"/>
          <w:sz w:val="24"/>
          <w:szCs w:val="24"/>
        </w:rPr>
        <w:t>. Annual Burden of the TSCA Inve</w:t>
      </w:r>
      <w:r w:rsidRPr="00C7141A">
        <w:rPr>
          <w:rFonts w:ascii="Times New Roman" w:hAnsi="Times New Roman"/>
          <w:sz w:val="24"/>
          <w:szCs w:val="24"/>
        </w:rPr>
        <w:t>ntory Notification Requirements</w:t>
      </w:r>
      <w:r>
        <w:rPr>
          <w:rFonts w:ascii="Times New Roman" w:hAnsi="Times New Roman"/>
          <w:sz w:val="24"/>
          <w:szCs w:val="24"/>
        </w:rPr>
        <w:t xml:space="preserve"> – I</w:t>
      </w:r>
      <w:r w:rsidRPr="005C0801">
        <w:rPr>
          <w:rFonts w:ascii="Times New Roman" w:hAnsi="Times New Roman"/>
          <w:sz w:val="24"/>
          <w:szCs w:val="24"/>
        </w:rPr>
        <w:t>nitial ICR</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15"/>
        <w:gridCol w:w="1350"/>
        <w:gridCol w:w="1350"/>
        <w:gridCol w:w="1260"/>
        <w:gridCol w:w="2250"/>
      </w:tblGrid>
      <w:tr w:rsidR="00505245" w14:paraId="4F234A45" w14:textId="77777777" w:rsidTr="00505245">
        <w:tc>
          <w:tcPr>
            <w:tcW w:w="3315" w:type="dxa"/>
            <w:vMerge w:val="restart"/>
            <w:shd w:val="clear" w:color="auto" w:fill="BFBFBF" w:themeFill="background1" w:themeFillShade="BF"/>
            <w:vAlign w:val="bottom"/>
          </w:tcPr>
          <w:p w14:paraId="452098FF" w14:textId="77777777" w:rsidR="00505245" w:rsidRPr="005C0801" w:rsidRDefault="00505245" w:rsidP="00505245">
            <w:pPr>
              <w:spacing w:beforeLines="20" w:before="48" w:afterLines="20" w:after="48"/>
              <w:jc w:val="center"/>
              <w:rPr>
                <w:b/>
                <w:sz w:val="22"/>
                <w:szCs w:val="22"/>
              </w:rPr>
            </w:pPr>
            <w:r w:rsidRPr="005C0801">
              <w:rPr>
                <w:b/>
                <w:sz w:val="22"/>
                <w:szCs w:val="22"/>
              </w:rPr>
              <w:t>Burden Category</w:t>
            </w:r>
          </w:p>
        </w:tc>
        <w:tc>
          <w:tcPr>
            <w:tcW w:w="6210" w:type="dxa"/>
            <w:gridSpan w:val="4"/>
            <w:shd w:val="clear" w:color="auto" w:fill="BFBFBF" w:themeFill="background1" w:themeFillShade="BF"/>
          </w:tcPr>
          <w:p w14:paraId="0E9A43AF" w14:textId="77777777" w:rsidR="00505245" w:rsidRPr="005C0801" w:rsidRDefault="00505245" w:rsidP="00505245">
            <w:pPr>
              <w:spacing w:beforeLines="20" w:before="48" w:afterLines="20" w:after="48"/>
              <w:jc w:val="center"/>
              <w:rPr>
                <w:b/>
                <w:sz w:val="22"/>
                <w:szCs w:val="22"/>
              </w:rPr>
            </w:pPr>
            <w:r w:rsidRPr="005C0801">
              <w:rPr>
                <w:b/>
                <w:sz w:val="22"/>
                <w:szCs w:val="22"/>
              </w:rPr>
              <w:t>Burden Hours</w:t>
            </w:r>
          </w:p>
        </w:tc>
      </w:tr>
      <w:tr w:rsidR="00505245" w14:paraId="2B69D617" w14:textId="77777777" w:rsidTr="00505245">
        <w:tc>
          <w:tcPr>
            <w:tcW w:w="3315" w:type="dxa"/>
            <w:vMerge/>
            <w:shd w:val="clear" w:color="auto" w:fill="A6A6A6" w:themeFill="background1" w:themeFillShade="A6"/>
            <w:vAlign w:val="bottom"/>
          </w:tcPr>
          <w:p w14:paraId="17E50DAA" w14:textId="77777777" w:rsidR="00505245" w:rsidRPr="005C0801" w:rsidRDefault="00505245" w:rsidP="00505245">
            <w:pPr>
              <w:spacing w:beforeLines="20" w:before="48" w:afterLines="20" w:after="48"/>
              <w:jc w:val="center"/>
              <w:rPr>
                <w:b/>
                <w:sz w:val="22"/>
                <w:szCs w:val="22"/>
              </w:rPr>
            </w:pPr>
          </w:p>
        </w:tc>
        <w:tc>
          <w:tcPr>
            <w:tcW w:w="1350" w:type="dxa"/>
            <w:shd w:val="clear" w:color="auto" w:fill="BFBFBF" w:themeFill="background1" w:themeFillShade="BF"/>
            <w:vAlign w:val="bottom"/>
          </w:tcPr>
          <w:p w14:paraId="4949E901" w14:textId="77777777" w:rsidR="00505245" w:rsidRPr="005C0801" w:rsidRDefault="00505245" w:rsidP="00505245">
            <w:pPr>
              <w:spacing w:beforeLines="20" w:before="48" w:afterLines="20" w:after="48"/>
              <w:jc w:val="center"/>
              <w:rPr>
                <w:b/>
                <w:sz w:val="22"/>
                <w:szCs w:val="22"/>
              </w:rPr>
            </w:pPr>
            <w:r w:rsidRPr="005C0801">
              <w:rPr>
                <w:b/>
                <w:sz w:val="22"/>
                <w:szCs w:val="22"/>
              </w:rPr>
              <w:t>Year 1</w:t>
            </w:r>
          </w:p>
        </w:tc>
        <w:tc>
          <w:tcPr>
            <w:tcW w:w="1350" w:type="dxa"/>
            <w:shd w:val="clear" w:color="auto" w:fill="BFBFBF" w:themeFill="background1" w:themeFillShade="BF"/>
            <w:vAlign w:val="bottom"/>
          </w:tcPr>
          <w:p w14:paraId="337CB8AF" w14:textId="77777777" w:rsidR="00505245" w:rsidRPr="005C0801" w:rsidRDefault="00505245" w:rsidP="00505245">
            <w:pPr>
              <w:spacing w:beforeLines="20" w:before="48" w:afterLines="20" w:after="48"/>
              <w:jc w:val="center"/>
              <w:rPr>
                <w:b/>
                <w:sz w:val="22"/>
                <w:szCs w:val="22"/>
              </w:rPr>
            </w:pPr>
            <w:r w:rsidRPr="005C0801">
              <w:rPr>
                <w:b/>
                <w:sz w:val="22"/>
                <w:szCs w:val="22"/>
              </w:rPr>
              <w:t>Year 2</w:t>
            </w:r>
          </w:p>
        </w:tc>
        <w:tc>
          <w:tcPr>
            <w:tcW w:w="1260" w:type="dxa"/>
            <w:shd w:val="clear" w:color="auto" w:fill="BFBFBF" w:themeFill="background1" w:themeFillShade="BF"/>
            <w:vAlign w:val="bottom"/>
          </w:tcPr>
          <w:p w14:paraId="52C5EBF0" w14:textId="77777777" w:rsidR="00505245" w:rsidRPr="005C0801" w:rsidRDefault="00505245" w:rsidP="00505245">
            <w:pPr>
              <w:spacing w:beforeLines="20" w:before="48" w:afterLines="20" w:after="48"/>
              <w:jc w:val="center"/>
              <w:rPr>
                <w:b/>
                <w:sz w:val="22"/>
                <w:szCs w:val="22"/>
              </w:rPr>
            </w:pPr>
            <w:r w:rsidRPr="005C0801">
              <w:rPr>
                <w:b/>
                <w:sz w:val="22"/>
                <w:szCs w:val="22"/>
              </w:rPr>
              <w:t>Year 3</w:t>
            </w:r>
          </w:p>
        </w:tc>
        <w:tc>
          <w:tcPr>
            <w:tcW w:w="2250" w:type="dxa"/>
            <w:shd w:val="clear" w:color="auto" w:fill="BFBFBF" w:themeFill="background1" w:themeFillShade="BF"/>
            <w:vAlign w:val="bottom"/>
          </w:tcPr>
          <w:p w14:paraId="0DF93247" w14:textId="77777777" w:rsidR="00505245" w:rsidRPr="005C0801" w:rsidRDefault="00505245" w:rsidP="00505245">
            <w:pPr>
              <w:spacing w:beforeLines="20" w:before="48" w:afterLines="20" w:after="48"/>
              <w:jc w:val="center"/>
              <w:rPr>
                <w:b/>
                <w:sz w:val="22"/>
                <w:szCs w:val="22"/>
              </w:rPr>
            </w:pPr>
            <w:r w:rsidRPr="005C0801">
              <w:rPr>
                <w:b/>
                <w:sz w:val="22"/>
                <w:szCs w:val="22"/>
              </w:rPr>
              <w:t xml:space="preserve">Annual Average over </w:t>
            </w:r>
          </w:p>
          <w:p w14:paraId="2C0A8A56" w14:textId="77777777" w:rsidR="00505245" w:rsidRPr="005C0801" w:rsidRDefault="00505245" w:rsidP="00505245">
            <w:pPr>
              <w:spacing w:beforeLines="20" w:before="48" w:afterLines="20" w:after="48"/>
              <w:jc w:val="center"/>
              <w:rPr>
                <w:b/>
                <w:sz w:val="22"/>
                <w:szCs w:val="22"/>
              </w:rPr>
            </w:pPr>
            <w:r w:rsidRPr="005C0801">
              <w:rPr>
                <w:b/>
                <w:sz w:val="22"/>
                <w:szCs w:val="22"/>
              </w:rPr>
              <w:t>the ICR Period</w:t>
            </w:r>
          </w:p>
        </w:tc>
      </w:tr>
      <w:tr w:rsidR="00505245" w14:paraId="5E99CEE9" w14:textId="77777777" w:rsidTr="00505245">
        <w:tc>
          <w:tcPr>
            <w:tcW w:w="3315" w:type="dxa"/>
            <w:tcBorders>
              <w:right w:val="nil"/>
            </w:tcBorders>
          </w:tcPr>
          <w:p w14:paraId="164709D3" w14:textId="77777777" w:rsidR="00505245" w:rsidRPr="005C0801" w:rsidRDefault="00505245" w:rsidP="00505245">
            <w:pPr>
              <w:spacing w:beforeLines="20" w:before="48" w:afterLines="20" w:after="48"/>
              <w:rPr>
                <w:sz w:val="22"/>
                <w:szCs w:val="22"/>
              </w:rPr>
            </w:pPr>
            <w:r w:rsidRPr="005C0801">
              <w:rPr>
                <w:sz w:val="22"/>
                <w:szCs w:val="22"/>
              </w:rPr>
              <w:t>Industry Burden</w:t>
            </w:r>
          </w:p>
        </w:tc>
        <w:tc>
          <w:tcPr>
            <w:tcW w:w="1350" w:type="dxa"/>
            <w:tcBorders>
              <w:left w:val="nil"/>
              <w:right w:val="nil"/>
            </w:tcBorders>
          </w:tcPr>
          <w:p w14:paraId="3E50927C" w14:textId="77777777" w:rsidR="00505245" w:rsidRPr="005C0801" w:rsidRDefault="00505245" w:rsidP="00505245">
            <w:pPr>
              <w:spacing w:beforeLines="20" w:before="48" w:afterLines="20" w:after="48"/>
              <w:jc w:val="right"/>
              <w:rPr>
                <w:bCs/>
                <w:color w:val="000000"/>
                <w:sz w:val="22"/>
                <w:szCs w:val="22"/>
              </w:rPr>
            </w:pPr>
          </w:p>
        </w:tc>
        <w:tc>
          <w:tcPr>
            <w:tcW w:w="1350" w:type="dxa"/>
            <w:tcBorders>
              <w:left w:val="nil"/>
              <w:right w:val="nil"/>
            </w:tcBorders>
          </w:tcPr>
          <w:p w14:paraId="341066AE" w14:textId="77777777" w:rsidR="00505245" w:rsidRPr="005C0801" w:rsidRDefault="00505245" w:rsidP="00505245">
            <w:pPr>
              <w:spacing w:beforeLines="20" w:before="48" w:afterLines="20" w:after="48"/>
              <w:jc w:val="right"/>
              <w:rPr>
                <w:bCs/>
                <w:color w:val="000000"/>
                <w:sz w:val="22"/>
                <w:szCs w:val="22"/>
              </w:rPr>
            </w:pPr>
          </w:p>
        </w:tc>
        <w:tc>
          <w:tcPr>
            <w:tcW w:w="1260" w:type="dxa"/>
            <w:tcBorders>
              <w:left w:val="nil"/>
              <w:right w:val="nil"/>
            </w:tcBorders>
          </w:tcPr>
          <w:p w14:paraId="743FED8F" w14:textId="77777777" w:rsidR="00505245" w:rsidRPr="005C0801" w:rsidRDefault="00505245" w:rsidP="00505245">
            <w:pPr>
              <w:spacing w:beforeLines="20" w:before="48" w:afterLines="20" w:after="48"/>
              <w:jc w:val="right"/>
              <w:rPr>
                <w:bCs/>
                <w:color w:val="000000"/>
                <w:sz w:val="22"/>
                <w:szCs w:val="22"/>
              </w:rPr>
            </w:pPr>
          </w:p>
        </w:tc>
        <w:tc>
          <w:tcPr>
            <w:tcW w:w="2250" w:type="dxa"/>
            <w:tcBorders>
              <w:left w:val="nil"/>
            </w:tcBorders>
          </w:tcPr>
          <w:p w14:paraId="53898AAC" w14:textId="77777777" w:rsidR="00505245" w:rsidRPr="005C0801" w:rsidRDefault="00505245" w:rsidP="00505245">
            <w:pPr>
              <w:spacing w:beforeLines="20" w:before="48" w:afterLines="20" w:after="48"/>
              <w:jc w:val="right"/>
              <w:rPr>
                <w:sz w:val="22"/>
                <w:szCs w:val="22"/>
              </w:rPr>
            </w:pPr>
          </w:p>
        </w:tc>
      </w:tr>
      <w:tr w:rsidR="00505245" w14:paraId="35778C4D" w14:textId="77777777" w:rsidTr="00505245">
        <w:tc>
          <w:tcPr>
            <w:tcW w:w="3315" w:type="dxa"/>
          </w:tcPr>
          <w:p w14:paraId="4DA3A619" w14:textId="77777777" w:rsidR="00505245" w:rsidRPr="005C0801" w:rsidRDefault="00505245" w:rsidP="00505245">
            <w:pPr>
              <w:spacing w:beforeLines="20" w:before="48" w:afterLines="20" w:after="48"/>
              <w:rPr>
                <w:sz w:val="22"/>
                <w:szCs w:val="22"/>
              </w:rPr>
            </w:pPr>
            <w:r w:rsidRPr="005C0801">
              <w:rPr>
                <w:sz w:val="22"/>
                <w:szCs w:val="22"/>
              </w:rPr>
              <w:t xml:space="preserve">        CDX Registration</w:t>
            </w:r>
          </w:p>
        </w:tc>
        <w:tc>
          <w:tcPr>
            <w:tcW w:w="1350" w:type="dxa"/>
          </w:tcPr>
          <w:p w14:paraId="1A27E4AD" w14:textId="77777777" w:rsidR="00505245" w:rsidRPr="005C0801" w:rsidRDefault="00505245" w:rsidP="00505245">
            <w:pPr>
              <w:spacing w:beforeLines="20" w:before="48" w:afterLines="20" w:after="48"/>
              <w:jc w:val="right"/>
              <w:rPr>
                <w:bCs/>
                <w:color w:val="000000"/>
                <w:sz w:val="22"/>
                <w:szCs w:val="22"/>
              </w:rPr>
            </w:pPr>
            <w:r>
              <w:rPr>
                <w:bCs/>
                <w:color w:val="000000"/>
                <w:sz w:val="22"/>
                <w:szCs w:val="22"/>
              </w:rPr>
              <w:t>90</w:t>
            </w:r>
          </w:p>
        </w:tc>
        <w:tc>
          <w:tcPr>
            <w:tcW w:w="1350" w:type="dxa"/>
          </w:tcPr>
          <w:p w14:paraId="077C814A"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0</w:t>
            </w:r>
          </w:p>
        </w:tc>
        <w:tc>
          <w:tcPr>
            <w:tcW w:w="1260" w:type="dxa"/>
          </w:tcPr>
          <w:p w14:paraId="4E78AF73"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0</w:t>
            </w:r>
          </w:p>
        </w:tc>
        <w:tc>
          <w:tcPr>
            <w:tcW w:w="2250" w:type="dxa"/>
          </w:tcPr>
          <w:p w14:paraId="06EFB821" w14:textId="77777777" w:rsidR="00505245" w:rsidRPr="005C0801" w:rsidRDefault="00505245" w:rsidP="00505245">
            <w:pPr>
              <w:spacing w:beforeLines="20" w:before="48" w:afterLines="20" w:after="48"/>
              <w:jc w:val="right"/>
              <w:rPr>
                <w:sz w:val="22"/>
                <w:szCs w:val="22"/>
              </w:rPr>
            </w:pPr>
            <w:r w:rsidRPr="005C0801">
              <w:rPr>
                <w:sz w:val="22"/>
                <w:szCs w:val="22"/>
              </w:rPr>
              <w:t>30</w:t>
            </w:r>
          </w:p>
        </w:tc>
      </w:tr>
      <w:tr w:rsidR="00505245" w14:paraId="7514EFF0" w14:textId="77777777" w:rsidTr="00505245">
        <w:tc>
          <w:tcPr>
            <w:tcW w:w="3315" w:type="dxa"/>
          </w:tcPr>
          <w:p w14:paraId="464E364C" w14:textId="77777777" w:rsidR="00505245" w:rsidRDefault="00505245" w:rsidP="00505245">
            <w:pPr>
              <w:spacing w:beforeLines="20" w:before="48" w:afterLines="20" w:after="48"/>
              <w:rPr>
                <w:sz w:val="22"/>
                <w:szCs w:val="22"/>
              </w:rPr>
            </w:pPr>
            <w:r w:rsidRPr="005C0801">
              <w:rPr>
                <w:sz w:val="22"/>
                <w:szCs w:val="22"/>
              </w:rPr>
              <w:t xml:space="preserve">        NOA Submissions</w:t>
            </w:r>
            <w:r>
              <w:rPr>
                <w:sz w:val="22"/>
                <w:szCs w:val="22"/>
              </w:rPr>
              <w:t xml:space="preserve"> </w:t>
            </w:r>
          </w:p>
          <w:p w14:paraId="4185D0A9" w14:textId="77777777" w:rsidR="00505245" w:rsidRPr="005C0801" w:rsidRDefault="00505245" w:rsidP="00505245">
            <w:pPr>
              <w:spacing w:beforeLines="20" w:before="48" w:afterLines="20" w:after="48"/>
              <w:rPr>
                <w:sz w:val="22"/>
                <w:szCs w:val="22"/>
              </w:rPr>
            </w:pPr>
            <w:r>
              <w:rPr>
                <w:sz w:val="22"/>
                <w:szCs w:val="22"/>
              </w:rPr>
              <w:t>(includes respondents undergoing only rule familiarization in Year 1)</w:t>
            </w:r>
          </w:p>
        </w:tc>
        <w:tc>
          <w:tcPr>
            <w:tcW w:w="1350" w:type="dxa"/>
            <w:vAlign w:val="center"/>
          </w:tcPr>
          <w:p w14:paraId="45A2AF12"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1,174,543</w:t>
            </w:r>
          </w:p>
        </w:tc>
        <w:tc>
          <w:tcPr>
            <w:tcW w:w="1350" w:type="dxa"/>
            <w:vAlign w:val="center"/>
          </w:tcPr>
          <w:p w14:paraId="0D2330EA"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2</w:t>
            </w:r>
            <w:r>
              <w:rPr>
                <w:bCs/>
                <w:color w:val="000000"/>
                <w:sz w:val="22"/>
                <w:szCs w:val="22"/>
              </w:rPr>
              <w:t>22</w:t>
            </w:r>
          </w:p>
        </w:tc>
        <w:tc>
          <w:tcPr>
            <w:tcW w:w="1260" w:type="dxa"/>
            <w:vAlign w:val="center"/>
          </w:tcPr>
          <w:p w14:paraId="1A183FA7"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222</w:t>
            </w:r>
          </w:p>
        </w:tc>
        <w:tc>
          <w:tcPr>
            <w:tcW w:w="2250" w:type="dxa"/>
            <w:vAlign w:val="center"/>
          </w:tcPr>
          <w:p w14:paraId="2F4E9773" w14:textId="77777777" w:rsidR="00505245" w:rsidRPr="005C0801" w:rsidRDefault="00505245" w:rsidP="00505245">
            <w:pPr>
              <w:spacing w:beforeLines="20" w:before="48" w:afterLines="20" w:after="48"/>
              <w:jc w:val="right"/>
              <w:rPr>
                <w:sz w:val="22"/>
                <w:szCs w:val="22"/>
              </w:rPr>
            </w:pPr>
            <w:r w:rsidRPr="005C0801">
              <w:rPr>
                <w:sz w:val="22"/>
                <w:szCs w:val="22"/>
              </w:rPr>
              <w:t>391,662</w:t>
            </w:r>
          </w:p>
        </w:tc>
      </w:tr>
      <w:tr w:rsidR="00505245" w14:paraId="3B5AFDA8" w14:textId="77777777" w:rsidTr="00505245">
        <w:tc>
          <w:tcPr>
            <w:tcW w:w="3315" w:type="dxa"/>
          </w:tcPr>
          <w:p w14:paraId="3F45D03C" w14:textId="77777777" w:rsidR="00505245" w:rsidRPr="005C0801" w:rsidRDefault="00505245" w:rsidP="00505245">
            <w:pPr>
              <w:spacing w:beforeLines="20" w:before="48" w:afterLines="20" w:after="48"/>
              <w:rPr>
                <w:sz w:val="22"/>
                <w:szCs w:val="22"/>
              </w:rPr>
            </w:pPr>
            <w:r w:rsidRPr="005C0801">
              <w:rPr>
                <w:sz w:val="22"/>
                <w:szCs w:val="22"/>
              </w:rPr>
              <w:t xml:space="preserve">        Recordkeeping</w:t>
            </w:r>
          </w:p>
        </w:tc>
        <w:tc>
          <w:tcPr>
            <w:tcW w:w="1350" w:type="dxa"/>
          </w:tcPr>
          <w:p w14:paraId="745265FC"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212</w:t>
            </w:r>
          </w:p>
        </w:tc>
        <w:tc>
          <w:tcPr>
            <w:tcW w:w="1350" w:type="dxa"/>
          </w:tcPr>
          <w:p w14:paraId="181F6CBC"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3</w:t>
            </w:r>
          </w:p>
        </w:tc>
        <w:tc>
          <w:tcPr>
            <w:tcW w:w="1260" w:type="dxa"/>
          </w:tcPr>
          <w:p w14:paraId="089B2943" w14:textId="77777777" w:rsidR="00505245" w:rsidRPr="005C0801" w:rsidRDefault="00505245" w:rsidP="00505245">
            <w:pPr>
              <w:spacing w:beforeLines="20" w:before="48" w:afterLines="20" w:after="48"/>
              <w:jc w:val="right"/>
              <w:rPr>
                <w:bCs/>
                <w:color w:val="000000"/>
                <w:sz w:val="22"/>
                <w:szCs w:val="22"/>
              </w:rPr>
            </w:pPr>
            <w:r w:rsidRPr="005C0801">
              <w:rPr>
                <w:bCs/>
                <w:color w:val="000000"/>
                <w:sz w:val="22"/>
                <w:szCs w:val="22"/>
              </w:rPr>
              <w:t>3</w:t>
            </w:r>
          </w:p>
        </w:tc>
        <w:tc>
          <w:tcPr>
            <w:tcW w:w="2250" w:type="dxa"/>
          </w:tcPr>
          <w:p w14:paraId="438AB553" w14:textId="77777777" w:rsidR="00505245" w:rsidRPr="005C0801" w:rsidRDefault="00505245" w:rsidP="00505245">
            <w:pPr>
              <w:spacing w:beforeLines="20" w:before="48" w:afterLines="20" w:after="48"/>
              <w:jc w:val="right"/>
              <w:rPr>
                <w:sz w:val="22"/>
                <w:szCs w:val="22"/>
              </w:rPr>
            </w:pPr>
            <w:r w:rsidRPr="005C0801">
              <w:rPr>
                <w:sz w:val="22"/>
                <w:szCs w:val="22"/>
              </w:rPr>
              <w:t>73</w:t>
            </w:r>
          </w:p>
        </w:tc>
      </w:tr>
      <w:tr w:rsidR="00505245" w14:paraId="7A2DDF8E" w14:textId="77777777" w:rsidTr="00505245">
        <w:tc>
          <w:tcPr>
            <w:tcW w:w="3315" w:type="dxa"/>
          </w:tcPr>
          <w:p w14:paraId="2CC1DAF7" w14:textId="77777777" w:rsidR="00505245" w:rsidRPr="005C0801" w:rsidRDefault="00505245" w:rsidP="00505245">
            <w:pPr>
              <w:spacing w:beforeLines="20" w:before="48" w:afterLines="20" w:after="48"/>
              <w:rPr>
                <w:b/>
                <w:sz w:val="22"/>
                <w:szCs w:val="22"/>
              </w:rPr>
            </w:pPr>
            <w:r w:rsidRPr="005C0801">
              <w:rPr>
                <w:b/>
                <w:sz w:val="22"/>
                <w:szCs w:val="22"/>
              </w:rPr>
              <w:t>Industry Burden, Total</w:t>
            </w:r>
          </w:p>
        </w:tc>
        <w:tc>
          <w:tcPr>
            <w:tcW w:w="1350" w:type="dxa"/>
          </w:tcPr>
          <w:p w14:paraId="23FA13C4" w14:textId="77777777" w:rsidR="00505245" w:rsidRPr="005C0801" w:rsidRDefault="00505245" w:rsidP="00505245">
            <w:pPr>
              <w:spacing w:beforeLines="20" w:before="48" w:afterLines="20" w:after="48"/>
              <w:jc w:val="right"/>
              <w:rPr>
                <w:b/>
                <w:sz w:val="22"/>
                <w:szCs w:val="22"/>
              </w:rPr>
            </w:pPr>
            <w:r w:rsidRPr="005C0801">
              <w:rPr>
                <w:b/>
                <w:bCs/>
                <w:color w:val="000000"/>
                <w:sz w:val="22"/>
                <w:szCs w:val="22"/>
              </w:rPr>
              <w:t>1,174,845</w:t>
            </w:r>
          </w:p>
        </w:tc>
        <w:tc>
          <w:tcPr>
            <w:tcW w:w="1350" w:type="dxa"/>
          </w:tcPr>
          <w:p w14:paraId="4BD51E78" w14:textId="77777777" w:rsidR="00505245" w:rsidRPr="005C0801" w:rsidRDefault="00505245" w:rsidP="00505245">
            <w:pPr>
              <w:spacing w:beforeLines="20" w:before="48" w:afterLines="20" w:after="48"/>
              <w:jc w:val="right"/>
              <w:rPr>
                <w:b/>
                <w:sz w:val="22"/>
                <w:szCs w:val="22"/>
              </w:rPr>
            </w:pPr>
            <w:r w:rsidRPr="005C0801">
              <w:rPr>
                <w:b/>
                <w:bCs/>
                <w:color w:val="000000"/>
                <w:sz w:val="22"/>
                <w:szCs w:val="22"/>
              </w:rPr>
              <w:t>2</w:t>
            </w:r>
            <w:r>
              <w:rPr>
                <w:b/>
                <w:bCs/>
                <w:color w:val="000000"/>
                <w:sz w:val="22"/>
                <w:szCs w:val="22"/>
              </w:rPr>
              <w:t>25</w:t>
            </w:r>
          </w:p>
        </w:tc>
        <w:tc>
          <w:tcPr>
            <w:tcW w:w="1260" w:type="dxa"/>
          </w:tcPr>
          <w:p w14:paraId="49FEBA62" w14:textId="77777777" w:rsidR="00505245" w:rsidRPr="005C0801" w:rsidRDefault="00505245" w:rsidP="00505245">
            <w:pPr>
              <w:spacing w:beforeLines="20" w:before="48" w:afterLines="20" w:after="48"/>
              <w:jc w:val="right"/>
              <w:rPr>
                <w:b/>
                <w:sz w:val="22"/>
                <w:szCs w:val="22"/>
              </w:rPr>
            </w:pPr>
            <w:r w:rsidRPr="005C0801">
              <w:rPr>
                <w:b/>
                <w:bCs/>
                <w:color w:val="000000"/>
                <w:sz w:val="22"/>
                <w:szCs w:val="22"/>
              </w:rPr>
              <w:t>2</w:t>
            </w:r>
            <w:r>
              <w:rPr>
                <w:b/>
                <w:bCs/>
                <w:color w:val="000000"/>
                <w:sz w:val="22"/>
                <w:szCs w:val="22"/>
              </w:rPr>
              <w:t>25</w:t>
            </w:r>
          </w:p>
        </w:tc>
        <w:tc>
          <w:tcPr>
            <w:tcW w:w="2250" w:type="dxa"/>
          </w:tcPr>
          <w:p w14:paraId="4C4124CE" w14:textId="77777777" w:rsidR="00505245" w:rsidRPr="005C0801" w:rsidRDefault="00505245" w:rsidP="00505245">
            <w:pPr>
              <w:spacing w:beforeLines="20" w:before="48" w:afterLines="20" w:after="48"/>
              <w:jc w:val="right"/>
              <w:rPr>
                <w:b/>
                <w:sz w:val="22"/>
                <w:szCs w:val="22"/>
              </w:rPr>
            </w:pPr>
            <w:r w:rsidRPr="005C0801">
              <w:rPr>
                <w:b/>
                <w:sz w:val="22"/>
                <w:szCs w:val="22"/>
              </w:rPr>
              <w:t>391,765</w:t>
            </w:r>
          </w:p>
        </w:tc>
      </w:tr>
      <w:tr w:rsidR="00505245" w14:paraId="38286ACD" w14:textId="77777777" w:rsidTr="00505245">
        <w:tc>
          <w:tcPr>
            <w:tcW w:w="3315" w:type="dxa"/>
          </w:tcPr>
          <w:p w14:paraId="4CE639EE" w14:textId="77777777" w:rsidR="00505245" w:rsidRPr="005C0801" w:rsidRDefault="00505245" w:rsidP="00505245">
            <w:pPr>
              <w:spacing w:beforeLines="20" w:before="48" w:afterLines="20" w:after="48"/>
              <w:rPr>
                <w:b/>
                <w:sz w:val="22"/>
                <w:szCs w:val="22"/>
              </w:rPr>
            </w:pPr>
            <w:r w:rsidRPr="005C0801">
              <w:rPr>
                <w:b/>
                <w:sz w:val="22"/>
                <w:szCs w:val="22"/>
              </w:rPr>
              <w:t>Agency Burden, Total</w:t>
            </w:r>
          </w:p>
        </w:tc>
        <w:tc>
          <w:tcPr>
            <w:tcW w:w="1350" w:type="dxa"/>
          </w:tcPr>
          <w:p w14:paraId="3749364E" w14:textId="77777777" w:rsidR="00505245" w:rsidRPr="005C0801" w:rsidRDefault="00505245" w:rsidP="00505245">
            <w:pPr>
              <w:spacing w:beforeLines="20" w:before="48" w:afterLines="20" w:after="48"/>
              <w:jc w:val="right"/>
              <w:rPr>
                <w:b/>
                <w:sz w:val="22"/>
                <w:szCs w:val="22"/>
              </w:rPr>
            </w:pPr>
            <w:r w:rsidRPr="005C0801">
              <w:rPr>
                <w:b/>
                <w:bCs/>
                <w:color w:val="000000"/>
                <w:sz w:val="22"/>
                <w:szCs w:val="22"/>
              </w:rPr>
              <w:t>41,683</w:t>
            </w:r>
          </w:p>
        </w:tc>
        <w:tc>
          <w:tcPr>
            <w:tcW w:w="1350" w:type="dxa"/>
          </w:tcPr>
          <w:p w14:paraId="0EB515D2" w14:textId="77777777" w:rsidR="00505245" w:rsidRPr="005C0801" w:rsidRDefault="00505245" w:rsidP="00505245">
            <w:pPr>
              <w:spacing w:beforeLines="20" w:before="48" w:afterLines="20" w:after="48"/>
              <w:jc w:val="right"/>
              <w:rPr>
                <w:b/>
                <w:sz w:val="22"/>
                <w:szCs w:val="22"/>
              </w:rPr>
            </w:pPr>
            <w:r w:rsidRPr="005C0801">
              <w:rPr>
                <w:b/>
                <w:bCs/>
                <w:color w:val="000000"/>
                <w:sz w:val="22"/>
                <w:szCs w:val="22"/>
              </w:rPr>
              <w:t>2,476</w:t>
            </w:r>
          </w:p>
        </w:tc>
        <w:tc>
          <w:tcPr>
            <w:tcW w:w="1260" w:type="dxa"/>
          </w:tcPr>
          <w:p w14:paraId="5412D7B4" w14:textId="77777777" w:rsidR="00505245" w:rsidRPr="005C0801" w:rsidRDefault="00505245" w:rsidP="00505245">
            <w:pPr>
              <w:spacing w:beforeLines="20" w:before="48" w:afterLines="20" w:after="48"/>
              <w:jc w:val="right"/>
              <w:rPr>
                <w:b/>
                <w:sz w:val="22"/>
                <w:szCs w:val="22"/>
              </w:rPr>
            </w:pPr>
            <w:r w:rsidRPr="005C0801">
              <w:rPr>
                <w:b/>
                <w:bCs/>
                <w:color w:val="000000"/>
                <w:sz w:val="22"/>
                <w:szCs w:val="22"/>
              </w:rPr>
              <w:t>2,476</w:t>
            </w:r>
          </w:p>
        </w:tc>
        <w:tc>
          <w:tcPr>
            <w:tcW w:w="2250" w:type="dxa"/>
          </w:tcPr>
          <w:p w14:paraId="71E9F9FE" w14:textId="77777777" w:rsidR="00505245" w:rsidRPr="005C0801" w:rsidRDefault="00505245" w:rsidP="00505245">
            <w:pPr>
              <w:spacing w:beforeLines="20" w:before="48" w:afterLines="20" w:after="48"/>
              <w:jc w:val="right"/>
              <w:rPr>
                <w:b/>
                <w:sz w:val="22"/>
                <w:szCs w:val="22"/>
              </w:rPr>
            </w:pPr>
            <w:r w:rsidRPr="005C0801">
              <w:rPr>
                <w:b/>
                <w:sz w:val="22"/>
                <w:szCs w:val="22"/>
              </w:rPr>
              <w:t>15,545</w:t>
            </w:r>
          </w:p>
        </w:tc>
      </w:tr>
    </w:tbl>
    <w:p w14:paraId="0196191C" w14:textId="77777777" w:rsidR="00505245" w:rsidRDefault="00505245" w:rsidP="00505245">
      <w:pPr>
        <w:rPr>
          <w:rFonts w:ascii="Times New Roman" w:hAnsi="Times New Roman" w:cs="Times New Roman"/>
          <w:b/>
          <w:sz w:val="24"/>
          <w:szCs w:val="24"/>
        </w:rPr>
      </w:pPr>
    </w:p>
    <w:p w14:paraId="764E0A74" w14:textId="77777777" w:rsidR="00505245" w:rsidRPr="00DD08EF"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bookmarkStart w:id="34" w:name="_Ref469303576"/>
      <w:r w:rsidRPr="00DD08EF">
        <w:rPr>
          <w:rFonts w:ascii="Times New Roman" w:hAnsi="Times New Roman" w:cs="Times New Roman"/>
          <w:b/>
          <w:sz w:val="24"/>
          <w:szCs w:val="24"/>
        </w:rPr>
        <w:t xml:space="preserve">Table </w:t>
      </w:r>
      <w:r w:rsidRPr="00DD08EF">
        <w:rPr>
          <w:rFonts w:ascii="Times New Roman" w:hAnsi="Times New Roman" w:cs="Times New Roman"/>
          <w:b/>
          <w:sz w:val="24"/>
          <w:szCs w:val="24"/>
        </w:rPr>
        <w:fldChar w:fldCharType="begin"/>
      </w:r>
      <w:r w:rsidRPr="00DD08EF">
        <w:rPr>
          <w:rFonts w:ascii="Times New Roman" w:hAnsi="Times New Roman" w:cs="Times New Roman"/>
          <w:b/>
          <w:sz w:val="24"/>
          <w:szCs w:val="24"/>
        </w:rPr>
        <w:instrText xml:space="preserve"> SEQ Table \* ARABIC </w:instrText>
      </w:r>
      <w:r w:rsidRPr="00DD08EF">
        <w:rPr>
          <w:rFonts w:ascii="Times New Roman" w:hAnsi="Times New Roman" w:cs="Times New Roman"/>
          <w:b/>
          <w:sz w:val="24"/>
          <w:szCs w:val="24"/>
        </w:rPr>
        <w:fldChar w:fldCharType="separate"/>
      </w:r>
      <w:r>
        <w:rPr>
          <w:rFonts w:ascii="Times New Roman" w:hAnsi="Times New Roman" w:cs="Times New Roman"/>
          <w:b/>
          <w:noProof/>
          <w:sz w:val="24"/>
          <w:szCs w:val="24"/>
        </w:rPr>
        <w:t>10</w:t>
      </w:r>
      <w:r w:rsidRPr="00DD08EF">
        <w:rPr>
          <w:rFonts w:ascii="Times New Roman" w:hAnsi="Times New Roman" w:cs="Times New Roman"/>
          <w:b/>
          <w:sz w:val="24"/>
          <w:szCs w:val="24"/>
        </w:rPr>
        <w:fldChar w:fldCharType="end"/>
      </w:r>
      <w:bookmarkEnd w:id="34"/>
      <w:r w:rsidRPr="00DD08EF">
        <w:rPr>
          <w:rFonts w:ascii="Times New Roman" w:hAnsi="Times New Roman" w:cs="Times New Roman"/>
          <w:b/>
          <w:sz w:val="24"/>
          <w:szCs w:val="24"/>
        </w:rPr>
        <w:t xml:space="preserve">. </w:t>
      </w:r>
      <w:r>
        <w:rPr>
          <w:rFonts w:ascii="Times New Roman" w:hAnsi="Times New Roman" w:cs="Times New Roman"/>
          <w:b/>
          <w:sz w:val="24"/>
          <w:szCs w:val="24"/>
        </w:rPr>
        <w:t xml:space="preserve">Summary of </w:t>
      </w:r>
      <w:r w:rsidRPr="00DD08EF">
        <w:rPr>
          <w:rFonts w:ascii="Times New Roman" w:hAnsi="Times New Roman" w:cs="Times New Roman"/>
          <w:b/>
          <w:sz w:val="24"/>
          <w:szCs w:val="24"/>
        </w:rPr>
        <w:t xml:space="preserve">Burden and Cost of the TSCA Inventory Notification Requirements </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764"/>
        <w:gridCol w:w="1382"/>
        <w:gridCol w:w="1660"/>
        <w:gridCol w:w="1384"/>
        <w:gridCol w:w="1572"/>
      </w:tblGrid>
      <w:tr w:rsidR="00505245" w:rsidRPr="00DD08EF" w14:paraId="05AAE4D9" w14:textId="77777777" w:rsidTr="001B3CB4">
        <w:trPr>
          <w:cantSplit/>
        </w:trPr>
        <w:tc>
          <w:tcPr>
            <w:tcW w:w="1928" w:type="pct"/>
            <w:shd w:val="clear" w:color="auto" w:fill="BFBFBF" w:themeFill="background1" w:themeFillShade="BF"/>
          </w:tcPr>
          <w:p w14:paraId="2AF408B1"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rPr>
            </w:pPr>
          </w:p>
        </w:tc>
        <w:tc>
          <w:tcPr>
            <w:tcW w:w="708" w:type="pct"/>
            <w:shd w:val="clear" w:color="auto" w:fill="BFBFBF" w:themeFill="background1" w:themeFillShade="BF"/>
            <w:vAlign w:val="bottom"/>
          </w:tcPr>
          <w:p w14:paraId="6EFE39C0" w14:textId="386731F0" w:rsidR="00505245" w:rsidRPr="005C0801" w:rsidRDefault="001B3CB4"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Times New Roman" w:hAnsi="Times New Roman" w:cs="Times New Roman"/>
                <w:b/>
              </w:rPr>
            </w:pPr>
            <w:r>
              <w:rPr>
                <w:rFonts w:ascii="Times New Roman" w:hAnsi="Times New Roman" w:cs="Times New Roman"/>
                <w:b/>
              </w:rPr>
              <w:t>Total</w:t>
            </w:r>
            <w:r w:rsidR="00505245" w:rsidRPr="005C0801">
              <w:rPr>
                <w:rFonts w:ascii="Times New Roman" w:hAnsi="Times New Roman" w:cs="Times New Roman"/>
                <w:b/>
              </w:rPr>
              <w:t xml:space="preserve"> Burden Hours</w:t>
            </w:r>
          </w:p>
        </w:tc>
        <w:tc>
          <w:tcPr>
            <w:tcW w:w="850" w:type="pct"/>
            <w:shd w:val="clear" w:color="auto" w:fill="BFBFBF" w:themeFill="background1" w:themeFillShade="BF"/>
            <w:vAlign w:val="bottom"/>
          </w:tcPr>
          <w:p w14:paraId="29FA7795" w14:textId="11B5DF6C"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Times New Roman" w:hAnsi="Times New Roman" w:cs="Times New Roman"/>
                <w:b/>
              </w:rPr>
            </w:pPr>
            <w:r w:rsidRPr="00BE329D">
              <w:rPr>
                <w:rFonts w:ascii="Times New Roman" w:hAnsi="Times New Roman" w:cs="Times New Roman"/>
                <w:b/>
              </w:rPr>
              <w:t>Annual</w:t>
            </w:r>
            <w:r w:rsidR="001B3CB4">
              <w:rPr>
                <w:rFonts w:ascii="Times New Roman" w:hAnsi="Times New Roman" w:cs="Times New Roman"/>
                <w:b/>
              </w:rPr>
              <w:t>ized</w:t>
            </w:r>
            <w:r w:rsidRPr="00BE329D">
              <w:rPr>
                <w:rFonts w:ascii="Times New Roman" w:hAnsi="Times New Roman" w:cs="Times New Roman"/>
                <w:b/>
              </w:rPr>
              <w:t xml:space="preserve"> Average </w:t>
            </w:r>
            <w:r w:rsidR="001B3CB4">
              <w:rPr>
                <w:rFonts w:ascii="Times New Roman" w:hAnsi="Times New Roman" w:cs="Times New Roman"/>
                <w:b/>
              </w:rPr>
              <w:t xml:space="preserve">BURDEN </w:t>
            </w:r>
            <w:r w:rsidRPr="00BE329D">
              <w:rPr>
                <w:rFonts w:ascii="Times New Roman" w:hAnsi="Times New Roman" w:cs="Times New Roman"/>
                <w:b/>
              </w:rPr>
              <w:t>over</w:t>
            </w:r>
          </w:p>
          <w:p w14:paraId="08CA5A49"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Times New Roman" w:hAnsi="Times New Roman" w:cs="Times New Roman"/>
                <w:b/>
              </w:rPr>
            </w:pPr>
            <w:r w:rsidRPr="00BE329D">
              <w:rPr>
                <w:rFonts w:ascii="Times New Roman" w:hAnsi="Times New Roman" w:cs="Times New Roman"/>
                <w:b/>
              </w:rPr>
              <w:t>the ICR Period</w:t>
            </w:r>
          </w:p>
        </w:tc>
        <w:tc>
          <w:tcPr>
            <w:tcW w:w="709" w:type="pct"/>
            <w:shd w:val="clear" w:color="auto" w:fill="BFBFBF" w:themeFill="background1" w:themeFillShade="BF"/>
            <w:vAlign w:val="bottom"/>
          </w:tcPr>
          <w:p w14:paraId="55F65D1D" w14:textId="137BC61C" w:rsidR="00505245" w:rsidRPr="005C0801" w:rsidRDefault="001B3CB4" w:rsidP="001B3C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Times New Roman" w:hAnsi="Times New Roman" w:cs="Times New Roman"/>
                <w:b/>
              </w:rPr>
            </w:pPr>
            <w:r>
              <w:rPr>
                <w:rFonts w:ascii="Times New Roman" w:hAnsi="Times New Roman" w:cs="Times New Roman"/>
                <w:b/>
              </w:rPr>
              <w:t xml:space="preserve">Total </w:t>
            </w:r>
            <w:r w:rsidR="00505245" w:rsidRPr="005C0801">
              <w:rPr>
                <w:rFonts w:ascii="Times New Roman" w:hAnsi="Times New Roman" w:cs="Times New Roman"/>
                <w:b/>
              </w:rPr>
              <w:t>Annual Costs</w:t>
            </w:r>
          </w:p>
        </w:tc>
        <w:tc>
          <w:tcPr>
            <w:tcW w:w="805" w:type="pct"/>
            <w:shd w:val="clear" w:color="auto" w:fill="BFBFBF" w:themeFill="background1" w:themeFillShade="BF"/>
            <w:vAlign w:val="bottom"/>
          </w:tcPr>
          <w:p w14:paraId="675EFD05" w14:textId="5224E0F2"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Times New Roman" w:hAnsi="Times New Roman" w:cs="Times New Roman"/>
                <w:b/>
              </w:rPr>
            </w:pPr>
            <w:r w:rsidRPr="00BE329D">
              <w:rPr>
                <w:rFonts w:ascii="Times New Roman" w:hAnsi="Times New Roman" w:cs="Times New Roman"/>
                <w:b/>
              </w:rPr>
              <w:t>Annual</w:t>
            </w:r>
            <w:r w:rsidR="001B3CB4">
              <w:rPr>
                <w:rFonts w:ascii="Times New Roman" w:hAnsi="Times New Roman" w:cs="Times New Roman"/>
                <w:b/>
              </w:rPr>
              <w:t>ized</w:t>
            </w:r>
            <w:r w:rsidRPr="00BE329D">
              <w:rPr>
                <w:rFonts w:ascii="Times New Roman" w:hAnsi="Times New Roman" w:cs="Times New Roman"/>
                <w:b/>
              </w:rPr>
              <w:t xml:space="preserve"> Average </w:t>
            </w:r>
            <w:r w:rsidR="001B3CB4">
              <w:rPr>
                <w:rFonts w:ascii="Times New Roman" w:hAnsi="Times New Roman" w:cs="Times New Roman"/>
                <w:b/>
              </w:rPr>
              <w:t xml:space="preserve">COSTS </w:t>
            </w:r>
            <w:r w:rsidRPr="00BE329D">
              <w:rPr>
                <w:rFonts w:ascii="Times New Roman" w:hAnsi="Times New Roman" w:cs="Times New Roman"/>
                <w:b/>
              </w:rPr>
              <w:t>over</w:t>
            </w:r>
          </w:p>
          <w:p w14:paraId="421DA0B4"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Times New Roman" w:hAnsi="Times New Roman" w:cs="Times New Roman"/>
                <w:b/>
              </w:rPr>
            </w:pPr>
            <w:r w:rsidRPr="00BE329D">
              <w:rPr>
                <w:rFonts w:ascii="Times New Roman" w:hAnsi="Times New Roman" w:cs="Times New Roman"/>
                <w:b/>
              </w:rPr>
              <w:t>the ICR Period</w:t>
            </w:r>
          </w:p>
        </w:tc>
      </w:tr>
      <w:tr w:rsidR="00505245" w:rsidRPr="00DD08EF" w14:paraId="69D5AA30" w14:textId="77777777" w:rsidTr="001B3CB4">
        <w:trPr>
          <w:cantSplit/>
          <w:trHeight w:val="362"/>
        </w:trPr>
        <w:tc>
          <w:tcPr>
            <w:tcW w:w="5000" w:type="pct"/>
            <w:gridSpan w:val="5"/>
          </w:tcPr>
          <w:p w14:paraId="081A08F1"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b/>
              </w:rPr>
            </w:pPr>
            <w:r w:rsidRPr="005C0801">
              <w:rPr>
                <w:rFonts w:ascii="Times New Roman" w:hAnsi="Times New Roman" w:cs="Times New Roman"/>
                <w:b/>
              </w:rPr>
              <w:t>Industry</w:t>
            </w:r>
          </w:p>
        </w:tc>
      </w:tr>
      <w:tr w:rsidR="00505245" w:rsidRPr="00BE329D" w14:paraId="2A9E2B59" w14:textId="77777777" w:rsidTr="001B3CB4">
        <w:trPr>
          <w:cantSplit/>
        </w:trPr>
        <w:tc>
          <w:tcPr>
            <w:tcW w:w="1928" w:type="pct"/>
          </w:tcPr>
          <w:p w14:paraId="44EEECD2" w14:textId="6418C838" w:rsidR="00505245" w:rsidRPr="005C0801" w:rsidRDefault="00505245" w:rsidP="002928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rPr>
            </w:pPr>
            <w:r w:rsidRPr="005C0801">
              <w:rPr>
                <w:rFonts w:ascii="Times New Roman" w:hAnsi="Times New Roman" w:cs="Times New Roman"/>
              </w:rPr>
              <w:t xml:space="preserve">Total Start-Up (for </w:t>
            </w:r>
            <w:r w:rsidR="00292829">
              <w:rPr>
                <w:rFonts w:ascii="Times New Roman" w:hAnsi="Times New Roman" w:cs="Times New Roman"/>
              </w:rPr>
              <w:t xml:space="preserve">year </w:t>
            </w:r>
            <w:r w:rsidRPr="005C0801">
              <w:rPr>
                <w:rFonts w:ascii="Times New Roman" w:hAnsi="Times New Roman" w:cs="Times New Roman"/>
              </w:rPr>
              <w:t>one)</w:t>
            </w:r>
          </w:p>
        </w:tc>
        <w:tc>
          <w:tcPr>
            <w:tcW w:w="708" w:type="pct"/>
            <w:vAlign w:val="bottom"/>
          </w:tcPr>
          <w:p w14:paraId="1D001805"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137964">
              <w:rPr>
                <w:rFonts w:ascii="Times New Roman" w:hAnsi="Times New Roman" w:cs="Times New Roman"/>
                <w:bCs/>
                <w:color w:val="000000"/>
              </w:rPr>
              <w:t>1,174,8</w:t>
            </w:r>
            <w:r>
              <w:rPr>
                <w:rFonts w:ascii="Times New Roman" w:hAnsi="Times New Roman" w:cs="Times New Roman"/>
                <w:bCs/>
                <w:color w:val="000000"/>
              </w:rPr>
              <w:t>45</w:t>
            </w:r>
          </w:p>
        </w:tc>
        <w:tc>
          <w:tcPr>
            <w:tcW w:w="850" w:type="pct"/>
            <w:vMerge w:val="restart"/>
            <w:vAlign w:val="center"/>
          </w:tcPr>
          <w:p w14:paraId="27A64897" w14:textId="77777777"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bCs/>
                <w:color w:val="000000"/>
              </w:rPr>
            </w:pPr>
            <w:r w:rsidRPr="00BE329D">
              <w:rPr>
                <w:rFonts w:ascii="Times New Roman" w:hAnsi="Times New Roman" w:cs="Times New Roman"/>
              </w:rPr>
              <w:t>391,765</w:t>
            </w:r>
          </w:p>
        </w:tc>
        <w:tc>
          <w:tcPr>
            <w:tcW w:w="709" w:type="pct"/>
            <w:vAlign w:val="bottom"/>
          </w:tcPr>
          <w:p w14:paraId="313B9B5A"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137964">
              <w:rPr>
                <w:rFonts w:ascii="Times New Roman" w:hAnsi="Times New Roman" w:cs="Times New Roman"/>
                <w:bCs/>
                <w:color w:val="000000"/>
              </w:rPr>
              <w:t>$94,93</w:t>
            </w:r>
            <w:r>
              <w:rPr>
                <w:rFonts w:ascii="Times New Roman" w:hAnsi="Times New Roman" w:cs="Times New Roman"/>
                <w:bCs/>
                <w:color w:val="000000"/>
              </w:rPr>
              <w:t>2</w:t>
            </w:r>
            <w:r w:rsidRPr="00137964">
              <w:rPr>
                <w:rFonts w:ascii="Times New Roman" w:hAnsi="Times New Roman" w:cs="Times New Roman"/>
                <w:bCs/>
                <w:color w:val="000000"/>
              </w:rPr>
              <w:t>,</w:t>
            </w:r>
            <w:r>
              <w:rPr>
                <w:rFonts w:ascii="Times New Roman" w:hAnsi="Times New Roman" w:cs="Times New Roman"/>
                <w:bCs/>
                <w:color w:val="000000"/>
              </w:rPr>
              <w:t>400</w:t>
            </w:r>
          </w:p>
        </w:tc>
        <w:tc>
          <w:tcPr>
            <w:tcW w:w="805" w:type="pct"/>
            <w:vMerge w:val="restart"/>
            <w:vAlign w:val="center"/>
          </w:tcPr>
          <w:p w14:paraId="56C3A502" w14:textId="77777777"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Pr>
                <w:rFonts w:ascii="Times New Roman" w:hAnsi="Times New Roman" w:cs="Times New Roman"/>
              </w:rPr>
              <w:t>$31,655,986</w:t>
            </w:r>
          </w:p>
        </w:tc>
      </w:tr>
      <w:tr w:rsidR="00505245" w:rsidRPr="00BE329D" w14:paraId="00244E30" w14:textId="77777777" w:rsidTr="001B3CB4">
        <w:trPr>
          <w:cantSplit/>
        </w:trPr>
        <w:tc>
          <w:tcPr>
            <w:tcW w:w="1928" w:type="pct"/>
          </w:tcPr>
          <w:p w14:paraId="10F1C535" w14:textId="2794EF62" w:rsidR="00505245" w:rsidRPr="005C0801" w:rsidRDefault="00505245" w:rsidP="002928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rPr>
            </w:pPr>
            <w:r w:rsidRPr="005C0801">
              <w:rPr>
                <w:rFonts w:ascii="Times New Roman" w:hAnsi="Times New Roman" w:cs="Times New Roman"/>
              </w:rPr>
              <w:t xml:space="preserve">Total Ongoing </w:t>
            </w:r>
            <w:r w:rsidR="00292829">
              <w:rPr>
                <w:rFonts w:ascii="Times New Roman" w:hAnsi="Times New Roman" w:cs="Times New Roman"/>
              </w:rPr>
              <w:t>(subsequent years)</w:t>
            </w:r>
          </w:p>
        </w:tc>
        <w:tc>
          <w:tcPr>
            <w:tcW w:w="708" w:type="pct"/>
            <w:vAlign w:val="bottom"/>
          </w:tcPr>
          <w:p w14:paraId="26274DDC"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137964">
              <w:rPr>
                <w:rFonts w:ascii="Times New Roman" w:hAnsi="Times New Roman" w:cs="Times New Roman"/>
                <w:bCs/>
                <w:color w:val="000000"/>
              </w:rPr>
              <w:t>2</w:t>
            </w:r>
            <w:r>
              <w:rPr>
                <w:rFonts w:ascii="Times New Roman" w:hAnsi="Times New Roman" w:cs="Times New Roman"/>
                <w:bCs/>
                <w:color w:val="000000"/>
              </w:rPr>
              <w:t>25</w:t>
            </w:r>
          </w:p>
        </w:tc>
        <w:tc>
          <w:tcPr>
            <w:tcW w:w="850" w:type="pct"/>
            <w:vMerge/>
          </w:tcPr>
          <w:p w14:paraId="4CE2AEF6" w14:textId="77777777"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bCs/>
                <w:color w:val="000000"/>
              </w:rPr>
            </w:pPr>
          </w:p>
        </w:tc>
        <w:tc>
          <w:tcPr>
            <w:tcW w:w="709" w:type="pct"/>
            <w:vAlign w:val="bottom"/>
          </w:tcPr>
          <w:p w14:paraId="2F5EFC7E"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137964">
              <w:rPr>
                <w:rFonts w:ascii="Times New Roman" w:hAnsi="Times New Roman" w:cs="Times New Roman"/>
                <w:bCs/>
                <w:color w:val="000000"/>
              </w:rPr>
              <w:t>$17,</w:t>
            </w:r>
            <w:r>
              <w:rPr>
                <w:rFonts w:ascii="Times New Roman" w:hAnsi="Times New Roman" w:cs="Times New Roman"/>
                <w:bCs/>
                <w:color w:val="000000"/>
              </w:rPr>
              <w:t>779</w:t>
            </w:r>
          </w:p>
        </w:tc>
        <w:tc>
          <w:tcPr>
            <w:tcW w:w="805" w:type="pct"/>
            <w:vMerge/>
          </w:tcPr>
          <w:p w14:paraId="6A09418B" w14:textId="77777777"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p>
        </w:tc>
      </w:tr>
      <w:tr w:rsidR="00505245" w:rsidRPr="00DD08EF" w14:paraId="7F8FE93E" w14:textId="77777777" w:rsidTr="001B3CB4">
        <w:trPr>
          <w:cantSplit/>
          <w:trHeight w:val="362"/>
        </w:trPr>
        <w:tc>
          <w:tcPr>
            <w:tcW w:w="5000" w:type="pct"/>
            <w:gridSpan w:val="5"/>
          </w:tcPr>
          <w:p w14:paraId="0BD82F01" w14:textId="77777777"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b/>
              </w:rPr>
            </w:pPr>
            <w:r w:rsidRPr="00BE329D">
              <w:rPr>
                <w:rFonts w:ascii="Times New Roman" w:hAnsi="Times New Roman" w:cs="Times New Roman"/>
                <w:b/>
              </w:rPr>
              <w:t>Agency</w:t>
            </w:r>
          </w:p>
        </w:tc>
      </w:tr>
      <w:tr w:rsidR="00505245" w:rsidRPr="00DD08EF" w14:paraId="48166968" w14:textId="77777777" w:rsidTr="001B3CB4">
        <w:trPr>
          <w:cantSplit/>
        </w:trPr>
        <w:tc>
          <w:tcPr>
            <w:tcW w:w="1928" w:type="pct"/>
          </w:tcPr>
          <w:p w14:paraId="4EF3DA5C" w14:textId="6CAA97CD" w:rsidR="00505245" w:rsidRPr="005C0801" w:rsidRDefault="00505245" w:rsidP="002928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b/>
              </w:rPr>
            </w:pPr>
            <w:r w:rsidRPr="005C0801">
              <w:rPr>
                <w:rFonts w:ascii="Times New Roman" w:hAnsi="Times New Roman" w:cs="Times New Roman"/>
              </w:rPr>
              <w:t xml:space="preserve">Total Start-Up (for </w:t>
            </w:r>
            <w:r w:rsidR="00292829">
              <w:rPr>
                <w:rFonts w:ascii="Times New Roman" w:hAnsi="Times New Roman" w:cs="Times New Roman"/>
              </w:rPr>
              <w:t xml:space="preserve">year </w:t>
            </w:r>
            <w:r w:rsidRPr="005C0801">
              <w:rPr>
                <w:rFonts w:ascii="Times New Roman" w:hAnsi="Times New Roman" w:cs="Times New Roman"/>
              </w:rPr>
              <w:t>one)</w:t>
            </w:r>
          </w:p>
        </w:tc>
        <w:tc>
          <w:tcPr>
            <w:tcW w:w="708" w:type="pct"/>
            <w:vAlign w:val="bottom"/>
          </w:tcPr>
          <w:p w14:paraId="7C0CED3C"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137964">
              <w:rPr>
                <w:rFonts w:ascii="Times New Roman" w:hAnsi="Times New Roman" w:cs="Times New Roman"/>
                <w:bCs/>
                <w:color w:val="000000"/>
              </w:rPr>
              <w:t>41,6</w:t>
            </w:r>
            <w:r>
              <w:rPr>
                <w:rFonts w:ascii="Times New Roman" w:hAnsi="Times New Roman" w:cs="Times New Roman"/>
                <w:bCs/>
                <w:color w:val="000000"/>
              </w:rPr>
              <w:t>8</w:t>
            </w:r>
            <w:r w:rsidRPr="00137964">
              <w:rPr>
                <w:rFonts w:ascii="Times New Roman" w:hAnsi="Times New Roman" w:cs="Times New Roman"/>
                <w:bCs/>
                <w:color w:val="000000"/>
              </w:rPr>
              <w:t>3</w:t>
            </w:r>
          </w:p>
        </w:tc>
        <w:tc>
          <w:tcPr>
            <w:tcW w:w="850" w:type="pct"/>
            <w:vMerge w:val="restart"/>
            <w:vAlign w:val="center"/>
          </w:tcPr>
          <w:p w14:paraId="16F613A1" w14:textId="77777777" w:rsidR="00505245" w:rsidRPr="00BE329D" w:rsidRDefault="00505245" w:rsidP="00505245">
            <w:pPr>
              <w:spacing w:beforeLines="20" w:before="48" w:afterLines="20" w:after="48"/>
              <w:ind w:firstLineChars="100" w:firstLine="220"/>
              <w:jc w:val="right"/>
              <w:rPr>
                <w:rFonts w:ascii="Times New Roman" w:hAnsi="Times New Roman" w:cs="Times New Roman"/>
                <w:color w:val="000000"/>
              </w:rPr>
            </w:pPr>
            <w:r w:rsidRPr="00BE329D">
              <w:rPr>
                <w:rFonts w:ascii="Times New Roman" w:hAnsi="Times New Roman" w:cs="Times New Roman"/>
              </w:rPr>
              <w:t>15,545</w:t>
            </w:r>
          </w:p>
        </w:tc>
        <w:tc>
          <w:tcPr>
            <w:tcW w:w="709" w:type="pct"/>
            <w:vAlign w:val="center"/>
          </w:tcPr>
          <w:p w14:paraId="795BD2A3" w14:textId="77777777" w:rsidR="00505245" w:rsidRPr="00137964" w:rsidRDefault="00505245" w:rsidP="001B3CB4">
            <w:pPr>
              <w:spacing w:beforeLines="20" w:before="48" w:afterLines="20" w:after="48"/>
              <w:jc w:val="right"/>
              <w:rPr>
                <w:rFonts w:ascii="Times New Roman" w:hAnsi="Times New Roman" w:cs="Times New Roman"/>
                <w:color w:val="000000"/>
              </w:rPr>
            </w:pPr>
            <w:r w:rsidRPr="00137964">
              <w:rPr>
                <w:rFonts w:ascii="Times New Roman" w:hAnsi="Times New Roman" w:cs="Times New Roman"/>
                <w:color w:val="000000"/>
              </w:rPr>
              <w:t>$3,62</w:t>
            </w:r>
            <w:r>
              <w:rPr>
                <w:rFonts w:ascii="Times New Roman" w:hAnsi="Times New Roman" w:cs="Times New Roman"/>
                <w:color w:val="000000"/>
              </w:rPr>
              <w:t>2</w:t>
            </w:r>
            <w:r w:rsidRPr="00137964">
              <w:rPr>
                <w:rFonts w:ascii="Times New Roman" w:hAnsi="Times New Roman" w:cs="Times New Roman"/>
                <w:color w:val="000000"/>
              </w:rPr>
              <w:t>,</w:t>
            </w:r>
            <w:r>
              <w:rPr>
                <w:rFonts w:ascii="Times New Roman" w:hAnsi="Times New Roman" w:cs="Times New Roman"/>
                <w:color w:val="000000"/>
              </w:rPr>
              <w:t>1</w:t>
            </w:r>
            <w:r w:rsidRPr="00137964">
              <w:rPr>
                <w:rFonts w:ascii="Times New Roman" w:hAnsi="Times New Roman" w:cs="Times New Roman"/>
                <w:color w:val="000000"/>
              </w:rPr>
              <w:t>4</w:t>
            </w:r>
            <w:r>
              <w:rPr>
                <w:rFonts w:ascii="Times New Roman" w:hAnsi="Times New Roman" w:cs="Times New Roman"/>
                <w:color w:val="000000"/>
              </w:rPr>
              <w:t>2</w:t>
            </w:r>
          </w:p>
        </w:tc>
        <w:tc>
          <w:tcPr>
            <w:tcW w:w="805" w:type="pct"/>
            <w:vMerge w:val="restart"/>
            <w:vAlign w:val="center"/>
          </w:tcPr>
          <w:p w14:paraId="52ACBE89" w14:textId="77777777" w:rsidR="00505245" w:rsidRPr="00BE329D"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BE329D">
              <w:rPr>
                <w:rFonts w:ascii="Times New Roman" w:hAnsi="Times New Roman" w:cs="Times New Roman"/>
              </w:rPr>
              <w:t>$</w:t>
            </w:r>
            <w:r>
              <w:rPr>
                <w:rFonts w:ascii="Times New Roman" w:hAnsi="Times New Roman" w:cs="Times New Roman"/>
              </w:rPr>
              <w:t>1,352,866</w:t>
            </w:r>
          </w:p>
        </w:tc>
      </w:tr>
      <w:tr w:rsidR="00505245" w:rsidRPr="00DD08EF" w14:paraId="182FEA57" w14:textId="77777777" w:rsidTr="001B3CB4">
        <w:trPr>
          <w:cantSplit/>
        </w:trPr>
        <w:tc>
          <w:tcPr>
            <w:tcW w:w="1928" w:type="pct"/>
          </w:tcPr>
          <w:p w14:paraId="1ED69A3E" w14:textId="011C1224" w:rsidR="00505245" w:rsidRPr="005C0801" w:rsidRDefault="00505245" w:rsidP="001B3C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Times New Roman" w:hAnsi="Times New Roman" w:cs="Times New Roman"/>
                <w:b/>
              </w:rPr>
            </w:pPr>
            <w:r w:rsidRPr="005C0801">
              <w:rPr>
                <w:rFonts w:ascii="Times New Roman" w:hAnsi="Times New Roman" w:cs="Times New Roman"/>
              </w:rPr>
              <w:t xml:space="preserve">Total Ongoing </w:t>
            </w:r>
            <w:r w:rsidR="00292829">
              <w:rPr>
                <w:rFonts w:ascii="Times New Roman" w:hAnsi="Times New Roman" w:cs="Times New Roman"/>
              </w:rPr>
              <w:t>(subsequent years)</w:t>
            </w:r>
          </w:p>
        </w:tc>
        <w:tc>
          <w:tcPr>
            <w:tcW w:w="708" w:type="pct"/>
            <w:vAlign w:val="bottom"/>
          </w:tcPr>
          <w:p w14:paraId="29E7FFBC" w14:textId="77777777" w:rsidR="00505245" w:rsidRPr="005C0801" w:rsidRDefault="00505245" w:rsidP="005052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Times New Roman" w:hAnsi="Times New Roman" w:cs="Times New Roman"/>
              </w:rPr>
            </w:pPr>
            <w:r w:rsidRPr="00137964">
              <w:rPr>
                <w:rFonts w:ascii="Times New Roman" w:hAnsi="Times New Roman" w:cs="Times New Roman"/>
                <w:bCs/>
                <w:color w:val="000000"/>
              </w:rPr>
              <w:t>2,476</w:t>
            </w:r>
          </w:p>
        </w:tc>
        <w:tc>
          <w:tcPr>
            <w:tcW w:w="850" w:type="pct"/>
            <w:vMerge/>
          </w:tcPr>
          <w:p w14:paraId="444AA683" w14:textId="77777777" w:rsidR="00505245" w:rsidRPr="00137964" w:rsidRDefault="00505245" w:rsidP="00505245">
            <w:pPr>
              <w:spacing w:beforeLines="20" w:before="48" w:afterLines="20" w:after="48"/>
              <w:ind w:firstLineChars="100" w:firstLine="220"/>
              <w:jc w:val="right"/>
              <w:rPr>
                <w:rFonts w:ascii="Times New Roman" w:hAnsi="Times New Roman" w:cs="Times New Roman"/>
                <w:color w:val="000000"/>
              </w:rPr>
            </w:pPr>
          </w:p>
        </w:tc>
        <w:tc>
          <w:tcPr>
            <w:tcW w:w="709" w:type="pct"/>
            <w:vAlign w:val="center"/>
          </w:tcPr>
          <w:p w14:paraId="7EE2D9E9" w14:textId="77777777" w:rsidR="00505245" w:rsidRPr="00137964" w:rsidRDefault="00505245" w:rsidP="00505245">
            <w:pPr>
              <w:spacing w:beforeLines="20" w:before="48" w:afterLines="20" w:after="48"/>
              <w:ind w:firstLineChars="100" w:firstLine="220"/>
              <w:jc w:val="right"/>
              <w:rPr>
                <w:rFonts w:ascii="Times New Roman" w:hAnsi="Times New Roman" w:cs="Times New Roman"/>
                <w:color w:val="000000"/>
              </w:rPr>
            </w:pPr>
            <w:r w:rsidRPr="00137964">
              <w:rPr>
                <w:rFonts w:ascii="Times New Roman" w:hAnsi="Times New Roman" w:cs="Times New Roman"/>
                <w:color w:val="000000"/>
              </w:rPr>
              <w:t>$218,228</w:t>
            </w:r>
          </w:p>
        </w:tc>
        <w:tc>
          <w:tcPr>
            <w:tcW w:w="805" w:type="pct"/>
            <w:vMerge/>
          </w:tcPr>
          <w:p w14:paraId="5FCEB62E" w14:textId="77777777" w:rsidR="00505245" w:rsidRPr="00137964" w:rsidRDefault="00505245" w:rsidP="00505245">
            <w:pPr>
              <w:spacing w:beforeLines="20" w:before="48" w:afterLines="20" w:after="48"/>
              <w:ind w:firstLineChars="100" w:firstLine="220"/>
              <w:jc w:val="right"/>
              <w:rPr>
                <w:rFonts w:ascii="Times New Roman" w:hAnsi="Times New Roman" w:cs="Times New Roman"/>
                <w:color w:val="000000"/>
              </w:rPr>
            </w:pPr>
          </w:p>
        </w:tc>
      </w:tr>
    </w:tbl>
    <w:p w14:paraId="013DC71A" w14:textId="77777777" w:rsidR="00505245" w:rsidRDefault="00505245" w:rsidP="00505245">
      <w:pPr>
        <w:rPr>
          <w:rFonts w:ascii="Times New Roman" w:hAnsi="Times New Roman" w:cs="Times New Roman"/>
          <w:b/>
          <w:sz w:val="24"/>
          <w:szCs w:val="24"/>
        </w:rPr>
      </w:pPr>
    </w:p>
    <w:p w14:paraId="3A0BEC77" w14:textId="77777777" w:rsidR="00505245" w:rsidRDefault="00505245" w:rsidP="00505245">
      <w:pPr>
        <w:pStyle w:val="Heading1"/>
      </w:pPr>
      <w:r>
        <w:t>6(f) Reason for Change in Burden</w:t>
      </w:r>
    </w:p>
    <w:p w14:paraId="767B57A9" w14:textId="77777777" w:rsidR="00505245" w:rsidRDefault="00505245" w:rsidP="00505245">
      <w:pPr>
        <w:ind w:left="720"/>
        <w:rPr>
          <w:rFonts w:ascii="Times New Roman" w:hAnsi="Times New Roman" w:cs="Times New Roman"/>
          <w:b/>
          <w:sz w:val="24"/>
          <w:szCs w:val="24"/>
        </w:rPr>
      </w:pPr>
    </w:p>
    <w:p w14:paraId="74DEF02B" w14:textId="07BFEA1E" w:rsidR="00505245" w:rsidRPr="005C0801" w:rsidRDefault="00505245" w:rsidP="00505245">
      <w:pPr>
        <w:ind w:firstLine="720"/>
        <w:rPr>
          <w:rFonts w:ascii="Times New Roman" w:hAnsi="Times New Roman" w:cs="Times New Roman"/>
          <w:sz w:val="24"/>
          <w:szCs w:val="24"/>
        </w:rPr>
      </w:pPr>
      <w:r w:rsidRPr="002B1022">
        <w:rPr>
          <w:rFonts w:ascii="Times New Roman" w:hAnsi="Times New Roman" w:cs="Times New Roman"/>
          <w:sz w:val="24"/>
          <w:szCs w:val="24"/>
        </w:rPr>
        <w:t>This is a new data collection activity</w:t>
      </w:r>
      <w:r>
        <w:rPr>
          <w:rFonts w:ascii="Times New Roman" w:hAnsi="Times New Roman" w:cs="Times New Roman"/>
          <w:sz w:val="24"/>
          <w:szCs w:val="24"/>
        </w:rPr>
        <w:t xml:space="preserve"> resulting from </w:t>
      </w:r>
      <w:r w:rsidRPr="00EA79FB">
        <w:rPr>
          <w:rFonts w:ascii="Times New Roman" w:hAnsi="Times New Roman" w:cs="Times New Roman"/>
          <w:sz w:val="24"/>
          <w:szCs w:val="24"/>
        </w:rPr>
        <w:t xml:space="preserve">the </w:t>
      </w:r>
      <w:r w:rsidRPr="002B1022">
        <w:rPr>
          <w:rFonts w:ascii="Times New Roman" w:hAnsi="Times New Roman" w:cs="Times New Roman"/>
          <w:spacing w:val="-1"/>
          <w:sz w:val="24"/>
          <w:szCs w:val="24"/>
        </w:rPr>
        <w:t xml:space="preserve">Frank R. Lautenberg Chemical Safety for the 21st Century Act, </w:t>
      </w:r>
      <w:r>
        <w:rPr>
          <w:rFonts w:ascii="Times New Roman" w:hAnsi="Times New Roman" w:cs="Times New Roman"/>
          <w:spacing w:val="-1"/>
          <w:sz w:val="24"/>
          <w:szCs w:val="24"/>
        </w:rPr>
        <w:t xml:space="preserve">which </w:t>
      </w:r>
      <w:r w:rsidRPr="002B1022">
        <w:rPr>
          <w:rFonts w:ascii="Times New Roman" w:hAnsi="Times New Roman" w:cs="Times New Roman"/>
          <w:spacing w:val="-1"/>
          <w:sz w:val="24"/>
          <w:szCs w:val="24"/>
        </w:rPr>
        <w:t>require</w:t>
      </w:r>
      <w:r>
        <w:rPr>
          <w:rFonts w:ascii="Times New Roman" w:hAnsi="Times New Roman" w:cs="Times New Roman"/>
          <w:spacing w:val="-1"/>
          <w:sz w:val="24"/>
          <w:szCs w:val="24"/>
        </w:rPr>
        <w:t>s</w:t>
      </w:r>
      <w:r w:rsidRPr="002B1022">
        <w:rPr>
          <w:rFonts w:ascii="Times New Roman" w:hAnsi="Times New Roman" w:cs="Times New Roman"/>
          <w:spacing w:val="-1"/>
          <w:sz w:val="24"/>
          <w:szCs w:val="24"/>
        </w:rPr>
        <w:t xml:space="preserve"> additional responsibilities of </w:t>
      </w:r>
      <w:r w:rsidR="008348EC">
        <w:rPr>
          <w:rFonts w:ascii="Times New Roman" w:hAnsi="Times New Roman" w:cs="Times New Roman"/>
          <w:spacing w:val="-1"/>
          <w:sz w:val="24"/>
          <w:szCs w:val="24"/>
        </w:rPr>
        <w:t>EPA</w:t>
      </w:r>
      <w:r w:rsidRPr="002B1022">
        <w:rPr>
          <w:rFonts w:ascii="Times New Roman" w:hAnsi="Times New Roman" w:cs="Times New Roman"/>
          <w:spacing w:val="-1"/>
          <w:sz w:val="24"/>
          <w:szCs w:val="24"/>
        </w:rPr>
        <w:t xml:space="preserve"> in maintaining the TSCA Inventory</w:t>
      </w:r>
      <w:r w:rsidR="001B3CB4">
        <w:rPr>
          <w:rFonts w:ascii="Times New Roman" w:hAnsi="Times New Roman" w:cs="Times New Roman"/>
          <w:spacing w:val="-1"/>
          <w:sz w:val="24"/>
          <w:szCs w:val="24"/>
        </w:rPr>
        <w:t>, and imposes a reporting requirement on regulated entities</w:t>
      </w:r>
      <w:r>
        <w:rPr>
          <w:rFonts w:ascii="Times New Roman" w:hAnsi="Times New Roman" w:cs="Times New Roman"/>
          <w:spacing w:val="-1"/>
          <w:sz w:val="24"/>
          <w:szCs w:val="24"/>
        </w:rPr>
        <w:t>. As such, the change being implemented in this ICR period is the addition of new burden and cost</w:t>
      </w:r>
      <w:r w:rsidR="001B3CB4">
        <w:rPr>
          <w:rFonts w:ascii="Times New Roman" w:hAnsi="Times New Roman" w:cs="Times New Roman"/>
          <w:spacing w:val="-1"/>
          <w:sz w:val="24"/>
          <w:szCs w:val="24"/>
        </w:rPr>
        <w:t xml:space="preserve"> for first year implementation</w:t>
      </w:r>
      <w:r>
        <w:rPr>
          <w:rFonts w:ascii="Times New Roman" w:hAnsi="Times New Roman" w:cs="Times New Roman"/>
          <w:spacing w:val="-1"/>
          <w:sz w:val="24"/>
          <w:szCs w:val="24"/>
        </w:rPr>
        <w:t xml:space="preserve">, as presented </w:t>
      </w:r>
      <w:r w:rsidRPr="009E6CD0">
        <w:rPr>
          <w:rFonts w:ascii="Times New Roman" w:hAnsi="Times New Roman" w:cs="Times New Roman"/>
          <w:spacing w:val="-1"/>
          <w:sz w:val="24"/>
          <w:szCs w:val="24"/>
        </w:rPr>
        <w:t>in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fldChar w:fldCharType="begin"/>
      </w:r>
      <w:r>
        <w:rPr>
          <w:rFonts w:ascii="Times New Roman" w:hAnsi="Times New Roman" w:cs="Times New Roman"/>
          <w:spacing w:val="-1"/>
          <w:sz w:val="24"/>
          <w:szCs w:val="24"/>
        </w:rPr>
        <w:instrText xml:space="preserve"> REF _Ref481675711 \h </w:instrText>
      </w:r>
      <w:r>
        <w:rPr>
          <w:rFonts w:ascii="Times New Roman" w:hAnsi="Times New Roman" w:cs="Times New Roman"/>
          <w:spacing w:val="-1"/>
          <w:sz w:val="24"/>
          <w:szCs w:val="24"/>
        </w:rPr>
      </w:r>
      <w:r>
        <w:rPr>
          <w:rFonts w:ascii="Times New Roman" w:hAnsi="Times New Roman" w:cs="Times New Roman"/>
          <w:spacing w:val="-1"/>
          <w:sz w:val="24"/>
          <w:szCs w:val="24"/>
        </w:rPr>
        <w:fldChar w:fldCharType="separate"/>
      </w:r>
      <w:r w:rsidRPr="005C0801">
        <w:rPr>
          <w:rFonts w:ascii="Times New Roman" w:hAnsi="Times New Roman"/>
          <w:sz w:val="24"/>
          <w:szCs w:val="24"/>
        </w:rPr>
        <w:t xml:space="preserve">Table </w:t>
      </w:r>
      <w:r>
        <w:rPr>
          <w:rFonts w:ascii="Times New Roman" w:hAnsi="Times New Roman"/>
          <w:noProof/>
          <w:sz w:val="24"/>
          <w:szCs w:val="24"/>
        </w:rPr>
        <w:t>9</w:t>
      </w:r>
      <w:r>
        <w:rPr>
          <w:rFonts w:ascii="Times New Roman" w:hAnsi="Times New Roman" w:cs="Times New Roman"/>
          <w:spacing w:val="-1"/>
          <w:sz w:val="24"/>
          <w:szCs w:val="24"/>
        </w:rPr>
        <w:fldChar w:fldCharType="end"/>
      </w:r>
      <w:r>
        <w:rPr>
          <w:rFonts w:ascii="Times New Roman" w:hAnsi="Times New Roman" w:cs="Times New Roman"/>
          <w:spacing w:val="-1"/>
          <w:sz w:val="24"/>
          <w:szCs w:val="24"/>
        </w:rPr>
        <w:t xml:space="preserve"> and</w:t>
      </w:r>
      <w:r w:rsidRPr="009E6CD0">
        <w:rPr>
          <w:rFonts w:ascii="Times New Roman" w:hAnsi="Times New Roman" w:cs="Times New Roman"/>
          <w:spacing w:val="-1"/>
          <w:sz w:val="24"/>
          <w:szCs w:val="24"/>
        </w:rPr>
        <w:t xml:space="preserve"> </w:t>
      </w:r>
      <w:r w:rsidRPr="009E6CD0">
        <w:rPr>
          <w:rFonts w:ascii="Times New Roman" w:hAnsi="Times New Roman" w:cs="Times New Roman"/>
          <w:spacing w:val="-1"/>
          <w:sz w:val="24"/>
          <w:szCs w:val="24"/>
        </w:rPr>
        <w:fldChar w:fldCharType="begin"/>
      </w:r>
      <w:r w:rsidRPr="009E6CD0">
        <w:rPr>
          <w:rFonts w:ascii="Times New Roman" w:hAnsi="Times New Roman" w:cs="Times New Roman"/>
          <w:spacing w:val="-1"/>
          <w:sz w:val="24"/>
          <w:szCs w:val="24"/>
        </w:rPr>
        <w:instrText xml:space="preserve"> REF _Ref469303576 \h </w:instrText>
      </w:r>
      <w:r w:rsidRPr="00697D72">
        <w:rPr>
          <w:rFonts w:ascii="Times New Roman" w:hAnsi="Times New Roman" w:cs="Times New Roman"/>
          <w:spacing w:val="-1"/>
          <w:sz w:val="24"/>
          <w:szCs w:val="24"/>
        </w:rPr>
        <w:instrText xml:space="preserve"> \* MERGEFORMAT </w:instrText>
      </w:r>
      <w:r w:rsidRPr="009E6CD0">
        <w:rPr>
          <w:rFonts w:ascii="Times New Roman" w:hAnsi="Times New Roman" w:cs="Times New Roman"/>
          <w:spacing w:val="-1"/>
          <w:sz w:val="24"/>
          <w:szCs w:val="24"/>
        </w:rPr>
      </w:r>
      <w:r w:rsidRPr="009E6CD0">
        <w:rPr>
          <w:rFonts w:ascii="Times New Roman" w:hAnsi="Times New Roman" w:cs="Times New Roman"/>
          <w:spacing w:val="-1"/>
          <w:sz w:val="24"/>
          <w:szCs w:val="24"/>
        </w:rPr>
        <w:fldChar w:fldCharType="separate"/>
      </w:r>
      <w:r w:rsidRPr="001C794A">
        <w:rPr>
          <w:rFonts w:ascii="Times New Roman" w:hAnsi="Times New Roman" w:cs="Times New Roman"/>
          <w:sz w:val="24"/>
          <w:szCs w:val="24"/>
        </w:rPr>
        <w:t xml:space="preserve">Table </w:t>
      </w:r>
      <w:r w:rsidRPr="001C794A">
        <w:rPr>
          <w:rFonts w:ascii="Times New Roman" w:hAnsi="Times New Roman" w:cs="Times New Roman"/>
          <w:noProof/>
          <w:sz w:val="24"/>
          <w:szCs w:val="24"/>
        </w:rPr>
        <w:t>10</w:t>
      </w:r>
      <w:r w:rsidRPr="009E6CD0">
        <w:rPr>
          <w:rFonts w:ascii="Times New Roman" w:hAnsi="Times New Roman" w:cs="Times New Roman"/>
          <w:spacing w:val="-1"/>
          <w:sz w:val="24"/>
          <w:szCs w:val="24"/>
        </w:rPr>
        <w:fldChar w:fldCharType="end"/>
      </w:r>
      <w:r>
        <w:rPr>
          <w:rFonts w:ascii="Times New Roman" w:hAnsi="Times New Roman" w:cs="Times New Roman"/>
          <w:spacing w:val="-1"/>
          <w:sz w:val="24"/>
          <w:szCs w:val="24"/>
        </w:rPr>
        <w:t xml:space="preserve">. </w:t>
      </w:r>
      <w:r w:rsidRPr="00450F47">
        <w:rPr>
          <w:rFonts w:ascii="Times New Roman" w:hAnsi="Times New Roman" w:cs="Times New Roman"/>
          <w:sz w:val="24"/>
          <w:szCs w:val="24"/>
        </w:rPr>
        <w:t>The annual</w:t>
      </w:r>
      <w:r w:rsidR="001B3CB4">
        <w:rPr>
          <w:rFonts w:ascii="Times New Roman" w:hAnsi="Times New Roman" w:cs="Times New Roman"/>
          <w:sz w:val="24"/>
          <w:szCs w:val="24"/>
        </w:rPr>
        <w:t>ized</w:t>
      </w:r>
      <w:r w:rsidRPr="00450F47">
        <w:rPr>
          <w:rFonts w:ascii="Times New Roman" w:hAnsi="Times New Roman" w:cs="Times New Roman"/>
          <w:sz w:val="24"/>
          <w:szCs w:val="24"/>
        </w:rPr>
        <w:t xml:space="preserve"> average</w:t>
      </w:r>
      <w:r>
        <w:rPr>
          <w:rFonts w:ascii="Times New Roman" w:hAnsi="Times New Roman" w:cs="Times New Roman"/>
          <w:sz w:val="24"/>
          <w:szCs w:val="24"/>
        </w:rPr>
        <w:t xml:space="preserve"> </w:t>
      </w:r>
      <w:r w:rsidRPr="00450F47">
        <w:rPr>
          <w:rFonts w:ascii="Times New Roman" w:hAnsi="Times New Roman" w:cs="Times New Roman"/>
          <w:sz w:val="24"/>
          <w:szCs w:val="24"/>
        </w:rPr>
        <w:t>burden</w:t>
      </w:r>
      <w:r>
        <w:rPr>
          <w:rFonts w:ascii="Times New Roman" w:hAnsi="Times New Roman" w:cs="Times New Roman"/>
          <w:sz w:val="24"/>
          <w:szCs w:val="24"/>
        </w:rPr>
        <w:t xml:space="preserve"> to industry</w:t>
      </w:r>
      <w:r w:rsidRPr="00450F47">
        <w:rPr>
          <w:rFonts w:ascii="Times New Roman" w:hAnsi="Times New Roman" w:cs="Times New Roman"/>
          <w:sz w:val="24"/>
          <w:szCs w:val="24"/>
        </w:rPr>
        <w:t xml:space="preserve"> </w:t>
      </w:r>
      <w:r w:rsidRPr="005C0801">
        <w:rPr>
          <w:rFonts w:ascii="Times New Roman" w:hAnsi="Times New Roman" w:cs="Times New Roman"/>
          <w:sz w:val="24"/>
          <w:szCs w:val="24"/>
        </w:rPr>
        <w:t>for this ICR period is</w:t>
      </w:r>
      <w:r>
        <w:rPr>
          <w:rFonts w:ascii="Times New Roman" w:hAnsi="Times New Roman" w:cs="Times New Roman"/>
          <w:sz w:val="24"/>
          <w:szCs w:val="24"/>
        </w:rPr>
        <w:t xml:space="preserve"> 391,765 </w:t>
      </w:r>
      <w:r w:rsidRPr="00450F47">
        <w:rPr>
          <w:rFonts w:ascii="Times New Roman" w:hAnsi="Times New Roman" w:cs="Times New Roman"/>
          <w:sz w:val="24"/>
          <w:szCs w:val="24"/>
        </w:rPr>
        <w:t>hours per year</w:t>
      </w:r>
      <w:r w:rsidR="00292829">
        <w:rPr>
          <w:rFonts w:ascii="Times New Roman" w:hAnsi="Times New Roman" w:cs="Times New Roman"/>
          <w:sz w:val="24"/>
          <w:szCs w:val="24"/>
        </w:rPr>
        <w:t xml:space="preserve"> (total burden / 3 year approval period for ICR)</w:t>
      </w:r>
      <w:r w:rsidRPr="00450F47">
        <w:rPr>
          <w:rFonts w:ascii="Times New Roman" w:hAnsi="Times New Roman" w:cs="Times New Roman"/>
          <w:sz w:val="24"/>
          <w:szCs w:val="24"/>
        </w:rPr>
        <w:t>.</w:t>
      </w:r>
    </w:p>
    <w:p w14:paraId="27B0928A" w14:textId="77777777" w:rsidR="00505245" w:rsidRPr="002B1022" w:rsidRDefault="00505245" w:rsidP="00505245">
      <w:pPr>
        <w:ind w:left="720"/>
        <w:rPr>
          <w:rFonts w:ascii="Times New Roman" w:hAnsi="Times New Roman" w:cs="Times New Roman"/>
          <w:sz w:val="24"/>
          <w:szCs w:val="24"/>
        </w:rPr>
      </w:pPr>
    </w:p>
    <w:p w14:paraId="3BF287C8" w14:textId="77777777" w:rsidR="00505245" w:rsidRDefault="00505245" w:rsidP="00505245">
      <w:pPr>
        <w:pStyle w:val="Heading1"/>
      </w:pPr>
      <w:r>
        <w:t xml:space="preserve">6(g) Burden Statement </w:t>
      </w:r>
      <w:r>
        <w:br/>
      </w:r>
    </w:p>
    <w:p w14:paraId="624FE0B7" w14:textId="209C51BF" w:rsidR="00505245" w:rsidRPr="002B1022" w:rsidRDefault="00505245" w:rsidP="00505245">
      <w:pPr>
        <w:ind w:firstLine="720"/>
        <w:rPr>
          <w:rFonts w:ascii="Times New Roman" w:hAnsi="Times New Roman" w:cs="Times New Roman"/>
          <w:sz w:val="24"/>
          <w:szCs w:val="24"/>
        </w:rPr>
      </w:pPr>
      <w:r w:rsidRPr="002B1022">
        <w:rPr>
          <w:rFonts w:ascii="Times New Roman" w:hAnsi="Times New Roman" w:cs="Times New Roman"/>
          <w:sz w:val="24"/>
          <w:szCs w:val="24"/>
        </w:rPr>
        <w:t xml:space="preserve">The </w:t>
      </w:r>
      <w:r>
        <w:rPr>
          <w:rFonts w:ascii="Times New Roman" w:hAnsi="Times New Roman" w:cs="Times New Roman"/>
          <w:sz w:val="24"/>
          <w:szCs w:val="24"/>
        </w:rPr>
        <w:t>industry</w:t>
      </w:r>
      <w:r w:rsidRPr="002B1022">
        <w:rPr>
          <w:rFonts w:ascii="Times New Roman" w:hAnsi="Times New Roman" w:cs="Times New Roman"/>
          <w:sz w:val="24"/>
          <w:szCs w:val="24"/>
        </w:rPr>
        <w:t xml:space="preserve"> burden for this collection of information is estimated to average </w:t>
      </w:r>
      <w:r>
        <w:rPr>
          <w:rFonts w:ascii="Times New Roman" w:eastAsia="Times New Roman" w:hAnsi="Times New Roman" w:cs="Times New Roman"/>
          <w:sz w:val="24"/>
          <w:szCs w:val="24"/>
        </w:rPr>
        <w:t xml:space="preserve">14.930 </w:t>
      </w:r>
      <w:r w:rsidRPr="00AA0A34">
        <w:rPr>
          <w:rFonts w:ascii="Times New Roman" w:eastAsia="Times New Roman" w:hAnsi="Times New Roman" w:cs="Times New Roman"/>
          <w:sz w:val="24"/>
          <w:szCs w:val="24"/>
        </w:rPr>
        <w:t>hours</w:t>
      </w:r>
      <w:r w:rsidRPr="008F3647">
        <w:rPr>
          <w:rFonts w:ascii="Times New Roman" w:hAnsi="Times New Roman" w:cs="Times New Roman"/>
          <w:sz w:val="24"/>
          <w:szCs w:val="24"/>
        </w:rPr>
        <w:t xml:space="preserve"> </w:t>
      </w:r>
      <w:r w:rsidRPr="002B1022">
        <w:rPr>
          <w:rFonts w:ascii="Times New Roman" w:hAnsi="Times New Roman" w:cs="Times New Roman"/>
          <w:sz w:val="24"/>
          <w:szCs w:val="24"/>
        </w:rPr>
        <w:t xml:space="preserve">per </w:t>
      </w:r>
      <w:r>
        <w:rPr>
          <w:rFonts w:ascii="Times New Roman" w:hAnsi="Times New Roman" w:cs="Times New Roman"/>
          <w:sz w:val="24"/>
          <w:szCs w:val="24"/>
        </w:rPr>
        <w:t xml:space="preserve">typical </w:t>
      </w:r>
      <w:r w:rsidRPr="002B1022">
        <w:rPr>
          <w:rFonts w:ascii="Times New Roman" w:hAnsi="Times New Roman" w:cs="Times New Roman"/>
          <w:sz w:val="24"/>
          <w:szCs w:val="24"/>
        </w:rPr>
        <w:t xml:space="preserve">response </w:t>
      </w:r>
      <w:r>
        <w:rPr>
          <w:rFonts w:ascii="Times New Roman" w:hAnsi="Times New Roman" w:cs="Times New Roman"/>
          <w:sz w:val="24"/>
          <w:szCs w:val="24"/>
        </w:rPr>
        <w:t xml:space="preserve">during the start-up year and 11.236 hours per average response for annual </w:t>
      </w:r>
      <w:r w:rsidR="00292829">
        <w:rPr>
          <w:rFonts w:ascii="Times New Roman" w:hAnsi="Times New Roman" w:cs="Times New Roman"/>
          <w:sz w:val="24"/>
          <w:szCs w:val="24"/>
        </w:rPr>
        <w:t>ongoing r</w:t>
      </w:r>
      <w:r>
        <w:rPr>
          <w:rFonts w:ascii="Times New Roman" w:hAnsi="Times New Roman" w:cs="Times New Roman"/>
          <w:sz w:val="24"/>
          <w:szCs w:val="24"/>
        </w:rPr>
        <w:t>eporting (second and third years of the ICR period)</w:t>
      </w:r>
      <w:r w:rsidRPr="002B1022">
        <w:rPr>
          <w:rFonts w:ascii="Times New Roman" w:hAnsi="Times New Roman" w:cs="Times New Roman"/>
          <w:sz w:val="24"/>
          <w:szCs w:val="24"/>
        </w:rPr>
        <w:t xml:space="preserve">. </w:t>
      </w:r>
      <w:r>
        <w:rPr>
          <w:rFonts w:ascii="Times New Roman" w:hAnsi="Times New Roman" w:cs="Times New Roman"/>
          <w:sz w:val="24"/>
          <w:szCs w:val="24"/>
        </w:rPr>
        <w:t xml:space="preserve">In both reporting periods, </w:t>
      </w:r>
      <w:r w:rsidRPr="00AA0A34">
        <w:rPr>
          <w:rFonts w:ascii="Times New Roman" w:eastAsia="Times New Roman" w:hAnsi="Times New Roman" w:cs="Times New Roman"/>
          <w:sz w:val="24"/>
          <w:szCs w:val="24"/>
        </w:rPr>
        <w:t xml:space="preserve">the average submission by a firm </w:t>
      </w:r>
      <w:r w:rsidR="00292829">
        <w:rPr>
          <w:rFonts w:ascii="Times New Roman" w:eastAsia="Times New Roman" w:hAnsi="Times New Roman" w:cs="Times New Roman"/>
          <w:sz w:val="24"/>
          <w:szCs w:val="24"/>
        </w:rPr>
        <w:t xml:space="preserve">is assumed to </w:t>
      </w:r>
      <w:r w:rsidRPr="00AA0A34">
        <w:rPr>
          <w:rFonts w:ascii="Times New Roman" w:eastAsia="Times New Roman" w:hAnsi="Times New Roman" w:cs="Times New Roman"/>
          <w:sz w:val="24"/>
          <w:szCs w:val="24"/>
        </w:rPr>
        <w:t>contain</w:t>
      </w:r>
      <w:r w:rsidR="00292829">
        <w:rPr>
          <w:rFonts w:ascii="Times New Roman" w:eastAsia="Times New Roman" w:hAnsi="Times New Roman" w:cs="Times New Roman"/>
          <w:sz w:val="24"/>
          <w:szCs w:val="24"/>
        </w:rPr>
        <w:t xml:space="preserve"> information for </w:t>
      </w:r>
      <w:r>
        <w:rPr>
          <w:rFonts w:ascii="Times New Roman" w:eastAsia="Times New Roman" w:hAnsi="Times New Roman" w:cs="Times New Roman"/>
          <w:sz w:val="24"/>
          <w:szCs w:val="24"/>
        </w:rPr>
        <w:t xml:space="preserve">18 </w:t>
      </w:r>
      <w:r w:rsidRPr="00AA0A34">
        <w:rPr>
          <w:rFonts w:ascii="Times New Roman" w:eastAsia="Times New Roman" w:hAnsi="Times New Roman" w:cs="Times New Roman"/>
          <w:sz w:val="24"/>
          <w:szCs w:val="24"/>
        </w:rPr>
        <w:t>chemicals.</w:t>
      </w:r>
      <w:r>
        <w:rPr>
          <w:rFonts w:ascii="Times New Roman" w:hAnsi="Times New Roman" w:cs="Times New Roman"/>
          <w:sz w:val="24"/>
          <w:szCs w:val="24"/>
        </w:rPr>
        <w:t xml:space="preserve"> Additionally, a burden of 0.530 hours per CDX registration is</w:t>
      </w:r>
      <w:r w:rsidRPr="00FF3D94">
        <w:t xml:space="preserve"> </w:t>
      </w:r>
      <w:r w:rsidRPr="00FF3D94">
        <w:rPr>
          <w:rFonts w:ascii="Times New Roman" w:hAnsi="Times New Roman" w:cs="Times New Roman"/>
          <w:sz w:val="24"/>
          <w:szCs w:val="24"/>
        </w:rPr>
        <w:t>estimated for submitters not already registered</w:t>
      </w:r>
      <w:r w:rsidR="00292829">
        <w:rPr>
          <w:rFonts w:ascii="Times New Roman" w:hAnsi="Times New Roman" w:cs="Times New Roman"/>
          <w:sz w:val="24"/>
          <w:szCs w:val="24"/>
        </w:rPr>
        <w:t xml:space="preserve"> with CDX</w:t>
      </w:r>
      <w:r w:rsidRPr="00FF3D94">
        <w:rPr>
          <w:rFonts w:ascii="Times New Roman" w:hAnsi="Times New Roman" w:cs="Times New Roman"/>
          <w:sz w:val="24"/>
          <w:szCs w:val="24"/>
        </w:rPr>
        <w:t>.</w:t>
      </w:r>
      <w:r>
        <w:rPr>
          <w:rFonts w:ascii="Times New Roman" w:hAnsi="Times New Roman" w:cs="Times New Roman"/>
          <w:sz w:val="24"/>
          <w:szCs w:val="24"/>
        </w:rPr>
        <w:t xml:space="preserve"> </w:t>
      </w:r>
      <w:r w:rsidRPr="002B1022">
        <w:rPr>
          <w:rFonts w:ascii="Times New Roman" w:hAnsi="Times New Roman" w:cs="Times New Roman"/>
          <w:sz w:val="24"/>
          <w:szCs w:val="24"/>
        </w:rPr>
        <w:t>Burden is defined in 5 CFR 1320.3(b). An Agency may not conduct or sponsor such a request and a person or facility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2D6CBD40" w14:textId="77777777" w:rsidR="00505245" w:rsidRPr="002B1022" w:rsidRDefault="00505245" w:rsidP="00505245">
      <w:pPr>
        <w:ind w:left="720"/>
        <w:rPr>
          <w:rFonts w:ascii="Times New Roman" w:hAnsi="Times New Roman" w:cs="Times New Roman"/>
          <w:sz w:val="24"/>
          <w:szCs w:val="24"/>
        </w:rPr>
      </w:pPr>
    </w:p>
    <w:p w14:paraId="3FA501E3" w14:textId="33B3011E" w:rsidR="00505245" w:rsidRPr="002B1022" w:rsidRDefault="00505245" w:rsidP="00505245">
      <w:pPr>
        <w:ind w:firstLine="720"/>
        <w:rPr>
          <w:rFonts w:ascii="Times New Roman" w:hAnsi="Times New Roman" w:cs="Times New Roman"/>
          <w:sz w:val="24"/>
          <w:szCs w:val="24"/>
        </w:rPr>
      </w:pPr>
      <w:r w:rsidRPr="002B1022">
        <w:rPr>
          <w:rFonts w:ascii="Times New Roman" w:hAnsi="Times New Roman" w:cs="Times New Roman"/>
          <w:sz w:val="24"/>
          <w:szCs w:val="24"/>
        </w:rPr>
        <w:t xml:space="preserve">The Agency has established a public docket for </w:t>
      </w:r>
      <w:r w:rsidR="00292829">
        <w:rPr>
          <w:rFonts w:ascii="Times New Roman" w:hAnsi="Times New Roman" w:cs="Times New Roman"/>
          <w:sz w:val="24"/>
          <w:szCs w:val="24"/>
        </w:rPr>
        <w:t xml:space="preserve">the rulemaking that includes </w:t>
      </w:r>
      <w:r w:rsidRPr="002B1022">
        <w:rPr>
          <w:rFonts w:ascii="Times New Roman" w:hAnsi="Times New Roman" w:cs="Times New Roman"/>
          <w:sz w:val="24"/>
          <w:szCs w:val="24"/>
        </w:rPr>
        <w:t>this ICR under Docket ID No. EPA-HQ-OPPT-</w:t>
      </w:r>
      <w:r>
        <w:rPr>
          <w:rFonts w:ascii="Times New Roman" w:hAnsi="Times New Roman" w:cs="Times New Roman"/>
          <w:sz w:val="24"/>
          <w:szCs w:val="24"/>
        </w:rPr>
        <w:t>2016-0426</w:t>
      </w:r>
      <w:r w:rsidRPr="002B1022">
        <w:rPr>
          <w:rFonts w:ascii="Times New Roman" w:hAnsi="Times New Roman" w:cs="Times New Roman"/>
          <w:sz w:val="24"/>
          <w:szCs w:val="24"/>
        </w:rPr>
        <w:t xml:space="preserve">, which is available for online viewing at </w:t>
      </w:r>
      <w:hyperlink r:id="rId14" w:history="1">
        <w:r w:rsidRPr="00292829">
          <w:rPr>
            <w:rFonts w:ascii="Times New Roman" w:hAnsi="Times New Roman" w:cs="Times New Roman"/>
            <w:i/>
            <w:sz w:val="24"/>
          </w:rPr>
          <w:t>http://www.regulations.gov</w:t>
        </w:r>
      </w:hyperlink>
      <w:r w:rsidRPr="002B1022">
        <w:rPr>
          <w:rFonts w:ascii="Times New Roman" w:hAnsi="Times New Roman" w:cs="Times New Roman"/>
          <w:sz w:val="24"/>
          <w:szCs w:val="24"/>
        </w:rPr>
        <w:t xml:space="preserve">, or in-person viewing at the Pollution Prevention and Toxics Docket in </w:t>
      </w:r>
      <w:r w:rsidR="008348EC">
        <w:rPr>
          <w:rFonts w:ascii="Times New Roman" w:hAnsi="Times New Roman" w:cs="Times New Roman"/>
          <w:sz w:val="24"/>
          <w:szCs w:val="24"/>
        </w:rPr>
        <w:t>EPA</w:t>
      </w:r>
      <w:r w:rsidRPr="002B1022">
        <w:rPr>
          <w:rFonts w:ascii="Times New Roman" w:hAnsi="Times New Roman" w:cs="Times New Roman"/>
          <w:sz w:val="24"/>
          <w:szCs w:val="24"/>
        </w:rPr>
        <w:t xml:space="preserve"> Docket Center (EPA/DC). </w:t>
      </w:r>
      <w:r w:rsidR="008348EC">
        <w:rPr>
          <w:rFonts w:ascii="Times New Roman" w:hAnsi="Times New Roman" w:cs="Times New Roman"/>
          <w:sz w:val="24"/>
          <w:szCs w:val="24"/>
        </w:rPr>
        <w:t>EPA</w:t>
      </w:r>
      <w:r w:rsidRPr="002B1022">
        <w:rPr>
          <w:rFonts w:ascii="Times New Roman" w:hAnsi="Times New Roman" w:cs="Times New Roman"/>
          <w:sz w:val="24"/>
          <w:szCs w:val="24"/>
        </w:rPr>
        <w:t xml:space="preserve">/DC Public Reading Room is located in the William Jefferson Clinton (WJC) West Building, Room 3334, 1301 Constitution Ave., N.W., Washington, DC. </w:t>
      </w:r>
      <w:r w:rsidR="008348EC">
        <w:rPr>
          <w:rFonts w:ascii="Times New Roman" w:hAnsi="Times New Roman" w:cs="Times New Roman"/>
          <w:sz w:val="24"/>
          <w:szCs w:val="24"/>
        </w:rPr>
        <w:t>EPA</w:t>
      </w:r>
      <w:r w:rsidRPr="002B1022">
        <w:rPr>
          <w:rFonts w:ascii="Times New Roman" w:hAnsi="Times New Roman" w:cs="Times New Roman"/>
          <w:sz w:val="24"/>
          <w:szCs w:val="24"/>
        </w:rPr>
        <w:t xml:space="preserve">/DC Public Reading Room is open from 8:30 a.m. to 4:30 p.m., Monday through Friday, excluding legal holidays. The telephone number for </w:t>
      </w:r>
      <w:r w:rsidR="008348EC">
        <w:rPr>
          <w:rFonts w:ascii="Times New Roman" w:hAnsi="Times New Roman" w:cs="Times New Roman"/>
          <w:sz w:val="24"/>
          <w:szCs w:val="24"/>
        </w:rPr>
        <w:t>EPA</w:t>
      </w:r>
      <w:r w:rsidRPr="002B1022">
        <w:rPr>
          <w:rFonts w:ascii="Times New Roman" w:hAnsi="Times New Roman" w:cs="Times New Roman"/>
          <w:sz w:val="24"/>
          <w:szCs w:val="24"/>
        </w:rPr>
        <w:t>/DC Public Reading Room is (202) 566-1744, and the telephone number for the Pollution Prevention and Toxics Docket is (202) 566-0280.</w:t>
      </w:r>
    </w:p>
    <w:p w14:paraId="38463FCD" w14:textId="77777777" w:rsidR="00505245" w:rsidRPr="002B1022" w:rsidRDefault="00505245" w:rsidP="00505245">
      <w:pPr>
        <w:ind w:left="720"/>
        <w:rPr>
          <w:rFonts w:ascii="Times New Roman" w:hAnsi="Times New Roman" w:cs="Times New Roman"/>
          <w:sz w:val="24"/>
          <w:szCs w:val="24"/>
        </w:rPr>
      </w:pPr>
    </w:p>
    <w:p w14:paraId="5DB4C0E2" w14:textId="62C1D532" w:rsidR="00292829" w:rsidRPr="00292829" w:rsidRDefault="00505245" w:rsidP="00292829">
      <w:pPr>
        <w:ind w:firstLine="720"/>
        <w:rPr>
          <w:rFonts w:ascii="Times New Roman" w:hAnsi="Times New Roman" w:cs="Times New Roman"/>
          <w:sz w:val="24"/>
          <w:szCs w:val="24"/>
        </w:rPr>
      </w:pPr>
      <w:r w:rsidRPr="002B1022">
        <w:rPr>
          <w:rFonts w:ascii="Times New Roman" w:hAnsi="Times New Roman" w:cs="Times New Roman"/>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w:t>
      </w:r>
      <w:r>
        <w:rPr>
          <w:rFonts w:ascii="Times New Roman" w:hAnsi="Times New Roman" w:cs="Times New Roman"/>
          <w:sz w:val="24"/>
          <w:szCs w:val="24"/>
        </w:rPr>
        <w:t>2016-0426</w:t>
      </w:r>
      <w:r w:rsidRPr="002B1022">
        <w:rPr>
          <w:rFonts w:ascii="Times New Roman" w:hAnsi="Times New Roman" w:cs="Times New Roman"/>
          <w:sz w:val="24"/>
          <w:szCs w:val="24"/>
        </w:rPr>
        <w:t xml:space="preserve"> and OMB Control No. </w:t>
      </w:r>
      <w:r w:rsidRPr="008C5E78">
        <w:rPr>
          <w:rFonts w:ascii="Times New Roman" w:hAnsi="Times New Roman" w:cs="Times New Roman"/>
          <w:sz w:val="24"/>
          <w:szCs w:val="24"/>
        </w:rPr>
        <w:t>2070</w:t>
      </w:r>
      <w:r w:rsidR="0082527B">
        <w:rPr>
          <w:rFonts w:ascii="Times New Roman" w:hAnsi="Times New Roman" w:cs="Times New Roman"/>
          <w:sz w:val="24"/>
          <w:szCs w:val="24"/>
        </w:rPr>
        <w:t>-0201</w:t>
      </w:r>
      <w:r w:rsidRPr="008C5E78">
        <w:rPr>
          <w:rFonts w:ascii="Times New Roman" w:hAnsi="Times New Roman" w:cs="Times New Roman"/>
          <w:sz w:val="24"/>
          <w:szCs w:val="24"/>
        </w:rPr>
        <w:t xml:space="preserve">, </w:t>
      </w:r>
      <w:r w:rsidRPr="002B1022">
        <w:rPr>
          <w:rFonts w:ascii="Times New Roman" w:hAnsi="Times New Roman" w:cs="Times New Roman"/>
          <w:sz w:val="24"/>
          <w:szCs w:val="24"/>
        </w:rPr>
        <w:t xml:space="preserve">to </w:t>
      </w:r>
      <w:r w:rsidR="00292829">
        <w:rPr>
          <w:rFonts w:ascii="Times New Roman" w:hAnsi="Times New Roman" w:cs="Times New Roman"/>
          <w:sz w:val="24"/>
          <w:szCs w:val="24"/>
        </w:rPr>
        <w:t xml:space="preserve">both </w:t>
      </w:r>
      <w:r w:rsidRPr="002B1022">
        <w:rPr>
          <w:rFonts w:ascii="Times New Roman" w:hAnsi="Times New Roman" w:cs="Times New Roman"/>
          <w:sz w:val="24"/>
          <w:szCs w:val="24"/>
        </w:rPr>
        <w:t xml:space="preserve">(1) EPA online using </w:t>
      </w:r>
      <w:hyperlink r:id="rId15" w:history="1">
        <w:r w:rsidRPr="002B1022">
          <w:rPr>
            <w:rFonts w:ascii="Times New Roman" w:hAnsi="Times New Roman" w:cs="Times New Roman"/>
            <w:sz w:val="24"/>
          </w:rPr>
          <w:t>http://www.regulations.gov</w:t>
        </w:r>
      </w:hyperlink>
      <w:r w:rsidRPr="002B1022">
        <w:rPr>
          <w:rFonts w:ascii="Times New Roman" w:hAnsi="Times New Roman" w:cs="Times New Roman"/>
          <w:sz w:val="24"/>
          <w:szCs w:val="24"/>
        </w:rPr>
        <w:t xml:space="preserve"> (our preferred method), or by mail to: Pollution Prevention and Toxics Docket, Environmental Protection Agency Docket Center (EPA/DC), Mailcode: 28221T, 1200 Pennsylvania Ave., N.W., Washington, DC 20460, and (2) OMB </w:t>
      </w:r>
      <w:r w:rsidR="00292829" w:rsidRPr="00292829">
        <w:rPr>
          <w:rFonts w:ascii="Times New Roman" w:hAnsi="Times New Roman" w:cs="Times New Roman"/>
          <w:sz w:val="24"/>
          <w:szCs w:val="24"/>
        </w:rPr>
        <w:t xml:space="preserve">via email to </w:t>
      </w:r>
      <w:r w:rsidR="00292829" w:rsidRPr="00292829">
        <w:rPr>
          <w:rFonts w:ascii="Times New Roman" w:hAnsi="Times New Roman" w:cs="Times New Roman"/>
          <w:i/>
          <w:sz w:val="24"/>
          <w:szCs w:val="24"/>
        </w:rPr>
        <w:t>oira_submission@omb.eop.gov</w:t>
      </w:r>
      <w:r w:rsidR="00292829" w:rsidRPr="00292829">
        <w:rPr>
          <w:rFonts w:ascii="Times New Roman" w:hAnsi="Times New Roman" w:cs="Times New Roman"/>
          <w:sz w:val="24"/>
          <w:szCs w:val="24"/>
        </w:rPr>
        <w:t>. Address comments to OMB Desk Officer for EPA.</w:t>
      </w:r>
    </w:p>
    <w:p w14:paraId="7A588340" w14:textId="77777777" w:rsidR="00292829" w:rsidRDefault="00292829" w:rsidP="00292829">
      <w:pPr>
        <w:pStyle w:val="BodyText"/>
        <w:ind w:right="155"/>
      </w:pPr>
    </w:p>
    <w:p w14:paraId="30B036B2" w14:textId="3C513D9E" w:rsidR="00292829" w:rsidRDefault="00292829" w:rsidP="00292829">
      <w:pPr>
        <w:pStyle w:val="Heading1"/>
        <w:numPr>
          <w:ilvl w:val="0"/>
          <w:numId w:val="60"/>
        </w:numPr>
        <w:tabs>
          <w:tab w:val="left" w:pos="820"/>
        </w:tabs>
        <w:ind w:left="810" w:hanging="810"/>
        <w:rPr>
          <w:b w:val="0"/>
          <w:bCs w:val="0"/>
        </w:rPr>
      </w:pPr>
      <w:r>
        <w:t>REFERENCES</w:t>
      </w:r>
    </w:p>
    <w:p w14:paraId="732F1BA9" w14:textId="77777777" w:rsidR="00292829" w:rsidRDefault="00292829" w:rsidP="00292829">
      <w:pPr>
        <w:rPr>
          <w:rFonts w:ascii="Times New Roman" w:eastAsia="Times New Roman" w:hAnsi="Times New Roman" w:cs="Times New Roman"/>
          <w:b/>
          <w:bCs/>
          <w:sz w:val="23"/>
          <w:szCs w:val="23"/>
        </w:rPr>
      </w:pPr>
    </w:p>
    <w:p w14:paraId="0D331C5E" w14:textId="77777777" w:rsidR="00505245" w:rsidRPr="005C0801" w:rsidRDefault="00505245" w:rsidP="00505245">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{"custom":[]} CSL_BIBLIOGRAPHY </w:instrText>
      </w:r>
      <w:r>
        <w:rPr>
          <w:rFonts w:eastAsia="Times New Roman"/>
        </w:rPr>
        <w:fldChar w:fldCharType="separate"/>
      </w:r>
      <w:r w:rsidRPr="005C0801">
        <w:rPr>
          <w:rFonts w:ascii="Times New Roman" w:hAnsi="Times New Roman" w:cs="Times New Roman"/>
          <w:sz w:val="24"/>
        </w:rPr>
        <w:t>Abt Associates. (2016). Estimated Burden Associated with Searching for Chemicals on the TSCA Inventory List.</w:t>
      </w:r>
    </w:p>
    <w:p w14:paraId="7CD3F638"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BLS. (2017). </w:t>
      </w:r>
      <w:r w:rsidRPr="005C0801">
        <w:rPr>
          <w:rFonts w:ascii="Times New Roman" w:hAnsi="Times New Roman" w:cs="Times New Roman"/>
          <w:i/>
          <w:iCs/>
          <w:sz w:val="24"/>
        </w:rPr>
        <w:t>Employer Costs for Employee Compensation Historical Supplementary Tables: December 2006 - December 2016</w:t>
      </w:r>
      <w:r w:rsidRPr="005C0801">
        <w:rPr>
          <w:rFonts w:ascii="Times New Roman" w:hAnsi="Times New Roman" w:cs="Times New Roman"/>
          <w:sz w:val="24"/>
        </w:rPr>
        <w:t>. Retrieved from http://www.bls.gov/ncs/ect/sp/ecsuphst.pdf</w:t>
      </w:r>
    </w:p>
    <w:p w14:paraId="6A99CBC3"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(2002). </w:t>
      </w:r>
      <w:r w:rsidRPr="005C0801">
        <w:rPr>
          <w:rFonts w:ascii="Times New Roman" w:hAnsi="Times New Roman" w:cs="Times New Roman"/>
          <w:i/>
          <w:iCs/>
          <w:sz w:val="24"/>
        </w:rPr>
        <w:t>Revised Economic Analysis for the Amended Inventory Update Rule: Final Report</w:t>
      </w:r>
      <w:r w:rsidRPr="005C0801">
        <w:rPr>
          <w:rFonts w:ascii="Times New Roman" w:hAnsi="Times New Roman" w:cs="Times New Roman"/>
          <w:sz w:val="24"/>
        </w:rPr>
        <w:t>. Retrieved from https://www.regulations.gov/document?D=EPA-HQ-OPPT-2014-0650-0011</w:t>
      </w:r>
    </w:p>
    <w:p w14:paraId="292AD6C7"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(2009). </w:t>
      </w:r>
      <w:r w:rsidRPr="005C0801">
        <w:rPr>
          <w:rFonts w:ascii="Times New Roman" w:hAnsi="Times New Roman" w:cs="Times New Roman"/>
          <w:i/>
          <w:iCs/>
          <w:sz w:val="24"/>
        </w:rPr>
        <w:t>ICR Handbook: EPA’s Guide to Writing Information Collection Requests under the Paperwork Reduction Act of 1995</w:t>
      </w:r>
      <w:r w:rsidRPr="005C0801">
        <w:rPr>
          <w:rFonts w:ascii="Times New Roman" w:hAnsi="Times New Roman" w:cs="Times New Roman"/>
          <w:sz w:val="24"/>
        </w:rPr>
        <w:t>. Retrieved from https://www.pdffiller.com/10247637--ICR-Handbook---Environmental-Protection-Agency-</w:t>
      </w:r>
    </w:p>
    <w:p w14:paraId="6B7E4916"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(2011). </w:t>
      </w:r>
      <w:r w:rsidRPr="005C0801">
        <w:rPr>
          <w:rFonts w:ascii="Times New Roman" w:hAnsi="Times New Roman" w:cs="Times New Roman"/>
          <w:i/>
          <w:iCs/>
          <w:sz w:val="24"/>
        </w:rPr>
        <w:t>Revising TRI Burden to Ratio-Based Methodology</w:t>
      </w:r>
      <w:r w:rsidRPr="005C0801">
        <w:rPr>
          <w:rFonts w:ascii="Times New Roman" w:hAnsi="Times New Roman" w:cs="Times New Roman"/>
          <w:sz w:val="24"/>
        </w:rPr>
        <w:t>. Washington, D.C. Retrieved from https://www.epa.gov/sites/production/files/documents/136321RatioBasedMethodology.pdf</w:t>
      </w:r>
    </w:p>
    <w:p w14:paraId="66C6C50E"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(2015a). </w:t>
      </w:r>
      <w:r w:rsidRPr="005C0801">
        <w:rPr>
          <w:rFonts w:ascii="Times New Roman" w:hAnsi="Times New Roman" w:cs="Times New Roman"/>
          <w:i/>
          <w:iCs/>
          <w:sz w:val="24"/>
        </w:rPr>
        <w:t>Supporting Statement for a Request for OMB Review under the Paperwork Reduction Act: Partial Update of the TSCA Section 8(b) Inventory Data Base, Production and Site Reports (Chemical Data Reporting)</w:t>
      </w:r>
      <w:r w:rsidRPr="005C0801">
        <w:rPr>
          <w:rFonts w:ascii="Times New Roman" w:hAnsi="Times New Roman" w:cs="Times New Roman"/>
          <w:sz w:val="24"/>
        </w:rPr>
        <w:t>. Retrieved from http://www.reginfo.gov/public/do/DownloadDocument?objectID=11671801</w:t>
      </w:r>
    </w:p>
    <w:p w14:paraId="728291DC"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(2015b). </w:t>
      </w:r>
      <w:r w:rsidRPr="005C0801">
        <w:rPr>
          <w:rFonts w:ascii="Times New Roman" w:hAnsi="Times New Roman" w:cs="Times New Roman"/>
          <w:i/>
          <w:iCs/>
          <w:sz w:val="24"/>
        </w:rPr>
        <w:t>Supporting Statement for a Request for OMB Review under the Paperwork Reduction Act: Premanufacture Review Reporting and Exemption Requirements for New Chemical Substances and Significant New Use Reporting Requirements for Chemical Substances</w:t>
      </w:r>
      <w:r w:rsidRPr="005C0801">
        <w:rPr>
          <w:rFonts w:ascii="Times New Roman" w:hAnsi="Times New Roman" w:cs="Times New Roman"/>
          <w:sz w:val="24"/>
        </w:rPr>
        <w:t>. Retrieved from http://www.regulations.gov/document?D=EPA-HQ-OPPT-2014-0735-0016</w:t>
      </w:r>
    </w:p>
    <w:p w14:paraId="162294B8"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(2016). </w:t>
      </w:r>
      <w:r w:rsidRPr="005C0801">
        <w:rPr>
          <w:rFonts w:ascii="Times New Roman" w:hAnsi="Times New Roman" w:cs="Times New Roman"/>
          <w:i/>
          <w:iCs/>
          <w:sz w:val="24"/>
        </w:rPr>
        <w:t>Economic Analysis for Proposed Rule: Significant New Uses of Chemical Substances; Updates to the Hazard Communication Program and Regulatory Framework; Minor Amendments to Reporting Requirements for Premanufacture Notices</w:t>
      </w:r>
      <w:r w:rsidRPr="005C0801">
        <w:rPr>
          <w:rFonts w:ascii="Times New Roman" w:hAnsi="Times New Roman" w:cs="Times New Roman"/>
          <w:sz w:val="24"/>
        </w:rPr>
        <w:t>. Washington, D.C. Retrieved from https://www.regulations.gov/document?D=EPA-HQ-OPPT-2014-0650-0026</w:t>
      </w:r>
    </w:p>
    <w:p w14:paraId="47B00A9E"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EPA. (2017). </w:t>
      </w:r>
      <w:r w:rsidRPr="005C0801">
        <w:rPr>
          <w:rFonts w:ascii="Times New Roman" w:hAnsi="Times New Roman" w:cs="Times New Roman"/>
          <w:i/>
          <w:iCs/>
          <w:sz w:val="24"/>
        </w:rPr>
        <w:t>Burden and Cost Report for the Final Rule: TSCA Inventory Notification Requirements</w:t>
      </w:r>
      <w:r w:rsidRPr="005C0801">
        <w:rPr>
          <w:rFonts w:ascii="Times New Roman" w:hAnsi="Times New Roman" w:cs="Times New Roman"/>
          <w:sz w:val="24"/>
        </w:rPr>
        <w:t>.</w:t>
      </w:r>
    </w:p>
    <w:p w14:paraId="47943CF2"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OPM. (2016). Pay &amp; Leave: Salaries &amp; Wages: Salary Table 2016-DCB. Retrieved from www.opm.gov/policy-data-oversight/pay-leave/salaries-wages/salary-tables/16Tables/html/DCB_h.aspx</w:t>
      </w:r>
    </w:p>
    <w:p w14:paraId="1CF2D8D2"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Rice, C. (2002). </w:t>
      </w:r>
      <w:r w:rsidRPr="005C0801">
        <w:rPr>
          <w:rFonts w:ascii="Times New Roman" w:hAnsi="Times New Roman" w:cs="Times New Roman"/>
          <w:i/>
          <w:iCs/>
          <w:sz w:val="24"/>
        </w:rPr>
        <w:t>Wage Rates for Economic Analysis of the Toxics Release Inventory Program</w:t>
      </w:r>
      <w:r w:rsidRPr="005C0801">
        <w:rPr>
          <w:rFonts w:ascii="Times New Roman" w:hAnsi="Times New Roman" w:cs="Times New Roman"/>
          <w:sz w:val="24"/>
        </w:rPr>
        <w:t>. Retrieved from https://www.regulations.gov/document?D=EPA-HQ-OPPT-2014-0650-0005</w:t>
      </w:r>
    </w:p>
    <w:p w14:paraId="2B74C004" w14:textId="77777777" w:rsidR="00505245" w:rsidRPr="005C0801" w:rsidRDefault="00505245" w:rsidP="00505245">
      <w:pPr>
        <w:pStyle w:val="Bibliography"/>
        <w:rPr>
          <w:rFonts w:ascii="Times New Roman" w:hAnsi="Times New Roman" w:cs="Times New Roman"/>
          <w:sz w:val="24"/>
        </w:rPr>
      </w:pPr>
      <w:r w:rsidRPr="005C0801">
        <w:rPr>
          <w:rFonts w:ascii="Times New Roman" w:hAnsi="Times New Roman" w:cs="Times New Roman"/>
          <w:sz w:val="24"/>
        </w:rPr>
        <w:t xml:space="preserve">Williamson, T. (2016). Email from Tracy Williamson to Cody Rice and Laura Nielsen. October 26, 2016. </w:t>
      </w:r>
      <w:r w:rsidRPr="005C0801">
        <w:rPr>
          <w:rFonts w:ascii="Times New Roman" w:hAnsi="Times New Roman" w:cs="Times New Roman"/>
          <w:i/>
          <w:iCs/>
          <w:sz w:val="24"/>
        </w:rPr>
        <w:t>RE: INV Rule - Internal Resources.</w:t>
      </w:r>
    </w:p>
    <w:p w14:paraId="62F356CD" w14:textId="14875E44" w:rsidR="00292829" w:rsidRDefault="00505245" w:rsidP="00292829">
      <w:pPr>
        <w:spacing w:before="5" w:line="264" w:lineRule="auto"/>
        <w:ind w:left="2250" w:hanging="2250"/>
      </w:pPr>
      <w:r>
        <w:rPr>
          <w:rFonts w:ascii="Times New Roman" w:eastAsia="Times New Roman" w:hAnsi="Times New Roman" w:cs="Times New Roman"/>
          <w:sz w:val="24"/>
          <w:szCs w:val="24"/>
        </w:rPr>
        <w:fldChar w:fldCharType="end"/>
      </w:r>
    </w:p>
    <w:p w14:paraId="2C55E7FE" w14:textId="28D02075" w:rsidR="00292829" w:rsidRDefault="00292829" w:rsidP="00292829">
      <w:pPr>
        <w:pStyle w:val="Heading1"/>
        <w:numPr>
          <w:ilvl w:val="0"/>
          <w:numId w:val="60"/>
        </w:numPr>
        <w:tabs>
          <w:tab w:val="left" w:pos="820"/>
        </w:tabs>
        <w:ind w:left="810" w:hanging="810"/>
        <w:rPr>
          <w:b w:val="0"/>
          <w:bCs w:val="0"/>
        </w:rPr>
      </w:pPr>
      <w:r>
        <w:t>ATTACHMENTS TO THE SUPPORTING STATEMENT</w:t>
      </w:r>
    </w:p>
    <w:p w14:paraId="76B1B5DD" w14:textId="77777777" w:rsidR="00292829" w:rsidRDefault="00292829" w:rsidP="00292829">
      <w:pPr>
        <w:rPr>
          <w:rFonts w:ascii="Times New Roman" w:eastAsia="Times New Roman" w:hAnsi="Times New Roman" w:cs="Times New Roman"/>
          <w:b/>
          <w:bCs/>
          <w:sz w:val="23"/>
          <w:szCs w:val="23"/>
        </w:rPr>
      </w:pPr>
    </w:p>
    <w:p w14:paraId="370DBEB3" w14:textId="77777777" w:rsidR="00505245" w:rsidRPr="006A164C" w:rsidRDefault="00505245" w:rsidP="0082527B">
      <w:pPr>
        <w:pStyle w:val="BodyText"/>
        <w:ind w:right="144" w:firstLine="0"/>
      </w:pPr>
      <w:r w:rsidRPr="006A164C">
        <w:t>Attachments</w:t>
      </w:r>
      <w:r w:rsidRPr="006A164C">
        <w:rPr>
          <w:spacing w:val="-1"/>
        </w:rPr>
        <w:t xml:space="preserve"> </w:t>
      </w:r>
      <w:r w:rsidRPr="006A164C">
        <w:t>to</w:t>
      </w:r>
      <w:r w:rsidRPr="006A164C">
        <w:rPr>
          <w:spacing w:val="-1"/>
        </w:rPr>
        <w:t xml:space="preserve"> </w:t>
      </w:r>
      <w:r w:rsidRPr="006A164C">
        <w:t>the</w:t>
      </w:r>
      <w:r w:rsidRPr="006A164C">
        <w:rPr>
          <w:spacing w:val="-1"/>
        </w:rPr>
        <w:t xml:space="preserve"> </w:t>
      </w:r>
      <w:r w:rsidRPr="006A164C">
        <w:t>supporting</w:t>
      </w:r>
      <w:r w:rsidRPr="006A164C">
        <w:rPr>
          <w:spacing w:val="-1"/>
        </w:rPr>
        <w:t xml:space="preserve"> </w:t>
      </w:r>
      <w:r w:rsidRPr="006A164C">
        <w:t>statement</w:t>
      </w:r>
      <w:r w:rsidRPr="006A164C">
        <w:rPr>
          <w:spacing w:val="-1"/>
        </w:rPr>
        <w:t xml:space="preserve"> </w:t>
      </w:r>
      <w:r w:rsidRPr="006A164C">
        <w:t>are</w:t>
      </w:r>
      <w:r w:rsidRPr="006A164C">
        <w:rPr>
          <w:spacing w:val="-1"/>
        </w:rPr>
        <w:t xml:space="preserve"> </w:t>
      </w:r>
      <w:r w:rsidRPr="006A164C">
        <w:t>available</w:t>
      </w:r>
      <w:r w:rsidRPr="006A164C">
        <w:rPr>
          <w:spacing w:val="-1"/>
        </w:rPr>
        <w:t xml:space="preserve"> </w:t>
      </w:r>
      <w:r w:rsidRPr="006A164C">
        <w:t>in</w:t>
      </w:r>
      <w:r w:rsidRPr="006A164C">
        <w:rPr>
          <w:spacing w:val="-1"/>
        </w:rPr>
        <w:t xml:space="preserve"> </w:t>
      </w:r>
      <w:r w:rsidRPr="006A164C">
        <w:t>the</w:t>
      </w:r>
      <w:r w:rsidRPr="006A164C">
        <w:rPr>
          <w:spacing w:val="-1"/>
        </w:rPr>
        <w:t xml:space="preserve"> </w:t>
      </w:r>
      <w:r w:rsidRPr="006A164C">
        <w:t>public</w:t>
      </w:r>
      <w:r w:rsidRPr="006A164C">
        <w:rPr>
          <w:spacing w:val="-1"/>
        </w:rPr>
        <w:t xml:space="preserve"> </w:t>
      </w:r>
      <w:r w:rsidRPr="006A164C">
        <w:t>docket</w:t>
      </w:r>
      <w:r w:rsidRPr="006A164C">
        <w:rPr>
          <w:spacing w:val="-1"/>
        </w:rPr>
        <w:t xml:space="preserve"> </w:t>
      </w:r>
      <w:r w:rsidRPr="006A164C">
        <w:t>established</w:t>
      </w:r>
      <w:r w:rsidRPr="006A164C">
        <w:rPr>
          <w:spacing w:val="-1"/>
        </w:rPr>
        <w:t xml:space="preserve"> </w:t>
      </w:r>
      <w:r w:rsidRPr="006A164C">
        <w:t>for this</w:t>
      </w:r>
      <w:r w:rsidRPr="006A164C">
        <w:rPr>
          <w:spacing w:val="1"/>
        </w:rPr>
        <w:t xml:space="preserve"> </w:t>
      </w:r>
      <w:r w:rsidRPr="006A164C">
        <w:rPr>
          <w:spacing w:val="-2"/>
        </w:rPr>
        <w:t>ICR</w:t>
      </w:r>
      <w:r w:rsidRPr="006A164C">
        <w:t xml:space="preserve"> under docket identification number</w:t>
      </w:r>
      <w:r w:rsidRPr="006A164C">
        <w:rPr>
          <w:spacing w:val="-2"/>
        </w:rPr>
        <w:t xml:space="preserve"> </w:t>
      </w:r>
      <w:r w:rsidRPr="006A164C">
        <w:rPr>
          <w:b/>
          <w:spacing w:val="-1"/>
        </w:rPr>
        <w:t>EPA-HQ-OPPT-</w:t>
      </w:r>
      <w:r w:rsidRPr="00186219">
        <w:rPr>
          <w:rFonts w:cs="Times New Roman"/>
          <w:b/>
        </w:rPr>
        <w:t>2016-0426</w:t>
      </w:r>
      <w:r w:rsidRPr="006A164C">
        <w:rPr>
          <w:spacing w:val="-1"/>
        </w:rPr>
        <w:t>.</w:t>
      </w:r>
      <w:r w:rsidRPr="006A164C">
        <w:rPr>
          <w:spacing w:val="2"/>
        </w:rPr>
        <w:t xml:space="preserve"> </w:t>
      </w:r>
      <w:r w:rsidRPr="006A164C">
        <w:rPr>
          <w:spacing w:val="-1"/>
        </w:rPr>
        <w:t>These attachments are</w:t>
      </w:r>
      <w:r w:rsidRPr="006A164C">
        <w:rPr>
          <w:spacing w:val="36"/>
        </w:rPr>
        <w:t xml:space="preserve"> </w:t>
      </w:r>
      <w:r w:rsidRPr="006A164C">
        <w:rPr>
          <w:spacing w:val="-1"/>
        </w:rPr>
        <w:t xml:space="preserve">available for online viewing at </w:t>
      </w:r>
      <w:hyperlink r:id="rId16">
        <w:r w:rsidRPr="00505245">
          <w:rPr>
            <w:i/>
            <w:u w:val="single" w:color="0000FF"/>
          </w:rPr>
          <w:t>www.regulations.gov</w:t>
        </w:r>
        <w:r w:rsidRPr="006A164C">
          <w:rPr>
            <w:u w:val="single" w:color="0000FF"/>
          </w:rPr>
          <w:t xml:space="preserve"> </w:t>
        </w:r>
      </w:hyperlink>
      <w:r w:rsidRPr="006A164C">
        <w:rPr>
          <w:spacing w:val="-1"/>
        </w:rPr>
        <w:t>or otherwise accessed as described in</w:t>
      </w:r>
      <w:r w:rsidRPr="006A164C">
        <w:rPr>
          <w:spacing w:val="20"/>
        </w:rPr>
        <w:t xml:space="preserve"> </w:t>
      </w:r>
      <w:r w:rsidRPr="006A164C">
        <w:t>section</w:t>
      </w:r>
      <w:r w:rsidRPr="006A164C">
        <w:rPr>
          <w:spacing w:val="-1"/>
        </w:rPr>
        <w:t xml:space="preserve"> </w:t>
      </w:r>
      <w:r w:rsidRPr="006A164C">
        <w:t>6(f)</w:t>
      </w:r>
      <w:r w:rsidRPr="006A164C">
        <w:rPr>
          <w:spacing w:val="-1"/>
        </w:rPr>
        <w:t xml:space="preserve"> </w:t>
      </w:r>
      <w:r w:rsidRPr="006A164C">
        <w:t>of</w:t>
      </w:r>
      <w:r w:rsidRPr="006A164C">
        <w:rPr>
          <w:spacing w:val="-1"/>
        </w:rPr>
        <w:t xml:space="preserve"> </w:t>
      </w:r>
      <w:r w:rsidRPr="006A164C">
        <w:t>the</w:t>
      </w:r>
      <w:r w:rsidRPr="006A164C">
        <w:rPr>
          <w:spacing w:val="-1"/>
        </w:rPr>
        <w:t xml:space="preserve"> </w:t>
      </w:r>
      <w:r w:rsidRPr="006A164C">
        <w:t>supporting</w:t>
      </w:r>
      <w:r w:rsidRPr="006A164C">
        <w:rPr>
          <w:spacing w:val="-1"/>
        </w:rPr>
        <w:t xml:space="preserve"> </w:t>
      </w:r>
      <w:r w:rsidRPr="006A164C">
        <w:t>statement.</w:t>
      </w:r>
    </w:p>
    <w:p w14:paraId="2559A9E0" w14:textId="77777777" w:rsidR="00505245" w:rsidRPr="006A164C" w:rsidRDefault="00505245" w:rsidP="00505245">
      <w:pPr>
        <w:rPr>
          <w:rFonts w:ascii="Times New Roman" w:eastAsia="Times New Roman" w:hAnsi="Times New Roman" w:cs="Times New Roman"/>
          <w:sz w:val="24"/>
          <w:szCs w:val="24"/>
        </w:rPr>
      </w:pPr>
    </w:p>
    <w:p w14:paraId="7BD6CFD6" w14:textId="77777777" w:rsidR="00505245" w:rsidRPr="006A164C" w:rsidRDefault="00505245" w:rsidP="00505245">
      <w:pPr>
        <w:tabs>
          <w:tab w:val="left" w:pos="2259"/>
        </w:tabs>
        <w:ind w:left="2260" w:right="270" w:hanging="2160"/>
        <w:rPr>
          <w:rFonts w:ascii="Times New Roman" w:eastAsia="Times New Roman" w:hAnsi="Times New Roman" w:cs="Times New Roman"/>
          <w:sz w:val="24"/>
          <w:szCs w:val="24"/>
        </w:rPr>
      </w:pPr>
      <w:r w:rsidRPr="006A164C">
        <w:rPr>
          <w:rFonts w:ascii="Times New Roman" w:eastAsia="Times New Roman" w:hAnsi="Times New Roman" w:cs="Times New Roman"/>
          <w:b/>
          <w:bCs/>
          <w:spacing w:val="-1"/>
          <w:sz w:val="24"/>
          <w:szCs w:val="24"/>
        </w:rPr>
        <w:t>Attachment A:</w:t>
      </w:r>
      <w:r w:rsidRPr="006A164C">
        <w:rPr>
          <w:rFonts w:ascii="Times New Roman" w:eastAsia="Times New Roman" w:hAnsi="Times New Roman" w:cs="Times New Roman"/>
          <w:b/>
          <w:bCs/>
          <w:spacing w:val="-1"/>
          <w:sz w:val="24"/>
          <w:szCs w:val="24"/>
        </w:rPr>
        <w:tab/>
      </w:r>
      <w:r w:rsidRPr="006A164C">
        <w:rPr>
          <w:rFonts w:ascii="Times New Roman" w:eastAsia="Times New Roman" w:hAnsi="Times New Roman" w:cs="Times New Roman"/>
          <w:b/>
          <w:bCs/>
          <w:sz w:val="24"/>
          <w:szCs w:val="24"/>
        </w:rPr>
        <w:t xml:space="preserve">15 U.S.C. 2607 </w:t>
      </w:r>
      <w:r w:rsidRPr="006A164C">
        <w:rPr>
          <w:rFonts w:ascii="Times New Roman" w:eastAsia="Times New Roman" w:hAnsi="Times New Roman" w:cs="Times New Roman"/>
          <w:b/>
          <w:bCs/>
          <w:i/>
          <w:sz w:val="24"/>
          <w:szCs w:val="24"/>
        </w:rPr>
        <w:t>-</w:t>
      </w:r>
      <w:r w:rsidRPr="006A164C">
        <w:rPr>
          <w:rFonts w:ascii="Times New Roman" w:eastAsia="Times New Roman" w:hAnsi="Times New Roman" w:cs="Times New Roman"/>
          <w:b/>
          <w:bCs/>
          <w:i/>
          <w:spacing w:val="-1"/>
          <w:sz w:val="24"/>
          <w:szCs w:val="24"/>
        </w:rPr>
        <w:t xml:space="preserve"> </w:t>
      </w:r>
      <w:r w:rsidRPr="006A164C">
        <w:rPr>
          <w:rFonts w:ascii="Times New Roman" w:eastAsia="Times New Roman" w:hAnsi="Times New Roman" w:cs="Times New Roman"/>
          <w:b/>
          <w:bCs/>
          <w:sz w:val="24"/>
          <w:szCs w:val="24"/>
        </w:rPr>
        <w:t xml:space="preserve">Section 8(b) of the Toxic Substances Control Act. </w:t>
      </w:r>
      <w:r w:rsidRPr="006A164C">
        <w:rPr>
          <w:rFonts w:ascii="Times New Roman" w:eastAsia="Times New Roman" w:hAnsi="Times New Roman" w:cs="Times New Roman"/>
          <w:sz w:val="24"/>
          <w:szCs w:val="24"/>
        </w:rPr>
        <w:t>Also</w:t>
      </w:r>
      <w:r w:rsidRPr="006A164C">
        <w:rPr>
          <w:rFonts w:ascii="Times New Roman" w:eastAsia="Times New Roman" w:hAnsi="Times New Roman" w:cs="Times New Roman"/>
          <w:spacing w:val="23"/>
          <w:sz w:val="24"/>
          <w:szCs w:val="24"/>
        </w:rPr>
        <w:t xml:space="preserve"> </w:t>
      </w:r>
      <w:r w:rsidRPr="006A164C">
        <w:rPr>
          <w:rFonts w:ascii="Times New Roman" w:eastAsia="Times New Roman" w:hAnsi="Times New Roman" w:cs="Times New Roman"/>
          <w:spacing w:val="-1"/>
          <w:sz w:val="24"/>
          <w:szCs w:val="24"/>
        </w:rPr>
        <w:t>available online at the U.S. House of Representatives’</w:t>
      </w:r>
      <w:r w:rsidRPr="006A164C">
        <w:rPr>
          <w:rFonts w:ascii="Times New Roman" w:eastAsia="Times New Roman" w:hAnsi="Times New Roman" w:cs="Times New Roman"/>
          <w:spacing w:val="-2"/>
          <w:sz w:val="24"/>
          <w:szCs w:val="24"/>
        </w:rPr>
        <w:t xml:space="preserve"> </w:t>
      </w:r>
      <w:r w:rsidRPr="006A164C">
        <w:rPr>
          <w:rFonts w:ascii="Times New Roman" w:eastAsia="Times New Roman" w:hAnsi="Times New Roman" w:cs="Times New Roman"/>
          <w:sz w:val="24"/>
          <w:szCs w:val="24"/>
          <w:u w:val="single" w:color="0000FF"/>
        </w:rPr>
        <w:t>U.S. Code website</w:t>
      </w:r>
    </w:p>
    <w:p w14:paraId="7AF0404C" w14:textId="77777777" w:rsidR="00505245" w:rsidRPr="006A164C" w:rsidRDefault="00505245" w:rsidP="00505245">
      <w:pPr>
        <w:spacing w:before="11"/>
        <w:rPr>
          <w:rFonts w:ascii="Times New Roman" w:eastAsia="Times New Roman" w:hAnsi="Times New Roman" w:cs="Times New Roman"/>
          <w:sz w:val="17"/>
          <w:szCs w:val="17"/>
        </w:rPr>
      </w:pPr>
    </w:p>
    <w:p w14:paraId="6DDF91AD" w14:textId="212462A3" w:rsidR="00505245" w:rsidRPr="006A164C" w:rsidRDefault="00505245" w:rsidP="00505245">
      <w:pPr>
        <w:tabs>
          <w:tab w:val="left" w:pos="2259"/>
        </w:tabs>
        <w:spacing w:before="69"/>
        <w:ind w:left="2260" w:right="927" w:hanging="2160"/>
        <w:rPr>
          <w:rFonts w:ascii="Times New Roman" w:eastAsia="Times New Roman" w:hAnsi="Times New Roman" w:cs="Times New Roman"/>
          <w:sz w:val="24"/>
          <w:szCs w:val="24"/>
        </w:rPr>
      </w:pPr>
      <w:r w:rsidRPr="006A164C">
        <w:rPr>
          <w:rFonts w:ascii="Times New Roman" w:eastAsia="Times New Roman" w:hAnsi="Times New Roman" w:cs="Times New Roman"/>
          <w:b/>
          <w:bCs/>
          <w:sz w:val="24"/>
          <w:szCs w:val="24"/>
        </w:rPr>
        <w:t>Attachment</w:t>
      </w:r>
      <w:r w:rsidRPr="006A164C">
        <w:rPr>
          <w:rFonts w:ascii="Times New Roman" w:eastAsia="Times New Roman" w:hAnsi="Times New Roman" w:cs="Times New Roman"/>
          <w:b/>
          <w:bCs/>
          <w:spacing w:val="-1"/>
          <w:sz w:val="24"/>
          <w:szCs w:val="24"/>
        </w:rPr>
        <w:t xml:space="preserve"> </w:t>
      </w:r>
      <w:r w:rsidRPr="006A164C">
        <w:rPr>
          <w:rFonts w:ascii="Times New Roman" w:eastAsia="Times New Roman" w:hAnsi="Times New Roman" w:cs="Times New Roman"/>
          <w:b/>
          <w:bCs/>
          <w:sz w:val="24"/>
          <w:szCs w:val="24"/>
        </w:rPr>
        <w:t>B:</w:t>
      </w:r>
      <w:r w:rsidRPr="006A164C">
        <w:rPr>
          <w:rFonts w:ascii="Times New Roman" w:eastAsia="Times New Roman" w:hAnsi="Times New Roman" w:cs="Times New Roman"/>
          <w:b/>
          <w:bCs/>
          <w:sz w:val="24"/>
          <w:szCs w:val="24"/>
        </w:rPr>
        <w:tab/>
      </w:r>
      <w:r w:rsidRPr="006A164C">
        <w:rPr>
          <w:rFonts w:ascii="Times New Roman" w:eastAsia="Times New Roman" w:hAnsi="Times New Roman" w:cs="Times New Roman"/>
          <w:b/>
          <w:bCs/>
          <w:spacing w:val="-1"/>
          <w:sz w:val="24"/>
          <w:szCs w:val="24"/>
        </w:rPr>
        <w:t xml:space="preserve">40 CFR part </w:t>
      </w:r>
      <w:r w:rsidRPr="006A164C">
        <w:rPr>
          <w:rFonts w:ascii="Times New Roman" w:eastAsia="Times New Roman" w:hAnsi="Times New Roman" w:cs="Times New Roman"/>
          <w:b/>
          <w:bCs/>
          <w:sz w:val="24"/>
          <w:szCs w:val="24"/>
        </w:rPr>
        <w:t>710</w:t>
      </w:r>
      <w:r w:rsidRPr="006A164C">
        <w:rPr>
          <w:rFonts w:ascii="Times New Roman" w:eastAsia="Times New Roman" w:hAnsi="Times New Roman" w:cs="Times New Roman"/>
          <w:spacing w:val="-1"/>
          <w:sz w:val="24"/>
          <w:szCs w:val="24"/>
        </w:rPr>
        <w:t>.</w:t>
      </w:r>
      <w:r w:rsidRPr="006A164C">
        <w:rPr>
          <w:rFonts w:ascii="Times New Roman" w:eastAsia="Times New Roman" w:hAnsi="Times New Roman" w:cs="Times New Roman"/>
          <w:sz w:val="24"/>
          <w:szCs w:val="24"/>
        </w:rPr>
        <w:t xml:space="preserve"> </w:t>
      </w:r>
      <w:r w:rsidR="00970D28">
        <w:rPr>
          <w:rFonts w:ascii="Times New Roman" w:eastAsia="Times New Roman" w:hAnsi="Times New Roman" w:cs="Times New Roman"/>
          <w:sz w:val="24"/>
          <w:szCs w:val="24"/>
        </w:rPr>
        <w:t xml:space="preserve">[Final Rule] </w:t>
      </w:r>
      <w:r w:rsidRPr="006A164C">
        <w:rPr>
          <w:rFonts w:ascii="Times New Roman" w:eastAsia="Times New Roman" w:hAnsi="Times New Roman" w:cs="Times New Roman"/>
          <w:sz w:val="24"/>
          <w:szCs w:val="24"/>
        </w:rPr>
        <w:t xml:space="preserve">Also </w:t>
      </w:r>
      <w:r w:rsidRPr="006A164C">
        <w:rPr>
          <w:rFonts w:ascii="Times New Roman" w:eastAsia="Times New Roman" w:hAnsi="Times New Roman" w:cs="Times New Roman"/>
          <w:spacing w:val="-1"/>
          <w:sz w:val="24"/>
          <w:szCs w:val="24"/>
        </w:rPr>
        <w:t>available</w:t>
      </w:r>
      <w:r w:rsidRPr="006A164C">
        <w:rPr>
          <w:rFonts w:ascii="Times New Roman" w:eastAsia="Times New Roman" w:hAnsi="Times New Roman" w:cs="Times New Roman"/>
          <w:sz w:val="24"/>
          <w:szCs w:val="24"/>
        </w:rPr>
        <w:t xml:space="preserve"> online at the National</w:t>
      </w:r>
      <w:r w:rsidRPr="006A164C">
        <w:rPr>
          <w:rFonts w:ascii="Times New Roman" w:eastAsia="Times New Roman" w:hAnsi="Times New Roman" w:cs="Times New Roman"/>
          <w:spacing w:val="27"/>
          <w:sz w:val="24"/>
          <w:szCs w:val="24"/>
        </w:rPr>
        <w:t xml:space="preserve"> </w:t>
      </w:r>
      <w:r w:rsidRPr="006A164C">
        <w:rPr>
          <w:rFonts w:ascii="Times New Roman" w:eastAsia="Times New Roman" w:hAnsi="Times New Roman" w:cs="Times New Roman"/>
          <w:sz w:val="24"/>
          <w:szCs w:val="24"/>
        </w:rPr>
        <w:t xml:space="preserve">Archives and Records Administration’s </w:t>
      </w:r>
      <w:r w:rsidRPr="006A164C">
        <w:rPr>
          <w:rFonts w:ascii="Times New Roman" w:eastAsia="Times New Roman" w:hAnsi="Times New Roman" w:cs="Times New Roman"/>
          <w:spacing w:val="-1"/>
          <w:sz w:val="24"/>
          <w:szCs w:val="24"/>
          <w:u w:val="single" w:color="0000FF"/>
        </w:rPr>
        <w:t>Electronic CFR website</w:t>
      </w:r>
    </w:p>
    <w:p w14:paraId="34E4939B" w14:textId="77777777" w:rsidR="00505245" w:rsidRPr="006A164C" w:rsidRDefault="00505245" w:rsidP="00505245">
      <w:pPr>
        <w:spacing w:before="11"/>
        <w:rPr>
          <w:rFonts w:ascii="Times New Roman" w:eastAsia="Times New Roman" w:hAnsi="Times New Roman" w:cs="Times New Roman"/>
          <w:sz w:val="17"/>
          <w:szCs w:val="17"/>
        </w:rPr>
      </w:pPr>
    </w:p>
    <w:p w14:paraId="3FFF8197" w14:textId="77777777" w:rsidR="00505245" w:rsidRDefault="00505245" w:rsidP="00505245">
      <w:pPr>
        <w:spacing w:before="5"/>
        <w:ind w:left="2250" w:hanging="2160"/>
        <w:rPr>
          <w:rFonts w:ascii="Times New Roman"/>
          <w:sz w:val="24"/>
          <w:u w:val="single" w:color="0000FF"/>
        </w:rPr>
      </w:pPr>
      <w:r w:rsidRPr="006A164C">
        <w:rPr>
          <w:rFonts w:ascii="Times New Roman" w:hAnsi="Times New Roman" w:cs="Times New Roman"/>
          <w:b/>
          <w:sz w:val="24"/>
          <w:szCs w:val="24"/>
        </w:rPr>
        <w:t>Attachment</w:t>
      </w:r>
      <w:r w:rsidRPr="006A164C">
        <w:rPr>
          <w:rFonts w:ascii="Times New Roman" w:hAnsi="Times New Roman" w:cs="Times New Roman"/>
          <w:b/>
          <w:spacing w:val="-1"/>
          <w:sz w:val="24"/>
          <w:szCs w:val="24"/>
        </w:rPr>
        <w:t xml:space="preserve"> </w:t>
      </w:r>
      <w:r>
        <w:rPr>
          <w:rFonts w:ascii="Times New Roman" w:hAnsi="Times New Roman" w:cs="Times New Roman"/>
          <w:b/>
          <w:sz w:val="24"/>
          <w:szCs w:val="24"/>
        </w:rPr>
        <w:t>C</w:t>
      </w:r>
      <w:r w:rsidRPr="006A164C">
        <w:rPr>
          <w:rFonts w:ascii="Times New Roman" w:hAnsi="Times New Roman" w:cs="Times New Roman"/>
          <w:b/>
          <w:sz w:val="24"/>
          <w:szCs w:val="24"/>
        </w:rPr>
        <w:t>:</w:t>
      </w:r>
      <w:r w:rsidRPr="006A164C">
        <w:rPr>
          <w:rFonts w:ascii="Times New Roman" w:hAnsi="Times New Roman" w:cs="Times New Roman"/>
          <w:b/>
          <w:sz w:val="24"/>
          <w:szCs w:val="24"/>
        </w:rPr>
        <w:tab/>
      </w:r>
      <w:r w:rsidRPr="006A164C">
        <w:rPr>
          <w:rFonts w:ascii="Times New Roman"/>
          <w:b/>
          <w:sz w:val="24"/>
        </w:rPr>
        <w:t>Instruction Manual for TSCA Section 8(b) Reporting</w:t>
      </w:r>
      <w:r w:rsidRPr="006A164C">
        <w:rPr>
          <w:rFonts w:ascii="Times New Roman"/>
          <w:sz w:val="24"/>
        </w:rPr>
        <w:t xml:space="preserve">. </w:t>
      </w:r>
      <w:r w:rsidRPr="006A164C">
        <w:rPr>
          <w:rFonts w:ascii="Times New Roman"/>
          <w:spacing w:val="-1"/>
          <w:sz w:val="24"/>
        </w:rPr>
        <w:t>Also available online at</w:t>
      </w:r>
      <w:r w:rsidRPr="006A164C">
        <w:rPr>
          <w:rFonts w:ascii="Times New Roman"/>
          <w:sz w:val="24"/>
        </w:rPr>
        <w:t xml:space="preserve"> </w:t>
      </w:r>
      <w:r w:rsidRPr="006A164C">
        <w:rPr>
          <w:rFonts w:ascii="Times New Roman"/>
          <w:sz w:val="24"/>
          <w:u w:val="single" w:color="0000FF"/>
        </w:rPr>
        <w:t>http://www.epa.gov/oppt/newchems/pubs/tscaman2.pdf</w:t>
      </w:r>
    </w:p>
    <w:p w14:paraId="481B675B" w14:textId="77777777" w:rsidR="00505245" w:rsidRDefault="00505245" w:rsidP="00505245">
      <w:pPr>
        <w:tabs>
          <w:tab w:val="left" w:pos="2259"/>
        </w:tabs>
        <w:spacing w:before="69"/>
        <w:ind w:left="2260" w:right="272" w:hanging="2160"/>
        <w:rPr>
          <w:rFonts w:ascii="Times New Roman" w:eastAsia="Times New Roman" w:hAnsi="Times New Roman" w:cs="Times New Roman"/>
          <w:b/>
          <w:bCs/>
          <w:spacing w:val="-1"/>
          <w:sz w:val="24"/>
          <w:szCs w:val="24"/>
        </w:rPr>
      </w:pPr>
    </w:p>
    <w:p w14:paraId="5E58DE4E" w14:textId="6E9D5E4A" w:rsidR="00505245" w:rsidRPr="006A164C" w:rsidRDefault="00505245" w:rsidP="00505245">
      <w:pPr>
        <w:tabs>
          <w:tab w:val="left" w:pos="2259"/>
        </w:tabs>
        <w:spacing w:before="69"/>
        <w:ind w:left="2260" w:right="272" w:hanging="2160"/>
        <w:rPr>
          <w:rFonts w:ascii="Times New Roman" w:eastAsia="Times New Roman" w:hAnsi="Times New Roman" w:cs="Times New Roman"/>
          <w:sz w:val="24"/>
          <w:szCs w:val="24"/>
        </w:rPr>
      </w:pPr>
      <w:r w:rsidRPr="006A164C">
        <w:rPr>
          <w:rFonts w:ascii="Times New Roman" w:eastAsia="Times New Roman" w:hAnsi="Times New Roman" w:cs="Times New Roman"/>
          <w:b/>
          <w:bCs/>
          <w:spacing w:val="-1"/>
          <w:sz w:val="24"/>
          <w:szCs w:val="24"/>
        </w:rPr>
        <w:t xml:space="preserve">Attachment </w:t>
      </w:r>
      <w:r>
        <w:rPr>
          <w:rFonts w:ascii="Times New Roman" w:eastAsia="Times New Roman" w:hAnsi="Times New Roman" w:cs="Times New Roman"/>
          <w:b/>
          <w:bCs/>
          <w:spacing w:val="-1"/>
          <w:sz w:val="24"/>
          <w:szCs w:val="24"/>
        </w:rPr>
        <w:t>D</w:t>
      </w:r>
      <w:r w:rsidRPr="006A164C">
        <w:rPr>
          <w:rFonts w:ascii="Times New Roman" w:eastAsia="Times New Roman" w:hAnsi="Times New Roman" w:cs="Times New Roman"/>
          <w:b/>
          <w:bCs/>
          <w:spacing w:val="-1"/>
          <w:sz w:val="24"/>
          <w:szCs w:val="24"/>
        </w:rPr>
        <w:t>:</w:t>
      </w:r>
      <w:r w:rsidRPr="006A164C">
        <w:rPr>
          <w:rFonts w:ascii="Times New Roman" w:eastAsia="Times New Roman" w:hAnsi="Times New Roman" w:cs="Times New Roman"/>
          <w:b/>
          <w:bCs/>
          <w:spacing w:val="-1"/>
          <w:sz w:val="24"/>
          <w:szCs w:val="24"/>
        </w:rPr>
        <w:tab/>
      </w:r>
      <w:r w:rsidRPr="006A164C">
        <w:rPr>
          <w:rFonts w:ascii="Times New Roman"/>
          <w:b/>
          <w:spacing w:val="-1"/>
          <w:sz w:val="24"/>
        </w:rPr>
        <w:t>EPA Form [</w:t>
      </w:r>
      <w:r w:rsidR="00292829">
        <w:rPr>
          <w:rFonts w:ascii="Times New Roman"/>
          <w:b/>
          <w:color w:val="FF0000"/>
          <w:spacing w:val="-1"/>
          <w:sz w:val="24"/>
        </w:rPr>
        <w:t>tba</w:t>
      </w:r>
      <w:r w:rsidRPr="006A164C">
        <w:rPr>
          <w:rFonts w:ascii="Times New Roman"/>
          <w:b/>
          <w:spacing w:val="-1"/>
          <w:sz w:val="24"/>
        </w:rPr>
        <w:t>]</w:t>
      </w:r>
      <w:r w:rsidRPr="006A164C">
        <w:rPr>
          <w:rFonts w:ascii="Times New Roman"/>
          <w:b/>
          <w:sz w:val="24"/>
        </w:rPr>
        <w:t xml:space="preserve"> </w:t>
      </w:r>
      <w:r w:rsidRPr="006A164C">
        <w:rPr>
          <w:rFonts w:ascii="Times New Roman"/>
          <w:b/>
          <w:i/>
          <w:sz w:val="24"/>
        </w:rPr>
        <w:t>–</w:t>
      </w:r>
      <w:r w:rsidRPr="006A164C">
        <w:rPr>
          <w:rFonts w:ascii="Times New Roman"/>
          <w:b/>
          <w:i/>
          <w:spacing w:val="1"/>
          <w:sz w:val="24"/>
        </w:rPr>
        <w:t xml:space="preserve"> </w:t>
      </w:r>
      <w:r w:rsidRPr="006A164C">
        <w:rPr>
          <w:rFonts w:ascii="Times New Roman"/>
          <w:b/>
          <w:spacing w:val="-1"/>
          <w:sz w:val="24"/>
        </w:rPr>
        <w:t>Notice of Activity Form A.</w:t>
      </w:r>
      <w:r w:rsidRPr="006A164C">
        <w:rPr>
          <w:rFonts w:ascii="Times New Roman"/>
          <w:b/>
          <w:spacing w:val="2"/>
          <w:sz w:val="24"/>
        </w:rPr>
        <w:t xml:space="preserve"> </w:t>
      </w:r>
      <w:r w:rsidRPr="006A164C">
        <w:rPr>
          <w:rFonts w:ascii="Times New Roman"/>
          <w:sz w:val="24"/>
        </w:rPr>
        <w:t xml:space="preserve">Also available online at </w:t>
      </w:r>
      <w:hyperlink r:id="rId17" w:history="1">
        <w:r w:rsidRPr="006A164C">
          <w:rPr>
            <w:rStyle w:val="Hyperlink"/>
            <w:rFonts w:ascii="Times New Roman"/>
            <w:color w:val="auto"/>
            <w:sz w:val="24"/>
            <w:u w:color="0000FF"/>
          </w:rPr>
          <w:t>http://epa.gov/oppt/newchems/pubs/NOAA.htm</w:t>
        </w:r>
      </w:hyperlink>
    </w:p>
    <w:p w14:paraId="125544C9" w14:textId="77777777" w:rsidR="00505245" w:rsidRPr="006A164C" w:rsidRDefault="00505245" w:rsidP="00505245">
      <w:pPr>
        <w:spacing w:before="11"/>
        <w:rPr>
          <w:rFonts w:ascii="Times New Roman" w:eastAsia="Times New Roman" w:hAnsi="Times New Roman" w:cs="Times New Roman"/>
          <w:sz w:val="17"/>
          <w:szCs w:val="17"/>
        </w:rPr>
      </w:pPr>
    </w:p>
    <w:p w14:paraId="6C3C7C74" w14:textId="666D7556" w:rsidR="00505245" w:rsidRPr="006A164C" w:rsidRDefault="00505245" w:rsidP="00505245">
      <w:pPr>
        <w:tabs>
          <w:tab w:val="left" w:pos="2259"/>
        </w:tabs>
        <w:spacing w:before="69"/>
        <w:ind w:left="2260" w:right="637" w:hanging="2160"/>
        <w:rPr>
          <w:rFonts w:ascii="Times New Roman" w:eastAsia="Times New Roman" w:hAnsi="Times New Roman" w:cs="Times New Roman"/>
          <w:sz w:val="24"/>
          <w:szCs w:val="24"/>
        </w:rPr>
      </w:pPr>
      <w:r w:rsidRPr="006A164C">
        <w:rPr>
          <w:rFonts w:ascii="Times New Roman"/>
          <w:b/>
          <w:spacing w:val="-1"/>
          <w:sz w:val="24"/>
        </w:rPr>
        <w:t xml:space="preserve">Attachment </w:t>
      </w:r>
      <w:r>
        <w:rPr>
          <w:rFonts w:ascii="Times New Roman"/>
          <w:b/>
          <w:spacing w:val="-1"/>
          <w:sz w:val="24"/>
        </w:rPr>
        <w:t>E</w:t>
      </w:r>
      <w:r w:rsidRPr="006A164C">
        <w:rPr>
          <w:rFonts w:ascii="Times New Roman"/>
          <w:b/>
          <w:spacing w:val="-1"/>
          <w:sz w:val="24"/>
        </w:rPr>
        <w:t>:</w:t>
      </w:r>
      <w:r w:rsidRPr="006A164C">
        <w:rPr>
          <w:rFonts w:ascii="Times New Roman"/>
          <w:b/>
          <w:spacing w:val="-1"/>
          <w:sz w:val="24"/>
        </w:rPr>
        <w:tab/>
        <w:t>EPA Form [</w:t>
      </w:r>
      <w:r w:rsidR="00292829">
        <w:rPr>
          <w:rFonts w:ascii="Times New Roman"/>
          <w:b/>
          <w:color w:val="FF0000"/>
          <w:spacing w:val="-1"/>
          <w:sz w:val="24"/>
        </w:rPr>
        <w:t>tba</w:t>
      </w:r>
      <w:r w:rsidRPr="006A164C">
        <w:rPr>
          <w:rFonts w:ascii="Times New Roman"/>
          <w:b/>
          <w:spacing w:val="-1"/>
          <w:sz w:val="24"/>
        </w:rPr>
        <w:t>]</w:t>
      </w:r>
      <w:r w:rsidRPr="006A164C">
        <w:rPr>
          <w:rFonts w:ascii="Times New Roman"/>
          <w:b/>
          <w:sz w:val="24"/>
        </w:rPr>
        <w:t xml:space="preserve"> </w:t>
      </w:r>
      <w:r w:rsidRPr="006A164C">
        <w:rPr>
          <w:rFonts w:ascii="Times New Roman"/>
          <w:b/>
          <w:i/>
          <w:sz w:val="24"/>
        </w:rPr>
        <w:t>-</w:t>
      </w:r>
      <w:r w:rsidRPr="006A164C">
        <w:rPr>
          <w:rFonts w:ascii="Times New Roman"/>
          <w:b/>
          <w:i/>
          <w:spacing w:val="1"/>
          <w:sz w:val="24"/>
        </w:rPr>
        <w:t xml:space="preserve"> </w:t>
      </w:r>
      <w:r w:rsidRPr="006A164C">
        <w:rPr>
          <w:rFonts w:ascii="Times New Roman"/>
          <w:b/>
          <w:spacing w:val="-1"/>
          <w:sz w:val="24"/>
        </w:rPr>
        <w:t>Notice of Activity Form B.</w:t>
      </w:r>
      <w:r w:rsidRPr="006A164C">
        <w:rPr>
          <w:rFonts w:ascii="Times New Roman"/>
          <w:b/>
          <w:sz w:val="24"/>
        </w:rPr>
        <w:t xml:space="preserve"> </w:t>
      </w:r>
      <w:r w:rsidRPr="006A164C">
        <w:rPr>
          <w:rFonts w:ascii="Times New Roman"/>
          <w:sz w:val="24"/>
        </w:rPr>
        <w:t xml:space="preserve">Also available online at </w:t>
      </w:r>
      <w:hyperlink r:id="rId18" w:history="1">
        <w:r w:rsidRPr="006A164C">
          <w:rPr>
            <w:rStyle w:val="Hyperlink"/>
            <w:rFonts w:ascii="Times New Roman"/>
            <w:color w:val="auto"/>
            <w:sz w:val="24"/>
            <w:u w:color="0000FF"/>
          </w:rPr>
          <w:t>http://epa.gov/oppt/newchems/pubs/NOAB.pdf</w:t>
        </w:r>
      </w:hyperlink>
    </w:p>
    <w:p w14:paraId="677F5923" w14:textId="77777777" w:rsidR="00505245" w:rsidRPr="006A164C" w:rsidRDefault="00505245" w:rsidP="00505245">
      <w:pPr>
        <w:spacing w:before="5"/>
        <w:rPr>
          <w:rFonts w:ascii="Times New Roman" w:eastAsia="Times New Roman" w:hAnsi="Times New Roman" w:cs="Times New Roman"/>
          <w:sz w:val="18"/>
          <w:szCs w:val="18"/>
        </w:rPr>
      </w:pPr>
    </w:p>
    <w:p w14:paraId="1B8B7C3E" w14:textId="6715ABD8" w:rsidR="00505245" w:rsidRPr="00960751" w:rsidRDefault="00505245" w:rsidP="00505245">
      <w:pPr>
        <w:tabs>
          <w:tab w:val="left" w:pos="2259"/>
        </w:tabs>
        <w:spacing w:before="69"/>
        <w:ind w:left="2260" w:right="637" w:hanging="2160"/>
        <w:rPr>
          <w:rFonts w:ascii="Times New Roman" w:hAnsi="Times New Roman" w:cs="Times New Roman"/>
          <w:spacing w:val="23"/>
          <w:sz w:val="24"/>
          <w:szCs w:val="24"/>
        </w:rPr>
      </w:pPr>
      <w:r w:rsidRPr="006A164C">
        <w:rPr>
          <w:rFonts w:ascii="Times New Roman" w:hAnsi="Times New Roman" w:cs="Times New Roman"/>
          <w:b/>
          <w:spacing w:val="-1"/>
          <w:sz w:val="24"/>
          <w:szCs w:val="24"/>
        </w:rPr>
        <w:t xml:space="preserve">Attachment </w:t>
      </w:r>
      <w:r>
        <w:rPr>
          <w:rFonts w:ascii="Times New Roman" w:hAnsi="Times New Roman" w:cs="Times New Roman"/>
          <w:b/>
          <w:spacing w:val="-1"/>
          <w:sz w:val="24"/>
          <w:szCs w:val="24"/>
        </w:rPr>
        <w:t>F</w:t>
      </w:r>
      <w:r w:rsidRPr="006A164C">
        <w:rPr>
          <w:rFonts w:ascii="Times New Roman" w:hAnsi="Times New Roman" w:cs="Times New Roman"/>
          <w:spacing w:val="-1"/>
          <w:sz w:val="24"/>
          <w:szCs w:val="24"/>
        </w:rPr>
        <w:t>:</w:t>
      </w:r>
      <w:r w:rsidRPr="006A164C">
        <w:rPr>
          <w:rFonts w:ascii="Times New Roman" w:hAnsi="Times New Roman" w:cs="Times New Roman"/>
          <w:spacing w:val="-1"/>
          <w:sz w:val="24"/>
          <w:szCs w:val="24"/>
        </w:rPr>
        <w:tab/>
      </w:r>
      <w:r w:rsidRPr="006A164C">
        <w:rPr>
          <w:rFonts w:ascii="Times New Roman" w:hAnsi="Times New Roman" w:cs="Times New Roman"/>
          <w:b/>
          <w:sz w:val="24"/>
          <w:szCs w:val="24"/>
        </w:rPr>
        <w:t xml:space="preserve">Public Comments Received and </w:t>
      </w:r>
      <w:r w:rsidRPr="006A164C">
        <w:rPr>
          <w:rFonts w:ascii="Times New Roman" w:hAnsi="Times New Roman" w:cs="Times New Roman"/>
          <w:b/>
          <w:spacing w:val="-1"/>
          <w:sz w:val="24"/>
          <w:szCs w:val="24"/>
        </w:rPr>
        <w:t>EPA Responses</w:t>
      </w:r>
      <w:r w:rsidRPr="006A164C">
        <w:rPr>
          <w:rFonts w:ascii="Times New Roman" w:hAnsi="Times New Roman" w:cs="Times New Roman"/>
          <w:b/>
          <w:sz w:val="24"/>
          <w:szCs w:val="24"/>
        </w:rPr>
        <w:t xml:space="preserve"> </w:t>
      </w:r>
      <w:r w:rsidR="00960751">
        <w:rPr>
          <w:rFonts w:ascii="Times New Roman" w:hAnsi="Times New Roman" w:cs="Times New Roman"/>
          <w:b/>
          <w:sz w:val="24"/>
          <w:szCs w:val="24"/>
        </w:rPr>
        <w:t>to Proposed Rule.</w:t>
      </w:r>
      <w:r w:rsidR="00960751">
        <w:rPr>
          <w:rFonts w:ascii="Times New Roman" w:hAnsi="Times New Roman" w:cs="Times New Roman"/>
          <w:sz w:val="24"/>
          <w:szCs w:val="24"/>
        </w:rPr>
        <w:t xml:space="preserve">  See Response to Comment document in the docket.</w:t>
      </w:r>
    </w:p>
    <w:sectPr w:rsidR="00505245" w:rsidRPr="00960751" w:rsidSect="0082527B">
      <w:footerReference w:type="default" r:id="rId19"/>
      <w:pgSz w:w="12240" w:h="15840"/>
      <w:pgMar w:top="1480" w:right="1340" w:bottom="920" w:left="13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AA70F" w14:textId="77777777" w:rsidR="008348EC" w:rsidRDefault="008348EC">
      <w:r>
        <w:separator/>
      </w:r>
    </w:p>
  </w:endnote>
  <w:endnote w:type="continuationSeparator" w:id="0">
    <w:p w14:paraId="5914C06F" w14:textId="77777777" w:rsidR="008348EC" w:rsidRDefault="0083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10C6" w14:textId="28B7511E" w:rsidR="008348EC" w:rsidRDefault="008348EC">
    <w:pPr>
      <w:pStyle w:val="Footer"/>
      <w:jc w:val="center"/>
    </w:pPr>
  </w:p>
  <w:p w14:paraId="3F2943B6" w14:textId="77777777" w:rsidR="008348EC" w:rsidRDefault="008348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529695"/>
      <w:docPartObj>
        <w:docPartGallery w:val="Page Numbers (Bottom of Page)"/>
        <w:docPartUnique/>
      </w:docPartObj>
    </w:sdtPr>
    <w:sdtEndPr/>
    <w:sdtContent>
      <w:sdt>
        <w:sdtPr>
          <w:id w:val="1728636285"/>
          <w:docPartObj>
            <w:docPartGallery w:val="Page Numbers (Top of Page)"/>
            <w:docPartUnique/>
          </w:docPartObj>
        </w:sdtPr>
        <w:sdtEndPr/>
        <w:sdtContent>
          <w:p w14:paraId="3C83F84B" w14:textId="4AC8F2FC" w:rsidR="008348EC" w:rsidRDefault="008348EC" w:rsidP="008348EC">
            <w:pPr>
              <w:pStyle w:val="Footer"/>
              <w:spacing w:before="12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58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58E6">
              <w:rPr>
                <w:b/>
                <w:bCs/>
                <w:noProof/>
              </w:rPr>
              <w:t>1</w:t>
            </w:r>
            <w:r>
              <w:rPr>
                <w:b/>
                <w:bCs/>
                <w:sz w:val="24"/>
                <w:szCs w:val="24"/>
              </w:rPr>
              <w:fldChar w:fldCharType="end"/>
            </w:r>
          </w:p>
        </w:sdtContent>
      </w:sdt>
    </w:sdtContent>
  </w:sdt>
  <w:p w14:paraId="0BE34331" w14:textId="77777777" w:rsidR="008348EC" w:rsidRDefault="008348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4F95" w14:textId="77777777" w:rsidR="008348EC" w:rsidRDefault="008348EC">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98490" w14:textId="616D88A1" w:rsidR="008348EC" w:rsidRDefault="008348EC">
    <w:pPr>
      <w:pStyle w:val="Footer"/>
      <w:jc w:val="center"/>
    </w:pPr>
  </w:p>
  <w:p w14:paraId="13FF7E07" w14:textId="77777777" w:rsidR="008348EC" w:rsidRDefault="008348E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BA05B" w14:textId="77777777" w:rsidR="008348EC" w:rsidRDefault="008348EC">
      <w:r>
        <w:separator/>
      </w:r>
    </w:p>
  </w:footnote>
  <w:footnote w:type="continuationSeparator" w:id="0">
    <w:p w14:paraId="51D54407" w14:textId="77777777" w:rsidR="008348EC" w:rsidRDefault="008348EC">
      <w:r>
        <w:continuationSeparator/>
      </w:r>
    </w:p>
  </w:footnote>
  <w:footnote w:id="1">
    <w:p w14:paraId="4DEDD282" w14:textId="3CDB414B" w:rsidR="008348EC" w:rsidRDefault="008348EC" w:rsidP="00380869">
      <w:pPr>
        <w:pStyle w:val="FootnoteText"/>
        <w:ind w:left="180" w:firstLine="0"/>
      </w:pPr>
      <w:r>
        <w:rPr>
          <w:rStyle w:val="FootnoteReference"/>
        </w:rPr>
        <w:footnoteRef/>
      </w:r>
      <w:r>
        <w:t xml:space="preserve"> </w:t>
      </w:r>
      <w:r>
        <w:rPr>
          <w:spacing w:val="-1"/>
        </w:rPr>
        <w:t>Identified by FRL-</w:t>
      </w:r>
      <w:r w:rsidRPr="008348EC">
        <w:rPr>
          <w:spacing w:val="-1"/>
        </w:rPr>
        <w:t>9964-22</w:t>
      </w:r>
      <w:r>
        <w:rPr>
          <w:spacing w:val="-1"/>
        </w:rPr>
        <w:t xml:space="preserve"> and RIN 2070-AK24, o</w:t>
      </w:r>
      <w:r>
        <w:t xml:space="preserve">nce published in the </w:t>
      </w:r>
      <w:r w:rsidRPr="00236A79">
        <w:rPr>
          <w:b/>
        </w:rPr>
        <w:t>Federal Register</w:t>
      </w:r>
      <w:r>
        <w:t>, the final rule will be available in the docket identified above. As part of the rulemaking, EPA also prepared a report entitled “Burden and Cost Report for the Final Rule: TSCA Inventory Notification Requirements” that is available in the docket.</w:t>
      </w:r>
    </w:p>
  </w:footnote>
  <w:footnote w:id="2">
    <w:p w14:paraId="7FC797D6" w14:textId="190139AC" w:rsidR="00792744" w:rsidRDefault="00792744" w:rsidP="00792744">
      <w:pPr>
        <w:pStyle w:val="FootnoteText"/>
        <w:ind w:left="180" w:hanging="180"/>
      </w:pPr>
      <w:r>
        <w:rPr>
          <w:rStyle w:val="FootnoteReference"/>
        </w:rPr>
        <w:footnoteRef/>
      </w:r>
      <w:r>
        <w:t xml:space="preserve">   EPA maintains a form registry that will assign a unique identification number to these forms once they are finalized.</w:t>
      </w:r>
    </w:p>
  </w:footnote>
  <w:footnote w:id="3">
    <w:p w14:paraId="7A3EC68B" w14:textId="77777777" w:rsidR="008348EC" w:rsidRDefault="008348EC" w:rsidP="00505245">
      <w:pPr>
        <w:pStyle w:val="FootnoteText"/>
        <w:tabs>
          <w:tab w:val="left" w:pos="360"/>
        </w:tabs>
        <w:ind w:hanging="180"/>
      </w:pPr>
      <w:r>
        <w:rPr>
          <w:rStyle w:val="FootnoteReference"/>
        </w:rPr>
        <w:footnoteRef/>
      </w:r>
      <w:r>
        <w:t xml:space="preserve"> </w:t>
      </w:r>
      <w:r>
        <w:tab/>
      </w:r>
      <w:r w:rsidRPr="001B3CB4">
        <w:rPr>
          <w:sz w:val="18"/>
          <w:szCs w:val="18"/>
        </w:rPr>
        <w:t xml:space="preserve">See Section 3 and Table 2 of the </w:t>
      </w:r>
      <w:r w:rsidRPr="001B3CB4">
        <w:rPr>
          <w:i/>
          <w:sz w:val="18"/>
          <w:szCs w:val="18"/>
        </w:rPr>
        <w:t>Burden and Cost Report</w:t>
      </w:r>
      <w:r w:rsidRPr="001B3CB4">
        <w:rPr>
          <w:sz w:val="18"/>
          <w:szCs w:val="18"/>
        </w:rPr>
        <w:t>. The number of firms is based on the number of firms in the affected universe that must undergo rule familiarization as well as the subgroup of those firms that actually submit responses to EPA.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24340"/>
      <w:docPartObj>
        <w:docPartGallery w:val="Page Numbers (Top of Page)"/>
        <w:docPartUnique/>
      </w:docPartObj>
    </w:sdtPr>
    <w:sdtEndPr/>
    <w:sdtContent>
      <w:p w14:paraId="6482172D" w14:textId="14ABB60E" w:rsidR="008348EC" w:rsidRPr="0082527B" w:rsidRDefault="0082527B" w:rsidP="0082527B">
        <w:pPr>
          <w:pStyle w:val="Head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558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58E6">
          <w:rPr>
            <w:b/>
            <w:bCs/>
            <w:noProof/>
          </w:rPr>
          <w:t>2</w:t>
        </w:r>
        <w:r>
          <w:rPr>
            <w:b/>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48ED" w14:textId="08568A4E" w:rsidR="008348EC" w:rsidRDefault="0082527B" w:rsidP="0082527B">
    <w:pPr>
      <w:pStyle w:val="Header"/>
      <w:jc w:val="right"/>
    </w:pPr>
    <w:r>
      <w:t>June 12,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E97"/>
    <w:multiLevelType w:val="hybridMultilevel"/>
    <w:tmpl w:val="461AB968"/>
    <w:lvl w:ilvl="0" w:tplc="7B445236">
      <w:start w:val="1"/>
      <w:numFmt w:val="bullet"/>
      <w:lvlText w:val=""/>
      <w:lvlJc w:val="left"/>
      <w:pPr>
        <w:ind w:left="1180" w:hanging="360"/>
      </w:pPr>
      <w:rPr>
        <w:rFonts w:ascii="Symbol" w:eastAsia="Symbol" w:hAnsi="Symbol" w:hint="default"/>
        <w:sz w:val="24"/>
        <w:szCs w:val="24"/>
      </w:rPr>
    </w:lvl>
    <w:lvl w:ilvl="1" w:tplc="674C2F0C">
      <w:start w:val="1"/>
      <w:numFmt w:val="bullet"/>
      <w:lvlText w:val="•"/>
      <w:lvlJc w:val="left"/>
      <w:pPr>
        <w:ind w:left="2014" w:hanging="360"/>
      </w:pPr>
      <w:rPr>
        <w:rFonts w:hint="default"/>
      </w:rPr>
    </w:lvl>
    <w:lvl w:ilvl="2" w:tplc="5C34A4D2">
      <w:start w:val="1"/>
      <w:numFmt w:val="bullet"/>
      <w:lvlText w:val="•"/>
      <w:lvlJc w:val="left"/>
      <w:pPr>
        <w:ind w:left="2848" w:hanging="360"/>
      </w:pPr>
      <w:rPr>
        <w:rFonts w:hint="default"/>
      </w:rPr>
    </w:lvl>
    <w:lvl w:ilvl="3" w:tplc="B31CA802">
      <w:start w:val="1"/>
      <w:numFmt w:val="bullet"/>
      <w:lvlText w:val="•"/>
      <w:lvlJc w:val="left"/>
      <w:pPr>
        <w:ind w:left="3682" w:hanging="360"/>
      </w:pPr>
      <w:rPr>
        <w:rFonts w:hint="default"/>
      </w:rPr>
    </w:lvl>
    <w:lvl w:ilvl="4" w:tplc="F83A66A6">
      <w:start w:val="1"/>
      <w:numFmt w:val="bullet"/>
      <w:lvlText w:val="•"/>
      <w:lvlJc w:val="left"/>
      <w:pPr>
        <w:ind w:left="4516" w:hanging="360"/>
      </w:pPr>
      <w:rPr>
        <w:rFonts w:hint="default"/>
      </w:rPr>
    </w:lvl>
    <w:lvl w:ilvl="5" w:tplc="5802B5DE">
      <w:start w:val="1"/>
      <w:numFmt w:val="bullet"/>
      <w:lvlText w:val="•"/>
      <w:lvlJc w:val="left"/>
      <w:pPr>
        <w:ind w:left="5350" w:hanging="360"/>
      </w:pPr>
      <w:rPr>
        <w:rFonts w:hint="default"/>
      </w:rPr>
    </w:lvl>
    <w:lvl w:ilvl="6" w:tplc="8F08AA14">
      <w:start w:val="1"/>
      <w:numFmt w:val="bullet"/>
      <w:lvlText w:val="•"/>
      <w:lvlJc w:val="left"/>
      <w:pPr>
        <w:ind w:left="6184" w:hanging="360"/>
      </w:pPr>
      <w:rPr>
        <w:rFonts w:hint="default"/>
      </w:rPr>
    </w:lvl>
    <w:lvl w:ilvl="7" w:tplc="6A2C790E">
      <w:start w:val="1"/>
      <w:numFmt w:val="bullet"/>
      <w:lvlText w:val="•"/>
      <w:lvlJc w:val="left"/>
      <w:pPr>
        <w:ind w:left="7018" w:hanging="360"/>
      </w:pPr>
      <w:rPr>
        <w:rFonts w:hint="default"/>
      </w:rPr>
    </w:lvl>
    <w:lvl w:ilvl="8" w:tplc="791E1786">
      <w:start w:val="1"/>
      <w:numFmt w:val="bullet"/>
      <w:lvlText w:val="•"/>
      <w:lvlJc w:val="left"/>
      <w:pPr>
        <w:ind w:left="7852" w:hanging="360"/>
      </w:pPr>
      <w:rPr>
        <w:rFonts w:hint="default"/>
      </w:rPr>
    </w:lvl>
  </w:abstractNum>
  <w:abstractNum w:abstractNumId="1">
    <w:nsid w:val="07FE40CD"/>
    <w:multiLevelType w:val="hybridMultilevel"/>
    <w:tmpl w:val="4432AC54"/>
    <w:lvl w:ilvl="0" w:tplc="8570866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7040D"/>
    <w:multiLevelType w:val="hybridMultilevel"/>
    <w:tmpl w:val="504A7E9A"/>
    <w:lvl w:ilvl="0" w:tplc="B600A4F6">
      <w:start w:val="5"/>
      <w:numFmt w:val="decimal"/>
      <w:lvlText w:val="%1"/>
      <w:lvlJc w:val="left"/>
      <w:pPr>
        <w:ind w:left="1710" w:hanging="720"/>
      </w:pPr>
      <w:rPr>
        <w:rFonts w:ascii="Times New Roman" w:eastAsia="Times New Roman" w:hAnsi="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25609"/>
    <w:multiLevelType w:val="hybridMultilevel"/>
    <w:tmpl w:val="B1B28340"/>
    <w:lvl w:ilvl="0" w:tplc="54C69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B41430"/>
    <w:multiLevelType w:val="hybridMultilevel"/>
    <w:tmpl w:val="D0B08AE8"/>
    <w:lvl w:ilvl="0" w:tplc="04090019">
      <w:start w:val="1"/>
      <w:numFmt w:val="lowerLetter"/>
      <w:lvlText w:val="%1."/>
      <w:lvlJc w:val="left"/>
      <w:pPr>
        <w:ind w:left="171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37AC3"/>
    <w:multiLevelType w:val="hybridMultilevel"/>
    <w:tmpl w:val="96B62FD4"/>
    <w:lvl w:ilvl="0" w:tplc="FADC5B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D4B98"/>
    <w:multiLevelType w:val="hybridMultilevel"/>
    <w:tmpl w:val="8E12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D1F52"/>
    <w:multiLevelType w:val="hybridMultilevel"/>
    <w:tmpl w:val="666CCAD2"/>
    <w:lvl w:ilvl="0" w:tplc="54C69D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D2252"/>
    <w:multiLevelType w:val="hybridMultilevel"/>
    <w:tmpl w:val="A0124830"/>
    <w:lvl w:ilvl="0" w:tplc="BDB68186">
      <w:start w:val="1"/>
      <w:numFmt w:val="bullet"/>
      <w:lvlText w:val=""/>
      <w:lvlJc w:val="left"/>
      <w:pPr>
        <w:ind w:left="1180" w:hanging="360"/>
      </w:pPr>
      <w:rPr>
        <w:rFonts w:ascii="Symbol" w:eastAsia="Symbol" w:hAnsi="Symbol" w:hint="default"/>
        <w:sz w:val="24"/>
        <w:szCs w:val="24"/>
      </w:rPr>
    </w:lvl>
    <w:lvl w:ilvl="1" w:tplc="6D223778">
      <w:start w:val="1"/>
      <w:numFmt w:val="bullet"/>
      <w:lvlText w:val="•"/>
      <w:lvlJc w:val="left"/>
      <w:pPr>
        <w:ind w:left="2018" w:hanging="360"/>
      </w:pPr>
      <w:rPr>
        <w:rFonts w:hint="default"/>
      </w:rPr>
    </w:lvl>
    <w:lvl w:ilvl="2" w:tplc="71ECDD2A">
      <w:start w:val="1"/>
      <w:numFmt w:val="bullet"/>
      <w:lvlText w:val="•"/>
      <w:lvlJc w:val="left"/>
      <w:pPr>
        <w:ind w:left="2856" w:hanging="360"/>
      </w:pPr>
      <w:rPr>
        <w:rFonts w:hint="default"/>
      </w:rPr>
    </w:lvl>
    <w:lvl w:ilvl="3" w:tplc="4DA2A7BC">
      <w:start w:val="1"/>
      <w:numFmt w:val="bullet"/>
      <w:lvlText w:val="•"/>
      <w:lvlJc w:val="left"/>
      <w:pPr>
        <w:ind w:left="3694" w:hanging="360"/>
      </w:pPr>
      <w:rPr>
        <w:rFonts w:hint="default"/>
      </w:rPr>
    </w:lvl>
    <w:lvl w:ilvl="4" w:tplc="4E24337A">
      <w:start w:val="1"/>
      <w:numFmt w:val="bullet"/>
      <w:lvlText w:val="•"/>
      <w:lvlJc w:val="left"/>
      <w:pPr>
        <w:ind w:left="4532" w:hanging="360"/>
      </w:pPr>
      <w:rPr>
        <w:rFonts w:hint="default"/>
      </w:rPr>
    </w:lvl>
    <w:lvl w:ilvl="5" w:tplc="5F6C4B72">
      <w:start w:val="1"/>
      <w:numFmt w:val="bullet"/>
      <w:lvlText w:val="•"/>
      <w:lvlJc w:val="left"/>
      <w:pPr>
        <w:ind w:left="5370" w:hanging="360"/>
      </w:pPr>
      <w:rPr>
        <w:rFonts w:hint="default"/>
      </w:rPr>
    </w:lvl>
    <w:lvl w:ilvl="6" w:tplc="DA78B722">
      <w:start w:val="1"/>
      <w:numFmt w:val="bullet"/>
      <w:lvlText w:val="•"/>
      <w:lvlJc w:val="left"/>
      <w:pPr>
        <w:ind w:left="6208" w:hanging="360"/>
      </w:pPr>
      <w:rPr>
        <w:rFonts w:hint="default"/>
      </w:rPr>
    </w:lvl>
    <w:lvl w:ilvl="7" w:tplc="04E4067E">
      <w:start w:val="1"/>
      <w:numFmt w:val="bullet"/>
      <w:lvlText w:val="•"/>
      <w:lvlJc w:val="left"/>
      <w:pPr>
        <w:ind w:left="7046" w:hanging="360"/>
      </w:pPr>
      <w:rPr>
        <w:rFonts w:hint="default"/>
      </w:rPr>
    </w:lvl>
    <w:lvl w:ilvl="8" w:tplc="75DCF772">
      <w:start w:val="1"/>
      <w:numFmt w:val="bullet"/>
      <w:lvlText w:val="•"/>
      <w:lvlJc w:val="left"/>
      <w:pPr>
        <w:ind w:left="7884" w:hanging="360"/>
      </w:pPr>
      <w:rPr>
        <w:rFonts w:hint="default"/>
      </w:rPr>
    </w:lvl>
  </w:abstractNum>
  <w:abstractNum w:abstractNumId="9">
    <w:nsid w:val="189953CE"/>
    <w:multiLevelType w:val="hybridMultilevel"/>
    <w:tmpl w:val="7F5EC8CA"/>
    <w:lvl w:ilvl="0" w:tplc="54C69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832CB"/>
    <w:multiLevelType w:val="hybridMultilevel"/>
    <w:tmpl w:val="8662E196"/>
    <w:lvl w:ilvl="0" w:tplc="E27E8156">
      <w:start w:val="1"/>
      <w:numFmt w:val="bullet"/>
      <w:lvlText w:val=""/>
      <w:lvlJc w:val="left"/>
      <w:pPr>
        <w:ind w:left="1180" w:hanging="360"/>
      </w:pPr>
      <w:rPr>
        <w:rFonts w:ascii="Symbol" w:eastAsia="Symbol" w:hAnsi="Symbol" w:hint="default"/>
        <w:sz w:val="24"/>
        <w:szCs w:val="24"/>
      </w:rPr>
    </w:lvl>
    <w:lvl w:ilvl="1" w:tplc="3A149364">
      <w:start w:val="1"/>
      <w:numFmt w:val="bullet"/>
      <w:lvlText w:val="•"/>
      <w:lvlJc w:val="left"/>
      <w:pPr>
        <w:ind w:left="2016" w:hanging="360"/>
      </w:pPr>
      <w:rPr>
        <w:rFonts w:hint="default"/>
      </w:rPr>
    </w:lvl>
    <w:lvl w:ilvl="2" w:tplc="E7ECE374">
      <w:start w:val="1"/>
      <w:numFmt w:val="bullet"/>
      <w:lvlText w:val="•"/>
      <w:lvlJc w:val="left"/>
      <w:pPr>
        <w:ind w:left="2852" w:hanging="360"/>
      </w:pPr>
      <w:rPr>
        <w:rFonts w:hint="default"/>
      </w:rPr>
    </w:lvl>
    <w:lvl w:ilvl="3" w:tplc="8430961A">
      <w:start w:val="1"/>
      <w:numFmt w:val="bullet"/>
      <w:lvlText w:val="•"/>
      <w:lvlJc w:val="left"/>
      <w:pPr>
        <w:ind w:left="3688" w:hanging="360"/>
      </w:pPr>
      <w:rPr>
        <w:rFonts w:hint="default"/>
      </w:rPr>
    </w:lvl>
    <w:lvl w:ilvl="4" w:tplc="DC6CC80C">
      <w:start w:val="1"/>
      <w:numFmt w:val="bullet"/>
      <w:lvlText w:val="•"/>
      <w:lvlJc w:val="left"/>
      <w:pPr>
        <w:ind w:left="4524" w:hanging="360"/>
      </w:pPr>
      <w:rPr>
        <w:rFonts w:hint="default"/>
      </w:rPr>
    </w:lvl>
    <w:lvl w:ilvl="5" w:tplc="212C0050">
      <w:start w:val="1"/>
      <w:numFmt w:val="bullet"/>
      <w:lvlText w:val="•"/>
      <w:lvlJc w:val="left"/>
      <w:pPr>
        <w:ind w:left="5360" w:hanging="360"/>
      </w:pPr>
      <w:rPr>
        <w:rFonts w:hint="default"/>
      </w:rPr>
    </w:lvl>
    <w:lvl w:ilvl="6" w:tplc="664E24DE">
      <w:start w:val="1"/>
      <w:numFmt w:val="bullet"/>
      <w:lvlText w:val="•"/>
      <w:lvlJc w:val="left"/>
      <w:pPr>
        <w:ind w:left="6196" w:hanging="360"/>
      </w:pPr>
      <w:rPr>
        <w:rFonts w:hint="default"/>
      </w:rPr>
    </w:lvl>
    <w:lvl w:ilvl="7" w:tplc="C13A6144">
      <w:start w:val="1"/>
      <w:numFmt w:val="bullet"/>
      <w:lvlText w:val="•"/>
      <w:lvlJc w:val="left"/>
      <w:pPr>
        <w:ind w:left="7032" w:hanging="360"/>
      </w:pPr>
      <w:rPr>
        <w:rFonts w:hint="default"/>
      </w:rPr>
    </w:lvl>
    <w:lvl w:ilvl="8" w:tplc="F92CBE62">
      <w:start w:val="1"/>
      <w:numFmt w:val="bullet"/>
      <w:lvlText w:val="•"/>
      <w:lvlJc w:val="left"/>
      <w:pPr>
        <w:ind w:left="7868" w:hanging="360"/>
      </w:pPr>
      <w:rPr>
        <w:rFonts w:hint="default"/>
      </w:rPr>
    </w:lvl>
  </w:abstractNum>
  <w:abstractNum w:abstractNumId="11">
    <w:nsid w:val="1B0B271D"/>
    <w:multiLevelType w:val="hybridMultilevel"/>
    <w:tmpl w:val="57B4F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52CAC"/>
    <w:multiLevelType w:val="hybridMultilevel"/>
    <w:tmpl w:val="F45E6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1D0E7E"/>
    <w:multiLevelType w:val="hybridMultilevel"/>
    <w:tmpl w:val="66CE6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257AFA"/>
    <w:multiLevelType w:val="hybridMultilevel"/>
    <w:tmpl w:val="3D541E48"/>
    <w:lvl w:ilvl="0" w:tplc="F8E296B2">
      <w:start w:val="1"/>
      <w:numFmt w:val="bullet"/>
      <w:lvlText w:val=""/>
      <w:lvlJc w:val="left"/>
      <w:pPr>
        <w:ind w:left="551" w:hanging="452"/>
      </w:pPr>
      <w:rPr>
        <w:rFonts w:ascii="Symbol" w:eastAsia="Symbol" w:hAnsi="Symbol" w:hint="default"/>
        <w:sz w:val="18"/>
        <w:szCs w:val="18"/>
      </w:rPr>
    </w:lvl>
    <w:lvl w:ilvl="1" w:tplc="B2CCE368">
      <w:start w:val="1"/>
      <w:numFmt w:val="bullet"/>
      <w:lvlText w:val="•"/>
      <w:lvlJc w:val="left"/>
      <w:pPr>
        <w:ind w:left="1412" w:hanging="452"/>
      </w:pPr>
      <w:rPr>
        <w:rFonts w:hint="default"/>
      </w:rPr>
    </w:lvl>
    <w:lvl w:ilvl="2" w:tplc="ABA44398">
      <w:start w:val="1"/>
      <w:numFmt w:val="bullet"/>
      <w:lvlText w:val="•"/>
      <w:lvlJc w:val="left"/>
      <w:pPr>
        <w:ind w:left="2272" w:hanging="452"/>
      </w:pPr>
      <w:rPr>
        <w:rFonts w:hint="default"/>
      </w:rPr>
    </w:lvl>
    <w:lvl w:ilvl="3" w:tplc="89C4CD9A">
      <w:start w:val="1"/>
      <w:numFmt w:val="bullet"/>
      <w:lvlText w:val="•"/>
      <w:lvlJc w:val="left"/>
      <w:pPr>
        <w:ind w:left="3133" w:hanging="452"/>
      </w:pPr>
      <w:rPr>
        <w:rFonts w:hint="default"/>
      </w:rPr>
    </w:lvl>
    <w:lvl w:ilvl="4" w:tplc="3E92DDFA">
      <w:start w:val="1"/>
      <w:numFmt w:val="bullet"/>
      <w:lvlText w:val="•"/>
      <w:lvlJc w:val="left"/>
      <w:pPr>
        <w:ind w:left="3994" w:hanging="452"/>
      </w:pPr>
      <w:rPr>
        <w:rFonts w:hint="default"/>
      </w:rPr>
    </w:lvl>
    <w:lvl w:ilvl="5" w:tplc="5AFAC2FC">
      <w:start w:val="1"/>
      <w:numFmt w:val="bullet"/>
      <w:lvlText w:val="•"/>
      <w:lvlJc w:val="left"/>
      <w:pPr>
        <w:ind w:left="4855" w:hanging="452"/>
      </w:pPr>
      <w:rPr>
        <w:rFonts w:hint="default"/>
      </w:rPr>
    </w:lvl>
    <w:lvl w:ilvl="6" w:tplc="D29E9B14">
      <w:start w:val="1"/>
      <w:numFmt w:val="bullet"/>
      <w:lvlText w:val="•"/>
      <w:lvlJc w:val="left"/>
      <w:pPr>
        <w:ind w:left="5716" w:hanging="452"/>
      </w:pPr>
      <w:rPr>
        <w:rFonts w:hint="default"/>
      </w:rPr>
    </w:lvl>
    <w:lvl w:ilvl="7" w:tplc="D6BC7C6C">
      <w:start w:val="1"/>
      <w:numFmt w:val="bullet"/>
      <w:lvlText w:val="•"/>
      <w:lvlJc w:val="left"/>
      <w:pPr>
        <w:ind w:left="6577" w:hanging="452"/>
      </w:pPr>
      <w:rPr>
        <w:rFonts w:hint="default"/>
      </w:rPr>
    </w:lvl>
    <w:lvl w:ilvl="8" w:tplc="D1286B2E">
      <w:start w:val="1"/>
      <w:numFmt w:val="bullet"/>
      <w:lvlText w:val="•"/>
      <w:lvlJc w:val="left"/>
      <w:pPr>
        <w:ind w:left="7438" w:hanging="452"/>
      </w:pPr>
      <w:rPr>
        <w:rFonts w:hint="default"/>
      </w:rPr>
    </w:lvl>
  </w:abstractNum>
  <w:abstractNum w:abstractNumId="16">
    <w:nsid w:val="26A9625A"/>
    <w:multiLevelType w:val="hybridMultilevel"/>
    <w:tmpl w:val="A934B88C"/>
    <w:lvl w:ilvl="0" w:tplc="0B76F81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28161FF5"/>
    <w:multiLevelType w:val="hybridMultilevel"/>
    <w:tmpl w:val="513A8972"/>
    <w:lvl w:ilvl="0" w:tplc="78864946">
      <w:start w:val="1"/>
      <w:numFmt w:val="bullet"/>
      <w:lvlText w:val=""/>
      <w:lvlJc w:val="left"/>
      <w:pPr>
        <w:ind w:left="820" w:hanging="360"/>
      </w:pPr>
      <w:rPr>
        <w:rFonts w:ascii="Symbol" w:eastAsia="Symbol" w:hAnsi="Symbol" w:hint="default"/>
        <w:sz w:val="18"/>
        <w:szCs w:val="18"/>
      </w:rPr>
    </w:lvl>
    <w:lvl w:ilvl="1" w:tplc="7C2897A0">
      <w:start w:val="1"/>
      <w:numFmt w:val="bullet"/>
      <w:lvlText w:val="•"/>
      <w:lvlJc w:val="left"/>
      <w:pPr>
        <w:ind w:left="1694" w:hanging="360"/>
      </w:pPr>
      <w:rPr>
        <w:rFonts w:hint="default"/>
      </w:rPr>
    </w:lvl>
    <w:lvl w:ilvl="2" w:tplc="535ECC04">
      <w:start w:val="1"/>
      <w:numFmt w:val="bullet"/>
      <w:lvlText w:val="•"/>
      <w:lvlJc w:val="left"/>
      <w:pPr>
        <w:ind w:left="2568" w:hanging="360"/>
      </w:pPr>
      <w:rPr>
        <w:rFonts w:hint="default"/>
      </w:rPr>
    </w:lvl>
    <w:lvl w:ilvl="3" w:tplc="3A345C9E">
      <w:start w:val="1"/>
      <w:numFmt w:val="bullet"/>
      <w:lvlText w:val="•"/>
      <w:lvlJc w:val="left"/>
      <w:pPr>
        <w:ind w:left="3442" w:hanging="360"/>
      </w:pPr>
      <w:rPr>
        <w:rFonts w:hint="default"/>
      </w:rPr>
    </w:lvl>
    <w:lvl w:ilvl="4" w:tplc="B7F6E378">
      <w:start w:val="1"/>
      <w:numFmt w:val="bullet"/>
      <w:lvlText w:val="•"/>
      <w:lvlJc w:val="left"/>
      <w:pPr>
        <w:ind w:left="4316" w:hanging="360"/>
      </w:pPr>
      <w:rPr>
        <w:rFonts w:hint="default"/>
      </w:rPr>
    </w:lvl>
    <w:lvl w:ilvl="5" w:tplc="0240926A">
      <w:start w:val="1"/>
      <w:numFmt w:val="bullet"/>
      <w:lvlText w:val="•"/>
      <w:lvlJc w:val="left"/>
      <w:pPr>
        <w:ind w:left="5190" w:hanging="360"/>
      </w:pPr>
      <w:rPr>
        <w:rFonts w:hint="default"/>
      </w:rPr>
    </w:lvl>
    <w:lvl w:ilvl="6" w:tplc="5E708542">
      <w:start w:val="1"/>
      <w:numFmt w:val="bullet"/>
      <w:lvlText w:val="•"/>
      <w:lvlJc w:val="left"/>
      <w:pPr>
        <w:ind w:left="6064" w:hanging="360"/>
      </w:pPr>
      <w:rPr>
        <w:rFonts w:hint="default"/>
      </w:rPr>
    </w:lvl>
    <w:lvl w:ilvl="7" w:tplc="D992454A">
      <w:start w:val="1"/>
      <w:numFmt w:val="bullet"/>
      <w:lvlText w:val="•"/>
      <w:lvlJc w:val="left"/>
      <w:pPr>
        <w:ind w:left="6938" w:hanging="360"/>
      </w:pPr>
      <w:rPr>
        <w:rFonts w:hint="default"/>
      </w:rPr>
    </w:lvl>
    <w:lvl w:ilvl="8" w:tplc="8C725652">
      <w:start w:val="1"/>
      <w:numFmt w:val="bullet"/>
      <w:lvlText w:val="•"/>
      <w:lvlJc w:val="left"/>
      <w:pPr>
        <w:ind w:left="7812" w:hanging="360"/>
      </w:pPr>
      <w:rPr>
        <w:rFonts w:hint="default"/>
      </w:rPr>
    </w:lvl>
  </w:abstractNum>
  <w:abstractNum w:abstractNumId="18">
    <w:nsid w:val="2CF14B5F"/>
    <w:multiLevelType w:val="hybridMultilevel"/>
    <w:tmpl w:val="81A0777E"/>
    <w:lvl w:ilvl="0" w:tplc="9E34C182">
      <w:start w:val="1"/>
      <w:numFmt w:val="bullet"/>
      <w:lvlText w:val=""/>
      <w:lvlJc w:val="left"/>
      <w:pPr>
        <w:ind w:left="820" w:hanging="360"/>
      </w:pPr>
      <w:rPr>
        <w:rFonts w:ascii="Symbol" w:eastAsia="Symbol" w:hAnsi="Symbol" w:hint="default"/>
        <w:sz w:val="24"/>
        <w:szCs w:val="24"/>
      </w:rPr>
    </w:lvl>
    <w:lvl w:ilvl="1" w:tplc="3A181EB8">
      <w:start w:val="1"/>
      <w:numFmt w:val="bullet"/>
      <w:lvlText w:val="•"/>
      <w:lvlJc w:val="left"/>
      <w:pPr>
        <w:ind w:left="1692" w:hanging="360"/>
      </w:pPr>
      <w:rPr>
        <w:rFonts w:hint="default"/>
      </w:rPr>
    </w:lvl>
    <w:lvl w:ilvl="2" w:tplc="D2B052F2">
      <w:start w:val="1"/>
      <w:numFmt w:val="bullet"/>
      <w:lvlText w:val="•"/>
      <w:lvlJc w:val="left"/>
      <w:pPr>
        <w:ind w:left="2564" w:hanging="360"/>
      </w:pPr>
      <w:rPr>
        <w:rFonts w:hint="default"/>
      </w:rPr>
    </w:lvl>
    <w:lvl w:ilvl="3" w:tplc="8EC25110">
      <w:start w:val="1"/>
      <w:numFmt w:val="bullet"/>
      <w:lvlText w:val="•"/>
      <w:lvlJc w:val="left"/>
      <w:pPr>
        <w:ind w:left="3436" w:hanging="360"/>
      </w:pPr>
      <w:rPr>
        <w:rFonts w:hint="default"/>
      </w:rPr>
    </w:lvl>
    <w:lvl w:ilvl="4" w:tplc="3446EFE8">
      <w:start w:val="1"/>
      <w:numFmt w:val="bullet"/>
      <w:lvlText w:val="•"/>
      <w:lvlJc w:val="left"/>
      <w:pPr>
        <w:ind w:left="4308" w:hanging="360"/>
      </w:pPr>
      <w:rPr>
        <w:rFonts w:hint="default"/>
      </w:rPr>
    </w:lvl>
    <w:lvl w:ilvl="5" w:tplc="2B6A0748">
      <w:start w:val="1"/>
      <w:numFmt w:val="bullet"/>
      <w:lvlText w:val="•"/>
      <w:lvlJc w:val="left"/>
      <w:pPr>
        <w:ind w:left="5180" w:hanging="360"/>
      </w:pPr>
      <w:rPr>
        <w:rFonts w:hint="default"/>
      </w:rPr>
    </w:lvl>
    <w:lvl w:ilvl="6" w:tplc="A7607FD2">
      <w:start w:val="1"/>
      <w:numFmt w:val="bullet"/>
      <w:lvlText w:val="•"/>
      <w:lvlJc w:val="left"/>
      <w:pPr>
        <w:ind w:left="6052" w:hanging="360"/>
      </w:pPr>
      <w:rPr>
        <w:rFonts w:hint="default"/>
      </w:rPr>
    </w:lvl>
    <w:lvl w:ilvl="7" w:tplc="FA62430E">
      <w:start w:val="1"/>
      <w:numFmt w:val="bullet"/>
      <w:lvlText w:val="•"/>
      <w:lvlJc w:val="left"/>
      <w:pPr>
        <w:ind w:left="6924" w:hanging="360"/>
      </w:pPr>
      <w:rPr>
        <w:rFonts w:hint="default"/>
      </w:rPr>
    </w:lvl>
    <w:lvl w:ilvl="8" w:tplc="F72A996A">
      <w:start w:val="1"/>
      <w:numFmt w:val="bullet"/>
      <w:lvlText w:val="•"/>
      <w:lvlJc w:val="left"/>
      <w:pPr>
        <w:ind w:left="7796" w:hanging="360"/>
      </w:pPr>
      <w:rPr>
        <w:rFonts w:hint="default"/>
      </w:rPr>
    </w:lvl>
  </w:abstractNum>
  <w:abstractNum w:abstractNumId="19">
    <w:nsid w:val="2FC55CBE"/>
    <w:multiLevelType w:val="hybridMultilevel"/>
    <w:tmpl w:val="89EEF376"/>
    <w:lvl w:ilvl="0" w:tplc="83A009B6">
      <w:start w:val="4"/>
      <w:numFmt w:val="lowerLetter"/>
      <w:lvlText w:val="%1."/>
      <w:lvlJc w:val="left"/>
      <w:pPr>
        <w:ind w:left="1710" w:hanging="72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AE454B"/>
    <w:multiLevelType w:val="hybridMultilevel"/>
    <w:tmpl w:val="44B6887A"/>
    <w:lvl w:ilvl="0" w:tplc="68CA90CC">
      <w:start w:val="6"/>
      <w:numFmt w:val="decimal"/>
      <w:lvlText w:val="%1"/>
      <w:lvlJc w:val="left"/>
      <w:pPr>
        <w:ind w:left="1710" w:hanging="72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992D9D"/>
    <w:multiLevelType w:val="hybridMultilevel"/>
    <w:tmpl w:val="23E2E130"/>
    <w:lvl w:ilvl="0" w:tplc="DE2E3768">
      <w:start w:val="1"/>
      <w:numFmt w:val="decimal"/>
      <w:lvlText w:val="%1"/>
      <w:lvlJc w:val="left"/>
      <w:pPr>
        <w:ind w:left="1710" w:hanging="720"/>
      </w:pPr>
      <w:rPr>
        <w:rFonts w:ascii="Times New Roman" w:eastAsia="Times New Roman" w:hAnsi="Times New Roman" w:hint="default"/>
        <w:b/>
        <w:bCs/>
        <w:sz w:val="24"/>
        <w:szCs w:val="24"/>
      </w:rPr>
    </w:lvl>
    <w:lvl w:ilvl="1" w:tplc="F4A04566">
      <w:start w:val="1"/>
      <w:numFmt w:val="lowerRoman"/>
      <w:lvlText w:val="(%2)"/>
      <w:lvlJc w:val="left"/>
      <w:pPr>
        <w:ind w:left="1110" w:hanging="720"/>
      </w:pPr>
      <w:rPr>
        <w:rFonts w:ascii="Times New Roman" w:eastAsia="Times New Roman" w:hAnsi="Times New Roman" w:hint="default"/>
        <w:spacing w:val="-1"/>
        <w:sz w:val="24"/>
        <w:szCs w:val="24"/>
      </w:rPr>
    </w:lvl>
    <w:lvl w:ilvl="2" w:tplc="AC1C24D2">
      <w:start w:val="1"/>
      <w:numFmt w:val="decimal"/>
      <w:lvlText w:val="%3."/>
      <w:lvlJc w:val="left"/>
      <w:pPr>
        <w:ind w:left="370" w:hanging="240"/>
      </w:pPr>
      <w:rPr>
        <w:rFonts w:ascii="Times New Roman" w:eastAsia="Times New Roman" w:hAnsi="Times New Roman" w:hint="default"/>
        <w:sz w:val="24"/>
        <w:szCs w:val="24"/>
      </w:rPr>
    </w:lvl>
    <w:lvl w:ilvl="3" w:tplc="12E8BE2A">
      <w:start w:val="1"/>
      <w:numFmt w:val="bullet"/>
      <w:lvlText w:val="•"/>
      <w:lvlJc w:val="left"/>
      <w:pPr>
        <w:ind w:left="1110" w:hanging="240"/>
      </w:pPr>
      <w:rPr>
        <w:rFonts w:hint="default"/>
      </w:rPr>
    </w:lvl>
    <w:lvl w:ilvl="4" w:tplc="F6FE189E">
      <w:start w:val="1"/>
      <w:numFmt w:val="bullet"/>
      <w:lvlText w:val="•"/>
      <w:lvlJc w:val="left"/>
      <w:pPr>
        <w:ind w:left="2250" w:hanging="240"/>
      </w:pPr>
      <w:rPr>
        <w:rFonts w:hint="default"/>
      </w:rPr>
    </w:lvl>
    <w:lvl w:ilvl="5" w:tplc="AEBE1C74">
      <w:start w:val="1"/>
      <w:numFmt w:val="bullet"/>
      <w:lvlText w:val="•"/>
      <w:lvlJc w:val="left"/>
      <w:pPr>
        <w:ind w:left="3390" w:hanging="240"/>
      </w:pPr>
      <w:rPr>
        <w:rFonts w:hint="default"/>
      </w:rPr>
    </w:lvl>
    <w:lvl w:ilvl="6" w:tplc="FD22CDBE">
      <w:start w:val="1"/>
      <w:numFmt w:val="bullet"/>
      <w:lvlText w:val="•"/>
      <w:lvlJc w:val="left"/>
      <w:pPr>
        <w:ind w:left="4530" w:hanging="240"/>
      </w:pPr>
      <w:rPr>
        <w:rFonts w:hint="default"/>
      </w:rPr>
    </w:lvl>
    <w:lvl w:ilvl="7" w:tplc="B0FC57E6">
      <w:start w:val="1"/>
      <w:numFmt w:val="bullet"/>
      <w:lvlText w:val="•"/>
      <w:lvlJc w:val="left"/>
      <w:pPr>
        <w:ind w:left="5670" w:hanging="240"/>
      </w:pPr>
      <w:rPr>
        <w:rFonts w:hint="default"/>
      </w:rPr>
    </w:lvl>
    <w:lvl w:ilvl="8" w:tplc="A0A09DF0">
      <w:start w:val="1"/>
      <w:numFmt w:val="bullet"/>
      <w:lvlText w:val="•"/>
      <w:lvlJc w:val="left"/>
      <w:pPr>
        <w:ind w:left="6810" w:hanging="240"/>
      </w:pPr>
      <w:rPr>
        <w:rFonts w:hint="default"/>
      </w:rPr>
    </w:lvl>
  </w:abstractNum>
  <w:abstractNum w:abstractNumId="22">
    <w:nsid w:val="35467F2A"/>
    <w:multiLevelType w:val="hybridMultilevel"/>
    <w:tmpl w:val="00A0700A"/>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3">
    <w:nsid w:val="3C4C6515"/>
    <w:multiLevelType w:val="hybridMultilevel"/>
    <w:tmpl w:val="32B601EE"/>
    <w:lvl w:ilvl="0" w:tplc="50006B9E">
      <w:start w:val="5"/>
      <w:numFmt w:val="decimal"/>
      <w:lvlText w:val="%1"/>
      <w:lvlJc w:val="left"/>
      <w:pPr>
        <w:ind w:left="191" w:hanging="180"/>
      </w:pPr>
      <w:rPr>
        <w:rFonts w:ascii="Times New Roman" w:eastAsia="Times New Roman" w:hAnsi="Times New Roman" w:hint="default"/>
        <w:sz w:val="18"/>
        <w:szCs w:val="18"/>
      </w:rPr>
    </w:lvl>
    <w:lvl w:ilvl="1" w:tplc="FF7A98D4">
      <w:start w:val="1"/>
      <w:numFmt w:val="bullet"/>
      <w:lvlText w:val="•"/>
      <w:lvlJc w:val="left"/>
      <w:pPr>
        <w:ind w:left="1562" w:hanging="180"/>
      </w:pPr>
      <w:rPr>
        <w:rFonts w:hint="default"/>
      </w:rPr>
    </w:lvl>
    <w:lvl w:ilvl="2" w:tplc="7D940298">
      <w:start w:val="1"/>
      <w:numFmt w:val="bullet"/>
      <w:lvlText w:val="•"/>
      <w:lvlJc w:val="left"/>
      <w:pPr>
        <w:ind w:left="2932" w:hanging="180"/>
      </w:pPr>
      <w:rPr>
        <w:rFonts w:hint="default"/>
      </w:rPr>
    </w:lvl>
    <w:lvl w:ilvl="3" w:tplc="FFA40198">
      <w:start w:val="1"/>
      <w:numFmt w:val="bullet"/>
      <w:lvlText w:val="•"/>
      <w:lvlJc w:val="left"/>
      <w:pPr>
        <w:ind w:left="4303" w:hanging="180"/>
      </w:pPr>
      <w:rPr>
        <w:rFonts w:hint="default"/>
      </w:rPr>
    </w:lvl>
    <w:lvl w:ilvl="4" w:tplc="7EB44390">
      <w:start w:val="1"/>
      <w:numFmt w:val="bullet"/>
      <w:lvlText w:val="•"/>
      <w:lvlJc w:val="left"/>
      <w:pPr>
        <w:ind w:left="5674" w:hanging="180"/>
      </w:pPr>
      <w:rPr>
        <w:rFonts w:hint="default"/>
      </w:rPr>
    </w:lvl>
    <w:lvl w:ilvl="5" w:tplc="795C28EC">
      <w:start w:val="1"/>
      <w:numFmt w:val="bullet"/>
      <w:lvlText w:val="•"/>
      <w:lvlJc w:val="left"/>
      <w:pPr>
        <w:ind w:left="7045" w:hanging="180"/>
      </w:pPr>
      <w:rPr>
        <w:rFonts w:hint="default"/>
      </w:rPr>
    </w:lvl>
    <w:lvl w:ilvl="6" w:tplc="57A84C1E">
      <w:start w:val="1"/>
      <w:numFmt w:val="bullet"/>
      <w:lvlText w:val="•"/>
      <w:lvlJc w:val="left"/>
      <w:pPr>
        <w:ind w:left="8416" w:hanging="180"/>
      </w:pPr>
      <w:rPr>
        <w:rFonts w:hint="default"/>
      </w:rPr>
    </w:lvl>
    <w:lvl w:ilvl="7" w:tplc="7A3A6360">
      <w:start w:val="1"/>
      <w:numFmt w:val="bullet"/>
      <w:lvlText w:val="•"/>
      <w:lvlJc w:val="left"/>
      <w:pPr>
        <w:ind w:left="9787" w:hanging="180"/>
      </w:pPr>
      <w:rPr>
        <w:rFonts w:hint="default"/>
      </w:rPr>
    </w:lvl>
    <w:lvl w:ilvl="8" w:tplc="D9B4815A">
      <w:start w:val="1"/>
      <w:numFmt w:val="bullet"/>
      <w:lvlText w:val="•"/>
      <w:lvlJc w:val="left"/>
      <w:pPr>
        <w:ind w:left="11158" w:hanging="180"/>
      </w:pPr>
      <w:rPr>
        <w:rFonts w:hint="default"/>
      </w:rPr>
    </w:lvl>
  </w:abstractNum>
  <w:abstractNum w:abstractNumId="24">
    <w:nsid w:val="3D534E9B"/>
    <w:multiLevelType w:val="hybridMultilevel"/>
    <w:tmpl w:val="D0A0292E"/>
    <w:lvl w:ilvl="0" w:tplc="C38419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DE325D"/>
    <w:multiLevelType w:val="hybridMultilevel"/>
    <w:tmpl w:val="B6A2E12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3F597120"/>
    <w:multiLevelType w:val="hybridMultilevel"/>
    <w:tmpl w:val="252E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CA4D91"/>
    <w:multiLevelType w:val="hybridMultilevel"/>
    <w:tmpl w:val="EB14FE02"/>
    <w:lvl w:ilvl="0" w:tplc="B726C26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6105D6"/>
    <w:multiLevelType w:val="hybridMultilevel"/>
    <w:tmpl w:val="7BF83C90"/>
    <w:lvl w:ilvl="0" w:tplc="12D835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586E95"/>
    <w:multiLevelType w:val="hybridMultilevel"/>
    <w:tmpl w:val="00A0700A"/>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0">
    <w:nsid w:val="4B820F67"/>
    <w:multiLevelType w:val="hybridMultilevel"/>
    <w:tmpl w:val="D330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43B24"/>
    <w:multiLevelType w:val="hybridMultilevel"/>
    <w:tmpl w:val="E458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C52E63"/>
    <w:multiLevelType w:val="hybridMultilevel"/>
    <w:tmpl w:val="9300EBD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507F5DC1"/>
    <w:multiLevelType w:val="hybridMultilevel"/>
    <w:tmpl w:val="1158B1B8"/>
    <w:lvl w:ilvl="0" w:tplc="54C69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6341AE"/>
    <w:multiLevelType w:val="hybridMultilevel"/>
    <w:tmpl w:val="C7A6B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65F0F"/>
    <w:multiLevelType w:val="hybridMultilevel"/>
    <w:tmpl w:val="764E0296"/>
    <w:lvl w:ilvl="0" w:tplc="1FFA3E32">
      <w:start w:val="1"/>
      <w:numFmt w:val="decimal"/>
      <w:lvlText w:val="%1)"/>
      <w:lvlJc w:val="left"/>
      <w:pPr>
        <w:ind w:left="738" w:hanging="64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61722EDD"/>
    <w:multiLevelType w:val="hybridMultilevel"/>
    <w:tmpl w:val="F3E2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2E14A0"/>
    <w:multiLevelType w:val="hybridMultilevel"/>
    <w:tmpl w:val="E5965C6A"/>
    <w:lvl w:ilvl="0" w:tplc="E63C1BA6">
      <w:start w:val="1"/>
      <w:numFmt w:val="decimal"/>
      <w:lvlText w:val="%1"/>
      <w:lvlJc w:val="left"/>
      <w:pPr>
        <w:ind w:left="191" w:hanging="136"/>
      </w:pPr>
      <w:rPr>
        <w:rFonts w:ascii="Times New Roman" w:eastAsia="Times New Roman" w:hAnsi="Times New Roman" w:hint="default"/>
        <w:sz w:val="18"/>
        <w:szCs w:val="18"/>
      </w:rPr>
    </w:lvl>
    <w:lvl w:ilvl="1" w:tplc="1016A230">
      <w:start w:val="1"/>
      <w:numFmt w:val="bullet"/>
      <w:lvlText w:val="•"/>
      <w:lvlJc w:val="left"/>
      <w:pPr>
        <w:ind w:left="1562" w:hanging="136"/>
      </w:pPr>
      <w:rPr>
        <w:rFonts w:hint="default"/>
      </w:rPr>
    </w:lvl>
    <w:lvl w:ilvl="2" w:tplc="9D7E5B96">
      <w:start w:val="1"/>
      <w:numFmt w:val="bullet"/>
      <w:lvlText w:val="•"/>
      <w:lvlJc w:val="left"/>
      <w:pPr>
        <w:ind w:left="2932" w:hanging="136"/>
      </w:pPr>
      <w:rPr>
        <w:rFonts w:hint="default"/>
      </w:rPr>
    </w:lvl>
    <w:lvl w:ilvl="3" w:tplc="EBDE5756">
      <w:start w:val="1"/>
      <w:numFmt w:val="bullet"/>
      <w:lvlText w:val="•"/>
      <w:lvlJc w:val="left"/>
      <w:pPr>
        <w:ind w:left="4303" w:hanging="136"/>
      </w:pPr>
      <w:rPr>
        <w:rFonts w:hint="default"/>
      </w:rPr>
    </w:lvl>
    <w:lvl w:ilvl="4" w:tplc="E03E23D8">
      <w:start w:val="1"/>
      <w:numFmt w:val="bullet"/>
      <w:lvlText w:val="•"/>
      <w:lvlJc w:val="left"/>
      <w:pPr>
        <w:ind w:left="5674" w:hanging="136"/>
      </w:pPr>
      <w:rPr>
        <w:rFonts w:hint="default"/>
      </w:rPr>
    </w:lvl>
    <w:lvl w:ilvl="5" w:tplc="5D725774">
      <w:start w:val="1"/>
      <w:numFmt w:val="bullet"/>
      <w:lvlText w:val="•"/>
      <w:lvlJc w:val="left"/>
      <w:pPr>
        <w:ind w:left="7045" w:hanging="136"/>
      </w:pPr>
      <w:rPr>
        <w:rFonts w:hint="default"/>
      </w:rPr>
    </w:lvl>
    <w:lvl w:ilvl="6" w:tplc="823CC4D0">
      <w:start w:val="1"/>
      <w:numFmt w:val="bullet"/>
      <w:lvlText w:val="•"/>
      <w:lvlJc w:val="left"/>
      <w:pPr>
        <w:ind w:left="8416" w:hanging="136"/>
      </w:pPr>
      <w:rPr>
        <w:rFonts w:hint="default"/>
      </w:rPr>
    </w:lvl>
    <w:lvl w:ilvl="7" w:tplc="D852813E">
      <w:start w:val="1"/>
      <w:numFmt w:val="bullet"/>
      <w:lvlText w:val="•"/>
      <w:lvlJc w:val="left"/>
      <w:pPr>
        <w:ind w:left="9787" w:hanging="136"/>
      </w:pPr>
      <w:rPr>
        <w:rFonts w:hint="default"/>
      </w:rPr>
    </w:lvl>
    <w:lvl w:ilvl="8" w:tplc="9D5ECE84">
      <w:start w:val="1"/>
      <w:numFmt w:val="bullet"/>
      <w:lvlText w:val="•"/>
      <w:lvlJc w:val="left"/>
      <w:pPr>
        <w:ind w:left="11158" w:hanging="136"/>
      </w:pPr>
      <w:rPr>
        <w:rFonts w:hint="default"/>
      </w:rPr>
    </w:lvl>
  </w:abstractNum>
  <w:abstractNum w:abstractNumId="38">
    <w:nsid w:val="639D3F3A"/>
    <w:multiLevelType w:val="hybridMultilevel"/>
    <w:tmpl w:val="9476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953B8A"/>
    <w:multiLevelType w:val="hybridMultilevel"/>
    <w:tmpl w:val="C4AA69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CA1E31"/>
    <w:multiLevelType w:val="hybridMultilevel"/>
    <w:tmpl w:val="D0B08AE8"/>
    <w:lvl w:ilvl="0" w:tplc="04090019">
      <w:start w:val="1"/>
      <w:numFmt w:val="lowerLetter"/>
      <w:lvlText w:val="%1."/>
      <w:lvlJc w:val="left"/>
      <w:pPr>
        <w:ind w:left="171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4E7481"/>
    <w:multiLevelType w:val="hybridMultilevel"/>
    <w:tmpl w:val="A9D61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856FFD"/>
    <w:multiLevelType w:val="hybridMultilevel"/>
    <w:tmpl w:val="30A0C736"/>
    <w:lvl w:ilvl="0" w:tplc="F9D4D08A">
      <w:start w:val="2"/>
      <w:numFmt w:val="lowerLetter"/>
      <w:lvlText w:val="%1."/>
      <w:lvlJc w:val="left"/>
      <w:pPr>
        <w:ind w:left="180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E531F7"/>
    <w:multiLevelType w:val="hybridMultilevel"/>
    <w:tmpl w:val="05C24BB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45">
    <w:nsid w:val="74A52BC3"/>
    <w:multiLevelType w:val="hybridMultilevel"/>
    <w:tmpl w:val="198A2460"/>
    <w:lvl w:ilvl="0" w:tplc="F3CEDE38">
      <w:start w:val="1"/>
      <w:numFmt w:val="bullet"/>
      <w:lvlText w:val=""/>
      <w:lvlJc w:val="left"/>
      <w:pPr>
        <w:ind w:left="1140" w:hanging="360"/>
      </w:pPr>
      <w:rPr>
        <w:rFonts w:ascii="Symbol" w:eastAsia="Symbol" w:hAnsi="Symbol" w:hint="default"/>
        <w:sz w:val="18"/>
        <w:szCs w:val="18"/>
      </w:rPr>
    </w:lvl>
    <w:lvl w:ilvl="1" w:tplc="B80088E0">
      <w:start w:val="1"/>
      <w:numFmt w:val="bullet"/>
      <w:lvlText w:val="•"/>
      <w:lvlJc w:val="left"/>
      <w:pPr>
        <w:ind w:left="2012" w:hanging="360"/>
      </w:pPr>
      <w:rPr>
        <w:rFonts w:hint="default"/>
      </w:rPr>
    </w:lvl>
    <w:lvl w:ilvl="2" w:tplc="9E523A80">
      <w:start w:val="1"/>
      <w:numFmt w:val="bullet"/>
      <w:lvlText w:val="•"/>
      <w:lvlJc w:val="left"/>
      <w:pPr>
        <w:ind w:left="2884" w:hanging="360"/>
      </w:pPr>
      <w:rPr>
        <w:rFonts w:hint="default"/>
      </w:rPr>
    </w:lvl>
    <w:lvl w:ilvl="3" w:tplc="BCA22978">
      <w:start w:val="1"/>
      <w:numFmt w:val="bullet"/>
      <w:lvlText w:val="•"/>
      <w:lvlJc w:val="left"/>
      <w:pPr>
        <w:ind w:left="3756" w:hanging="360"/>
      </w:pPr>
      <w:rPr>
        <w:rFonts w:hint="default"/>
      </w:rPr>
    </w:lvl>
    <w:lvl w:ilvl="4" w:tplc="63004FA2">
      <w:start w:val="1"/>
      <w:numFmt w:val="bullet"/>
      <w:lvlText w:val="•"/>
      <w:lvlJc w:val="left"/>
      <w:pPr>
        <w:ind w:left="4628" w:hanging="360"/>
      </w:pPr>
      <w:rPr>
        <w:rFonts w:hint="default"/>
      </w:rPr>
    </w:lvl>
    <w:lvl w:ilvl="5" w:tplc="894EF494">
      <w:start w:val="1"/>
      <w:numFmt w:val="bullet"/>
      <w:lvlText w:val="•"/>
      <w:lvlJc w:val="left"/>
      <w:pPr>
        <w:ind w:left="5500" w:hanging="360"/>
      </w:pPr>
      <w:rPr>
        <w:rFonts w:hint="default"/>
      </w:rPr>
    </w:lvl>
    <w:lvl w:ilvl="6" w:tplc="85383A10">
      <w:start w:val="1"/>
      <w:numFmt w:val="bullet"/>
      <w:lvlText w:val="•"/>
      <w:lvlJc w:val="left"/>
      <w:pPr>
        <w:ind w:left="6372" w:hanging="360"/>
      </w:pPr>
      <w:rPr>
        <w:rFonts w:hint="default"/>
      </w:rPr>
    </w:lvl>
    <w:lvl w:ilvl="7" w:tplc="F10888B0">
      <w:start w:val="1"/>
      <w:numFmt w:val="bullet"/>
      <w:lvlText w:val="•"/>
      <w:lvlJc w:val="left"/>
      <w:pPr>
        <w:ind w:left="7244" w:hanging="360"/>
      </w:pPr>
      <w:rPr>
        <w:rFonts w:hint="default"/>
      </w:rPr>
    </w:lvl>
    <w:lvl w:ilvl="8" w:tplc="6A64F6AE">
      <w:start w:val="1"/>
      <w:numFmt w:val="bullet"/>
      <w:lvlText w:val="•"/>
      <w:lvlJc w:val="left"/>
      <w:pPr>
        <w:ind w:left="8116" w:hanging="360"/>
      </w:pPr>
      <w:rPr>
        <w:rFonts w:hint="default"/>
      </w:rPr>
    </w:lvl>
  </w:abstractNum>
  <w:abstractNum w:abstractNumId="46">
    <w:nsid w:val="75436C5E"/>
    <w:multiLevelType w:val="hybridMultilevel"/>
    <w:tmpl w:val="ACC6BB32"/>
    <w:lvl w:ilvl="0" w:tplc="27CE728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CF21CF"/>
    <w:multiLevelType w:val="hybridMultilevel"/>
    <w:tmpl w:val="7398F820"/>
    <w:lvl w:ilvl="0" w:tplc="85F450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E23CD7"/>
    <w:multiLevelType w:val="hybridMultilevel"/>
    <w:tmpl w:val="D0A0292E"/>
    <w:lvl w:ilvl="0" w:tplc="C38419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AD79E8"/>
    <w:multiLevelType w:val="hybridMultilevel"/>
    <w:tmpl w:val="0A943A8E"/>
    <w:lvl w:ilvl="0" w:tplc="DE96DAF6">
      <w:start w:val="1"/>
      <w:numFmt w:val="decimal"/>
      <w:lvlText w:val="(%1)"/>
      <w:lvlJc w:val="left"/>
      <w:pPr>
        <w:ind w:left="1300" w:hanging="360"/>
      </w:pPr>
      <w:rPr>
        <w:rFonts w:ascii="Times New Roman" w:eastAsia="Times New Roman" w:hAnsi="Times New Roman" w:hint="default"/>
        <w:spacing w:val="-1"/>
        <w:sz w:val="24"/>
        <w:szCs w:val="24"/>
      </w:rPr>
    </w:lvl>
    <w:lvl w:ilvl="1" w:tplc="B36E20B2">
      <w:start w:val="1"/>
      <w:numFmt w:val="bullet"/>
      <w:lvlText w:val="•"/>
      <w:lvlJc w:val="left"/>
      <w:pPr>
        <w:ind w:left="2124" w:hanging="360"/>
      </w:pPr>
      <w:rPr>
        <w:rFonts w:hint="default"/>
      </w:rPr>
    </w:lvl>
    <w:lvl w:ilvl="2" w:tplc="8E1AED60">
      <w:start w:val="1"/>
      <w:numFmt w:val="bullet"/>
      <w:lvlText w:val="•"/>
      <w:lvlJc w:val="left"/>
      <w:pPr>
        <w:ind w:left="2948" w:hanging="360"/>
      </w:pPr>
      <w:rPr>
        <w:rFonts w:hint="default"/>
      </w:rPr>
    </w:lvl>
    <w:lvl w:ilvl="3" w:tplc="0FC8BB1C">
      <w:start w:val="1"/>
      <w:numFmt w:val="bullet"/>
      <w:lvlText w:val="•"/>
      <w:lvlJc w:val="left"/>
      <w:pPr>
        <w:ind w:left="3772" w:hanging="360"/>
      </w:pPr>
      <w:rPr>
        <w:rFonts w:hint="default"/>
      </w:rPr>
    </w:lvl>
    <w:lvl w:ilvl="4" w:tplc="AEE86CBA">
      <w:start w:val="1"/>
      <w:numFmt w:val="bullet"/>
      <w:lvlText w:val="•"/>
      <w:lvlJc w:val="left"/>
      <w:pPr>
        <w:ind w:left="4596" w:hanging="360"/>
      </w:pPr>
      <w:rPr>
        <w:rFonts w:hint="default"/>
      </w:rPr>
    </w:lvl>
    <w:lvl w:ilvl="5" w:tplc="BC5E01B8">
      <w:start w:val="1"/>
      <w:numFmt w:val="bullet"/>
      <w:lvlText w:val="•"/>
      <w:lvlJc w:val="left"/>
      <w:pPr>
        <w:ind w:left="5420" w:hanging="360"/>
      </w:pPr>
      <w:rPr>
        <w:rFonts w:hint="default"/>
      </w:rPr>
    </w:lvl>
    <w:lvl w:ilvl="6" w:tplc="5B6E0BB2">
      <w:start w:val="1"/>
      <w:numFmt w:val="bullet"/>
      <w:lvlText w:val="•"/>
      <w:lvlJc w:val="left"/>
      <w:pPr>
        <w:ind w:left="6244" w:hanging="360"/>
      </w:pPr>
      <w:rPr>
        <w:rFonts w:hint="default"/>
      </w:rPr>
    </w:lvl>
    <w:lvl w:ilvl="7" w:tplc="266C7AAE">
      <w:start w:val="1"/>
      <w:numFmt w:val="bullet"/>
      <w:lvlText w:val="•"/>
      <w:lvlJc w:val="left"/>
      <w:pPr>
        <w:ind w:left="7068" w:hanging="360"/>
      </w:pPr>
      <w:rPr>
        <w:rFonts w:hint="default"/>
      </w:rPr>
    </w:lvl>
    <w:lvl w:ilvl="8" w:tplc="F36AF1AE">
      <w:start w:val="1"/>
      <w:numFmt w:val="bullet"/>
      <w:lvlText w:val="•"/>
      <w:lvlJc w:val="left"/>
      <w:pPr>
        <w:ind w:left="7892" w:hanging="360"/>
      </w:pPr>
      <w:rPr>
        <w:rFonts w:hint="default"/>
      </w:rPr>
    </w:lvl>
  </w:abstractNum>
  <w:num w:numId="1">
    <w:abstractNumId w:val="23"/>
  </w:num>
  <w:num w:numId="2">
    <w:abstractNumId w:val="37"/>
  </w:num>
  <w:num w:numId="3">
    <w:abstractNumId w:val="15"/>
  </w:num>
  <w:num w:numId="4">
    <w:abstractNumId w:val="17"/>
  </w:num>
  <w:num w:numId="5">
    <w:abstractNumId w:val="45"/>
  </w:num>
  <w:num w:numId="6">
    <w:abstractNumId w:val="49"/>
  </w:num>
  <w:num w:numId="7">
    <w:abstractNumId w:val="18"/>
  </w:num>
  <w:num w:numId="8">
    <w:abstractNumId w:val="0"/>
  </w:num>
  <w:num w:numId="9">
    <w:abstractNumId w:val="44"/>
  </w:num>
  <w:num w:numId="10">
    <w:abstractNumId w:val="10"/>
  </w:num>
  <w:num w:numId="11">
    <w:abstractNumId w:val="8"/>
  </w:num>
  <w:num w:numId="12">
    <w:abstractNumId w:val="21"/>
  </w:num>
  <w:num w:numId="13">
    <w:abstractNumId w:val="32"/>
  </w:num>
  <w:num w:numId="14">
    <w:abstractNumId w:val="22"/>
  </w:num>
  <w:num w:numId="15">
    <w:abstractNumId w:val="29"/>
  </w:num>
  <w:num w:numId="16">
    <w:abstractNumId w:val="30"/>
  </w:num>
  <w:num w:numId="17">
    <w:abstractNumId w:val="6"/>
  </w:num>
  <w:num w:numId="18">
    <w:abstractNumId w:val="12"/>
  </w:num>
  <w:num w:numId="19">
    <w:abstractNumId w:val="13"/>
  </w:num>
  <w:num w:numId="20">
    <w:abstractNumId w:val="38"/>
  </w:num>
  <w:num w:numId="21">
    <w:abstractNumId w:val="14"/>
  </w:num>
  <w:num w:numId="22">
    <w:abstractNumId w:val="25"/>
  </w:num>
  <w:num w:numId="23">
    <w:abstractNumId w:val="35"/>
  </w:num>
  <w:num w:numId="24">
    <w:abstractNumId w:val="34"/>
  </w:num>
  <w:num w:numId="25">
    <w:abstractNumId w:val="1"/>
  </w:num>
  <w:num w:numId="26">
    <w:abstractNumId w:val="46"/>
  </w:num>
  <w:num w:numId="27">
    <w:abstractNumId w:val="11"/>
  </w:num>
  <w:num w:numId="28">
    <w:abstractNumId w:val="16"/>
  </w:num>
  <w:num w:numId="29">
    <w:abstractNumId w:val="27"/>
  </w:num>
  <w:num w:numId="30">
    <w:abstractNumId w:val="43"/>
  </w:num>
  <w:num w:numId="31">
    <w:abstractNumId w:val="36"/>
  </w:num>
  <w:num w:numId="32">
    <w:abstractNumId w:val="33"/>
  </w:num>
  <w:num w:numId="33">
    <w:abstractNumId w:val="9"/>
  </w:num>
  <w:num w:numId="34">
    <w:abstractNumId w:val="7"/>
  </w:num>
  <w:num w:numId="35">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10"/>
  </w:num>
  <w:num w:numId="37">
    <w:abstractNumId w:val="44"/>
    <w:lvlOverride w:ilvl="0">
      <w:startOverride w:val="5"/>
    </w:lvlOverride>
    <w:lvlOverride w:ilvl="1"/>
    <w:lvlOverride w:ilvl="2"/>
    <w:lvlOverride w:ilvl="3"/>
    <w:lvlOverride w:ilvl="4"/>
    <w:lvlOverride w:ilvl="5"/>
    <w:lvlOverride w:ilvl="6"/>
    <w:lvlOverride w:ilvl="7"/>
    <w:lvlOverride w:ilvl="8"/>
  </w:num>
  <w:num w:numId="38">
    <w:abstractNumId w:val="0"/>
  </w:num>
  <w:num w:numId="39">
    <w:abstractNumId w:val="18"/>
  </w:num>
  <w:num w:numId="40">
    <w:abstractNumId w:val="3"/>
  </w:num>
  <w:num w:numId="41">
    <w:abstractNumId w:val="26"/>
  </w:num>
  <w:num w:numId="42">
    <w:abstractNumId w:val="28"/>
  </w:num>
  <w:num w:numId="43">
    <w:abstractNumId w:val="24"/>
  </w:num>
  <w:num w:numId="44">
    <w:abstractNumId w:val="39"/>
  </w:num>
  <w:num w:numId="45">
    <w:abstractNumId w:val="48"/>
  </w:num>
  <w:num w:numId="46">
    <w:abstractNumId w:val="47"/>
  </w:num>
  <w:num w:numId="4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10"/>
  </w:num>
  <w:num w:numId="49">
    <w:abstractNumId w:val="44"/>
    <w:lvlOverride w:ilvl="0">
      <w:startOverride w:val="5"/>
    </w:lvlOverride>
    <w:lvlOverride w:ilvl="1"/>
    <w:lvlOverride w:ilvl="2"/>
    <w:lvlOverride w:ilvl="3"/>
    <w:lvlOverride w:ilvl="4"/>
    <w:lvlOverride w:ilvl="5"/>
    <w:lvlOverride w:ilvl="6"/>
    <w:lvlOverride w:ilvl="7"/>
    <w:lvlOverride w:ilvl="8"/>
  </w:num>
  <w:num w:numId="50">
    <w:abstractNumId w:val="0"/>
  </w:num>
  <w:num w:numId="51">
    <w:abstractNumId w:val="18"/>
  </w:num>
  <w:num w:numId="52">
    <w:abstractNumId w:val="41"/>
  </w:num>
  <w:num w:numId="53">
    <w:abstractNumId w:val="31"/>
  </w:num>
  <w:num w:numId="54">
    <w:abstractNumId w:val="5"/>
  </w:num>
  <w:num w:numId="55">
    <w:abstractNumId w:val="2"/>
  </w:num>
  <w:num w:numId="56">
    <w:abstractNumId w:val="40"/>
  </w:num>
  <w:num w:numId="57">
    <w:abstractNumId w:val="4"/>
  </w:num>
  <w:num w:numId="58">
    <w:abstractNumId w:val="42"/>
  </w:num>
  <w:num w:numId="59">
    <w:abstractNumId w:val="19"/>
  </w:num>
  <w:num w:numId="6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52re2mee9sbedpx95axztsextrrtdzpa5&quot;&gt;TSCA_Active-Saved&lt;record-ids&gt;&lt;item&gt;8&lt;/item&gt;&lt;item&gt;16&lt;/item&gt;&lt;/record-ids&gt;&lt;/item&gt;&lt;/Libraries&gt;"/>
  </w:docVars>
  <w:rsids>
    <w:rsidRoot w:val="00F352A2"/>
    <w:rsid w:val="00036EF9"/>
    <w:rsid w:val="0003751E"/>
    <w:rsid w:val="00043A91"/>
    <w:rsid w:val="00043EF2"/>
    <w:rsid w:val="00047000"/>
    <w:rsid w:val="00052A22"/>
    <w:rsid w:val="000530A5"/>
    <w:rsid w:val="00057146"/>
    <w:rsid w:val="0005728C"/>
    <w:rsid w:val="000611ED"/>
    <w:rsid w:val="0007313C"/>
    <w:rsid w:val="000822F7"/>
    <w:rsid w:val="000829DB"/>
    <w:rsid w:val="0009074A"/>
    <w:rsid w:val="00091B49"/>
    <w:rsid w:val="00092F98"/>
    <w:rsid w:val="000950D9"/>
    <w:rsid w:val="00096B77"/>
    <w:rsid w:val="00097493"/>
    <w:rsid w:val="000A758E"/>
    <w:rsid w:val="000B2156"/>
    <w:rsid w:val="000B75CE"/>
    <w:rsid w:val="000C295E"/>
    <w:rsid w:val="000C53A8"/>
    <w:rsid w:val="000C5B89"/>
    <w:rsid w:val="000E0052"/>
    <w:rsid w:val="000E7B0F"/>
    <w:rsid w:val="000F1208"/>
    <w:rsid w:val="000F664E"/>
    <w:rsid w:val="00104329"/>
    <w:rsid w:val="001050F8"/>
    <w:rsid w:val="00114A4E"/>
    <w:rsid w:val="00134668"/>
    <w:rsid w:val="00137964"/>
    <w:rsid w:val="00141C26"/>
    <w:rsid w:val="00146F48"/>
    <w:rsid w:val="00162EBC"/>
    <w:rsid w:val="001641DA"/>
    <w:rsid w:val="00164669"/>
    <w:rsid w:val="001710C0"/>
    <w:rsid w:val="00181615"/>
    <w:rsid w:val="001B2C5F"/>
    <w:rsid w:val="001B3754"/>
    <w:rsid w:val="001B3CB4"/>
    <w:rsid w:val="001B3E63"/>
    <w:rsid w:val="001B4F11"/>
    <w:rsid w:val="001B6512"/>
    <w:rsid w:val="001C5B25"/>
    <w:rsid w:val="001E088D"/>
    <w:rsid w:val="001E2FFD"/>
    <w:rsid w:val="001F7922"/>
    <w:rsid w:val="00211C34"/>
    <w:rsid w:val="0022065C"/>
    <w:rsid w:val="00220B44"/>
    <w:rsid w:val="00223CEC"/>
    <w:rsid w:val="002241F1"/>
    <w:rsid w:val="00225FB4"/>
    <w:rsid w:val="002445D0"/>
    <w:rsid w:val="00250E66"/>
    <w:rsid w:val="00260947"/>
    <w:rsid w:val="00261278"/>
    <w:rsid w:val="0026220A"/>
    <w:rsid w:val="00262AA2"/>
    <w:rsid w:val="00264922"/>
    <w:rsid w:val="00265425"/>
    <w:rsid w:val="00266AA0"/>
    <w:rsid w:val="00272F96"/>
    <w:rsid w:val="0027482F"/>
    <w:rsid w:val="0027761C"/>
    <w:rsid w:val="00281369"/>
    <w:rsid w:val="0028756D"/>
    <w:rsid w:val="00292829"/>
    <w:rsid w:val="00296572"/>
    <w:rsid w:val="00297C25"/>
    <w:rsid w:val="002A3F38"/>
    <w:rsid w:val="002B05BF"/>
    <w:rsid w:val="002B1022"/>
    <w:rsid w:val="002C43D8"/>
    <w:rsid w:val="002C491C"/>
    <w:rsid w:val="002C60DA"/>
    <w:rsid w:val="002C6E2B"/>
    <w:rsid w:val="002D6B03"/>
    <w:rsid w:val="002E0C5F"/>
    <w:rsid w:val="002E14C2"/>
    <w:rsid w:val="002E3E2D"/>
    <w:rsid w:val="002E56AF"/>
    <w:rsid w:val="002E5E9C"/>
    <w:rsid w:val="002E751C"/>
    <w:rsid w:val="0030314F"/>
    <w:rsid w:val="00307A65"/>
    <w:rsid w:val="00311A7F"/>
    <w:rsid w:val="0031230B"/>
    <w:rsid w:val="00312CF9"/>
    <w:rsid w:val="003218E8"/>
    <w:rsid w:val="00325039"/>
    <w:rsid w:val="00327051"/>
    <w:rsid w:val="00355B9D"/>
    <w:rsid w:val="0036014A"/>
    <w:rsid w:val="003605C8"/>
    <w:rsid w:val="00361407"/>
    <w:rsid w:val="003743F9"/>
    <w:rsid w:val="00375A71"/>
    <w:rsid w:val="00380869"/>
    <w:rsid w:val="0038132A"/>
    <w:rsid w:val="00383B88"/>
    <w:rsid w:val="0038533A"/>
    <w:rsid w:val="00394375"/>
    <w:rsid w:val="003B6F2D"/>
    <w:rsid w:val="003C61E3"/>
    <w:rsid w:val="003C6BE4"/>
    <w:rsid w:val="003D618D"/>
    <w:rsid w:val="003E3695"/>
    <w:rsid w:val="003E4E42"/>
    <w:rsid w:val="003F3553"/>
    <w:rsid w:val="003F63BC"/>
    <w:rsid w:val="004121F6"/>
    <w:rsid w:val="004164AB"/>
    <w:rsid w:val="004170D8"/>
    <w:rsid w:val="00420D64"/>
    <w:rsid w:val="00436CEC"/>
    <w:rsid w:val="0043775D"/>
    <w:rsid w:val="0044147A"/>
    <w:rsid w:val="0044211A"/>
    <w:rsid w:val="004461EB"/>
    <w:rsid w:val="00450F47"/>
    <w:rsid w:val="00482BBA"/>
    <w:rsid w:val="00483236"/>
    <w:rsid w:val="00483C45"/>
    <w:rsid w:val="0049006B"/>
    <w:rsid w:val="00491CAB"/>
    <w:rsid w:val="00493F78"/>
    <w:rsid w:val="004967DA"/>
    <w:rsid w:val="00497258"/>
    <w:rsid w:val="004B25A6"/>
    <w:rsid w:val="004C045F"/>
    <w:rsid w:val="004E3E02"/>
    <w:rsid w:val="004F77A2"/>
    <w:rsid w:val="005005E0"/>
    <w:rsid w:val="00502364"/>
    <w:rsid w:val="005051D8"/>
    <w:rsid w:val="00505245"/>
    <w:rsid w:val="005138B5"/>
    <w:rsid w:val="005174A6"/>
    <w:rsid w:val="00542781"/>
    <w:rsid w:val="00543166"/>
    <w:rsid w:val="005435CC"/>
    <w:rsid w:val="00550546"/>
    <w:rsid w:val="00551F5F"/>
    <w:rsid w:val="00556182"/>
    <w:rsid w:val="00565BB2"/>
    <w:rsid w:val="00576219"/>
    <w:rsid w:val="00580F9A"/>
    <w:rsid w:val="00586E22"/>
    <w:rsid w:val="005917C2"/>
    <w:rsid w:val="00596067"/>
    <w:rsid w:val="005A05D9"/>
    <w:rsid w:val="005A0D2F"/>
    <w:rsid w:val="005A333D"/>
    <w:rsid w:val="005A4DFC"/>
    <w:rsid w:val="005A5B40"/>
    <w:rsid w:val="005A7D6D"/>
    <w:rsid w:val="005B5314"/>
    <w:rsid w:val="005B5680"/>
    <w:rsid w:val="005C0801"/>
    <w:rsid w:val="005C340D"/>
    <w:rsid w:val="005E10F8"/>
    <w:rsid w:val="005E1BF6"/>
    <w:rsid w:val="005E20E0"/>
    <w:rsid w:val="005E4F89"/>
    <w:rsid w:val="005E7772"/>
    <w:rsid w:val="005F0E43"/>
    <w:rsid w:val="005F3400"/>
    <w:rsid w:val="006000B3"/>
    <w:rsid w:val="00601DF6"/>
    <w:rsid w:val="00605891"/>
    <w:rsid w:val="0060758A"/>
    <w:rsid w:val="00607998"/>
    <w:rsid w:val="00610836"/>
    <w:rsid w:val="00613B92"/>
    <w:rsid w:val="0061552C"/>
    <w:rsid w:val="00622C94"/>
    <w:rsid w:val="00631733"/>
    <w:rsid w:val="006337F9"/>
    <w:rsid w:val="0064071B"/>
    <w:rsid w:val="0064139B"/>
    <w:rsid w:val="00645BA0"/>
    <w:rsid w:val="00653881"/>
    <w:rsid w:val="00657B37"/>
    <w:rsid w:val="00663361"/>
    <w:rsid w:val="006639DF"/>
    <w:rsid w:val="00663F11"/>
    <w:rsid w:val="006660C5"/>
    <w:rsid w:val="00672F3A"/>
    <w:rsid w:val="00675FB9"/>
    <w:rsid w:val="00697D72"/>
    <w:rsid w:val="006A164C"/>
    <w:rsid w:val="006A2228"/>
    <w:rsid w:val="006A6416"/>
    <w:rsid w:val="006B0441"/>
    <w:rsid w:val="006B5003"/>
    <w:rsid w:val="006C049E"/>
    <w:rsid w:val="006C46E6"/>
    <w:rsid w:val="006C7322"/>
    <w:rsid w:val="006D6EF5"/>
    <w:rsid w:val="006E0A30"/>
    <w:rsid w:val="006E66CF"/>
    <w:rsid w:val="006F1230"/>
    <w:rsid w:val="0071365F"/>
    <w:rsid w:val="007238D9"/>
    <w:rsid w:val="007357A9"/>
    <w:rsid w:val="007407C5"/>
    <w:rsid w:val="007476BF"/>
    <w:rsid w:val="00747787"/>
    <w:rsid w:val="00750254"/>
    <w:rsid w:val="00750770"/>
    <w:rsid w:val="007533C4"/>
    <w:rsid w:val="007667EA"/>
    <w:rsid w:val="00767D45"/>
    <w:rsid w:val="00780ED1"/>
    <w:rsid w:val="00786E65"/>
    <w:rsid w:val="00792744"/>
    <w:rsid w:val="007A1581"/>
    <w:rsid w:val="007A39A7"/>
    <w:rsid w:val="007A7435"/>
    <w:rsid w:val="007A7F68"/>
    <w:rsid w:val="007C3A5B"/>
    <w:rsid w:val="007D7498"/>
    <w:rsid w:val="007E3229"/>
    <w:rsid w:val="007E41F2"/>
    <w:rsid w:val="007E4CF1"/>
    <w:rsid w:val="007F09DB"/>
    <w:rsid w:val="007F1796"/>
    <w:rsid w:val="007F4BE9"/>
    <w:rsid w:val="007F6B6D"/>
    <w:rsid w:val="00800AD0"/>
    <w:rsid w:val="00801788"/>
    <w:rsid w:val="00802A3E"/>
    <w:rsid w:val="00810C62"/>
    <w:rsid w:val="008110F7"/>
    <w:rsid w:val="008165ED"/>
    <w:rsid w:val="00822292"/>
    <w:rsid w:val="0082527B"/>
    <w:rsid w:val="0083045B"/>
    <w:rsid w:val="008306C0"/>
    <w:rsid w:val="0083247B"/>
    <w:rsid w:val="008348EC"/>
    <w:rsid w:val="008351E8"/>
    <w:rsid w:val="00840C7C"/>
    <w:rsid w:val="00846ADF"/>
    <w:rsid w:val="008558E6"/>
    <w:rsid w:val="00880B12"/>
    <w:rsid w:val="00882C25"/>
    <w:rsid w:val="00886E99"/>
    <w:rsid w:val="0089432D"/>
    <w:rsid w:val="008976F4"/>
    <w:rsid w:val="008A07C2"/>
    <w:rsid w:val="008A3B2C"/>
    <w:rsid w:val="008A5ECC"/>
    <w:rsid w:val="008B2069"/>
    <w:rsid w:val="008C5E78"/>
    <w:rsid w:val="008D749B"/>
    <w:rsid w:val="008E0DC0"/>
    <w:rsid w:val="008E3B38"/>
    <w:rsid w:val="008E7736"/>
    <w:rsid w:val="008F3647"/>
    <w:rsid w:val="00901EA9"/>
    <w:rsid w:val="00903303"/>
    <w:rsid w:val="009147F2"/>
    <w:rsid w:val="00915DDB"/>
    <w:rsid w:val="009224E9"/>
    <w:rsid w:val="00960751"/>
    <w:rsid w:val="009647F3"/>
    <w:rsid w:val="009669A5"/>
    <w:rsid w:val="00970D28"/>
    <w:rsid w:val="00976943"/>
    <w:rsid w:val="00977647"/>
    <w:rsid w:val="00981AC0"/>
    <w:rsid w:val="00981B0D"/>
    <w:rsid w:val="009853C9"/>
    <w:rsid w:val="00986765"/>
    <w:rsid w:val="009954DA"/>
    <w:rsid w:val="00997899"/>
    <w:rsid w:val="009A23D4"/>
    <w:rsid w:val="009A4B64"/>
    <w:rsid w:val="009A5F8E"/>
    <w:rsid w:val="009A725E"/>
    <w:rsid w:val="009B7220"/>
    <w:rsid w:val="009C764F"/>
    <w:rsid w:val="009D0935"/>
    <w:rsid w:val="009D1C27"/>
    <w:rsid w:val="009E51AF"/>
    <w:rsid w:val="009E6CD0"/>
    <w:rsid w:val="00A12823"/>
    <w:rsid w:val="00A16B42"/>
    <w:rsid w:val="00A16BFC"/>
    <w:rsid w:val="00A247D9"/>
    <w:rsid w:val="00A35123"/>
    <w:rsid w:val="00A36603"/>
    <w:rsid w:val="00A520C0"/>
    <w:rsid w:val="00A52F1E"/>
    <w:rsid w:val="00A5342C"/>
    <w:rsid w:val="00A53564"/>
    <w:rsid w:val="00A607AC"/>
    <w:rsid w:val="00A61BC0"/>
    <w:rsid w:val="00A67035"/>
    <w:rsid w:val="00A83218"/>
    <w:rsid w:val="00A9568F"/>
    <w:rsid w:val="00A958EE"/>
    <w:rsid w:val="00AB0435"/>
    <w:rsid w:val="00AB2EE3"/>
    <w:rsid w:val="00AB43FE"/>
    <w:rsid w:val="00AC1279"/>
    <w:rsid w:val="00AD1B18"/>
    <w:rsid w:val="00AD2E23"/>
    <w:rsid w:val="00AD5602"/>
    <w:rsid w:val="00AE5E05"/>
    <w:rsid w:val="00AF279D"/>
    <w:rsid w:val="00B00384"/>
    <w:rsid w:val="00B06388"/>
    <w:rsid w:val="00B13099"/>
    <w:rsid w:val="00B167FD"/>
    <w:rsid w:val="00B25205"/>
    <w:rsid w:val="00B32A5D"/>
    <w:rsid w:val="00B334CA"/>
    <w:rsid w:val="00B342DC"/>
    <w:rsid w:val="00B453B8"/>
    <w:rsid w:val="00B473E3"/>
    <w:rsid w:val="00B47E7B"/>
    <w:rsid w:val="00B510AA"/>
    <w:rsid w:val="00B63994"/>
    <w:rsid w:val="00B66E22"/>
    <w:rsid w:val="00B74823"/>
    <w:rsid w:val="00B74846"/>
    <w:rsid w:val="00B811C7"/>
    <w:rsid w:val="00B82870"/>
    <w:rsid w:val="00B83E56"/>
    <w:rsid w:val="00B863C0"/>
    <w:rsid w:val="00B977FE"/>
    <w:rsid w:val="00BA0423"/>
    <w:rsid w:val="00BB266E"/>
    <w:rsid w:val="00BC0B24"/>
    <w:rsid w:val="00BC286A"/>
    <w:rsid w:val="00BC35BB"/>
    <w:rsid w:val="00BC3A65"/>
    <w:rsid w:val="00BD4364"/>
    <w:rsid w:val="00BD6ECD"/>
    <w:rsid w:val="00BE24AE"/>
    <w:rsid w:val="00BE34E4"/>
    <w:rsid w:val="00BE4D9B"/>
    <w:rsid w:val="00BF11CD"/>
    <w:rsid w:val="00C05012"/>
    <w:rsid w:val="00C05528"/>
    <w:rsid w:val="00C20428"/>
    <w:rsid w:val="00C22BA7"/>
    <w:rsid w:val="00C23743"/>
    <w:rsid w:val="00C26D7F"/>
    <w:rsid w:val="00C45149"/>
    <w:rsid w:val="00C5069E"/>
    <w:rsid w:val="00C53F14"/>
    <w:rsid w:val="00C60F9E"/>
    <w:rsid w:val="00C7141A"/>
    <w:rsid w:val="00C720B3"/>
    <w:rsid w:val="00C81095"/>
    <w:rsid w:val="00C937E4"/>
    <w:rsid w:val="00C9567F"/>
    <w:rsid w:val="00CA2F38"/>
    <w:rsid w:val="00CA30CA"/>
    <w:rsid w:val="00CA421D"/>
    <w:rsid w:val="00CB1F18"/>
    <w:rsid w:val="00CC1999"/>
    <w:rsid w:val="00CC352F"/>
    <w:rsid w:val="00CC4A14"/>
    <w:rsid w:val="00CE0EC5"/>
    <w:rsid w:val="00CE116D"/>
    <w:rsid w:val="00CE4C43"/>
    <w:rsid w:val="00CE6D20"/>
    <w:rsid w:val="00CF2C77"/>
    <w:rsid w:val="00CF3905"/>
    <w:rsid w:val="00CF3D94"/>
    <w:rsid w:val="00CF4C1D"/>
    <w:rsid w:val="00D0368E"/>
    <w:rsid w:val="00D1663A"/>
    <w:rsid w:val="00D16A0A"/>
    <w:rsid w:val="00D16D9B"/>
    <w:rsid w:val="00D17740"/>
    <w:rsid w:val="00D25007"/>
    <w:rsid w:val="00D256AC"/>
    <w:rsid w:val="00D270A5"/>
    <w:rsid w:val="00D327F8"/>
    <w:rsid w:val="00D349B0"/>
    <w:rsid w:val="00D422BC"/>
    <w:rsid w:val="00D43BB6"/>
    <w:rsid w:val="00D47574"/>
    <w:rsid w:val="00D50513"/>
    <w:rsid w:val="00D614F5"/>
    <w:rsid w:val="00D641E0"/>
    <w:rsid w:val="00D709E8"/>
    <w:rsid w:val="00D74AA8"/>
    <w:rsid w:val="00D946B6"/>
    <w:rsid w:val="00D95C21"/>
    <w:rsid w:val="00D976D8"/>
    <w:rsid w:val="00D97C5C"/>
    <w:rsid w:val="00D97EB1"/>
    <w:rsid w:val="00DB06D8"/>
    <w:rsid w:val="00DC487F"/>
    <w:rsid w:val="00DC56A2"/>
    <w:rsid w:val="00DC7F50"/>
    <w:rsid w:val="00DD08EF"/>
    <w:rsid w:val="00DD6627"/>
    <w:rsid w:val="00DE2BE2"/>
    <w:rsid w:val="00DF2EE9"/>
    <w:rsid w:val="00DF5FF6"/>
    <w:rsid w:val="00E03E52"/>
    <w:rsid w:val="00E049F8"/>
    <w:rsid w:val="00E2383A"/>
    <w:rsid w:val="00E36B9F"/>
    <w:rsid w:val="00E40D2A"/>
    <w:rsid w:val="00E40D50"/>
    <w:rsid w:val="00E4350C"/>
    <w:rsid w:val="00E51214"/>
    <w:rsid w:val="00E529A8"/>
    <w:rsid w:val="00E54270"/>
    <w:rsid w:val="00E544A8"/>
    <w:rsid w:val="00E6211C"/>
    <w:rsid w:val="00E672D2"/>
    <w:rsid w:val="00E6762A"/>
    <w:rsid w:val="00E76CD4"/>
    <w:rsid w:val="00E77330"/>
    <w:rsid w:val="00E92CF2"/>
    <w:rsid w:val="00E92F21"/>
    <w:rsid w:val="00E95B90"/>
    <w:rsid w:val="00E95E82"/>
    <w:rsid w:val="00EA79FB"/>
    <w:rsid w:val="00EB04AB"/>
    <w:rsid w:val="00EB0B1B"/>
    <w:rsid w:val="00EB0BE3"/>
    <w:rsid w:val="00EB691B"/>
    <w:rsid w:val="00EB6A8F"/>
    <w:rsid w:val="00EB6C99"/>
    <w:rsid w:val="00EB6D73"/>
    <w:rsid w:val="00EB76DB"/>
    <w:rsid w:val="00EC2463"/>
    <w:rsid w:val="00EC4399"/>
    <w:rsid w:val="00EC78DF"/>
    <w:rsid w:val="00ED2B87"/>
    <w:rsid w:val="00ED7023"/>
    <w:rsid w:val="00EE0379"/>
    <w:rsid w:val="00EE183E"/>
    <w:rsid w:val="00EE617B"/>
    <w:rsid w:val="00EF2391"/>
    <w:rsid w:val="00F019CE"/>
    <w:rsid w:val="00F0323A"/>
    <w:rsid w:val="00F05C61"/>
    <w:rsid w:val="00F105AA"/>
    <w:rsid w:val="00F26BA0"/>
    <w:rsid w:val="00F316E7"/>
    <w:rsid w:val="00F32C72"/>
    <w:rsid w:val="00F352A2"/>
    <w:rsid w:val="00F51F73"/>
    <w:rsid w:val="00F55849"/>
    <w:rsid w:val="00F6400C"/>
    <w:rsid w:val="00F72472"/>
    <w:rsid w:val="00F830A7"/>
    <w:rsid w:val="00F92D28"/>
    <w:rsid w:val="00F9709A"/>
    <w:rsid w:val="00FA0DCC"/>
    <w:rsid w:val="00FA4D68"/>
    <w:rsid w:val="00FB740B"/>
    <w:rsid w:val="00FD37AA"/>
    <w:rsid w:val="00FD3DBE"/>
    <w:rsid w:val="00FD48EB"/>
    <w:rsid w:val="00FE24F2"/>
    <w:rsid w:val="00FE38F4"/>
    <w:rsid w:val="00FE5F07"/>
    <w:rsid w:val="00FF3D94"/>
    <w:rsid w:val="00FF4592"/>
    <w:rsid w:val="00FF66DA"/>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0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ind w:left="8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97E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37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firstLine="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0C0"/>
    <w:pPr>
      <w:tabs>
        <w:tab w:val="center" w:pos="4680"/>
        <w:tab w:val="right" w:pos="9360"/>
      </w:tabs>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pPr>
  </w:style>
  <w:style w:type="character" w:customStyle="1" w:styleId="FooterChar">
    <w:name w:val="Footer Char"/>
    <w:basedOn w:val="DefaultParagraphFont"/>
    <w:link w:val="Footer"/>
    <w:uiPriority w:val="99"/>
    <w:rsid w:val="001710C0"/>
  </w:style>
  <w:style w:type="paragraph" w:styleId="BalloonText">
    <w:name w:val="Balloon Text"/>
    <w:basedOn w:val="Normal"/>
    <w:link w:val="BalloonTextChar"/>
    <w:uiPriority w:val="99"/>
    <w:semiHidden/>
    <w:unhideWhenUsed/>
    <w:rsid w:val="0041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F6"/>
    <w:rPr>
      <w:rFonts w:ascii="Segoe UI" w:hAnsi="Segoe UI" w:cs="Segoe UI"/>
      <w:sz w:val="18"/>
      <w:szCs w:val="18"/>
    </w:rPr>
  </w:style>
  <w:style w:type="character" w:styleId="Hyperlink">
    <w:name w:val="Hyperlink"/>
    <w:basedOn w:val="DefaultParagraphFont"/>
    <w:uiPriority w:val="99"/>
    <w:unhideWhenUsed/>
    <w:rsid w:val="006A164C"/>
    <w:rPr>
      <w:color w:val="0000FF" w:themeColor="hyperlink"/>
      <w:u w:val="single"/>
    </w:rPr>
  </w:style>
  <w:style w:type="character" w:styleId="CommentReference">
    <w:name w:val="annotation reference"/>
    <w:basedOn w:val="DefaultParagraphFont"/>
    <w:uiPriority w:val="99"/>
    <w:unhideWhenUsed/>
    <w:rsid w:val="008A3B2C"/>
    <w:rPr>
      <w:sz w:val="16"/>
      <w:szCs w:val="16"/>
    </w:rPr>
  </w:style>
  <w:style w:type="paragraph" w:styleId="CommentText">
    <w:name w:val="annotation text"/>
    <w:basedOn w:val="Normal"/>
    <w:link w:val="CommentTextChar"/>
    <w:uiPriority w:val="99"/>
    <w:unhideWhenUsed/>
    <w:rsid w:val="008A3B2C"/>
    <w:rPr>
      <w:sz w:val="20"/>
      <w:szCs w:val="20"/>
    </w:rPr>
  </w:style>
  <w:style w:type="character" w:customStyle="1" w:styleId="CommentTextChar">
    <w:name w:val="Comment Text Char"/>
    <w:basedOn w:val="DefaultParagraphFont"/>
    <w:link w:val="CommentText"/>
    <w:uiPriority w:val="99"/>
    <w:rsid w:val="008A3B2C"/>
    <w:rPr>
      <w:sz w:val="20"/>
      <w:szCs w:val="20"/>
    </w:rPr>
  </w:style>
  <w:style w:type="paragraph" w:styleId="CommentSubject">
    <w:name w:val="annotation subject"/>
    <w:basedOn w:val="CommentText"/>
    <w:next w:val="CommentText"/>
    <w:link w:val="CommentSubjectChar"/>
    <w:uiPriority w:val="99"/>
    <w:semiHidden/>
    <w:unhideWhenUsed/>
    <w:rsid w:val="008A3B2C"/>
    <w:rPr>
      <w:b/>
      <w:bCs/>
    </w:rPr>
  </w:style>
  <w:style w:type="character" w:customStyle="1" w:styleId="CommentSubjectChar">
    <w:name w:val="Comment Subject Char"/>
    <w:basedOn w:val="CommentTextChar"/>
    <w:link w:val="CommentSubject"/>
    <w:uiPriority w:val="99"/>
    <w:semiHidden/>
    <w:rsid w:val="008A3B2C"/>
    <w:rPr>
      <w:b/>
      <w:bCs/>
      <w:sz w:val="20"/>
      <w:szCs w:val="20"/>
    </w:rPr>
  </w:style>
  <w:style w:type="paragraph" w:styleId="Revision">
    <w:name w:val="Revision"/>
    <w:hidden/>
    <w:uiPriority w:val="99"/>
    <w:semiHidden/>
    <w:rsid w:val="009647F3"/>
    <w:pPr>
      <w:widowControl/>
    </w:pPr>
  </w:style>
  <w:style w:type="character" w:customStyle="1" w:styleId="Heading3Char">
    <w:name w:val="Heading 3 Char"/>
    <w:basedOn w:val="DefaultParagraphFont"/>
    <w:link w:val="Heading3"/>
    <w:uiPriority w:val="9"/>
    <w:rsid w:val="001B3754"/>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rsid w:val="001B3754"/>
    <w:rPr>
      <w:vertAlign w:val="superscript"/>
    </w:rPr>
  </w:style>
  <w:style w:type="paragraph" w:styleId="FootnoteText">
    <w:name w:val="footnote text"/>
    <w:basedOn w:val="Normal"/>
    <w:link w:val="FootnoteTextChar"/>
    <w:uiPriority w:val="99"/>
    <w:rsid w:val="001B3754"/>
    <w:pPr>
      <w:widowControl/>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B3754"/>
    <w:rPr>
      <w:rFonts w:ascii="Times New Roman" w:eastAsia="Times New Roman" w:hAnsi="Times New Roman" w:cs="Times New Roman"/>
      <w:sz w:val="20"/>
      <w:szCs w:val="20"/>
    </w:rPr>
  </w:style>
  <w:style w:type="table" w:styleId="TableGrid">
    <w:name w:val="Table Grid"/>
    <w:basedOn w:val="TableNormal"/>
    <w:uiPriority w:val="39"/>
    <w:rsid w:val="001B375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B3754"/>
    <w:pPr>
      <w:keepNext/>
      <w:keepLines/>
      <w:tabs>
        <w:tab w:val="left" w:pos="1440"/>
      </w:tabs>
      <w:spacing w:after="120" w:line="264" w:lineRule="auto"/>
      <w:ind w:left="1440" w:hanging="1440"/>
    </w:pPr>
    <w:rPr>
      <w:rFonts w:ascii="Arial" w:eastAsia="Times New Roman" w:hAnsi="Arial" w:cs="Times New Roman"/>
      <w:b/>
      <w:bCs/>
      <w:szCs w:val="20"/>
    </w:rPr>
  </w:style>
  <w:style w:type="character" w:customStyle="1" w:styleId="Heading2Char">
    <w:name w:val="Heading 2 Char"/>
    <w:basedOn w:val="DefaultParagraphFont"/>
    <w:link w:val="Heading2"/>
    <w:uiPriority w:val="9"/>
    <w:rsid w:val="00D97EB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E5E9C"/>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937E4"/>
    <w:rPr>
      <w:sz w:val="20"/>
      <w:szCs w:val="20"/>
    </w:rPr>
  </w:style>
  <w:style w:type="character" w:customStyle="1" w:styleId="EndnoteTextChar">
    <w:name w:val="Endnote Text Char"/>
    <w:basedOn w:val="DefaultParagraphFont"/>
    <w:link w:val="EndnoteText"/>
    <w:uiPriority w:val="99"/>
    <w:semiHidden/>
    <w:rsid w:val="00C937E4"/>
    <w:rPr>
      <w:sz w:val="20"/>
      <w:szCs w:val="20"/>
    </w:rPr>
  </w:style>
  <w:style w:type="character" w:styleId="EndnoteReference">
    <w:name w:val="endnote reference"/>
    <w:basedOn w:val="DefaultParagraphFont"/>
    <w:uiPriority w:val="99"/>
    <w:semiHidden/>
    <w:unhideWhenUsed/>
    <w:rsid w:val="00C937E4"/>
    <w:rPr>
      <w:vertAlign w:val="superscript"/>
    </w:rPr>
  </w:style>
  <w:style w:type="character" w:customStyle="1" w:styleId="BodyTextChar">
    <w:name w:val="Body Text Char"/>
    <w:basedOn w:val="DefaultParagraphFont"/>
    <w:link w:val="BodyText"/>
    <w:rsid w:val="008351E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B76DB"/>
    <w:rPr>
      <w:color w:val="800080" w:themeColor="followedHyperlink"/>
      <w:u w:val="single"/>
    </w:rPr>
  </w:style>
  <w:style w:type="paragraph" w:styleId="Bibliography">
    <w:name w:val="Bibliography"/>
    <w:basedOn w:val="Normal"/>
    <w:next w:val="Normal"/>
    <w:uiPriority w:val="37"/>
    <w:unhideWhenUsed/>
    <w:rsid w:val="00211C34"/>
    <w:pPr>
      <w:ind w:left="720" w:hanging="720"/>
    </w:pPr>
  </w:style>
  <w:style w:type="table" w:customStyle="1" w:styleId="TableGrid1">
    <w:name w:val="Table Grid1"/>
    <w:basedOn w:val="TableNormal"/>
    <w:next w:val="TableGrid"/>
    <w:uiPriority w:val="39"/>
    <w:rsid w:val="00D16D9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51E"/>
    <w:pPr>
      <w:widowControl/>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ind w:left="8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97E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37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firstLine="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0C0"/>
    <w:pPr>
      <w:tabs>
        <w:tab w:val="center" w:pos="4680"/>
        <w:tab w:val="right" w:pos="9360"/>
      </w:tabs>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pPr>
  </w:style>
  <w:style w:type="character" w:customStyle="1" w:styleId="FooterChar">
    <w:name w:val="Footer Char"/>
    <w:basedOn w:val="DefaultParagraphFont"/>
    <w:link w:val="Footer"/>
    <w:uiPriority w:val="99"/>
    <w:rsid w:val="001710C0"/>
  </w:style>
  <w:style w:type="paragraph" w:styleId="BalloonText">
    <w:name w:val="Balloon Text"/>
    <w:basedOn w:val="Normal"/>
    <w:link w:val="BalloonTextChar"/>
    <w:uiPriority w:val="99"/>
    <w:semiHidden/>
    <w:unhideWhenUsed/>
    <w:rsid w:val="0041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F6"/>
    <w:rPr>
      <w:rFonts w:ascii="Segoe UI" w:hAnsi="Segoe UI" w:cs="Segoe UI"/>
      <w:sz w:val="18"/>
      <w:szCs w:val="18"/>
    </w:rPr>
  </w:style>
  <w:style w:type="character" w:styleId="Hyperlink">
    <w:name w:val="Hyperlink"/>
    <w:basedOn w:val="DefaultParagraphFont"/>
    <w:uiPriority w:val="99"/>
    <w:unhideWhenUsed/>
    <w:rsid w:val="006A164C"/>
    <w:rPr>
      <w:color w:val="0000FF" w:themeColor="hyperlink"/>
      <w:u w:val="single"/>
    </w:rPr>
  </w:style>
  <w:style w:type="character" w:styleId="CommentReference">
    <w:name w:val="annotation reference"/>
    <w:basedOn w:val="DefaultParagraphFont"/>
    <w:uiPriority w:val="99"/>
    <w:unhideWhenUsed/>
    <w:rsid w:val="008A3B2C"/>
    <w:rPr>
      <w:sz w:val="16"/>
      <w:szCs w:val="16"/>
    </w:rPr>
  </w:style>
  <w:style w:type="paragraph" w:styleId="CommentText">
    <w:name w:val="annotation text"/>
    <w:basedOn w:val="Normal"/>
    <w:link w:val="CommentTextChar"/>
    <w:uiPriority w:val="99"/>
    <w:unhideWhenUsed/>
    <w:rsid w:val="008A3B2C"/>
    <w:rPr>
      <w:sz w:val="20"/>
      <w:szCs w:val="20"/>
    </w:rPr>
  </w:style>
  <w:style w:type="character" w:customStyle="1" w:styleId="CommentTextChar">
    <w:name w:val="Comment Text Char"/>
    <w:basedOn w:val="DefaultParagraphFont"/>
    <w:link w:val="CommentText"/>
    <w:uiPriority w:val="99"/>
    <w:rsid w:val="008A3B2C"/>
    <w:rPr>
      <w:sz w:val="20"/>
      <w:szCs w:val="20"/>
    </w:rPr>
  </w:style>
  <w:style w:type="paragraph" w:styleId="CommentSubject">
    <w:name w:val="annotation subject"/>
    <w:basedOn w:val="CommentText"/>
    <w:next w:val="CommentText"/>
    <w:link w:val="CommentSubjectChar"/>
    <w:uiPriority w:val="99"/>
    <w:semiHidden/>
    <w:unhideWhenUsed/>
    <w:rsid w:val="008A3B2C"/>
    <w:rPr>
      <w:b/>
      <w:bCs/>
    </w:rPr>
  </w:style>
  <w:style w:type="character" w:customStyle="1" w:styleId="CommentSubjectChar">
    <w:name w:val="Comment Subject Char"/>
    <w:basedOn w:val="CommentTextChar"/>
    <w:link w:val="CommentSubject"/>
    <w:uiPriority w:val="99"/>
    <w:semiHidden/>
    <w:rsid w:val="008A3B2C"/>
    <w:rPr>
      <w:b/>
      <w:bCs/>
      <w:sz w:val="20"/>
      <w:szCs w:val="20"/>
    </w:rPr>
  </w:style>
  <w:style w:type="paragraph" w:styleId="Revision">
    <w:name w:val="Revision"/>
    <w:hidden/>
    <w:uiPriority w:val="99"/>
    <w:semiHidden/>
    <w:rsid w:val="009647F3"/>
    <w:pPr>
      <w:widowControl/>
    </w:pPr>
  </w:style>
  <w:style w:type="character" w:customStyle="1" w:styleId="Heading3Char">
    <w:name w:val="Heading 3 Char"/>
    <w:basedOn w:val="DefaultParagraphFont"/>
    <w:link w:val="Heading3"/>
    <w:uiPriority w:val="9"/>
    <w:rsid w:val="001B3754"/>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rsid w:val="001B3754"/>
    <w:rPr>
      <w:vertAlign w:val="superscript"/>
    </w:rPr>
  </w:style>
  <w:style w:type="paragraph" w:styleId="FootnoteText">
    <w:name w:val="footnote text"/>
    <w:basedOn w:val="Normal"/>
    <w:link w:val="FootnoteTextChar"/>
    <w:uiPriority w:val="99"/>
    <w:rsid w:val="001B3754"/>
    <w:pPr>
      <w:widowControl/>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B3754"/>
    <w:rPr>
      <w:rFonts w:ascii="Times New Roman" w:eastAsia="Times New Roman" w:hAnsi="Times New Roman" w:cs="Times New Roman"/>
      <w:sz w:val="20"/>
      <w:szCs w:val="20"/>
    </w:rPr>
  </w:style>
  <w:style w:type="table" w:styleId="TableGrid">
    <w:name w:val="Table Grid"/>
    <w:basedOn w:val="TableNormal"/>
    <w:uiPriority w:val="39"/>
    <w:rsid w:val="001B375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B3754"/>
    <w:pPr>
      <w:keepNext/>
      <w:keepLines/>
      <w:tabs>
        <w:tab w:val="left" w:pos="1440"/>
      </w:tabs>
      <w:spacing w:after="120" w:line="264" w:lineRule="auto"/>
      <w:ind w:left="1440" w:hanging="1440"/>
    </w:pPr>
    <w:rPr>
      <w:rFonts w:ascii="Arial" w:eastAsia="Times New Roman" w:hAnsi="Arial" w:cs="Times New Roman"/>
      <w:b/>
      <w:bCs/>
      <w:szCs w:val="20"/>
    </w:rPr>
  </w:style>
  <w:style w:type="character" w:customStyle="1" w:styleId="Heading2Char">
    <w:name w:val="Heading 2 Char"/>
    <w:basedOn w:val="DefaultParagraphFont"/>
    <w:link w:val="Heading2"/>
    <w:uiPriority w:val="9"/>
    <w:rsid w:val="00D97EB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E5E9C"/>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937E4"/>
    <w:rPr>
      <w:sz w:val="20"/>
      <w:szCs w:val="20"/>
    </w:rPr>
  </w:style>
  <w:style w:type="character" w:customStyle="1" w:styleId="EndnoteTextChar">
    <w:name w:val="Endnote Text Char"/>
    <w:basedOn w:val="DefaultParagraphFont"/>
    <w:link w:val="EndnoteText"/>
    <w:uiPriority w:val="99"/>
    <w:semiHidden/>
    <w:rsid w:val="00C937E4"/>
    <w:rPr>
      <w:sz w:val="20"/>
      <w:szCs w:val="20"/>
    </w:rPr>
  </w:style>
  <w:style w:type="character" w:styleId="EndnoteReference">
    <w:name w:val="endnote reference"/>
    <w:basedOn w:val="DefaultParagraphFont"/>
    <w:uiPriority w:val="99"/>
    <w:semiHidden/>
    <w:unhideWhenUsed/>
    <w:rsid w:val="00C937E4"/>
    <w:rPr>
      <w:vertAlign w:val="superscript"/>
    </w:rPr>
  </w:style>
  <w:style w:type="character" w:customStyle="1" w:styleId="BodyTextChar">
    <w:name w:val="Body Text Char"/>
    <w:basedOn w:val="DefaultParagraphFont"/>
    <w:link w:val="BodyText"/>
    <w:rsid w:val="008351E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B76DB"/>
    <w:rPr>
      <w:color w:val="800080" w:themeColor="followedHyperlink"/>
      <w:u w:val="single"/>
    </w:rPr>
  </w:style>
  <w:style w:type="paragraph" w:styleId="Bibliography">
    <w:name w:val="Bibliography"/>
    <w:basedOn w:val="Normal"/>
    <w:next w:val="Normal"/>
    <w:uiPriority w:val="37"/>
    <w:unhideWhenUsed/>
    <w:rsid w:val="00211C34"/>
    <w:pPr>
      <w:ind w:left="720" w:hanging="720"/>
    </w:pPr>
  </w:style>
  <w:style w:type="table" w:customStyle="1" w:styleId="TableGrid1">
    <w:name w:val="Table Grid1"/>
    <w:basedOn w:val="TableNormal"/>
    <w:next w:val="TableGrid"/>
    <w:uiPriority w:val="39"/>
    <w:rsid w:val="00D16D9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51E"/>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7629">
      <w:bodyDiv w:val="1"/>
      <w:marLeft w:val="0"/>
      <w:marRight w:val="0"/>
      <w:marTop w:val="0"/>
      <w:marBottom w:val="0"/>
      <w:divBdr>
        <w:top w:val="none" w:sz="0" w:space="0" w:color="auto"/>
        <w:left w:val="none" w:sz="0" w:space="0" w:color="auto"/>
        <w:bottom w:val="none" w:sz="0" w:space="0" w:color="auto"/>
        <w:right w:val="none" w:sz="0" w:space="0" w:color="auto"/>
      </w:divBdr>
    </w:div>
    <w:div w:id="961765467">
      <w:bodyDiv w:val="1"/>
      <w:marLeft w:val="0"/>
      <w:marRight w:val="0"/>
      <w:marTop w:val="0"/>
      <w:marBottom w:val="0"/>
      <w:divBdr>
        <w:top w:val="none" w:sz="0" w:space="0" w:color="auto"/>
        <w:left w:val="none" w:sz="0" w:space="0" w:color="auto"/>
        <w:bottom w:val="none" w:sz="0" w:space="0" w:color="auto"/>
        <w:right w:val="none" w:sz="0" w:space="0" w:color="auto"/>
      </w:divBdr>
    </w:div>
    <w:div w:id="1276792717">
      <w:bodyDiv w:val="1"/>
      <w:marLeft w:val="0"/>
      <w:marRight w:val="0"/>
      <w:marTop w:val="0"/>
      <w:marBottom w:val="0"/>
      <w:divBdr>
        <w:top w:val="none" w:sz="0" w:space="0" w:color="auto"/>
        <w:left w:val="none" w:sz="0" w:space="0" w:color="auto"/>
        <w:bottom w:val="none" w:sz="0" w:space="0" w:color="auto"/>
        <w:right w:val="none" w:sz="0" w:space="0" w:color="auto"/>
      </w:divBdr>
    </w:div>
    <w:div w:id="1393891065">
      <w:bodyDiv w:val="1"/>
      <w:marLeft w:val="0"/>
      <w:marRight w:val="0"/>
      <w:marTop w:val="0"/>
      <w:marBottom w:val="0"/>
      <w:divBdr>
        <w:top w:val="none" w:sz="0" w:space="0" w:color="auto"/>
        <w:left w:val="none" w:sz="0" w:space="0" w:color="auto"/>
        <w:bottom w:val="none" w:sz="0" w:space="0" w:color="auto"/>
        <w:right w:val="none" w:sz="0" w:space="0" w:color="auto"/>
      </w:divBdr>
    </w:div>
    <w:div w:id="151476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epa.gov/oppt/newchems/pubs/NOAB.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pa.gov/oppt/newchems/pubs/NOAA.htm"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12853-2C96-4540-A37F-F684E320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15505</Words>
  <Characters>88385</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103683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Flora Chow</dc:creator>
  <cp:lastModifiedBy>SYSTEM</cp:lastModifiedBy>
  <cp:revision>2</cp:revision>
  <cp:lastPrinted>2016-12-11T22:04:00Z</cp:lastPrinted>
  <dcterms:created xsi:type="dcterms:W3CDTF">2017-08-11T11:26:00Z</dcterms:created>
  <dcterms:modified xsi:type="dcterms:W3CDTF">2017-08-11T11:26:00Z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2016-10-25T00:00:00Z</vt:filetime>
  </property>
  <property fmtid="{D5CDD505-2E9C-101B-9397-08002B2CF9AE}" pid="4" name="ZOTERO_PREF_1">
    <vt:lpwstr>&lt;data data-version="3" zotero-version="4.0.29.17"&gt;&lt;session id="IwzQoAQF"/&gt;&lt;style id="http://www.zotero.org/styles/apa-single-spaced" locale="en-US" hasBibliography="1" bibliographyStyleHasBeenSet="1"/&gt;&lt;prefs&gt;&lt;pref name="fieldType" value="Field"/&gt;&lt;pref nam</vt:lpwstr>
  </property>
  <property fmtid="{D5CDD505-2E9C-101B-9397-08002B2CF9AE}" pid="5" name="ZOTERO_PREF_2">
    <vt:lpwstr>e="storeReferences" value="true"/&gt;&lt;pref name="automaticJournalAbbreviations" value="true"/&gt;&lt;pref name="noteType" value=""/&gt;&lt;/prefs&gt;&lt;/data&gt;</vt:lpwstr>
  </property>
</Properties>
</file>