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C6B92" w14:textId="77777777" w:rsidR="00DA04A9" w:rsidRPr="00C74759" w:rsidRDefault="00DA04A9" w:rsidP="00F52C85">
      <w:pPr>
        <w:pStyle w:val="NormalWeb"/>
        <w:jc w:val="center"/>
        <w:rPr>
          <w:rFonts w:ascii="Times New Roman Bold" w:hAnsi="Times New Roman Bold"/>
          <w:b/>
          <w:bCs/>
          <w:smallCaps/>
          <w:sz w:val="32"/>
          <w:szCs w:val="32"/>
        </w:rPr>
      </w:pPr>
      <w:bookmarkStart w:id="0" w:name="_GoBack"/>
      <w:bookmarkEnd w:id="0"/>
      <w:r w:rsidRPr="00C74759">
        <w:rPr>
          <w:rFonts w:ascii="Times New Roman Bold" w:hAnsi="Times New Roman Bold"/>
          <w:b/>
          <w:bCs/>
          <w:smallCaps/>
          <w:sz w:val="32"/>
          <w:szCs w:val="32"/>
        </w:rPr>
        <w:t>Department of Transportation</w:t>
      </w:r>
    </w:p>
    <w:p w14:paraId="18D7C74A" w14:textId="77777777" w:rsidR="00C74759" w:rsidRPr="00C74759" w:rsidRDefault="00DA04A9" w:rsidP="00C74759">
      <w:pPr>
        <w:pStyle w:val="NormalWeb"/>
        <w:jc w:val="center"/>
        <w:rPr>
          <w:rFonts w:ascii="Times New Roman Bold" w:hAnsi="Times New Roman Bold"/>
          <w:b/>
          <w:bCs/>
          <w:smallCaps/>
          <w:sz w:val="32"/>
          <w:szCs w:val="32"/>
        </w:rPr>
      </w:pPr>
      <w:r w:rsidRPr="00C74759">
        <w:rPr>
          <w:rFonts w:ascii="Times New Roman Bold" w:hAnsi="Times New Roman Bold"/>
          <w:b/>
          <w:bCs/>
          <w:smallCaps/>
          <w:sz w:val="32"/>
          <w:szCs w:val="32"/>
        </w:rPr>
        <w:t>Office of the Chief Information Officer</w:t>
      </w:r>
    </w:p>
    <w:p w14:paraId="2905101E" w14:textId="77777777" w:rsidR="00DA04A9" w:rsidRPr="00C74759" w:rsidRDefault="00DA04A9" w:rsidP="00744721">
      <w:pPr>
        <w:pStyle w:val="NormalWeb"/>
        <w:jc w:val="center"/>
        <w:rPr>
          <w:rFonts w:ascii="Times New Roman Bold" w:hAnsi="Times New Roman Bold"/>
          <w:b/>
          <w:bCs/>
          <w:smallCaps/>
          <w:sz w:val="28"/>
          <w:szCs w:val="28"/>
          <w:u w:val="single"/>
        </w:rPr>
      </w:pPr>
      <w:r w:rsidRPr="00C74759">
        <w:rPr>
          <w:rFonts w:ascii="Times New Roman Bold" w:hAnsi="Times New Roman Bold"/>
          <w:b/>
          <w:bCs/>
          <w:smallCaps/>
          <w:sz w:val="28"/>
          <w:szCs w:val="28"/>
          <w:u w:val="single"/>
        </w:rPr>
        <w:t>SUPPORTING STATEMENT</w:t>
      </w:r>
    </w:p>
    <w:p w14:paraId="42480526" w14:textId="77777777" w:rsidR="00DA04A9" w:rsidRDefault="00DA04A9" w:rsidP="00744721">
      <w:pPr>
        <w:pStyle w:val="NormalWeb"/>
        <w:jc w:val="center"/>
        <w:rPr>
          <w:rFonts w:ascii="Times New Roman Bold" w:hAnsi="Times New Roman Bold"/>
          <w:b/>
          <w:bCs/>
          <w:smallCaps/>
          <w:sz w:val="28"/>
          <w:szCs w:val="28"/>
        </w:rPr>
      </w:pPr>
      <w:r w:rsidRPr="00C74759">
        <w:rPr>
          <w:rFonts w:ascii="Times New Roman Bold" w:hAnsi="Times New Roman Bold"/>
          <w:b/>
          <w:bCs/>
          <w:smallCaps/>
          <w:sz w:val="28"/>
          <w:szCs w:val="28"/>
        </w:rPr>
        <w:t>PRACTICES OF HOUSEHOLD GOODS BROKERS</w:t>
      </w:r>
    </w:p>
    <w:p w14:paraId="5FFA49C3" w14:textId="77777777" w:rsidR="001D4AC2" w:rsidRPr="001D4AC2" w:rsidRDefault="001D4AC2" w:rsidP="00F52C85">
      <w:pPr>
        <w:pStyle w:val="FedRegPreambleParagraphNormal"/>
        <w:spacing w:line="240" w:lineRule="auto"/>
        <w:ind w:firstLine="0"/>
        <w:rPr>
          <w:rFonts w:ascii="Times New Roman" w:hAnsi="Times New Roman"/>
          <w:b/>
          <w:u w:val="single"/>
        </w:rPr>
      </w:pPr>
      <w:r w:rsidRPr="001D4AC2">
        <w:rPr>
          <w:rFonts w:ascii="Times New Roman" w:hAnsi="Times New Roman"/>
          <w:b/>
          <w:u w:val="single"/>
        </w:rPr>
        <w:t>INTRODUCTION</w:t>
      </w:r>
    </w:p>
    <w:p w14:paraId="1FEC9835" w14:textId="77777777" w:rsidR="001D4AC2" w:rsidRDefault="001D4AC2" w:rsidP="00F52C85">
      <w:pPr>
        <w:pStyle w:val="FedRegPreambleParagraphNormal"/>
        <w:spacing w:line="240" w:lineRule="auto"/>
        <w:ind w:firstLine="0"/>
        <w:rPr>
          <w:rFonts w:ascii="Times New Roman" w:hAnsi="Times New Roman"/>
        </w:rPr>
      </w:pPr>
    </w:p>
    <w:p w14:paraId="5297DEFA" w14:textId="77777777" w:rsidR="00C74759" w:rsidRDefault="00DA04A9" w:rsidP="00F52C85">
      <w:pPr>
        <w:pStyle w:val="FedRegPreambleParagraphNormal"/>
        <w:spacing w:line="240" w:lineRule="auto"/>
        <w:ind w:firstLine="0"/>
        <w:rPr>
          <w:rFonts w:ascii="Times New Roman" w:hAnsi="Times New Roman"/>
        </w:rPr>
      </w:pPr>
      <w:r w:rsidRPr="00744721">
        <w:rPr>
          <w:rFonts w:ascii="Times New Roman" w:hAnsi="Times New Roman"/>
        </w:rPr>
        <w:t>Th</w:t>
      </w:r>
      <w:r w:rsidR="001D4AC2">
        <w:rPr>
          <w:rFonts w:ascii="Times New Roman" w:hAnsi="Times New Roman"/>
        </w:rPr>
        <w:t xml:space="preserve">is is to request the </w:t>
      </w:r>
      <w:r w:rsidRPr="00744721">
        <w:rPr>
          <w:rFonts w:ascii="Times New Roman" w:hAnsi="Times New Roman"/>
        </w:rPr>
        <w:t>Office of Management and Budget’s (OMB)</w:t>
      </w:r>
      <w:r w:rsidR="00575C55" w:rsidRPr="00575C55">
        <w:t xml:space="preserve"> </w:t>
      </w:r>
      <w:r w:rsidR="00575C55" w:rsidRPr="00575C55">
        <w:rPr>
          <w:rFonts w:ascii="Times New Roman" w:hAnsi="Times New Roman"/>
        </w:rPr>
        <w:t>approval of the reinstatement of the information</w:t>
      </w:r>
      <w:r w:rsidRPr="00744721">
        <w:rPr>
          <w:rFonts w:ascii="Times New Roman" w:hAnsi="Times New Roman"/>
        </w:rPr>
        <w:t xml:space="preserve"> </w:t>
      </w:r>
      <w:r w:rsidR="00575C55" w:rsidRPr="00575C55">
        <w:rPr>
          <w:rFonts w:ascii="Times New Roman" w:hAnsi="Times New Roman"/>
        </w:rPr>
        <w:t xml:space="preserve">collection request (ICR) entitled </w:t>
      </w:r>
      <w:r w:rsidRPr="00744721">
        <w:rPr>
          <w:rFonts w:ascii="Times New Roman" w:hAnsi="Times New Roman"/>
        </w:rPr>
        <w:t>“Practices of Household Goods Brokers</w:t>
      </w:r>
      <w:r w:rsidR="001D4AC2">
        <w:rPr>
          <w:rFonts w:ascii="Times New Roman" w:hAnsi="Times New Roman"/>
        </w:rPr>
        <w:t>,</w:t>
      </w:r>
      <w:r w:rsidRPr="00744721">
        <w:rPr>
          <w:rFonts w:ascii="Times New Roman" w:hAnsi="Times New Roman"/>
        </w:rPr>
        <w:t>”</w:t>
      </w:r>
      <w:r w:rsidR="00F52C85">
        <w:rPr>
          <w:rFonts w:ascii="Times New Roman" w:hAnsi="Times New Roman"/>
        </w:rPr>
        <w:t xml:space="preserve"> </w:t>
      </w:r>
      <w:r w:rsidR="00575C55" w:rsidRPr="00575C55">
        <w:rPr>
          <w:rFonts w:ascii="Times New Roman" w:hAnsi="Times New Roman"/>
        </w:rPr>
        <w:t xml:space="preserve">covered </w:t>
      </w:r>
      <w:r w:rsidR="00575C55">
        <w:rPr>
          <w:rFonts w:ascii="Times New Roman" w:hAnsi="Times New Roman"/>
        </w:rPr>
        <w:t>by OMB Control Number 2126-</w:t>
      </w:r>
      <w:r w:rsidR="00575C55" w:rsidRPr="00575C55">
        <w:rPr>
          <w:rFonts w:ascii="Times New Roman" w:hAnsi="Times New Roman"/>
        </w:rPr>
        <w:t>0048</w:t>
      </w:r>
      <w:r w:rsidRPr="00744721">
        <w:rPr>
          <w:rFonts w:ascii="Times New Roman" w:hAnsi="Times New Roman"/>
        </w:rPr>
        <w:t>.</w:t>
      </w:r>
      <w:r w:rsidR="001A49E1">
        <w:rPr>
          <w:rFonts w:ascii="Times New Roman" w:hAnsi="Times New Roman"/>
        </w:rPr>
        <w:t xml:space="preserve">  </w:t>
      </w:r>
      <w:r w:rsidR="00575C55" w:rsidRPr="00575C55">
        <w:rPr>
          <w:rFonts w:ascii="Times New Roman" w:hAnsi="Times New Roman"/>
        </w:rPr>
        <w:t>This ICR req</w:t>
      </w:r>
      <w:r w:rsidR="00825CF9">
        <w:rPr>
          <w:rFonts w:ascii="Times New Roman" w:hAnsi="Times New Roman"/>
        </w:rPr>
        <w:t>uires reinstatement because it</w:t>
      </w:r>
      <w:r w:rsidR="00575C55" w:rsidRPr="00575C55">
        <w:rPr>
          <w:rFonts w:ascii="Times New Roman" w:hAnsi="Times New Roman"/>
        </w:rPr>
        <w:t xml:space="preserve"> expired on </w:t>
      </w:r>
      <w:r w:rsidR="00575C55">
        <w:rPr>
          <w:rFonts w:ascii="Times New Roman" w:hAnsi="Times New Roman"/>
        </w:rPr>
        <w:t>July 31</w:t>
      </w:r>
      <w:r w:rsidR="00575C55" w:rsidRPr="00575C55">
        <w:rPr>
          <w:rFonts w:ascii="Times New Roman" w:hAnsi="Times New Roman"/>
        </w:rPr>
        <w:t xml:space="preserve">, 2017.   </w:t>
      </w:r>
      <w:r w:rsidR="001A49E1">
        <w:rPr>
          <w:rFonts w:ascii="Times New Roman" w:hAnsi="Times New Roman"/>
        </w:rPr>
        <w:t xml:space="preserve">The paperwork burden </w:t>
      </w:r>
      <w:r w:rsidR="00E31741">
        <w:rPr>
          <w:rFonts w:ascii="Times New Roman" w:hAnsi="Times New Roman"/>
        </w:rPr>
        <w:t xml:space="preserve">presented </w:t>
      </w:r>
      <w:r w:rsidR="00D72F19">
        <w:rPr>
          <w:rFonts w:ascii="Times New Roman" w:hAnsi="Times New Roman"/>
        </w:rPr>
        <w:t xml:space="preserve">in the </w:t>
      </w:r>
      <w:r w:rsidR="00825CF9">
        <w:rPr>
          <w:rFonts w:ascii="Times New Roman" w:hAnsi="Times New Roman"/>
        </w:rPr>
        <w:t>ICR approved by OMB in April 2014</w:t>
      </w:r>
      <w:r w:rsidR="00423E5B">
        <w:rPr>
          <w:rFonts w:ascii="Times New Roman" w:hAnsi="Times New Roman"/>
        </w:rPr>
        <w:t>,</w:t>
      </w:r>
      <w:r w:rsidR="00E31741">
        <w:rPr>
          <w:rFonts w:ascii="Times New Roman" w:hAnsi="Times New Roman"/>
        </w:rPr>
        <w:t xml:space="preserve"> </w:t>
      </w:r>
      <w:r w:rsidR="001A49E1">
        <w:rPr>
          <w:rFonts w:ascii="Times New Roman" w:hAnsi="Times New Roman"/>
        </w:rPr>
        <w:t>account</w:t>
      </w:r>
      <w:r w:rsidR="00575C55">
        <w:rPr>
          <w:rFonts w:ascii="Times New Roman" w:hAnsi="Times New Roman"/>
        </w:rPr>
        <w:t>ed</w:t>
      </w:r>
      <w:r w:rsidR="001A49E1">
        <w:rPr>
          <w:rFonts w:ascii="Times New Roman" w:hAnsi="Times New Roman"/>
        </w:rPr>
        <w:t xml:space="preserve"> for costs that were incurred by brokers to come into compliance with Title 49 CFR part 371</w:t>
      </w:r>
      <w:r w:rsidR="00575C55">
        <w:rPr>
          <w:rFonts w:ascii="Times New Roman" w:hAnsi="Times New Roman"/>
        </w:rPr>
        <w:t xml:space="preserve">, however </w:t>
      </w:r>
      <w:r w:rsidR="001A49E1">
        <w:rPr>
          <w:rFonts w:ascii="Times New Roman" w:hAnsi="Times New Roman"/>
        </w:rPr>
        <w:t>th</w:t>
      </w:r>
      <w:r w:rsidR="00B342AC">
        <w:rPr>
          <w:rFonts w:ascii="Times New Roman" w:hAnsi="Times New Roman"/>
        </w:rPr>
        <w:t>e</w:t>
      </w:r>
      <w:r w:rsidR="001A49E1">
        <w:rPr>
          <w:rFonts w:ascii="Times New Roman" w:hAnsi="Times New Roman"/>
        </w:rPr>
        <w:t xml:space="preserve">se </w:t>
      </w:r>
      <w:r w:rsidR="00B342AC">
        <w:rPr>
          <w:rFonts w:ascii="Times New Roman" w:hAnsi="Times New Roman"/>
        </w:rPr>
        <w:t xml:space="preserve">onetime </w:t>
      </w:r>
      <w:r w:rsidR="00D627C2">
        <w:rPr>
          <w:rFonts w:ascii="Times New Roman" w:hAnsi="Times New Roman"/>
        </w:rPr>
        <w:t xml:space="preserve">compliance </w:t>
      </w:r>
      <w:r w:rsidR="001A49E1">
        <w:rPr>
          <w:rFonts w:ascii="Times New Roman" w:hAnsi="Times New Roman"/>
        </w:rPr>
        <w:t>costs</w:t>
      </w:r>
      <w:r w:rsidR="00B342AC">
        <w:rPr>
          <w:rFonts w:ascii="Times New Roman" w:hAnsi="Times New Roman"/>
        </w:rPr>
        <w:t xml:space="preserve"> </w:t>
      </w:r>
      <w:r w:rsidR="00575C55">
        <w:rPr>
          <w:rFonts w:ascii="Times New Roman" w:hAnsi="Times New Roman"/>
        </w:rPr>
        <w:t xml:space="preserve">are no longer included </w:t>
      </w:r>
      <w:r w:rsidR="001A49E1">
        <w:rPr>
          <w:rFonts w:ascii="Times New Roman" w:hAnsi="Times New Roman"/>
        </w:rPr>
        <w:t xml:space="preserve">and other wage related costs </w:t>
      </w:r>
      <w:r w:rsidR="00575C55">
        <w:rPr>
          <w:rFonts w:ascii="Times New Roman" w:hAnsi="Times New Roman"/>
        </w:rPr>
        <w:t>have been updated</w:t>
      </w:r>
      <w:r w:rsidR="00D72F19">
        <w:rPr>
          <w:rFonts w:ascii="Times New Roman" w:hAnsi="Times New Roman"/>
        </w:rPr>
        <w:t xml:space="preserve"> in the current request for approval</w:t>
      </w:r>
      <w:r w:rsidR="00E31741">
        <w:rPr>
          <w:rFonts w:ascii="Times New Roman" w:hAnsi="Times New Roman"/>
        </w:rPr>
        <w:t xml:space="preserve"> of the reinstatement of the ICR</w:t>
      </w:r>
      <w:r w:rsidR="00D72F19">
        <w:rPr>
          <w:rFonts w:ascii="Times New Roman" w:hAnsi="Times New Roman"/>
        </w:rPr>
        <w:t>.</w:t>
      </w:r>
      <w:r w:rsidR="00575C55">
        <w:rPr>
          <w:rFonts w:ascii="Times New Roman" w:hAnsi="Times New Roman"/>
        </w:rPr>
        <w:t xml:space="preserve"> </w:t>
      </w:r>
      <w:r w:rsidRPr="00744721">
        <w:rPr>
          <w:rFonts w:ascii="Times New Roman" w:hAnsi="Times New Roman"/>
        </w:rPr>
        <w:t xml:space="preserve"> </w:t>
      </w:r>
    </w:p>
    <w:p w14:paraId="2751FFBA" w14:textId="77777777" w:rsidR="001D4AC2" w:rsidRDefault="001D4AC2" w:rsidP="00F52C85">
      <w:pPr>
        <w:pStyle w:val="FedRegPreambleParagraphNormal"/>
        <w:spacing w:line="240" w:lineRule="auto"/>
        <w:ind w:firstLine="0"/>
        <w:rPr>
          <w:rFonts w:ascii="Times New Roman" w:hAnsi="Times New Roman"/>
        </w:rPr>
      </w:pPr>
    </w:p>
    <w:p w14:paraId="0FCC536C" w14:textId="77777777" w:rsidR="001D4AC2" w:rsidRPr="00E951D8" w:rsidRDefault="001D4AC2" w:rsidP="00F52C85">
      <w:pPr>
        <w:pStyle w:val="FedRegPreambleParagraphNormal"/>
        <w:spacing w:line="240" w:lineRule="auto"/>
        <w:ind w:firstLine="0"/>
        <w:rPr>
          <w:rFonts w:ascii="Times New Roman" w:hAnsi="Times New Roman"/>
          <w:b/>
          <w:u w:val="single"/>
        </w:rPr>
      </w:pPr>
      <w:r w:rsidRPr="00E951D8">
        <w:rPr>
          <w:rFonts w:ascii="Times New Roman" w:hAnsi="Times New Roman"/>
          <w:b/>
          <w:u w:val="single"/>
        </w:rPr>
        <w:t>Part A.  Justification</w:t>
      </w:r>
    </w:p>
    <w:p w14:paraId="2CA90956" w14:textId="77777777" w:rsidR="00DA04A9" w:rsidRPr="00744721" w:rsidRDefault="00DA04A9" w:rsidP="00F52C85">
      <w:pPr>
        <w:pStyle w:val="NormalWeb"/>
      </w:pPr>
      <w:r w:rsidRPr="00744721">
        <w:rPr>
          <w:b/>
          <w:bCs/>
          <w:szCs w:val="20"/>
        </w:rPr>
        <w:t>1. Circumstances that make the collection of information necessary.</w:t>
      </w:r>
    </w:p>
    <w:p w14:paraId="6BD7FD6F" w14:textId="77777777" w:rsidR="00DA04A9" w:rsidRPr="00744721" w:rsidRDefault="00F52C85" w:rsidP="00F52C85">
      <w:pPr>
        <w:pStyle w:val="FedRegPreambleParagraphNormal"/>
        <w:spacing w:line="240" w:lineRule="auto"/>
        <w:ind w:firstLine="0"/>
        <w:rPr>
          <w:rFonts w:ascii="Times New Roman" w:hAnsi="Times New Roman"/>
          <w:color w:val="000000"/>
        </w:rPr>
      </w:pPr>
      <w:r>
        <w:rPr>
          <w:rFonts w:ascii="Times New Roman" w:hAnsi="Times New Roman"/>
        </w:rPr>
        <w:t xml:space="preserve">This </w:t>
      </w:r>
      <w:r w:rsidR="006C4101">
        <w:rPr>
          <w:rFonts w:ascii="Times New Roman" w:hAnsi="Times New Roman"/>
        </w:rPr>
        <w:t>ICR requirement</w:t>
      </w:r>
      <w:r>
        <w:rPr>
          <w:rFonts w:ascii="Times New Roman" w:hAnsi="Times New Roman"/>
        </w:rPr>
        <w:t xml:space="preserve"> is contained in Title 49 CFR part 371 (Attachment A) as provided in the Final Rule, RIN 2126-AA84 titled</w:t>
      </w:r>
      <w:r w:rsidR="00AE6A5D">
        <w:rPr>
          <w:rFonts w:ascii="Times New Roman" w:hAnsi="Times New Roman"/>
        </w:rPr>
        <w:t>,</w:t>
      </w:r>
      <w:r>
        <w:rPr>
          <w:rFonts w:ascii="Times New Roman" w:hAnsi="Times New Roman"/>
        </w:rPr>
        <w:t xml:space="preserve"> “Brokers of Household Goods Transportation by Motor Vehicle,” (75 FR 72987, November 29, 2010</w:t>
      </w:r>
      <w:r w:rsidR="00D627C2">
        <w:rPr>
          <w:rFonts w:ascii="Times New Roman" w:hAnsi="Times New Roman"/>
        </w:rPr>
        <w:t>)</w:t>
      </w:r>
      <w:r>
        <w:rPr>
          <w:rFonts w:ascii="Times New Roman" w:hAnsi="Times New Roman"/>
        </w:rPr>
        <w:t xml:space="preserve"> (Attachment B). </w:t>
      </w:r>
      <w:r w:rsidR="006C4101">
        <w:rPr>
          <w:rFonts w:ascii="Times New Roman" w:hAnsi="Times New Roman"/>
        </w:rPr>
        <w:t xml:space="preserve"> </w:t>
      </w:r>
      <w:r>
        <w:rPr>
          <w:rFonts w:ascii="Times New Roman" w:hAnsi="Times New Roman"/>
        </w:rPr>
        <w:t xml:space="preserve">The Final Rule amended </w:t>
      </w:r>
      <w:r w:rsidR="00DA04A9" w:rsidRPr="00744721">
        <w:rPr>
          <w:rFonts w:ascii="Times New Roman" w:hAnsi="Times New Roman"/>
        </w:rPr>
        <w:t>FMCSA</w:t>
      </w:r>
      <w:r>
        <w:rPr>
          <w:rFonts w:ascii="Times New Roman" w:hAnsi="Times New Roman"/>
        </w:rPr>
        <w:t xml:space="preserve">’s </w:t>
      </w:r>
      <w:r w:rsidR="00DA04A9" w:rsidRPr="00744721">
        <w:rPr>
          <w:rFonts w:ascii="Times New Roman" w:hAnsi="Times New Roman"/>
        </w:rPr>
        <w:t xml:space="preserve">existing regulations applicable to property brokers (49 CFR Part 371) to require brokers who arrange for </w:t>
      </w:r>
      <w:r w:rsidR="003A67B0">
        <w:rPr>
          <w:rFonts w:ascii="Times New Roman" w:hAnsi="Times New Roman"/>
        </w:rPr>
        <w:t xml:space="preserve">the </w:t>
      </w:r>
      <w:r w:rsidR="00DA04A9" w:rsidRPr="00744721">
        <w:rPr>
          <w:rFonts w:ascii="Times New Roman" w:hAnsi="Times New Roman"/>
        </w:rPr>
        <w:t xml:space="preserve">transportation of household goods (HHG) to comply with additional shipper protection requirements. This rulemaking is in response to Title IV, Subtitle B of the Safe, Accountable, Flexible, Efficient Transportation Equity Act: </w:t>
      </w:r>
      <w:r w:rsidR="006C4101">
        <w:rPr>
          <w:rFonts w:ascii="Times New Roman" w:hAnsi="Times New Roman"/>
        </w:rPr>
        <w:t xml:space="preserve"> </w:t>
      </w:r>
      <w:r w:rsidR="00DA04A9" w:rsidRPr="00744721">
        <w:rPr>
          <w:rFonts w:ascii="Times New Roman" w:hAnsi="Times New Roman"/>
        </w:rPr>
        <w:t xml:space="preserve">A Legacy for Users (SAFETEA-LU) (Pub. L.109-59) and a </w:t>
      </w:r>
      <w:r w:rsidR="00AE6A5D">
        <w:rPr>
          <w:rFonts w:ascii="Times New Roman" w:hAnsi="Times New Roman"/>
        </w:rPr>
        <w:t>p</w:t>
      </w:r>
      <w:r w:rsidR="00DA04A9" w:rsidRPr="00744721">
        <w:rPr>
          <w:rFonts w:ascii="Times New Roman" w:hAnsi="Times New Roman"/>
        </w:rPr>
        <w:t xml:space="preserve">etition for </w:t>
      </w:r>
      <w:r w:rsidR="00AE6A5D">
        <w:rPr>
          <w:rFonts w:ascii="Times New Roman" w:hAnsi="Times New Roman"/>
        </w:rPr>
        <w:t>r</w:t>
      </w:r>
      <w:r w:rsidR="00DA04A9" w:rsidRPr="00744721">
        <w:rPr>
          <w:rFonts w:ascii="Times New Roman" w:hAnsi="Times New Roman"/>
        </w:rPr>
        <w:t>ulemaking from the American Moving and Storage Association (AMSA)</w:t>
      </w:r>
      <w:r w:rsidR="00BD75A4">
        <w:rPr>
          <w:rFonts w:ascii="Times New Roman" w:hAnsi="Times New Roman"/>
        </w:rPr>
        <w:t xml:space="preserve"> (Attachment </w:t>
      </w:r>
      <w:r w:rsidR="00CE32D0">
        <w:rPr>
          <w:rFonts w:ascii="Times New Roman" w:hAnsi="Times New Roman"/>
        </w:rPr>
        <w:t>C</w:t>
      </w:r>
      <w:r w:rsidR="00BD75A4">
        <w:rPr>
          <w:rFonts w:ascii="Times New Roman" w:hAnsi="Times New Roman"/>
        </w:rPr>
        <w:t>)</w:t>
      </w:r>
      <w:r w:rsidR="00DA04A9" w:rsidRPr="00744721">
        <w:rPr>
          <w:rFonts w:ascii="Times New Roman" w:hAnsi="Times New Roman"/>
        </w:rPr>
        <w:t xml:space="preserve">. The amendments </w:t>
      </w:r>
      <w:r w:rsidR="00AE6A5D">
        <w:rPr>
          <w:rFonts w:ascii="Times New Roman" w:hAnsi="Times New Roman"/>
        </w:rPr>
        <w:t xml:space="preserve">were </w:t>
      </w:r>
      <w:r w:rsidR="00DA04A9" w:rsidRPr="00744721">
        <w:rPr>
          <w:rFonts w:ascii="Times New Roman" w:hAnsi="Times New Roman"/>
        </w:rPr>
        <w:t>to protect shippers of household goods from the actions of unscrupulous brokers while not adding significantly to the costs of fair and honest brokers.</w:t>
      </w:r>
    </w:p>
    <w:p w14:paraId="58227951" w14:textId="77777777" w:rsidR="00DA04A9" w:rsidRPr="00744721" w:rsidRDefault="00DA04A9" w:rsidP="00F52C85">
      <w:pPr>
        <w:pStyle w:val="FedRegPreambleParagraphNormal"/>
        <w:spacing w:line="240" w:lineRule="auto"/>
        <w:rPr>
          <w:rFonts w:ascii="Times New Roman" w:hAnsi="Times New Roman"/>
        </w:rPr>
      </w:pPr>
    </w:p>
    <w:p w14:paraId="3D950B24" w14:textId="77777777" w:rsidR="00DA04A9" w:rsidRPr="00744721" w:rsidRDefault="00DA04A9" w:rsidP="00F52C85">
      <w:pPr>
        <w:pStyle w:val="FedRegPreambleParagraphNormal"/>
        <w:spacing w:line="240" w:lineRule="auto"/>
        <w:ind w:firstLine="0"/>
        <w:rPr>
          <w:rFonts w:ascii="Times New Roman" w:hAnsi="Times New Roman"/>
        </w:rPr>
      </w:pPr>
      <w:r w:rsidRPr="00744721">
        <w:rPr>
          <w:rFonts w:ascii="Times New Roman" w:hAnsi="Times New Roman"/>
        </w:rPr>
        <w:t>S</w:t>
      </w:r>
      <w:r w:rsidR="00D627C2">
        <w:rPr>
          <w:rFonts w:ascii="Times New Roman" w:hAnsi="Times New Roman"/>
        </w:rPr>
        <w:t>pecifically, s</w:t>
      </w:r>
      <w:r w:rsidRPr="00744721">
        <w:rPr>
          <w:rFonts w:ascii="Times New Roman" w:hAnsi="Times New Roman"/>
        </w:rPr>
        <w:t xml:space="preserve">ection 4212 of SAFETEA-LU (Attachment </w:t>
      </w:r>
      <w:r w:rsidR="006D5A78">
        <w:rPr>
          <w:rFonts w:ascii="Times New Roman" w:hAnsi="Times New Roman"/>
        </w:rPr>
        <w:t>D</w:t>
      </w:r>
      <w:r w:rsidRPr="00744721">
        <w:rPr>
          <w:rFonts w:ascii="Times New Roman" w:hAnsi="Times New Roman"/>
        </w:rPr>
        <w:t>) directs the Secretary to require a household goods broker to provide shippers with the following information whenever the broker has contact with a shipper or a potential shipper:</w:t>
      </w:r>
    </w:p>
    <w:p w14:paraId="19D94171" w14:textId="77777777" w:rsidR="00DA04A9" w:rsidRPr="00744721" w:rsidRDefault="00DA04A9" w:rsidP="00F52C85">
      <w:pPr>
        <w:pStyle w:val="FedRegPreambleParagraphNormal"/>
        <w:spacing w:line="240" w:lineRule="auto"/>
        <w:rPr>
          <w:rFonts w:ascii="Times New Roman" w:hAnsi="Times New Roman"/>
        </w:rPr>
      </w:pPr>
    </w:p>
    <w:p w14:paraId="3EB04BF7" w14:textId="77777777" w:rsidR="00DA04A9" w:rsidRPr="00744721" w:rsidRDefault="00DA04A9" w:rsidP="00F52C85">
      <w:pPr>
        <w:pStyle w:val="BodyTextIndent"/>
        <w:ind w:left="0"/>
        <w:rPr>
          <w:color w:val="000000"/>
        </w:rPr>
      </w:pPr>
      <w:r w:rsidRPr="00744721">
        <w:rPr>
          <w:color w:val="000000"/>
        </w:rPr>
        <w:tab/>
        <w:t xml:space="preserve">1. The broker’s </w:t>
      </w:r>
      <w:r w:rsidR="00AE6A5D">
        <w:rPr>
          <w:color w:val="000000"/>
        </w:rPr>
        <w:t>US</w:t>
      </w:r>
      <w:r w:rsidRPr="00744721">
        <w:rPr>
          <w:color w:val="000000"/>
        </w:rPr>
        <w:t>DOT number.</w:t>
      </w:r>
    </w:p>
    <w:p w14:paraId="0C5F1A40" w14:textId="77777777" w:rsidR="00DA04A9" w:rsidRPr="00744721" w:rsidRDefault="00DA04A9" w:rsidP="00F52C85">
      <w:pPr>
        <w:pStyle w:val="BodyTextIndent"/>
        <w:ind w:left="0"/>
        <w:rPr>
          <w:color w:val="000000"/>
        </w:rPr>
      </w:pPr>
      <w:r w:rsidRPr="00744721">
        <w:rPr>
          <w:color w:val="000000"/>
        </w:rPr>
        <w:tab/>
        <w:t>2. The FMCSA pamphlet titled, “Your Rights and Responsibilities When You Move.”</w:t>
      </w:r>
    </w:p>
    <w:p w14:paraId="377EC2B9" w14:textId="77777777" w:rsidR="00DA04A9" w:rsidRPr="00744721" w:rsidRDefault="00DA04A9" w:rsidP="00F52C85">
      <w:pPr>
        <w:pStyle w:val="BodyTextIndent"/>
        <w:ind w:left="720"/>
        <w:rPr>
          <w:b/>
          <w:color w:val="000000"/>
        </w:rPr>
      </w:pPr>
      <w:r w:rsidRPr="00744721">
        <w:rPr>
          <w:color w:val="000000"/>
        </w:rPr>
        <w:t>3. A list of all authorized motor carriers providing transportation of household goods used by the broker and a statement that the broker is not a motor carrier providing transportation of household goods.</w:t>
      </w:r>
    </w:p>
    <w:p w14:paraId="1500F2E6" w14:textId="77777777" w:rsidR="00DA04A9" w:rsidRPr="00744721" w:rsidRDefault="00DA04A9" w:rsidP="00F52C85">
      <w:pPr>
        <w:rPr>
          <w:color w:val="000000"/>
        </w:rPr>
      </w:pPr>
    </w:p>
    <w:p w14:paraId="6073242A" w14:textId="77777777" w:rsidR="00DA04A9" w:rsidRPr="00744721" w:rsidRDefault="00DA04A9" w:rsidP="00F52C85">
      <w:pPr>
        <w:pStyle w:val="BodyText2"/>
        <w:keepNext/>
        <w:spacing w:after="0" w:line="240" w:lineRule="auto"/>
        <w:rPr>
          <w:color w:val="000000"/>
        </w:rPr>
      </w:pPr>
      <w:r w:rsidRPr="00744721">
        <w:rPr>
          <w:color w:val="000000"/>
        </w:rPr>
        <w:lastRenderedPageBreak/>
        <w:t>This information collection supports the requirements of subpart B of part 371</w:t>
      </w:r>
      <w:r w:rsidR="003C57F3">
        <w:rPr>
          <w:color w:val="000000"/>
        </w:rPr>
        <w:t xml:space="preserve"> </w:t>
      </w:r>
      <w:r w:rsidRPr="00744721">
        <w:rPr>
          <w:color w:val="000000"/>
        </w:rPr>
        <w:t>and the Department of Transportation’s strategic goal to reduce congestion and other impediments to using the Nation’s transportation system.</w:t>
      </w:r>
    </w:p>
    <w:p w14:paraId="3C3F4B74" w14:textId="77777777" w:rsidR="00DA04A9" w:rsidRPr="00744721" w:rsidRDefault="00DA04A9" w:rsidP="00F52C85">
      <w:pPr>
        <w:pStyle w:val="NormalWeb"/>
      </w:pPr>
      <w:r w:rsidRPr="00744721">
        <w:rPr>
          <w:b/>
          <w:bCs/>
          <w:szCs w:val="20"/>
        </w:rPr>
        <w:t xml:space="preserve">2. How, by whom, how frequently, and for what purpose the information will be used. </w:t>
      </w:r>
    </w:p>
    <w:p w14:paraId="633E8611" w14:textId="77777777" w:rsidR="00DA04A9" w:rsidRDefault="00DA04A9" w:rsidP="00F52C85">
      <w:pPr>
        <w:pStyle w:val="BodyTextIndent2"/>
        <w:spacing w:line="240" w:lineRule="auto"/>
        <w:ind w:firstLine="0"/>
        <w:rPr>
          <w:rFonts w:ascii="Times New Roman" w:hAnsi="Times New Roman" w:cs="Times New Roman"/>
        </w:rPr>
      </w:pPr>
      <w:r w:rsidRPr="00744721">
        <w:rPr>
          <w:rFonts w:ascii="Times New Roman" w:hAnsi="Times New Roman" w:cs="Times New Roman"/>
        </w:rPr>
        <w:t>The collected information assist</w:t>
      </w:r>
      <w:r w:rsidR="001F43BA">
        <w:rPr>
          <w:rFonts w:ascii="Times New Roman" w:hAnsi="Times New Roman" w:cs="Times New Roman"/>
        </w:rPr>
        <w:t>s</w:t>
      </w:r>
      <w:r w:rsidRPr="00744721">
        <w:rPr>
          <w:rFonts w:ascii="Times New Roman" w:hAnsi="Times New Roman" w:cs="Times New Roman"/>
        </w:rPr>
        <w:t xml:space="preserve"> shippers in their commercial dealings with interstate brokers. The collection of information </w:t>
      </w:r>
      <w:r w:rsidR="001F43BA">
        <w:rPr>
          <w:rFonts w:ascii="Times New Roman" w:hAnsi="Times New Roman" w:cs="Times New Roman"/>
        </w:rPr>
        <w:t>is</w:t>
      </w:r>
      <w:r w:rsidRPr="00744721">
        <w:rPr>
          <w:rFonts w:ascii="Times New Roman" w:hAnsi="Times New Roman" w:cs="Times New Roman"/>
        </w:rPr>
        <w:t xml:space="preserve"> used by prospective shippers to make informed decisions about contracts and services to be ordered, executed, and settled within the interstate motor carrier industry. </w:t>
      </w:r>
      <w:r w:rsidR="00BD6700">
        <w:rPr>
          <w:rFonts w:ascii="Times New Roman" w:hAnsi="Times New Roman" w:cs="Times New Roman"/>
        </w:rPr>
        <w:t xml:space="preserve"> </w:t>
      </w:r>
      <w:r w:rsidRPr="00744721">
        <w:rPr>
          <w:rFonts w:ascii="Times New Roman" w:hAnsi="Times New Roman" w:cs="Times New Roman"/>
        </w:rPr>
        <w:t xml:space="preserve">Certain information collection items were required by regulations issued by the former </w:t>
      </w:r>
      <w:r w:rsidR="003A67B0">
        <w:rPr>
          <w:rFonts w:ascii="Times New Roman" w:hAnsi="Times New Roman" w:cs="Times New Roman"/>
        </w:rPr>
        <w:t>Interstate Commerce Commission (</w:t>
      </w:r>
      <w:r w:rsidRPr="00744721">
        <w:rPr>
          <w:rFonts w:ascii="Times New Roman" w:hAnsi="Times New Roman" w:cs="Times New Roman"/>
        </w:rPr>
        <w:t>ICC</w:t>
      </w:r>
      <w:r w:rsidR="003A67B0">
        <w:rPr>
          <w:rFonts w:ascii="Times New Roman" w:hAnsi="Times New Roman" w:cs="Times New Roman"/>
        </w:rPr>
        <w:t>)</w:t>
      </w:r>
      <w:r w:rsidRPr="00744721">
        <w:rPr>
          <w:rFonts w:ascii="Times New Roman" w:hAnsi="Times New Roman" w:cs="Times New Roman"/>
        </w:rPr>
        <w:t xml:space="preserve">; however, that agency was not required to comply with the </w:t>
      </w:r>
      <w:r w:rsidR="003A67B0">
        <w:rPr>
          <w:rFonts w:ascii="Times New Roman" w:hAnsi="Times New Roman" w:cs="Times New Roman"/>
        </w:rPr>
        <w:t>Paperwork Reduction Act (</w:t>
      </w:r>
      <w:r w:rsidRPr="00744721">
        <w:rPr>
          <w:rFonts w:ascii="Times New Roman" w:hAnsi="Times New Roman" w:cs="Times New Roman"/>
        </w:rPr>
        <w:t>PRA</w:t>
      </w:r>
      <w:r w:rsidR="003A67B0">
        <w:rPr>
          <w:rFonts w:ascii="Times New Roman" w:hAnsi="Times New Roman" w:cs="Times New Roman"/>
        </w:rPr>
        <w:t>)</w:t>
      </w:r>
      <w:r w:rsidRPr="00744721">
        <w:rPr>
          <w:rFonts w:ascii="Times New Roman" w:hAnsi="Times New Roman" w:cs="Times New Roman"/>
        </w:rPr>
        <w:t xml:space="preserve">. </w:t>
      </w:r>
      <w:r w:rsidR="00BD6700">
        <w:rPr>
          <w:rFonts w:ascii="Times New Roman" w:hAnsi="Times New Roman" w:cs="Times New Roman"/>
        </w:rPr>
        <w:t xml:space="preserve"> </w:t>
      </w:r>
      <w:r w:rsidRPr="00744721">
        <w:rPr>
          <w:rFonts w:ascii="Times New Roman" w:hAnsi="Times New Roman" w:cs="Times New Roman"/>
        </w:rPr>
        <w:t xml:space="preserve">When these items transferred from the ICC to </w:t>
      </w:r>
      <w:r w:rsidR="003A67B0">
        <w:rPr>
          <w:rFonts w:ascii="Times New Roman" w:hAnsi="Times New Roman" w:cs="Times New Roman"/>
        </w:rPr>
        <w:t>the Federal Highway Administration (</w:t>
      </w:r>
      <w:r w:rsidRPr="00744721">
        <w:rPr>
          <w:rFonts w:ascii="Times New Roman" w:hAnsi="Times New Roman" w:cs="Times New Roman"/>
        </w:rPr>
        <w:t>FHWA</w:t>
      </w:r>
      <w:r w:rsidR="003A67B0">
        <w:rPr>
          <w:rFonts w:ascii="Times New Roman" w:hAnsi="Times New Roman" w:cs="Times New Roman"/>
        </w:rPr>
        <w:t>)</w:t>
      </w:r>
      <w:r w:rsidRPr="00744721">
        <w:rPr>
          <w:rFonts w:ascii="Times New Roman" w:hAnsi="Times New Roman" w:cs="Times New Roman"/>
        </w:rPr>
        <w:t xml:space="preserve">, and ultimately to FMCSA, OMB control number </w:t>
      </w:r>
      <w:r w:rsidR="001F43BA">
        <w:rPr>
          <w:rFonts w:ascii="Times New Roman" w:hAnsi="Times New Roman" w:cs="Times New Roman"/>
        </w:rPr>
        <w:t xml:space="preserve">PRA-2126-0048 </w:t>
      </w:r>
      <w:r w:rsidRPr="00744721">
        <w:rPr>
          <w:rFonts w:ascii="Times New Roman" w:hAnsi="Times New Roman" w:cs="Times New Roman"/>
        </w:rPr>
        <w:t>was assigned to cover this information collection transfer.</w:t>
      </w:r>
    </w:p>
    <w:p w14:paraId="70AA2DB6" w14:textId="77777777" w:rsidR="00BD6700" w:rsidRDefault="00BD6700" w:rsidP="00F52C85">
      <w:pPr>
        <w:pStyle w:val="BodyTextIndent2"/>
        <w:spacing w:line="240" w:lineRule="auto"/>
        <w:ind w:firstLine="0"/>
        <w:rPr>
          <w:rFonts w:ascii="Times New Roman" w:hAnsi="Times New Roman" w:cs="Times New Roman"/>
        </w:rPr>
      </w:pPr>
    </w:p>
    <w:p w14:paraId="4BA8A2C4" w14:textId="77777777" w:rsidR="00BD6700" w:rsidRPr="00744721" w:rsidRDefault="00BD6700" w:rsidP="00DD3707">
      <w:pPr>
        <w:tabs>
          <w:tab w:val="left" w:pos="4680"/>
        </w:tabs>
      </w:pPr>
      <w:r w:rsidRPr="00744721">
        <w:t xml:space="preserve">Because the broker may be the primary point of contact for the shipper in many cases, it </w:t>
      </w:r>
      <w:r>
        <w:t xml:space="preserve">is </w:t>
      </w:r>
      <w:r w:rsidRPr="00744721">
        <w:t xml:space="preserve">in the best position to educate shippers and prepare them for a successful move. </w:t>
      </w:r>
      <w:r>
        <w:t xml:space="preserve"> </w:t>
      </w:r>
      <w:r w:rsidRPr="00744721">
        <w:t>The final rule require</w:t>
      </w:r>
      <w:r>
        <w:t>d</w:t>
      </w:r>
      <w:r w:rsidRPr="00744721">
        <w:t xml:space="preserve"> brokers obtain a signed and dated receipt from the individual shippers for the “Ready to Move” brochure</w:t>
      </w:r>
      <w:r>
        <w:t xml:space="preserve"> (Attachment E)</w:t>
      </w:r>
      <w:r w:rsidRPr="00744721">
        <w:t xml:space="preserve"> and the “Your Rights and Responsibilities When You Move” pamphlet</w:t>
      </w:r>
      <w:r>
        <w:t xml:space="preserve"> (Attachment F)</w:t>
      </w:r>
      <w:r w:rsidRPr="00744721">
        <w:t xml:space="preserve">. </w:t>
      </w:r>
      <w:r>
        <w:t xml:space="preserve"> </w:t>
      </w:r>
      <w:r w:rsidRPr="00744721">
        <w:t>This will help enforcement personnel determine whether the individual shipper actually received the information.</w:t>
      </w:r>
    </w:p>
    <w:p w14:paraId="1F791897" w14:textId="77777777" w:rsidR="00BD6700" w:rsidRPr="00744721" w:rsidRDefault="00BD6700" w:rsidP="00BD6700"/>
    <w:p w14:paraId="03B1151A" w14:textId="0A424145" w:rsidR="00BD6700" w:rsidRDefault="003F3C87" w:rsidP="00F52C85">
      <w:r>
        <w:t xml:space="preserve">Brokers that arrange the transportation of HHG in interstate or foreign commerce for consumers must provide: their U.S. DOT number on their advertisements and Internet Web sites; estimates of expected moving charges and brokerage fees; FMCSA pamphlets containing tips for successful moves and the consumer’s rights and responsibilities; and the broker’s policies concerning </w:t>
      </w:r>
      <w:r w:rsidR="00BD6700">
        <w:t xml:space="preserve">deposits, cancellations, and refunds.  </w:t>
      </w:r>
      <w:r w:rsidR="00F0320F">
        <w:t xml:space="preserve">Brokers must </w:t>
      </w:r>
      <w:r w:rsidR="00633438">
        <w:t xml:space="preserve">either </w:t>
      </w:r>
      <w:r w:rsidR="00F0320F">
        <w:t xml:space="preserve">provide a hyperlink on their </w:t>
      </w:r>
      <w:r w:rsidR="00633438">
        <w:t>Internet website to the FMCSA w</w:t>
      </w:r>
      <w:r w:rsidR="00F0320F">
        <w:t xml:space="preserve">ebsite containing the </w:t>
      </w:r>
      <w:r w:rsidR="00633438">
        <w:t>brochure and pamphlet</w:t>
      </w:r>
      <w:r w:rsidR="00F0320F">
        <w:t xml:space="preserve"> in FMCSA’s publications</w:t>
      </w:r>
      <w:r w:rsidR="00633438">
        <w:t>,</w:t>
      </w:r>
      <w:r w:rsidR="00F0320F">
        <w:t xml:space="preserve"> </w:t>
      </w:r>
      <w:r w:rsidR="00633438">
        <w:t>or brokers must d</w:t>
      </w:r>
      <w:r w:rsidR="00F0320F">
        <w:t>istribute to each shipper and</w:t>
      </w:r>
      <w:r w:rsidR="00633438">
        <w:t xml:space="preserve"> </w:t>
      </w:r>
      <w:r w:rsidR="00F0320F">
        <w:t>poten</w:t>
      </w:r>
      <w:r w:rsidR="00633438">
        <w:t xml:space="preserve">tial shipper at the time they </w:t>
      </w:r>
      <w:r w:rsidR="00F0320F">
        <w:t>provide an estimate, copies of FMCSA’s</w:t>
      </w:r>
      <w:r w:rsidR="00633438">
        <w:t xml:space="preserve"> publications. </w:t>
      </w:r>
      <w:r w:rsidR="00BD6700">
        <w:t>These actions are intended to help ensure the individual shippers who arrange for transportation of HHG through brokers receive necessary information regarding their rights and responsibilities in connection with interstate HHG moves</w:t>
      </w:r>
      <w:r w:rsidR="00E86B3E">
        <w:t>.</w:t>
      </w:r>
    </w:p>
    <w:p w14:paraId="7CE9B1BB" w14:textId="61BB75F5" w:rsidR="00F0320F" w:rsidRDefault="00F0320F" w:rsidP="00F52C85"/>
    <w:p w14:paraId="6FA91BE1" w14:textId="6573089E" w:rsidR="00F0320F" w:rsidRDefault="00F0320F" w:rsidP="00F52C85">
      <w:r>
        <w:t>If an individual shipper elects to waive physical receipt of the Federal consumer protection information and elects to access the same information via the hyperlink on the Internet then the broker must include a clear and concise statement on the written estimate that the individual shipper expressly agreed to access the Federal consumer protection information on the Internet. The broker must obtain a signed, dated, electronic or paper receipt showing the individual shipper has received both booklet</w:t>
      </w:r>
      <w:r w:rsidR="00633438">
        <w:t>s which</w:t>
      </w:r>
      <w:r>
        <w:t xml:space="preserve"> includes</w:t>
      </w:r>
      <w:r w:rsidR="00884541">
        <w:t>, if applicable,</w:t>
      </w:r>
      <w:r>
        <w:t xml:space="preserve"> verification of the shipper’s agreement to access the Federal consumer protection information on the Internet. The broker must maintain the signed receipt for three years from the date the individual shipper signs the receipt.</w:t>
      </w:r>
    </w:p>
    <w:p w14:paraId="091E766F" w14:textId="7A75D35E" w:rsidR="00884541" w:rsidRDefault="00884541" w:rsidP="00F52C85"/>
    <w:p w14:paraId="153AA48D" w14:textId="63335D7E" w:rsidR="00884541" w:rsidRDefault="00884541" w:rsidP="00F52C85"/>
    <w:p w14:paraId="4496A761" w14:textId="77777777" w:rsidR="00884541" w:rsidRDefault="00884541" w:rsidP="00F52C85"/>
    <w:p w14:paraId="3B833B6C" w14:textId="77777777" w:rsidR="00DA04A9" w:rsidRPr="00744721" w:rsidRDefault="00DA04A9" w:rsidP="00F52C85">
      <w:pPr>
        <w:pStyle w:val="NormalWeb"/>
        <w:rPr>
          <w:szCs w:val="20"/>
        </w:rPr>
      </w:pPr>
      <w:r w:rsidRPr="00744721">
        <w:rPr>
          <w:b/>
          <w:bCs/>
          <w:szCs w:val="20"/>
        </w:rPr>
        <w:lastRenderedPageBreak/>
        <w:t>3. Extent of automated information collection.</w:t>
      </w:r>
      <w:r w:rsidRPr="00744721">
        <w:rPr>
          <w:szCs w:val="20"/>
        </w:rPr>
        <w:t xml:space="preserve"> </w:t>
      </w:r>
    </w:p>
    <w:p w14:paraId="348B61D2" w14:textId="77777777" w:rsidR="00C74759" w:rsidRPr="00C74759" w:rsidRDefault="00DA04A9" w:rsidP="00F52C85">
      <w:r w:rsidRPr="00744721">
        <w:rPr>
          <w:bCs/>
        </w:rPr>
        <w:t xml:space="preserve">FMCSA estimates that 90% of the information will be disseminated </w:t>
      </w:r>
      <w:r w:rsidR="00AC5AD8">
        <w:rPr>
          <w:bCs/>
        </w:rPr>
        <w:t>electronically</w:t>
      </w:r>
      <w:r w:rsidR="00AC5AD8">
        <w:t xml:space="preserve"> </w:t>
      </w:r>
      <w:r w:rsidRPr="00744721">
        <w:t>to the shipper</w:t>
      </w:r>
      <w:r w:rsidR="00AC5AD8">
        <w:t xml:space="preserve"> by the </w:t>
      </w:r>
      <w:r w:rsidRPr="00744721">
        <w:t xml:space="preserve">broker. </w:t>
      </w:r>
      <w:r w:rsidR="00C11A79" w:rsidRPr="00C11A79">
        <w:t>The household goods program can use modern automated information collection technology, which will serve to reduce the burden of the program.  The information collections can be transmitted by e-mail or facsimile transmissions, at the discretion of the consumer</w:t>
      </w:r>
      <w:r w:rsidR="00C11A79">
        <w:t>, household goods broker, or household goods motor carrier</w:t>
      </w:r>
      <w:r w:rsidR="00C11A79" w:rsidRPr="00C11A79">
        <w:t>.  In addition, information is available and complaints can be submitted via the internet.</w:t>
      </w:r>
      <w:r w:rsidR="00C11A79">
        <w:t xml:space="preserve">  </w:t>
      </w:r>
      <w:r w:rsidRPr="00744721">
        <w:t xml:space="preserve">None of the information collected is submitted to FMCSA. </w:t>
      </w:r>
    </w:p>
    <w:p w14:paraId="623488FB" w14:textId="77777777" w:rsidR="00DA04A9" w:rsidRPr="00744721" w:rsidRDefault="00DA04A9" w:rsidP="00F52C85">
      <w:pPr>
        <w:pStyle w:val="NormalWeb"/>
        <w:keepNext/>
        <w:rPr>
          <w:szCs w:val="20"/>
        </w:rPr>
      </w:pPr>
      <w:r w:rsidRPr="00744721">
        <w:rPr>
          <w:b/>
          <w:bCs/>
          <w:szCs w:val="20"/>
        </w:rPr>
        <w:t>4. Efforts to identify duplication.</w:t>
      </w:r>
      <w:r w:rsidRPr="00744721">
        <w:rPr>
          <w:szCs w:val="20"/>
        </w:rPr>
        <w:t xml:space="preserve"> </w:t>
      </w:r>
    </w:p>
    <w:p w14:paraId="14780145" w14:textId="77777777" w:rsidR="00054AB9" w:rsidRPr="00744721" w:rsidRDefault="00054AB9" w:rsidP="00054AB9">
      <w:r w:rsidRPr="00744721">
        <w:t>FMCSA is unaware of any other Federal rules that will duplicate, overlap, or conflict with this proposed rule except for certain provisions of the household goods shipper protection rules in 49 CFR Part 375. Because the part 375 rules apply only to household goods motor carriers, it was necessary to establish separate rules applicable to household goods brokers, even though they contain certain similarities. For example, SAFETEA-LU requires every shipper to receive the pamphlet “Your Rights and Responsibilities When You Move.”  Household goods carriers are already required to make this pamphlet available to every shipper. This rule requires household goods brokers to make the same pamphlet available to shippers. There is no practical way around the duplication because some shippers do not use a household goods broker and those who do often do not have any direct contact with a household goods carrier early enough in the process to make effective use of the information contained in the pamphlet.</w:t>
      </w:r>
    </w:p>
    <w:p w14:paraId="5AD55FC0" w14:textId="77777777" w:rsidR="00DA04A9" w:rsidRPr="00744721" w:rsidRDefault="00DA04A9" w:rsidP="00F52C85">
      <w:pPr>
        <w:pStyle w:val="NormalWeb"/>
        <w:rPr>
          <w:b/>
          <w:bCs/>
          <w:szCs w:val="20"/>
        </w:rPr>
      </w:pPr>
      <w:r w:rsidRPr="00744721">
        <w:rPr>
          <w:b/>
          <w:bCs/>
          <w:szCs w:val="20"/>
        </w:rPr>
        <w:t>5. Efforts to minimize the burden on small businesses or other small entities.</w:t>
      </w:r>
    </w:p>
    <w:p w14:paraId="46C71E9E" w14:textId="77777777" w:rsidR="004766DB" w:rsidRDefault="00054AB9" w:rsidP="00F52C85">
      <w:pPr>
        <w:pStyle w:val="BodyTextIndent"/>
        <w:ind w:left="0"/>
      </w:pPr>
      <w:r>
        <w:t>FMCSA believes its</w:t>
      </w:r>
      <w:r w:rsidR="004766DB">
        <w:t xml:space="preserve"> rule</w:t>
      </w:r>
      <w:r w:rsidR="00E86B3E">
        <w:t>making mandated by section 4212 of SAFETEA-LU</w:t>
      </w:r>
      <w:r>
        <w:t xml:space="preserve"> has minimized the burden on small entities</w:t>
      </w:r>
      <w:r w:rsidR="00E86B3E">
        <w:t xml:space="preserve"> </w:t>
      </w:r>
      <w:r>
        <w:t xml:space="preserve">by </w:t>
      </w:r>
      <w:r w:rsidR="004766DB">
        <w:t>ensur</w:t>
      </w:r>
      <w:r>
        <w:t>ing</w:t>
      </w:r>
      <w:r w:rsidR="004766DB">
        <w:t xml:space="preserve"> that individual shippers of HHG that arrange for transportation through HHG brokers (rather than directly through motor carriers) receive necessary information regarding the parties with which they are dealing and their rights and responsibilities in connection with interstate HHG moves.  It also </w:t>
      </w:r>
      <w:r>
        <w:t xml:space="preserve">helps </w:t>
      </w:r>
      <w:r w:rsidR="004766DB">
        <w:t>to ensure that HHG brokers deal only with properly registered and insured motor carriers and that estimates provided by HHG brokers be provided under specific circumstances designed to protect the shipper</w:t>
      </w:r>
      <w:r w:rsidR="00AC18DD">
        <w:t>s</w:t>
      </w:r>
      <w:r w:rsidR="004766DB">
        <w:t xml:space="preserve"> against possible abuse. </w:t>
      </w:r>
      <w:r w:rsidR="00F448DF">
        <w:t xml:space="preserve"> </w:t>
      </w:r>
      <w:r w:rsidR="004766DB">
        <w:t>Finally, it increase</w:t>
      </w:r>
      <w:r w:rsidR="00AA50A5">
        <w:t>d</w:t>
      </w:r>
      <w:r w:rsidR="004766DB">
        <w:t xml:space="preserve"> the level of financial responsibility required to ensure that HHG brokers perform their transportation contracts.</w:t>
      </w:r>
    </w:p>
    <w:p w14:paraId="5FEE7361" w14:textId="77777777" w:rsidR="004766DB" w:rsidRDefault="004766DB" w:rsidP="00F52C85">
      <w:pPr>
        <w:pStyle w:val="OmniPage2"/>
        <w:keepNext/>
        <w:spacing w:line="240" w:lineRule="auto"/>
        <w:rPr>
          <w:sz w:val="24"/>
          <w:szCs w:val="24"/>
        </w:rPr>
      </w:pPr>
    </w:p>
    <w:p w14:paraId="59CD443A" w14:textId="77777777" w:rsidR="004766DB" w:rsidRDefault="004766DB" w:rsidP="00F52C85">
      <w:r>
        <w:t xml:space="preserve">There are currently </w:t>
      </w:r>
      <w:r w:rsidR="00AE0687">
        <w:t>484</w:t>
      </w:r>
      <w:r>
        <w:t xml:space="preserve"> active, registered HHG brokers.</w:t>
      </w:r>
      <w:r>
        <w:rPr>
          <w:rStyle w:val="FootnoteReference"/>
        </w:rPr>
        <w:footnoteReference w:id="1"/>
      </w:r>
      <w:r>
        <w:t xml:space="preserve">  We do not know the number of unregistered HHG brokers, but we suspect that there are many.  For the purposes of our analysis, we assume the number is </w:t>
      </w:r>
      <w:r w:rsidR="00EB6274">
        <w:t>59</w:t>
      </w:r>
      <w:r>
        <w:t>—which would put the percentage of unregistered brokers at just over ten percent (</w:t>
      </w:r>
      <w:r w:rsidR="00EB6274">
        <w:t>59</w:t>
      </w:r>
      <w:r>
        <w:t xml:space="preserve"> is 10.87% of (</w:t>
      </w:r>
      <w:r w:rsidR="00AE0687">
        <w:t>484</w:t>
      </w:r>
      <w:r>
        <w:t xml:space="preserve"> + </w:t>
      </w:r>
      <w:r w:rsidR="00EB6274">
        <w:t>59</w:t>
      </w:r>
      <w:r>
        <w:t xml:space="preserve">)). The figure is </w:t>
      </w:r>
      <w:r w:rsidR="00EB6274">
        <w:t xml:space="preserve">consistent with previous estimates </w:t>
      </w:r>
      <w:r>
        <w:t xml:space="preserve">based on conversations with industry experts and information from broker websites. We use </w:t>
      </w:r>
      <w:r w:rsidR="00EB6274">
        <w:t>543</w:t>
      </w:r>
      <w:r w:rsidRPr="00C67D69">
        <w:t>,</w:t>
      </w:r>
      <w:r>
        <w:t xml:space="preserve"> then, as the estimate of total active brokers—registered and (now) unregistered. Almost all are small entities according to the definition in Small Business Administration (SBA) regulations (13 C.F.R. 121) which defines a “small entity” in the </w:t>
      </w:r>
      <w:r w:rsidRPr="00973FA4">
        <w:t>North American Industrial</w:t>
      </w:r>
      <w:r>
        <w:t xml:space="preserve"> </w:t>
      </w:r>
      <w:r w:rsidRPr="00973FA4">
        <w:t>Classification System (NAICS) Code</w:t>
      </w:r>
      <w:r>
        <w:t xml:space="preserve"> 488510 “Freight Transportation Arrangement” industry by average annual receipts, which are currently set at $</w:t>
      </w:r>
      <w:r w:rsidR="00EB6274">
        <w:t>15</w:t>
      </w:r>
      <w:r>
        <w:t xml:space="preserve"> million per firm.  The motor carriers with whom HHG brokers deal may also be indirectly affected.  </w:t>
      </w:r>
    </w:p>
    <w:p w14:paraId="32BF45CE" w14:textId="77777777" w:rsidR="00DA04A9" w:rsidRPr="00744721" w:rsidRDefault="00DA04A9" w:rsidP="00F52C85">
      <w:pPr>
        <w:pStyle w:val="NormalWeb"/>
        <w:keepNext/>
        <w:rPr>
          <w:b/>
          <w:bCs/>
          <w:szCs w:val="20"/>
        </w:rPr>
      </w:pPr>
      <w:r w:rsidRPr="00744721">
        <w:rPr>
          <w:b/>
          <w:bCs/>
          <w:szCs w:val="20"/>
        </w:rPr>
        <w:t>6. Impact of less frequent collection of information.</w:t>
      </w:r>
    </w:p>
    <w:p w14:paraId="6EE5B66A" w14:textId="77777777" w:rsidR="00C74759" w:rsidRPr="00744721" w:rsidRDefault="00DA04A9" w:rsidP="00F52C85">
      <w:pPr>
        <w:pStyle w:val="NormalWeb"/>
      </w:pPr>
      <w:r w:rsidRPr="00744721">
        <w:rPr>
          <w:szCs w:val="20"/>
        </w:rPr>
        <w:t xml:space="preserve">The information in this final rule will be collected when a shipper requests that a broker provide an estimate and when a shipper arranges for a broker to have a particular mover transport household goods. The required information will be provided to shippers so that they can educate themselves regarding their rights and responsibilities in the commercial transactions with the broker and mover. Therefore, frequency is based on the number of moves arranged and is not a factor that FMCSA or the broker can control. </w:t>
      </w:r>
    </w:p>
    <w:p w14:paraId="7D9404C1" w14:textId="77777777" w:rsidR="00DA04A9" w:rsidRPr="00744721" w:rsidRDefault="00DA04A9" w:rsidP="00F52C85">
      <w:pPr>
        <w:pStyle w:val="NormalWeb"/>
        <w:keepNext/>
      </w:pPr>
      <w:r w:rsidRPr="00744721">
        <w:rPr>
          <w:b/>
          <w:bCs/>
          <w:szCs w:val="20"/>
        </w:rPr>
        <w:t>7. Special circumstances.</w:t>
      </w:r>
      <w:r w:rsidRPr="00744721">
        <w:rPr>
          <w:szCs w:val="20"/>
        </w:rPr>
        <w:t xml:space="preserve"> </w:t>
      </w:r>
    </w:p>
    <w:p w14:paraId="328750E2" w14:textId="77777777" w:rsidR="00C74759" w:rsidRPr="00C74759" w:rsidRDefault="00DA04A9" w:rsidP="00F52C85">
      <w:pPr>
        <w:keepLines/>
        <w:rPr>
          <w:color w:val="000000"/>
        </w:rPr>
      </w:pPr>
      <w:r w:rsidRPr="00744721">
        <w:t>The frequency of information collection is done more often than quarterly as it is done as services are requested by the shipper. This is to help shippers understand each part of the commercial transaction and determine whether or not they are being defrauded or deceived by a broker and/or mover.</w:t>
      </w:r>
      <w:r w:rsidR="00C74759" w:rsidRPr="00C74759">
        <w:rPr>
          <w:color w:val="000000"/>
        </w:rPr>
        <w:t xml:space="preserve"> </w:t>
      </w:r>
    </w:p>
    <w:p w14:paraId="0C36AFD1" w14:textId="77777777" w:rsidR="00DA04A9" w:rsidRDefault="00DA04A9" w:rsidP="00F52C85">
      <w:pPr>
        <w:pStyle w:val="NormalWeb"/>
        <w:keepNext/>
        <w:rPr>
          <w:b/>
          <w:bCs/>
          <w:szCs w:val="20"/>
        </w:rPr>
      </w:pPr>
      <w:r w:rsidRPr="00744721">
        <w:rPr>
          <w:b/>
          <w:bCs/>
          <w:szCs w:val="20"/>
        </w:rPr>
        <w:t>8. Compliance with 5 CFR § 1320.8.</w:t>
      </w:r>
    </w:p>
    <w:p w14:paraId="2903A3DE" w14:textId="77777777" w:rsidR="00F52C85" w:rsidRDefault="00F52C85" w:rsidP="00F52C85">
      <w:r>
        <w:t>FMCSA published a notice in the Federal Register (</w:t>
      </w:r>
      <w:r w:rsidR="00D72F19">
        <w:t xml:space="preserve">82 </w:t>
      </w:r>
      <w:r>
        <w:t xml:space="preserve">FR </w:t>
      </w:r>
      <w:r w:rsidR="00D72F19">
        <w:t>14102</w:t>
      </w:r>
      <w:r>
        <w:t xml:space="preserve">) with a 60-day public comment period to announce this proposed information collection on </w:t>
      </w:r>
      <w:r w:rsidR="00D72F19">
        <w:t>March 16</w:t>
      </w:r>
      <w:r w:rsidR="001C45D6">
        <w:t>, 2017,</w:t>
      </w:r>
      <w:r>
        <w:t xml:space="preserve"> (see Attachment </w:t>
      </w:r>
      <w:r w:rsidR="00AA50A5">
        <w:t>G</w:t>
      </w:r>
      <w:r>
        <w:t xml:space="preserve">).  </w:t>
      </w:r>
      <w:r w:rsidR="00FA7526">
        <w:t xml:space="preserve">The agency received </w:t>
      </w:r>
      <w:r w:rsidR="00D72F19">
        <w:t xml:space="preserve">no </w:t>
      </w:r>
      <w:r w:rsidR="00FA7526">
        <w:t>co</w:t>
      </w:r>
      <w:r>
        <w:t>mments in response to this notice.</w:t>
      </w:r>
    </w:p>
    <w:p w14:paraId="0BB2454E" w14:textId="77777777" w:rsidR="00F52C85" w:rsidRDefault="00F52C85" w:rsidP="00F52C85"/>
    <w:p w14:paraId="51198A04" w14:textId="0E425F59" w:rsidR="00F52C85" w:rsidRDefault="003C094A" w:rsidP="00F52C85">
      <w:pPr>
        <w:rPr>
          <w:color w:val="000000"/>
        </w:rPr>
      </w:pPr>
      <w:r>
        <w:t>FMCSA</w:t>
      </w:r>
      <w:r w:rsidR="001C45D6">
        <w:t xml:space="preserve"> </w:t>
      </w:r>
      <w:r w:rsidR="00F52C85">
        <w:t>publish</w:t>
      </w:r>
      <w:r>
        <w:t>ed</w:t>
      </w:r>
      <w:r w:rsidR="00F52C85">
        <w:t xml:space="preserve"> a notice in the Federal Register with a 30-day public comment period </w:t>
      </w:r>
      <w:r>
        <w:t xml:space="preserve">(82 FR 38988) </w:t>
      </w:r>
      <w:r w:rsidR="00F52C85">
        <w:t xml:space="preserve">that </w:t>
      </w:r>
      <w:r>
        <w:t>announced</w:t>
      </w:r>
      <w:r w:rsidR="001C45D6">
        <w:t xml:space="preserve"> </w:t>
      </w:r>
      <w:r w:rsidR="00F52C85">
        <w:t xml:space="preserve">this information </w:t>
      </w:r>
      <w:r w:rsidR="001C45D6">
        <w:t xml:space="preserve">will </w:t>
      </w:r>
      <w:r w:rsidR="00F52C85">
        <w:t>be sent to OMB for approval (</w:t>
      </w:r>
      <w:r w:rsidR="00AA50A5">
        <w:t>Attachment H</w:t>
      </w:r>
      <w:r w:rsidR="00E02E40">
        <w:t>), as well as a correction to the 30-day FR (82 FR 46606)</w:t>
      </w:r>
      <w:r>
        <w:t>,</w:t>
      </w:r>
      <w:r w:rsidR="00E02E40">
        <w:t xml:space="preserve"> issued on October 5, 2017 (Attachment I), to provide clarification to the 30-day public comment notice.</w:t>
      </w:r>
    </w:p>
    <w:p w14:paraId="5BD09CA2" w14:textId="77777777" w:rsidR="00DA04A9" w:rsidRPr="00744721" w:rsidRDefault="00DA04A9" w:rsidP="00F52C85">
      <w:pPr>
        <w:pStyle w:val="NormalWeb"/>
        <w:keepNext/>
        <w:rPr>
          <w:b/>
          <w:bCs/>
          <w:szCs w:val="20"/>
        </w:rPr>
      </w:pPr>
      <w:r w:rsidRPr="00744721">
        <w:rPr>
          <w:b/>
          <w:bCs/>
          <w:szCs w:val="20"/>
        </w:rPr>
        <w:t>9. Payments or gifts to respondents.</w:t>
      </w:r>
    </w:p>
    <w:p w14:paraId="6D15E33E" w14:textId="77777777" w:rsidR="00C74759" w:rsidRPr="00C74759" w:rsidRDefault="00DA04A9" w:rsidP="00F52C85">
      <w:pPr>
        <w:rPr>
          <w:color w:val="000000"/>
        </w:rPr>
      </w:pPr>
      <w:r w:rsidRPr="00744721">
        <w:t>There are no payments or gifts to respondents for this information collection.</w:t>
      </w:r>
      <w:r w:rsidR="00C74759" w:rsidRPr="00C74759">
        <w:rPr>
          <w:color w:val="000000"/>
        </w:rPr>
        <w:t xml:space="preserve"> </w:t>
      </w:r>
    </w:p>
    <w:p w14:paraId="7BBBAD0B" w14:textId="77777777" w:rsidR="00DA04A9" w:rsidRPr="00744721" w:rsidRDefault="00DA04A9" w:rsidP="00F52C85">
      <w:pPr>
        <w:pStyle w:val="NormalWeb"/>
        <w:rPr>
          <w:b/>
          <w:bCs/>
          <w:szCs w:val="20"/>
        </w:rPr>
      </w:pPr>
      <w:r w:rsidRPr="00744721">
        <w:rPr>
          <w:b/>
          <w:bCs/>
          <w:szCs w:val="20"/>
        </w:rPr>
        <w:t>10. Assurances of Confidentiality.</w:t>
      </w:r>
    </w:p>
    <w:p w14:paraId="69EA7202" w14:textId="77777777" w:rsidR="00DA04A9" w:rsidRPr="00C74759" w:rsidRDefault="00DA04A9" w:rsidP="00F52C85">
      <w:pPr>
        <w:rPr>
          <w:color w:val="000000"/>
        </w:rPr>
      </w:pPr>
      <w:r w:rsidRPr="00744721">
        <w:t>None of the information collected by movers will be confidential.</w:t>
      </w:r>
      <w:r w:rsidR="00C74759" w:rsidRPr="00C74759">
        <w:rPr>
          <w:color w:val="000000"/>
        </w:rPr>
        <w:t xml:space="preserve"> </w:t>
      </w:r>
    </w:p>
    <w:p w14:paraId="6224B009" w14:textId="77777777" w:rsidR="00DA04A9" w:rsidRPr="00744721" w:rsidRDefault="00DA04A9" w:rsidP="00F52C85">
      <w:pPr>
        <w:pStyle w:val="NormalWeb"/>
        <w:keepNext/>
        <w:rPr>
          <w:b/>
          <w:bCs/>
          <w:szCs w:val="20"/>
        </w:rPr>
      </w:pPr>
      <w:r w:rsidRPr="00744721">
        <w:rPr>
          <w:b/>
          <w:bCs/>
          <w:szCs w:val="20"/>
        </w:rPr>
        <w:t>11. Justification for Sensitive Information.</w:t>
      </w:r>
    </w:p>
    <w:p w14:paraId="34822608" w14:textId="77777777" w:rsidR="00DA04A9" w:rsidRPr="00744721" w:rsidRDefault="00DA04A9" w:rsidP="00F52C85">
      <w:pPr>
        <w:pStyle w:val="NormalWeb"/>
        <w:rPr>
          <w:szCs w:val="20"/>
        </w:rPr>
      </w:pPr>
      <w:r w:rsidRPr="00744721">
        <w:rPr>
          <w:szCs w:val="20"/>
        </w:rPr>
        <w:t>There are no questions of a sensitive nature.</w:t>
      </w:r>
      <w:r w:rsidR="00C74759" w:rsidRPr="00C74759">
        <w:rPr>
          <w:color w:val="000000"/>
        </w:rPr>
        <w:t xml:space="preserve"> </w:t>
      </w:r>
    </w:p>
    <w:p w14:paraId="7FF9D5CC" w14:textId="77777777" w:rsidR="00DA04A9" w:rsidRPr="00744721" w:rsidRDefault="00DA04A9" w:rsidP="00F52C85">
      <w:pPr>
        <w:pStyle w:val="NormalWeb"/>
        <w:keepNext/>
        <w:rPr>
          <w:b/>
          <w:bCs/>
          <w:szCs w:val="20"/>
        </w:rPr>
      </w:pPr>
      <w:r w:rsidRPr="00744721">
        <w:rPr>
          <w:b/>
          <w:bCs/>
          <w:szCs w:val="20"/>
        </w:rPr>
        <w:t xml:space="preserve">12. Estimates of </w:t>
      </w:r>
      <w:r w:rsidR="003C50DE">
        <w:rPr>
          <w:b/>
          <w:bCs/>
          <w:szCs w:val="20"/>
        </w:rPr>
        <w:t>Burden-Hours</w:t>
      </w:r>
      <w:r w:rsidRPr="00744721">
        <w:rPr>
          <w:b/>
          <w:bCs/>
          <w:szCs w:val="20"/>
        </w:rPr>
        <w:t xml:space="preserve"> for Information Requested. </w:t>
      </w:r>
    </w:p>
    <w:p w14:paraId="2E8BEB98" w14:textId="77777777" w:rsidR="00A20DB4" w:rsidRDefault="00DA04A9" w:rsidP="00F52C85">
      <w:pPr>
        <w:pStyle w:val="BodyTextIndent2"/>
        <w:spacing w:line="240" w:lineRule="auto"/>
        <w:ind w:firstLine="0"/>
        <w:rPr>
          <w:rFonts w:ascii="Times New Roman" w:hAnsi="Times New Roman" w:cs="Times New Roman"/>
        </w:rPr>
      </w:pPr>
      <w:r w:rsidRPr="00744721">
        <w:rPr>
          <w:rFonts w:ascii="Times New Roman" w:hAnsi="Times New Roman" w:cs="Times New Roman"/>
        </w:rPr>
        <w:t>Assumptions used for calculation of the information collection burden include the following: (1)</w:t>
      </w:r>
      <w:r w:rsidR="007B4ED7">
        <w:rPr>
          <w:rFonts w:ascii="Times New Roman" w:hAnsi="Times New Roman" w:cs="Times New Roman"/>
        </w:rPr>
        <w:t> </w:t>
      </w:r>
      <w:r w:rsidRPr="00744721">
        <w:rPr>
          <w:rFonts w:ascii="Times New Roman" w:hAnsi="Times New Roman" w:cs="Times New Roman"/>
        </w:rPr>
        <w:t xml:space="preserve">There are currently approximately </w:t>
      </w:r>
      <w:r w:rsidR="00A20DB4" w:rsidRPr="00A20DB4">
        <w:rPr>
          <w:rFonts w:ascii="Times New Roman" w:hAnsi="Times New Roman" w:cs="Times New Roman"/>
        </w:rPr>
        <w:t>543</w:t>
      </w:r>
      <w:r w:rsidR="00A20DB4">
        <w:rPr>
          <w:rFonts w:ascii="Times New Roman" w:hAnsi="Times New Roman" w:cs="Times New Roman"/>
        </w:rPr>
        <w:t xml:space="preserve"> </w:t>
      </w:r>
      <w:r w:rsidRPr="00744721">
        <w:rPr>
          <w:rFonts w:ascii="Times New Roman" w:hAnsi="Times New Roman" w:cs="Times New Roman"/>
        </w:rPr>
        <w:t xml:space="preserve">active household goods brokers; (2) </w:t>
      </w:r>
      <w:r w:rsidR="00946098">
        <w:rPr>
          <w:rFonts w:ascii="Times New Roman" w:hAnsi="Times New Roman" w:cs="Times New Roman"/>
        </w:rPr>
        <w:t xml:space="preserve">Household goods brokers </w:t>
      </w:r>
      <w:r w:rsidR="0088790D">
        <w:rPr>
          <w:rFonts w:ascii="Times New Roman" w:hAnsi="Times New Roman" w:cs="Times New Roman"/>
        </w:rPr>
        <w:t>have an average of</w:t>
      </w:r>
      <w:r w:rsidR="00946098">
        <w:rPr>
          <w:rFonts w:ascii="Times New Roman" w:hAnsi="Times New Roman" w:cs="Times New Roman"/>
        </w:rPr>
        <w:t xml:space="preserve"> negotiated and signed</w:t>
      </w:r>
      <w:r w:rsidR="0088790D">
        <w:rPr>
          <w:rFonts w:ascii="Times New Roman" w:hAnsi="Times New Roman" w:cs="Times New Roman"/>
        </w:rPr>
        <w:t xml:space="preserve"> </w:t>
      </w:r>
      <w:r w:rsidR="00946098">
        <w:rPr>
          <w:rFonts w:ascii="Times New Roman" w:hAnsi="Times New Roman" w:cs="Times New Roman"/>
        </w:rPr>
        <w:t xml:space="preserve">written agreements with </w:t>
      </w:r>
      <w:r w:rsidRPr="00744721">
        <w:rPr>
          <w:rFonts w:ascii="Times New Roman" w:hAnsi="Times New Roman" w:cs="Times New Roman"/>
        </w:rPr>
        <w:t>about 31 motor carriers to estimate shipment costs</w:t>
      </w:r>
      <w:r w:rsidR="0088790D">
        <w:rPr>
          <w:rFonts w:ascii="Times New Roman" w:hAnsi="Times New Roman" w:cs="Times New Roman"/>
        </w:rPr>
        <w:t xml:space="preserve">. </w:t>
      </w:r>
      <w:r w:rsidR="00946098" w:rsidRPr="00946098">
        <w:rPr>
          <w:rFonts w:ascii="Times New Roman" w:hAnsi="Times New Roman" w:cs="Times New Roman"/>
        </w:rPr>
        <w:t>H</w:t>
      </w:r>
      <w:r w:rsidR="00946098">
        <w:rPr>
          <w:rFonts w:ascii="Times New Roman" w:hAnsi="Times New Roman" w:cs="Times New Roman"/>
        </w:rPr>
        <w:t xml:space="preserve">ousehold goods </w:t>
      </w:r>
      <w:r w:rsidR="00946098" w:rsidRPr="00946098">
        <w:rPr>
          <w:rFonts w:ascii="Times New Roman" w:hAnsi="Times New Roman" w:cs="Times New Roman"/>
        </w:rPr>
        <w:t xml:space="preserve">brokers will eventually sever some of these </w:t>
      </w:r>
      <w:r w:rsidR="00946098">
        <w:rPr>
          <w:rFonts w:ascii="Times New Roman" w:hAnsi="Times New Roman" w:cs="Times New Roman"/>
        </w:rPr>
        <w:t xml:space="preserve">written </w:t>
      </w:r>
      <w:r w:rsidR="00946098" w:rsidRPr="00946098">
        <w:rPr>
          <w:rFonts w:ascii="Times New Roman" w:hAnsi="Times New Roman" w:cs="Times New Roman"/>
        </w:rPr>
        <w:t xml:space="preserve">agreements and make agreements with new </w:t>
      </w:r>
      <w:r w:rsidR="00946098">
        <w:rPr>
          <w:rFonts w:ascii="Times New Roman" w:hAnsi="Times New Roman" w:cs="Times New Roman"/>
        </w:rPr>
        <w:t xml:space="preserve">household goods motor </w:t>
      </w:r>
      <w:r w:rsidR="00946098" w:rsidRPr="00946098">
        <w:rPr>
          <w:rFonts w:ascii="Times New Roman" w:hAnsi="Times New Roman" w:cs="Times New Roman"/>
        </w:rPr>
        <w:t xml:space="preserve">carriers. </w:t>
      </w:r>
      <w:r w:rsidR="00946098">
        <w:rPr>
          <w:rFonts w:ascii="Times New Roman" w:hAnsi="Times New Roman" w:cs="Times New Roman"/>
        </w:rPr>
        <w:t>W</w:t>
      </w:r>
      <w:r w:rsidR="00946098" w:rsidRPr="00946098">
        <w:rPr>
          <w:rFonts w:ascii="Times New Roman" w:hAnsi="Times New Roman" w:cs="Times New Roman"/>
        </w:rPr>
        <w:t xml:space="preserve">e assume that an average agreement lasts for about six </w:t>
      </w:r>
      <w:r w:rsidR="000665D6" w:rsidRPr="00946098">
        <w:rPr>
          <w:rFonts w:ascii="Times New Roman" w:hAnsi="Times New Roman" w:cs="Times New Roman"/>
        </w:rPr>
        <w:t>years</w:t>
      </w:r>
      <w:r w:rsidR="000665D6">
        <w:rPr>
          <w:rFonts w:ascii="Times New Roman" w:hAnsi="Times New Roman" w:cs="Times New Roman"/>
        </w:rPr>
        <w:t>,</w:t>
      </w:r>
      <w:r w:rsidR="00946098" w:rsidRPr="00946098">
        <w:rPr>
          <w:rFonts w:ascii="Times New Roman" w:hAnsi="Times New Roman" w:cs="Times New Roman"/>
        </w:rPr>
        <w:t xml:space="preserve"> </w:t>
      </w:r>
      <w:r w:rsidR="00946098">
        <w:rPr>
          <w:rFonts w:ascii="Times New Roman" w:hAnsi="Times New Roman" w:cs="Times New Roman"/>
        </w:rPr>
        <w:t xml:space="preserve">and </w:t>
      </w:r>
      <w:r w:rsidR="00946098" w:rsidRPr="00946098">
        <w:rPr>
          <w:rFonts w:ascii="Times New Roman" w:hAnsi="Times New Roman" w:cs="Times New Roman"/>
        </w:rPr>
        <w:t>th</w:t>
      </w:r>
      <w:r w:rsidR="00946098">
        <w:rPr>
          <w:rFonts w:ascii="Times New Roman" w:hAnsi="Times New Roman" w:cs="Times New Roman"/>
        </w:rPr>
        <w:t xml:space="preserve">us </w:t>
      </w:r>
      <w:r w:rsidR="00946098" w:rsidRPr="00946098">
        <w:rPr>
          <w:rFonts w:ascii="Times New Roman" w:hAnsi="Times New Roman" w:cs="Times New Roman"/>
        </w:rPr>
        <w:t xml:space="preserve">about five new </w:t>
      </w:r>
      <w:r w:rsidR="00946098">
        <w:rPr>
          <w:rFonts w:ascii="Times New Roman" w:hAnsi="Times New Roman" w:cs="Times New Roman"/>
        </w:rPr>
        <w:t xml:space="preserve">negotiations and </w:t>
      </w:r>
      <w:r w:rsidR="00946098" w:rsidRPr="00946098">
        <w:rPr>
          <w:rFonts w:ascii="Times New Roman" w:hAnsi="Times New Roman" w:cs="Times New Roman"/>
        </w:rPr>
        <w:t xml:space="preserve">written agreements </w:t>
      </w:r>
      <w:r w:rsidR="00946098">
        <w:rPr>
          <w:rFonts w:ascii="Times New Roman" w:hAnsi="Times New Roman" w:cs="Times New Roman"/>
        </w:rPr>
        <w:t xml:space="preserve">will </w:t>
      </w:r>
      <w:r w:rsidR="00946098" w:rsidRPr="00946098">
        <w:rPr>
          <w:rFonts w:ascii="Times New Roman" w:hAnsi="Times New Roman" w:cs="Times New Roman"/>
        </w:rPr>
        <w:t>be negotiated each year</w:t>
      </w:r>
      <w:r w:rsidR="00946098">
        <w:rPr>
          <w:rFonts w:ascii="Times New Roman" w:hAnsi="Times New Roman" w:cs="Times New Roman"/>
        </w:rPr>
        <w:t>,</w:t>
      </w:r>
      <w:r w:rsidRPr="00744721">
        <w:rPr>
          <w:rFonts w:ascii="Times New Roman" w:hAnsi="Times New Roman" w:cs="Times New Roman"/>
        </w:rPr>
        <w:t xml:space="preserve"> and (</w:t>
      </w:r>
      <w:r w:rsidR="0088790D">
        <w:rPr>
          <w:rFonts w:ascii="Times New Roman" w:hAnsi="Times New Roman" w:cs="Times New Roman"/>
        </w:rPr>
        <w:t>3</w:t>
      </w:r>
      <w:r w:rsidRPr="00744721">
        <w:rPr>
          <w:rFonts w:ascii="Times New Roman" w:hAnsi="Times New Roman" w:cs="Times New Roman"/>
        </w:rPr>
        <w:t>) FMCSA estimates household goods brokers handle about 100,000 moves each year.</w:t>
      </w:r>
    </w:p>
    <w:p w14:paraId="48DA030E" w14:textId="77777777" w:rsidR="00A20DB4" w:rsidRDefault="00A20DB4" w:rsidP="00F52C85">
      <w:pPr>
        <w:pStyle w:val="BodyTextIndent2"/>
        <w:spacing w:line="240" w:lineRule="auto"/>
        <w:ind w:firstLine="0"/>
        <w:rPr>
          <w:rFonts w:ascii="Times New Roman" w:hAnsi="Times New Roman" w:cs="Times New Roman"/>
        </w:rPr>
      </w:pPr>
    </w:p>
    <w:p w14:paraId="6EB40BF2" w14:textId="77777777" w:rsidR="00DA04A9" w:rsidRPr="00744721" w:rsidRDefault="0042281B" w:rsidP="00F52C85">
      <w:pPr>
        <w:pStyle w:val="BodyTextIndent2"/>
        <w:spacing w:line="240" w:lineRule="auto"/>
        <w:ind w:firstLine="0"/>
        <w:rPr>
          <w:rFonts w:ascii="Times New Roman" w:hAnsi="Times New Roman" w:cs="Times New Roman"/>
        </w:rPr>
      </w:pPr>
      <w:r>
        <w:rPr>
          <w:rFonts w:ascii="Times New Roman" w:hAnsi="Times New Roman" w:cs="Times New Roman"/>
        </w:rPr>
        <w:t xml:space="preserve">The first two items result in </w:t>
      </w:r>
      <w:r w:rsidR="0088790D">
        <w:rPr>
          <w:rFonts w:ascii="Times New Roman" w:hAnsi="Times New Roman" w:cs="Times New Roman"/>
        </w:rPr>
        <w:t>2,715</w:t>
      </w:r>
      <w:r>
        <w:rPr>
          <w:rFonts w:ascii="Times New Roman" w:hAnsi="Times New Roman" w:cs="Times New Roman"/>
        </w:rPr>
        <w:t xml:space="preserve"> respondents subject to the information collection </w:t>
      </w:r>
      <w:r w:rsidR="00946098">
        <w:rPr>
          <w:rFonts w:ascii="Times New Roman" w:hAnsi="Times New Roman" w:cs="Times New Roman"/>
        </w:rPr>
        <w:t>(</w:t>
      </w:r>
      <w:r w:rsidR="00A20DB4">
        <w:rPr>
          <w:rFonts w:ascii="Times New Roman" w:hAnsi="Times New Roman" w:cs="Times New Roman"/>
        </w:rPr>
        <w:t>543</w:t>
      </w:r>
      <w:r w:rsidR="00946098">
        <w:rPr>
          <w:rFonts w:ascii="Times New Roman" w:hAnsi="Times New Roman" w:cs="Times New Roman"/>
        </w:rPr>
        <w:t xml:space="preserve"> x 5 = </w:t>
      </w:r>
      <w:r w:rsidR="00A20DB4">
        <w:rPr>
          <w:rFonts w:ascii="Times New Roman" w:hAnsi="Times New Roman" w:cs="Times New Roman"/>
        </w:rPr>
        <w:t>2,715</w:t>
      </w:r>
      <w:r w:rsidR="00946098">
        <w:rPr>
          <w:rFonts w:ascii="Times New Roman" w:hAnsi="Times New Roman" w:cs="Times New Roman"/>
        </w:rPr>
        <w:t xml:space="preserve">). </w:t>
      </w:r>
      <w:r>
        <w:rPr>
          <w:rFonts w:ascii="Times New Roman" w:hAnsi="Times New Roman" w:cs="Times New Roman"/>
        </w:rPr>
        <w:t xml:space="preserve">Together with the </w:t>
      </w:r>
      <w:r w:rsidR="0088790D">
        <w:rPr>
          <w:rFonts w:ascii="Times New Roman" w:hAnsi="Times New Roman" w:cs="Times New Roman"/>
        </w:rPr>
        <w:t xml:space="preserve">third </w:t>
      </w:r>
      <w:r>
        <w:rPr>
          <w:rFonts w:ascii="Times New Roman" w:hAnsi="Times New Roman" w:cs="Times New Roman"/>
        </w:rPr>
        <w:t xml:space="preserve">item, </w:t>
      </w:r>
      <w:r w:rsidR="00660C99">
        <w:rPr>
          <w:rFonts w:ascii="Times New Roman" w:hAnsi="Times New Roman" w:cs="Times New Roman"/>
        </w:rPr>
        <w:t xml:space="preserve">a total of </w:t>
      </w:r>
      <w:r w:rsidR="00DA04A9" w:rsidRPr="00744721">
        <w:rPr>
          <w:rFonts w:ascii="Times New Roman" w:hAnsi="Times New Roman" w:cs="Times New Roman"/>
        </w:rPr>
        <w:t xml:space="preserve">about </w:t>
      </w:r>
      <w:r w:rsidR="0088790D">
        <w:rPr>
          <w:rFonts w:ascii="Times New Roman" w:hAnsi="Times New Roman" w:cs="Times New Roman"/>
        </w:rPr>
        <w:t>102,715</w:t>
      </w:r>
      <w:r w:rsidR="00DA04A9" w:rsidRPr="00744721">
        <w:rPr>
          <w:rFonts w:ascii="Times New Roman" w:hAnsi="Times New Roman" w:cs="Times New Roman"/>
        </w:rPr>
        <w:t xml:space="preserve"> respondents </w:t>
      </w:r>
      <w:r>
        <w:rPr>
          <w:rFonts w:ascii="Times New Roman" w:hAnsi="Times New Roman" w:cs="Times New Roman"/>
        </w:rPr>
        <w:t>(</w:t>
      </w:r>
      <w:r w:rsidR="00A20DB4" w:rsidRPr="00A20DB4">
        <w:rPr>
          <w:rFonts w:ascii="Times New Roman" w:hAnsi="Times New Roman" w:cs="Times New Roman"/>
        </w:rPr>
        <w:t>2,715</w:t>
      </w:r>
      <w:r w:rsidR="00A20DB4">
        <w:rPr>
          <w:rFonts w:ascii="Times New Roman" w:hAnsi="Times New Roman" w:cs="Times New Roman"/>
        </w:rPr>
        <w:t xml:space="preserve"> </w:t>
      </w:r>
      <w:r>
        <w:rPr>
          <w:rFonts w:ascii="Times New Roman" w:hAnsi="Times New Roman" w:cs="Times New Roman"/>
        </w:rPr>
        <w:t>+ 100,000</w:t>
      </w:r>
      <w:r w:rsidR="00660C99">
        <w:rPr>
          <w:rFonts w:ascii="Times New Roman" w:hAnsi="Times New Roman" w:cs="Times New Roman"/>
        </w:rPr>
        <w:t xml:space="preserve">) </w:t>
      </w:r>
      <w:r w:rsidR="00DA04A9" w:rsidRPr="00744721">
        <w:rPr>
          <w:rFonts w:ascii="Times New Roman" w:hAnsi="Times New Roman" w:cs="Times New Roman"/>
        </w:rPr>
        <w:t>would be subject to th</w:t>
      </w:r>
      <w:r w:rsidR="00660C99">
        <w:rPr>
          <w:rFonts w:ascii="Times New Roman" w:hAnsi="Times New Roman" w:cs="Times New Roman"/>
        </w:rPr>
        <w:t>e</w:t>
      </w:r>
      <w:r w:rsidR="00DA04A9" w:rsidRPr="00744721">
        <w:rPr>
          <w:rFonts w:ascii="Times New Roman" w:hAnsi="Times New Roman" w:cs="Times New Roman"/>
        </w:rPr>
        <w:t xml:space="preserve"> information collection.  </w:t>
      </w:r>
    </w:p>
    <w:p w14:paraId="7EABE509" w14:textId="439034B5" w:rsidR="00656815" w:rsidRPr="00744721" w:rsidRDefault="00656815" w:rsidP="009A36C9">
      <w:pPr>
        <w:pStyle w:val="BodyTextIndent2"/>
        <w:spacing w:line="240" w:lineRule="auto"/>
        <w:ind w:firstLine="0"/>
        <w:rPr>
          <w:rFonts w:ascii="Times New Roman" w:hAnsi="Times New Roman" w:cs="Times New Roman"/>
        </w:rPr>
      </w:pPr>
    </w:p>
    <w:p w14:paraId="237E9018" w14:textId="77777777" w:rsidR="00DA04A9" w:rsidRPr="00744721" w:rsidRDefault="00DA04A9" w:rsidP="00F52C85">
      <w:pPr>
        <w:pStyle w:val="BodyTextIndent2"/>
        <w:spacing w:line="240" w:lineRule="auto"/>
        <w:ind w:firstLine="0"/>
        <w:rPr>
          <w:rFonts w:ascii="Times New Roman" w:hAnsi="Times New Roman" w:cs="Times New Roman"/>
        </w:rPr>
      </w:pPr>
      <w:r w:rsidRPr="00744721">
        <w:rPr>
          <w:rFonts w:ascii="Times New Roman" w:hAnsi="Times New Roman" w:cs="Times New Roman"/>
        </w:rPr>
        <w:t xml:space="preserve">Table 1 summarizes the </w:t>
      </w:r>
      <w:r w:rsidR="001A6E5D">
        <w:rPr>
          <w:rFonts w:ascii="Times New Roman" w:hAnsi="Times New Roman" w:cs="Times New Roman"/>
        </w:rPr>
        <w:t xml:space="preserve">current and </w:t>
      </w:r>
      <w:r w:rsidRPr="00744721">
        <w:rPr>
          <w:rFonts w:ascii="Times New Roman" w:hAnsi="Times New Roman" w:cs="Times New Roman"/>
        </w:rPr>
        <w:t xml:space="preserve">new information collection </w:t>
      </w:r>
      <w:r w:rsidR="003C50DE">
        <w:rPr>
          <w:rFonts w:ascii="Times New Roman" w:hAnsi="Times New Roman" w:cs="Times New Roman"/>
        </w:rPr>
        <w:t>burden-hours</w:t>
      </w:r>
      <w:r w:rsidRPr="00744721">
        <w:rPr>
          <w:rFonts w:ascii="Times New Roman" w:hAnsi="Times New Roman" w:cs="Times New Roman"/>
        </w:rPr>
        <w:t>.</w:t>
      </w:r>
    </w:p>
    <w:tbl>
      <w:tblPr>
        <w:tblStyle w:val="TableGrid"/>
        <w:tblW w:w="9484" w:type="dxa"/>
        <w:tblLook w:val="0000" w:firstRow="0" w:lastRow="0" w:firstColumn="0" w:lastColumn="0" w:noHBand="0" w:noVBand="0"/>
      </w:tblPr>
      <w:tblGrid>
        <w:gridCol w:w="6"/>
        <w:gridCol w:w="1362"/>
        <w:gridCol w:w="3600"/>
        <w:gridCol w:w="3001"/>
        <w:gridCol w:w="1515"/>
      </w:tblGrid>
      <w:tr w:rsidR="0084363A" w14:paraId="1C58606C" w14:textId="77777777" w:rsidTr="00105D64">
        <w:trPr>
          <w:trHeight w:val="285"/>
        </w:trPr>
        <w:tc>
          <w:tcPr>
            <w:tcW w:w="9484" w:type="dxa"/>
            <w:gridSpan w:val="5"/>
            <w:vAlign w:val="bottom"/>
          </w:tcPr>
          <w:p w14:paraId="496AAC14" w14:textId="77777777" w:rsidR="0084363A" w:rsidRDefault="0084363A" w:rsidP="00585839">
            <w:pPr>
              <w:rPr>
                <w:rFonts w:ascii="Arial Narrow" w:hAnsi="Arial Narrow" w:cs="Arial"/>
                <w:b/>
                <w:bCs/>
                <w:sz w:val="20"/>
                <w:szCs w:val="20"/>
              </w:rPr>
            </w:pPr>
            <w:r>
              <w:rPr>
                <w:rFonts w:ascii="Arial Narrow" w:hAnsi="Arial Narrow" w:cs="Arial"/>
                <w:b/>
                <w:bCs/>
                <w:sz w:val="20"/>
                <w:szCs w:val="20"/>
              </w:rPr>
              <w:t xml:space="preserve">Table 1: Total Annual Burden-Hours Across the </w:t>
            </w:r>
            <w:r w:rsidR="00A20DB4">
              <w:rPr>
                <w:rFonts w:ascii="Arial Narrow" w:hAnsi="Arial Narrow" w:cs="Arial"/>
                <w:b/>
                <w:bCs/>
                <w:sz w:val="20"/>
                <w:szCs w:val="20"/>
              </w:rPr>
              <w:t xml:space="preserve">543 </w:t>
            </w:r>
            <w:r>
              <w:rPr>
                <w:rFonts w:ascii="Arial Narrow" w:hAnsi="Arial Narrow" w:cs="Arial"/>
                <w:b/>
                <w:bCs/>
                <w:sz w:val="20"/>
                <w:szCs w:val="20"/>
              </w:rPr>
              <w:t>Household Goods Property Brokers</w:t>
            </w:r>
          </w:p>
        </w:tc>
      </w:tr>
      <w:tr w:rsidR="0084363A" w14:paraId="614E09DF" w14:textId="77777777" w:rsidTr="00105D64">
        <w:trPr>
          <w:gridBefore w:val="1"/>
          <w:wBefore w:w="6" w:type="dxa"/>
          <w:trHeight w:val="270"/>
        </w:trPr>
        <w:tc>
          <w:tcPr>
            <w:tcW w:w="1362" w:type="dxa"/>
            <w:vAlign w:val="bottom"/>
            <w:hideMark/>
          </w:tcPr>
          <w:p w14:paraId="0577CAF5" w14:textId="77777777" w:rsidR="0084363A" w:rsidRDefault="0084363A" w:rsidP="00105D64">
            <w:pPr>
              <w:jc w:val="center"/>
              <w:rPr>
                <w:rFonts w:ascii="Arial Narrow" w:hAnsi="Arial Narrow" w:cs="Arial"/>
                <w:b/>
                <w:bCs/>
                <w:sz w:val="20"/>
                <w:szCs w:val="20"/>
              </w:rPr>
            </w:pPr>
            <w:r>
              <w:rPr>
                <w:rFonts w:ascii="Arial Narrow" w:hAnsi="Arial Narrow" w:cs="Arial"/>
                <w:b/>
                <w:bCs/>
                <w:sz w:val="20"/>
                <w:szCs w:val="20"/>
              </w:rPr>
              <w:t>Section</w:t>
            </w:r>
          </w:p>
        </w:tc>
        <w:tc>
          <w:tcPr>
            <w:tcW w:w="3600" w:type="dxa"/>
            <w:vAlign w:val="bottom"/>
            <w:hideMark/>
          </w:tcPr>
          <w:p w14:paraId="5FB1C390" w14:textId="77777777" w:rsidR="0084363A" w:rsidRDefault="0084363A" w:rsidP="00105D64">
            <w:pPr>
              <w:jc w:val="center"/>
              <w:rPr>
                <w:rFonts w:ascii="Arial Narrow" w:hAnsi="Arial Narrow" w:cs="Arial"/>
                <w:b/>
                <w:bCs/>
                <w:sz w:val="20"/>
                <w:szCs w:val="20"/>
              </w:rPr>
            </w:pPr>
            <w:r>
              <w:rPr>
                <w:rFonts w:ascii="Arial Narrow" w:hAnsi="Arial Narrow" w:cs="Arial"/>
                <w:b/>
                <w:bCs/>
                <w:sz w:val="20"/>
                <w:szCs w:val="20"/>
              </w:rPr>
              <w:t>Description</w:t>
            </w:r>
          </w:p>
        </w:tc>
        <w:tc>
          <w:tcPr>
            <w:tcW w:w="3001" w:type="dxa"/>
            <w:vAlign w:val="bottom"/>
            <w:hideMark/>
          </w:tcPr>
          <w:p w14:paraId="41A84BBF" w14:textId="77777777" w:rsidR="0084363A" w:rsidRDefault="0084363A" w:rsidP="00105D64">
            <w:pPr>
              <w:jc w:val="center"/>
              <w:rPr>
                <w:rFonts w:ascii="Arial Narrow" w:hAnsi="Arial Narrow" w:cs="Arial"/>
                <w:b/>
                <w:bCs/>
                <w:sz w:val="20"/>
                <w:szCs w:val="20"/>
              </w:rPr>
            </w:pPr>
            <w:r>
              <w:rPr>
                <w:rFonts w:ascii="Arial Narrow" w:hAnsi="Arial Narrow" w:cs="Arial"/>
                <w:b/>
                <w:bCs/>
                <w:sz w:val="20"/>
                <w:szCs w:val="20"/>
              </w:rPr>
              <w:t>Calculation</w:t>
            </w:r>
          </w:p>
        </w:tc>
        <w:tc>
          <w:tcPr>
            <w:tcW w:w="1515" w:type="dxa"/>
            <w:vAlign w:val="bottom"/>
            <w:hideMark/>
          </w:tcPr>
          <w:p w14:paraId="706EAF75" w14:textId="77777777" w:rsidR="0084363A" w:rsidRDefault="0084363A" w:rsidP="00105D64">
            <w:pPr>
              <w:jc w:val="center"/>
              <w:rPr>
                <w:rFonts w:ascii="Arial Narrow" w:hAnsi="Arial Narrow" w:cs="Arial"/>
                <w:b/>
                <w:bCs/>
                <w:sz w:val="20"/>
                <w:szCs w:val="20"/>
              </w:rPr>
            </w:pPr>
            <w:r>
              <w:rPr>
                <w:rFonts w:ascii="Arial Narrow" w:hAnsi="Arial Narrow" w:cs="Arial"/>
                <w:b/>
                <w:bCs/>
                <w:sz w:val="20"/>
                <w:szCs w:val="20"/>
              </w:rPr>
              <w:t>Hours</w:t>
            </w:r>
          </w:p>
        </w:tc>
      </w:tr>
      <w:tr w:rsidR="0084363A" w14:paraId="50992B5B" w14:textId="77777777" w:rsidTr="00105D64">
        <w:trPr>
          <w:gridBefore w:val="1"/>
          <w:wBefore w:w="6" w:type="dxa"/>
        </w:trPr>
        <w:tc>
          <w:tcPr>
            <w:tcW w:w="1362" w:type="dxa"/>
            <w:vAlign w:val="bottom"/>
            <w:hideMark/>
          </w:tcPr>
          <w:p w14:paraId="09DD9F49" w14:textId="77777777" w:rsidR="0084363A" w:rsidRPr="00105D64" w:rsidRDefault="0084363A">
            <w:pPr>
              <w:jc w:val="right"/>
              <w:rPr>
                <w:rFonts w:ascii="Arial Narrow" w:hAnsi="Arial Narrow" w:cs="Arial"/>
                <w:bCs/>
                <w:sz w:val="20"/>
                <w:szCs w:val="20"/>
              </w:rPr>
            </w:pPr>
            <w:r w:rsidRPr="00105D64">
              <w:rPr>
                <w:rFonts w:ascii="Arial Narrow" w:hAnsi="Arial Narrow" w:cs="Arial"/>
                <w:bCs/>
                <w:sz w:val="20"/>
                <w:szCs w:val="20"/>
              </w:rPr>
              <w:t>371.3</w:t>
            </w:r>
          </w:p>
        </w:tc>
        <w:tc>
          <w:tcPr>
            <w:tcW w:w="3600" w:type="dxa"/>
            <w:vAlign w:val="bottom"/>
            <w:hideMark/>
          </w:tcPr>
          <w:p w14:paraId="16345CE2" w14:textId="77777777" w:rsidR="0084363A" w:rsidRPr="00105D64" w:rsidRDefault="0084363A">
            <w:pPr>
              <w:rPr>
                <w:rFonts w:ascii="Arial Narrow" w:hAnsi="Arial Narrow" w:cs="Arial"/>
                <w:bCs/>
                <w:color w:val="000000"/>
                <w:sz w:val="20"/>
                <w:szCs w:val="20"/>
              </w:rPr>
            </w:pPr>
            <w:r w:rsidRPr="00105D64">
              <w:rPr>
                <w:rFonts w:ascii="Arial Narrow" w:hAnsi="Arial Narrow" w:cs="Arial"/>
                <w:bCs/>
                <w:color w:val="000000"/>
                <w:sz w:val="20"/>
                <w:szCs w:val="20"/>
              </w:rPr>
              <w:t>Household Goods Broker Transactions</w:t>
            </w:r>
          </w:p>
        </w:tc>
        <w:tc>
          <w:tcPr>
            <w:tcW w:w="3001" w:type="dxa"/>
            <w:vAlign w:val="bottom"/>
            <w:hideMark/>
          </w:tcPr>
          <w:p w14:paraId="71DC07C4" w14:textId="77777777" w:rsidR="0084363A" w:rsidRPr="00585839" w:rsidRDefault="0084363A">
            <w:pPr>
              <w:rPr>
                <w:rFonts w:ascii="Arial Narrow" w:hAnsi="Arial Narrow" w:cs="Arial"/>
                <w:sz w:val="20"/>
                <w:szCs w:val="20"/>
              </w:rPr>
            </w:pPr>
            <w:r w:rsidRPr="00585839">
              <w:rPr>
                <w:rFonts w:ascii="Arial Narrow" w:hAnsi="Arial Narrow" w:cs="Arial"/>
                <w:sz w:val="20"/>
                <w:szCs w:val="20"/>
              </w:rPr>
              <w:t xml:space="preserve">15min/day x 240 workdays x </w:t>
            </w:r>
            <w:r w:rsidR="00A20DB4" w:rsidRPr="00585839">
              <w:rPr>
                <w:rFonts w:ascii="Arial Narrow" w:hAnsi="Arial Narrow" w:cs="Arial"/>
                <w:sz w:val="20"/>
                <w:szCs w:val="20"/>
              </w:rPr>
              <w:t>543</w:t>
            </w:r>
          </w:p>
        </w:tc>
        <w:tc>
          <w:tcPr>
            <w:tcW w:w="1515" w:type="dxa"/>
            <w:vAlign w:val="bottom"/>
            <w:hideMark/>
          </w:tcPr>
          <w:p w14:paraId="2122D6DA" w14:textId="77777777" w:rsidR="0084363A" w:rsidRPr="00585839" w:rsidRDefault="00A20DB4" w:rsidP="00105D64">
            <w:pPr>
              <w:rPr>
                <w:rFonts w:ascii="Arial Narrow" w:hAnsi="Arial Narrow" w:cs="Arial"/>
                <w:sz w:val="20"/>
                <w:szCs w:val="20"/>
              </w:rPr>
            </w:pPr>
            <w:r w:rsidRPr="00585839">
              <w:rPr>
                <w:rFonts w:ascii="Arial Narrow" w:hAnsi="Arial Narrow" w:cs="Arial"/>
                <w:sz w:val="20"/>
                <w:szCs w:val="20"/>
              </w:rPr>
              <w:t>32,580</w:t>
            </w:r>
          </w:p>
        </w:tc>
      </w:tr>
      <w:tr w:rsidR="0084363A" w14:paraId="035D09E8" w14:textId="77777777" w:rsidTr="00105D64">
        <w:trPr>
          <w:gridBefore w:val="1"/>
          <w:wBefore w:w="6" w:type="dxa"/>
        </w:trPr>
        <w:tc>
          <w:tcPr>
            <w:tcW w:w="1362" w:type="dxa"/>
            <w:vAlign w:val="bottom"/>
            <w:hideMark/>
          </w:tcPr>
          <w:p w14:paraId="1F212AD0" w14:textId="77777777" w:rsidR="0084363A" w:rsidRPr="00105D64" w:rsidRDefault="0084363A">
            <w:pPr>
              <w:jc w:val="right"/>
              <w:rPr>
                <w:rFonts w:ascii="Arial Narrow" w:hAnsi="Arial Narrow" w:cs="Arial"/>
                <w:bCs/>
                <w:sz w:val="20"/>
                <w:szCs w:val="20"/>
              </w:rPr>
            </w:pPr>
            <w:r w:rsidRPr="00105D64">
              <w:rPr>
                <w:rFonts w:ascii="Arial Narrow" w:hAnsi="Arial Narrow" w:cs="Arial"/>
                <w:bCs/>
                <w:sz w:val="20"/>
                <w:szCs w:val="20"/>
              </w:rPr>
              <w:t>371.13</w:t>
            </w:r>
          </w:p>
        </w:tc>
        <w:tc>
          <w:tcPr>
            <w:tcW w:w="3600" w:type="dxa"/>
            <w:vAlign w:val="bottom"/>
            <w:hideMark/>
          </w:tcPr>
          <w:p w14:paraId="56741E7D" w14:textId="77777777" w:rsidR="0084363A" w:rsidRPr="00105D64" w:rsidRDefault="00EF2D74">
            <w:pPr>
              <w:rPr>
                <w:rFonts w:ascii="Arial Narrow" w:hAnsi="Arial Narrow" w:cs="Arial"/>
                <w:bCs/>
                <w:color w:val="000000"/>
                <w:sz w:val="20"/>
                <w:szCs w:val="20"/>
              </w:rPr>
            </w:pPr>
            <w:r w:rsidRPr="00105D64">
              <w:rPr>
                <w:rFonts w:ascii="Arial Narrow" w:hAnsi="Arial Narrow" w:cs="Arial"/>
                <w:bCs/>
                <w:color w:val="000000"/>
                <w:sz w:val="20"/>
                <w:szCs w:val="20"/>
              </w:rPr>
              <w:t xml:space="preserve">Removed </w:t>
            </w:r>
            <w:r w:rsidR="0084363A" w:rsidRPr="00105D64">
              <w:rPr>
                <w:rFonts w:ascii="Arial Narrow" w:hAnsi="Arial Narrow" w:cs="Arial"/>
                <w:bCs/>
                <w:color w:val="000000"/>
                <w:sz w:val="20"/>
                <w:szCs w:val="20"/>
              </w:rPr>
              <w:t>Separate Accounting System</w:t>
            </w:r>
          </w:p>
        </w:tc>
        <w:tc>
          <w:tcPr>
            <w:tcW w:w="3001" w:type="dxa"/>
            <w:vAlign w:val="bottom"/>
            <w:hideMark/>
          </w:tcPr>
          <w:p w14:paraId="3FC292B4" w14:textId="77777777" w:rsidR="0084363A" w:rsidRPr="00585839" w:rsidRDefault="00EF2D74">
            <w:pPr>
              <w:rPr>
                <w:rFonts w:ascii="Arial Narrow" w:hAnsi="Arial Narrow" w:cs="Arial"/>
                <w:sz w:val="20"/>
                <w:szCs w:val="20"/>
              </w:rPr>
            </w:pPr>
            <w:r w:rsidRPr="00585839">
              <w:rPr>
                <w:rFonts w:ascii="Arial Narrow" w:hAnsi="Arial Narrow" w:cs="Arial"/>
                <w:sz w:val="20"/>
                <w:szCs w:val="20"/>
              </w:rPr>
              <w:t>Removed</w:t>
            </w:r>
          </w:p>
        </w:tc>
        <w:tc>
          <w:tcPr>
            <w:tcW w:w="1515" w:type="dxa"/>
            <w:vAlign w:val="bottom"/>
            <w:hideMark/>
          </w:tcPr>
          <w:p w14:paraId="2682CF72" w14:textId="77777777" w:rsidR="0084363A" w:rsidRPr="00585839" w:rsidRDefault="00EF2D74" w:rsidP="00105D64">
            <w:pPr>
              <w:rPr>
                <w:rFonts w:ascii="Arial Narrow" w:hAnsi="Arial Narrow" w:cs="Arial"/>
                <w:sz w:val="20"/>
                <w:szCs w:val="20"/>
              </w:rPr>
            </w:pPr>
            <w:r w:rsidRPr="00585839">
              <w:rPr>
                <w:rFonts w:ascii="Arial Narrow" w:hAnsi="Arial Narrow" w:cs="Arial"/>
                <w:sz w:val="20"/>
                <w:szCs w:val="20"/>
              </w:rPr>
              <w:t>0</w:t>
            </w:r>
          </w:p>
        </w:tc>
      </w:tr>
      <w:tr w:rsidR="0084363A" w14:paraId="3F177696" w14:textId="77777777" w:rsidTr="00105D64">
        <w:trPr>
          <w:gridBefore w:val="1"/>
          <w:wBefore w:w="6" w:type="dxa"/>
        </w:trPr>
        <w:tc>
          <w:tcPr>
            <w:tcW w:w="1362" w:type="dxa"/>
            <w:vAlign w:val="bottom"/>
            <w:hideMark/>
          </w:tcPr>
          <w:p w14:paraId="2351B351" w14:textId="77777777" w:rsidR="0084363A" w:rsidRPr="00105D64" w:rsidRDefault="0084363A">
            <w:pPr>
              <w:jc w:val="right"/>
              <w:rPr>
                <w:rFonts w:ascii="Arial Narrow" w:hAnsi="Arial Narrow" w:cs="Arial"/>
                <w:bCs/>
                <w:sz w:val="20"/>
                <w:szCs w:val="20"/>
              </w:rPr>
            </w:pPr>
            <w:r w:rsidRPr="00105D64">
              <w:rPr>
                <w:rFonts w:ascii="Arial Narrow" w:hAnsi="Arial Narrow" w:cs="Arial"/>
                <w:bCs/>
                <w:sz w:val="20"/>
                <w:szCs w:val="20"/>
              </w:rPr>
              <w:t>371.107</w:t>
            </w:r>
          </w:p>
        </w:tc>
        <w:tc>
          <w:tcPr>
            <w:tcW w:w="3600" w:type="dxa"/>
            <w:vAlign w:val="bottom"/>
            <w:hideMark/>
          </w:tcPr>
          <w:p w14:paraId="10590072" w14:textId="77777777" w:rsidR="0084363A" w:rsidRPr="00105D64" w:rsidRDefault="0084363A">
            <w:pPr>
              <w:rPr>
                <w:rFonts w:ascii="Arial Narrow" w:hAnsi="Arial Narrow" w:cs="Arial"/>
                <w:bCs/>
                <w:sz w:val="20"/>
                <w:szCs w:val="20"/>
              </w:rPr>
            </w:pPr>
            <w:r w:rsidRPr="00105D64">
              <w:rPr>
                <w:rFonts w:ascii="Arial Narrow" w:hAnsi="Arial Narrow" w:cs="Arial"/>
                <w:bCs/>
                <w:sz w:val="20"/>
                <w:szCs w:val="20"/>
              </w:rPr>
              <w:t>Website/Ad Modification</w:t>
            </w:r>
          </w:p>
        </w:tc>
        <w:tc>
          <w:tcPr>
            <w:tcW w:w="3001" w:type="dxa"/>
            <w:vAlign w:val="bottom"/>
            <w:hideMark/>
          </w:tcPr>
          <w:p w14:paraId="4172DCF9" w14:textId="77777777" w:rsidR="0084363A" w:rsidRPr="00585839" w:rsidRDefault="0084363A">
            <w:pPr>
              <w:rPr>
                <w:rFonts w:ascii="Arial Narrow" w:hAnsi="Arial Narrow" w:cs="Arial"/>
                <w:sz w:val="20"/>
                <w:szCs w:val="20"/>
              </w:rPr>
            </w:pPr>
            <w:r w:rsidRPr="00585839">
              <w:rPr>
                <w:rFonts w:ascii="Arial Narrow" w:hAnsi="Arial Narrow" w:cs="Arial"/>
                <w:sz w:val="20"/>
                <w:szCs w:val="20"/>
              </w:rPr>
              <w:t xml:space="preserve">20hr x </w:t>
            </w:r>
            <w:r w:rsidR="00A20DB4" w:rsidRPr="00585839">
              <w:rPr>
                <w:rFonts w:ascii="Arial Narrow" w:hAnsi="Arial Narrow" w:cs="Arial"/>
                <w:sz w:val="20"/>
                <w:szCs w:val="20"/>
              </w:rPr>
              <w:t>543</w:t>
            </w:r>
          </w:p>
        </w:tc>
        <w:tc>
          <w:tcPr>
            <w:tcW w:w="1515" w:type="dxa"/>
            <w:vAlign w:val="bottom"/>
            <w:hideMark/>
          </w:tcPr>
          <w:p w14:paraId="6E9401D7" w14:textId="77777777" w:rsidR="0084363A" w:rsidRPr="00585839" w:rsidRDefault="00A20DB4" w:rsidP="00105D64">
            <w:pPr>
              <w:rPr>
                <w:rFonts w:ascii="Arial Narrow" w:hAnsi="Arial Narrow" w:cs="Arial"/>
                <w:sz w:val="20"/>
                <w:szCs w:val="20"/>
              </w:rPr>
            </w:pPr>
            <w:r w:rsidRPr="00585839">
              <w:rPr>
                <w:rFonts w:ascii="Arial Narrow" w:hAnsi="Arial Narrow" w:cs="Arial"/>
                <w:sz w:val="20"/>
                <w:szCs w:val="20"/>
              </w:rPr>
              <w:t>10,860</w:t>
            </w:r>
          </w:p>
        </w:tc>
      </w:tr>
      <w:tr w:rsidR="0084363A" w14:paraId="38D55B2B" w14:textId="77777777" w:rsidTr="00105D64">
        <w:trPr>
          <w:gridBefore w:val="1"/>
          <w:wBefore w:w="6" w:type="dxa"/>
        </w:trPr>
        <w:tc>
          <w:tcPr>
            <w:tcW w:w="1362" w:type="dxa"/>
            <w:vAlign w:val="bottom"/>
            <w:hideMark/>
          </w:tcPr>
          <w:p w14:paraId="022D3E79" w14:textId="77777777" w:rsidR="0084363A" w:rsidRPr="00105D64" w:rsidRDefault="0084363A">
            <w:pPr>
              <w:jc w:val="right"/>
              <w:rPr>
                <w:rFonts w:ascii="Arial Narrow" w:hAnsi="Arial Narrow" w:cs="Arial"/>
                <w:bCs/>
                <w:sz w:val="20"/>
                <w:szCs w:val="20"/>
              </w:rPr>
            </w:pPr>
            <w:r w:rsidRPr="00105D64">
              <w:rPr>
                <w:rFonts w:ascii="Arial Narrow" w:hAnsi="Arial Narrow" w:cs="Arial"/>
                <w:bCs/>
                <w:sz w:val="20"/>
                <w:szCs w:val="20"/>
              </w:rPr>
              <w:t>371.109</w:t>
            </w:r>
          </w:p>
        </w:tc>
        <w:tc>
          <w:tcPr>
            <w:tcW w:w="3600" w:type="dxa"/>
            <w:vAlign w:val="bottom"/>
            <w:hideMark/>
          </w:tcPr>
          <w:p w14:paraId="1CC2639A" w14:textId="77777777" w:rsidR="0084363A" w:rsidRPr="00105D64" w:rsidRDefault="0084363A">
            <w:pPr>
              <w:rPr>
                <w:rFonts w:ascii="Arial Narrow" w:hAnsi="Arial Narrow" w:cs="Arial"/>
                <w:bCs/>
                <w:sz w:val="20"/>
                <w:szCs w:val="20"/>
              </w:rPr>
            </w:pPr>
            <w:r w:rsidRPr="00105D64">
              <w:rPr>
                <w:rFonts w:ascii="Arial Narrow" w:hAnsi="Arial Narrow" w:cs="Arial"/>
                <w:bCs/>
                <w:sz w:val="20"/>
                <w:szCs w:val="20"/>
              </w:rPr>
              <w:t>Create A List of Carriers</w:t>
            </w:r>
          </w:p>
        </w:tc>
        <w:tc>
          <w:tcPr>
            <w:tcW w:w="3001" w:type="dxa"/>
            <w:vAlign w:val="bottom"/>
            <w:hideMark/>
          </w:tcPr>
          <w:p w14:paraId="6873D4E6" w14:textId="77777777" w:rsidR="0084363A" w:rsidRPr="00585839" w:rsidRDefault="0084363A">
            <w:pPr>
              <w:rPr>
                <w:rFonts w:ascii="Arial Narrow" w:hAnsi="Arial Narrow" w:cs="Arial"/>
                <w:sz w:val="20"/>
                <w:szCs w:val="20"/>
              </w:rPr>
            </w:pPr>
            <w:r w:rsidRPr="00585839">
              <w:rPr>
                <w:rFonts w:ascii="Arial Narrow" w:hAnsi="Arial Narrow" w:cs="Arial"/>
                <w:sz w:val="20"/>
                <w:szCs w:val="20"/>
              </w:rPr>
              <w:t xml:space="preserve">10hr x </w:t>
            </w:r>
            <w:r w:rsidR="00A20DB4" w:rsidRPr="00585839">
              <w:rPr>
                <w:rFonts w:ascii="Arial Narrow" w:hAnsi="Arial Narrow" w:cs="Arial"/>
                <w:sz w:val="20"/>
                <w:szCs w:val="20"/>
              </w:rPr>
              <w:t>543</w:t>
            </w:r>
          </w:p>
        </w:tc>
        <w:tc>
          <w:tcPr>
            <w:tcW w:w="1515" w:type="dxa"/>
            <w:vAlign w:val="bottom"/>
            <w:hideMark/>
          </w:tcPr>
          <w:p w14:paraId="3EBB771D" w14:textId="77777777" w:rsidR="0084363A" w:rsidRPr="00585839" w:rsidRDefault="00A20DB4" w:rsidP="00105D64">
            <w:pPr>
              <w:rPr>
                <w:rFonts w:ascii="Arial Narrow" w:hAnsi="Arial Narrow" w:cs="Arial"/>
                <w:sz w:val="20"/>
                <w:szCs w:val="20"/>
              </w:rPr>
            </w:pPr>
            <w:r w:rsidRPr="00585839">
              <w:rPr>
                <w:rFonts w:ascii="Arial Narrow" w:hAnsi="Arial Narrow" w:cs="Arial"/>
                <w:sz w:val="20"/>
                <w:szCs w:val="20"/>
              </w:rPr>
              <w:t>5,430</w:t>
            </w:r>
          </w:p>
        </w:tc>
      </w:tr>
      <w:tr w:rsidR="0084363A" w14:paraId="12000866" w14:textId="77777777" w:rsidTr="00105D64">
        <w:trPr>
          <w:gridBefore w:val="1"/>
          <w:wBefore w:w="6" w:type="dxa"/>
          <w:trHeight w:val="216"/>
        </w:trPr>
        <w:tc>
          <w:tcPr>
            <w:tcW w:w="1362" w:type="dxa"/>
            <w:vAlign w:val="bottom"/>
            <w:hideMark/>
          </w:tcPr>
          <w:p w14:paraId="6C174CF8" w14:textId="77777777" w:rsidR="0084363A" w:rsidRPr="00105D64" w:rsidRDefault="006C4101" w:rsidP="00105D64">
            <w:pPr>
              <w:jc w:val="right"/>
              <w:rPr>
                <w:rFonts w:ascii="Arial Narrow" w:hAnsi="Arial Narrow" w:cs="Arial"/>
                <w:bCs/>
                <w:sz w:val="20"/>
                <w:szCs w:val="20"/>
              </w:rPr>
            </w:pPr>
            <w:r w:rsidRPr="00105D64">
              <w:rPr>
                <w:rFonts w:ascii="Arial Narrow" w:hAnsi="Arial Narrow" w:cs="Arial"/>
                <w:bCs/>
                <w:sz w:val="20"/>
                <w:szCs w:val="20"/>
              </w:rPr>
              <w:t xml:space="preserve">       </w:t>
            </w:r>
            <w:r w:rsidR="0084363A" w:rsidRPr="00105D64">
              <w:rPr>
                <w:rFonts w:ascii="Arial Narrow" w:hAnsi="Arial Narrow" w:cs="Arial"/>
                <w:bCs/>
                <w:sz w:val="20"/>
                <w:szCs w:val="20"/>
              </w:rPr>
              <w:t>371.111(c)</w:t>
            </w:r>
          </w:p>
        </w:tc>
        <w:tc>
          <w:tcPr>
            <w:tcW w:w="3600" w:type="dxa"/>
            <w:vAlign w:val="bottom"/>
            <w:hideMark/>
          </w:tcPr>
          <w:p w14:paraId="54F0C9D1" w14:textId="77777777" w:rsidR="0084363A" w:rsidRPr="00105D64" w:rsidRDefault="0084363A">
            <w:pPr>
              <w:rPr>
                <w:rFonts w:ascii="Arial Narrow" w:hAnsi="Arial Narrow" w:cs="Arial"/>
                <w:bCs/>
                <w:sz w:val="20"/>
                <w:szCs w:val="20"/>
              </w:rPr>
            </w:pPr>
            <w:r w:rsidRPr="00105D64">
              <w:rPr>
                <w:rFonts w:ascii="Arial Narrow" w:hAnsi="Arial Narrow" w:cs="Arial"/>
                <w:bCs/>
                <w:sz w:val="20"/>
                <w:szCs w:val="20"/>
              </w:rPr>
              <w:t>Confirming Required Info</w:t>
            </w:r>
          </w:p>
        </w:tc>
        <w:tc>
          <w:tcPr>
            <w:tcW w:w="3001" w:type="dxa"/>
            <w:vAlign w:val="bottom"/>
            <w:hideMark/>
          </w:tcPr>
          <w:p w14:paraId="347B3D5B" w14:textId="77777777" w:rsidR="0084363A" w:rsidRPr="00585839" w:rsidRDefault="0084363A">
            <w:pPr>
              <w:rPr>
                <w:rFonts w:ascii="Arial Narrow" w:hAnsi="Arial Narrow" w:cs="Arial"/>
                <w:sz w:val="20"/>
                <w:szCs w:val="20"/>
              </w:rPr>
            </w:pPr>
            <w:r w:rsidRPr="00585839">
              <w:rPr>
                <w:rFonts w:ascii="Arial Narrow" w:hAnsi="Arial Narrow" w:cs="Arial"/>
                <w:sz w:val="20"/>
                <w:szCs w:val="20"/>
              </w:rPr>
              <w:t xml:space="preserve">0.5hr/month x 12 x </w:t>
            </w:r>
            <w:r w:rsidR="00A20DB4" w:rsidRPr="00585839">
              <w:rPr>
                <w:rFonts w:ascii="Arial Narrow" w:hAnsi="Arial Narrow" w:cs="Arial"/>
                <w:sz w:val="20"/>
                <w:szCs w:val="20"/>
              </w:rPr>
              <w:t>543</w:t>
            </w:r>
          </w:p>
        </w:tc>
        <w:tc>
          <w:tcPr>
            <w:tcW w:w="1515" w:type="dxa"/>
            <w:vAlign w:val="bottom"/>
            <w:hideMark/>
          </w:tcPr>
          <w:p w14:paraId="76ED8B25" w14:textId="77777777" w:rsidR="0084363A" w:rsidRPr="00585839" w:rsidRDefault="00A20DB4" w:rsidP="00105D64">
            <w:pPr>
              <w:rPr>
                <w:rFonts w:ascii="Arial Narrow" w:hAnsi="Arial Narrow" w:cs="Arial"/>
                <w:sz w:val="20"/>
                <w:szCs w:val="20"/>
              </w:rPr>
            </w:pPr>
            <w:r w:rsidRPr="00585839">
              <w:rPr>
                <w:rFonts w:ascii="Arial Narrow" w:hAnsi="Arial Narrow" w:cs="Arial"/>
                <w:sz w:val="20"/>
                <w:szCs w:val="20"/>
              </w:rPr>
              <w:t>3,258</w:t>
            </w:r>
          </w:p>
        </w:tc>
      </w:tr>
      <w:tr w:rsidR="0084363A" w14:paraId="3B01FBEF" w14:textId="77777777" w:rsidTr="00105D64">
        <w:trPr>
          <w:gridBefore w:val="1"/>
          <w:wBefore w:w="6" w:type="dxa"/>
        </w:trPr>
        <w:tc>
          <w:tcPr>
            <w:tcW w:w="1362" w:type="dxa"/>
            <w:vAlign w:val="bottom"/>
            <w:hideMark/>
          </w:tcPr>
          <w:p w14:paraId="264EF192" w14:textId="77777777" w:rsidR="0084363A" w:rsidRPr="00105D64" w:rsidRDefault="0084363A">
            <w:pPr>
              <w:jc w:val="right"/>
              <w:rPr>
                <w:rFonts w:ascii="Arial Narrow" w:hAnsi="Arial Narrow" w:cs="Arial"/>
                <w:bCs/>
                <w:sz w:val="20"/>
                <w:szCs w:val="20"/>
              </w:rPr>
            </w:pPr>
            <w:r w:rsidRPr="00105D64">
              <w:rPr>
                <w:rFonts w:ascii="Arial Narrow" w:hAnsi="Arial Narrow" w:cs="Arial"/>
                <w:bCs/>
                <w:sz w:val="20"/>
                <w:szCs w:val="20"/>
              </w:rPr>
              <w:t>371.113</w:t>
            </w:r>
          </w:p>
        </w:tc>
        <w:tc>
          <w:tcPr>
            <w:tcW w:w="3600" w:type="dxa"/>
            <w:vAlign w:val="bottom"/>
            <w:hideMark/>
          </w:tcPr>
          <w:p w14:paraId="3D963093" w14:textId="77777777" w:rsidR="0084363A" w:rsidRPr="00105D64" w:rsidRDefault="0084363A">
            <w:pPr>
              <w:rPr>
                <w:rFonts w:ascii="Arial Narrow" w:hAnsi="Arial Narrow" w:cs="Arial"/>
                <w:bCs/>
                <w:sz w:val="20"/>
                <w:szCs w:val="20"/>
              </w:rPr>
            </w:pPr>
            <w:r w:rsidRPr="00105D64">
              <w:rPr>
                <w:rFonts w:ascii="Arial Narrow" w:hAnsi="Arial Narrow" w:cs="Arial"/>
                <w:bCs/>
                <w:sz w:val="20"/>
                <w:szCs w:val="20"/>
              </w:rPr>
              <w:t>Explanation of Waiver-Agreement</w:t>
            </w:r>
          </w:p>
        </w:tc>
        <w:tc>
          <w:tcPr>
            <w:tcW w:w="3001" w:type="dxa"/>
            <w:vAlign w:val="bottom"/>
            <w:hideMark/>
          </w:tcPr>
          <w:p w14:paraId="45D25CA1" w14:textId="77777777" w:rsidR="0084363A" w:rsidRPr="00585839" w:rsidRDefault="0084363A">
            <w:pPr>
              <w:rPr>
                <w:rFonts w:ascii="Arial Narrow" w:hAnsi="Arial Narrow" w:cs="Arial"/>
                <w:sz w:val="20"/>
                <w:szCs w:val="20"/>
              </w:rPr>
            </w:pPr>
            <w:r w:rsidRPr="00585839">
              <w:rPr>
                <w:rFonts w:ascii="Arial Narrow" w:hAnsi="Arial Narrow" w:cs="Arial"/>
                <w:sz w:val="20"/>
                <w:szCs w:val="20"/>
              </w:rPr>
              <w:t>(1/12)hr x 20,000 explanations</w:t>
            </w:r>
          </w:p>
        </w:tc>
        <w:tc>
          <w:tcPr>
            <w:tcW w:w="1515" w:type="dxa"/>
            <w:vAlign w:val="bottom"/>
            <w:hideMark/>
          </w:tcPr>
          <w:p w14:paraId="3238758A" w14:textId="77777777" w:rsidR="0084363A" w:rsidRPr="00585839" w:rsidRDefault="0084363A" w:rsidP="00105D64">
            <w:pPr>
              <w:rPr>
                <w:rFonts w:ascii="Arial Narrow" w:hAnsi="Arial Narrow" w:cs="Arial"/>
                <w:sz w:val="20"/>
                <w:szCs w:val="20"/>
              </w:rPr>
            </w:pPr>
            <w:r w:rsidRPr="00585839">
              <w:rPr>
                <w:rFonts w:ascii="Arial Narrow" w:hAnsi="Arial Narrow" w:cs="Arial"/>
                <w:sz w:val="20"/>
                <w:szCs w:val="20"/>
              </w:rPr>
              <w:t>1,667</w:t>
            </w:r>
          </w:p>
        </w:tc>
      </w:tr>
      <w:tr w:rsidR="0084363A" w14:paraId="1991A5CE" w14:textId="77777777" w:rsidTr="00105D64">
        <w:trPr>
          <w:gridBefore w:val="1"/>
          <w:wBefore w:w="6" w:type="dxa"/>
        </w:trPr>
        <w:tc>
          <w:tcPr>
            <w:tcW w:w="1362" w:type="dxa"/>
            <w:vAlign w:val="bottom"/>
            <w:hideMark/>
          </w:tcPr>
          <w:p w14:paraId="562AE0A1" w14:textId="77777777" w:rsidR="0084363A" w:rsidRPr="00105D64" w:rsidRDefault="0084363A">
            <w:pPr>
              <w:jc w:val="right"/>
              <w:rPr>
                <w:rFonts w:ascii="Arial Narrow" w:hAnsi="Arial Narrow" w:cs="Arial"/>
                <w:bCs/>
                <w:sz w:val="20"/>
                <w:szCs w:val="20"/>
              </w:rPr>
            </w:pPr>
            <w:r w:rsidRPr="00105D64">
              <w:rPr>
                <w:rFonts w:ascii="Arial Narrow" w:hAnsi="Arial Narrow" w:cs="Arial"/>
                <w:bCs/>
                <w:sz w:val="20"/>
                <w:szCs w:val="20"/>
              </w:rPr>
              <w:t>371.115</w:t>
            </w:r>
          </w:p>
        </w:tc>
        <w:tc>
          <w:tcPr>
            <w:tcW w:w="3600" w:type="dxa"/>
            <w:vAlign w:val="bottom"/>
            <w:hideMark/>
          </w:tcPr>
          <w:p w14:paraId="45F87467" w14:textId="77777777" w:rsidR="0084363A" w:rsidRPr="00105D64" w:rsidRDefault="0084363A">
            <w:pPr>
              <w:rPr>
                <w:rFonts w:ascii="Arial Narrow" w:hAnsi="Arial Narrow" w:cs="Arial"/>
                <w:bCs/>
                <w:sz w:val="20"/>
                <w:szCs w:val="20"/>
              </w:rPr>
            </w:pPr>
            <w:r w:rsidRPr="00105D64">
              <w:rPr>
                <w:rFonts w:ascii="Arial Narrow" w:hAnsi="Arial Narrow" w:cs="Arial"/>
                <w:bCs/>
                <w:sz w:val="20"/>
                <w:szCs w:val="20"/>
              </w:rPr>
              <w:t>Annual Agreements Through Turnover</w:t>
            </w:r>
          </w:p>
        </w:tc>
        <w:tc>
          <w:tcPr>
            <w:tcW w:w="3001" w:type="dxa"/>
            <w:vAlign w:val="bottom"/>
            <w:hideMark/>
          </w:tcPr>
          <w:p w14:paraId="67966D2E" w14:textId="77777777" w:rsidR="0084363A" w:rsidRPr="00585839" w:rsidRDefault="0084363A">
            <w:pPr>
              <w:rPr>
                <w:rFonts w:ascii="Arial Narrow" w:hAnsi="Arial Narrow" w:cs="Arial"/>
                <w:sz w:val="20"/>
                <w:szCs w:val="20"/>
              </w:rPr>
            </w:pPr>
            <w:r w:rsidRPr="00585839">
              <w:rPr>
                <w:rFonts w:ascii="Arial Narrow" w:hAnsi="Arial Narrow" w:cs="Arial"/>
                <w:sz w:val="20"/>
                <w:szCs w:val="20"/>
              </w:rPr>
              <w:t xml:space="preserve">4 hrs x 5 agreements x </w:t>
            </w:r>
            <w:r w:rsidR="00F37D52" w:rsidRPr="00585839">
              <w:rPr>
                <w:rFonts w:ascii="Arial Narrow" w:hAnsi="Arial Narrow" w:cs="Arial"/>
                <w:sz w:val="20"/>
                <w:szCs w:val="20"/>
              </w:rPr>
              <w:t>543</w:t>
            </w:r>
          </w:p>
        </w:tc>
        <w:tc>
          <w:tcPr>
            <w:tcW w:w="1515" w:type="dxa"/>
            <w:vAlign w:val="bottom"/>
            <w:hideMark/>
          </w:tcPr>
          <w:p w14:paraId="10E76EC8" w14:textId="77777777" w:rsidR="0084363A" w:rsidRPr="00585839" w:rsidRDefault="00F37D52" w:rsidP="00105D64">
            <w:pPr>
              <w:rPr>
                <w:rFonts w:ascii="Arial Narrow" w:hAnsi="Arial Narrow" w:cs="Arial"/>
                <w:sz w:val="20"/>
                <w:szCs w:val="20"/>
              </w:rPr>
            </w:pPr>
            <w:r w:rsidRPr="00585839">
              <w:rPr>
                <w:rFonts w:ascii="Arial Narrow" w:hAnsi="Arial Narrow" w:cs="Arial"/>
                <w:sz w:val="20"/>
                <w:szCs w:val="20"/>
              </w:rPr>
              <w:t>10,860</w:t>
            </w:r>
          </w:p>
        </w:tc>
      </w:tr>
      <w:tr w:rsidR="0084363A" w14:paraId="2CEED4E6" w14:textId="77777777" w:rsidTr="00105D64">
        <w:trPr>
          <w:gridBefore w:val="1"/>
          <w:wBefore w:w="6" w:type="dxa"/>
        </w:trPr>
        <w:tc>
          <w:tcPr>
            <w:tcW w:w="1362" w:type="dxa"/>
            <w:vAlign w:val="bottom"/>
            <w:hideMark/>
          </w:tcPr>
          <w:p w14:paraId="03929DB1" w14:textId="77777777" w:rsidR="0084363A" w:rsidRPr="00105D64" w:rsidRDefault="0084363A">
            <w:pPr>
              <w:jc w:val="right"/>
              <w:rPr>
                <w:rFonts w:ascii="Arial Narrow" w:hAnsi="Arial Narrow" w:cs="Arial"/>
                <w:bCs/>
                <w:sz w:val="20"/>
                <w:szCs w:val="20"/>
              </w:rPr>
            </w:pPr>
            <w:r w:rsidRPr="00105D64">
              <w:rPr>
                <w:rFonts w:ascii="Arial Narrow" w:hAnsi="Arial Narrow" w:cs="Arial"/>
                <w:bCs/>
                <w:sz w:val="20"/>
                <w:szCs w:val="20"/>
              </w:rPr>
              <w:t>371.117</w:t>
            </w:r>
          </w:p>
        </w:tc>
        <w:tc>
          <w:tcPr>
            <w:tcW w:w="3600" w:type="dxa"/>
            <w:vAlign w:val="bottom"/>
            <w:hideMark/>
          </w:tcPr>
          <w:p w14:paraId="2AB83837" w14:textId="77777777" w:rsidR="0084363A" w:rsidRPr="00105D64" w:rsidRDefault="0084363A">
            <w:pPr>
              <w:rPr>
                <w:rFonts w:ascii="Arial Narrow" w:hAnsi="Arial Narrow" w:cs="Arial"/>
                <w:bCs/>
                <w:sz w:val="20"/>
                <w:szCs w:val="20"/>
              </w:rPr>
            </w:pPr>
            <w:r w:rsidRPr="00105D64">
              <w:rPr>
                <w:rFonts w:ascii="Arial Narrow" w:hAnsi="Arial Narrow" w:cs="Arial"/>
                <w:bCs/>
                <w:sz w:val="20"/>
                <w:szCs w:val="20"/>
              </w:rPr>
              <w:t>Disclosure and Records</w:t>
            </w:r>
          </w:p>
        </w:tc>
        <w:tc>
          <w:tcPr>
            <w:tcW w:w="3001" w:type="dxa"/>
            <w:vAlign w:val="bottom"/>
            <w:hideMark/>
          </w:tcPr>
          <w:p w14:paraId="78515032" w14:textId="77777777" w:rsidR="0084363A" w:rsidRPr="00585839" w:rsidRDefault="0084363A">
            <w:pPr>
              <w:rPr>
                <w:rFonts w:ascii="Arial Narrow" w:hAnsi="Arial Narrow" w:cs="Arial"/>
                <w:sz w:val="20"/>
                <w:szCs w:val="20"/>
              </w:rPr>
            </w:pPr>
            <w:r w:rsidRPr="00585839">
              <w:rPr>
                <w:rFonts w:ascii="Arial Narrow" w:hAnsi="Arial Narrow" w:cs="Arial"/>
                <w:sz w:val="20"/>
                <w:szCs w:val="20"/>
              </w:rPr>
              <w:t xml:space="preserve">10hr x </w:t>
            </w:r>
            <w:r w:rsidR="00F37D52" w:rsidRPr="00585839">
              <w:rPr>
                <w:rFonts w:ascii="Arial Narrow" w:hAnsi="Arial Narrow" w:cs="Arial"/>
                <w:sz w:val="20"/>
                <w:szCs w:val="20"/>
              </w:rPr>
              <w:t>543</w:t>
            </w:r>
          </w:p>
        </w:tc>
        <w:tc>
          <w:tcPr>
            <w:tcW w:w="1515" w:type="dxa"/>
            <w:vAlign w:val="bottom"/>
            <w:hideMark/>
          </w:tcPr>
          <w:p w14:paraId="627E9389" w14:textId="77777777" w:rsidR="0084363A" w:rsidRPr="00585839" w:rsidRDefault="00F37D52" w:rsidP="00105D64">
            <w:pPr>
              <w:rPr>
                <w:rFonts w:ascii="Arial Narrow" w:hAnsi="Arial Narrow" w:cs="Arial"/>
                <w:sz w:val="20"/>
                <w:szCs w:val="20"/>
              </w:rPr>
            </w:pPr>
            <w:r w:rsidRPr="00585839">
              <w:rPr>
                <w:rFonts w:ascii="Arial Narrow" w:hAnsi="Arial Narrow" w:cs="Arial"/>
                <w:sz w:val="20"/>
                <w:szCs w:val="20"/>
              </w:rPr>
              <w:t>5,430</w:t>
            </w:r>
          </w:p>
        </w:tc>
      </w:tr>
      <w:tr w:rsidR="0084363A" w14:paraId="29491A16" w14:textId="77777777" w:rsidTr="00105D64">
        <w:trPr>
          <w:gridBefore w:val="1"/>
          <w:wBefore w:w="6" w:type="dxa"/>
          <w:trHeight w:val="270"/>
        </w:trPr>
        <w:tc>
          <w:tcPr>
            <w:tcW w:w="1362" w:type="dxa"/>
            <w:vAlign w:val="bottom"/>
            <w:hideMark/>
          </w:tcPr>
          <w:p w14:paraId="616A4522" w14:textId="77777777" w:rsidR="0084363A" w:rsidRDefault="0084363A">
            <w:pPr>
              <w:rPr>
                <w:rFonts w:ascii="Arial Narrow" w:hAnsi="Arial Narrow" w:cs="Arial"/>
                <w:b/>
                <w:bCs/>
                <w:sz w:val="20"/>
                <w:szCs w:val="20"/>
              </w:rPr>
            </w:pPr>
            <w:r>
              <w:rPr>
                <w:rFonts w:ascii="Arial Narrow" w:hAnsi="Arial Narrow" w:cs="Arial"/>
                <w:b/>
                <w:bCs/>
                <w:sz w:val="20"/>
                <w:szCs w:val="20"/>
              </w:rPr>
              <w:t> </w:t>
            </w:r>
          </w:p>
        </w:tc>
        <w:tc>
          <w:tcPr>
            <w:tcW w:w="3600" w:type="dxa"/>
            <w:vAlign w:val="bottom"/>
            <w:hideMark/>
          </w:tcPr>
          <w:p w14:paraId="44EB116D" w14:textId="77777777" w:rsidR="0084363A" w:rsidRDefault="0084363A" w:rsidP="00105D64">
            <w:pPr>
              <w:jc w:val="right"/>
              <w:rPr>
                <w:rFonts w:ascii="Arial Narrow" w:hAnsi="Arial Narrow" w:cs="Arial"/>
                <w:b/>
                <w:bCs/>
                <w:sz w:val="20"/>
                <w:szCs w:val="20"/>
              </w:rPr>
            </w:pPr>
            <w:r>
              <w:rPr>
                <w:rFonts w:ascii="Arial Narrow" w:hAnsi="Arial Narrow" w:cs="Arial"/>
                <w:b/>
                <w:bCs/>
                <w:sz w:val="20"/>
                <w:szCs w:val="20"/>
              </w:rPr>
              <w:t>Total Recurring Annual Hours</w:t>
            </w:r>
          </w:p>
        </w:tc>
        <w:tc>
          <w:tcPr>
            <w:tcW w:w="3001" w:type="dxa"/>
            <w:vAlign w:val="bottom"/>
            <w:hideMark/>
          </w:tcPr>
          <w:p w14:paraId="090867E8" w14:textId="77777777" w:rsidR="0084363A" w:rsidRDefault="0084363A">
            <w:pPr>
              <w:rPr>
                <w:rFonts w:ascii="Arial Narrow" w:hAnsi="Arial Narrow" w:cs="Arial"/>
                <w:b/>
                <w:bCs/>
                <w:sz w:val="20"/>
                <w:szCs w:val="20"/>
              </w:rPr>
            </w:pPr>
            <w:r>
              <w:rPr>
                <w:rFonts w:ascii="Arial Narrow" w:hAnsi="Arial Narrow" w:cs="Arial"/>
                <w:b/>
                <w:bCs/>
                <w:sz w:val="20"/>
                <w:szCs w:val="20"/>
              </w:rPr>
              <w:t> </w:t>
            </w:r>
          </w:p>
        </w:tc>
        <w:tc>
          <w:tcPr>
            <w:tcW w:w="1515" w:type="dxa"/>
            <w:vAlign w:val="bottom"/>
            <w:hideMark/>
          </w:tcPr>
          <w:p w14:paraId="2286D293" w14:textId="77777777" w:rsidR="0084363A" w:rsidRDefault="00F37D52" w:rsidP="00105D64">
            <w:pPr>
              <w:rPr>
                <w:rFonts w:ascii="Arial Narrow" w:hAnsi="Arial Narrow" w:cs="Arial"/>
                <w:b/>
                <w:bCs/>
                <w:sz w:val="20"/>
                <w:szCs w:val="20"/>
              </w:rPr>
            </w:pPr>
            <w:r>
              <w:rPr>
                <w:rFonts w:ascii="Arial Narrow" w:hAnsi="Arial Narrow" w:cs="Arial"/>
                <w:b/>
                <w:bCs/>
                <w:sz w:val="20"/>
                <w:szCs w:val="20"/>
              </w:rPr>
              <w:t>70,085</w:t>
            </w:r>
          </w:p>
        </w:tc>
      </w:tr>
    </w:tbl>
    <w:p w14:paraId="747A78CF" w14:textId="77777777" w:rsidR="00DA04A9" w:rsidRPr="00744721" w:rsidRDefault="00DA04A9" w:rsidP="00F52C85">
      <w:pPr>
        <w:pStyle w:val="BodyTextIndent2"/>
        <w:spacing w:line="240" w:lineRule="auto"/>
        <w:rPr>
          <w:rFonts w:ascii="Times New Roman" w:hAnsi="Times New Roman" w:cs="Times New Roman"/>
        </w:rPr>
      </w:pPr>
    </w:p>
    <w:p w14:paraId="19798D98" w14:textId="77777777" w:rsidR="00EF2D74" w:rsidRDefault="00EF2D74" w:rsidP="00F52C85">
      <w:pPr>
        <w:pStyle w:val="NormalWeb"/>
        <w:spacing w:before="0" w:beforeAutospacing="0" w:after="0" w:afterAutospacing="0"/>
      </w:pPr>
      <w:r>
        <w:t xml:space="preserve">1) </w:t>
      </w:r>
      <w:r>
        <w:rPr>
          <w:u w:val="single"/>
        </w:rPr>
        <w:t>371.3—Household Goods Broker Transactions</w:t>
      </w:r>
      <w:r w:rsidR="00F37D52" w:rsidRPr="009A36C9">
        <w:t>:</w:t>
      </w:r>
      <w:r w:rsidR="00F37D52">
        <w:t xml:space="preserve"> </w:t>
      </w:r>
      <w:r w:rsidR="00DA04A9" w:rsidRPr="00744721">
        <w:t xml:space="preserve">Note that the current </w:t>
      </w:r>
      <w:r w:rsidR="00DA04A9" w:rsidRPr="00744721">
        <w:rPr>
          <w:u w:val="single"/>
        </w:rPr>
        <w:t>information collection burden</w:t>
      </w:r>
      <w:r w:rsidR="00DA04A9" w:rsidRPr="00744721">
        <w:t xml:space="preserve"> for the </w:t>
      </w:r>
      <w:r w:rsidR="00A20DB4">
        <w:t>543</w:t>
      </w:r>
      <w:r w:rsidR="00A20DB4" w:rsidRPr="00744721">
        <w:t xml:space="preserve"> </w:t>
      </w:r>
      <w:r w:rsidR="00DA04A9" w:rsidRPr="00744721">
        <w:t xml:space="preserve">HHG brokers is estimated to be </w:t>
      </w:r>
      <w:r>
        <w:rPr>
          <w:u w:val="single"/>
        </w:rPr>
        <w:t>32,580</w:t>
      </w:r>
      <w:r w:rsidR="00DA04A9" w:rsidRPr="00744721">
        <w:t xml:space="preserve"> annual </w:t>
      </w:r>
      <w:r w:rsidR="003C50DE">
        <w:t>burden-hours</w:t>
      </w:r>
      <w:r w:rsidR="00DA04A9" w:rsidRPr="00744721">
        <w:t xml:space="preserve"> subject to current 49 CFR Part 371. </w:t>
      </w:r>
      <w:r w:rsidR="00145AC9">
        <w:t>According to 49 CFR s</w:t>
      </w:r>
      <w:r w:rsidR="00145AC9" w:rsidRPr="00744721">
        <w:t>ection </w:t>
      </w:r>
      <w:r w:rsidR="00DA04A9" w:rsidRPr="00744721">
        <w:t>371.3</w:t>
      </w:r>
      <w:r w:rsidR="003A072A">
        <w:t xml:space="preserve">, </w:t>
      </w:r>
      <w:r w:rsidR="0042281B">
        <w:t xml:space="preserve">for each of the </w:t>
      </w:r>
      <w:r w:rsidR="00A20DB4">
        <w:t xml:space="preserve">543 </w:t>
      </w:r>
      <w:r w:rsidR="0042281B">
        <w:t>brokers, it takes</w:t>
      </w:r>
      <w:r w:rsidR="006A3CE5">
        <w:t xml:space="preserve"> </w:t>
      </w:r>
      <w:r w:rsidR="00DA04A9" w:rsidRPr="00744721">
        <w:t>15 minutes per day</w:t>
      </w:r>
      <w:r w:rsidR="003A072A">
        <w:t xml:space="preserve"> for </w:t>
      </w:r>
      <w:r w:rsidR="00DA04A9" w:rsidRPr="00744721">
        <w:t>240 workd</w:t>
      </w:r>
      <w:r w:rsidR="0042281B">
        <w:t>ays for a total of</w:t>
      </w:r>
      <w:r w:rsidR="003A072A">
        <w:t xml:space="preserve"> </w:t>
      </w:r>
      <w:r w:rsidR="00A20DB4">
        <w:rPr>
          <w:u w:val="single"/>
        </w:rPr>
        <w:t>32,580</w:t>
      </w:r>
      <w:r w:rsidR="00DA04A9" w:rsidRPr="00744721">
        <w:rPr>
          <w:u w:val="single"/>
        </w:rPr>
        <w:t xml:space="preserve"> hours per year</w:t>
      </w:r>
      <w:r w:rsidR="003A072A">
        <w:rPr>
          <w:u w:val="single"/>
        </w:rPr>
        <w:t xml:space="preserve"> (1/4 hours/day x 240 days/broker x </w:t>
      </w:r>
      <w:r>
        <w:rPr>
          <w:u w:val="single"/>
        </w:rPr>
        <w:t>543</w:t>
      </w:r>
      <w:r w:rsidR="003A072A">
        <w:rPr>
          <w:u w:val="single"/>
        </w:rPr>
        <w:t xml:space="preserve"> brokers = </w:t>
      </w:r>
      <w:r>
        <w:rPr>
          <w:u w:val="single"/>
        </w:rPr>
        <w:t>32,580</w:t>
      </w:r>
      <w:r w:rsidR="003A072A">
        <w:rPr>
          <w:u w:val="single"/>
        </w:rPr>
        <w:t>)</w:t>
      </w:r>
      <w:r w:rsidR="00DA04A9" w:rsidRPr="00744721">
        <w:t xml:space="preserve">. </w:t>
      </w:r>
      <w:r>
        <w:t>Previous total annual burden-hour estimates included the initial (one-time first-year) set up of a separate accounting system (Section 371.13), resulting in 1,000 annual hours burden (8 burden-hours x 125 new-entrant household goods brokers each year = 1,000 annual hours burden</w:t>
      </w:r>
      <w:r w:rsidR="00145AC9">
        <w:t>)</w:t>
      </w:r>
      <w:r>
        <w:t xml:space="preserve">.  </w:t>
      </w:r>
      <w:r w:rsidRPr="00EF2D74">
        <w:t xml:space="preserve">FMCSA believes setting up the first accounting system for a new business is a usual and customary business practice. The PRA regulations at 5 CFR 1320.3(b)(2) allows FMCSA to calculate no burden when the agency demonstrates to OMB that the activity needed to comply with the specific regulation is usual and customary. FMCSA proposed in the NPRM that setting up an accounting system is a usual and customary practice when starting a new business. FMCSA received no comments from </w:t>
      </w:r>
      <w:r>
        <w:t>the public about this assertion and therefore removes this from total annual burden-hour estimations.</w:t>
      </w:r>
    </w:p>
    <w:p w14:paraId="6739C560" w14:textId="77777777" w:rsidR="00DA04A9" w:rsidRPr="00744721" w:rsidRDefault="00DA04A9" w:rsidP="00F52C85">
      <w:pPr>
        <w:pStyle w:val="NormalWeb"/>
        <w:spacing w:before="0" w:beforeAutospacing="0" w:after="0" w:afterAutospacing="0"/>
      </w:pPr>
    </w:p>
    <w:p w14:paraId="2E55E6D1" w14:textId="77777777" w:rsidR="00660C99" w:rsidRDefault="00EF2D74" w:rsidP="00F52C85">
      <w:pPr>
        <w:rPr>
          <w:u w:val="single"/>
        </w:rPr>
      </w:pPr>
      <w:r>
        <w:t>2</w:t>
      </w:r>
      <w:r w:rsidR="00660C99">
        <w:t xml:space="preserve">) </w:t>
      </w:r>
      <w:r w:rsidR="00660C99" w:rsidRPr="00DA4C6B">
        <w:rPr>
          <w:u w:val="single"/>
        </w:rPr>
        <w:t>371.107</w:t>
      </w:r>
      <w:r w:rsidR="00660C99">
        <w:rPr>
          <w:u w:val="single"/>
        </w:rPr>
        <w:t>—Website/Ad Modification</w:t>
      </w:r>
      <w:r w:rsidR="00660C99">
        <w:t xml:space="preserve">: Information collection requirements in </w:t>
      </w:r>
      <w:r w:rsidR="00145AC9">
        <w:t xml:space="preserve">49 CFR section </w:t>
      </w:r>
      <w:r w:rsidR="00660C99">
        <w:t>371.107 require broker-staff to work with ad designers or website designers to create, modify, and in some case</w:t>
      </w:r>
      <w:r w:rsidR="00F2550A">
        <w:t>s</w:t>
      </w:r>
      <w:r w:rsidR="00660C99">
        <w:t xml:space="preserve"> remove items from advertisements and websites. Not all brokers require creation or modification of such products. We assume that the average broker </w:t>
      </w:r>
      <w:r w:rsidR="00F2550A">
        <w:t xml:space="preserve">will </w:t>
      </w:r>
      <w:r w:rsidR="00660C99">
        <w:t xml:space="preserve">spend </w:t>
      </w:r>
      <w:r w:rsidR="00A62352">
        <w:t>2</w:t>
      </w:r>
      <w:r w:rsidR="00660C99">
        <w:t xml:space="preserve">0 hours per year on these endeavors, </w:t>
      </w:r>
      <w:r w:rsidR="00FA296E">
        <w:t xml:space="preserve">so for </w:t>
      </w:r>
      <w:r>
        <w:t xml:space="preserve">543 </w:t>
      </w:r>
      <w:r w:rsidR="00FA296E">
        <w:t xml:space="preserve">brokers, this comes to </w:t>
      </w:r>
      <w:r w:rsidRPr="00EF2D74">
        <w:t>10,860</w:t>
      </w:r>
      <w:r w:rsidR="00FA296E">
        <w:t xml:space="preserve"> </w:t>
      </w:r>
      <w:r w:rsidR="00660C99" w:rsidRPr="00DA4C6B">
        <w:rPr>
          <w:u w:val="single"/>
        </w:rPr>
        <w:t xml:space="preserve">annual </w:t>
      </w:r>
      <w:r w:rsidR="003C50DE">
        <w:rPr>
          <w:u w:val="single"/>
        </w:rPr>
        <w:t>burden-hours</w:t>
      </w:r>
      <w:r w:rsidR="00FA296E">
        <w:rPr>
          <w:u w:val="single"/>
        </w:rPr>
        <w:t xml:space="preserve"> </w:t>
      </w:r>
      <w:r w:rsidR="00660C99">
        <w:rPr>
          <w:u w:val="single"/>
        </w:rPr>
        <w:t>(</w:t>
      </w:r>
      <w:r>
        <w:rPr>
          <w:u w:val="single"/>
        </w:rPr>
        <w:t xml:space="preserve">543 </w:t>
      </w:r>
      <w:r w:rsidR="00660C99">
        <w:rPr>
          <w:u w:val="single"/>
        </w:rPr>
        <w:t xml:space="preserve">x </w:t>
      </w:r>
      <w:r w:rsidR="00A62352">
        <w:rPr>
          <w:u w:val="single"/>
        </w:rPr>
        <w:t>2</w:t>
      </w:r>
      <w:r w:rsidR="00660C99">
        <w:rPr>
          <w:u w:val="single"/>
        </w:rPr>
        <w:t>0)</w:t>
      </w:r>
      <w:r w:rsidR="000665D6">
        <w:rPr>
          <w:u w:val="single"/>
        </w:rPr>
        <w:t>.</w:t>
      </w:r>
    </w:p>
    <w:p w14:paraId="3084ABD4" w14:textId="77777777" w:rsidR="00660C99" w:rsidRDefault="00660C99" w:rsidP="00F52C85">
      <w:r>
        <w:t xml:space="preserve"> </w:t>
      </w:r>
    </w:p>
    <w:p w14:paraId="6CC0BDED" w14:textId="77777777" w:rsidR="00660C99" w:rsidRDefault="00867E82" w:rsidP="00F52C85">
      <w:r>
        <w:t>3</w:t>
      </w:r>
      <w:r w:rsidR="00660C99">
        <w:t xml:space="preserve">) </w:t>
      </w:r>
      <w:r w:rsidR="00660C99" w:rsidRPr="00DA4C6B">
        <w:rPr>
          <w:u w:val="single"/>
        </w:rPr>
        <w:t>371.109</w:t>
      </w:r>
      <w:r w:rsidR="00660C99">
        <w:rPr>
          <w:u w:val="single"/>
        </w:rPr>
        <w:t>—Create a List of Carriers</w:t>
      </w:r>
      <w:r w:rsidR="00660C99">
        <w:t>: Information collection requirements in 371.109</w:t>
      </w:r>
      <w:r w:rsidR="00F2550A">
        <w:t xml:space="preserve"> </w:t>
      </w:r>
      <w:r w:rsidR="00660C99">
        <w:t xml:space="preserve">require broker staff to work with typesetters, printers, and website designers to create paper and electronic lists of motor carriers. We assume that the average broker </w:t>
      </w:r>
      <w:r w:rsidR="00F2550A">
        <w:t xml:space="preserve">will </w:t>
      </w:r>
      <w:r w:rsidR="00660C99">
        <w:t xml:space="preserve">spend 10 hours per year on these endeavors, </w:t>
      </w:r>
      <w:r w:rsidR="00FA296E">
        <w:t xml:space="preserve">so for </w:t>
      </w:r>
      <w:r w:rsidR="00EF2D74">
        <w:t xml:space="preserve">543 </w:t>
      </w:r>
      <w:r w:rsidR="00660C99">
        <w:t xml:space="preserve">brokers, this comes to </w:t>
      </w:r>
      <w:r w:rsidR="00EF2D74" w:rsidRPr="00EF2D74">
        <w:rPr>
          <w:u w:val="single"/>
        </w:rPr>
        <w:t>5,430</w:t>
      </w:r>
      <w:r w:rsidR="00FA296E">
        <w:rPr>
          <w:u w:val="single"/>
        </w:rPr>
        <w:t xml:space="preserve"> annual </w:t>
      </w:r>
      <w:r w:rsidR="003C50DE">
        <w:rPr>
          <w:u w:val="single"/>
        </w:rPr>
        <w:t>burden-hours</w:t>
      </w:r>
      <w:r w:rsidR="00FA296E">
        <w:rPr>
          <w:u w:val="single"/>
        </w:rPr>
        <w:t xml:space="preserve"> (</w:t>
      </w:r>
      <w:r w:rsidR="00EF2D74">
        <w:rPr>
          <w:u w:val="single"/>
        </w:rPr>
        <w:t xml:space="preserve">543 </w:t>
      </w:r>
      <w:r w:rsidR="00FA296E">
        <w:rPr>
          <w:u w:val="single"/>
        </w:rPr>
        <w:t>x 10).</w:t>
      </w:r>
      <w:r w:rsidR="00660C99" w:rsidRPr="00735EAC">
        <w:t xml:space="preserve"> </w:t>
      </w:r>
    </w:p>
    <w:p w14:paraId="39432C1A" w14:textId="77777777" w:rsidR="00F1438D" w:rsidRPr="00735EAC" w:rsidRDefault="00F1438D" w:rsidP="00F52C85"/>
    <w:p w14:paraId="60FFB6C9" w14:textId="77777777" w:rsidR="00660C99" w:rsidRDefault="00660C99" w:rsidP="00F52C85">
      <w:pPr>
        <w:pStyle w:val="NormalWeb"/>
        <w:spacing w:before="0" w:beforeAutospacing="0" w:after="0" w:afterAutospacing="0"/>
      </w:pPr>
    </w:p>
    <w:p w14:paraId="4D1438F3" w14:textId="77777777" w:rsidR="00DA04A9" w:rsidRPr="00744721" w:rsidRDefault="00867E82" w:rsidP="00F52C85">
      <w:r>
        <w:t>4</w:t>
      </w:r>
      <w:r w:rsidR="00FA296E" w:rsidRPr="005622A8">
        <w:t xml:space="preserve">) </w:t>
      </w:r>
      <w:r w:rsidR="00FA296E" w:rsidRPr="008D520A">
        <w:rPr>
          <w:u w:val="single"/>
        </w:rPr>
        <w:t>371.111(c)</w:t>
      </w:r>
      <w:r w:rsidR="00FA296E">
        <w:rPr>
          <w:u w:val="single"/>
        </w:rPr>
        <w:t>—Confirming that the Required Information Has Been Received</w:t>
      </w:r>
      <w:r w:rsidR="00FA296E">
        <w:t>: S</w:t>
      </w:r>
      <w:r w:rsidR="00DA04A9" w:rsidRPr="00744721">
        <w:t>hippers w</w:t>
      </w:r>
      <w:r w:rsidR="00F2550A">
        <w:t>ill</w:t>
      </w:r>
      <w:r w:rsidR="00DA04A9" w:rsidRPr="00744721">
        <w:t xml:space="preserve"> be required to provide a signed and dated statement indicating that they have received the required information from the HHG broker.  The HHG broker must inform the shipper of the necessity to fill out the statement, receive the statements, file them, and empty the files after they have been retained for 3 years. We assume a broker spends half an hour per month i</w:t>
      </w:r>
      <w:r w:rsidR="008076B3">
        <w:t>n</w:t>
      </w:r>
      <w:r w:rsidR="00DA04A9" w:rsidRPr="00744721">
        <w:t xml:space="preserve"> this endeavor, so the total annual hours devoted to this task are </w:t>
      </w:r>
      <w:r w:rsidR="00EF2D74" w:rsidRPr="00EF2D74">
        <w:t>3,258</w:t>
      </w:r>
      <w:r w:rsidR="00EF2D74" w:rsidRPr="00EF2D74" w:rsidDel="00EF2D74">
        <w:t xml:space="preserve"> </w:t>
      </w:r>
      <w:r w:rsidR="00DA04A9" w:rsidRPr="00744721">
        <w:t>(</w:t>
      </w:r>
      <w:r w:rsidR="00EF2D74">
        <w:t>543</w:t>
      </w:r>
      <w:r w:rsidR="00EF2D74" w:rsidRPr="00744721">
        <w:t xml:space="preserve"> </w:t>
      </w:r>
      <w:r w:rsidR="00DA04A9" w:rsidRPr="00744721">
        <w:t>HHG brokers × ½ an hour per month × 12 months per year).</w:t>
      </w:r>
    </w:p>
    <w:p w14:paraId="1BD9ACC1" w14:textId="77777777" w:rsidR="00DA04A9" w:rsidRDefault="00DA04A9" w:rsidP="00F52C85">
      <w:pPr>
        <w:pStyle w:val="NormalWeb"/>
        <w:spacing w:before="0" w:beforeAutospacing="0" w:after="0" w:afterAutospacing="0"/>
      </w:pPr>
    </w:p>
    <w:p w14:paraId="08C51FDD" w14:textId="77777777" w:rsidR="00FA296E" w:rsidRPr="00AE382E" w:rsidRDefault="00867E82" w:rsidP="00F52C85">
      <w:r>
        <w:t>5</w:t>
      </w:r>
      <w:r w:rsidR="00FA296E">
        <w:t xml:space="preserve">) </w:t>
      </w:r>
      <w:r w:rsidR="00FA296E" w:rsidRPr="005622A8">
        <w:rPr>
          <w:u w:val="single"/>
        </w:rPr>
        <w:t>371.113—Explanation of Physical-Survey Waiver-Agreement</w:t>
      </w:r>
      <w:r w:rsidR="00FA296E">
        <w:t>: W</w:t>
      </w:r>
      <w:r w:rsidR="00FA296E" w:rsidRPr="00E57AB2">
        <w:t xml:space="preserve">e require </w:t>
      </w:r>
      <w:r w:rsidR="00FA296E" w:rsidRPr="00E57AB2">
        <w:rPr>
          <w:color w:val="000000"/>
        </w:rPr>
        <w:t xml:space="preserve">a household goods broker to explain the </w:t>
      </w:r>
      <w:r w:rsidR="00FA296E" w:rsidRPr="00E54A5A">
        <w:rPr>
          <w:color w:val="000000"/>
        </w:rPr>
        <w:t>physical</w:t>
      </w:r>
      <w:r w:rsidR="00FA296E">
        <w:rPr>
          <w:color w:val="000000"/>
        </w:rPr>
        <w:t>-</w:t>
      </w:r>
      <w:r w:rsidR="00FA296E" w:rsidRPr="00E54A5A">
        <w:rPr>
          <w:color w:val="000000"/>
        </w:rPr>
        <w:t>survey waiver</w:t>
      </w:r>
      <w:r w:rsidR="00FA296E">
        <w:rPr>
          <w:color w:val="000000"/>
        </w:rPr>
        <w:t>-</w:t>
      </w:r>
      <w:r w:rsidR="00FA296E" w:rsidRPr="00E54A5A">
        <w:rPr>
          <w:color w:val="000000"/>
        </w:rPr>
        <w:t xml:space="preserve">agreement to the individual shipper in plain English (see new § 371.113(c)(2)). </w:t>
      </w:r>
      <w:r w:rsidR="00FA296E">
        <w:rPr>
          <w:color w:val="000000"/>
        </w:rPr>
        <w:t>If 20,000 of the 100,000 moves per year require explanation of the waiver-agreement and it takes five minutes of a correspo</w:t>
      </w:r>
      <w:r w:rsidR="003C50DE">
        <w:rPr>
          <w:color w:val="000000"/>
        </w:rPr>
        <w:t>nd</w:t>
      </w:r>
      <w:r w:rsidR="00FA296E">
        <w:rPr>
          <w:color w:val="000000"/>
        </w:rPr>
        <w:t>e</w:t>
      </w:r>
      <w:r w:rsidR="003C50DE">
        <w:rPr>
          <w:color w:val="000000"/>
        </w:rPr>
        <w:t>n</w:t>
      </w:r>
      <w:r w:rsidR="00FA296E">
        <w:rPr>
          <w:color w:val="000000"/>
        </w:rPr>
        <w:t xml:space="preserve">ce clerk’s time, then </w:t>
      </w:r>
      <w:r w:rsidR="00F1438D">
        <w:rPr>
          <w:color w:val="000000"/>
        </w:rPr>
        <w:t xml:space="preserve">1,667 annual </w:t>
      </w:r>
      <w:r w:rsidR="003C50DE">
        <w:rPr>
          <w:color w:val="000000"/>
        </w:rPr>
        <w:t>burden-hours</w:t>
      </w:r>
      <w:r w:rsidR="00F1438D">
        <w:rPr>
          <w:color w:val="000000"/>
        </w:rPr>
        <w:t xml:space="preserve"> result</w:t>
      </w:r>
      <w:r w:rsidR="003C50DE">
        <w:rPr>
          <w:color w:val="000000"/>
        </w:rPr>
        <w:t xml:space="preserve"> </w:t>
      </w:r>
      <w:r w:rsidR="00FA296E">
        <w:rPr>
          <w:color w:val="000000"/>
        </w:rPr>
        <w:t>(20,000 exp</w:t>
      </w:r>
      <w:r w:rsidR="00F1438D">
        <w:rPr>
          <w:color w:val="000000"/>
        </w:rPr>
        <w:t>lanations x (1/12) hours/</w:t>
      </w:r>
      <w:r w:rsidR="00FA296E">
        <w:rPr>
          <w:color w:val="000000"/>
        </w:rPr>
        <w:t>explanat</w:t>
      </w:r>
      <w:r w:rsidR="00F1438D">
        <w:rPr>
          <w:color w:val="000000"/>
        </w:rPr>
        <w:t>ion</w:t>
      </w:r>
      <w:r w:rsidR="00FA296E">
        <w:rPr>
          <w:color w:val="000000"/>
        </w:rPr>
        <w:t>)</w:t>
      </w:r>
      <w:r w:rsidR="00F1438D">
        <w:rPr>
          <w:color w:val="000000"/>
        </w:rPr>
        <w:t>.</w:t>
      </w:r>
      <w:r w:rsidR="00FA296E">
        <w:rPr>
          <w:color w:val="000000"/>
        </w:rPr>
        <w:t xml:space="preserve"> </w:t>
      </w:r>
    </w:p>
    <w:p w14:paraId="0D641A29" w14:textId="77777777" w:rsidR="00FA296E" w:rsidRPr="00744721" w:rsidRDefault="00FA296E" w:rsidP="00F52C85">
      <w:pPr>
        <w:pStyle w:val="NormalWeb"/>
        <w:spacing w:before="0" w:beforeAutospacing="0" w:after="0" w:afterAutospacing="0"/>
      </w:pPr>
    </w:p>
    <w:p w14:paraId="544C4533" w14:textId="77777777" w:rsidR="001A6E5D" w:rsidRDefault="00867E82" w:rsidP="00F52C85">
      <w:pPr>
        <w:keepLines/>
      </w:pPr>
      <w:r>
        <w:t>6</w:t>
      </w:r>
      <w:r w:rsidR="00F1438D">
        <w:t xml:space="preserve">) </w:t>
      </w:r>
      <w:r w:rsidR="00F1438D" w:rsidRPr="008D520A">
        <w:rPr>
          <w:u w:val="single"/>
        </w:rPr>
        <w:t>371.115</w:t>
      </w:r>
      <w:r w:rsidR="00F1438D">
        <w:rPr>
          <w:u w:val="single"/>
        </w:rPr>
        <w:t>—Negotiation of Agreements Between Broker and Carrier</w:t>
      </w:r>
      <w:r w:rsidR="00F1438D">
        <w:t>: A</w:t>
      </w:r>
      <w:r w:rsidR="00DA04A9" w:rsidRPr="00744721">
        <w:t>n agreement is negotiated between the</w:t>
      </w:r>
      <w:r w:rsidR="00DA04A9" w:rsidRPr="00744721">
        <w:rPr>
          <w:sz w:val="20"/>
          <w:szCs w:val="20"/>
        </w:rPr>
        <w:t xml:space="preserve"> </w:t>
      </w:r>
      <w:r w:rsidR="00DA04A9" w:rsidRPr="00744721">
        <w:t xml:space="preserve">broker and motor carrier—the broker must reduce it to writing, obtain the signatures of the broker, motor carrier, and notary public, and make copies. We assume four hours is a reasonable time to complete a single agreement. </w:t>
      </w:r>
    </w:p>
    <w:p w14:paraId="0D07991C" w14:textId="77777777" w:rsidR="00C312B7" w:rsidRDefault="00C312B7" w:rsidP="00F52C85">
      <w:pPr>
        <w:keepLines/>
      </w:pPr>
    </w:p>
    <w:p w14:paraId="77898A01" w14:textId="77777777" w:rsidR="001A6E5D" w:rsidRPr="00803A34" w:rsidRDefault="001A6E5D" w:rsidP="00F52C85">
      <w:pPr>
        <w:autoSpaceDE w:val="0"/>
        <w:autoSpaceDN w:val="0"/>
        <w:adjustRightInd w:val="0"/>
      </w:pPr>
      <w:r>
        <w:t xml:space="preserve">HHG brokers will eventually sever some of these agreements and make agreements with new carriers. </w:t>
      </w:r>
      <w:r w:rsidR="009E3E40">
        <w:t>Each carrier is estimated to maintain 31 written agreements.</w:t>
      </w:r>
      <w:r>
        <w:t xml:space="preserve"> If we assume that an average agreement lasts for about six years, then that amounts to about five new written agreements having to be negotiated each year.</w:t>
      </w:r>
      <w:r>
        <w:rPr>
          <w:rStyle w:val="FootnoteReference"/>
        </w:rPr>
        <w:footnoteReference w:id="2"/>
      </w:r>
      <w:r>
        <w:t xml:space="preserve"> Thus, the recurring annual burden hours of negotiating agreements between broker and carrier is </w:t>
      </w:r>
      <w:r w:rsidR="00F37D52" w:rsidRPr="00F37D52">
        <w:t>10,860</w:t>
      </w:r>
      <w:r>
        <w:t xml:space="preserve"> annual burden hours.</w:t>
      </w:r>
      <w:r>
        <w:rPr>
          <w:rStyle w:val="FootnoteReference"/>
        </w:rPr>
        <w:footnoteReference w:id="3"/>
      </w:r>
    </w:p>
    <w:p w14:paraId="72804976" w14:textId="77777777" w:rsidR="00F1438D" w:rsidRPr="00744721" w:rsidRDefault="00F1438D" w:rsidP="00F52C85">
      <w:pPr>
        <w:autoSpaceDE w:val="0"/>
        <w:autoSpaceDN w:val="0"/>
        <w:adjustRightInd w:val="0"/>
      </w:pPr>
    </w:p>
    <w:p w14:paraId="3E8F32DF" w14:textId="77777777" w:rsidR="00F1438D" w:rsidRDefault="00867E82" w:rsidP="00F52C85">
      <w:pPr>
        <w:keepLines/>
      </w:pPr>
      <w:r>
        <w:t>7</w:t>
      </w:r>
      <w:r w:rsidR="00F1438D">
        <w:t xml:space="preserve">) </w:t>
      </w:r>
      <w:r w:rsidR="00F1438D" w:rsidRPr="00871065">
        <w:rPr>
          <w:u w:val="single"/>
        </w:rPr>
        <w:t>371.117</w:t>
      </w:r>
      <w:r w:rsidR="00F1438D">
        <w:rPr>
          <w:u w:val="single"/>
        </w:rPr>
        <w:t>—Disclosure and Records:</w:t>
      </w:r>
      <w:r w:rsidR="00F1438D">
        <w:t xml:space="preserve"> </w:t>
      </w:r>
      <w:r w:rsidR="00145AC9">
        <w:t>The regulations</w:t>
      </w:r>
      <w:r w:rsidR="00F1438D">
        <w:t xml:space="preserve"> require full disclosure of the terms governing deposits and forfeitures in the event of cancellations.  The disclosure requirement can be accomplished by including material on the HHG brokers’ websites and would add no cost for brokers choosing to post the consumer information pamphlets on their websites.  However, t</w:t>
      </w:r>
      <w:r w:rsidR="00F1438D" w:rsidRPr="00871065">
        <w:t>his is not merely a disclosure requiremen</w:t>
      </w:r>
      <w:r w:rsidR="00F1438D">
        <w:t>t—</w:t>
      </w:r>
      <w:r w:rsidR="00F1438D" w:rsidRPr="00871065">
        <w:t>§ 371.117(b) requires maintaining cancellation records and evidence of refunds of deposits</w:t>
      </w:r>
      <w:r w:rsidR="00F1438D">
        <w:t>. In addition, the rule requires that the cancellation policies also be provided in the actual agreement with the shipper—so that there are potential costs associated with the revision and reprinting of existing agreement</w:t>
      </w:r>
      <w:r w:rsidR="00F2550A">
        <w:t>s</w:t>
      </w:r>
      <w:r w:rsidR="00F1438D">
        <w:t xml:space="preserve">. If correspondence clerks for each of the </w:t>
      </w:r>
      <w:r w:rsidR="00F37D52">
        <w:t xml:space="preserve">543 </w:t>
      </w:r>
      <w:r w:rsidR="00F1438D">
        <w:t xml:space="preserve">brokers spend 10 hours annually, </w:t>
      </w:r>
      <w:r w:rsidR="00F37D52">
        <w:t>5,430</w:t>
      </w:r>
      <w:r w:rsidR="00F1438D">
        <w:t xml:space="preserve"> bu</w:t>
      </w:r>
      <w:r w:rsidR="00E97F79">
        <w:t>r</w:t>
      </w:r>
      <w:r w:rsidR="00F1438D">
        <w:t xml:space="preserve">den hours result. </w:t>
      </w:r>
    </w:p>
    <w:p w14:paraId="169F6A5C" w14:textId="77777777" w:rsidR="00F1438D" w:rsidRDefault="00F1438D" w:rsidP="00F52C85"/>
    <w:p w14:paraId="7CBFFAA0" w14:textId="77777777" w:rsidR="0017562C" w:rsidRDefault="0017562C" w:rsidP="00F52C85"/>
    <w:p w14:paraId="6BFEB699" w14:textId="77777777" w:rsidR="0017562C" w:rsidRDefault="0017562C" w:rsidP="00F52C85">
      <w:r>
        <w:t xml:space="preserve">FMCSA is rounding the recurring annual hours to the nearest hundred and thus requests approval for a total recurring annual burden of </w:t>
      </w:r>
      <w:r w:rsidR="00F37D52">
        <w:t>70,000</w:t>
      </w:r>
      <w:r>
        <w:t xml:space="preserve"> hours.</w:t>
      </w:r>
    </w:p>
    <w:p w14:paraId="25AFE9C5" w14:textId="77777777" w:rsidR="005F44AB" w:rsidRDefault="005F44AB" w:rsidP="00F52C85"/>
    <w:p w14:paraId="68A7EA7A" w14:textId="77777777" w:rsidR="005F44AB" w:rsidRDefault="005F44AB" w:rsidP="00F52C85">
      <w:pPr>
        <w:rPr>
          <w:b/>
        </w:rPr>
      </w:pPr>
      <w:r>
        <w:rPr>
          <w:b/>
        </w:rPr>
        <w:t>Estimated Annual Number of</w:t>
      </w:r>
      <w:r w:rsidRPr="007A48F7">
        <w:rPr>
          <w:b/>
        </w:rPr>
        <w:t xml:space="preserve"> Respondents:</w:t>
      </w:r>
      <w:r>
        <w:rPr>
          <w:b/>
        </w:rPr>
        <w:t xml:space="preserve"> </w:t>
      </w:r>
      <w:r w:rsidR="00F37D52">
        <w:rPr>
          <w:b/>
        </w:rPr>
        <w:t xml:space="preserve">543 </w:t>
      </w:r>
      <w:r>
        <w:rPr>
          <w:b/>
        </w:rPr>
        <w:t>brokers</w:t>
      </w:r>
      <w:r w:rsidRPr="009A36C9">
        <w:t>.</w:t>
      </w:r>
    </w:p>
    <w:p w14:paraId="0CDB4834" w14:textId="77777777" w:rsidR="005F44AB" w:rsidRPr="007A48F7" w:rsidRDefault="005F44AB" w:rsidP="00F52C85">
      <w:pPr>
        <w:rPr>
          <w:b/>
        </w:rPr>
      </w:pPr>
    </w:p>
    <w:p w14:paraId="536DAC5C" w14:textId="77777777" w:rsidR="005F44AB" w:rsidRPr="00F12253" w:rsidRDefault="005F44AB" w:rsidP="00F52C85">
      <w:r>
        <w:rPr>
          <w:b/>
        </w:rPr>
        <w:t xml:space="preserve">Estimated Annual Number of </w:t>
      </w:r>
      <w:r w:rsidRPr="007A48F7">
        <w:rPr>
          <w:b/>
        </w:rPr>
        <w:t>Responses:</w:t>
      </w:r>
      <w:r>
        <w:rPr>
          <w:b/>
        </w:rPr>
        <w:t xml:space="preserve"> </w:t>
      </w:r>
      <w:r w:rsidR="00366BF3">
        <w:rPr>
          <w:b/>
        </w:rPr>
        <w:t xml:space="preserve"> </w:t>
      </w:r>
      <w:r w:rsidR="00826179">
        <w:rPr>
          <w:b/>
        </w:rPr>
        <w:t>102,715</w:t>
      </w:r>
      <w:r w:rsidR="00366BF3">
        <w:rPr>
          <w:b/>
        </w:rPr>
        <w:t xml:space="preserve"> </w:t>
      </w:r>
      <w:r w:rsidR="002C1926" w:rsidRPr="009A36C9">
        <w:rPr>
          <w:b/>
        </w:rPr>
        <w:t>[</w:t>
      </w:r>
      <w:r w:rsidR="00366BF3" w:rsidRPr="00F12253">
        <w:t>(</w:t>
      </w:r>
      <w:r w:rsidR="00826179">
        <w:t>543</w:t>
      </w:r>
      <w:r w:rsidR="00366BF3" w:rsidRPr="00F12253">
        <w:t xml:space="preserve"> respondents x 5 new agreements with motor carriers per year)</w:t>
      </w:r>
      <w:r w:rsidR="00826179">
        <w:t xml:space="preserve"> + 100,000 moves handled per year</w:t>
      </w:r>
      <w:r w:rsidR="00366BF3" w:rsidRPr="00F12253">
        <w:t xml:space="preserve"> = </w:t>
      </w:r>
      <w:r w:rsidR="00826179">
        <w:t>102,715</w:t>
      </w:r>
      <w:r w:rsidR="00366BF3" w:rsidRPr="00F12253">
        <w:t>]</w:t>
      </w:r>
      <w:r w:rsidRPr="00F12253">
        <w:t>.</w:t>
      </w:r>
    </w:p>
    <w:p w14:paraId="317A2B7A" w14:textId="77777777" w:rsidR="00826179" w:rsidRDefault="00826179" w:rsidP="00F52C85">
      <w:pPr>
        <w:rPr>
          <w:b/>
        </w:rPr>
      </w:pPr>
    </w:p>
    <w:p w14:paraId="36E2A9EF" w14:textId="77777777" w:rsidR="005F44AB" w:rsidRPr="007A48F7" w:rsidRDefault="005F44AB" w:rsidP="00F52C85">
      <w:pPr>
        <w:rPr>
          <w:b/>
        </w:rPr>
      </w:pPr>
      <w:r>
        <w:rPr>
          <w:b/>
        </w:rPr>
        <w:t xml:space="preserve">Estimated </w:t>
      </w:r>
      <w:r w:rsidRPr="007A48F7">
        <w:rPr>
          <w:b/>
        </w:rPr>
        <w:t>Annual Burden Hours:</w:t>
      </w:r>
      <w:r>
        <w:rPr>
          <w:b/>
        </w:rPr>
        <w:t xml:space="preserve"> </w:t>
      </w:r>
      <w:r w:rsidR="00366BF3">
        <w:rPr>
          <w:b/>
        </w:rPr>
        <w:t xml:space="preserve"> </w:t>
      </w:r>
      <w:r w:rsidR="002D1CA9">
        <w:rPr>
          <w:b/>
        </w:rPr>
        <w:t>70,000</w:t>
      </w:r>
      <w:r w:rsidR="00366BF3">
        <w:rPr>
          <w:b/>
        </w:rPr>
        <w:t xml:space="preserve"> hours</w:t>
      </w:r>
      <w:r w:rsidRPr="00F12253">
        <w:t>.</w:t>
      </w:r>
    </w:p>
    <w:p w14:paraId="37CC40F6" w14:textId="1695912C" w:rsidR="00DA04A9" w:rsidRPr="00744721" w:rsidRDefault="00DA04A9" w:rsidP="00F52C85">
      <w:pPr>
        <w:pStyle w:val="NormalWeb"/>
        <w:keepNext/>
        <w:rPr>
          <w:b/>
          <w:bCs/>
          <w:szCs w:val="20"/>
        </w:rPr>
      </w:pPr>
      <w:r w:rsidRPr="00744721">
        <w:rPr>
          <w:b/>
          <w:bCs/>
          <w:szCs w:val="20"/>
        </w:rPr>
        <w:t>13. Estimates of Annual Costs to Respondents.</w:t>
      </w:r>
    </w:p>
    <w:p w14:paraId="31E4EA8B" w14:textId="77777777" w:rsidR="007C2A08" w:rsidRDefault="00DA04A9" w:rsidP="00F52C85">
      <w:r w:rsidRPr="00744721">
        <w:t xml:space="preserve">The total cost of </w:t>
      </w:r>
      <w:r w:rsidR="009747CA">
        <w:t>the</w:t>
      </w:r>
      <w:r w:rsidRPr="00744721">
        <w:t xml:space="preserve"> regulations is approximately $</w:t>
      </w:r>
      <w:r w:rsidR="00BC6613">
        <w:t>1.677</w:t>
      </w:r>
      <w:r w:rsidRPr="00744721">
        <w:t xml:space="preserve"> million </w:t>
      </w:r>
      <w:r w:rsidR="009747CA">
        <w:t>per year</w:t>
      </w:r>
      <w:r w:rsidR="00BC6613">
        <w:t xml:space="preserve"> (see Table 2).</w:t>
      </w:r>
    </w:p>
    <w:p w14:paraId="3606B3C8" w14:textId="77777777" w:rsidR="00585839" w:rsidRDefault="00585839" w:rsidP="00F52C85"/>
    <w:tbl>
      <w:tblPr>
        <w:tblStyle w:val="TableGrid"/>
        <w:tblW w:w="7668" w:type="dxa"/>
        <w:tblLook w:val="04A0" w:firstRow="1" w:lastRow="0" w:firstColumn="1" w:lastColumn="0" w:noHBand="0" w:noVBand="1"/>
      </w:tblPr>
      <w:tblGrid>
        <w:gridCol w:w="1010"/>
        <w:gridCol w:w="3564"/>
        <w:gridCol w:w="1834"/>
        <w:gridCol w:w="1260"/>
      </w:tblGrid>
      <w:tr w:rsidR="00BC6613" w14:paraId="4015855E" w14:textId="77777777" w:rsidTr="00733066">
        <w:trPr>
          <w:trHeight w:val="315"/>
        </w:trPr>
        <w:tc>
          <w:tcPr>
            <w:tcW w:w="7668" w:type="dxa"/>
            <w:gridSpan w:val="4"/>
            <w:vAlign w:val="bottom"/>
          </w:tcPr>
          <w:p w14:paraId="3A2BDEF7" w14:textId="77777777" w:rsidR="00BC6613" w:rsidRDefault="00BC6613" w:rsidP="00105D64">
            <w:pPr>
              <w:rPr>
                <w:rFonts w:ascii="Arial Narrow" w:hAnsi="Arial Narrow"/>
                <w:b/>
                <w:bCs/>
                <w:sz w:val="20"/>
                <w:szCs w:val="20"/>
              </w:rPr>
            </w:pPr>
            <w:r w:rsidRPr="00BC6613">
              <w:rPr>
                <w:rFonts w:ascii="Arial Narrow" w:hAnsi="Arial Narrow" w:cs="Arial"/>
                <w:b/>
                <w:bCs/>
                <w:sz w:val="20"/>
                <w:szCs w:val="20"/>
              </w:rPr>
              <w:t>Table 2: Total Annual Recurring Costs for Household Goods Property Brokers</w:t>
            </w:r>
          </w:p>
        </w:tc>
      </w:tr>
      <w:tr w:rsidR="00585839" w14:paraId="46B84100" w14:textId="77777777" w:rsidTr="00105D64">
        <w:trPr>
          <w:trHeight w:val="315"/>
        </w:trPr>
        <w:tc>
          <w:tcPr>
            <w:tcW w:w="1010" w:type="dxa"/>
            <w:vAlign w:val="bottom"/>
            <w:hideMark/>
          </w:tcPr>
          <w:p w14:paraId="14AA469C" w14:textId="77777777" w:rsidR="00585839" w:rsidRDefault="00585839">
            <w:pPr>
              <w:jc w:val="center"/>
              <w:rPr>
                <w:rFonts w:ascii="Arial Narrow" w:hAnsi="Arial Narrow"/>
                <w:b/>
                <w:bCs/>
                <w:sz w:val="20"/>
                <w:szCs w:val="20"/>
              </w:rPr>
            </w:pPr>
            <w:r>
              <w:rPr>
                <w:rFonts w:ascii="Arial Narrow" w:hAnsi="Arial Narrow"/>
                <w:b/>
                <w:bCs/>
                <w:sz w:val="20"/>
                <w:szCs w:val="20"/>
              </w:rPr>
              <w:t>Section</w:t>
            </w:r>
          </w:p>
        </w:tc>
        <w:tc>
          <w:tcPr>
            <w:tcW w:w="3564" w:type="dxa"/>
            <w:vAlign w:val="bottom"/>
            <w:hideMark/>
          </w:tcPr>
          <w:p w14:paraId="636391E1" w14:textId="77777777" w:rsidR="00585839" w:rsidRDefault="00585839">
            <w:pPr>
              <w:jc w:val="center"/>
              <w:rPr>
                <w:rFonts w:ascii="Arial Narrow" w:hAnsi="Arial Narrow"/>
                <w:b/>
                <w:bCs/>
                <w:sz w:val="20"/>
                <w:szCs w:val="20"/>
              </w:rPr>
            </w:pPr>
            <w:r>
              <w:rPr>
                <w:rFonts w:ascii="Arial Narrow" w:hAnsi="Arial Narrow"/>
                <w:b/>
                <w:bCs/>
                <w:sz w:val="20"/>
                <w:szCs w:val="20"/>
              </w:rPr>
              <w:t>Description</w:t>
            </w:r>
          </w:p>
        </w:tc>
        <w:tc>
          <w:tcPr>
            <w:tcW w:w="1834" w:type="dxa"/>
            <w:vAlign w:val="bottom"/>
          </w:tcPr>
          <w:p w14:paraId="7DE06251" w14:textId="77777777" w:rsidR="00585839" w:rsidRDefault="00BC6613">
            <w:pPr>
              <w:jc w:val="center"/>
              <w:rPr>
                <w:rFonts w:ascii="Arial Narrow" w:hAnsi="Arial Narrow"/>
                <w:b/>
                <w:bCs/>
                <w:sz w:val="20"/>
                <w:szCs w:val="20"/>
              </w:rPr>
            </w:pPr>
            <w:r>
              <w:rPr>
                <w:rFonts w:ascii="Arial Narrow" w:hAnsi="Arial Narrow"/>
                <w:b/>
                <w:bCs/>
                <w:sz w:val="20"/>
                <w:szCs w:val="20"/>
              </w:rPr>
              <w:t>Per Respondent</w:t>
            </w:r>
          </w:p>
        </w:tc>
        <w:tc>
          <w:tcPr>
            <w:tcW w:w="1260" w:type="dxa"/>
            <w:vAlign w:val="bottom"/>
            <w:hideMark/>
          </w:tcPr>
          <w:p w14:paraId="2428A7C0" w14:textId="77777777" w:rsidR="00585839" w:rsidRDefault="00BC6613">
            <w:pPr>
              <w:jc w:val="center"/>
              <w:rPr>
                <w:rFonts w:ascii="Arial Narrow" w:hAnsi="Arial Narrow"/>
                <w:b/>
                <w:bCs/>
                <w:sz w:val="20"/>
                <w:szCs w:val="20"/>
              </w:rPr>
            </w:pPr>
            <w:r>
              <w:rPr>
                <w:rFonts w:ascii="Arial Narrow" w:hAnsi="Arial Narrow"/>
                <w:b/>
                <w:bCs/>
                <w:sz w:val="20"/>
                <w:szCs w:val="20"/>
              </w:rPr>
              <w:t xml:space="preserve">Total </w:t>
            </w:r>
            <w:r w:rsidR="00585839">
              <w:rPr>
                <w:rFonts w:ascii="Arial Narrow" w:hAnsi="Arial Narrow"/>
                <w:b/>
                <w:bCs/>
                <w:sz w:val="20"/>
                <w:szCs w:val="20"/>
              </w:rPr>
              <w:t>Cost</w:t>
            </w:r>
          </w:p>
        </w:tc>
      </w:tr>
      <w:tr w:rsidR="00BC6613" w14:paraId="034072C7" w14:textId="77777777" w:rsidTr="00105D64">
        <w:trPr>
          <w:trHeight w:val="300"/>
        </w:trPr>
        <w:tc>
          <w:tcPr>
            <w:tcW w:w="1010" w:type="dxa"/>
            <w:vAlign w:val="bottom"/>
            <w:hideMark/>
          </w:tcPr>
          <w:p w14:paraId="25A26515" w14:textId="77777777" w:rsidR="00BC6613" w:rsidRPr="00105D64" w:rsidRDefault="00BC6613" w:rsidP="00105D64">
            <w:pPr>
              <w:jc w:val="right"/>
              <w:rPr>
                <w:rFonts w:ascii="Arial Narrow" w:hAnsi="Arial Narrow"/>
                <w:bCs/>
                <w:sz w:val="20"/>
                <w:szCs w:val="20"/>
              </w:rPr>
            </w:pPr>
            <w:r w:rsidRPr="00105D64">
              <w:rPr>
                <w:rFonts w:ascii="Arial Narrow" w:hAnsi="Arial Narrow"/>
                <w:bCs/>
                <w:sz w:val="20"/>
                <w:szCs w:val="20"/>
              </w:rPr>
              <w:t>371.107</w:t>
            </w:r>
          </w:p>
        </w:tc>
        <w:tc>
          <w:tcPr>
            <w:tcW w:w="3564" w:type="dxa"/>
            <w:vAlign w:val="bottom"/>
            <w:hideMark/>
          </w:tcPr>
          <w:p w14:paraId="620CA66D" w14:textId="77777777" w:rsidR="00BC6613" w:rsidRPr="00105D64" w:rsidRDefault="00BC6613" w:rsidP="00105D64">
            <w:pPr>
              <w:rPr>
                <w:rFonts w:ascii="Arial Narrow" w:hAnsi="Arial Narrow"/>
                <w:bCs/>
                <w:sz w:val="20"/>
                <w:szCs w:val="20"/>
              </w:rPr>
            </w:pPr>
            <w:r w:rsidRPr="00105D64">
              <w:rPr>
                <w:rFonts w:ascii="Arial Narrow" w:hAnsi="Arial Narrow"/>
                <w:bCs/>
                <w:sz w:val="20"/>
                <w:szCs w:val="20"/>
              </w:rPr>
              <w:t>Website/Ad Modification</w:t>
            </w:r>
          </w:p>
        </w:tc>
        <w:tc>
          <w:tcPr>
            <w:tcW w:w="1834" w:type="dxa"/>
            <w:vAlign w:val="bottom"/>
          </w:tcPr>
          <w:p w14:paraId="1A598E99" w14:textId="77777777" w:rsidR="00BC6613" w:rsidRPr="00585839" w:rsidRDefault="00BC6613" w:rsidP="00585839">
            <w:pPr>
              <w:jc w:val="center"/>
              <w:rPr>
                <w:rFonts w:ascii="Arial Narrow" w:hAnsi="Arial Narrow"/>
                <w:sz w:val="20"/>
                <w:szCs w:val="20"/>
              </w:rPr>
            </w:pPr>
            <w:r>
              <w:rPr>
                <w:rFonts w:ascii="Calibri" w:hAnsi="Calibri"/>
                <w:color w:val="000000"/>
                <w:sz w:val="22"/>
                <w:szCs w:val="22"/>
              </w:rPr>
              <w:t>$830</w:t>
            </w:r>
          </w:p>
        </w:tc>
        <w:tc>
          <w:tcPr>
            <w:tcW w:w="1260" w:type="dxa"/>
            <w:vAlign w:val="bottom"/>
            <w:hideMark/>
          </w:tcPr>
          <w:p w14:paraId="78C045BE" w14:textId="77777777" w:rsidR="00BC6613" w:rsidRPr="00585839" w:rsidRDefault="00BC6613">
            <w:pPr>
              <w:jc w:val="center"/>
              <w:rPr>
                <w:rFonts w:ascii="Arial Narrow" w:hAnsi="Arial Narrow"/>
                <w:sz w:val="20"/>
                <w:szCs w:val="20"/>
              </w:rPr>
            </w:pPr>
            <w:r w:rsidRPr="00585839">
              <w:rPr>
                <w:rFonts w:ascii="Arial Narrow" w:hAnsi="Arial Narrow"/>
                <w:sz w:val="20"/>
                <w:szCs w:val="20"/>
              </w:rPr>
              <w:t>$45</w:t>
            </w:r>
            <w:r>
              <w:rPr>
                <w:rFonts w:ascii="Arial Narrow" w:hAnsi="Arial Narrow"/>
                <w:sz w:val="20"/>
                <w:szCs w:val="20"/>
              </w:rPr>
              <w:t>0,690</w:t>
            </w:r>
          </w:p>
        </w:tc>
      </w:tr>
      <w:tr w:rsidR="00BC6613" w14:paraId="39B56228" w14:textId="77777777" w:rsidTr="00105D64">
        <w:trPr>
          <w:trHeight w:val="300"/>
        </w:trPr>
        <w:tc>
          <w:tcPr>
            <w:tcW w:w="1010" w:type="dxa"/>
            <w:vAlign w:val="bottom"/>
            <w:hideMark/>
          </w:tcPr>
          <w:p w14:paraId="5A7FED5F" w14:textId="77777777" w:rsidR="00BC6613" w:rsidRPr="00105D64" w:rsidRDefault="00BC6613" w:rsidP="00105D64">
            <w:pPr>
              <w:jc w:val="right"/>
              <w:rPr>
                <w:rFonts w:ascii="Arial Narrow" w:hAnsi="Arial Narrow"/>
                <w:bCs/>
                <w:sz w:val="20"/>
                <w:szCs w:val="20"/>
              </w:rPr>
            </w:pPr>
            <w:r w:rsidRPr="00105D64">
              <w:rPr>
                <w:rFonts w:ascii="Arial Narrow" w:hAnsi="Arial Narrow"/>
                <w:bCs/>
                <w:sz w:val="20"/>
                <w:szCs w:val="20"/>
              </w:rPr>
              <w:t>371.109</w:t>
            </w:r>
          </w:p>
        </w:tc>
        <w:tc>
          <w:tcPr>
            <w:tcW w:w="3564" w:type="dxa"/>
            <w:vAlign w:val="bottom"/>
            <w:hideMark/>
          </w:tcPr>
          <w:p w14:paraId="78C22E60" w14:textId="77777777" w:rsidR="00BC6613" w:rsidRPr="00105D64" w:rsidRDefault="00BC6613" w:rsidP="00105D64">
            <w:pPr>
              <w:rPr>
                <w:rFonts w:ascii="Arial Narrow" w:hAnsi="Arial Narrow"/>
                <w:bCs/>
                <w:sz w:val="20"/>
                <w:szCs w:val="20"/>
              </w:rPr>
            </w:pPr>
            <w:r>
              <w:rPr>
                <w:rFonts w:ascii="Arial Narrow" w:hAnsi="Arial Narrow"/>
                <w:bCs/>
                <w:sz w:val="20"/>
                <w:szCs w:val="20"/>
              </w:rPr>
              <w:t>Create a</w:t>
            </w:r>
            <w:r w:rsidRPr="00105D64">
              <w:rPr>
                <w:rFonts w:ascii="Arial Narrow" w:hAnsi="Arial Narrow"/>
                <w:bCs/>
                <w:sz w:val="20"/>
                <w:szCs w:val="20"/>
              </w:rPr>
              <w:t xml:space="preserve"> List of Carriers</w:t>
            </w:r>
          </w:p>
        </w:tc>
        <w:tc>
          <w:tcPr>
            <w:tcW w:w="1834" w:type="dxa"/>
            <w:vAlign w:val="bottom"/>
          </w:tcPr>
          <w:p w14:paraId="4C7A1A0D" w14:textId="77777777" w:rsidR="00BC6613" w:rsidRPr="00585839" w:rsidRDefault="00BC6613" w:rsidP="00585839">
            <w:pPr>
              <w:jc w:val="center"/>
              <w:rPr>
                <w:rFonts w:ascii="Arial Narrow" w:hAnsi="Arial Narrow"/>
                <w:sz w:val="20"/>
                <w:szCs w:val="20"/>
              </w:rPr>
            </w:pPr>
            <w:r>
              <w:rPr>
                <w:rFonts w:ascii="Calibri" w:hAnsi="Calibri"/>
                <w:color w:val="000000"/>
                <w:sz w:val="22"/>
                <w:szCs w:val="22"/>
              </w:rPr>
              <w:t>$245</w:t>
            </w:r>
          </w:p>
        </w:tc>
        <w:tc>
          <w:tcPr>
            <w:tcW w:w="1260" w:type="dxa"/>
            <w:vAlign w:val="bottom"/>
            <w:hideMark/>
          </w:tcPr>
          <w:p w14:paraId="03464443" w14:textId="77777777" w:rsidR="00BC6613" w:rsidRPr="00585839" w:rsidRDefault="00BC6613">
            <w:pPr>
              <w:jc w:val="center"/>
              <w:rPr>
                <w:rFonts w:ascii="Arial Narrow" w:hAnsi="Arial Narrow"/>
                <w:sz w:val="20"/>
                <w:szCs w:val="20"/>
              </w:rPr>
            </w:pPr>
            <w:r w:rsidRPr="00585839">
              <w:rPr>
                <w:rFonts w:ascii="Arial Narrow" w:hAnsi="Arial Narrow"/>
                <w:sz w:val="20"/>
                <w:szCs w:val="20"/>
              </w:rPr>
              <w:t>$133,</w:t>
            </w:r>
            <w:r>
              <w:rPr>
                <w:rFonts w:ascii="Arial Narrow" w:hAnsi="Arial Narrow"/>
                <w:sz w:val="20"/>
                <w:szCs w:val="20"/>
              </w:rPr>
              <w:t>035</w:t>
            </w:r>
          </w:p>
        </w:tc>
      </w:tr>
      <w:tr w:rsidR="00BC6613" w14:paraId="3E47C830" w14:textId="77777777" w:rsidTr="00105D64">
        <w:trPr>
          <w:trHeight w:val="300"/>
        </w:trPr>
        <w:tc>
          <w:tcPr>
            <w:tcW w:w="1010" w:type="dxa"/>
            <w:vAlign w:val="bottom"/>
            <w:hideMark/>
          </w:tcPr>
          <w:p w14:paraId="7E836BA0" w14:textId="77777777" w:rsidR="00BC6613" w:rsidRPr="00105D64" w:rsidRDefault="00105D64" w:rsidP="00105D64">
            <w:pPr>
              <w:jc w:val="right"/>
              <w:rPr>
                <w:rFonts w:ascii="Arial Narrow" w:hAnsi="Arial Narrow"/>
                <w:bCs/>
                <w:sz w:val="20"/>
                <w:szCs w:val="20"/>
              </w:rPr>
            </w:pPr>
            <w:r>
              <w:rPr>
                <w:rFonts w:ascii="Arial Narrow" w:hAnsi="Arial Narrow"/>
                <w:bCs/>
                <w:sz w:val="20"/>
                <w:szCs w:val="20"/>
              </w:rPr>
              <w:t>e</w:t>
            </w:r>
          </w:p>
        </w:tc>
        <w:tc>
          <w:tcPr>
            <w:tcW w:w="3564" w:type="dxa"/>
            <w:vAlign w:val="bottom"/>
            <w:hideMark/>
          </w:tcPr>
          <w:p w14:paraId="12C4DAD4" w14:textId="77777777" w:rsidR="00BC6613" w:rsidRPr="00105D64" w:rsidRDefault="00BC6613" w:rsidP="00105D64">
            <w:pPr>
              <w:rPr>
                <w:rFonts w:ascii="Arial Narrow" w:hAnsi="Arial Narrow"/>
                <w:bCs/>
                <w:sz w:val="20"/>
                <w:szCs w:val="20"/>
              </w:rPr>
            </w:pPr>
            <w:r w:rsidRPr="00105D64">
              <w:rPr>
                <w:rFonts w:ascii="Arial Narrow" w:hAnsi="Arial Narrow"/>
                <w:bCs/>
                <w:sz w:val="20"/>
                <w:szCs w:val="20"/>
              </w:rPr>
              <w:t>Confirming Required Info</w:t>
            </w:r>
          </w:p>
        </w:tc>
        <w:tc>
          <w:tcPr>
            <w:tcW w:w="1834" w:type="dxa"/>
            <w:vAlign w:val="bottom"/>
          </w:tcPr>
          <w:p w14:paraId="250BBAAE" w14:textId="77777777" w:rsidR="00BC6613" w:rsidRPr="00585839" w:rsidRDefault="00BC6613" w:rsidP="00585839">
            <w:pPr>
              <w:jc w:val="center"/>
              <w:rPr>
                <w:rFonts w:ascii="Arial Narrow" w:hAnsi="Arial Narrow"/>
                <w:sz w:val="20"/>
                <w:szCs w:val="20"/>
              </w:rPr>
            </w:pPr>
            <w:r>
              <w:rPr>
                <w:rFonts w:ascii="Calibri" w:hAnsi="Calibri"/>
                <w:color w:val="000000"/>
                <w:sz w:val="22"/>
                <w:szCs w:val="22"/>
              </w:rPr>
              <w:t>$610</w:t>
            </w:r>
          </w:p>
        </w:tc>
        <w:tc>
          <w:tcPr>
            <w:tcW w:w="1260" w:type="dxa"/>
            <w:vAlign w:val="bottom"/>
            <w:hideMark/>
          </w:tcPr>
          <w:p w14:paraId="4E055983" w14:textId="77777777" w:rsidR="00BC6613" w:rsidRPr="00585839" w:rsidRDefault="00BC6613">
            <w:pPr>
              <w:jc w:val="center"/>
              <w:rPr>
                <w:rFonts w:ascii="Arial Narrow" w:hAnsi="Arial Narrow"/>
                <w:sz w:val="20"/>
                <w:szCs w:val="20"/>
              </w:rPr>
            </w:pPr>
            <w:r w:rsidRPr="00585839">
              <w:rPr>
                <w:rFonts w:ascii="Arial Narrow" w:hAnsi="Arial Narrow"/>
                <w:sz w:val="20"/>
                <w:szCs w:val="20"/>
              </w:rPr>
              <w:t>$33</w:t>
            </w:r>
            <w:r>
              <w:rPr>
                <w:rFonts w:ascii="Arial Narrow" w:hAnsi="Arial Narrow"/>
                <w:sz w:val="20"/>
                <w:szCs w:val="20"/>
              </w:rPr>
              <w:t>1,230</w:t>
            </w:r>
          </w:p>
        </w:tc>
      </w:tr>
      <w:tr w:rsidR="00BC6613" w14:paraId="3FBBF322" w14:textId="77777777" w:rsidTr="00105D64">
        <w:trPr>
          <w:trHeight w:val="300"/>
        </w:trPr>
        <w:tc>
          <w:tcPr>
            <w:tcW w:w="1010" w:type="dxa"/>
            <w:vAlign w:val="bottom"/>
            <w:hideMark/>
          </w:tcPr>
          <w:p w14:paraId="62D7ABDB" w14:textId="77777777" w:rsidR="00BC6613" w:rsidRPr="00105D64" w:rsidRDefault="00BC6613" w:rsidP="00105D64">
            <w:pPr>
              <w:jc w:val="right"/>
              <w:rPr>
                <w:rFonts w:ascii="Arial Narrow" w:hAnsi="Arial Narrow"/>
                <w:bCs/>
                <w:sz w:val="20"/>
                <w:szCs w:val="20"/>
              </w:rPr>
            </w:pPr>
            <w:r w:rsidRPr="00105D64">
              <w:rPr>
                <w:rFonts w:ascii="Arial Narrow" w:hAnsi="Arial Narrow"/>
                <w:bCs/>
                <w:sz w:val="20"/>
                <w:szCs w:val="20"/>
              </w:rPr>
              <w:t>371.113</w:t>
            </w:r>
          </w:p>
        </w:tc>
        <w:tc>
          <w:tcPr>
            <w:tcW w:w="3564" w:type="dxa"/>
            <w:vAlign w:val="bottom"/>
            <w:hideMark/>
          </w:tcPr>
          <w:p w14:paraId="06E8E946" w14:textId="77777777" w:rsidR="00BC6613" w:rsidRPr="00105D64" w:rsidRDefault="00BC6613" w:rsidP="00105D64">
            <w:pPr>
              <w:rPr>
                <w:rFonts w:ascii="Arial Narrow" w:hAnsi="Arial Narrow"/>
                <w:bCs/>
                <w:sz w:val="20"/>
                <w:szCs w:val="20"/>
              </w:rPr>
            </w:pPr>
            <w:r w:rsidRPr="00105D64">
              <w:rPr>
                <w:rFonts w:ascii="Arial Narrow" w:hAnsi="Arial Narrow"/>
                <w:bCs/>
                <w:sz w:val="20"/>
                <w:szCs w:val="20"/>
              </w:rPr>
              <w:t>Explanation of Waiver-Agreement</w:t>
            </w:r>
          </w:p>
        </w:tc>
        <w:tc>
          <w:tcPr>
            <w:tcW w:w="1834" w:type="dxa"/>
            <w:vAlign w:val="bottom"/>
          </w:tcPr>
          <w:p w14:paraId="3049C772" w14:textId="77777777" w:rsidR="00BC6613" w:rsidRPr="00585839" w:rsidRDefault="00BC6613" w:rsidP="00585839">
            <w:pPr>
              <w:jc w:val="center"/>
              <w:rPr>
                <w:rFonts w:ascii="Arial Narrow" w:hAnsi="Arial Narrow"/>
                <w:sz w:val="20"/>
                <w:szCs w:val="20"/>
              </w:rPr>
            </w:pPr>
            <w:r>
              <w:rPr>
                <w:rFonts w:ascii="Calibri" w:hAnsi="Calibri"/>
                <w:color w:val="000000"/>
                <w:sz w:val="22"/>
                <w:szCs w:val="22"/>
              </w:rPr>
              <w:t>$59</w:t>
            </w:r>
          </w:p>
        </w:tc>
        <w:tc>
          <w:tcPr>
            <w:tcW w:w="1260" w:type="dxa"/>
            <w:vAlign w:val="bottom"/>
            <w:hideMark/>
          </w:tcPr>
          <w:p w14:paraId="19752FEA" w14:textId="77777777" w:rsidR="00BC6613" w:rsidRPr="00585839" w:rsidRDefault="00BC6613">
            <w:pPr>
              <w:jc w:val="center"/>
              <w:rPr>
                <w:rFonts w:ascii="Arial Narrow" w:hAnsi="Arial Narrow"/>
                <w:sz w:val="20"/>
                <w:szCs w:val="20"/>
              </w:rPr>
            </w:pPr>
            <w:r w:rsidRPr="00585839">
              <w:rPr>
                <w:rFonts w:ascii="Arial Narrow" w:hAnsi="Arial Narrow"/>
                <w:sz w:val="20"/>
                <w:szCs w:val="20"/>
              </w:rPr>
              <w:t>$32,</w:t>
            </w:r>
            <w:r>
              <w:rPr>
                <w:rFonts w:ascii="Arial Narrow" w:hAnsi="Arial Narrow"/>
                <w:sz w:val="20"/>
                <w:szCs w:val="20"/>
              </w:rPr>
              <w:t>037</w:t>
            </w:r>
          </w:p>
        </w:tc>
      </w:tr>
      <w:tr w:rsidR="00BC6613" w14:paraId="1E2FF348" w14:textId="77777777" w:rsidTr="00105D64">
        <w:trPr>
          <w:trHeight w:val="300"/>
        </w:trPr>
        <w:tc>
          <w:tcPr>
            <w:tcW w:w="1010" w:type="dxa"/>
            <w:vAlign w:val="bottom"/>
            <w:hideMark/>
          </w:tcPr>
          <w:p w14:paraId="286B3200" w14:textId="77777777" w:rsidR="00BC6613" w:rsidRPr="00105D64" w:rsidRDefault="00105D64" w:rsidP="00105D64">
            <w:pPr>
              <w:jc w:val="right"/>
              <w:rPr>
                <w:rFonts w:ascii="Arial Narrow" w:hAnsi="Arial Narrow"/>
                <w:bCs/>
                <w:sz w:val="20"/>
                <w:szCs w:val="20"/>
              </w:rPr>
            </w:pPr>
            <w:r>
              <w:rPr>
                <w:rFonts w:ascii="Arial Narrow" w:hAnsi="Arial Narrow" w:cs="Arial"/>
                <w:bCs/>
                <w:sz w:val="20"/>
                <w:szCs w:val="20"/>
              </w:rPr>
              <w:t>e</w:t>
            </w:r>
          </w:p>
        </w:tc>
        <w:tc>
          <w:tcPr>
            <w:tcW w:w="3564" w:type="dxa"/>
            <w:vAlign w:val="bottom"/>
            <w:hideMark/>
          </w:tcPr>
          <w:p w14:paraId="3369EAE4" w14:textId="77777777" w:rsidR="00BC6613" w:rsidRPr="00105D64" w:rsidRDefault="00BC6613" w:rsidP="00105D64">
            <w:pPr>
              <w:rPr>
                <w:rFonts w:ascii="Arial Narrow" w:hAnsi="Arial Narrow"/>
                <w:bCs/>
                <w:sz w:val="20"/>
                <w:szCs w:val="20"/>
              </w:rPr>
            </w:pPr>
            <w:r w:rsidRPr="00105D64">
              <w:rPr>
                <w:rFonts w:ascii="Arial Narrow" w:hAnsi="Arial Narrow"/>
                <w:bCs/>
                <w:sz w:val="20"/>
                <w:szCs w:val="20"/>
              </w:rPr>
              <w:t>Annual Agreements Through Turnover</w:t>
            </w:r>
          </w:p>
        </w:tc>
        <w:tc>
          <w:tcPr>
            <w:tcW w:w="1834" w:type="dxa"/>
            <w:vAlign w:val="bottom"/>
          </w:tcPr>
          <w:p w14:paraId="0164EBD9" w14:textId="77777777" w:rsidR="00BC6613" w:rsidRPr="00585839" w:rsidRDefault="00BC6613" w:rsidP="00585839">
            <w:pPr>
              <w:jc w:val="center"/>
              <w:rPr>
                <w:rFonts w:ascii="Arial Narrow" w:hAnsi="Arial Narrow"/>
                <w:sz w:val="20"/>
                <w:szCs w:val="20"/>
              </w:rPr>
            </w:pPr>
            <w:r>
              <w:rPr>
                <w:rFonts w:ascii="Calibri" w:hAnsi="Calibri"/>
                <w:color w:val="000000"/>
                <w:sz w:val="22"/>
                <w:szCs w:val="22"/>
              </w:rPr>
              <w:t>$1,100</w:t>
            </w:r>
          </w:p>
        </w:tc>
        <w:tc>
          <w:tcPr>
            <w:tcW w:w="1260" w:type="dxa"/>
            <w:vAlign w:val="bottom"/>
            <w:hideMark/>
          </w:tcPr>
          <w:p w14:paraId="17B88E18" w14:textId="77777777" w:rsidR="00BC6613" w:rsidRPr="00585839" w:rsidRDefault="00BC6613">
            <w:pPr>
              <w:jc w:val="center"/>
              <w:rPr>
                <w:rFonts w:ascii="Arial Narrow" w:hAnsi="Arial Narrow"/>
                <w:sz w:val="20"/>
                <w:szCs w:val="20"/>
              </w:rPr>
            </w:pPr>
            <w:r w:rsidRPr="00585839">
              <w:rPr>
                <w:rFonts w:ascii="Arial Narrow" w:hAnsi="Arial Narrow"/>
                <w:sz w:val="20"/>
                <w:szCs w:val="20"/>
              </w:rPr>
              <w:t>$</w:t>
            </w:r>
            <w:r>
              <w:rPr>
                <w:rFonts w:ascii="Arial Narrow" w:hAnsi="Arial Narrow"/>
                <w:sz w:val="20"/>
                <w:szCs w:val="20"/>
              </w:rPr>
              <w:t>597,300</w:t>
            </w:r>
          </w:p>
        </w:tc>
      </w:tr>
      <w:tr w:rsidR="00BC6613" w14:paraId="5E4C5F2B" w14:textId="77777777" w:rsidTr="00105D64">
        <w:trPr>
          <w:trHeight w:val="315"/>
        </w:trPr>
        <w:tc>
          <w:tcPr>
            <w:tcW w:w="1010" w:type="dxa"/>
            <w:vAlign w:val="bottom"/>
            <w:hideMark/>
          </w:tcPr>
          <w:p w14:paraId="3094D7DA" w14:textId="77777777" w:rsidR="00BC6613" w:rsidRPr="00105D64" w:rsidRDefault="00BC6613" w:rsidP="00105D64">
            <w:pPr>
              <w:jc w:val="right"/>
              <w:rPr>
                <w:rFonts w:ascii="Arial Narrow" w:hAnsi="Arial Narrow"/>
                <w:bCs/>
                <w:sz w:val="20"/>
                <w:szCs w:val="20"/>
              </w:rPr>
            </w:pPr>
            <w:r w:rsidRPr="00105D64">
              <w:rPr>
                <w:rFonts w:ascii="Arial Narrow" w:hAnsi="Arial Narrow"/>
                <w:bCs/>
                <w:sz w:val="20"/>
                <w:szCs w:val="20"/>
              </w:rPr>
              <w:t>371.117</w:t>
            </w:r>
          </w:p>
        </w:tc>
        <w:tc>
          <w:tcPr>
            <w:tcW w:w="3564" w:type="dxa"/>
            <w:vAlign w:val="bottom"/>
            <w:hideMark/>
          </w:tcPr>
          <w:p w14:paraId="59299B5A" w14:textId="77777777" w:rsidR="00BC6613" w:rsidRPr="00105D64" w:rsidRDefault="00BC6613" w:rsidP="00105D64">
            <w:pPr>
              <w:rPr>
                <w:rFonts w:ascii="Arial Narrow" w:hAnsi="Arial Narrow"/>
                <w:bCs/>
                <w:sz w:val="20"/>
                <w:szCs w:val="20"/>
              </w:rPr>
            </w:pPr>
            <w:r w:rsidRPr="00105D64">
              <w:rPr>
                <w:rFonts w:ascii="Arial Narrow" w:hAnsi="Arial Narrow"/>
                <w:bCs/>
                <w:sz w:val="20"/>
                <w:szCs w:val="20"/>
              </w:rPr>
              <w:t>Disclosure and Records</w:t>
            </w:r>
          </w:p>
        </w:tc>
        <w:tc>
          <w:tcPr>
            <w:tcW w:w="1834" w:type="dxa"/>
            <w:vAlign w:val="bottom"/>
          </w:tcPr>
          <w:p w14:paraId="2C39A307" w14:textId="77777777" w:rsidR="00BC6613" w:rsidRPr="00585839" w:rsidRDefault="00BC6613" w:rsidP="00585839">
            <w:pPr>
              <w:jc w:val="center"/>
              <w:rPr>
                <w:rFonts w:ascii="Arial Narrow" w:hAnsi="Arial Narrow"/>
                <w:sz w:val="20"/>
                <w:szCs w:val="20"/>
              </w:rPr>
            </w:pPr>
            <w:r>
              <w:rPr>
                <w:rFonts w:ascii="Calibri" w:hAnsi="Calibri"/>
                <w:color w:val="000000"/>
                <w:sz w:val="22"/>
                <w:szCs w:val="22"/>
              </w:rPr>
              <w:t>$245</w:t>
            </w:r>
          </w:p>
        </w:tc>
        <w:tc>
          <w:tcPr>
            <w:tcW w:w="1260" w:type="dxa"/>
            <w:vAlign w:val="bottom"/>
            <w:hideMark/>
          </w:tcPr>
          <w:p w14:paraId="3A2FFEBD" w14:textId="77777777" w:rsidR="00BC6613" w:rsidRPr="00585839" w:rsidRDefault="00BC6613">
            <w:pPr>
              <w:jc w:val="center"/>
              <w:rPr>
                <w:rFonts w:ascii="Arial Narrow" w:hAnsi="Arial Narrow"/>
                <w:sz w:val="20"/>
                <w:szCs w:val="20"/>
              </w:rPr>
            </w:pPr>
            <w:r w:rsidRPr="00585839">
              <w:rPr>
                <w:rFonts w:ascii="Arial Narrow" w:hAnsi="Arial Narrow"/>
                <w:sz w:val="20"/>
                <w:szCs w:val="20"/>
              </w:rPr>
              <w:t>$133,0</w:t>
            </w:r>
            <w:r>
              <w:rPr>
                <w:rFonts w:ascii="Arial Narrow" w:hAnsi="Arial Narrow"/>
                <w:sz w:val="20"/>
                <w:szCs w:val="20"/>
              </w:rPr>
              <w:t>35</w:t>
            </w:r>
          </w:p>
        </w:tc>
      </w:tr>
      <w:tr w:rsidR="00585839" w14:paraId="2A2887B8" w14:textId="77777777" w:rsidTr="00105D64">
        <w:trPr>
          <w:trHeight w:val="315"/>
        </w:trPr>
        <w:tc>
          <w:tcPr>
            <w:tcW w:w="1010" w:type="dxa"/>
            <w:hideMark/>
          </w:tcPr>
          <w:p w14:paraId="32EBCB8A" w14:textId="77777777" w:rsidR="00585839" w:rsidRDefault="00585839">
            <w:pPr>
              <w:jc w:val="center"/>
              <w:rPr>
                <w:rFonts w:ascii="Arial Narrow" w:hAnsi="Arial Narrow"/>
                <w:b/>
                <w:bCs/>
                <w:sz w:val="20"/>
                <w:szCs w:val="20"/>
              </w:rPr>
            </w:pPr>
            <w:r>
              <w:rPr>
                <w:rFonts w:ascii="Arial Narrow" w:hAnsi="Arial Narrow"/>
                <w:b/>
                <w:bCs/>
                <w:sz w:val="20"/>
                <w:szCs w:val="20"/>
              </w:rPr>
              <w:t> </w:t>
            </w:r>
          </w:p>
        </w:tc>
        <w:tc>
          <w:tcPr>
            <w:tcW w:w="3564" w:type="dxa"/>
            <w:vAlign w:val="bottom"/>
            <w:hideMark/>
          </w:tcPr>
          <w:p w14:paraId="1AEC3B96" w14:textId="77777777" w:rsidR="00585839" w:rsidRDefault="00585839" w:rsidP="00105D64">
            <w:pPr>
              <w:jc w:val="right"/>
              <w:rPr>
                <w:rFonts w:ascii="Arial Narrow" w:hAnsi="Arial Narrow"/>
                <w:b/>
                <w:bCs/>
                <w:sz w:val="20"/>
                <w:szCs w:val="20"/>
              </w:rPr>
            </w:pPr>
            <w:r>
              <w:rPr>
                <w:rFonts w:ascii="Arial Narrow" w:hAnsi="Arial Narrow"/>
                <w:b/>
                <w:bCs/>
                <w:sz w:val="20"/>
                <w:szCs w:val="20"/>
              </w:rPr>
              <w:t>Total Annually Recurring Costs</w:t>
            </w:r>
          </w:p>
        </w:tc>
        <w:tc>
          <w:tcPr>
            <w:tcW w:w="1834" w:type="dxa"/>
            <w:vAlign w:val="bottom"/>
          </w:tcPr>
          <w:p w14:paraId="73B6A3C9" w14:textId="77777777" w:rsidR="00585839" w:rsidRDefault="00BC6613">
            <w:pPr>
              <w:jc w:val="center"/>
              <w:rPr>
                <w:rFonts w:ascii="Arial Narrow" w:hAnsi="Arial Narrow"/>
                <w:b/>
                <w:bCs/>
                <w:sz w:val="20"/>
                <w:szCs w:val="20"/>
              </w:rPr>
            </w:pPr>
            <w:r>
              <w:rPr>
                <w:rFonts w:ascii="Arial Narrow" w:hAnsi="Arial Narrow"/>
                <w:b/>
                <w:bCs/>
                <w:sz w:val="20"/>
                <w:szCs w:val="20"/>
              </w:rPr>
              <w:t>$3,089</w:t>
            </w:r>
          </w:p>
        </w:tc>
        <w:tc>
          <w:tcPr>
            <w:tcW w:w="1260" w:type="dxa"/>
            <w:vAlign w:val="bottom"/>
            <w:hideMark/>
          </w:tcPr>
          <w:p w14:paraId="40B63BFF" w14:textId="77777777" w:rsidR="00585839" w:rsidRDefault="00585839">
            <w:pPr>
              <w:jc w:val="center"/>
              <w:rPr>
                <w:rFonts w:ascii="Arial Narrow" w:hAnsi="Arial Narrow"/>
                <w:b/>
                <w:bCs/>
                <w:sz w:val="20"/>
                <w:szCs w:val="20"/>
              </w:rPr>
            </w:pPr>
            <w:r>
              <w:rPr>
                <w:rFonts w:ascii="Arial Narrow" w:hAnsi="Arial Narrow"/>
                <w:b/>
                <w:bCs/>
                <w:sz w:val="20"/>
                <w:szCs w:val="20"/>
              </w:rPr>
              <w:t>$1,6</w:t>
            </w:r>
            <w:r w:rsidR="00BC6613">
              <w:rPr>
                <w:rFonts w:ascii="Arial Narrow" w:hAnsi="Arial Narrow"/>
                <w:b/>
                <w:bCs/>
                <w:sz w:val="20"/>
                <w:szCs w:val="20"/>
              </w:rPr>
              <w:t>77,327</w:t>
            </w:r>
          </w:p>
        </w:tc>
      </w:tr>
    </w:tbl>
    <w:p w14:paraId="6FEB6EC4" w14:textId="77777777" w:rsidR="00585839" w:rsidRDefault="00585839" w:rsidP="00F52C85"/>
    <w:p w14:paraId="360535A3" w14:textId="77777777" w:rsidR="002C1926" w:rsidRDefault="002C1926" w:rsidP="00F52C85"/>
    <w:p w14:paraId="00E77F5E" w14:textId="77777777" w:rsidR="002C1926" w:rsidRPr="002C1926" w:rsidRDefault="002C1926" w:rsidP="00F52C85">
      <w:pPr>
        <w:rPr>
          <w:b/>
        </w:rPr>
      </w:pPr>
      <w:r w:rsidRPr="002C1926">
        <w:rPr>
          <w:b/>
        </w:rPr>
        <w:t xml:space="preserve">Estimate of Annual Costs to Respondents:  </w:t>
      </w:r>
      <w:r>
        <w:rPr>
          <w:b/>
        </w:rPr>
        <w:t>$</w:t>
      </w:r>
      <w:r w:rsidR="009747CA">
        <w:rPr>
          <w:b/>
        </w:rPr>
        <w:t>1.</w:t>
      </w:r>
      <w:r w:rsidR="00585839">
        <w:rPr>
          <w:b/>
        </w:rPr>
        <w:t>686</w:t>
      </w:r>
      <w:r w:rsidR="009747CA">
        <w:rPr>
          <w:b/>
        </w:rPr>
        <w:t xml:space="preserve"> </w:t>
      </w:r>
      <w:r w:rsidR="00F12253">
        <w:rPr>
          <w:b/>
        </w:rPr>
        <w:t xml:space="preserve">million </w:t>
      </w:r>
    </w:p>
    <w:p w14:paraId="4C0DE1C2" w14:textId="77777777" w:rsidR="00DA04A9" w:rsidRPr="00744721" w:rsidRDefault="00DA04A9" w:rsidP="00F52C85">
      <w:pPr>
        <w:pStyle w:val="NormalWeb"/>
        <w:rPr>
          <w:b/>
          <w:bCs/>
          <w:szCs w:val="20"/>
        </w:rPr>
      </w:pPr>
      <w:r w:rsidRPr="00744721">
        <w:rPr>
          <w:b/>
          <w:bCs/>
          <w:szCs w:val="20"/>
        </w:rPr>
        <w:t>14. Estimate of Annual Costs to the Federal Government.</w:t>
      </w:r>
    </w:p>
    <w:p w14:paraId="4B9ABA8D" w14:textId="77777777" w:rsidR="003D2A30" w:rsidRPr="00744721" w:rsidRDefault="00D32072" w:rsidP="00F52C85">
      <w:r>
        <w:t>Household Goods Brokers are required to provide information and make information available to shippers, but the Federal Government does not routinely collect information for this burden.  Therefore this IC does not impose costs on the Federal Government.</w:t>
      </w:r>
      <w:r w:rsidR="00EB3C29" w:rsidRPr="00744721">
        <w:t xml:space="preserve"> </w:t>
      </w:r>
      <w:r w:rsidR="003D2A30" w:rsidRPr="003D2A30">
        <w:t xml:space="preserve"> </w:t>
      </w:r>
    </w:p>
    <w:p w14:paraId="09F387D2" w14:textId="77777777" w:rsidR="00DA04A9" w:rsidRPr="00744721" w:rsidRDefault="00DA04A9" w:rsidP="00F52C85">
      <w:pPr>
        <w:pStyle w:val="NormalWeb"/>
        <w:rPr>
          <w:b/>
          <w:bCs/>
          <w:szCs w:val="20"/>
        </w:rPr>
      </w:pPr>
      <w:r w:rsidRPr="00744721">
        <w:rPr>
          <w:b/>
          <w:bCs/>
          <w:szCs w:val="20"/>
        </w:rPr>
        <w:t>15. Explanation of Program Changes or Adjustments.</w:t>
      </w:r>
    </w:p>
    <w:p w14:paraId="5EAE3989" w14:textId="1F3169A9" w:rsidR="007C2A08" w:rsidRDefault="002D1CA9" w:rsidP="00F52C85">
      <w:pPr>
        <w:rPr>
          <w:b/>
          <w:bCs/>
        </w:rPr>
      </w:pPr>
      <w:r>
        <w:t xml:space="preserve">A </w:t>
      </w:r>
      <w:r w:rsidR="00510827">
        <w:t>revised estimate</w:t>
      </w:r>
      <w:r w:rsidR="000975D3" w:rsidRPr="000975D3">
        <w:t xml:space="preserve"> of </w:t>
      </w:r>
      <w:r w:rsidR="003924D2">
        <w:t xml:space="preserve">70,085 </w:t>
      </w:r>
      <w:r w:rsidR="000975D3" w:rsidRPr="000975D3">
        <w:t>annual burden hours [</w:t>
      </w:r>
      <w:r w:rsidR="00826179">
        <w:t>89,607</w:t>
      </w:r>
      <w:r w:rsidR="000975D3" w:rsidRPr="000975D3">
        <w:t xml:space="preserve"> currently approved estimated annual burden hours </w:t>
      </w:r>
      <w:r w:rsidR="00826179">
        <w:t>–</w:t>
      </w:r>
      <w:r w:rsidR="000975D3" w:rsidRPr="000975D3">
        <w:t xml:space="preserve"> </w:t>
      </w:r>
      <w:r w:rsidR="00826179">
        <w:t>70,085</w:t>
      </w:r>
      <w:r w:rsidR="000975D3" w:rsidRPr="000975D3">
        <w:t xml:space="preserve"> proposed estimated annual burden hours = </w:t>
      </w:r>
      <w:r w:rsidR="003924D2">
        <w:t xml:space="preserve">an estimated burden reduction of </w:t>
      </w:r>
      <w:r w:rsidR="00826179">
        <w:t>19,522</w:t>
      </w:r>
      <w:r w:rsidR="000975D3" w:rsidRPr="000975D3">
        <w:t>]</w:t>
      </w:r>
      <w:r>
        <w:t xml:space="preserve"> </w:t>
      </w:r>
      <w:r w:rsidR="00C734B3">
        <w:t xml:space="preserve">is the result of the removal </w:t>
      </w:r>
      <w:r w:rsidR="003E1AF5">
        <w:t>of a 1</w:t>
      </w:r>
      <w:r w:rsidR="00C734B3">
        <w:t>,</w:t>
      </w:r>
      <w:r w:rsidR="003E1AF5">
        <w:t xml:space="preserve">000 </w:t>
      </w:r>
      <w:r>
        <w:t xml:space="preserve">burden-hours </w:t>
      </w:r>
      <w:r w:rsidR="00C734B3">
        <w:t xml:space="preserve">from the first year of the IC </w:t>
      </w:r>
      <w:r w:rsidR="009747CA">
        <w:t>that are no longer applicable</w:t>
      </w:r>
      <w:r w:rsidR="00C734B3">
        <w:t xml:space="preserve">, as well as </w:t>
      </w:r>
      <w:r w:rsidR="003E1AF5">
        <w:t xml:space="preserve">a difference in calculations using </w:t>
      </w:r>
      <w:r>
        <w:t xml:space="preserve">an updated estimate of </w:t>
      </w:r>
      <w:r w:rsidR="00355A5B">
        <w:t xml:space="preserve">number of household goods brokers </w:t>
      </w:r>
      <w:r w:rsidR="00656815">
        <w:t>from 690 brokers to 5</w:t>
      </w:r>
      <w:r w:rsidR="008B25B7">
        <w:t>43</w:t>
      </w:r>
      <w:r w:rsidR="00656815">
        <w:t xml:space="preserve"> brokers (</w:t>
      </w:r>
      <w:r w:rsidR="00355A5B">
        <w:t>based on 2015 data</w:t>
      </w:r>
      <w:r w:rsidR="00656815">
        <w:t>)</w:t>
      </w:r>
      <w:r>
        <w:t>.</w:t>
      </w:r>
    </w:p>
    <w:p w14:paraId="5CE22A17" w14:textId="77777777" w:rsidR="00DA04A9" w:rsidRPr="00744721" w:rsidRDefault="00DA04A9" w:rsidP="00F52C85">
      <w:pPr>
        <w:pStyle w:val="NormalWeb"/>
        <w:keepNext/>
        <w:rPr>
          <w:b/>
          <w:bCs/>
          <w:szCs w:val="20"/>
        </w:rPr>
      </w:pPr>
      <w:r w:rsidRPr="00744721">
        <w:rPr>
          <w:b/>
          <w:bCs/>
          <w:szCs w:val="20"/>
        </w:rPr>
        <w:t>16. Publication of Results of Data Collection.</w:t>
      </w:r>
    </w:p>
    <w:p w14:paraId="6B758EB7" w14:textId="77777777" w:rsidR="003D2A30" w:rsidRDefault="00DA04A9" w:rsidP="00F52C85">
      <w:pPr>
        <w:rPr>
          <w:b/>
          <w:bCs/>
        </w:rPr>
      </w:pPr>
      <w:r w:rsidRPr="00744721">
        <w:t>FMCSA does not plan to publish any results.</w:t>
      </w:r>
      <w:r w:rsidR="003D2A30" w:rsidRPr="003D2A30">
        <w:t xml:space="preserve"> </w:t>
      </w:r>
    </w:p>
    <w:p w14:paraId="17F104EF" w14:textId="77777777" w:rsidR="00DA04A9" w:rsidRPr="00744721" w:rsidRDefault="00DA04A9" w:rsidP="00F52C85">
      <w:pPr>
        <w:pStyle w:val="NormalWeb"/>
        <w:rPr>
          <w:b/>
          <w:bCs/>
          <w:szCs w:val="20"/>
        </w:rPr>
      </w:pPr>
      <w:r w:rsidRPr="00744721">
        <w:rPr>
          <w:b/>
          <w:bCs/>
          <w:szCs w:val="20"/>
        </w:rPr>
        <w:t>17. Approval for not Displaying the Expiration Date of OMB Approval.</w:t>
      </w:r>
    </w:p>
    <w:p w14:paraId="14570172" w14:textId="77777777" w:rsidR="003D2A30" w:rsidRDefault="00DA04A9" w:rsidP="00F52C85">
      <w:pPr>
        <w:rPr>
          <w:b/>
          <w:bCs/>
        </w:rPr>
      </w:pPr>
      <w:r w:rsidRPr="00744721">
        <w:t>The FMCSA is not seeking approval to not display the expiration date of OMB approval of the information collection.</w:t>
      </w:r>
      <w:r w:rsidR="003D2A30" w:rsidRPr="003D2A30">
        <w:t xml:space="preserve"> </w:t>
      </w:r>
    </w:p>
    <w:p w14:paraId="68DF23DD" w14:textId="77777777" w:rsidR="00DA04A9" w:rsidRPr="00744721" w:rsidRDefault="00DA04A9" w:rsidP="00F52C85">
      <w:pPr>
        <w:pStyle w:val="NormalWeb"/>
        <w:keepNext/>
        <w:rPr>
          <w:b/>
          <w:bCs/>
          <w:szCs w:val="20"/>
        </w:rPr>
      </w:pPr>
      <w:r w:rsidRPr="00744721">
        <w:rPr>
          <w:b/>
          <w:bCs/>
          <w:szCs w:val="20"/>
        </w:rPr>
        <w:t>18. Exceptions to Certification Statement.</w:t>
      </w:r>
    </w:p>
    <w:p w14:paraId="536FD0FE" w14:textId="33C4976F" w:rsidR="003F4BB2" w:rsidRDefault="00DA04A9" w:rsidP="009A36C9">
      <w:r w:rsidRPr="00744721">
        <w:rPr>
          <w:szCs w:val="20"/>
        </w:rPr>
        <w:t>There are no exceptions to the certification statement.</w:t>
      </w:r>
      <w:r w:rsidR="003D2A30" w:rsidRPr="003D2A30">
        <w:t xml:space="preserve"> </w:t>
      </w:r>
    </w:p>
    <w:p w14:paraId="17F256DE" w14:textId="044EA8B8" w:rsidR="00DD3707" w:rsidRDefault="00DD3707" w:rsidP="009A36C9"/>
    <w:p w14:paraId="58AB5549" w14:textId="60D0F5F5" w:rsidR="00DD3707" w:rsidRDefault="00DD3707" w:rsidP="009A36C9"/>
    <w:p w14:paraId="5F5C9F92" w14:textId="4CB2E7AB" w:rsidR="00DD3707" w:rsidRPr="0049461A" w:rsidRDefault="00DD3707" w:rsidP="009A36C9">
      <w:pPr>
        <w:rPr>
          <w:b/>
        </w:rPr>
      </w:pPr>
      <w:r w:rsidRPr="0049461A">
        <w:rPr>
          <w:b/>
        </w:rPr>
        <w:t>Attachments</w:t>
      </w:r>
    </w:p>
    <w:p w14:paraId="066E772C" w14:textId="77777777" w:rsidR="00DD3707" w:rsidRDefault="00DD3707" w:rsidP="009A36C9"/>
    <w:p w14:paraId="4B789D75" w14:textId="6A4854FC" w:rsidR="00DD3707" w:rsidRDefault="00DD3707" w:rsidP="009A36C9">
      <w:r>
        <w:t xml:space="preserve">Attachment A - </w:t>
      </w:r>
      <w:r w:rsidR="004103B1">
        <w:t>Title 49 CFR P</w:t>
      </w:r>
      <w:r>
        <w:t xml:space="preserve">art 371 </w:t>
      </w:r>
    </w:p>
    <w:p w14:paraId="1F03B6E4" w14:textId="097A0948" w:rsidR="00DD3707" w:rsidRDefault="00DD3707" w:rsidP="009A36C9">
      <w:r>
        <w:t xml:space="preserve">Attachment B </w:t>
      </w:r>
      <w:r w:rsidR="0049461A">
        <w:t xml:space="preserve">- </w:t>
      </w:r>
      <w:r w:rsidR="00DC13F9">
        <w:t xml:space="preserve">Brokers of HHG Final Rule </w:t>
      </w:r>
      <w:r w:rsidR="0049461A">
        <w:t>(</w:t>
      </w:r>
      <w:r>
        <w:t>75 FR 72987</w:t>
      </w:r>
      <w:r w:rsidR="0049461A">
        <w:t>)</w:t>
      </w:r>
      <w:r>
        <w:t>, November 29, 2010</w:t>
      </w:r>
      <w:r w:rsidR="004103B1">
        <w:t>.</w:t>
      </w:r>
      <w:r>
        <w:t xml:space="preserve">  </w:t>
      </w:r>
    </w:p>
    <w:p w14:paraId="0C1DB639" w14:textId="4A777011" w:rsidR="00DD3707" w:rsidRDefault="00DD3707" w:rsidP="009A36C9">
      <w:r>
        <w:t>Attachment C - P</w:t>
      </w:r>
      <w:r w:rsidRPr="00744721">
        <w:t xml:space="preserve">etition for </w:t>
      </w:r>
      <w:r w:rsidR="0049461A">
        <w:t>R</w:t>
      </w:r>
      <w:r w:rsidR="004103B1">
        <w:t xml:space="preserve">ulemaking, </w:t>
      </w:r>
      <w:r w:rsidRPr="00744721">
        <w:t>American Moving and Storage Association (AMSA)</w:t>
      </w:r>
      <w:r>
        <w:t xml:space="preserve"> </w:t>
      </w:r>
    </w:p>
    <w:p w14:paraId="67F0B37A" w14:textId="2803428F" w:rsidR="00DD3707" w:rsidRDefault="00DD3707" w:rsidP="009A36C9">
      <w:r w:rsidRPr="00744721">
        <w:t xml:space="preserve">Attachment </w:t>
      </w:r>
      <w:r>
        <w:t xml:space="preserve">D - Section 4212 of SAFETEA-LU </w:t>
      </w:r>
    </w:p>
    <w:p w14:paraId="004A8929" w14:textId="16165FA4" w:rsidR="00DD3707" w:rsidRDefault="00DD3707" w:rsidP="009A36C9">
      <w:r>
        <w:t>Attachment E</w:t>
      </w:r>
      <w:r w:rsidRPr="00744721">
        <w:t xml:space="preserve"> </w:t>
      </w:r>
      <w:r>
        <w:t xml:space="preserve">- </w:t>
      </w:r>
      <w:r w:rsidR="00DC13F9">
        <w:t>“Ready to Move” B</w:t>
      </w:r>
      <w:r w:rsidRPr="00744721">
        <w:t>rochure</w:t>
      </w:r>
      <w:r w:rsidR="00DC13F9">
        <w:t>, April 14, 2006.</w:t>
      </w:r>
      <w:r>
        <w:t xml:space="preserve"> </w:t>
      </w:r>
    </w:p>
    <w:p w14:paraId="1408C918" w14:textId="1DC11E27" w:rsidR="00DD3707" w:rsidRDefault="00DD3707" w:rsidP="009A36C9">
      <w:r>
        <w:t>Attachment F</w:t>
      </w:r>
      <w:r w:rsidRPr="00744721">
        <w:t xml:space="preserve"> </w:t>
      </w:r>
      <w:r>
        <w:t xml:space="preserve">- </w:t>
      </w:r>
      <w:r w:rsidRPr="00744721">
        <w:t>“Your Rights and R</w:t>
      </w:r>
      <w:r w:rsidR="00DC13F9">
        <w:t>esponsibilities When You Move” P</w:t>
      </w:r>
      <w:r w:rsidRPr="00744721">
        <w:t>amphlet</w:t>
      </w:r>
      <w:r w:rsidR="00DC13F9">
        <w:t xml:space="preserve">, </w:t>
      </w:r>
      <w:r w:rsidR="00DC13F9" w:rsidRPr="00DC13F9">
        <w:t>April 14, 2006.</w:t>
      </w:r>
    </w:p>
    <w:p w14:paraId="14670733" w14:textId="58C96DEE" w:rsidR="00DD3707" w:rsidRDefault="00DD3707" w:rsidP="009A36C9">
      <w:r>
        <w:t xml:space="preserve">Attachment G - 60-day FR Notice (82 FR 14102), </w:t>
      </w:r>
      <w:r w:rsidR="004103B1">
        <w:t>March 16, 2017.</w:t>
      </w:r>
    </w:p>
    <w:p w14:paraId="3B839C0C" w14:textId="21C309AB" w:rsidR="00DD3707" w:rsidRDefault="00A362F3" w:rsidP="009A36C9">
      <w:r>
        <w:t xml:space="preserve">Attachment H - </w:t>
      </w:r>
      <w:r w:rsidR="00DD3707">
        <w:t>30-day FR Notice for Reinstatement (82 FR 38988), August 16, 2017.</w:t>
      </w:r>
    </w:p>
    <w:p w14:paraId="798199DC" w14:textId="3111924F" w:rsidR="00A362F3" w:rsidRDefault="00A362F3" w:rsidP="00A362F3">
      <w:r>
        <w:t xml:space="preserve">Attachment I -  Correction to 30-day FR Notice for Reinstatement (82 FR 46606), </w:t>
      </w:r>
    </w:p>
    <w:p w14:paraId="48FDEE6F" w14:textId="6FA98FA9" w:rsidR="00893118" w:rsidRDefault="00A362F3" w:rsidP="00A362F3">
      <w:pPr>
        <w:ind w:left="720" w:firstLine="720"/>
      </w:pPr>
      <w:r>
        <w:t xml:space="preserve"> October 5, 2017.</w:t>
      </w:r>
    </w:p>
    <w:p w14:paraId="66A13A05" w14:textId="77777777" w:rsidR="00DD3707" w:rsidRDefault="00DD3707" w:rsidP="009A36C9"/>
    <w:p w14:paraId="7D18222B" w14:textId="77777777" w:rsidR="00DD3707" w:rsidRDefault="00DD3707" w:rsidP="009A36C9"/>
    <w:p w14:paraId="2E5AE9F3" w14:textId="77777777" w:rsidR="00DD3707" w:rsidRPr="00744721" w:rsidRDefault="00DD3707" w:rsidP="009A36C9"/>
    <w:sectPr w:rsidR="00DD3707" w:rsidRPr="00744721">
      <w:footerReference w:type="even"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4D1F5" w14:textId="77777777" w:rsidR="00720C0F" w:rsidRDefault="00720C0F">
      <w:r>
        <w:separator/>
      </w:r>
    </w:p>
  </w:endnote>
  <w:endnote w:type="continuationSeparator" w:id="0">
    <w:p w14:paraId="02C8DC82" w14:textId="77777777" w:rsidR="00720C0F" w:rsidRDefault="007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34C6" w14:textId="77777777" w:rsidR="002C1926" w:rsidRDefault="002C1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4F39647" w14:textId="77777777" w:rsidR="002C1926" w:rsidRDefault="002C1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89C79" w14:textId="574F976D" w:rsidR="002C1926" w:rsidRDefault="002C1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398">
      <w:rPr>
        <w:rStyle w:val="PageNumber"/>
        <w:noProof/>
      </w:rPr>
      <w:t>2</w:t>
    </w:r>
    <w:r>
      <w:rPr>
        <w:rStyle w:val="PageNumber"/>
      </w:rPr>
      <w:fldChar w:fldCharType="end"/>
    </w:r>
  </w:p>
  <w:p w14:paraId="0847B6C9" w14:textId="77777777" w:rsidR="002C1926" w:rsidRDefault="002C1926">
    <w:pPr>
      <w:pStyle w:val="Footer"/>
      <w:tabs>
        <w:tab w:val="clear" w:pos="4320"/>
        <w:tab w:val="clear" w:pos="8640"/>
        <w:tab w:val="right" w:pos="9360"/>
      </w:tabs>
      <w:rPr>
        <w:rFonts w:ascii="Arial" w:hAnsi="Arial" w:cs="Arial"/>
        <w:szCs w:val="20"/>
      </w:rPr>
    </w:pPr>
  </w:p>
  <w:p w14:paraId="423BF4EB" w14:textId="77777777" w:rsidR="002C1926" w:rsidRDefault="002C1926">
    <w:pPr>
      <w:pStyle w:val="Footer"/>
      <w:tabs>
        <w:tab w:val="clear" w:pos="4320"/>
        <w:tab w:val="clear" w:pos="864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8B23" w14:textId="77777777" w:rsidR="002C1926" w:rsidRDefault="002C1926">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3FBE2" w14:textId="77777777" w:rsidR="00720C0F" w:rsidRDefault="00720C0F">
      <w:r>
        <w:separator/>
      </w:r>
    </w:p>
  </w:footnote>
  <w:footnote w:type="continuationSeparator" w:id="0">
    <w:p w14:paraId="213C4B82" w14:textId="77777777" w:rsidR="00720C0F" w:rsidRDefault="00720C0F">
      <w:r>
        <w:continuationSeparator/>
      </w:r>
    </w:p>
  </w:footnote>
  <w:footnote w:id="1">
    <w:p w14:paraId="185D29EF" w14:textId="77777777" w:rsidR="002C1926" w:rsidRDefault="002C1926" w:rsidP="004766DB">
      <w:pPr>
        <w:pStyle w:val="FootnoteText"/>
      </w:pPr>
      <w:r>
        <w:rPr>
          <w:rStyle w:val="FootnoteReference"/>
        </w:rPr>
        <w:footnoteRef/>
      </w:r>
      <w:r>
        <w:t xml:space="preserve"> A broker generally becomes inactive after registering with FMCSA when its surety bond or trust fund is cancelled.</w:t>
      </w:r>
    </w:p>
  </w:footnote>
  <w:footnote w:id="2">
    <w:p w14:paraId="491E67A7" w14:textId="77777777" w:rsidR="002C1926" w:rsidRDefault="002C1926" w:rsidP="001A6E5D">
      <w:pPr>
        <w:pStyle w:val="FootnoteText"/>
      </w:pPr>
      <w:r>
        <w:rPr>
          <w:rStyle w:val="FootnoteReference"/>
        </w:rPr>
        <w:footnoteRef/>
      </w:r>
      <w:r>
        <w:t xml:space="preserve"> 5 agreements for 6 years = 5+5+5+5+5+5 = 30 agreements. This in essence means (is an assumption) that a broker’s carrier population (of 31 agreements) turns over about every six years. </w:t>
      </w:r>
    </w:p>
  </w:footnote>
  <w:footnote w:id="3">
    <w:p w14:paraId="2E7B437E" w14:textId="77777777" w:rsidR="002C1926" w:rsidRDefault="002C1926" w:rsidP="00C65B6C">
      <w:pPr>
        <w:autoSpaceDE w:val="0"/>
        <w:autoSpaceDN w:val="0"/>
        <w:adjustRightInd w:val="0"/>
        <w:jc w:val="both"/>
      </w:pPr>
      <w:r w:rsidRPr="006B717D">
        <w:rPr>
          <w:rStyle w:val="FootnoteReference"/>
          <w:sz w:val="20"/>
          <w:szCs w:val="20"/>
        </w:rPr>
        <w:footnoteRef/>
      </w:r>
      <w:r w:rsidRPr="006B717D">
        <w:rPr>
          <w:sz w:val="20"/>
          <w:szCs w:val="20"/>
        </w:rPr>
        <w:t xml:space="preserve"> </w:t>
      </w:r>
      <w:r w:rsidR="00F37D52">
        <w:rPr>
          <w:sz w:val="20"/>
          <w:szCs w:val="20"/>
        </w:rPr>
        <w:t>543</w:t>
      </w:r>
      <w:r w:rsidR="00F37D52" w:rsidRPr="006B717D">
        <w:rPr>
          <w:sz w:val="20"/>
          <w:szCs w:val="20"/>
        </w:rPr>
        <w:t xml:space="preserve"> </w:t>
      </w:r>
      <w:r w:rsidRPr="006B717D">
        <w:rPr>
          <w:sz w:val="20"/>
          <w:szCs w:val="20"/>
        </w:rPr>
        <w:t xml:space="preserve">brokers x 5 agreements per broker x 4 hours per written agreement = </w:t>
      </w:r>
      <w:r w:rsidR="00F37D52">
        <w:rPr>
          <w:sz w:val="20"/>
          <w:szCs w:val="20"/>
        </w:rPr>
        <w:t>10,860</w:t>
      </w:r>
      <w:r w:rsidRPr="006B717D">
        <w:rPr>
          <w:sz w:val="20"/>
          <w:szCs w:val="20"/>
        </w:rPr>
        <w:t xml:space="preserve"> hours.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8AF"/>
    <w:multiLevelType w:val="hybridMultilevel"/>
    <w:tmpl w:val="420E65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73780B"/>
    <w:multiLevelType w:val="hybridMultilevel"/>
    <w:tmpl w:val="E5B281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971988"/>
    <w:multiLevelType w:val="hybridMultilevel"/>
    <w:tmpl w:val="2EFA8C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B59C6"/>
    <w:multiLevelType w:val="hybridMultilevel"/>
    <w:tmpl w:val="BA0A8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DE73D8"/>
    <w:multiLevelType w:val="hybridMultilevel"/>
    <w:tmpl w:val="CF184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EB4DED"/>
    <w:multiLevelType w:val="hybridMultilevel"/>
    <w:tmpl w:val="83909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A0CE2"/>
    <w:multiLevelType w:val="hybridMultilevel"/>
    <w:tmpl w:val="9CA28E32"/>
    <w:lvl w:ilvl="0" w:tplc="04090015">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632C5"/>
    <w:multiLevelType w:val="hybridMultilevel"/>
    <w:tmpl w:val="F230D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601463"/>
    <w:multiLevelType w:val="hybridMultilevel"/>
    <w:tmpl w:val="B5BC86C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77A601F"/>
    <w:multiLevelType w:val="hybridMultilevel"/>
    <w:tmpl w:val="970C2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AB0EDA"/>
    <w:multiLevelType w:val="hybridMultilevel"/>
    <w:tmpl w:val="FAFC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062EA3"/>
    <w:multiLevelType w:val="hybridMultilevel"/>
    <w:tmpl w:val="BB66B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9"/>
  </w:num>
  <w:num w:numId="5">
    <w:abstractNumId w:val="7"/>
  </w:num>
  <w:num w:numId="6">
    <w:abstractNumId w:val="3"/>
  </w:num>
  <w:num w:numId="7">
    <w:abstractNumId w:val="2"/>
  </w:num>
  <w:num w:numId="8">
    <w:abstractNumId w:val="1"/>
  </w:num>
  <w:num w:numId="9">
    <w:abstractNumId w:val="8"/>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B2"/>
    <w:rsid w:val="00007D33"/>
    <w:rsid w:val="000305D1"/>
    <w:rsid w:val="00054AB9"/>
    <w:rsid w:val="000665D6"/>
    <w:rsid w:val="00073918"/>
    <w:rsid w:val="000975D3"/>
    <w:rsid w:val="000D0823"/>
    <w:rsid w:val="000D2308"/>
    <w:rsid w:val="000F4640"/>
    <w:rsid w:val="00105D64"/>
    <w:rsid w:val="00107C6F"/>
    <w:rsid w:val="00112B68"/>
    <w:rsid w:val="00137FB0"/>
    <w:rsid w:val="0014160A"/>
    <w:rsid w:val="00145AC9"/>
    <w:rsid w:val="0017562C"/>
    <w:rsid w:val="00192A77"/>
    <w:rsid w:val="00193892"/>
    <w:rsid w:val="001A49E1"/>
    <w:rsid w:val="001A6E5D"/>
    <w:rsid w:val="001A7F04"/>
    <w:rsid w:val="001C45D6"/>
    <w:rsid w:val="001D23DF"/>
    <w:rsid w:val="001D4AC2"/>
    <w:rsid w:val="001D6FFC"/>
    <w:rsid w:val="001F43BA"/>
    <w:rsid w:val="002204FA"/>
    <w:rsid w:val="00255730"/>
    <w:rsid w:val="002641D4"/>
    <w:rsid w:val="0027600B"/>
    <w:rsid w:val="002830A5"/>
    <w:rsid w:val="002849A9"/>
    <w:rsid w:val="002C1926"/>
    <w:rsid w:val="002D1CA9"/>
    <w:rsid w:val="002E1584"/>
    <w:rsid w:val="002E7081"/>
    <w:rsid w:val="002F5ADC"/>
    <w:rsid w:val="00317D86"/>
    <w:rsid w:val="003202C3"/>
    <w:rsid w:val="0032493F"/>
    <w:rsid w:val="003453A5"/>
    <w:rsid w:val="00355A5B"/>
    <w:rsid w:val="00366BF3"/>
    <w:rsid w:val="003836F5"/>
    <w:rsid w:val="003924D2"/>
    <w:rsid w:val="003968DA"/>
    <w:rsid w:val="003A072A"/>
    <w:rsid w:val="003A67B0"/>
    <w:rsid w:val="003B0667"/>
    <w:rsid w:val="003B0727"/>
    <w:rsid w:val="003B67FE"/>
    <w:rsid w:val="003C014B"/>
    <w:rsid w:val="003C094A"/>
    <w:rsid w:val="003C50DE"/>
    <w:rsid w:val="003C57F3"/>
    <w:rsid w:val="003D2A30"/>
    <w:rsid w:val="003E1AF5"/>
    <w:rsid w:val="003F3C87"/>
    <w:rsid w:val="003F4BB2"/>
    <w:rsid w:val="004103B1"/>
    <w:rsid w:val="00413CF2"/>
    <w:rsid w:val="0042281B"/>
    <w:rsid w:val="00423E5B"/>
    <w:rsid w:val="004379F6"/>
    <w:rsid w:val="00447FFB"/>
    <w:rsid w:val="004766DB"/>
    <w:rsid w:val="0048439E"/>
    <w:rsid w:val="0049461A"/>
    <w:rsid w:val="00495EAA"/>
    <w:rsid w:val="004B2BF5"/>
    <w:rsid w:val="004C712C"/>
    <w:rsid w:val="004E173E"/>
    <w:rsid w:val="00501D50"/>
    <w:rsid w:val="00510827"/>
    <w:rsid w:val="005622A8"/>
    <w:rsid w:val="005718B2"/>
    <w:rsid w:val="00575C55"/>
    <w:rsid w:val="00585839"/>
    <w:rsid w:val="005A1154"/>
    <w:rsid w:val="005B0730"/>
    <w:rsid w:val="005E7F9D"/>
    <w:rsid w:val="005F44AB"/>
    <w:rsid w:val="005F75C4"/>
    <w:rsid w:val="006024E5"/>
    <w:rsid w:val="006244BE"/>
    <w:rsid w:val="00633438"/>
    <w:rsid w:val="00634EC6"/>
    <w:rsid w:val="00656815"/>
    <w:rsid w:val="00660C99"/>
    <w:rsid w:val="00661A8E"/>
    <w:rsid w:val="00676D75"/>
    <w:rsid w:val="00680984"/>
    <w:rsid w:val="00693C21"/>
    <w:rsid w:val="006A3CE5"/>
    <w:rsid w:val="006B6798"/>
    <w:rsid w:val="006C4101"/>
    <w:rsid w:val="006D5A78"/>
    <w:rsid w:val="006F1853"/>
    <w:rsid w:val="006F7F75"/>
    <w:rsid w:val="007141ED"/>
    <w:rsid w:val="0071548C"/>
    <w:rsid w:val="00720C0F"/>
    <w:rsid w:val="00721902"/>
    <w:rsid w:val="00744721"/>
    <w:rsid w:val="00753CBD"/>
    <w:rsid w:val="00757047"/>
    <w:rsid w:val="007A4B78"/>
    <w:rsid w:val="007B4ED7"/>
    <w:rsid w:val="007C2A08"/>
    <w:rsid w:val="007D4BBB"/>
    <w:rsid w:val="007D7A8F"/>
    <w:rsid w:val="00801BBF"/>
    <w:rsid w:val="008076B3"/>
    <w:rsid w:val="00825CF9"/>
    <w:rsid w:val="00826179"/>
    <w:rsid w:val="00836920"/>
    <w:rsid w:val="0084363A"/>
    <w:rsid w:val="00844508"/>
    <w:rsid w:val="008511B4"/>
    <w:rsid w:val="00867E82"/>
    <w:rsid w:val="00870A5D"/>
    <w:rsid w:val="00884541"/>
    <w:rsid w:val="0088790D"/>
    <w:rsid w:val="00893118"/>
    <w:rsid w:val="008A4B7E"/>
    <w:rsid w:val="008B25B7"/>
    <w:rsid w:val="008D0537"/>
    <w:rsid w:val="008D184F"/>
    <w:rsid w:val="00940E06"/>
    <w:rsid w:val="00946098"/>
    <w:rsid w:val="00971980"/>
    <w:rsid w:val="00973F30"/>
    <w:rsid w:val="009747CA"/>
    <w:rsid w:val="00980CAF"/>
    <w:rsid w:val="009857F1"/>
    <w:rsid w:val="009866A1"/>
    <w:rsid w:val="009A36C9"/>
    <w:rsid w:val="009B3F85"/>
    <w:rsid w:val="009E3E40"/>
    <w:rsid w:val="00A0512E"/>
    <w:rsid w:val="00A20DB4"/>
    <w:rsid w:val="00A32B39"/>
    <w:rsid w:val="00A362F3"/>
    <w:rsid w:val="00A4234E"/>
    <w:rsid w:val="00A62352"/>
    <w:rsid w:val="00A71432"/>
    <w:rsid w:val="00A75362"/>
    <w:rsid w:val="00A81972"/>
    <w:rsid w:val="00A9063A"/>
    <w:rsid w:val="00A91A94"/>
    <w:rsid w:val="00AA50A5"/>
    <w:rsid w:val="00AC18DD"/>
    <w:rsid w:val="00AC5AD8"/>
    <w:rsid w:val="00AE0687"/>
    <w:rsid w:val="00AE6318"/>
    <w:rsid w:val="00AE6A5D"/>
    <w:rsid w:val="00AF321F"/>
    <w:rsid w:val="00B11F3A"/>
    <w:rsid w:val="00B17F60"/>
    <w:rsid w:val="00B269CF"/>
    <w:rsid w:val="00B340C2"/>
    <w:rsid w:val="00B342AC"/>
    <w:rsid w:val="00B84B40"/>
    <w:rsid w:val="00BB4C2B"/>
    <w:rsid w:val="00BC6613"/>
    <w:rsid w:val="00BD6700"/>
    <w:rsid w:val="00BD7360"/>
    <w:rsid w:val="00BD75A4"/>
    <w:rsid w:val="00C11A79"/>
    <w:rsid w:val="00C274FA"/>
    <w:rsid w:val="00C312B7"/>
    <w:rsid w:val="00C33797"/>
    <w:rsid w:val="00C65B6C"/>
    <w:rsid w:val="00C734B3"/>
    <w:rsid w:val="00C74759"/>
    <w:rsid w:val="00C80BB2"/>
    <w:rsid w:val="00C84C76"/>
    <w:rsid w:val="00CB4026"/>
    <w:rsid w:val="00CE32D0"/>
    <w:rsid w:val="00CF0BBB"/>
    <w:rsid w:val="00CF7A34"/>
    <w:rsid w:val="00D32072"/>
    <w:rsid w:val="00D40B28"/>
    <w:rsid w:val="00D40C2C"/>
    <w:rsid w:val="00D627C2"/>
    <w:rsid w:val="00D72497"/>
    <w:rsid w:val="00D72F19"/>
    <w:rsid w:val="00D77813"/>
    <w:rsid w:val="00D901C2"/>
    <w:rsid w:val="00DA04A9"/>
    <w:rsid w:val="00DB1B46"/>
    <w:rsid w:val="00DC13F9"/>
    <w:rsid w:val="00DD3707"/>
    <w:rsid w:val="00DD3EA8"/>
    <w:rsid w:val="00DF0522"/>
    <w:rsid w:val="00DF2455"/>
    <w:rsid w:val="00E02E40"/>
    <w:rsid w:val="00E16ADA"/>
    <w:rsid w:val="00E31741"/>
    <w:rsid w:val="00E73398"/>
    <w:rsid w:val="00E86B3E"/>
    <w:rsid w:val="00E93F0E"/>
    <w:rsid w:val="00E951D8"/>
    <w:rsid w:val="00E97F79"/>
    <w:rsid w:val="00EA5627"/>
    <w:rsid w:val="00EB3C29"/>
    <w:rsid w:val="00EB533D"/>
    <w:rsid w:val="00EB6274"/>
    <w:rsid w:val="00ED2C10"/>
    <w:rsid w:val="00EE6B0F"/>
    <w:rsid w:val="00EF0FF1"/>
    <w:rsid w:val="00EF2D74"/>
    <w:rsid w:val="00F00D5A"/>
    <w:rsid w:val="00F0320F"/>
    <w:rsid w:val="00F06BD3"/>
    <w:rsid w:val="00F12253"/>
    <w:rsid w:val="00F1438D"/>
    <w:rsid w:val="00F143F6"/>
    <w:rsid w:val="00F2550A"/>
    <w:rsid w:val="00F25B5B"/>
    <w:rsid w:val="00F356CD"/>
    <w:rsid w:val="00F37D52"/>
    <w:rsid w:val="00F448DF"/>
    <w:rsid w:val="00F52C85"/>
    <w:rsid w:val="00F70DF0"/>
    <w:rsid w:val="00F73D48"/>
    <w:rsid w:val="00F8625F"/>
    <w:rsid w:val="00FA296E"/>
    <w:rsid w:val="00FA7526"/>
    <w:rsid w:val="00FB65B2"/>
    <w:rsid w:val="00FC0901"/>
    <w:rsid w:val="00FD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480" w:lineRule="auto"/>
      <w:outlineLvl w:val="0"/>
    </w:pPr>
    <w:rPr>
      <w:rFonts w:ascii="Arial" w:hAnsi="Arial" w:cs="Arial"/>
      <w:bCs/>
      <w:color w:val="000000"/>
      <w:u w:val="single"/>
    </w:rPr>
  </w:style>
  <w:style w:type="paragraph" w:styleId="Heading2">
    <w:name w:val="heading 2"/>
    <w:basedOn w:val="Normal"/>
    <w:next w:val="Normal"/>
    <w:qFormat/>
    <w:pPr>
      <w:keepNext/>
      <w:outlineLvl w:val="1"/>
    </w:pPr>
    <w:rPr>
      <w:rFonts w:ascii="Arial" w:hAnsi="Arial" w:cs="Arial"/>
      <w:b/>
      <w:bCs/>
      <w:color w:val="00000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paragraph" w:styleId="BodyTextIndent">
    <w:name w:val="Body Text Indent"/>
    <w:basedOn w:val="Normal"/>
    <w:pPr>
      <w:ind w:left="360"/>
    </w:pPr>
  </w:style>
  <w:style w:type="paragraph" w:styleId="BodyText2">
    <w:name w:val="Body Text 2"/>
    <w:basedOn w:val="Normal"/>
    <w:pPr>
      <w:spacing w:after="120" w:line="480" w:lineRule="auto"/>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FedRegPreambleParagraphNormal">
    <w:name w:val="FedReg Preamble Paragraph Normal"/>
    <w:pPr>
      <w:spacing w:line="480" w:lineRule="auto"/>
      <w:ind w:firstLine="720"/>
    </w:pPr>
    <w:rPr>
      <w:rFonts w:ascii="Arial" w:hAnsi="Arial"/>
      <w:sz w:val="24"/>
    </w:rPr>
  </w:style>
  <w:style w:type="paragraph" w:styleId="BodyTextIndent2">
    <w:name w:val="Body Text Indent 2"/>
    <w:basedOn w:val="Normal"/>
    <w:pPr>
      <w:spacing w:line="480" w:lineRule="auto"/>
      <w:ind w:firstLine="720"/>
    </w:pPr>
    <w:rPr>
      <w:rFonts w:ascii="Arial" w:hAnsi="Arial" w:cs="Arial"/>
      <w:color w:val="000000"/>
    </w:rPr>
  </w:style>
  <w:style w:type="paragraph" w:styleId="BodyTextIndent3">
    <w:name w:val="Body Text Indent 3"/>
    <w:basedOn w:val="Normal"/>
    <w:pPr>
      <w:ind w:firstLine="720"/>
    </w:pPr>
    <w:rPr>
      <w:rFonts w:ascii="Arial" w:hAnsi="Arial" w:cs="Arial"/>
    </w:rPr>
  </w:style>
  <w:style w:type="paragraph" w:customStyle="1" w:styleId="doublebullet">
    <w:name w:val="double bullet"/>
    <w:basedOn w:val="Normal"/>
    <w:pPr>
      <w:tabs>
        <w:tab w:val="num" w:pos="360"/>
      </w:tabs>
    </w:pPr>
  </w:style>
  <w:style w:type="paragraph" w:customStyle="1" w:styleId="head3">
    <w:name w:val="head3"/>
    <w:basedOn w:val="Normal"/>
    <w:rPr>
      <w:rFonts w:ascii="Arial" w:hAnsi="Arial" w:cs="Arial"/>
      <w:bCs/>
      <w:i/>
      <w:sz w:val="28"/>
    </w:rPr>
  </w:style>
  <w:style w:type="paragraph" w:customStyle="1" w:styleId="fedregpreambletitlenormal">
    <w:name w:val="fedregpreambletitlenormal"/>
    <w:basedOn w:val="Normal"/>
    <w:pPr>
      <w:spacing w:before="100" w:beforeAutospacing="1" w:after="100" w:afterAutospacing="1"/>
    </w:pPr>
  </w:style>
  <w:style w:type="paragraph" w:customStyle="1" w:styleId="OmniPage2">
    <w:name w:val="OmniPage #2"/>
    <w:basedOn w:val="Normal"/>
    <w:pPr>
      <w:spacing w:line="300" w:lineRule="exact"/>
    </w:pPr>
    <w:rPr>
      <w:sz w:val="20"/>
      <w:szCs w:val="20"/>
    </w:rPr>
  </w:style>
  <w:style w:type="paragraph" w:customStyle="1" w:styleId="OmniPage4">
    <w:name w:val="OmniPage #4"/>
    <w:basedOn w:val="Normal"/>
    <w:pPr>
      <w:spacing w:line="240" w:lineRule="exact"/>
    </w:pPr>
    <w:rPr>
      <w:sz w:val="20"/>
      <w:szCs w:val="20"/>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customStyle="1" w:styleId="OmniPage3">
    <w:name w:val="OmniPage #3"/>
    <w:basedOn w:val="Normal"/>
    <w:pPr>
      <w:spacing w:line="120" w:lineRule="exact"/>
    </w:pPr>
    <w:rPr>
      <w:sz w:val="20"/>
      <w:szCs w:val="20"/>
    </w:rPr>
  </w:style>
  <w:style w:type="table" w:styleId="TableGrid">
    <w:name w:val="Table Grid"/>
    <w:basedOn w:val="TableNormal"/>
    <w:rsid w:val="00585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480" w:lineRule="auto"/>
      <w:outlineLvl w:val="0"/>
    </w:pPr>
    <w:rPr>
      <w:rFonts w:ascii="Arial" w:hAnsi="Arial" w:cs="Arial"/>
      <w:bCs/>
      <w:color w:val="000000"/>
      <w:u w:val="single"/>
    </w:rPr>
  </w:style>
  <w:style w:type="paragraph" w:styleId="Heading2">
    <w:name w:val="heading 2"/>
    <w:basedOn w:val="Normal"/>
    <w:next w:val="Normal"/>
    <w:qFormat/>
    <w:pPr>
      <w:keepNext/>
      <w:outlineLvl w:val="1"/>
    </w:pPr>
    <w:rPr>
      <w:rFonts w:ascii="Arial" w:hAnsi="Arial" w:cs="Arial"/>
      <w:b/>
      <w:bCs/>
      <w:color w:val="00000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paragraph" w:styleId="BodyTextIndent">
    <w:name w:val="Body Text Indent"/>
    <w:basedOn w:val="Normal"/>
    <w:pPr>
      <w:ind w:left="360"/>
    </w:pPr>
  </w:style>
  <w:style w:type="paragraph" w:styleId="BodyText2">
    <w:name w:val="Body Text 2"/>
    <w:basedOn w:val="Normal"/>
    <w:pPr>
      <w:spacing w:after="120" w:line="480" w:lineRule="auto"/>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FedRegPreambleParagraphNormal">
    <w:name w:val="FedReg Preamble Paragraph Normal"/>
    <w:pPr>
      <w:spacing w:line="480" w:lineRule="auto"/>
      <w:ind w:firstLine="720"/>
    </w:pPr>
    <w:rPr>
      <w:rFonts w:ascii="Arial" w:hAnsi="Arial"/>
      <w:sz w:val="24"/>
    </w:rPr>
  </w:style>
  <w:style w:type="paragraph" w:styleId="BodyTextIndent2">
    <w:name w:val="Body Text Indent 2"/>
    <w:basedOn w:val="Normal"/>
    <w:pPr>
      <w:spacing w:line="480" w:lineRule="auto"/>
      <w:ind w:firstLine="720"/>
    </w:pPr>
    <w:rPr>
      <w:rFonts w:ascii="Arial" w:hAnsi="Arial" w:cs="Arial"/>
      <w:color w:val="000000"/>
    </w:rPr>
  </w:style>
  <w:style w:type="paragraph" w:styleId="BodyTextIndent3">
    <w:name w:val="Body Text Indent 3"/>
    <w:basedOn w:val="Normal"/>
    <w:pPr>
      <w:ind w:firstLine="720"/>
    </w:pPr>
    <w:rPr>
      <w:rFonts w:ascii="Arial" w:hAnsi="Arial" w:cs="Arial"/>
    </w:rPr>
  </w:style>
  <w:style w:type="paragraph" w:customStyle="1" w:styleId="doublebullet">
    <w:name w:val="double bullet"/>
    <w:basedOn w:val="Normal"/>
    <w:pPr>
      <w:tabs>
        <w:tab w:val="num" w:pos="360"/>
      </w:tabs>
    </w:pPr>
  </w:style>
  <w:style w:type="paragraph" w:customStyle="1" w:styleId="head3">
    <w:name w:val="head3"/>
    <w:basedOn w:val="Normal"/>
    <w:rPr>
      <w:rFonts w:ascii="Arial" w:hAnsi="Arial" w:cs="Arial"/>
      <w:bCs/>
      <w:i/>
      <w:sz w:val="28"/>
    </w:rPr>
  </w:style>
  <w:style w:type="paragraph" w:customStyle="1" w:styleId="fedregpreambletitlenormal">
    <w:name w:val="fedregpreambletitlenormal"/>
    <w:basedOn w:val="Normal"/>
    <w:pPr>
      <w:spacing w:before="100" w:beforeAutospacing="1" w:after="100" w:afterAutospacing="1"/>
    </w:pPr>
  </w:style>
  <w:style w:type="paragraph" w:customStyle="1" w:styleId="OmniPage2">
    <w:name w:val="OmniPage #2"/>
    <w:basedOn w:val="Normal"/>
    <w:pPr>
      <w:spacing w:line="300" w:lineRule="exact"/>
    </w:pPr>
    <w:rPr>
      <w:sz w:val="20"/>
      <w:szCs w:val="20"/>
    </w:rPr>
  </w:style>
  <w:style w:type="paragraph" w:customStyle="1" w:styleId="OmniPage4">
    <w:name w:val="OmniPage #4"/>
    <w:basedOn w:val="Normal"/>
    <w:pPr>
      <w:spacing w:line="240" w:lineRule="exact"/>
    </w:pPr>
    <w:rPr>
      <w:sz w:val="20"/>
      <w:szCs w:val="20"/>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customStyle="1" w:styleId="OmniPage3">
    <w:name w:val="OmniPage #3"/>
    <w:basedOn w:val="Normal"/>
    <w:pPr>
      <w:spacing w:line="120" w:lineRule="exact"/>
    </w:pPr>
    <w:rPr>
      <w:sz w:val="20"/>
      <w:szCs w:val="20"/>
    </w:rPr>
  </w:style>
  <w:style w:type="table" w:styleId="TableGrid">
    <w:name w:val="Table Grid"/>
    <w:basedOn w:val="TableNormal"/>
    <w:rsid w:val="00585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29028">
      <w:bodyDiv w:val="1"/>
      <w:marLeft w:val="0"/>
      <w:marRight w:val="0"/>
      <w:marTop w:val="0"/>
      <w:marBottom w:val="0"/>
      <w:divBdr>
        <w:top w:val="none" w:sz="0" w:space="0" w:color="auto"/>
        <w:left w:val="none" w:sz="0" w:space="0" w:color="auto"/>
        <w:bottom w:val="none" w:sz="0" w:space="0" w:color="auto"/>
        <w:right w:val="none" w:sz="0" w:space="0" w:color="auto"/>
      </w:divBdr>
    </w:div>
    <w:div w:id="763765368">
      <w:bodyDiv w:val="1"/>
      <w:marLeft w:val="0"/>
      <w:marRight w:val="0"/>
      <w:marTop w:val="0"/>
      <w:marBottom w:val="0"/>
      <w:divBdr>
        <w:top w:val="none" w:sz="0" w:space="0" w:color="auto"/>
        <w:left w:val="none" w:sz="0" w:space="0" w:color="auto"/>
        <w:bottom w:val="none" w:sz="0" w:space="0" w:color="auto"/>
        <w:right w:val="none" w:sz="0" w:space="0" w:color="auto"/>
      </w:divBdr>
    </w:div>
    <w:div w:id="809902246">
      <w:bodyDiv w:val="1"/>
      <w:marLeft w:val="0"/>
      <w:marRight w:val="0"/>
      <w:marTop w:val="0"/>
      <w:marBottom w:val="0"/>
      <w:divBdr>
        <w:top w:val="none" w:sz="0" w:space="0" w:color="auto"/>
        <w:left w:val="none" w:sz="0" w:space="0" w:color="auto"/>
        <w:bottom w:val="none" w:sz="0" w:space="0" w:color="auto"/>
        <w:right w:val="none" w:sz="0" w:space="0" w:color="auto"/>
      </w:divBdr>
    </w:div>
    <w:div w:id="1117142780">
      <w:bodyDiv w:val="1"/>
      <w:marLeft w:val="0"/>
      <w:marRight w:val="0"/>
      <w:marTop w:val="0"/>
      <w:marBottom w:val="0"/>
      <w:divBdr>
        <w:top w:val="none" w:sz="0" w:space="0" w:color="auto"/>
        <w:left w:val="none" w:sz="0" w:space="0" w:color="auto"/>
        <w:bottom w:val="none" w:sz="0" w:space="0" w:color="auto"/>
        <w:right w:val="none" w:sz="0" w:space="0" w:color="auto"/>
      </w:divBdr>
    </w:div>
    <w:div w:id="1683163935">
      <w:bodyDiv w:val="1"/>
      <w:marLeft w:val="0"/>
      <w:marRight w:val="0"/>
      <w:marTop w:val="0"/>
      <w:marBottom w:val="0"/>
      <w:divBdr>
        <w:top w:val="none" w:sz="0" w:space="0" w:color="auto"/>
        <w:left w:val="none" w:sz="0" w:space="0" w:color="auto"/>
        <w:bottom w:val="none" w:sz="0" w:space="0" w:color="auto"/>
        <w:right w:val="none" w:sz="0" w:space="0" w:color="auto"/>
      </w:divBdr>
    </w:div>
    <w:div w:id="17770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556F-E2D4-41B4-9B7E-42875A57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Information Collection Supporting Statement</vt:lpstr>
    </vt:vector>
  </TitlesOfParts>
  <Manager>Loretta Bitner</Manager>
  <Company>FMCSA</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Supporting Statement</dc:title>
  <dc:subject>Practices of Household Goods Brokers, 2126-NEW</dc:subject>
  <dc:creator>FMCSA Commercial Enforcement Division (MC-ECC), Washington D.C.</dc:creator>
  <cp:lastModifiedBy>SYSTEM</cp:lastModifiedBy>
  <cp:revision>2</cp:revision>
  <cp:lastPrinted>2017-08-17T15:42:00Z</cp:lastPrinted>
  <dcterms:created xsi:type="dcterms:W3CDTF">2017-12-13T16:36:00Z</dcterms:created>
  <dcterms:modified xsi:type="dcterms:W3CDTF">2017-12-13T16:36:00Z</dcterms:modified>
</cp:coreProperties>
</file>