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A83DA" w14:textId="1EF39136" w:rsidR="0093315E" w:rsidRDefault="007A3F2C" w:rsidP="00AA2368">
      <w:bookmarkStart w:id="0" w:name="_GoBack"/>
      <w:bookmarkEnd w:id="0"/>
      <w:r w:rsidRPr="00850545">
        <w:rPr>
          <w:b/>
        </w:rPr>
        <w:t>Type of Information Collection:</w:t>
      </w:r>
      <w:r>
        <w:t xml:space="preserve"> </w:t>
      </w:r>
      <w:r w:rsidR="008C63A7">
        <w:t>Extension without Change of a Currently Approved Information Collection</w:t>
      </w:r>
    </w:p>
    <w:p w14:paraId="56773848" w14:textId="77777777" w:rsidR="007A3F2C" w:rsidRPr="00DA5A1C" w:rsidRDefault="007A3F2C" w:rsidP="00AA2368"/>
    <w:p w14:paraId="17713A88" w14:textId="77777777" w:rsidR="0093315E" w:rsidRPr="00DA5A1C" w:rsidRDefault="0081693C" w:rsidP="0081693C">
      <w:pPr>
        <w:outlineLvl w:val="0"/>
        <w:rPr>
          <w:b/>
        </w:rPr>
      </w:pPr>
      <w:r w:rsidRPr="00DA5A1C">
        <w:rPr>
          <w:b/>
        </w:rPr>
        <w:t xml:space="preserve">A. </w:t>
      </w:r>
      <w:r w:rsidR="002D740F" w:rsidRPr="00DA5A1C">
        <w:rPr>
          <w:b/>
        </w:rPr>
        <w:t>JUSTIFICATION</w:t>
      </w:r>
    </w:p>
    <w:p w14:paraId="6DDF4274" w14:textId="77777777" w:rsidR="00673D33" w:rsidRPr="00DA5A1C" w:rsidRDefault="00673D33" w:rsidP="0002767A"/>
    <w:p w14:paraId="4B95263C" w14:textId="3490E250" w:rsidR="006A081F" w:rsidRPr="008C63A7" w:rsidRDefault="0093315E" w:rsidP="008C63A7">
      <w:pPr>
        <w:pStyle w:val="ListParagraph"/>
        <w:numPr>
          <w:ilvl w:val="0"/>
          <w:numId w:val="9"/>
        </w:numPr>
        <w:rPr>
          <w:b/>
        </w:rPr>
      </w:pPr>
      <w:r w:rsidRPr="008C63A7">
        <w:rPr>
          <w:b/>
        </w:rPr>
        <w:t xml:space="preserve">Explain the circumstances that make the collection of information necessary. Identify any legal or administrative requirements that necessitate the collection. </w:t>
      </w:r>
    </w:p>
    <w:p w14:paraId="061A2883" w14:textId="77777777" w:rsidR="008C63A7" w:rsidRPr="008C63A7" w:rsidRDefault="008C63A7" w:rsidP="008C63A7">
      <w:pPr>
        <w:ind w:left="360"/>
        <w:rPr>
          <w:b/>
          <w:color w:val="4F81BD" w:themeColor="accent1"/>
        </w:rPr>
      </w:pPr>
    </w:p>
    <w:p w14:paraId="33E89860" w14:textId="77777777" w:rsidR="006A081F" w:rsidRPr="007A3F2C" w:rsidRDefault="006A081F" w:rsidP="00DA2044">
      <w:pPr>
        <w:pStyle w:val="Default"/>
        <w:rPr>
          <w:rFonts w:ascii="Times New Roman" w:hAnsi="Times New Roman" w:cs="Times New Roman"/>
          <w:color w:val="auto"/>
          <w:sz w:val="22"/>
          <w:szCs w:val="22"/>
        </w:rPr>
      </w:pPr>
      <w:r w:rsidRPr="007A3F2C">
        <w:rPr>
          <w:rFonts w:ascii="Times New Roman" w:hAnsi="Times New Roman" w:cs="Times New Roman"/>
          <w:color w:val="auto"/>
          <w:sz w:val="22"/>
          <w:szCs w:val="22"/>
        </w:rPr>
        <w:t>H</w:t>
      </w:r>
      <w:r w:rsidR="006A24A6" w:rsidRPr="007A3F2C">
        <w:rPr>
          <w:rFonts w:ascii="Times New Roman" w:hAnsi="Times New Roman" w:cs="Times New Roman"/>
          <w:color w:val="auto"/>
          <w:sz w:val="22"/>
          <w:szCs w:val="22"/>
        </w:rPr>
        <w:t xml:space="preserve">omeland </w:t>
      </w:r>
      <w:r w:rsidRPr="007A3F2C">
        <w:rPr>
          <w:rFonts w:ascii="Times New Roman" w:hAnsi="Times New Roman" w:cs="Times New Roman"/>
          <w:color w:val="auto"/>
          <w:sz w:val="22"/>
          <w:szCs w:val="22"/>
        </w:rPr>
        <w:t>S</w:t>
      </w:r>
      <w:r w:rsidR="006A24A6" w:rsidRPr="007A3F2C">
        <w:rPr>
          <w:rFonts w:ascii="Times New Roman" w:hAnsi="Times New Roman" w:cs="Times New Roman"/>
          <w:color w:val="auto"/>
          <w:sz w:val="22"/>
          <w:szCs w:val="22"/>
        </w:rPr>
        <w:t xml:space="preserve">ecurity </w:t>
      </w:r>
      <w:r w:rsidRPr="007A3F2C">
        <w:rPr>
          <w:rFonts w:ascii="Times New Roman" w:hAnsi="Times New Roman" w:cs="Times New Roman"/>
          <w:color w:val="auto"/>
          <w:sz w:val="22"/>
          <w:szCs w:val="22"/>
        </w:rPr>
        <w:t>P</w:t>
      </w:r>
      <w:r w:rsidR="006A24A6" w:rsidRPr="007A3F2C">
        <w:rPr>
          <w:rFonts w:ascii="Times New Roman" w:hAnsi="Times New Roman" w:cs="Times New Roman"/>
          <w:color w:val="auto"/>
          <w:sz w:val="22"/>
          <w:szCs w:val="22"/>
        </w:rPr>
        <w:t xml:space="preserve">residential </w:t>
      </w:r>
      <w:r w:rsidRPr="007A3F2C">
        <w:rPr>
          <w:rFonts w:ascii="Times New Roman" w:hAnsi="Times New Roman" w:cs="Times New Roman"/>
          <w:color w:val="auto"/>
          <w:sz w:val="22"/>
          <w:szCs w:val="22"/>
        </w:rPr>
        <w:t>D</w:t>
      </w:r>
      <w:r w:rsidR="006A24A6" w:rsidRPr="007A3F2C">
        <w:rPr>
          <w:rFonts w:ascii="Times New Roman" w:hAnsi="Times New Roman" w:cs="Times New Roman"/>
          <w:color w:val="auto"/>
          <w:sz w:val="22"/>
          <w:szCs w:val="22"/>
        </w:rPr>
        <w:t>irective (HSPD)</w:t>
      </w:r>
      <w:r w:rsidRPr="007A3F2C">
        <w:rPr>
          <w:rFonts w:ascii="Times New Roman" w:hAnsi="Times New Roman" w:cs="Times New Roman"/>
          <w:color w:val="auto"/>
          <w:sz w:val="22"/>
          <w:szCs w:val="22"/>
        </w:rPr>
        <w:t>-12 establishes the requirement for a mandatory Government</w:t>
      </w:r>
      <w:r w:rsidR="00DA2044" w:rsidRPr="007A3F2C">
        <w:rPr>
          <w:rFonts w:ascii="Times New Roman" w:hAnsi="Times New Roman" w:cs="Times New Roman"/>
          <w:color w:val="auto"/>
          <w:sz w:val="22"/>
          <w:szCs w:val="22"/>
        </w:rPr>
        <w:t>-</w:t>
      </w:r>
      <w:r w:rsidRPr="007A3F2C">
        <w:rPr>
          <w:rFonts w:ascii="Times New Roman" w:hAnsi="Times New Roman" w:cs="Times New Roman"/>
          <w:color w:val="auto"/>
          <w:sz w:val="22"/>
          <w:szCs w:val="22"/>
        </w:rPr>
        <w:t xml:space="preserve">wide standard for secure and reliable forms of identification for Federal employees and contractors. As directed by HSPD-12, the National Institute of Standards and Technology (NIST) Federal Information Processing Standard (FIPS) 201: </w:t>
      </w:r>
      <w:r w:rsidRPr="007A3F2C">
        <w:rPr>
          <w:rFonts w:ascii="Times New Roman" w:hAnsi="Times New Roman" w:cs="Times New Roman"/>
          <w:i/>
          <w:iCs/>
          <w:color w:val="auto"/>
          <w:sz w:val="22"/>
          <w:szCs w:val="22"/>
        </w:rPr>
        <w:t xml:space="preserve">Personal Identity Verification of Federal Employees and Contractors </w:t>
      </w:r>
      <w:r w:rsidRPr="007A3F2C">
        <w:rPr>
          <w:rFonts w:ascii="Times New Roman" w:hAnsi="Times New Roman" w:cs="Times New Roman"/>
          <w:color w:val="auto"/>
          <w:sz w:val="22"/>
          <w:szCs w:val="22"/>
        </w:rPr>
        <w:t xml:space="preserve">and associated NIST publications establish standards and requirements for the identity verification of federal employees and contractors and for Personal Identity Verification (PIV) identity credentials to be issued. OMB policy memorandum M-05-24: </w:t>
      </w:r>
      <w:r w:rsidRPr="007A3F2C">
        <w:rPr>
          <w:rFonts w:ascii="Times New Roman" w:hAnsi="Times New Roman" w:cs="Times New Roman"/>
          <w:i/>
          <w:iCs/>
          <w:color w:val="auto"/>
          <w:sz w:val="22"/>
          <w:szCs w:val="22"/>
        </w:rPr>
        <w:t xml:space="preserve">Implementation of Homeland Security Presidential Directive 12 </w:t>
      </w:r>
      <w:r w:rsidRPr="007A3F2C">
        <w:rPr>
          <w:rFonts w:ascii="Times New Roman" w:hAnsi="Times New Roman" w:cs="Times New Roman"/>
          <w:color w:val="auto"/>
          <w:sz w:val="22"/>
          <w:szCs w:val="22"/>
        </w:rPr>
        <w:t>requires federal agencies to deploy products and operational systems to issue identity credentials meeting the FIPS 201</w:t>
      </w:r>
      <w:r w:rsidR="00DA2044" w:rsidRPr="007A3F2C">
        <w:rPr>
          <w:rFonts w:ascii="Times New Roman" w:hAnsi="Times New Roman" w:cs="Times New Roman"/>
          <w:color w:val="auto"/>
          <w:sz w:val="22"/>
          <w:szCs w:val="22"/>
        </w:rPr>
        <w:t>.</w:t>
      </w:r>
    </w:p>
    <w:p w14:paraId="7D2A66C6" w14:textId="77777777" w:rsidR="00DA2044" w:rsidRPr="007A3F2C" w:rsidRDefault="00DA2044" w:rsidP="00DA2044">
      <w:pPr>
        <w:pStyle w:val="Default"/>
        <w:rPr>
          <w:rFonts w:ascii="Times New Roman" w:hAnsi="Times New Roman" w:cs="Times New Roman"/>
          <w:color w:val="auto"/>
          <w:sz w:val="22"/>
          <w:szCs w:val="22"/>
        </w:rPr>
      </w:pPr>
    </w:p>
    <w:p w14:paraId="5EB5BA35" w14:textId="3BBDAE39" w:rsidR="00DA2044" w:rsidRPr="007A3F2C" w:rsidRDefault="00DA2044" w:rsidP="00DA2044">
      <w:pPr>
        <w:pStyle w:val="Default"/>
        <w:rPr>
          <w:rFonts w:ascii="Times New Roman" w:hAnsi="Times New Roman" w:cs="Times New Roman"/>
          <w:color w:val="auto"/>
          <w:sz w:val="22"/>
          <w:szCs w:val="22"/>
        </w:rPr>
      </w:pPr>
      <w:r w:rsidRPr="007A3F2C">
        <w:rPr>
          <w:rFonts w:ascii="Times New Roman" w:hAnsi="Times New Roman" w:cs="Times New Roman"/>
          <w:color w:val="auto"/>
          <w:sz w:val="22"/>
          <w:szCs w:val="22"/>
        </w:rPr>
        <w:t xml:space="preserve">In response to this Directive, as well as NIST and OMB guidance, NASA developed the Identity Management </w:t>
      </w:r>
      <w:r w:rsidR="00DA5A1C" w:rsidRPr="007A3F2C">
        <w:rPr>
          <w:rFonts w:ascii="Times New Roman" w:hAnsi="Times New Roman" w:cs="Times New Roman"/>
          <w:color w:val="auto"/>
          <w:sz w:val="22"/>
          <w:szCs w:val="22"/>
        </w:rPr>
        <w:t xml:space="preserve">and Account Exchange </w:t>
      </w:r>
      <w:r w:rsidRPr="007A3F2C">
        <w:rPr>
          <w:rFonts w:ascii="Times New Roman" w:hAnsi="Times New Roman" w:cs="Times New Roman"/>
          <w:color w:val="auto"/>
          <w:sz w:val="22"/>
          <w:szCs w:val="22"/>
        </w:rPr>
        <w:t>System</w:t>
      </w:r>
      <w:r w:rsidR="00DA5A1C" w:rsidRPr="007A3F2C">
        <w:rPr>
          <w:rFonts w:ascii="Times New Roman" w:hAnsi="Times New Roman" w:cs="Times New Roman"/>
          <w:color w:val="auto"/>
          <w:sz w:val="22"/>
          <w:szCs w:val="22"/>
        </w:rPr>
        <w:t xml:space="preserve"> (IdMAX)</w:t>
      </w:r>
      <w:r w:rsidRPr="007A3F2C">
        <w:rPr>
          <w:rFonts w:ascii="Times New Roman" w:hAnsi="Times New Roman" w:cs="Times New Roman"/>
          <w:color w:val="auto"/>
          <w:sz w:val="22"/>
          <w:szCs w:val="22"/>
        </w:rPr>
        <w:t>.  This system manages identities, credentials, and access in an integrated, enterprise environment, to ensure that people have the access they need to further the mission of NASA, without putting NASA assets at risk.</w:t>
      </w:r>
    </w:p>
    <w:p w14:paraId="7CB55BE4" w14:textId="77777777" w:rsidR="00DA2044" w:rsidRPr="007A3F2C" w:rsidRDefault="00DA2044" w:rsidP="00DA2044">
      <w:pPr>
        <w:pStyle w:val="Default"/>
        <w:rPr>
          <w:rFonts w:ascii="Times New Roman" w:hAnsi="Times New Roman" w:cs="Times New Roman"/>
          <w:color w:val="auto"/>
          <w:sz w:val="22"/>
          <w:szCs w:val="22"/>
        </w:rPr>
      </w:pPr>
    </w:p>
    <w:p w14:paraId="54933575" w14:textId="77777777" w:rsidR="00DA2044" w:rsidRPr="007A3F2C" w:rsidRDefault="00DA2044" w:rsidP="00DA2044">
      <w:pPr>
        <w:rPr>
          <w:sz w:val="22"/>
          <w:szCs w:val="22"/>
        </w:rPr>
      </w:pPr>
      <w:r w:rsidRPr="007A3F2C">
        <w:rPr>
          <w:b/>
          <w:sz w:val="22"/>
          <w:szCs w:val="22"/>
        </w:rPr>
        <w:t>Identity Management</w:t>
      </w:r>
      <w:r w:rsidRPr="007A3F2C">
        <w:rPr>
          <w:sz w:val="22"/>
          <w:szCs w:val="22"/>
        </w:rPr>
        <w:t xml:space="preserve"> deals with three major facets of a person:</w:t>
      </w:r>
    </w:p>
    <w:p w14:paraId="2E76BE9E" w14:textId="77777777" w:rsidR="00DA2044" w:rsidRPr="007A3F2C" w:rsidRDefault="00DA2044" w:rsidP="00DA2044">
      <w:pPr>
        <w:numPr>
          <w:ilvl w:val="0"/>
          <w:numId w:val="5"/>
        </w:numPr>
        <w:rPr>
          <w:sz w:val="22"/>
          <w:szCs w:val="22"/>
        </w:rPr>
      </w:pPr>
      <w:r w:rsidRPr="007A3F2C">
        <w:rPr>
          <w:sz w:val="22"/>
          <w:szCs w:val="22"/>
        </w:rPr>
        <w:t>basic details about the person’s identity, such as name and date of birth</w:t>
      </w:r>
    </w:p>
    <w:p w14:paraId="1C7B8992" w14:textId="77777777" w:rsidR="00DA2044" w:rsidRPr="007A3F2C" w:rsidRDefault="00DA2044" w:rsidP="00DA2044">
      <w:pPr>
        <w:numPr>
          <w:ilvl w:val="0"/>
          <w:numId w:val="5"/>
        </w:numPr>
        <w:rPr>
          <w:sz w:val="22"/>
          <w:szCs w:val="22"/>
        </w:rPr>
      </w:pPr>
      <w:r w:rsidRPr="007A3F2C">
        <w:rPr>
          <w:sz w:val="22"/>
          <w:szCs w:val="22"/>
        </w:rPr>
        <w:t>the affiliation that the person has with NASA, such as civil servant or contractor</w:t>
      </w:r>
    </w:p>
    <w:p w14:paraId="4A59552B" w14:textId="77777777" w:rsidR="00DA2044" w:rsidRPr="007A3F2C" w:rsidRDefault="00DA2044" w:rsidP="00DA2044">
      <w:pPr>
        <w:numPr>
          <w:ilvl w:val="0"/>
          <w:numId w:val="5"/>
        </w:numPr>
        <w:rPr>
          <w:sz w:val="22"/>
          <w:szCs w:val="22"/>
        </w:rPr>
      </w:pPr>
      <w:r w:rsidRPr="007A3F2C">
        <w:rPr>
          <w:sz w:val="22"/>
          <w:szCs w:val="22"/>
        </w:rPr>
        <w:t>the knowledge we have about the person based on investigations and records checks</w:t>
      </w:r>
    </w:p>
    <w:p w14:paraId="60253620" w14:textId="77777777" w:rsidR="00DA2044" w:rsidRPr="007A3F2C" w:rsidRDefault="00DA2044" w:rsidP="00DA2044">
      <w:pPr>
        <w:rPr>
          <w:sz w:val="22"/>
          <w:szCs w:val="22"/>
        </w:rPr>
      </w:pPr>
    </w:p>
    <w:p w14:paraId="0E9A4BDC" w14:textId="77777777" w:rsidR="00DA2044" w:rsidRPr="007A3F2C" w:rsidRDefault="00DA2044" w:rsidP="00DA2044">
      <w:pPr>
        <w:rPr>
          <w:sz w:val="22"/>
          <w:szCs w:val="22"/>
        </w:rPr>
      </w:pPr>
      <w:r w:rsidRPr="007A3F2C">
        <w:rPr>
          <w:b/>
          <w:sz w:val="22"/>
          <w:szCs w:val="22"/>
        </w:rPr>
        <w:t>Credential Management</w:t>
      </w:r>
      <w:r w:rsidRPr="007A3F2C">
        <w:rPr>
          <w:sz w:val="22"/>
          <w:szCs w:val="22"/>
        </w:rPr>
        <w:t xml:space="preserve"> deals with the management of items that allow physical access, like doorkeys and badges, as well as items that allow access to IT systems, like userIDs/passwords and tokens.</w:t>
      </w:r>
    </w:p>
    <w:p w14:paraId="505CEF6B" w14:textId="77777777" w:rsidR="00DA2044" w:rsidRPr="007A3F2C" w:rsidRDefault="00DA2044" w:rsidP="00DA2044">
      <w:pPr>
        <w:rPr>
          <w:sz w:val="22"/>
          <w:szCs w:val="22"/>
        </w:rPr>
      </w:pPr>
    </w:p>
    <w:p w14:paraId="1859B410" w14:textId="77777777" w:rsidR="00DA2044" w:rsidRPr="007A3F2C" w:rsidRDefault="00DA2044" w:rsidP="00DA2044">
      <w:pPr>
        <w:rPr>
          <w:sz w:val="22"/>
          <w:szCs w:val="22"/>
        </w:rPr>
      </w:pPr>
      <w:r w:rsidRPr="007A3F2C">
        <w:rPr>
          <w:sz w:val="22"/>
          <w:szCs w:val="22"/>
        </w:rPr>
        <w:t xml:space="preserve">Credential Management seeks to ensure that credentials are: </w:t>
      </w:r>
    </w:p>
    <w:p w14:paraId="445D9BA2" w14:textId="77777777" w:rsidR="00DA2044" w:rsidRPr="007A3F2C" w:rsidRDefault="00DA2044" w:rsidP="00DA2044">
      <w:pPr>
        <w:numPr>
          <w:ilvl w:val="0"/>
          <w:numId w:val="6"/>
        </w:numPr>
        <w:rPr>
          <w:sz w:val="22"/>
          <w:szCs w:val="22"/>
        </w:rPr>
      </w:pPr>
      <w:r w:rsidRPr="007A3F2C">
        <w:rPr>
          <w:sz w:val="22"/>
          <w:szCs w:val="22"/>
        </w:rPr>
        <w:t>issued to the proper person</w:t>
      </w:r>
    </w:p>
    <w:p w14:paraId="56287D2D" w14:textId="77777777" w:rsidR="00DA2044" w:rsidRPr="007A3F2C" w:rsidRDefault="00DA2044" w:rsidP="00DA2044">
      <w:pPr>
        <w:numPr>
          <w:ilvl w:val="0"/>
          <w:numId w:val="6"/>
        </w:numPr>
        <w:rPr>
          <w:sz w:val="22"/>
          <w:szCs w:val="22"/>
        </w:rPr>
      </w:pPr>
      <w:r w:rsidRPr="007A3F2C">
        <w:rPr>
          <w:sz w:val="22"/>
          <w:szCs w:val="22"/>
        </w:rPr>
        <w:t>not tampered with or used by someone they do not belong to</w:t>
      </w:r>
    </w:p>
    <w:p w14:paraId="6A5713B1" w14:textId="77777777" w:rsidR="00DA2044" w:rsidRPr="007A3F2C" w:rsidRDefault="00DA2044" w:rsidP="00DA2044">
      <w:pPr>
        <w:numPr>
          <w:ilvl w:val="0"/>
          <w:numId w:val="6"/>
        </w:numPr>
        <w:rPr>
          <w:sz w:val="22"/>
          <w:szCs w:val="22"/>
        </w:rPr>
      </w:pPr>
      <w:r w:rsidRPr="007A3F2C">
        <w:rPr>
          <w:sz w:val="22"/>
          <w:szCs w:val="22"/>
        </w:rPr>
        <w:t>properly revoked and disposed of when no longer valid</w:t>
      </w:r>
    </w:p>
    <w:p w14:paraId="299B602B" w14:textId="77777777" w:rsidR="00DA2044" w:rsidRPr="007A3F2C" w:rsidRDefault="00DA2044" w:rsidP="00DA2044">
      <w:pPr>
        <w:rPr>
          <w:sz w:val="22"/>
          <w:szCs w:val="22"/>
        </w:rPr>
      </w:pPr>
    </w:p>
    <w:p w14:paraId="48C5168E" w14:textId="77777777" w:rsidR="00DA2044" w:rsidRPr="007A3F2C" w:rsidRDefault="00DA2044" w:rsidP="00DA2044">
      <w:pPr>
        <w:rPr>
          <w:sz w:val="22"/>
          <w:szCs w:val="22"/>
        </w:rPr>
      </w:pPr>
      <w:r w:rsidRPr="007A3F2C">
        <w:rPr>
          <w:b/>
          <w:sz w:val="22"/>
          <w:szCs w:val="22"/>
        </w:rPr>
        <w:t>Access Management</w:t>
      </w:r>
      <w:r w:rsidRPr="007A3F2C">
        <w:rPr>
          <w:sz w:val="22"/>
          <w:szCs w:val="22"/>
        </w:rPr>
        <w:t xml:space="preserve"> seeks to ensure that:</w:t>
      </w:r>
    </w:p>
    <w:p w14:paraId="4BFF239F" w14:textId="77777777" w:rsidR="00DA2044" w:rsidRPr="007A3F2C" w:rsidRDefault="00DA2044" w:rsidP="00DA2044">
      <w:pPr>
        <w:numPr>
          <w:ilvl w:val="0"/>
          <w:numId w:val="7"/>
        </w:numPr>
        <w:rPr>
          <w:sz w:val="22"/>
          <w:szCs w:val="22"/>
        </w:rPr>
      </w:pPr>
      <w:r w:rsidRPr="007A3F2C">
        <w:rPr>
          <w:sz w:val="22"/>
          <w:szCs w:val="22"/>
        </w:rPr>
        <w:t>People are properly authorized to access particular NASA assets</w:t>
      </w:r>
    </w:p>
    <w:p w14:paraId="16066308" w14:textId="77777777" w:rsidR="00DA2044" w:rsidRPr="007A3F2C" w:rsidRDefault="00DA2044" w:rsidP="00DA2044">
      <w:pPr>
        <w:numPr>
          <w:ilvl w:val="0"/>
          <w:numId w:val="7"/>
        </w:numPr>
        <w:rPr>
          <w:sz w:val="22"/>
          <w:szCs w:val="22"/>
        </w:rPr>
      </w:pPr>
      <w:r w:rsidRPr="007A3F2C">
        <w:rPr>
          <w:sz w:val="22"/>
          <w:szCs w:val="22"/>
        </w:rPr>
        <w:t>Changes to a person’s affiliation, or the knowledge we have about that person, result in a re-assessment of appropriate access</w:t>
      </w:r>
    </w:p>
    <w:p w14:paraId="0E11DC56" w14:textId="77777777" w:rsidR="00DA2044" w:rsidRPr="007A3F2C" w:rsidRDefault="00DA2044" w:rsidP="00DA2044">
      <w:pPr>
        <w:pStyle w:val="Default"/>
        <w:numPr>
          <w:ilvl w:val="0"/>
          <w:numId w:val="7"/>
        </w:numPr>
        <w:rPr>
          <w:rFonts w:ascii="Times New Roman" w:hAnsi="Times New Roman" w:cs="Times New Roman"/>
          <w:color w:val="auto"/>
          <w:sz w:val="22"/>
          <w:szCs w:val="22"/>
        </w:rPr>
      </w:pPr>
      <w:r w:rsidRPr="007A3F2C">
        <w:rPr>
          <w:rFonts w:ascii="Times New Roman" w:hAnsi="Times New Roman" w:cs="Times New Roman"/>
          <w:color w:val="auto"/>
          <w:sz w:val="22"/>
          <w:szCs w:val="22"/>
        </w:rPr>
        <w:t>Access is removed when a person leaves NASA</w:t>
      </w:r>
    </w:p>
    <w:p w14:paraId="5E3E8C15" w14:textId="77777777" w:rsidR="00750F9A" w:rsidRPr="007A3F2C" w:rsidRDefault="00750F9A" w:rsidP="00750F9A">
      <w:pPr>
        <w:pStyle w:val="Default"/>
        <w:rPr>
          <w:rFonts w:ascii="Times New Roman" w:hAnsi="Times New Roman" w:cs="Times New Roman"/>
          <w:color w:val="auto"/>
          <w:sz w:val="22"/>
          <w:szCs w:val="22"/>
        </w:rPr>
      </w:pPr>
    </w:p>
    <w:p w14:paraId="2090EE5A" w14:textId="77777777" w:rsidR="00750F9A" w:rsidRPr="007A3F2C" w:rsidRDefault="00750F9A" w:rsidP="00750F9A">
      <w:pPr>
        <w:pStyle w:val="Default"/>
        <w:rPr>
          <w:rFonts w:ascii="Times New Roman" w:hAnsi="Times New Roman" w:cs="Times New Roman"/>
          <w:color w:val="auto"/>
          <w:sz w:val="22"/>
          <w:szCs w:val="22"/>
        </w:rPr>
      </w:pPr>
    </w:p>
    <w:p w14:paraId="7314BBAC" w14:textId="77777777" w:rsidR="0093315E" w:rsidRDefault="00750F9A" w:rsidP="0093315E">
      <w:bookmarkStart w:id="1" w:name="b_1"/>
      <w:bookmarkStart w:id="2" w:name="b_2"/>
      <w:bookmarkStart w:id="3" w:name="b_3"/>
      <w:bookmarkStart w:id="4" w:name="c_1_A"/>
      <w:bookmarkStart w:id="5" w:name="c_1_C"/>
      <w:bookmarkStart w:id="6" w:name="wp1025163"/>
      <w:bookmarkStart w:id="7" w:name="wp1025172"/>
      <w:bookmarkStart w:id="8" w:name="wp1025179"/>
      <w:bookmarkStart w:id="9" w:name="wp1152865"/>
      <w:bookmarkStart w:id="10" w:name="wp1152867"/>
      <w:bookmarkStart w:id="11" w:name="wp1152869"/>
      <w:bookmarkStart w:id="12" w:name="wp1152871"/>
      <w:bookmarkStart w:id="13" w:name="wp1152873"/>
      <w:bookmarkStart w:id="14" w:name="wp1152875"/>
      <w:bookmarkStart w:id="15" w:name="wp1152877"/>
      <w:bookmarkStart w:id="16" w:name="wp1152879"/>
      <w:bookmarkStart w:id="17" w:name="wp1152881"/>
      <w:bookmarkStart w:id="18" w:name="wp1152883"/>
      <w:bookmarkStart w:id="19" w:name="wp115288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7A3F2C">
        <w:lastRenderedPageBreak/>
        <w:t xml:space="preserve">NOTE: NASA is one of the </w:t>
      </w:r>
      <w:r w:rsidR="008A5CA2" w:rsidRPr="007A3F2C">
        <w:t>24</w:t>
      </w:r>
      <w:r w:rsidRPr="007A3F2C">
        <w:t xml:space="preserve"> federal agencies </w:t>
      </w:r>
      <w:r w:rsidR="008A5CA2" w:rsidRPr="007A3F2C">
        <w:t xml:space="preserve">that us not using </w:t>
      </w:r>
      <w:r w:rsidRPr="007A3F2C">
        <w:t>G</w:t>
      </w:r>
      <w:r w:rsidR="008A5CA2" w:rsidRPr="007A3F2C">
        <w:t>eneral Services Administration’s</w:t>
      </w:r>
      <w:r w:rsidRPr="007A3F2C">
        <w:t xml:space="preserve"> </w:t>
      </w:r>
      <w:r w:rsidR="008A5CA2" w:rsidRPr="007A3F2C">
        <w:t xml:space="preserve">HSDP-12 compliant </w:t>
      </w:r>
      <w:r w:rsidRPr="007A3F2C">
        <w:t xml:space="preserve">system. NASA determined it was more cost effective to meet HSPD-12 requirements through an independent approach (see </w:t>
      </w:r>
      <w:r w:rsidR="008A5CA2" w:rsidRPr="007A3F2C">
        <w:t>response #4.)</w:t>
      </w:r>
    </w:p>
    <w:p w14:paraId="659E12E2" w14:textId="77777777" w:rsidR="007A3F2C" w:rsidRPr="005C6627" w:rsidRDefault="007A3F2C" w:rsidP="0093315E">
      <w:pPr>
        <w:rPr>
          <w:color w:val="4F81BD" w:themeColor="accent1"/>
        </w:rPr>
      </w:pPr>
    </w:p>
    <w:p w14:paraId="7D70B289" w14:textId="0C59C3A3" w:rsidR="0093315E" w:rsidRPr="00DA5A1C" w:rsidRDefault="006F2C86" w:rsidP="0093315E">
      <w:r w:rsidRPr="00DA5A1C">
        <w:rPr>
          <w:b/>
        </w:rPr>
        <w:t>2.</w:t>
      </w:r>
      <w:r w:rsidR="0081693C" w:rsidRPr="00DA5A1C">
        <w:t xml:space="preserve"> </w:t>
      </w:r>
      <w:r w:rsidR="0093315E" w:rsidRPr="00DA5A1C">
        <w:t xml:space="preserve"> </w:t>
      </w:r>
      <w:r w:rsidR="0093315E" w:rsidRPr="00DA5A1C">
        <w:rPr>
          <w:b/>
        </w:rPr>
        <w:t xml:space="preserve">Indicate how, by whom, and for what purpose the information is to be used. </w:t>
      </w:r>
    </w:p>
    <w:p w14:paraId="677E381D" w14:textId="77777777" w:rsidR="00D81261" w:rsidRPr="00DA5A1C" w:rsidRDefault="00D81261" w:rsidP="0057319D">
      <w:pPr>
        <w:autoSpaceDE w:val="0"/>
        <w:autoSpaceDN w:val="0"/>
        <w:adjustRightInd w:val="0"/>
        <w:rPr>
          <w:color w:val="4F81BD" w:themeColor="accent1"/>
          <w:sz w:val="22"/>
          <w:szCs w:val="22"/>
        </w:rPr>
      </w:pPr>
    </w:p>
    <w:p w14:paraId="23B9AB27" w14:textId="64FFDFED" w:rsidR="00580BD0" w:rsidRDefault="007A3F2C" w:rsidP="00C95ABA">
      <w:pPr>
        <w:autoSpaceDE w:val="0"/>
        <w:autoSpaceDN w:val="0"/>
        <w:adjustRightInd w:val="0"/>
        <w:rPr>
          <w:sz w:val="22"/>
          <w:szCs w:val="22"/>
        </w:rPr>
      </w:pPr>
      <w:r w:rsidRPr="00850545">
        <w:rPr>
          <w:color w:val="000000" w:themeColor="text1"/>
          <w:sz w:val="22"/>
          <w:szCs w:val="22"/>
        </w:rPr>
        <w:t>NASA</w:t>
      </w:r>
      <w:r w:rsidR="00DA5A1C" w:rsidRPr="00850545">
        <w:rPr>
          <w:color w:val="000000" w:themeColor="text1"/>
          <w:sz w:val="22"/>
          <w:szCs w:val="22"/>
        </w:rPr>
        <w:t xml:space="preserve"> </w:t>
      </w:r>
      <w:r w:rsidR="00850545" w:rsidRPr="00850545">
        <w:rPr>
          <w:color w:val="000000" w:themeColor="text1"/>
          <w:sz w:val="22"/>
          <w:szCs w:val="22"/>
        </w:rPr>
        <w:t xml:space="preserve">Office of Chief Information Officer and the NASA </w:t>
      </w:r>
      <w:r w:rsidRPr="00850545">
        <w:rPr>
          <w:color w:val="000000" w:themeColor="text1"/>
          <w:sz w:val="22"/>
          <w:szCs w:val="22"/>
        </w:rPr>
        <w:t xml:space="preserve">Office of Protective Services </w:t>
      </w:r>
      <w:r w:rsidRPr="00C42212">
        <w:rPr>
          <w:sz w:val="22"/>
          <w:szCs w:val="22"/>
        </w:rPr>
        <w:t xml:space="preserve">manages the </w:t>
      </w:r>
      <w:r w:rsidR="00DA5A1C" w:rsidRPr="00C42212">
        <w:rPr>
          <w:sz w:val="22"/>
          <w:szCs w:val="22"/>
        </w:rPr>
        <w:t>collect</w:t>
      </w:r>
      <w:r w:rsidRPr="00C42212">
        <w:rPr>
          <w:sz w:val="22"/>
          <w:szCs w:val="22"/>
        </w:rPr>
        <w:t>ion of</w:t>
      </w:r>
      <w:r w:rsidR="00DA5A1C" w:rsidRPr="00C42212">
        <w:rPr>
          <w:sz w:val="22"/>
          <w:szCs w:val="22"/>
        </w:rPr>
        <w:t xml:space="preserve"> information from members of the public </w:t>
      </w:r>
      <w:r w:rsidR="009F080E" w:rsidRPr="00C42212">
        <w:rPr>
          <w:sz w:val="22"/>
          <w:szCs w:val="22"/>
        </w:rPr>
        <w:t>requiring access to NASA facilities and/or IT resources</w:t>
      </w:r>
      <w:r w:rsidR="00C95ABA" w:rsidRPr="00C42212">
        <w:rPr>
          <w:sz w:val="22"/>
          <w:szCs w:val="22"/>
        </w:rPr>
        <w:t xml:space="preserve"> to include NASA contractors and grantees requiring access for 30 or more days. Information is </w:t>
      </w:r>
      <w:r w:rsidR="00580BD0">
        <w:rPr>
          <w:sz w:val="22"/>
          <w:szCs w:val="22"/>
        </w:rPr>
        <w:t xml:space="preserve">also </w:t>
      </w:r>
      <w:r w:rsidR="00C95ABA" w:rsidRPr="00C42212">
        <w:rPr>
          <w:sz w:val="22"/>
          <w:szCs w:val="22"/>
        </w:rPr>
        <w:t>collected from foreign nationals</w:t>
      </w:r>
      <w:r w:rsidR="00C42212" w:rsidRPr="00C42212">
        <w:rPr>
          <w:sz w:val="22"/>
          <w:szCs w:val="22"/>
        </w:rPr>
        <w:t xml:space="preserve"> seeking access </w:t>
      </w:r>
      <w:r w:rsidR="00580BD0">
        <w:rPr>
          <w:sz w:val="22"/>
          <w:szCs w:val="22"/>
        </w:rPr>
        <w:t xml:space="preserve">to NASA facilities and/or IT resources </w:t>
      </w:r>
      <w:r w:rsidR="00C42212" w:rsidRPr="00C42212">
        <w:rPr>
          <w:sz w:val="22"/>
          <w:szCs w:val="22"/>
        </w:rPr>
        <w:t>regardless of their affiliation time.</w:t>
      </w:r>
      <w:r w:rsidRPr="00C42212">
        <w:rPr>
          <w:sz w:val="22"/>
          <w:szCs w:val="22"/>
        </w:rPr>
        <w:t xml:space="preserve"> </w:t>
      </w:r>
    </w:p>
    <w:p w14:paraId="6756646E" w14:textId="77777777" w:rsidR="00580BD0" w:rsidRDefault="00580BD0" w:rsidP="00C95ABA">
      <w:pPr>
        <w:autoSpaceDE w:val="0"/>
        <w:autoSpaceDN w:val="0"/>
        <w:adjustRightInd w:val="0"/>
        <w:rPr>
          <w:sz w:val="22"/>
          <w:szCs w:val="22"/>
        </w:rPr>
      </w:pPr>
    </w:p>
    <w:p w14:paraId="02803B30" w14:textId="1EAB89FD" w:rsidR="00C95ABA" w:rsidRPr="00C42212" w:rsidRDefault="00C95ABA" w:rsidP="00580BD0">
      <w:pPr>
        <w:autoSpaceDE w:val="0"/>
        <w:autoSpaceDN w:val="0"/>
        <w:adjustRightInd w:val="0"/>
        <w:rPr>
          <w:sz w:val="22"/>
          <w:szCs w:val="22"/>
        </w:rPr>
      </w:pPr>
      <w:r w:rsidRPr="00C42212">
        <w:rPr>
          <w:sz w:val="22"/>
          <w:szCs w:val="22"/>
        </w:rPr>
        <w:t xml:space="preserve">The information collected is used </w:t>
      </w:r>
      <w:r w:rsidR="00580BD0">
        <w:rPr>
          <w:sz w:val="22"/>
          <w:szCs w:val="22"/>
        </w:rPr>
        <w:t xml:space="preserve">for background </w:t>
      </w:r>
      <w:r w:rsidRPr="00580BD0">
        <w:rPr>
          <w:sz w:val="22"/>
          <w:szCs w:val="22"/>
        </w:rPr>
        <w:t>investigation</w:t>
      </w:r>
      <w:r w:rsidR="00580BD0">
        <w:rPr>
          <w:sz w:val="22"/>
          <w:szCs w:val="22"/>
        </w:rPr>
        <w:t xml:space="preserve"> processes</w:t>
      </w:r>
      <w:r w:rsidRPr="00580BD0">
        <w:rPr>
          <w:sz w:val="22"/>
          <w:szCs w:val="22"/>
        </w:rPr>
        <w:t>,</w:t>
      </w:r>
      <w:r w:rsidRPr="00C42212">
        <w:rPr>
          <w:sz w:val="22"/>
          <w:szCs w:val="22"/>
        </w:rPr>
        <w:t xml:space="preserve"> establishing levels of confidence and user risk, and controlling access to NASA/federally owned/lease</w:t>
      </w:r>
      <w:r w:rsidR="00580BD0">
        <w:rPr>
          <w:sz w:val="22"/>
          <w:szCs w:val="22"/>
        </w:rPr>
        <w:t>d</w:t>
      </w:r>
      <w:r w:rsidRPr="00C42212">
        <w:rPr>
          <w:sz w:val="22"/>
          <w:szCs w:val="22"/>
        </w:rPr>
        <w:t xml:space="preserve"> facilities and IT resources.</w:t>
      </w:r>
    </w:p>
    <w:p w14:paraId="2583043B" w14:textId="77777777" w:rsidR="00C95ABA" w:rsidRPr="00C42212" w:rsidRDefault="00C95ABA" w:rsidP="00C95ABA">
      <w:pPr>
        <w:autoSpaceDE w:val="0"/>
        <w:autoSpaceDN w:val="0"/>
        <w:adjustRightInd w:val="0"/>
        <w:rPr>
          <w:sz w:val="22"/>
          <w:szCs w:val="22"/>
        </w:rPr>
      </w:pPr>
    </w:p>
    <w:p w14:paraId="76D19A65" w14:textId="05F036FA" w:rsidR="00DA5A1C" w:rsidRPr="00C42212" w:rsidRDefault="007A3F2C" w:rsidP="0057319D">
      <w:pPr>
        <w:autoSpaceDE w:val="0"/>
        <w:autoSpaceDN w:val="0"/>
        <w:adjustRightInd w:val="0"/>
        <w:rPr>
          <w:sz w:val="22"/>
          <w:szCs w:val="22"/>
        </w:rPr>
      </w:pPr>
      <w:r w:rsidRPr="00C42212">
        <w:rPr>
          <w:sz w:val="22"/>
          <w:szCs w:val="22"/>
        </w:rPr>
        <w:t xml:space="preserve"> Information is collected </w:t>
      </w:r>
      <w:r w:rsidR="00DA5A1C" w:rsidRPr="00C42212">
        <w:rPr>
          <w:sz w:val="22"/>
          <w:szCs w:val="22"/>
        </w:rPr>
        <w:t xml:space="preserve">either in person or remotely utilizing a secure information collection website.  The data is utilized to create an “identity” in the </w:t>
      </w:r>
      <w:r w:rsidR="00C42212" w:rsidRPr="00C42212">
        <w:rPr>
          <w:sz w:val="22"/>
          <w:szCs w:val="22"/>
        </w:rPr>
        <w:t xml:space="preserve">IdMAX </w:t>
      </w:r>
      <w:r w:rsidR="00763DE6" w:rsidRPr="00C42212">
        <w:rPr>
          <w:sz w:val="22"/>
          <w:szCs w:val="22"/>
        </w:rPr>
        <w:t>system</w:t>
      </w:r>
      <w:r w:rsidR="00DA5A1C" w:rsidRPr="00C42212">
        <w:rPr>
          <w:sz w:val="22"/>
          <w:szCs w:val="22"/>
        </w:rPr>
        <w:t xml:space="preserve"> and is affiliated </w:t>
      </w:r>
      <w:r w:rsidR="009F080E" w:rsidRPr="00C42212">
        <w:rPr>
          <w:sz w:val="22"/>
          <w:szCs w:val="22"/>
        </w:rPr>
        <w:t>with</w:t>
      </w:r>
      <w:r w:rsidR="00DA5A1C" w:rsidRPr="00C42212">
        <w:rPr>
          <w:sz w:val="22"/>
          <w:szCs w:val="22"/>
        </w:rPr>
        <w:t xml:space="preserve"> a NASA agreement (contract, grant, MOU, etc.).</w:t>
      </w:r>
      <w:r w:rsidR="00763DE6" w:rsidRPr="00C42212">
        <w:rPr>
          <w:sz w:val="22"/>
          <w:szCs w:val="22"/>
        </w:rPr>
        <w:t xml:space="preserve">  The identity is then approved by a</w:t>
      </w:r>
      <w:r w:rsidR="00580BD0">
        <w:rPr>
          <w:sz w:val="22"/>
          <w:szCs w:val="22"/>
        </w:rPr>
        <w:t xml:space="preserve"> </w:t>
      </w:r>
      <w:r w:rsidR="00580BD0" w:rsidRPr="00850545">
        <w:rPr>
          <w:sz w:val="22"/>
          <w:szCs w:val="22"/>
        </w:rPr>
        <w:t>NASA</w:t>
      </w:r>
      <w:r w:rsidR="00763DE6" w:rsidRPr="00C42212">
        <w:rPr>
          <w:sz w:val="22"/>
          <w:szCs w:val="22"/>
        </w:rPr>
        <w:t xml:space="preserve"> Affiliation Sponsor and forwarded to the </w:t>
      </w:r>
      <w:r w:rsidR="00C95ABA" w:rsidRPr="00C42212">
        <w:rPr>
          <w:sz w:val="22"/>
          <w:szCs w:val="22"/>
        </w:rPr>
        <w:t xml:space="preserve">applicable NASA </w:t>
      </w:r>
      <w:r w:rsidR="00763DE6" w:rsidRPr="00C42212">
        <w:rPr>
          <w:sz w:val="22"/>
          <w:szCs w:val="22"/>
        </w:rPr>
        <w:t>Center Security Office for processing.</w:t>
      </w:r>
    </w:p>
    <w:p w14:paraId="621CFECA" w14:textId="77777777" w:rsidR="00DA5A1C" w:rsidRPr="00C42212" w:rsidRDefault="00DA5A1C" w:rsidP="0057319D">
      <w:pPr>
        <w:autoSpaceDE w:val="0"/>
        <w:autoSpaceDN w:val="0"/>
        <w:adjustRightInd w:val="0"/>
        <w:rPr>
          <w:sz w:val="22"/>
          <w:szCs w:val="22"/>
        </w:rPr>
      </w:pPr>
    </w:p>
    <w:p w14:paraId="703BA499" w14:textId="70486C84" w:rsidR="00675707" w:rsidRPr="00850545" w:rsidRDefault="00C95ABA" w:rsidP="0057319D">
      <w:pPr>
        <w:autoSpaceDE w:val="0"/>
        <w:autoSpaceDN w:val="0"/>
        <w:adjustRightInd w:val="0"/>
        <w:rPr>
          <w:color w:val="000000" w:themeColor="text1"/>
          <w:sz w:val="22"/>
          <w:szCs w:val="22"/>
        </w:rPr>
      </w:pPr>
      <w:r w:rsidRPr="00850545">
        <w:rPr>
          <w:color w:val="000000" w:themeColor="text1"/>
          <w:sz w:val="22"/>
          <w:szCs w:val="22"/>
        </w:rPr>
        <w:t xml:space="preserve">Security Office </w:t>
      </w:r>
      <w:r w:rsidR="0057319D" w:rsidRPr="00850545">
        <w:rPr>
          <w:color w:val="000000" w:themeColor="text1"/>
          <w:sz w:val="22"/>
          <w:szCs w:val="22"/>
        </w:rPr>
        <w:t>Enrollment Officials</w:t>
      </w:r>
      <w:r w:rsidR="00580BD0" w:rsidRPr="00850545">
        <w:rPr>
          <w:color w:val="000000" w:themeColor="text1"/>
          <w:sz w:val="22"/>
          <w:szCs w:val="22"/>
        </w:rPr>
        <w:t xml:space="preserve"> at NASA Centers</w:t>
      </w:r>
      <w:r w:rsidR="0057319D" w:rsidRPr="00850545">
        <w:rPr>
          <w:color w:val="000000" w:themeColor="text1"/>
          <w:sz w:val="22"/>
          <w:szCs w:val="22"/>
        </w:rPr>
        <w:t xml:space="preserve"> </w:t>
      </w:r>
      <w:r w:rsidR="00DA5A1C" w:rsidRPr="00850545">
        <w:rPr>
          <w:color w:val="000000" w:themeColor="text1"/>
          <w:sz w:val="22"/>
          <w:szCs w:val="22"/>
        </w:rPr>
        <w:t xml:space="preserve">collect </w:t>
      </w:r>
      <w:r w:rsidRPr="00850545">
        <w:rPr>
          <w:color w:val="000000" w:themeColor="text1"/>
          <w:sz w:val="22"/>
          <w:szCs w:val="22"/>
        </w:rPr>
        <w:t xml:space="preserve">information </w:t>
      </w:r>
      <w:r w:rsidR="000F0EB3" w:rsidRPr="00850545">
        <w:rPr>
          <w:color w:val="000000" w:themeColor="text1"/>
          <w:sz w:val="22"/>
          <w:szCs w:val="22"/>
        </w:rPr>
        <w:t>and documents</w:t>
      </w:r>
      <w:r w:rsidR="0057319D" w:rsidRPr="00850545">
        <w:rPr>
          <w:color w:val="000000" w:themeColor="text1"/>
          <w:sz w:val="22"/>
          <w:szCs w:val="22"/>
        </w:rPr>
        <w:t xml:space="preserve"> </w:t>
      </w:r>
      <w:r w:rsidR="00D81261" w:rsidRPr="00850545">
        <w:rPr>
          <w:color w:val="000000" w:themeColor="text1"/>
          <w:sz w:val="22"/>
          <w:szCs w:val="22"/>
        </w:rPr>
        <w:t xml:space="preserve">to include </w:t>
      </w:r>
      <w:r w:rsidR="0057319D" w:rsidRPr="00850545">
        <w:rPr>
          <w:color w:val="000000" w:themeColor="text1"/>
          <w:sz w:val="22"/>
          <w:szCs w:val="22"/>
        </w:rPr>
        <w:t>demographic data, biometrics during enrollment</w:t>
      </w:r>
      <w:r w:rsidR="00D81261" w:rsidRPr="00850545">
        <w:rPr>
          <w:color w:val="000000" w:themeColor="text1"/>
          <w:sz w:val="22"/>
          <w:szCs w:val="22"/>
        </w:rPr>
        <w:t>,</w:t>
      </w:r>
      <w:r w:rsidR="0057319D" w:rsidRPr="00850545">
        <w:rPr>
          <w:color w:val="000000" w:themeColor="text1"/>
          <w:sz w:val="22"/>
          <w:szCs w:val="22"/>
        </w:rPr>
        <w:t xml:space="preserve"> </w:t>
      </w:r>
      <w:r w:rsidR="00C42212" w:rsidRPr="00850545">
        <w:rPr>
          <w:color w:val="000000" w:themeColor="text1"/>
          <w:sz w:val="22"/>
          <w:szCs w:val="22"/>
        </w:rPr>
        <w:t>a photograph</w:t>
      </w:r>
      <w:r w:rsidR="00580BD0" w:rsidRPr="00850545">
        <w:rPr>
          <w:color w:val="000000" w:themeColor="text1"/>
          <w:sz w:val="22"/>
          <w:szCs w:val="22"/>
        </w:rPr>
        <w:t>/digital image</w:t>
      </w:r>
      <w:r w:rsidR="00C42212" w:rsidRPr="00850545">
        <w:rPr>
          <w:color w:val="000000" w:themeColor="text1"/>
          <w:sz w:val="22"/>
          <w:szCs w:val="22"/>
        </w:rPr>
        <w:t xml:space="preserve">, </w:t>
      </w:r>
      <w:r w:rsidR="0057319D" w:rsidRPr="00850545">
        <w:rPr>
          <w:color w:val="000000" w:themeColor="text1"/>
          <w:sz w:val="22"/>
          <w:szCs w:val="22"/>
        </w:rPr>
        <w:t xml:space="preserve">and valid identity documents per NIST/FIPS requirements.  </w:t>
      </w:r>
    </w:p>
    <w:p w14:paraId="3B266949" w14:textId="77777777" w:rsidR="0057319D" w:rsidRPr="00C42212" w:rsidRDefault="0057319D" w:rsidP="0057319D">
      <w:pPr>
        <w:autoSpaceDE w:val="0"/>
        <w:autoSpaceDN w:val="0"/>
        <w:adjustRightInd w:val="0"/>
        <w:rPr>
          <w:sz w:val="22"/>
          <w:szCs w:val="22"/>
        </w:rPr>
      </w:pPr>
    </w:p>
    <w:p w14:paraId="1AE79672" w14:textId="1FDBE8A9" w:rsidR="00E56548" w:rsidRPr="00DA5A1C" w:rsidRDefault="00C42212" w:rsidP="00580BD0">
      <w:pPr>
        <w:autoSpaceDE w:val="0"/>
        <w:autoSpaceDN w:val="0"/>
        <w:adjustRightInd w:val="0"/>
      </w:pPr>
      <w:r w:rsidRPr="00C42212">
        <w:rPr>
          <w:sz w:val="22"/>
          <w:szCs w:val="22"/>
        </w:rPr>
        <w:t>When required</w:t>
      </w:r>
      <w:r w:rsidR="00D209CB" w:rsidRPr="00C42212">
        <w:rPr>
          <w:sz w:val="22"/>
          <w:szCs w:val="22"/>
        </w:rPr>
        <w:t>, NASA summa</w:t>
      </w:r>
      <w:r w:rsidR="008F0502" w:rsidRPr="00C42212">
        <w:rPr>
          <w:sz w:val="22"/>
          <w:szCs w:val="22"/>
        </w:rPr>
        <w:t xml:space="preserve">rizes/submits </w:t>
      </w:r>
      <w:r w:rsidRPr="00C42212">
        <w:rPr>
          <w:sz w:val="22"/>
          <w:szCs w:val="22"/>
        </w:rPr>
        <w:t xml:space="preserve">the </w:t>
      </w:r>
      <w:r w:rsidR="00D209CB" w:rsidRPr="00C42212">
        <w:rPr>
          <w:sz w:val="22"/>
          <w:szCs w:val="22"/>
        </w:rPr>
        <w:t xml:space="preserve">results of credentials issued, </w:t>
      </w:r>
      <w:r w:rsidR="00580BD0">
        <w:rPr>
          <w:sz w:val="22"/>
          <w:szCs w:val="22"/>
        </w:rPr>
        <w:t>as reflected in the following link</w:t>
      </w:r>
      <w:r w:rsidR="00D209CB" w:rsidRPr="00C42212">
        <w:rPr>
          <w:sz w:val="22"/>
          <w:szCs w:val="22"/>
        </w:rPr>
        <w:t xml:space="preserve">: </w:t>
      </w:r>
      <w:hyperlink r:id="rId9" w:history="1">
        <w:r w:rsidR="00E56548" w:rsidRPr="00DA5A1C">
          <w:rPr>
            <w:rStyle w:val="Hyperlink"/>
          </w:rPr>
          <w:t>http://www.whitehouse.gov/sites/default/files/omb/assets/egov_docs/hspd-12_reporting_workbook_q2fy2013_status_report.pdf</w:t>
        </w:r>
      </w:hyperlink>
    </w:p>
    <w:p w14:paraId="41835A39" w14:textId="77777777" w:rsidR="00E56548" w:rsidRPr="00DA5A1C" w:rsidRDefault="00E56548" w:rsidP="00E56548"/>
    <w:p w14:paraId="2C5041AF" w14:textId="77777777" w:rsidR="00E56548" w:rsidRPr="00DA5A1C" w:rsidRDefault="00E56548" w:rsidP="0057319D">
      <w:pPr>
        <w:autoSpaceDE w:val="0"/>
        <w:autoSpaceDN w:val="0"/>
        <w:adjustRightInd w:val="0"/>
        <w:rPr>
          <w:color w:val="C00000"/>
          <w:sz w:val="22"/>
          <w:szCs w:val="22"/>
        </w:rPr>
      </w:pPr>
    </w:p>
    <w:p w14:paraId="1DF4925F" w14:textId="77777777" w:rsidR="0093315E" w:rsidRPr="00DA5A1C" w:rsidRDefault="006F2C86" w:rsidP="0093315E">
      <w:r w:rsidRPr="00DA5A1C">
        <w:rPr>
          <w:b/>
        </w:rPr>
        <w:t>3.</w:t>
      </w:r>
      <w:r w:rsidR="0081693C" w:rsidRPr="00DA5A1C">
        <w:t xml:space="preserve">  </w:t>
      </w:r>
      <w:r w:rsidR="0093315E" w:rsidRPr="00DA5A1C">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93315E" w:rsidRPr="00DA5A1C">
        <w:t>.</w:t>
      </w:r>
    </w:p>
    <w:p w14:paraId="4A9FF80A" w14:textId="77777777" w:rsidR="0093315E" w:rsidRDefault="0093315E"/>
    <w:p w14:paraId="4BF9BD96" w14:textId="24E45962" w:rsidR="00FB48CC" w:rsidRPr="00850545" w:rsidRDefault="00FB48CC">
      <w:r w:rsidRPr="00850545">
        <w:rPr>
          <w:sz w:val="22"/>
          <w:szCs w:val="22"/>
        </w:rPr>
        <w:t>Impacted members of the public can submit information via NASA’s secure information collection website</w:t>
      </w:r>
      <w:r w:rsidR="00850545" w:rsidRPr="00850545">
        <w:rPr>
          <w:sz w:val="22"/>
          <w:szCs w:val="22"/>
        </w:rPr>
        <w:t xml:space="preserve"> (all information collected except the documents that must be presented face-to-face in accordance with FIP 201, NIST, etc.)</w:t>
      </w:r>
    </w:p>
    <w:p w14:paraId="401211D4" w14:textId="77777777" w:rsidR="00FB48CC" w:rsidRPr="00850545" w:rsidRDefault="00FB48CC" w:rsidP="009F6138">
      <w:pPr>
        <w:spacing w:line="270" w:lineRule="atLeast"/>
        <w:textAlignment w:val="baseline"/>
        <w:rPr>
          <w:sz w:val="22"/>
          <w:szCs w:val="22"/>
        </w:rPr>
      </w:pPr>
    </w:p>
    <w:p w14:paraId="75FB73F1" w14:textId="0810AF40" w:rsidR="009F6138" w:rsidRPr="00FB48CC" w:rsidRDefault="00B23DE5" w:rsidP="009F6138">
      <w:pPr>
        <w:spacing w:line="270" w:lineRule="atLeast"/>
        <w:textAlignment w:val="baseline"/>
        <w:rPr>
          <w:color w:val="FF0000"/>
          <w:sz w:val="22"/>
          <w:szCs w:val="22"/>
          <w:lang w:val="en"/>
        </w:rPr>
      </w:pPr>
      <w:r w:rsidRPr="00850545">
        <w:rPr>
          <w:sz w:val="22"/>
          <w:szCs w:val="22"/>
        </w:rPr>
        <w:t>I</w:t>
      </w:r>
      <w:r w:rsidR="004E0F19" w:rsidRPr="00850545">
        <w:rPr>
          <w:sz w:val="22"/>
          <w:szCs w:val="22"/>
        </w:rPr>
        <w:t>nformation collected</w:t>
      </w:r>
      <w:r w:rsidR="00FB48CC" w:rsidRPr="00850545">
        <w:rPr>
          <w:sz w:val="22"/>
          <w:szCs w:val="22"/>
        </w:rPr>
        <w:t xml:space="preserve"> is</w:t>
      </w:r>
      <w:r w:rsidR="004E0F19" w:rsidRPr="00850545">
        <w:rPr>
          <w:sz w:val="22"/>
          <w:szCs w:val="22"/>
        </w:rPr>
        <w:t xml:space="preserve"> stored, secured, and maintained electronically.</w:t>
      </w:r>
      <w:r w:rsidR="00D81261" w:rsidRPr="00850545">
        <w:rPr>
          <w:sz w:val="22"/>
          <w:szCs w:val="22"/>
        </w:rPr>
        <w:t xml:space="preserve">  Hard copies of s</w:t>
      </w:r>
      <w:r w:rsidR="00D540E7" w:rsidRPr="00850545">
        <w:rPr>
          <w:sz w:val="22"/>
          <w:szCs w:val="22"/>
        </w:rPr>
        <w:t>elect</w:t>
      </w:r>
      <w:r w:rsidR="00D81261" w:rsidRPr="00850545">
        <w:rPr>
          <w:sz w:val="22"/>
          <w:szCs w:val="22"/>
        </w:rPr>
        <w:t xml:space="preserve"> information</w:t>
      </w:r>
      <w:r w:rsidR="004D155C">
        <w:rPr>
          <w:sz w:val="22"/>
          <w:szCs w:val="22"/>
        </w:rPr>
        <w:t>,</w:t>
      </w:r>
      <w:r w:rsidR="00D81261" w:rsidRPr="00850545">
        <w:rPr>
          <w:sz w:val="22"/>
          <w:szCs w:val="22"/>
        </w:rPr>
        <w:t xml:space="preserve"> </w:t>
      </w:r>
      <w:r w:rsidR="004D155C">
        <w:rPr>
          <w:sz w:val="22"/>
          <w:szCs w:val="22"/>
        </w:rPr>
        <w:t xml:space="preserve">required for identity vetting, presented by the member of the public </w:t>
      </w:r>
      <w:r w:rsidR="00F54211">
        <w:rPr>
          <w:sz w:val="22"/>
          <w:szCs w:val="22"/>
        </w:rPr>
        <w:t>is</w:t>
      </w:r>
      <w:r w:rsidRPr="00850545">
        <w:rPr>
          <w:sz w:val="22"/>
          <w:szCs w:val="22"/>
        </w:rPr>
        <w:t xml:space="preserve"> scanned</w:t>
      </w:r>
      <w:r w:rsidR="00F54211">
        <w:rPr>
          <w:sz w:val="22"/>
          <w:szCs w:val="22"/>
        </w:rPr>
        <w:t xml:space="preserve"> by the NASA enrollment official</w:t>
      </w:r>
      <w:r w:rsidR="00D81261" w:rsidRPr="00850545">
        <w:rPr>
          <w:sz w:val="22"/>
          <w:szCs w:val="22"/>
        </w:rPr>
        <w:t xml:space="preserve"> </w:t>
      </w:r>
      <w:r w:rsidR="00D540E7" w:rsidRPr="00850545">
        <w:rPr>
          <w:sz w:val="22"/>
          <w:szCs w:val="22"/>
        </w:rPr>
        <w:t xml:space="preserve">to include </w:t>
      </w:r>
      <w:r w:rsidR="00D81261" w:rsidRPr="00850545">
        <w:rPr>
          <w:sz w:val="22"/>
          <w:szCs w:val="22"/>
        </w:rPr>
        <w:t xml:space="preserve">birth certificate, </w:t>
      </w:r>
      <w:r w:rsidR="00D540E7" w:rsidRPr="00850545">
        <w:rPr>
          <w:sz w:val="22"/>
          <w:szCs w:val="22"/>
        </w:rPr>
        <w:t xml:space="preserve">current </w:t>
      </w:r>
      <w:r w:rsidR="009F6138" w:rsidRPr="00850545">
        <w:rPr>
          <w:sz w:val="22"/>
          <w:szCs w:val="22"/>
          <w:lang w:val="en"/>
        </w:rPr>
        <w:t xml:space="preserve">driver's </w:t>
      </w:r>
      <w:r w:rsidR="00D540E7" w:rsidRPr="00850545">
        <w:rPr>
          <w:sz w:val="22"/>
          <w:szCs w:val="22"/>
          <w:lang w:val="en"/>
        </w:rPr>
        <w:t>l</w:t>
      </w:r>
      <w:r w:rsidR="009F6138" w:rsidRPr="00850545">
        <w:rPr>
          <w:sz w:val="22"/>
          <w:szCs w:val="22"/>
          <w:lang w:val="en"/>
        </w:rPr>
        <w:t>icense or other state photo identity cards issued by Department of Motor Vehicles (or equivalent), U.S. passport, a foreign government-issued passport, Native American Tribal Photo ID</w:t>
      </w:r>
      <w:r w:rsidR="00D540E7" w:rsidRPr="00850545">
        <w:rPr>
          <w:sz w:val="22"/>
          <w:szCs w:val="22"/>
          <w:lang w:val="en"/>
        </w:rPr>
        <w:t>.</w:t>
      </w:r>
      <w:r w:rsidR="00850545">
        <w:rPr>
          <w:sz w:val="22"/>
          <w:szCs w:val="22"/>
          <w:lang w:val="en"/>
        </w:rPr>
        <w:t xml:space="preserve"> </w:t>
      </w:r>
    </w:p>
    <w:p w14:paraId="4A9BDC5C" w14:textId="77777777" w:rsidR="009F6138" w:rsidRPr="00DA5A1C" w:rsidRDefault="009F6138" w:rsidP="009F6138">
      <w:pPr>
        <w:spacing w:line="270" w:lineRule="atLeast"/>
        <w:textAlignment w:val="baseline"/>
        <w:rPr>
          <w:color w:val="333333"/>
          <w:sz w:val="20"/>
          <w:szCs w:val="20"/>
          <w:lang w:val="en"/>
        </w:rPr>
      </w:pPr>
    </w:p>
    <w:p w14:paraId="5861A058" w14:textId="77777777" w:rsidR="0093315E" w:rsidRDefault="0093315E"/>
    <w:p w14:paraId="3A1DD472" w14:textId="77777777" w:rsidR="00C1772C" w:rsidRDefault="00C1772C"/>
    <w:p w14:paraId="256BEB2A" w14:textId="77777777" w:rsidR="00C1772C" w:rsidRPr="00DA5A1C" w:rsidRDefault="00C1772C"/>
    <w:p w14:paraId="34513187" w14:textId="173D51F1" w:rsidR="008C63A7" w:rsidRPr="00DA5A1C" w:rsidRDefault="006F2C86" w:rsidP="008C63A7">
      <w:pPr>
        <w:rPr>
          <w:b/>
        </w:rPr>
      </w:pPr>
      <w:r w:rsidRPr="00DA5A1C">
        <w:rPr>
          <w:b/>
        </w:rPr>
        <w:t>4.</w:t>
      </w:r>
      <w:r w:rsidR="0081693C" w:rsidRPr="00DA5A1C">
        <w:t xml:space="preserve"> </w:t>
      </w:r>
      <w:r w:rsidR="0093315E" w:rsidRPr="00DA5A1C">
        <w:rPr>
          <w:b/>
        </w:rPr>
        <w:t xml:space="preserve"> Describe efforts to identify duplication.</w:t>
      </w:r>
    </w:p>
    <w:p w14:paraId="7031CE23" w14:textId="77777777" w:rsidR="0093315E" w:rsidRPr="00DA5A1C" w:rsidRDefault="0093315E"/>
    <w:p w14:paraId="7B0FAD3B" w14:textId="50AECA82" w:rsidR="005F3BB8" w:rsidRPr="00D540E7" w:rsidRDefault="004E0F19">
      <w:pPr>
        <w:rPr>
          <w:sz w:val="22"/>
          <w:szCs w:val="22"/>
        </w:rPr>
      </w:pPr>
      <w:r w:rsidRPr="00D540E7">
        <w:rPr>
          <w:sz w:val="22"/>
          <w:szCs w:val="22"/>
        </w:rPr>
        <w:t xml:space="preserve">The </w:t>
      </w:r>
      <w:r w:rsidR="00C057B9" w:rsidRPr="00D540E7">
        <w:rPr>
          <w:sz w:val="22"/>
          <w:szCs w:val="22"/>
        </w:rPr>
        <w:t>Identity</w:t>
      </w:r>
      <w:r w:rsidRPr="00D540E7">
        <w:rPr>
          <w:sz w:val="22"/>
          <w:szCs w:val="22"/>
        </w:rPr>
        <w:t xml:space="preserve"> Management </w:t>
      </w:r>
      <w:r w:rsidR="00B23DE5" w:rsidRPr="00D540E7">
        <w:rPr>
          <w:sz w:val="22"/>
          <w:szCs w:val="22"/>
        </w:rPr>
        <w:t xml:space="preserve">and Account Exchange </w:t>
      </w:r>
      <w:r w:rsidR="001F7614" w:rsidRPr="00D540E7">
        <w:rPr>
          <w:sz w:val="22"/>
          <w:szCs w:val="22"/>
        </w:rPr>
        <w:t xml:space="preserve">(IdMAX) </w:t>
      </w:r>
      <w:r w:rsidRPr="00D540E7">
        <w:rPr>
          <w:sz w:val="22"/>
          <w:szCs w:val="22"/>
        </w:rPr>
        <w:t>System is the only NASA system used for managing Identity, Credential, and Access information for NASA civil servants, contractors, and affiliates.</w:t>
      </w:r>
      <w:r w:rsidR="00B23DE5" w:rsidRPr="00D540E7">
        <w:rPr>
          <w:sz w:val="22"/>
          <w:szCs w:val="22"/>
        </w:rPr>
        <w:t xml:space="preserve">  </w:t>
      </w:r>
      <w:r w:rsidR="001F7614" w:rsidRPr="00D540E7">
        <w:rPr>
          <w:sz w:val="22"/>
          <w:szCs w:val="22"/>
        </w:rPr>
        <w:t>IdMAX provides access management</w:t>
      </w:r>
      <w:r w:rsidR="00DB4928">
        <w:rPr>
          <w:sz w:val="22"/>
          <w:szCs w:val="22"/>
        </w:rPr>
        <w:t xml:space="preserve"> (the authorization piece)</w:t>
      </w:r>
      <w:r w:rsidR="001F7614" w:rsidRPr="00D540E7">
        <w:rPr>
          <w:sz w:val="22"/>
          <w:szCs w:val="22"/>
        </w:rPr>
        <w:t xml:space="preserve"> to over 2</w:t>
      </w:r>
      <w:r w:rsidR="00DB4928">
        <w:rPr>
          <w:sz w:val="22"/>
          <w:szCs w:val="22"/>
        </w:rPr>
        <w:t>,</w:t>
      </w:r>
      <w:r w:rsidR="001F7614" w:rsidRPr="00D540E7">
        <w:rPr>
          <w:sz w:val="22"/>
          <w:szCs w:val="22"/>
        </w:rPr>
        <w:t xml:space="preserve">300 </w:t>
      </w:r>
      <w:r w:rsidR="00DB4928">
        <w:rPr>
          <w:sz w:val="22"/>
          <w:szCs w:val="22"/>
        </w:rPr>
        <w:t xml:space="preserve">NASA </w:t>
      </w:r>
      <w:r w:rsidR="001F7614" w:rsidRPr="00D540E7">
        <w:rPr>
          <w:sz w:val="22"/>
          <w:szCs w:val="22"/>
        </w:rPr>
        <w:t>applications, provides central authentication</w:t>
      </w:r>
      <w:r w:rsidR="00DB4928">
        <w:rPr>
          <w:sz w:val="22"/>
          <w:szCs w:val="22"/>
        </w:rPr>
        <w:t xml:space="preserve"> (mechanism for the person to log into the app)</w:t>
      </w:r>
      <w:r w:rsidR="001F7614" w:rsidRPr="00D540E7">
        <w:rPr>
          <w:sz w:val="22"/>
          <w:szCs w:val="22"/>
        </w:rPr>
        <w:t xml:space="preserve"> to over 300 </w:t>
      </w:r>
      <w:r w:rsidR="00DB4928">
        <w:rPr>
          <w:sz w:val="22"/>
          <w:szCs w:val="22"/>
        </w:rPr>
        <w:t xml:space="preserve">NASA </w:t>
      </w:r>
      <w:r w:rsidR="009E411D" w:rsidRPr="00D540E7">
        <w:rPr>
          <w:sz w:val="22"/>
          <w:szCs w:val="22"/>
        </w:rPr>
        <w:t>applications</w:t>
      </w:r>
      <w:r w:rsidR="001F7614" w:rsidRPr="00D540E7">
        <w:rPr>
          <w:sz w:val="22"/>
          <w:szCs w:val="22"/>
        </w:rPr>
        <w:t xml:space="preserve">, </w:t>
      </w:r>
      <w:r w:rsidR="009E411D" w:rsidRPr="00D540E7">
        <w:rPr>
          <w:sz w:val="22"/>
          <w:szCs w:val="22"/>
        </w:rPr>
        <w:t xml:space="preserve">and </w:t>
      </w:r>
      <w:r w:rsidR="001F7614" w:rsidRPr="00D540E7">
        <w:rPr>
          <w:sz w:val="22"/>
          <w:szCs w:val="22"/>
        </w:rPr>
        <w:t xml:space="preserve">is the authoritative source of information for nearly all applications that utilize identity data (emergency notification, training, active directory, electronic health records, </w:t>
      </w:r>
      <w:r w:rsidR="00FB48CC">
        <w:rPr>
          <w:sz w:val="22"/>
          <w:szCs w:val="22"/>
        </w:rPr>
        <w:t>human resources</w:t>
      </w:r>
      <w:r w:rsidR="001F7614" w:rsidRPr="00D540E7">
        <w:rPr>
          <w:sz w:val="22"/>
          <w:szCs w:val="22"/>
        </w:rPr>
        <w:t xml:space="preserve">, etc.).  </w:t>
      </w:r>
      <w:r w:rsidR="009E411D" w:rsidRPr="00D540E7">
        <w:rPr>
          <w:sz w:val="22"/>
          <w:szCs w:val="22"/>
        </w:rPr>
        <w:t>By centralizing all information collect</w:t>
      </w:r>
      <w:r w:rsidR="00FB48CC">
        <w:rPr>
          <w:sz w:val="22"/>
          <w:szCs w:val="22"/>
        </w:rPr>
        <w:t>ed</w:t>
      </w:r>
      <w:r w:rsidR="009E411D" w:rsidRPr="00D540E7">
        <w:rPr>
          <w:sz w:val="22"/>
          <w:szCs w:val="22"/>
        </w:rPr>
        <w:t xml:space="preserve"> and manag</w:t>
      </w:r>
      <w:r w:rsidR="00FB48CC">
        <w:rPr>
          <w:sz w:val="22"/>
          <w:szCs w:val="22"/>
        </w:rPr>
        <w:t>ing that information</w:t>
      </w:r>
      <w:r w:rsidR="009E411D" w:rsidRPr="00D540E7">
        <w:rPr>
          <w:sz w:val="22"/>
          <w:szCs w:val="22"/>
        </w:rPr>
        <w:t xml:space="preserve"> within IdMAX, NASA has substantially reduced the number of locations and </w:t>
      </w:r>
      <w:r w:rsidR="00DB4928">
        <w:rPr>
          <w:sz w:val="22"/>
          <w:szCs w:val="22"/>
        </w:rPr>
        <w:t xml:space="preserve">NASA </w:t>
      </w:r>
      <w:r w:rsidR="009E411D" w:rsidRPr="00D540E7">
        <w:rPr>
          <w:sz w:val="22"/>
          <w:szCs w:val="22"/>
        </w:rPr>
        <w:t>system</w:t>
      </w:r>
      <w:r w:rsidR="00FB48CC">
        <w:rPr>
          <w:sz w:val="22"/>
          <w:szCs w:val="22"/>
        </w:rPr>
        <w:t>s</w:t>
      </w:r>
      <w:r w:rsidR="009E411D" w:rsidRPr="00D540E7">
        <w:rPr>
          <w:sz w:val="22"/>
          <w:szCs w:val="22"/>
        </w:rPr>
        <w:t xml:space="preserve"> in which personal information for members of the public is stored.  </w:t>
      </w:r>
    </w:p>
    <w:p w14:paraId="34B08018" w14:textId="77777777" w:rsidR="005C6627" w:rsidRPr="00D540E7" w:rsidRDefault="005C6627">
      <w:pPr>
        <w:rPr>
          <w:sz w:val="22"/>
          <w:szCs w:val="22"/>
        </w:rPr>
      </w:pPr>
    </w:p>
    <w:p w14:paraId="41BE0987" w14:textId="3DA1F5F1" w:rsidR="004E0F19" w:rsidRPr="00D540E7" w:rsidRDefault="001F7614">
      <w:pPr>
        <w:rPr>
          <w:sz w:val="22"/>
          <w:szCs w:val="22"/>
        </w:rPr>
      </w:pPr>
      <w:r w:rsidRPr="00D540E7">
        <w:rPr>
          <w:sz w:val="22"/>
          <w:szCs w:val="22"/>
        </w:rPr>
        <w:t>The IdMAX credential management and universal registration client also perform</w:t>
      </w:r>
      <w:r w:rsidR="005F3BB8" w:rsidRPr="00D540E7">
        <w:rPr>
          <w:sz w:val="22"/>
          <w:szCs w:val="22"/>
        </w:rPr>
        <w:t>s</w:t>
      </w:r>
      <w:r w:rsidRPr="00D540E7">
        <w:rPr>
          <w:sz w:val="22"/>
          <w:szCs w:val="22"/>
        </w:rPr>
        <w:t xml:space="preserve"> all of the FIPS 201 required functions for a PI</w:t>
      </w:r>
      <w:r w:rsidR="005F3BB8" w:rsidRPr="00D540E7">
        <w:rPr>
          <w:sz w:val="22"/>
          <w:szCs w:val="22"/>
        </w:rPr>
        <w:t xml:space="preserve">V Credential Issuance Facility.  This saves NASA approximately $234 per PIV credential issued over a </w:t>
      </w:r>
      <w:r w:rsidR="009E411D" w:rsidRPr="00D540E7">
        <w:rPr>
          <w:sz w:val="22"/>
          <w:szCs w:val="22"/>
        </w:rPr>
        <w:t>5-year</w:t>
      </w:r>
      <w:r w:rsidR="005F3BB8" w:rsidRPr="00D540E7">
        <w:rPr>
          <w:sz w:val="22"/>
          <w:szCs w:val="22"/>
        </w:rPr>
        <w:t xml:space="preserve"> period</w:t>
      </w:r>
      <w:r w:rsidR="00AD030B">
        <w:rPr>
          <w:sz w:val="22"/>
          <w:szCs w:val="22"/>
        </w:rPr>
        <w:t>,</w:t>
      </w:r>
      <w:r w:rsidR="005F3BB8" w:rsidRPr="00D540E7">
        <w:rPr>
          <w:sz w:val="22"/>
          <w:szCs w:val="22"/>
        </w:rPr>
        <w:t xml:space="preserve"> </w:t>
      </w:r>
      <w:r w:rsidR="00AD030B">
        <w:rPr>
          <w:sz w:val="22"/>
          <w:szCs w:val="22"/>
        </w:rPr>
        <w:t>compared to the</w:t>
      </w:r>
      <w:r w:rsidR="009E411D" w:rsidRPr="00D540E7">
        <w:rPr>
          <w:sz w:val="22"/>
          <w:szCs w:val="22"/>
        </w:rPr>
        <w:t xml:space="preserve"> GSA shared services</w:t>
      </w:r>
      <w:r w:rsidR="00AD030B">
        <w:rPr>
          <w:sz w:val="22"/>
          <w:szCs w:val="22"/>
        </w:rPr>
        <w:t xml:space="preserve"> cost</w:t>
      </w:r>
      <w:r w:rsidR="009E411D" w:rsidRPr="00D540E7">
        <w:rPr>
          <w:sz w:val="22"/>
          <w:szCs w:val="22"/>
        </w:rPr>
        <w:t xml:space="preserve"> for PIV issuance</w:t>
      </w:r>
      <w:r w:rsidR="00AD030B">
        <w:rPr>
          <w:sz w:val="22"/>
          <w:szCs w:val="22"/>
        </w:rPr>
        <w:t>. NASA realized a cost savings</w:t>
      </w:r>
      <w:r w:rsidR="009E411D" w:rsidRPr="00D540E7">
        <w:rPr>
          <w:sz w:val="22"/>
          <w:szCs w:val="22"/>
        </w:rPr>
        <w:t xml:space="preserve"> </w:t>
      </w:r>
      <w:r w:rsidR="00AD030B">
        <w:rPr>
          <w:sz w:val="22"/>
          <w:szCs w:val="22"/>
        </w:rPr>
        <w:t>of</w:t>
      </w:r>
      <w:r w:rsidR="009E411D" w:rsidRPr="00D540E7">
        <w:rPr>
          <w:sz w:val="22"/>
          <w:szCs w:val="22"/>
        </w:rPr>
        <w:t xml:space="preserve"> approximate</w:t>
      </w:r>
      <w:r w:rsidR="00AD030B">
        <w:rPr>
          <w:sz w:val="22"/>
          <w:szCs w:val="22"/>
        </w:rPr>
        <w:t>ly</w:t>
      </w:r>
      <w:r w:rsidR="009E411D" w:rsidRPr="00D540E7">
        <w:rPr>
          <w:sz w:val="22"/>
          <w:szCs w:val="22"/>
        </w:rPr>
        <w:t xml:space="preserve"> $16,000,000 per five year lifecycle </w:t>
      </w:r>
      <w:r w:rsidR="00AD030B">
        <w:rPr>
          <w:sz w:val="22"/>
          <w:szCs w:val="22"/>
        </w:rPr>
        <w:t>when</w:t>
      </w:r>
      <w:r w:rsidR="009E411D" w:rsidRPr="00D540E7">
        <w:rPr>
          <w:sz w:val="22"/>
          <w:szCs w:val="22"/>
        </w:rPr>
        <w:t xml:space="preserve"> NASA </w:t>
      </w:r>
      <w:r w:rsidR="00AD030B">
        <w:rPr>
          <w:sz w:val="22"/>
          <w:szCs w:val="22"/>
        </w:rPr>
        <w:t xml:space="preserve">began issuing </w:t>
      </w:r>
      <w:r w:rsidR="00AD030B" w:rsidRPr="00D540E7">
        <w:rPr>
          <w:sz w:val="22"/>
          <w:szCs w:val="22"/>
        </w:rPr>
        <w:t>PIV credentials</w:t>
      </w:r>
      <w:r w:rsidR="00AD030B">
        <w:rPr>
          <w:sz w:val="22"/>
          <w:szCs w:val="22"/>
        </w:rPr>
        <w:t xml:space="preserve"> (</w:t>
      </w:r>
      <w:r w:rsidR="009E411D" w:rsidRPr="00D540E7">
        <w:rPr>
          <w:sz w:val="22"/>
          <w:szCs w:val="22"/>
        </w:rPr>
        <w:t>68,000 issued</w:t>
      </w:r>
      <w:r w:rsidR="00AD030B">
        <w:rPr>
          <w:sz w:val="22"/>
          <w:szCs w:val="22"/>
        </w:rPr>
        <w:t>)</w:t>
      </w:r>
      <w:r w:rsidR="009E411D" w:rsidRPr="00D540E7">
        <w:rPr>
          <w:sz w:val="22"/>
          <w:szCs w:val="22"/>
        </w:rPr>
        <w:t xml:space="preserve"> </w:t>
      </w:r>
      <w:r w:rsidR="00AD030B">
        <w:rPr>
          <w:sz w:val="22"/>
          <w:szCs w:val="22"/>
        </w:rPr>
        <w:t>compared to the cost of using the GSA shared services.</w:t>
      </w:r>
    </w:p>
    <w:p w14:paraId="33B7F05D" w14:textId="77777777" w:rsidR="00375C0A" w:rsidRPr="00D540E7" w:rsidRDefault="00375C0A">
      <w:pPr>
        <w:rPr>
          <w:sz w:val="22"/>
          <w:szCs w:val="22"/>
        </w:rPr>
      </w:pPr>
    </w:p>
    <w:p w14:paraId="328CF7E7" w14:textId="0B9D4CCA" w:rsidR="00375C0A" w:rsidRPr="00D540E7" w:rsidRDefault="00375C0A">
      <w:pPr>
        <w:rPr>
          <w:sz w:val="22"/>
          <w:szCs w:val="22"/>
        </w:rPr>
      </w:pPr>
      <w:r w:rsidRPr="00D540E7">
        <w:rPr>
          <w:sz w:val="22"/>
          <w:szCs w:val="22"/>
        </w:rPr>
        <w:t xml:space="preserve">NASA utilizes </w:t>
      </w:r>
      <w:r w:rsidR="00DB4928">
        <w:rPr>
          <w:sz w:val="22"/>
          <w:szCs w:val="22"/>
        </w:rPr>
        <w:t>OPMs</w:t>
      </w:r>
      <w:r w:rsidR="00FB48CC">
        <w:rPr>
          <w:sz w:val="22"/>
          <w:szCs w:val="22"/>
        </w:rPr>
        <w:t xml:space="preserve"> </w:t>
      </w:r>
      <w:r w:rsidRPr="00AD030B">
        <w:rPr>
          <w:i/>
          <w:sz w:val="22"/>
          <w:szCs w:val="22"/>
        </w:rPr>
        <w:t>Personnel Investigations Processing Systems and Central Verification System</w:t>
      </w:r>
      <w:r w:rsidR="00AD030B">
        <w:rPr>
          <w:i/>
          <w:sz w:val="22"/>
          <w:szCs w:val="22"/>
        </w:rPr>
        <w:t xml:space="preserve"> (e- QIP)</w:t>
      </w:r>
      <w:r w:rsidRPr="00D540E7">
        <w:rPr>
          <w:sz w:val="22"/>
          <w:szCs w:val="22"/>
        </w:rPr>
        <w:t xml:space="preserve"> to prevent duplication of investigation and vetting by providing reciprocity to members of the public who have a current investigation already completed by another agency or affiliate.</w:t>
      </w:r>
    </w:p>
    <w:p w14:paraId="328060C7" w14:textId="77777777" w:rsidR="00750F9A" w:rsidRPr="00DA5A1C" w:rsidRDefault="00750F9A">
      <w:pPr>
        <w:rPr>
          <w:color w:val="4F81BD" w:themeColor="accent1"/>
          <w:sz w:val="22"/>
          <w:szCs w:val="22"/>
        </w:rPr>
      </w:pPr>
    </w:p>
    <w:p w14:paraId="3E551B28" w14:textId="77777777" w:rsidR="007731EE" w:rsidRPr="00DA5A1C" w:rsidRDefault="007731EE" w:rsidP="0093315E"/>
    <w:p w14:paraId="61FFA712" w14:textId="77777777" w:rsidR="0093315E" w:rsidRPr="00DA5A1C" w:rsidRDefault="006F2C86" w:rsidP="0093315E">
      <w:r w:rsidRPr="00DA5A1C">
        <w:rPr>
          <w:b/>
        </w:rPr>
        <w:t>5.</w:t>
      </w:r>
      <w:r w:rsidR="0093315E" w:rsidRPr="00DA5A1C">
        <w:rPr>
          <w:b/>
        </w:rPr>
        <w:t xml:space="preserve"> If the collection of information impacts small businesses or other small entities (Item 5 of OMB Form 83-I), describe any methods used to minimize burden.</w:t>
      </w:r>
    </w:p>
    <w:p w14:paraId="27B939B4" w14:textId="77777777" w:rsidR="0093315E" w:rsidRPr="00DA5A1C" w:rsidRDefault="0093315E" w:rsidP="0093315E">
      <w:pPr>
        <w:rPr>
          <w:color w:val="FF0000"/>
        </w:rPr>
      </w:pPr>
    </w:p>
    <w:p w14:paraId="07E771E8" w14:textId="77777777" w:rsidR="009F6138" w:rsidRPr="00DA5A1C" w:rsidRDefault="009F6138" w:rsidP="0093315E">
      <w:pPr>
        <w:rPr>
          <w:color w:val="FF0000"/>
          <w:sz w:val="22"/>
          <w:szCs w:val="22"/>
        </w:rPr>
      </w:pPr>
    </w:p>
    <w:p w14:paraId="5B73EC2C" w14:textId="46BD14EC" w:rsidR="00FB5B07" w:rsidRPr="00D540E7" w:rsidRDefault="006062DB" w:rsidP="00FB5B07">
      <w:pPr>
        <w:rPr>
          <w:sz w:val="22"/>
          <w:szCs w:val="22"/>
        </w:rPr>
      </w:pPr>
      <w:r w:rsidRPr="00D540E7">
        <w:rPr>
          <w:sz w:val="22"/>
          <w:szCs w:val="22"/>
        </w:rPr>
        <w:t>Federal Information Processing Standards 201 has no exemptions or reductio</w:t>
      </w:r>
      <w:r w:rsidR="00FB5B07" w:rsidRPr="00D540E7">
        <w:rPr>
          <w:sz w:val="22"/>
          <w:szCs w:val="22"/>
        </w:rPr>
        <w:t xml:space="preserve">n of impact for small entities, </w:t>
      </w:r>
      <w:r w:rsidRPr="00D540E7">
        <w:rPr>
          <w:sz w:val="22"/>
          <w:szCs w:val="22"/>
        </w:rPr>
        <w:t>therefor</w:t>
      </w:r>
      <w:r w:rsidR="00FB5B07" w:rsidRPr="00D540E7">
        <w:rPr>
          <w:sz w:val="22"/>
          <w:szCs w:val="22"/>
        </w:rPr>
        <w:t xml:space="preserve">e </w:t>
      </w:r>
      <w:r w:rsidR="009F6138" w:rsidRPr="00D540E7">
        <w:rPr>
          <w:sz w:val="22"/>
          <w:szCs w:val="22"/>
        </w:rPr>
        <w:t xml:space="preserve">Small businesses and other small entities must adhere to HSPD-12 requirements to </w:t>
      </w:r>
      <w:r w:rsidR="001D1C75">
        <w:rPr>
          <w:sz w:val="22"/>
          <w:szCs w:val="22"/>
        </w:rPr>
        <w:t xml:space="preserve">access </w:t>
      </w:r>
      <w:r w:rsidR="009F6138" w:rsidRPr="00D540E7">
        <w:rPr>
          <w:sz w:val="22"/>
          <w:szCs w:val="22"/>
        </w:rPr>
        <w:t>federally owne</w:t>
      </w:r>
      <w:r w:rsidR="00FB5B07" w:rsidRPr="00D540E7">
        <w:rPr>
          <w:sz w:val="22"/>
          <w:szCs w:val="22"/>
        </w:rPr>
        <w:t xml:space="preserve">d/leased space </w:t>
      </w:r>
      <w:r w:rsidR="00F54211">
        <w:rPr>
          <w:sz w:val="22"/>
          <w:szCs w:val="22"/>
        </w:rPr>
        <w:t>and IT resources. However, NASA encourages small business to use the Remote Identity Invitation.  Doing so reduces the burden associated with small businesses hiring an individual to gather all the information and submit. Small business representatives have expressed their satisfaction with the remote identity process.</w:t>
      </w:r>
    </w:p>
    <w:p w14:paraId="550977A5" w14:textId="557743E1" w:rsidR="009F6138" w:rsidRPr="005C6627" w:rsidRDefault="009F6138" w:rsidP="0093315E">
      <w:pPr>
        <w:rPr>
          <w:color w:val="4F81BD" w:themeColor="accent1"/>
          <w:sz w:val="22"/>
          <w:szCs w:val="22"/>
        </w:rPr>
      </w:pPr>
    </w:p>
    <w:p w14:paraId="673FCEC7" w14:textId="77777777" w:rsidR="0093315E" w:rsidRPr="00DA5A1C" w:rsidRDefault="0093315E" w:rsidP="0093315E"/>
    <w:p w14:paraId="15ECA055" w14:textId="77777777" w:rsidR="0093315E" w:rsidRPr="00DA5A1C" w:rsidRDefault="006F2C86" w:rsidP="0093315E">
      <w:pPr>
        <w:rPr>
          <w:b/>
        </w:rPr>
      </w:pPr>
      <w:r w:rsidRPr="00DA5A1C">
        <w:rPr>
          <w:b/>
        </w:rPr>
        <w:t>6.</w:t>
      </w:r>
      <w:r w:rsidR="0093315E" w:rsidRPr="00DA5A1C">
        <w:t xml:space="preserve"> </w:t>
      </w:r>
      <w:r w:rsidR="0093315E" w:rsidRPr="00DA5A1C">
        <w:rPr>
          <w:b/>
        </w:rPr>
        <w:t>Describe the consequence to Federal program or policy activities if the collection is not conducted or is conducted less frequently, as well as any technical or legal obstacles</w:t>
      </w:r>
    </w:p>
    <w:p w14:paraId="31CF8FE8" w14:textId="77777777" w:rsidR="0093315E" w:rsidRPr="00DA5A1C" w:rsidRDefault="0093315E" w:rsidP="0093315E">
      <w:pPr>
        <w:rPr>
          <w:b/>
        </w:rPr>
      </w:pPr>
      <w:r w:rsidRPr="00DA5A1C">
        <w:rPr>
          <w:b/>
        </w:rPr>
        <w:t>to reducing burden.</w:t>
      </w:r>
    </w:p>
    <w:p w14:paraId="02D08583" w14:textId="77777777" w:rsidR="0093315E" w:rsidRPr="00DA5A1C" w:rsidRDefault="0093315E" w:rsidP="0093315E"/>
    <w:p w14:paraId="149E97FB" w14:textId="03CB8EAD" w:rsidR="00090743" w:rsidRPr="00880956" w:rsidRDefault="006A24A6" w:rsidP="00090743">
      <w:r w:rsidRPr="00880956">
        <w:rPr>
          <w:sz w:val="22"/>
          <w:szCs w:val="22"/>
        </w:rPr>
        <w:t xml:space="preserve">NASA </w:t>
      </w:r>
      <w:r w:rsidR="00310EFA" w:rsidRPr="00880956">
        <w:rPr>
          <w:sz w:val="22"/>
          <w:szCs w:val="22"/>
        </w:rPr>
        <w:t>is required to adhere to</w:t>
      </w:r>
      <w:r w:rsidRPr="00880956">
        <w:rPr>
          <w:sz w:val="22"/>
          <w:szCs w:val="22"/>
        </w:rPr>
        <w:t xml:space="preserve"> HSPD 12, as well as NIST, FIPS and OMB requirements.</w:t>
      </w:r>
      <w:r w:rsidR="00310EFA" w:rsidRPr="00880956">
        <w:rPr>
          <w:sz w:val="22"/>
          <w:szCs w:val="22"/>
        </w:rPr>
        <w:t xml:space="preserve">  The inability to collect and process this information would prevent members of the public from accessing </w:t>
      </w:r>
      <w:r w:rsidR="00880956">
        <w:rPr>
          <w:sz w:val="22"/>
          <w:szCs w:val="22"/>
        </w:rPr>
        <w:t>federally owned/leased space used by NASA.</w:t>
      </w:r>
    </w:p>
    <w:p w14:paraId="2339442A" w14:textId="77777777" w:rsidR="004E0F19" w:rsidRPr="00DA5A1C" w:rsidRDefault="004E0F19" w:rsidP="0093315E">
      <w:pPr>
        <w:rPr>
          <w:color w:val="4F81BD" w:themeColor="accent1"/>
          <w:sz w:val="22"/>
          <w:szCs w:val="22"/>
        </w:rPr>
      </w:pPr>
    </w:p>
    <w:p w14:paraId="66F8D0C7" w14:textId="77777777" w:rsidR="0093315E" w:rsidRDefault="0093315E" w:rsidP="0093315E"/>
    <w:p w14:paraId="267D4825" w14:textId="77777777" w:rsidR="008C63A7" w:rsidRDefault="008C63A7" w:rsidP="0093315E"/>
    <w:p w14:paraId="38296441" w14:textId="77777777" w:rsidR="00C1772C" w:rsidRPr="00DA5A1C" w:rsidRDefault="00C1772C" w:rsidP="0093315E"/>
    <w:p w14:paraId="726E541B" w14:textId="33D5199B" w:rsidR="0093315E" w:rsidRPr="00DA5A1C" w:rsidRDefault="006F2C86" w:rsidP="0093315E">
      <w:pPr>
        <w:rPr>
          <w:b/>
        </w:rPr>
      </w:pPr>
      <w:r w:rsidRPr="00DA5A1C">
        <w:rPr>
          <w:b/>
        </w:rPr>
        <w:t>7.</w:t>
      </w:r>
      <w:r w:rsidR="0093315E" w:rsidRPr="00DA5A1C">
        <w:t xml:space="preserve"> </w:t>
      </w:r>
      <w:r w:rsidR="0093315E" w:rsidRPr="00DA5A1C">
        <w:rPr>
          <w:b/>
        </w:rPr>
        <w:t>Explain any special circumstances</w:t>
      </w:r>
      <w:r w:rsidR="00C1772C">
        <w:rPr>
          <w:b/>
        </w:rPr>
        <w:t>.</w:t>
      </w:r>
    </w:p>
    <w:p w14:paraId="65482A37" w14:textId="77777777" w:rsidR="00C1772C" w:rsidRDefault="00FB5B07" w:rsidP="00FB5B07">
      <w:pPr>
        <w:rPr>
          <w:sz w:val="22"/>
          <w:szCs w:val="22"/>
        </w:rPr>
      </w:pPr>
      <w:r w:rsidRPr="00880956">
        <w:rPr>
          <w:sz w:val="22"/>
          <w:szCs w:val="22"/>
        </w:rPr>
        <w:t>NASA does not</w:t>
      </w:r>
      <w:r w:rsidR="00C1772C">
        <w:rPr>
          <w:sz w:val="22"/>
          <w:szCs w:val="22"/>
        </w:rPr>
        <w:t xml:space="preserve"> have any special circumstances associated with this information collection. </w:t>
      </w:r>
    </w:p>
    <w:p w14:paraId="26F7DBB8" w14:textId="77777777" w:rsidR="00C1772C" w:rsidRDefault="00C1772C" w:rsidP="00FB5B07">
      <w:pPr>
        <w:rPr>
          <w:sz w:val="22"/>
          <w:szCs w:val="22"/>
        </w:rPr>
      </w:pPr>
    </w:p>
    <w:p w14:paraId="3A421D91" w14:textId="2F4572C2" w:rsidR="0093315E" w:rsidRPr="00DA5A1C" w:rsidRDefault="006F2C86" w:rsidP="008C63A7">
      <w:pPr>
        <w:rPr>
          <w:b/>
        </w:rPr>
      </w:pPr>
      <w:r w:rsidRPr="00DA5A1C">
        <w:rPr>
          <w:b/>
        </w:rPr>
        <w:t>8.</w:t>
      </w:r>
      <w:r w:rsidR="0093315E" w:rsidRPr="00DA5A1C">
        <w:rPr>
          <w:b/>
        </w:rPr>
        <w:t xml:space="preserve"> If applicable, provide a copy and identify the date and page number of publication in the Federal Register of the agency's notice, required by 5 CFR 1320.8(d), soliciting comments on the information collection prior to submission to OMB. </w:t>
      </w:r>
    </w:p>
    <w:p w14:paraId="15750E15" w14:textId="77777777" w:rsidR="0093315E" w:rsidRPr="008C63A7" w:rsidRDefault="0093315E" w:rsidP="0093315E">
      <w:pPr>
        <w:rPr>
          <w:color w:val="FF0000"/>
        </w:rPr>
      </w:pPr>
    </w:p>
    <w:p w14:paraId="1CE96569" w14:textId="09FC9647" w:rsidR="00287E23" w:rsidRPr="008C63A7" w:rsidRDefault="00287E23" w:rsidP="0093315E">
      <w:pPr>
        <w:rPr>
          <w:color w:val="FF0000"/>
          <w:sz w:val="22"/>
          <w:szCs w:val="22"/>
        </w:rPr>
      </w:pPr>
      <w:r w:rsidRPr="00C1772C">
        <w:rPr>
          <w:sz w:val="22"/>
          <w:szCs w:val="22"/>
        </w:rPr>
        <w:t xml:space="preserve">60-Day </w:t>
      </w:r>
      <w:r w:rsidR="007A2295" w:rsidRPr="00C1772C">
        <w:rPr>
          <w:sz w:val="22"/>
          <w:szCs w:val="22"/>
        </w:rPr>
        <w:t>FRN</w:t>
      </w:r>
      <w:r w:rsidRPr="00C1772C">
        <w:rPr>
          <w:sz w:val="22"/>
          <w:szCs w:val="22"/>
        </w:rPr>
        <w:t>:</w:t>
      </w:r>
      <w:r w:rsidR="007A3F2C" w:rsidRPr="00C1772C">
        <w:rPr>
          <w:sz w:val="22"/>
          <w:szCs w:val="22"/>
        </w:rPr>
        <w:t xml:space="preserve"> Vol.</w:t>
      </w:r>
      <w:r w:rsidR="00C1772C">
        <w:rPr>
          <w:sz w:val="22"/>
          <w:szCs w:val="22"/>
        </w:rPr>
        <w:t xml:space="preserve"> 82</w:t>
      </w:r>
      <w:r w:rsidR="007A3F2C" w:rsidRPr="00C1772C">
        <w:rPr>
          <w:sz w:val="22"/>
          <w:szCs w:val="22"/>
        </w:rPr>
        <w:t xml:space="preserve">, No. </w:t>
      </w:r>
      <w:r w:rsidR="00C1772C">
        <w:rPr>
          <w:sz w:val="22"/>
          <w:szCs w:val="22"/>
        </w:rPr>
        <w:t>73</w:t>
      </w:r>
      <w:r w:rsidR="007A3F2C" w:rsidRPr="00C1772C">
        <w:rPr>
          <w:sz w:val="22"/>
          <w:szCs w:val="22"/>
        </w:rPr>
        <w:t xml:space="preserve">, </w:t>
      </w:r>
      <w:r w:rsidR="00C1772C">
        <w:rPr>
          <w:sz w:val="22"/>
          <w:szCs w:val="22"/>
        </w:rPr>
        <w:t>April 18, 2017.</w:t>
      </w:r>
      <w:r w:rsidR="00880956" w:rsidRPr="00C1772C">
        <w:rPr>
          <w:sz w:val="22"/>
          <w:szCs w:val="22"/>
        </w:rPr>
        <w:t xml:space="preserve"> </w:t>
      </w:r>
      <w:r w:rsidR="007B7A12" w:rsidRPr="00C1772C">
        <w:rPr>
          <w:sz w:val="22"/>
          <w:szCs w:val="22"/>
        </w:rPr>
        <w:t>No comments received from the public.</w:t>
      </w:r>
      <w:r w:rsidR="007A2295" w:rsidRPr="008C63A7">
        <w:rPr>
          <w:color w:val="FF0000"/>
          <w:sz w:val="22"/>
          <w:szCs w:val="22"/>
        </w:rPr>
        <w:br/>
      </w:r>
      <w:r w:rsidRPr="00DC508A">
        <w:rPr>
          <w:sz w:val="22"/>
          <w:szCs w:val="22"/>
        </w:rPr>
        <w:t xml:space="preserve">30-Day </w:t>
      </w:r>
      <w:r w:rsidR="007A2295" w:rsidRPr="00DC508A">
        <w:rPr>
          <w:sz w:val="22"/>
          <w:szCs w:val="22"/>
        </w:rPr>
        <w:t>FRN</w:t>
      </w:r>
      <w:r w:rsidRPr="00DC508A">
        <w:rPr>
          <w:sz w:val="22"/>
          <w:szCs w:val="22"/>
        </w:rPr>
        <w:t>:</w:t>
      </w:r>
      <w:r w:rsidR="007A3F2C" w:rsidRPr="00DC508A">
        <w:rPr>
          <w:sz w:val="22"/>
          <w:szCs w:val="22"/>
        </w:rPr>
        <w:t xml:space="preserve"> Vol. </w:t>
      </w:r>
      <w:r w:rsidR="00DC508A" w:rsidRPr="00DC508A">
        <w:rPr>
          <w:sz w:val="22"/>
          <w:szCs w:val="22"/>
        </w:rPr>
        <w:t>82</w:t>
      </w:r>
      <w:r w:rsidR="007A3F2C" w:rsidRPr="00DC508A">
        <w:rPr>
          <w:sz w:val="22"/>
          <w:szCs w:val="22"/>
        </w:rPr>
        <w:t>, No. 1</w:t>
      </w:r>
      <w:r w:rsidR="00DC508A" w:rsidRPr="00DC508A">
        <w:rPr>
          <w:sz w:val="22"/>
          <w:szCs w:val="22"/>
        </w:rPr>
        <w:t>44</w:t>
      </w:r>
      <w:r w:rsidR="007A3F2C" w:rsidRPr="00DC508A">
        <w:rPr>
          <w:sz w:val="22"/>
          <w:szCs w:val="22"/>
        </w:rPr>
        <w:t xml:space="preserve">, July </w:t>
      </w:r>
      <w:r w:rsidR="00DC508A" w:rsidRPr="00DC508A">
        <w:rPr>
          <w:sz w:val="22"/>
          <w:szCs w:val="22"/>
        </w:rPr>
        <w:t>28</w:t>
      </w:r>
      <w:r w:rsidR="007A3F2C" w:rsidRPr="00DC508A">
        <w:rPr>
          <w:sz w:val="22"/>
          <w:szCs w:val="22"/>
        </w:rPr>
        <w:t>, 201</w:t>
      </w:r>
      <w:r w:rsidR="00DC508A" w:rsidRPr="00DC508A">
        <w:rPr>
          <w:sz w:val="22"/>
          <w:szCs w:val="22"/>
        </w:rPr>
        <w:t>7</w:t>
      </w:r>
      <w:r w:rsidR="00880956" w:rsidRPr="00DC508A">
        <w:rPr>
          <w:sz w:val="22"/>
          <w:szCs w:val="22"/>
        </w:rPr>
        <w:t xml:space="preserve">. </w:t>
      </w:r>
      <w:r w:rsidR="007B7A12" w:rsidRPr="00DC508A">
        <w:rPr>
          <w:sz w:val="22"/>
          <w:szCs w:val="22"/>
        </w:rPr>
        <w:t>No comments received from the public.</w:t>
      </w:r>
    </w:p>
    <w:p w14:paraId="40E43574" w14:textId="77777777" w:rsidR="007B7A12" w:rsidRPr="00212F7E" w:rsidRDefault="007B7A12" w:rsidP="0093315E">
      <w:pPr>
        <w:rPr>
          <w:sz w:val="22"/>
          <w:szCs w:val="22"/>
        </w:rPr>
      </w:pPr>
    </w:p>
    <w:p w14:paraId="7E7B2B81" w14:textId="77777777" w:rsidR="0093315E" w:rsidRPr="00DA5A1C" w:rsidRDefault="006F2C86" w:rsidP="0093315E">
      <w:pPr>
        <w:rPr>
          <w:b/>
        </w:rPr>
      </w:pPr>
      <w:r w:rsidRPr="00DA5A1C">
        <w:rPr>
          <w:b/>
        </w:rPr>
        <w:t>9.</w:t>
      </w:r>
      <w:r w:rsidR="0093315E" w:rsidRPr="00DA5A1C">
        <w:t xml:space="preserve"> </w:t>
      </w:r>
      <w:r w:rsidR="0093315E" w:rsidRPr="00DA5A1C">
        <w:rPr>
          <w:b/>
        </w:rPr>
        <w:t>Explain any decision to provide any payment or gift to respondents, other than remuneration of contractors or grantees.</w:t>
      </w:r>
    </w:p>
    <w:p w14:paraId="5640F856" w14:textId="77777777" w:rsidR="00A54299" w:rsidRPr="00DA5A1C" w:rsidRDefault="00A54299" w:rsidP="0093315E">
      <w:pPr>
        <w:rPr>
          <w:b/>
          <w:color w:val="4F81BD" w:themeColor="accent1"/>
        </w:rPr>
      </w:pPr>
    </w:p>
    <w:p w14:paraId="1583DA7B" w14:textId="23958B3A" w:rsidR="0093315E" w:rsidRPr="00880956" w:rsidRDefault="00A54299" w:rsidP="0093315E">
      <w:pPr>
        <w:rPr>
          <w:sz w:val="22"/>
          <w:szCs w:val="22"/>
        </w:rPr>
      </w:pPr>
      <w:r w:rsidRPr="00880956">
        <w:rPr>
          <w:sz w:val="22"/>
          <w:szCs w:val="22"/>
        </w:rPr>
        <w:t xml:space="preserve">NASA does not provide any payment or gift to respondents for information collected </w:t>
      </w:r>
      <w:r w:rsidR="007B7A12" w:rsidRPr="00880956">
        <w:rPr>
          <w:sz w:val="22"/>
          <w:szCs w:val="22"/>
        </w:rPr>
        <w:t>to comply with Homeland Security Presidential Directive (HS</w:t>
      </w:r>
      <w:r w:rsidR="007A3F2C" w:rsidRPr="00880956">
        <w:rPr>
          <w:sz w:val="22"/>
          <w:szCs w:val="22"/>
        </w:rPr>
        <w:t xml:space="preserve">PD)-12 </w:t>
      </w:r>
      <w:r w:rsidR="007B7A12" w:rsidRPr="00880956">
        <w:rPr>
          <w:sz w:val="22"/>
          <w:szCs w:val="22"/>
        </w:rPr>
        <w:t>requirements.</w:t>
      </w:r>
    </w:p>
    <w:p w14:paraId="7E614EFC" w14:textId="77777777" w:rsidR="0093315E" w:rsidRPr="00DA5A1C" w:rsidRDefault="0093315E" w:rsidP="0093315E"/>
    <w:p w14:paraId="7620237D" w14:textId="77777777" w:rsidR="0093315E" w:rsidRPr="00DA5A1C" w:rsidRDefault="006F2C86" w:rsidP="0093315E">
      <w:r w:rsidRPr="00DA5A1C">
        <w:rPr>
          <w:b/>
        </w:rPr>
        <w:t>10.</w:t>
      </w:r>
      <w:r w:rsidR="0093315E" w:rsidRPr="00DA5A1C">
        <w:t xml:space="preserve"> </w:t>
      </w:r>
      <w:r w:rsidR="0093315E" w:rsidRPr="00DA5A1C">
        <w:rPr>
          <w:b/>
        </w:rPr>
        <w:t>Describe any assurance of confidentiality provided to respondents and the basis for the assurance in statute, regulation, or agency policy.</w:t>
      </w:r>
    </w:p>
    <w:p w14:paraId="49FE5BAF" w14:textId="77777777" w:rsidR="0093315E" w:rsidRPr="00DA5A1C" w:rsidRDefault="0093315E" w:rsidP="0093315E"/>
    <w:p w14:paraId="3E102A5B" w14:textId="7B0994B6" w:rsidR="003566D9" w:rsidRPr="00880956" w:rsidRDefault="003566D9" w:rsidP="0093315E">
      <w:pPr>
        <w:rPr>
          <w:sz w:val="22"/>
          <w:szCs w:val="22"/>
        </w:rPr>
      </w:pPr>
      <w:r w:rsidRPr="00880956">
        <w:rPr>
          <w:sz w:val="22"/>
          <w:szCs w:val="22"/>
        </w:rPr>
        <w:t>NASA</w:t>
      </w:r>
      <w:r w:rsidR="003343D8" w:rsidRPr="00880956">
        <w:rPr>
          <w:sz w:val="22"/>
          <w:szCs w:val="22"/>
        </w:rPr>
        <w:t>’s IdMAX</w:t>
      </w:r>
      <w:r w:rsidR="00880956" w:rsidRPr="00880956">
        <w:rPr>
          <w:sz w:val="22"/>
          <w:szCs w:val="22"/>
        </w:rPr>
        <w:t xml:space="preserve"> system</w:t>
      </w:r>
      <w:r w:rsidR="003343D8" w:rsidRPr="00880956">
        <w:rPr>
          <w:sz w:val="22"/>
          <w:szCs w:val="22"/>
        </w:rPr>
        <w:t xml:space="preserve"> </w:t>
      </w:r>
      <w:r w:rsidRPr="00880956">
        <w:rPr>
          <w:sz w:val="22"/>
          <w:szCs w:val="22"/>
        </w:rPr>
        <w:t xml:space="preserve">meets the privacy requirements </w:t>
      </w:r>
      <w:r w:rsidR="00351158" w:rsidRPr="00880956">
        <w:rPr>
          <w:sz w:val="22"/>
          <w:szCs w:val="22"/>
        </w:rPr>
        <w:t>listed</w:t>
      </w:r>
      <w:r w:rsidRPr="00880956">
        <w:rPr>
          <w:sz w:val="22"/>
          <w:szCs w:val="22"/>
        </w:rPr>
        <w:t xml:space="preserve"> in Federal Information Processing Standards Publication 201</w:t>
      </w:r>
      <w:r w:rsidR="00351158" w:rsidRPr="00880956">
        <w:rPr>
          <w:sz w:val="22"/>
          <w:szCs w:val="22"/>
        </w:rPr>
        <w:t>-1</w:t>
      </w:r>
      <w:r w:rsidRPr="00880956">
        <w:rPr>
          <w:sz w:val="22"/>
          <w:szCs w:val="22"/>
        </w:rPr>
        <w:t>.  This includes the assignment of a senior agency official for privacy</w:t>
      </w:r>
      <w:r w:rsidR="003343D8" w:rsidRPr="00880956">
        <w:rPr>
          <w:sz w:val="22"/>
          <w:szCs w:val="22"/>
        </w:rPr>
        <w:t xml:space="preserve"> in accordance with NASA NPD </w:t>
      </w:r>
      <w:r w:rsidR="0090455D" w:rsidRPr="00880956">
        <w:rPr>
          <w:sz w:val="22"/>
          <w:szCs w:val="22"/>
        </w:rPr>
        <w:t>1382.17H</w:t>
      </w:r>
      <w:r w:rsidRPr="00880956">
        <w:rPr>
          <w:sz w:val="22"/>
          <w:szCs w:val="22"/>
        </w:rPr>
        <w:t xml:space="preserve">, the </w:t>
      </w:r>
      <w:r w:rsidR="003343D8" w:rsidRPr="00880956">
        <w:rPr>
          <w:sz w:val="22"/>
          <w:szCs w:val="22"/>
        </w:rPr>
        <w:t>completion</w:t>
      </w:r>
      <w:r w:rsidRPr="00880956">
        <w:rPr>
          <w:sz w:val="22"/>
          <w:szCs w:val="22"/>
        </w:rPr>
        <w:t xml:space="preserve"> of a comprehensive</w:t>
      </w:r>
      <w:r w:rsidR="00351158" w:rsidRPr="00880956">
        <w:rPr>
          <w:sz w:val="22"/>
          <w:szCs w:val="22"/>
        </w:rPr>
        <w:t xml:space="preserve"> Privacy Impact Assessment, and a published document containing a listing of all information types collected</w:t>
      </w:r>
      <w:r w:rsidR="00FE2DBF" w:rsidRPr="00880956">
        <w:rPr>
          <w:sz w:val="22"/>
          <w:szCs w:val="22"/>
        </w:rPr>
        <w:t>.</w:t>
      </w:r>
      <w:r w:rsidR="006F473C" w:rsidRPr="00880956">
        <w:rPr>
          <w:sz w:val="22"/>
          <w:szCs w:val="22"/>
        </w:rPr>
        <w:t xml:space="preserve">  The Privacy Impact Assessment is reviewed periodically as a part of the risk management framework process for IdMAX.</w:t>
      </w:r>
    </w:p>
    <w:p w14:paraId="0D35C079" w14:textId="77777777" w:rsidR="007B7A12" w:rsidRPr="00880956" w:rsidRDefault="007B7A12" w:rsidP="0093315E">
      <w:pPr>
        <w:rPr>
          <w:sz w:val="22"/>
          <w:szCs w:val="22"/>
        </w:rPr>
      </w:pPr>
    </w:p>
    <w:p w14:paraId="6225AC82" w14:textId="4D38F373" w:rsidR="00C057B9" w:rsidRDefault="003566D9" w:rsidP="0093315E">
      <w:pPr>
        <w:rPr>
          <w:sz w:val="22"/>
          <w:szCs w:val="22"/>
        </w:rPr>
      </w:pPr>
      <w:r w:rsidRPr="00880956">
        <w:rPr>
          <w:sz w:val="22"/>
          <w:szCs w:val="22"/>
        </w:rPr>
        <w:t>NASA</w:t>
      </w:r>
      <w:r w:rsidR="00C057B9" w:rsidRPr="00880956">
        <w:rPr>
          <w:sz w:val="22"/>
          <w:szCs w:val="22"/>
        </w:rPr>
        <w:t xml:space="preserve"> </w:t>
      </w:r>
      <w:r w:rsidR="007B7A12" w:rsidRPr="00880956">
        <w:rPr>
          <w:sz w:val="22"/>
          <w:szCs w:val="22"/>
        </w:rPr>
        <w:t xml:space="preserve">incorporates </w:t>
      </w:r>
      <w:r w:rsidRPr="00880956">
        <w:rPr>
          <w:sz w:val="22"/>
          <w:szCs w:val="22"/>
        </w:rPr>
        <w:t xml:space="preserve">a privacy policy statement link on every page where </w:t>
      </w:r>
      <w:r w:rsidR="007B7A12" w:rsidRPr="00880956">
        <w:rPr>
          <w:sz w:val="22"/>
          <w:szCs w:val="22"/>
        </w:rPr>
        <w:t xml:space="preserve">members of the public </w:t>
      </w:r>
      <w:r w:rsidRPr="00880956">
        <w:rPr>
          <w:sz w:val="22"/>
          <w:szCs w:val="22"/>
        </w:rPr>
        <w:t>are required to enter information</w:t>
      </w:r>
      <w:r w:rsidR="007073D4">
        <w:rPr>
          <w:sz w:val="22"/>
          <w:szCs w:val="22"/>
        </w:rPr>
        <w:t xml:space="preserve"> in IdMAX</w:t>
      </w:r>
      <w:r w:rsidRPr="00880956">
        <w:rPr>
          <w:sz w:val="22"/>
          <w:szCs w:val="22"/>
        </w:rPr>
        <w:t xml:space="preserve">.  A copy of the </w:t>
      </w:r>
      <w:r w:rsidR="003343D8" w:rsidRPr="00880956">
        <w:rPr>
          <w:sz w:val="22"/>
          <w:szCs w:val="22"/>
        </w:rPr>
        <w:t xml:space="preserve">privacy </w:t>
      </w:r>
      <w:r w:rsidRPr="00880956">
        <w:rPr>
          <w:sz w:val="22"/>
          <w:szCs w:val="22"/>
        </w:rPr>
        <w:t>statement is also pr</w:t>
      </w:r>
      <w:r w:rsidR="00351158" w:rsidRPr="00880956">
        <w:rPr>
          <w:sz w:val="22"/>
          <w:szCs w:val="22"/>
        </w:rPr>
        <w:t xml:space="preserve">ovided to </w:t>
      </w:r>
      <w:r w:rsidR="003343D8" w:rsidRPr="00880956">
        <w:rPr>
          <w:sz w:val="22"/>
          <w:szCs w:val="22"/>
        </w:rPr>
        <w:t>members of the public</w:t>
      </w:r>
      <w:r w:rsidR="00880956" w:rsidRPr="00880956">
        <w:rPr>
          <w:sz w:val="22"/>
          <w:szCs w:val="22"/>
        </w:rPr>
        <w:t xml:space="preserve"> when enrolling in-</w:t>
      </w:r>
      <w:r w:rsidRPr="00880956">
        <w:rPr>
          <w:sz w:val="22"/>
          <w:szCs w:val="22"/>
        </w:rPr>
        <w:t xml:space="preserve">person for a credential.  </w:t>
      </w:r>
    </w:p>
    <w:p w14:paraId="14F9AA4A" w14:textId="77777777" w:rsidR="00C1772C" w:rsidRPr="00880956" w:rsidRDefault="00C1772C" w:rsidP="0093315E">
      <w:pPr>
        <w:rPr>
          <w:sz w:val="22"/>
          <w:szCs w:val="22"/>
        </w:rPr>
      </w:pPr>
    </w:p>
    <w:p w14:paraId="122279EC" w14:textId="77777777" w:rsidR="00C1772C" w:rsidRDefault="00C1772C" w:rsidP="00C1772C">
      <w:pPr>
        <w:rPr>
          <w:sz w:val="22"/>
          <w:szCs w:val="22"/>
        </w:rPr>
      </w:pPr>
      <w:r w:rsidRPr="00880956">
        <w:rPr>
          <w:sz w:val="22"/>
          <w:szCs w:val="22"/>
        </w:rPr>
        <w:t xml:space="preserve">With regards to user privacy information, NASA protects confidentiality to the extent required by law.  </w:t>
      </w:r>
      <w:r>
        <w:rPr>
          <w:sz w:val="22"/>
          <w:szCs w:val="22"/>
        </w:rPr>
        <w:t xml:space="preserve"> </w:t>
      </w:r>
    </w:p>
    <w:p w14:paraId="1700E593" w14:textId="77777777" w:rsidR="00C1772C" w:rsidRDefault="00C1772C" w:rsidP="00C1772C">
      <w:pPr>
        <w:rPr>
          <w:sz w:val="22"/>
          <w:szCs w:val="22"/>
        </w:rPr>
      </w:pPr>
    </w:p>
    <w:p w14:paraId="711A31E9" w14:textId="6AF536AF" w:rsidR="00C1772C" w:rsidRPr="00880956" w:rsidRDefault="00C1772C" w:rsidP="00C1772C">
      <w:pPr>
        <w:rPr>
          <w:sz w:val="22"/>
          <w:szCs w:val="22"/>
        </w:rPr>
      </w:pPr>
      <w:r>
        <w:rPr>
          <w:sz w:val="22"/>
          <w:szCs w:val="22"/>
        </w:rPr>
        <w:t xml:space="preserve">The applicable </w:t>
      </w:r>
      <w:r w:rsidRPr="00880956">
        <w:rPr>
          <w:sz w:val="22"/>
          <w:szCs w:val="22"/>
        </w:rPr>
        <w:t>NASA S</w:t>
      </w:r>
      <w:r>
        <w:rPr>
          <w:sz w:val="22"/>
          <w:szCs w:val="22"/>
        </w:rPr>
        <w:t>ystem of Records Notice (S</w:t>
      </w:r>
      <w:r w:rsidRPr="00880956">
        <w:rPr>
          <w:sz w:val="22"/>
          <w:szCs w:val="22"/>
        </w:rPr>
        <w:t>ORN</w:t>
      </w:r>
      <w:r>
        <w:rPr>
          <w:sz w:val="22"/>
          <w:szCs w:val="22"/>
        </w:rPr>
        <w:t>)</w:t>
      </w:r>
      <w:r w:rsidRPr="00880956">
        <w:rPr>
          <w:sz w:val="22"/>
          <w:szCs w:val="22"/>
        </w:rPr>
        <w:t xml:space="preserve"> </w:t>
      </w:r>
      <w:r>
        <w:rPr>
          <w:sz w:val="22"/>
          <w:szCs w:val="22"/>
        </w:rPr>
        <w:t xml:space="preserve">can be viewed </w:t>
      </w:r>
      <w:r w:rsidRPr="00880956">
        <w:rPr>
          <w:sz w:val="22"/>
          <w:szCs w:val="22"/>
        </w:rPr>
        <w:t>at</w:t>
      </w:r>
      <w:r>
        <w:rPr>
          <w:sz w:val="22"/>
          <w:szCs w:val="22"/>
        </w:rPr>
        <w:t>:</w:t>
      </w:r>
      <w:r w:rsidRPr="00880956">
        <w:rPr>
          <w:sz w:val="22"/>
          <w:szCs w:val="22"/>
        </w:rPr>
        <w:t xml:space="preserve"> </w:t>
      </w:r>
      <w:hyperlink r:id="rId10" w:history="1">
        <w:r w:rsidRPr="00880956">
          <w:rPr>
            <w:rStyle w:val="Hyperlink"/>
            <w:rFonts w:ascii="Calibri" w:hAnsi="Calibri"/>
            <w:color w:val="auto"/>
            <w:sz w:val="22"/>
            <w:szCs w:val="22"/>
          </w:rPr>
          <w:t>http://www.nasa.gov/privacy/nasa_sorn_10SECR.html</w:t>
        </w:r>
      </w:hyperlink>
    </w:p>
    <w:p w14:paraId="5A57ED2A" w14:textId="77777777" w:rsidR="00A54299" w:rsidRPr="00DA5A1C" w:rsidRDefault="00A54299" w:rsidP="0093315E">
      <w:pPr>
        <w:rPr>
          <w:color w:val="C00000"/>
        </w:rPr>
      </w:pPr>
    </w:p>
    <w:p w14:paraId="270614F9" w14:textId="1650429D" w:rsidR="0093315E" w:rsidRPr="00DA5A1C" w:rsidRDefault="006F2C86" w:rsidP="0093315E">
      <w:pPr>
        <w:rPr>
          <w:b/>
        </w:rPr>
      </w:pPr>
      <w:r w:rsidRPr="00DA5A1C">
        <w:rPr>
          <w:b/>
        </w:rPr>
        <w:t>11.</w:t>
      </w:r>
      <w:r w:rsidR="0093315E" w:rsidRPr="00DA5A1C">
        <w:t xml:space="preserve"> </w:t>
      </w:r>
      <w:r w:rsidR="0093315E" w:rsidRPr="00DA5A1C">
        <w:rPr>
          <w:b/>
        </w:rPr>
        <w:t xml:space="preserve">Provide additional justification for any questions of a sensitive nature, such as sexual behavior and attitudes, religious beliefs, and other matters that are commonly considered private. </w:t>
      </w:r>
    </w:p>
    <w:p w14:paraId="2F5F5007" w14:textId="77777777" w:rsidR="0093315E" w:rsidRPr="00DA5A1C" w:rsidRDefault="0093315E" w:rsidP="0093315E"/>
    <w:p w14:paraId="768DDF87" w14:textId="2018351D" w:rsidR="0093315E" w:rsidRPr="00880956" w:rsidRDefault="00A54299" w:rsidP="0093315E">
      <w:pPr>
        <w:rPr>
          <w:sz w:val="22"/>
          <w:szCs w:val="22"/>
        </w:rPr>
      </w:pPr>
      <w:r w:rsidRPr="00880956">
        <w:rPr>
          <w:sz w:val="22"/>
          <w:szCs w:val="22"/>
        </w:rPr>
        <w:t xml:space="preserve">NASA does not collect information or ask questions of a sensitive nature </w:t>
      </w:r>
      <w:r w:rsidR="003343D8" w:rsidRPr="00880956">
        <w:rPr>
          <w:sz w:val="22"/>
          <w:szCs w:val="22"/>
        </w:rPr>
        <w:t>associated with IdMAX to meet HSPD-12 requirements.</w:t>
      </w:r>
      <w:r w:rsidR="007073D4">
        <w:rPr>
          <w:sz w:val="22"/>
          <w:szCs w:val="22"/>
        </w:rPr>
        <w:t xml:space="preserve"> NASA does not collect race and ethnicity information for identity vetting.</w:t>
      </w:r>
    </w:p>
    <w:p w14:paraId="3BC526B8" w14:textId="77777777" w:rsidR="003343D8" w:rsidRPr="00DA5A1C" w:rsidRDefault="003343D8" w:rsidP="0093315E"/>
    <w:p w14:paraId="0DE74C58" w14:textId="5BBA563A" w:rsidR="0093315E" w:rsidRPr="00DA5A1C" w:rsidRDefault="006F2C86" w:rsidP="008C63A7">
      <w:r w:rsidRPr="00DA5A1C">
        <w:rPr>
          <w:b/>
        </w:rPr>
        <w:t>12.</w:t>
      </w:r>
      <w:r w:rsidR="0093315E" w:rsidRPr="00DA5A1C">
        <w:t xml:space="preserve"> </w:t>
      </w:r>
      <w:r w:rsidR="0093315E" w:rsidRPr="00DA5A1C">
        <w:rPr>
          <w:b/>
        </w:rPr>
        <w:t xml:space="preserve">Provide estimates of the hour burden of the collection of information. </w:t>
      </w:r>
    </w:p>
    <w:p w14:paraId="7D688A28" w14:textId="77777777" w:rsidR="00C11D6F" w:rsidRPr="00DA5A1C" w:rsidRDefault="00C11D6F" w:rsidP="00516A7A">
      <w:pPr>
        <w:rPr>
          <w:u w:val="single"/>
        </w:rPr>
      </w:pPr>
    </w:p>
    <w:p w14:paraId="52E03CAE" w14:textId="77777777" w:rsidR="00537A5B" w:rsidRPr="00286CAA" w:rsidRDefault="00537A5B" w:rsidP="00537A5B">
      <w:pPr>
        <w:rPr>
          <w:sz w:val="22"/>
          <w:szCs w:val="22"/>
        </w:rPr>
      </w:pPr>
      <w:r w:rsidRPr="00286CAA">
        <w:rPr>
          <w:sz w:val="22"/>
          <w:szCs w:val="22"/>
        </w:rPr>
        <w:t>The collection of information takes an average of 10 minutes per respondent depending on the user’s requirements (i.e., new enrollment vs. update, etc.).</w:t>
      </w:r>
    </w:p>
    <w:p w14:paraId="7F84B6F3" w14:textId="77777777" w:rsidR="00537A5B" w:rsidRPr="00286CAA" w:rsidRDefault="00537A5B" w:rsidP="00537A5B">
      <w:pPr>
        <w:rPr>
          <w:sz w:val="22"/>
          <w:szCs w:val="22"/>
        </w:rPr>
      </w:pPr>
    </w:p>
    <w:p w14:paraId="216B7D05" w14:textId="77777777" w:rsidR="00537A5B" w:rsidRPr="00286CAA" w:rsidRDefault="00537A5B" w:rsidP="00537A5B">
      <w:pPr>
        <w:rPr>
          <w:sz w:val="22"/>
          <w:szCs w:val="22"/>
        </w:rPr>
      </w:pPr>
      <w:r w:rsidRPr="00286CAA">
        <w:rPr>
          <w:sz w:val="22"/>
          <w:szCs w:val="22"/>
        </w:rPr>
        <w:t>Annually, we have approximately 25,000 routine users and about 27,000 intermittent users that access, and input identity data into the Identity Management System:</w:t>
      </w:r>
    </w:p>
    <w:p w14:paraId="33A7DC4B" w14:textId="77777777" w:rsidR="00537A5B" w:rsidRPr="00286CAA" w:rsidRDefault="00537A5B" w:rsidP="00537A5B">
      <w:pPr>
        <w:rPr>
          <w:sz w:val="22"/>
          <w:szCs w:val="22"/>
        </w:rPr>
      </w:pPr>
    </w:p>
    <w:p w14:paraId="49BAFAEB" w14:textId="77777777" w:rsidR="00537A5B" w:rsidRPr="00286CAA" w:rsidRDefault="00537A5B" w:rsidP="00537A5B">
      <w:pPr>
        <w:rPr>
          <w:sz w:val="22"/>
          <w:szCs w:val="22"/>
        </w:rPr>
      </w:pPr>
      <w:r w:rsidRPr="00286CAA">
        <w:rPr>
          <w:sz w:val="22"/>
          <w:szCs w:val="22"/>
        </w:rPr>
        <w:t>25,000 routine users @ around 10 minutes each = 250,000 minutes</w:t>
      </w:r>
    </w:p>
    <w:p w14:paraId="2538E2C3" w14:textId="54B6CDD8" w:rsidR="00537A5B" w:rsidRPr="00286CAA" w:rsidRDefault="00537A5B" w:rsidP="00537A5B">
      <w:pPr>
        <w:rPr>
          <w:sz w:val="22"/>
          <w:szCs w:val="22"/>
        </w:rPr>
      </w:pPr>
      <w:r w:rsidRPr="00286CAA">
        <w:rPr>
          <w:sz w:val="22"/>
          <w:szCs w:val="22"/>
        </w:rPr>
        <w:t>250,000/60 = 4,16</w:t>
      </w:r>
      <w:r w:rsidR="00BD7CAE" w:rsidRPr="00286CAA">
        <w:rPr>
          <w:sz w:val="22"/>
          <w:szCs w:val="22"/>
        </w:rPr>
        <w:t>6</w:t>
      </w:r>
      <w:r w:rsidRPr="00286CAA">
        <w:rPr>
          <w:sz w:val="22"/>
          <w:szCs w:val="22"/>
        </w:rPr>
        <w:t xml:space="preserve"> hours annually</w:t>
      </w:r>
    </w:p>
    <w:p w14:paraId="12602111" w14:textId="77777777" w:rsidR="00537A5B" w:rsidRPr="00286CAA" w:rsidRDefault="00537A5B" w:rsidP="00537A5B">
      <w:pPr>
        <w:rPr>
          <w:sz w:val="22"/>
          <w:szCs w:val="22"/>
        </w:rPr>
      </w:pPr>
      <w:r w:rsidRPr="00286CAA">
        <w:rPr>
          <w:sz w:val="22"/>
          <w:szCs w:val="22"/>
        </w:rPr>
        <w:t>27,000 intermittent users @ about 10 minutes each = 270,000 minutes</w:t>
      </w:r>
    </w:p>
    <w:p w14:paraId="0CE154EF" w14:textId="77777777" w:rsidR="00537A5B" w:rsidRPr="00286CAA" w:rsidRDefault="00537A5B" w:rsidP="00537A5B">
      <w:pPr>
        <w:rPr>
          <w:sz w:val="22"/>
          <w:szCs w:val="22"/>
        </w:rPr>
      </w:pPr>
      <w:r w:rsidRPr="00286CAA">
        <w:rPr>
          <w:sz w:val="22"/>
          <w:szCs w:val="22"/>
        </w:rPr>
        <w:t>270,000/60 = 4,500 hours annually</w:t>
      </w:r>
    </w:p>
    <w:p w14:paraId="3B83FA70" w14:textId="77777777" w:rsidR="00537A5B" w:rsidRPr="00286CAA" w:rsidRDefault="00537A5B" w:rsidP="00537A5B">
      <w:pPr>
        <w:rPr>
          <w:sz w:val="22"/>
          <w:szCs w:val="22"/>
        </w:rPr>
      </w:pPr>
      <w:r w:rsidRPr="00286CAA">
        <w:rPr>
          <w:sz w:val="22"/>
          <w:szCs w:val="22"/>
        </w:rPr>
        <w:t>Annual routine user cost: 4,167 hours x approximately $50/hr. = $208,350 annual cost</w:t>
      </w:r>
    </w:p>
    <w:p w14:paraId="512B7B92" w14:textId="77777777" w:rsidR="00537A5B" w:rsidRPr="00286CAA" w:rsidRDefault="00537A5B" w:rsidP="00537A5B">
      <w:pPr>
        <w:rPr>
          <w:sz w:val="22"/>
          <w:szCs w:val="22"/>
        </w:rPr>
      </w:pPr>
      <w:r w:rsidRPr="00286CAA">
        <w:rPr>
          <w:sz w:val="22"/>
          <w:szCs w:val="22"/>
        </w:rPr>
        <w:t>Annual intermittent user cost: 4,500 hours x approximately $50/hr. = $225,000 annual cost</w:t>
      </w:r>
    </w:p>
    <w:p w14:paraId="55F620AD" w14:textId="77777777" w:rsidR="003343D8" w:rsidRDefault="003343D8" w:rsidP="00516A7A">
      <w:pPr>
        <w:rPr>
          <w:color w:val="4F81BD" w:themeColor="accent1"/>
        </w:rPr>
      </w:pPr>
    </w:p>
    <w:tbl>
      <w:tblPr>
        <w:tblStyle w:val="TableGrid"/>
        <w:tblW w:w="0" w:type="auto"/>
        <w:tblInd w:w="355" w:type="dxa"/>
        <w:tblLook w:val="04A0" w:firstRow="1" w:lastRow="0" w:firstColumn="1" w:lastColumn="0" w:noHBand="0" w:noVBand="1"/>
      </w:tblPr>
      <w:tblGrid>
        <w:gridCol w:w="2520"/>
        <w:gridCol w:w="1620"/>
        <w:gridCol w:w="2070"/>
        <w:gridCol w:w="1823"/>
      </w:tblGrid>
      <w:tr w:rsidR="00964691" w14:paraId="5D7B0646" w14:textId="77777777" w:rsidTr="009B3C3D">
        <w:tc>
          <w:tcPr>
            <w:tcW w:w="2520" w:type="dxa"/>
          </w:tcPr>
          <w:p w14:paraId="7895E173" w14:textId="57FA9CBD" w:rsidR="00964691" w:rsidRPr="009B3C3D" w:rsidRDefault="00964691" w:rsidP="00516A7A">
            <w:pPr>
              <w:rPr>
                <w:b/>
                <w:color w:val="4F81BD" w:themeColor="accent1"/>
                <w:sz w:val="20"/>
                <w:szCs w:val="20"/>
              </w:rPr>
            </w:pPr>
            <w:r w:rsidRPr="009B3C3D">
              <w:rPr>
                <w:b/>
                <w:sz w:val="20"/>
                <w:szCs w:val="20"/>
              </w:rPr>
              <w:t>Respondent</w:t>
            </w:r>
          </w:p>
        </w:tc>
        <w:tc>
          <w:tcPr>
            <w:tcW w:w="1620" w:type="dxa"/>
          </w:tcPr>
          <w:p w14:paraId="28F6F576" w14:textId="3288754F" w:rsidR="00964691" w:rsidRPr="009B3C3D" w:rsidRDefault="00964691" w:rsidP="00516A7A">
            <w:pPr>
              <w:rPr>
                <w:b/>
                <w:color w:val="4F81BD" w:themeColor="accent1"/>
                <w:sz w:val="20"/>
                <w:szCs w:val="20"/>
              </w:rPr>
            </w:pPr>
            <w:r w:rsidRPr="009B3C3D">
              <w:rPr>
                <w:b/>
                <w:sz w:val="20"/>
                <w:szCs w:val="20"/>
              </w:rPr>
              <w:t>Number of Responses</w:t>
            </w:r>
          </w:p>
        </w:tc>
        <w:tc>
          <w:tcPr>
            <w:tcW w:w="2070" w:type="dxa"/>
          </w:tcPr>
          <w:p w14:paraId="25336CF0" w14:textId="7C7EE7EF" w:rsidR="00964691" w:rsidRPr="009B3C3D" w:rsidRDefault="00964691" w:rsidP="00516A7A">
            <w:pPr>
              <w:rPr>
                <w:b/>
                <w:sz w:val="20"/>
                <w:szCs w:val="20"/>
              </w:rPr>
            </w:pPr>
          </w:p>
          <w:p w14:paraId="2B94C29F" w14:textId="5EE74827" w:rsidR="00964691" w:rsidRPr="009B3C3D" w:rsidRDefault="00964691" w:rsidP="00964691">
            <w:pPr>
              <w:jc w:val="center"/>
              <w:rPr>
                <w:b/>
                <w:sz w:val="20"/>
                <w:szCs w:val="20"/>
              </w:rPr>
            </w:pPr>
            <w:r w:rsidRPr="009B3C3D">
              <w:rPr>
                <w:b/>
                <w:sz w:val="20"/>
                <w:szCs w:val="20"/>
              </w:rPr>
              <w:t>Participation Time (minutes)</w:t>
            </w:r>
          </w:p>
        </w:tc>
        <w:tc>
          <w:tcPr>
            <w:tcW w:w="1823" w:type="dxa"/>
          </w:tcPr>
          <w:p w14:paraId="6DAD029E" w14:textId="77777777" w:rsidR="00964691" w:rsidRPr="009B3C3D" w:rsidRDefault="00964691" w:rsidP="00516A7A">
            <w:pPr>
              <w:rPr>
                <w:b/>
                <w:sz w:val="20"/>
                <w:szCs w:val="20"/>
              </w:rPr>
            </w:pPr>
          </w:p>
          <w:p w14:paraId="40E6E816" w14:textId="69C7F7E7" w:rsidR="00964691" w:rsidRPr="009B3C3D" w:rsidRDefault="00964691" w:rsidP="00516A7A">
            <w:pPr>
              <w:rPr>
                <w:b/>
                <w:sz w:val="20"/>
                <w:szCs w:val="20"/>
              </w:rPr>
            </w:pPr>
            <w:r w:rsidRPr="009B3C3D">
              <w:rPr>
                <w:b/>
                <w:sz w:val="20"/>
                <w:szCs w:val="20"/>
              </w:rPr>
              <w:t>Burden Hour</w:t>
            </w:r>
          </w:p>
        </w:tc>
      </w:tr>
      <w:tr w:rsidR="00964691" w14:paraId="27E05380" w14:textId="77777777" w:rsidTr="009B3C3D">
        <w:tc>
          <w:tcPr>
            <w:tcW w:w="2520" w:type="dxa"/>
          </w:tcPr>
          <w:p w14:paraId="53AC80C6" w14:textId="2DC973BA" w:rsidR="00964691" w:rsidRPr="009B3C3D" w:rsidRDefault="00964691" w:rsidP="00516A7A">
            <w:pPr>
              <w:rPr>
                <w:color w:val="000000" w:themeColor="text1"/>
                <w:sz w:val="20"/>
                <w:szCs w:val="20"/>
              </w:rPr>
            </w:pPr>
            <w:r w:rsidRPr="009B3C3D">
              <w:rPr>
                <w:color w:val="000000" w:themeColor="text1"/>
                <w:sz w:val="20"/>
                <w:szCs w:val="20"/>
              </w:rPr>
              <w:t>Individual/US Citizens (routine)</w:t>
            </w:r>
          </w:p>
        </w:tc>
        <w:tc>
          <w:tcPr>
            <w:tcW w:w="1620" w:type="dxa"/>
          </w:tcPr>
          <w:p w14:paraId="1BD50180" w14:textId="79EC81CD" w:rsidR="00964691" w:rsidRPr="009B3C3D" w:rsidRDefault="00964691" w:rsidP="00516A7A">
            <w:pPr>
              <w:rPr>
                <w:color w:val="000000" w:themeColor="text1"/>
                <w:sz w:val="20"/>
                <w:szCs w:val="20"/>
              </w:rPr>
            </w:pPr>
            <w:r w:rsidRPr="009B3C3D">
              <w:rPr>
                <w:color w:val="000000" w:themeColor="text1"/>
                <w:sz w:val="20"/>
                <w:szCs w:val="20"/>
              </w:rPr>
              <w:t>25,000</w:t>
            </w:r>
          </w:p>
        </w:tc>
        <w:tc>
          <w:tcPr>
            <w:tcW w:w="2070" w:type="dxa"/>
          </w:tcPr>
          <w:p w14:paraId="55A74F9C" w14:textId="2CD0BCC9" w:rsidR="00964691" w:rsidRPr="009B3C3D" w:rsidRDefault="00964691" w:rsidP="00516A7A">
            <w:pPr>
              <w:rPr>
                <w:color w:val="000000" w:themeColor="text1"/>
                <w:sz w:val="20"/>
                <w:szCs w:val="20"/>
              </w:rPr>
            </w:pPr>
            <w:r w:rsidRPr="009B3C3D">
              <w:rPr>
                <w:color w:val="000000" w:themeColor="text1"/>
                <w:sz w:val="20"/>
                <w:szCs w:val="20"/>
              </w:rPr>
              <w:t xml:space="preserve">10 </w:t>
            </w:r>
          </w:p>
        </w:tc>
        <w:tc>
          <w:tcPr>
            <w:tcW w:w="1823" w:type="dxa"/>
          </w:tcPr>
          <w:p w14:paraId="0EA5F1C9" w14:textId="2B23C490" w:rsidR="00964691" w:rsidRPr="009B3C3D" w:rsidRDefault="00964691" w:rsidP="00964691">
            <w:pPr>
              <w:rPr>
                <w:color w:val="000000" w:themeColor="text1"/>
                <w:sz w:val="20"/>
                <w:szCs w:val="20"/>
              </w:rPr>
            </w:pPr>
            <w:r w:rsidRPr="009B3C3D">
              <w:rPr>
                <w:color w:val="000000" w:themeColor="text1"/>
                <w:sz w:val="20"/>
                <w:szCs w:val="20"/>
              </w:rPr>
              <w:t>4,166</w:t>
            </w:r>
          </w:p>
        </w:tc>
      </w:tr>
      <w:tr w:rsidR="00964691" w14:paraId="0105D64B" w14:textId="77777777" w:rsidTr="009B3C3D">
        <w:tc>
          <w:tcPr>
            <w:tcW w:w="2520" w:type="dxa"/>
          </w:tcPr>
          <w:p w14:paraId="63F012B7" w14:textId="2469624A" w:rsidR="00964691" w:rsidRPr="009B3C3D" w:rsidRDefault="00964691" w:rsidP="00CE67B3">
            <w:pPr>
              <w:rPr>
                <w:color w:val="000000" w:themeColor="text1"/>
                <w:sz w:val="20"/>
                <w:szCs w:val="20"/>
              </w:rPr>
            </w:pPr>
            <w:r w:rsidRPr="009B3C3D">
              <w:rPr>
                <w:color w:val="000000" w:themeColor="text1"/>
                <w:sz w:val="20"/>
                <w:szCs w:val="20"/>
              </w:rPr>
              <w:t>Individual/Foreign National (intermittent)</w:t>
            </w:r>
          </w:p>
        </w:tc>
        <w:tc>
          <w:tcPr>
            <w:tcW w:w="1620" w:type="dxa"/>
          </w:tcPr>
          <w:p w14:paraId="0C0ADFAF" w14:textId="013C9C46" w:rsidR="00964691" w:rsidRPr="009B3C3D" w:rsidRDefault="00964691" w:rsidP="00516A7A">
            <w:pPr>
              <w:rPr>
                <w:color w:val="000000" w:themeColor="text1"/>
                <w:sz w:val="20"/>
                <w:szCs w:val="20"/>
              </w:rPr>
            </w:pPr>
            <w:r w:rsidRPr="009B3C3D">
              <w:rPr>
                <w:color w:val="000000" w:themeColor="text1"/>
                <w:sz w:val="20"/>
                <w:szCs w:val="20"/>
              </w:rPr>
              <w:t>27,000</w:t>
            </w:r>
          </w:p>
        </w:tc>
        <w:tc>
          <w:tcPr>
            <w:tcW w:w="2070" w:type="dxa"/>
          </w:tcPr>
          <w:p w14:paraId="1833F0F4" w14:textId="377E3CCC" w:rsidR="00964691" w:rsidRPr="009B3C3D" w:rsidRDefault="00964691" w:rsidP="00516A7A">
            <w:pPr>
              <w:rPr>
                <w:color w:val="000000" w:themeColor="text1"/>
                <w:sz w:val="20"/>
                <w:szCs w:val="20"/>
              </w:rPr>
            </w:pPr>
            <w:r w:rsidRPr="009B3C3D">
              <w:rPr>
                <w:color w:val="000000" w:themeColor="text1"/>
                <w:sz w:val="20"/>
                <w:szCs w:val="20"/>
              </w:rPr>
              <w:t>10</w:t>
            </w:r>
          </w:p>
        </w:tc>
        <w:tc>
          <w:tcPr>
            <w:tcW w:w="1823" w:type="dxa"/>
          </w:tcPr>
          <w:p w14:paraId="1BAF72D8" w14:textId="66C83913" w:rsidR="00964691" w:rsidRPr="009B3C3D" w:rsidRDefault="00163726" w:rsidP="00516A7A">
            <w:pPr>
              <w:rPr>
                <w:color w:val="000000" w:themeColor="text1"/>
                <w:sz w:val="20"/>
                <w:szCs w:val="20"/>
              </w:rPr>
            </w:pPr>
            <w:r w:rsidRPr="009B3C3D">
              <w:rPr>
                <w:color w:val="000000" w:themeColor="text1"/>
                <w:sz w:val="20"/>
                <w:szCs w:val="20"/>
              </w:rPr>
              <w:t>4,500</w:t>
            </w:r>
          </w:p>
        </w:tc>
      </w:tr>
      <w:tr w:rsidR="00964691" w14:paraId="0B6A680B" w14:textId="77777777" w:rsidTr="009B3C3D">
        <w:tc>
          <w:tcPr>
            <w:tcW w:w="2520" w:type="dxa"/>
          </w:tcPr>
          <w:p w14:paraId="31F27795" w14:textId="77777777" w:rsidR="00964691" w:rsidRPr="009B3C3D" w:rsidRDefault="00964691" w:rsidP="00CE67B3">
            <w:pPr>
              <w:rPr>
                <w:color w:val="000000" w:themeColor="text1"/>
                <w:sz w:val="20"/>
                <w:szCs w:val="20"/>
              </w:rPr>
            </w:pPr>
          </w:p>
        </w:tc>
        <w:tc>
          <w:tcPr>
            <w:tcW w:w="1620" w:type="dxa"/>
          </w:tcPr>
          <w:p w14:paraId="3DE268D2" w14:textId="0C261A6F" w:rsidR="00964691" w:rsidRPr="009B3C3D" w:rsidRDefault="00964691" w:rsidP="00516A7A">
            <w:pPr>
              <w:rPr>
                <w:color w:val="000000" w:themeColor="text1"/>
                <w:sz w:val="20"/>
                <w:szCs w:val="20"/>
              </w:rPr>
            </w:pPr>
            <w:r w:rsidRPr="009B3C3D">
              <w:rPr>
                <w:color w:val="000000" w:themeColor="text1"/>
                <w:sz w:val="20"/>
                <w:szCs w:val="20"/>
              </w:rPr>
              <w:t>52,000</w:t>
            </w:r>
          </w:p>
        </w:tc>
        <w:tc>
          <w:tcPr>
            <w:tcW w:w="2070" w:type="dxa"/>
          </w:tcPr>
          <w:p w14:paraId="31DC0407" w14:textId="77777777" w:rsidR="00964691" w:rsidRPr="009B3C3D" w:rsidRDefault="00964691" w:rsidP="00516A7A">
            <w:pPr>
              <w:rPr>
                <w:color w:val="000000" w:themeColor="text1"/>
                <w:sz w:val="20"/>
                <w:szCs w:val="20"/>
              </w:rPr>
            </w:pPr>
          </w:p>
        </w:tc>
        <w:tc>
          <w:tcPr>
            <w:tcW w:w="1823" w:type="dxa"/>
          </w:tcPr>
          <w:p w14:paraId="60933BCF" w14:textId="2A4285F0" w:rsidR="00964691" w:rsidRPr="009B3C3D" w:rsidRDefault="00163726" w:rsidP="00516A7A">
            <w:pPr>
              <w:rPr>
                <w:color w:val="000000" w:themeColor="text1"/>
                <w:sz w:val="20"/>
                <w:szCs w:val="20"/>
              </w:rPr>
            </w:pPr>
            <w:r w:rsidRPr="009B3C3D">
              <w:rPr>
                <w:color w:val="000000" w:themeColor="text1"/>
                <w:sz w:val="20"/>
                <w:szCs w:val="20"/>
              </w:rPr>
              <w:t>8,666</w:t>
            </w:r>
          </w:p>
        </w:tc>
      </w:tr>
    </w:tbl>
    <w:p w14:paraId="7050A68F" w14:textId="77777777" w:rsidR="00CE67B3" w:rsidRPr="00DA5A1C" w:rsidRDefault="00CE67B3" w:rsidP="00516A7A">
      <w:pPr>
        <w:rPr>
          <w:color w:val="4F81BD" w:themeColor="accent1"/>
        </w:rPr>
      </w:pPr>
    </w:p>
    <w:p w14:paraId="4E88B3B6" w14:textId="5C3FDA2C" w:rsidR="0093315E" w:rsidRPr="00DA5A1C" w:rsidRDefault="006F2C86" w:rsidP="0093315E">
      <w:pPr>
        <w:rPr>
          <w:b/>
        </w:rPr>
      </w:pPr>
      <w:r w:rsidRPr="00DA5A1C">
        <w:rPr>
          <w:b/>
        </w:rPr>
        <w:t>13.</w:t>
      </w:r>
      <w:r w:rsidR="0093315E" w:rsidRPr="00DA5A1C">
        <w:rPr>
          <w:b/>
        </w:rPr>
        <w:t xml:space="preserve"> Provide an estimate for the total annual cost burden to respondents or record</w:t>
      </w:r>
      <w:r w:rsidR="0081693C" w:rsidRPr="00DA5A1C">
        <w:rPr>
          <w:b/>
        </w:rPr>
        <w:t xml:space="preserve"> </w:t>
      </w:r>
      <w:r w:rsidR="0093315E" w:rsidRPr="00DA5A1C">
        <w:rPr>
          <w:b/>
        </w:rPr>
        <w:t xml:space="preserve">keepers resulting from the collection of information. </w:t>
      </w:r>
    </w:p>
    <w:p w14:paraId="6D632B00" w14:textId="77777777" w:rsidR="0081693C" w:rsidRPr="00DA5A1C" w:rsidRDefault="0081693C" w:rsidP="0093315E">
      <w:pPr>
        <w:rPr>
          <w:b/>
        </w:rPr>
      </w:pPr>
    </w:p>
    <w:p w14:paraId="1ABA81FB" w14:textId="7313800F" w:rsidR="00286CAA" w:rsidRPr="00DA5A1C" w:rsidRDefault="00286CAA" w:rsidP="0093315E">
      <w:r>
        <w:t>Annual cost to NASA (as the record keeper) is provided as follows:</w:t>
      </w:r>
    </w:p>
    <w:p w14:paraId="378387D2" w14:textId="66C2129A" w:rsidR="00537A5B" w:rsidRPr="00880956" w:rsidRDefault="00537A5B" w:rsidP="00286CAA">
      <w:pPr>
        <w:ind w:left="720"/>
        <w:rPr>
          <w:sz w:val="22"/>
          <w:szCs w:val="22"/>
        </w:rPr>
      </w:pPr>
      <w:r w:rsidRPr="00880956">
        <w:rPr>
          <w:sz w:val="22"/>
          <w:szCs w:val="22"/>
        </w:rPr>
        <w:t>The equipment</w:t>
      </w:r>
      <w:r w:rsidR="00BD7CAE">
        <w:rPr>
          <w:sz w:val="22"/>
          <w:szCs w:val="22"/>
        </w:rPr>
        <w:t xml:space="preserve"> </w:t>
      </w:r>
      <w:r w:rsidR="00BD7CAE" w:rsidRPr="00BD7CAE">
        <w:rPr>
          <w:sz w:val="22"/>
          <w:szCs w:val="22"/>
        </w:rPr>
        <w:t>(servers, software, infrastructur</w:t>
      </w:r>
      <w:r w:rsidR="00C1772C">
        <w:rPr>
          <w:sz w:val="22"/>
          <w:szCs w:val="22"/>
        </w:rPr>
        <w:t>e</w:t>
      </w:r>
      <w:r w:rsidR="00BD7CAE" w:rsidRPr="00BD7CAE">
        <w:rPr>
          <w:sz w:val="22"/>
          <w:szCs w:val="22"/>
        </w:rPr>
        <w:t>)</w:t>
      </w:r>
      <w:r w:rsidRPr="00BD7CAE">
        <w:rPr>
          <w:sz w:val="22"/>
          <w:szCs w:val="22"/>
        </w:rPr>
        <w:t xml:space="preserve"> </w:t>
      </w:r>
      <w:r w:rsidRPr="00880956">
        <w:rPr>
          <w:sz w:val="22"/>
          <w:szCs w:val="22"/>
        </w:rPr>
        <w:t xml:space="preserve">cost for </w:t>
      </w:r>
      <w:r w:rsidR="00C1772C">
        <w:rPr>
          <w:sz w:val="22"/>
          <w:szCs w:val="22"/>
        </w:rPr>
        <w:t xml:space="preserve">NASA </w:t>
      </w:r>
      <w:r w:rsidR="00BD7CAE" w:rsidRPr="00286CAA">
        <w:rPr>
          <w:sz w:val="22"/>
          <w:szCs w:val="22"/>
        </w:rPr>
        <w:t>IdMAX</w:t>
      </w:r>
      <w:r w:rsidRPr="00163726">
        <w:rPr>
          <w:color w:val="FF0000"/>
          <w:sz w:val="22"/>
          <w:szCs w:val="22"/>
        </w:rPr>
        <w:t xml:space="preserve"> </w:t>
      </w:r>
      <w:r w:rsidR="00880956" w:rsidRPr="00880956">
        <w:rPr>
          <w:sz w:val="22"/>
          <w:szCs w:val="22"/>
        </w:rPr>
        <w:t>was</w:t>
      </w:r>
      <w:r w:rsidRPr="00880956">
        <w:rPr>
          <w:sz w:val="22"/>
          <w:szCs w:val="22"/>
        </w:rPr>
        <w:t xml:space="preserve"> approximately $2 million, with a life expectancy of 8 years. </w:t>
      </w:r>
    </w:p>
    <w:p w14:paraId="4BFE4E24" w14:textId="77777777" w:rsidR="00537A5B" w:rsidRPr="00880956" w:rsidRDefault="00537A5B" w:rsidP="00286CAA">
      <w:pPr>
        <w:ind w:left="720"/>
        <w:rPr>
          <w:sz w:val="22"/>
          <w:szCs w:val="22"/>
        </w:rPr>
      </w:pPr>
    </w:p>
    <w:p w14:paraId="7608A686" w14:textId="77777777" w:rsidR="00537A5B" w:rsidRPr="00880956" w:rsidRDefault="00537A5B" w:rsidP="00286CAA">
      <w:pPr>
        <w:ind w:left="720"/>
        <w:rPr>
          <w:sz w:val="22"/>
          <w:szCs w:val="22"/>
        </w:rPr>
      </w:pPr>
      <w:r w:rsidRPr="00880956">
        <w:rPr>
          <w:sz w:val="22"/>
          <w:szCs w:val="22"/>
        </w:rPr>
        <w:t xml:space="preserve">$2 million/8 years = $250,000 per year.  </w:t>
      </w:r>
    </w:p>
    <w:p w14:paraId="44E94EA7" w14:textId="77777777" w:rsidR="00537A5B" w:rsidRPr="00880956" w:rsidRDefault="00537A5B" w:rsidP="00286CAA">
      <w:pPr>
        <w:ind w:left="720"/>
        <w:rPr>
          <w:rFonts w:asciiTheme="minorHAnsi" w:hAnsiTheme="minorHAnsi"/>
          <w:sz w:val="22"/>
          <w:szCs w:val="22"/>
        </w:rPr>
      </w:pPr>
    </w:p>
    <w:p w14:paraId="61987A87" w14:textId="286D05B9" w:rsidR="0093315E" w:rsidRPr="00286CAA" w:rsidRDefault="00537A5B" w:rsidP="00286CAA">
      <w:pPr>
        <w:ind w:left="720"/>
        <w:rPr>
          <w:sz w:val="22"/>
          <w:szCs w:val="22"/>
        </w:rPr>
      </w:pPr>
      <w:r w:rsidRPr="00286CAA">
        <w:rPr>
          <w:sz w:val="22"/>
          <w:szCs w:val="22"/>
        </w:rPr>
        <w:t xml:space="preserve">Support costs for </w:t>
      </w:r>
      <w:r w:rsidR="00880956" w:rsidRPr="00286CAA">
        <w:rPr>
          <w:sz w:val="22"/>
          <w:szCs w:val="22"/>
        </w:rPr>
        <w:t xml:space="preserve">NASA </w:t>
      </w:r>
      <w:r w:rsidR="00163726" w:rsidRPr="00286CAA">
        <w:rPr>
          <w:sz w:val="22"/>
          <w:szCs w:val="22"/>
        </w:rPr>
        <w:t>IdMAX</w:t>
      </w:r>
      <w:r w:rsidR="00CE67B3" w:rsidRPr="00286CAA">
        <w:rPr>
          <w:sz w:val="22"/>
          <w:szCs w:val="22"/>
        </w:rPr>
        <w:t xml:space="preserve"> </w:t>
      </w:r>
      <w:r w:rsidR="00286CAA">
        <w:rPr>
          <w:sz w:val="22"/>
          <w:szCs w:val="22"/>
        </w:rPr>
        <w:t>system</w:t>
      </w:r>
      <w:r w:rsidRPr="00286CAA">
        <w:rPr>
          <w:sz w:val="22"/>
          <w:szCs w:val="22"/>
        </w:rPr>
        <w:t xml:space="preserve"> require approximately 5 people (5 FTEs) at an estimated cost of $100,000 each = $500,000 annually</w:t>
      </w:r>
    </w:p>
    <w:p w14:paraId="21713BB7" w14:textId="77777777" w:rsidR="00537A5B" w:rsidRPr="00DA5A1C" w:rsidRDefault="00537A5B" w:rsidP="00537A5B"/>
    <w:p w14:paraId="31A164C9" w14:textId="7D8F9A45" w:rsidR="0093315E" w:rsidRPr="00DA5A1C" w:rsidRDefault="006F2C86" w:rsidP="0093315E">
      <w:pPr>
        <w:rPr>
          <w:b/>
        </w:rPr>
      </w:pPr>
      <w:bookmarkStart w:id="20" w:name="OLE_LINK1"/>
      <w:bookmarkStart w:id="21" w:name="OLE_LINK2"/>
      <w:bookmarkStart w:id="22" w:name="OLE_LINK5"/>
      <w:bookmarkStart w:id="23" w:name="OLE_LINK6"/>
      <w:bookmarkStart w:id="24" w:name="OLE_LINK7"/>
      <w:r w:rsidRPr="00DA5A1C">
        <w:rPr>
          <w:b/>
        </w:rPr>
        <w:t>14.</w:t>
      </w:r>
      <w:r w:rsidR="0093315E" w:rsidRPr="00DA5A1C">
        <w:t xml:space="preserve"> </w:t>
      </w:r>
      <w:r w:rsidR="0093315E" w:rsidRPr="00DA5A1C">
        <w:rPr>
          <w:b/>
        </w:rPr>
        <w:t xml:space="preserve">Provide estimates of annualized costs to the Federal government. </w:t>
      </w:r>
    </w:p>
    <w:bookmarkEnd w:id="20"/>
    <w:bookmarkEnd w:id="21"/>
    <w:p w14:paraId="17A44166" w14:textId="77777777" w:rsidR="0093315E" w:rsidRPr="00DA5A1C" w:rsidRDefault="0093315E" w:rsidP="0093315E"/>
    <w:bookmarkEnd w:id="22"/>
    <w:bookmarkEnd w:id="23"/>
    <w:bookmarkEnd w:id="24"/>
    <w:p w14:paraId="0EC71E02" w14:textId="77777777" w:rsidR="00537A5B" w:rsidRPr="00286CAA" w:rsidRDefault="00537A5B" w:rsidP="00286CAA">
      <w:pPr>
        <w:ind w:left="720"/>
        <w:rPr>
          <w:rFonts w:asciiTheme="minorHAnsi" w:hAnsiTheme="minorHAnsi"/>
          <w:b/>
          <w:sz w:val="22"/>
          <w:szCs w:val="22"/>
        </w:rPr>
      </w:pPr>
      <w:r w:rsidRPr="00286CAA">
        <w:rPr>
          <w:rFonts w:asciiTheme="minorHAnsi" w:hAnsiTheme="minorHAnsi"/>
          <w:b/>
          <w:sz w:val="22"/>
          <w:szCs w:val="22"/>
        </w:rPr>
        <w:t>Table 1: Compilation of Costs (Questions 12, 13, and 14)</w:t>
      </w:r>
    </w:p>
    <w:tbl>
      <w:tblPr>
        <w:tblStyle w:val="TableGrid"/>
        <w:tblW w:w="0" w:type="auto"/>
        <w:tblInd w:w="720" w:type="dxa"/>
        <w:tblLook w:val="04A0" w:firstRow="1" w:lastRow="0" w:firstColumn="1" w:lastColumn="0" w:noHBand="0" w:noVBand="1"/>
      </w:tblPr>
      <w:tblGrid>
        <w:gridCol w:w="2394"/>
        <w:gridCol w:w="1584"/>
        <w:gridCol w:w="3284"/>
      </w:tblGrid>
      <w:tr w:rsidR="00286CAA" w:rsidRPr="00286CAA" w14:paraId="201B9810" w14:textId="77777777" w:rsidTr="00286CAA">
        <w:tc>
          <w:tcPr>
            <w:tcW w:w="2394" w:type="dxa"/>
          </w:tcPr>
          <w:p w14:paraId="07D6E5E8"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Cost Category</w:t>
            </w:r>
          </w:p>
        </w:tc>
        <w:tc>
          <w:tcPr>
            <w:tcW w:w="1584" w:type="dxa"/>
          </w:tcPr>
          <w:p w14:paraId="5A3EB694"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Hour Burden</w:t>
            </w:r>
          </w:p>
        </w:tc>
        <w:tc>
          <w:tcPr>
            <w:tcW w:w="3284" w:type="dxa"/>
          </w:tcPr>
          <w:p w14:paraId="32EF444A"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Annual Costs</w:t>
            </w:r>
          </w:p>
        </w:tc>
      </w:tr>
      <w:tr w:rsidR="00286CAA" w:rsidRPr="00286CAA" w14:paraId="619E0B5F" w14:textId="77777777" w:rsidTr="00286CAA">
        <w:tc>
          <w:tcPr>
            <w:tcW w:w="2394" w:type="dxa"/>
          </w:tcPr>
          <w:p w14:paraId="5DA554BC" w14:textId="77777777" w:rsidR="00537A5B" w:rsidRPr="009B3C3D" w:rsidRDefault="00537A5B" w:rsidP="00537A5B">
            <w:pPr>
              <w:rPr>
                <w:rFonts w:asciiTheme="minorHAnsi" w:hAnsiTheme="minorHAnsi"/>
                <w:sz w:val="22"/>
                <w:szCs w:val="22"/>
              </w:rPr>
            </w:pPr>
          </w:p>
        </w:tc>
        <w:tc>
          <w:tcPr>
            <w:tcW w:w="1584" w:type="dxa"/>
          </w:tcPr>
          <w:p w14:paraId="2AB08F9B" w14:textId="77777777" w:rsidR="00537A5B" w:rsidRPr="009B3C3D" w:rsidRDefault="00537A5B" w:rsidP="00537A5B">
            <w:pPr>
              <w:rPr>
                <w:rFonts w:asciiTheme="minorHAnsi" w:hAnsiTheme="minorHAnsi"/>
                <w:sz w:val="22"/>
                <w:szCs w:val="22"/>
              </w:rPr>
            </w:pPr>
          </w:p>
        </w:tc>
        <w:tc>
          <w:tcPr>
            <w:tcW w:w="3284" w:type="dxa"/>
          </w:tcPr>
          <w:p w14:paraId="528208F2" w14:textId="77777777" w:rsidR="00537A5B" w:rsidRPr="009B3C3D" w:rsidRDefault="00537A5B" w:rsidP="00537A5B">
            <w:pPr>
              <w:rPr>
                <w:rFonts w:asciiTheme="minorHAnsi" w:hAnsiTheme="minorHAnsi"/>
                <w:sz w:val="22"/>
                <w:szCs w:val="22"/>
              </w:rPr>
            </w:pPr>
          </w:p>
        </w:tc>
      </w:tr>
      <w:tr w:rsidR="00286CAA" w:rsidRPr="00286CAA" w14:paraId="0866C0F1" w14:textId="77777777" w:rsidTr="00286CAA">
        <w:tc>
          <w:tcPr>
            <w:tcW w:w="2394" w:type="dxa"/>
          </w:tcPr>
          <w:p w14:paraId="07272517"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xml:space="preserve">Respondent (routine) </w:t>
            </w:r>
          </w:p>
        </w:tc>
        <w:tc>
          <w:tcPr>
            <w:tcW w:w="1584" w:type="dxa"/>
          </w:tcPr>
          <w:p w14:paraId="03C69436" w14:textId="5D6500FB" w:rsidR="00537A5B" w:rsidRPr="009B3C3D" w:rsidRDefault="00537A5B" w:rsidP="00163726">
            <w:pPr>
              <w:rPr>
                <w:rFonts w:asciiTheme="minorHAnsi" w:hAnsiTheme="minorHAnsi"/>
                <w:sz w:val="22"/>
                <w:szCs w:val="22"/>
              </w:rPr>
            </w:pPr>
            <w:r w:rsidRPr="009B3C3D">
              <w:rPr>
                <w:rFonts w:asciiTheme="minorHAnsi" w:hAnsiTheme="minorHAnsi"/>
                <w:sz w:val="22"/>
                <w:szCs w:val="22"/>
              </w:rPr>
              <w:t>4,16</w:t>
            </w:r>
            <w:r w:rsidR="00163726" w:rsidRPr="009B3C3D">
              <w:rPr>
                <w:rFonts w:asciiTheme="minorHAnsi" w:hAnsiTheme="minorHAnsi"/>
                <w:sz w:val="22"/>
                <w:szCs w:val="22"/>
              </w:rPr>
              <w:t>6</w:t>
            </w:r>
          </w:p>
        </w:tc>
        <w:tc>
          <w:tcPr>
            <w:tcW w:w="3284" w:type="dxa"/>
          </w:tcPr>
          <w:p w14:paraId="74309F93"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208,350</w:t>
            </w:r>
          </w:p>
        </w:tc>
      </w:tr>
      <w:tr w:rsidR="00286CAA" w:rsidRPr="00286CAA" w14:paraId="429FDD29" w14:textId="77777777" w:rsidTr="00286CAA">
        <w:tc>
          <w:tcPr>
            <w:tcW w:w="2394" w:type="dxa"/>
          </w:tcPr>
          <w:p w14:paraId="69049ED0"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Respondent (intermittent)</w:t>
            </w:r>
          </w:p>
        </w:tc>
        <w:tc>
          <w:tcPr>
            <w:tcW w:w="1584" w:type="dxa"/>
          </w:tcPr>
          <w:p w14:paraId="714D736B" w14:textId="77777777" w:rsidR="00537A5B" w:rsidRPr="009B3C3D" w:rsidRDefault="00537A5B" w:rsidP="00537A5B">
            <w:pPr>
              <w:rPr>
                <w:rFonts w:asciiTheme="minorHAnsi" w:hAnsiTheme="minorHAnsi"/>
                <w:sz w:val="22"/>
                <w:szCs w:val="22"/>
              </w:rPr>
            </w:pPr>
          </w:p>
          <w:p w14:paraId="4351B241"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4,500</w:t>
            </w:r>
          </w:p>
        </w:tc>
        <w:tc>
          <w:tcPr>
            <w:tcW w:w="3284" w:type="dxa"/>
          </w:tcPr>
          <w:p w14:paraId="30302E1F" w14:textId="77777777" w:rsidR="00537A5B" w:rsidRPr="009B3C3D" w:rsidRDefault="00537A5B" w:rsidP="00537A5B">
            <w:pPr>
              <w:rPr>
                <w:rFonts w:asciiTheme="minorHAnsi" w:hAnsiTheme="minorHAnsi"/>
                <w:sz w:val="22"/>
                <w:szCs w:val="22"/>
              </w:rPr>
            </w:pPr>
          </w:p>
          <w:p w14:paraId="4366322E"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225,000</w:t>
            </w:r>
          </w:p>
        </w:tc>
      </w:tr>
      <w:tr w:rsidR="00286CAA" w:rsidRPr="00286CAA" w14:paraId="7C1204B8" w14:textId="77777777" w:rsidTr="00286CAA">
        <w:tc>
          <w:tcPr>
            <w:tcW w:w="2394" w:type="dxa"/>
          </w:tcPr>
          <w:p w14:paraId="09F44E8E"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Equipment</w:t>
            </w:r>
          </w:p>
        </w:tc>
        <w:tc>
          <w:tcPr>
            <w:tcW w:w="1584" w:type="dxa"/>
          </w:tcPr>
          <w:p w14:paraId="7C765D32" w14:textId="77777777" w:rsidR="00537A5B" w:rsidRPr="009B3C3D" w:rsidRDefault="00537A5B" w:rsidP="00537A5B">
            <w:pPr>
              <w:rPr>
                <w:rFonts w:asciiTheme="minorHAnsi" w:hAnsiTheme="minorHAnsi"/>
                <w:sz w:val="22"/>
                <w:szCs w:val="22"/>
              </w:rPr>
            </w:pPr>
          </w:p>
        </w:tc>
        <w:tc>
          <w:tcPr>
            <w:tcW w:w="3284" w:type="dxa"/>
          </w:tcPr>
          <w:p w14:paraId="63E24F88"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250,000</w:t>
            </w:r>
          </w:p>
        </w:tc>
      </w:tr>
      <w:tr w:rsidR="00286CAA" w:rsidRPr="00286CAA" w14:paraId="123C5F9D" w14:textId="77777777" w:rsidTr="00286CAA">
        <w:tc>
          <w:tcPr>
            <w:tcW w:w="2394" w:type="dxa"/>
          </w:tcPr>
          <w:p w14:paraId="5A4C11C2"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Support (salary)</w:t>
            </w:r>
          </w:p>
        </w:tc>
        <w:tc>
          <w:tcPr>
            <w:tcW w:w="1584" w:type="dxa"/>
          </w:tcPr>
          <w:p w14:paraId="335236B0" w14:textId="77777777" w:rsidR="00537A5B" w:rsidRPr="009B3C3D" w:rsidRDefault="00537A5B" w:rsidP="00537A5B">
            <w:pPr>
              <w:rPr>
                <w:rFonts w:asciiTheme="minorHAnsi" w:hAnsiTheme="minorHAnsi"/>
                <w:sz w:val="22"/>
                <w:szCs w:val="22"/>
              </w:rPr>
            </w:pPr>
          </w:p>
        </w:tc>
        <w:tc>
          <w:tcPr>
            <w:tcW w:w="3284" w:type="dxa"/>
          </w:tcPr>
          <w:p w14:paraId="7408D766"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500,000</w:t>
            </w:r>
          </w:p>
        </w:tc>
      </w:tr>
      <w:tr w:rsidR="00286CAA" w:rsidRPr="00286CAA" w14:paraId="1190DDE9" w14:textId="77777777" w:rsidTr="00286CAA">
        <w:tc>
          <w:tcPr>
            <w:tcW w:w="2394" w:type="dxa"/>
          </w:tcPr>
          <w:p w14:paraId="312CD1BE"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Support (equipment)</w:t>
            </w:r>
          </w:p>
        </w:tc>
        <w:tc>
          <w:tcPr>
            <w:tcW w:w="1584" w:type="dxa"/>
          </w:tcPr>
          <w:p w14:paraId="1F773959" w14:textId="77777777" w:rsidR="00537A5B" w:rsidRPr="009B3C3D" w:rsidRDefault="00537A5B" w:rsidP="00537A5B">
            <w:pPr>
              <w:rPr>
                <w:rFonts w:asciiTheme="minorHAnsi" w:hAnsiTheme="minorHAnsi"/>
                <w:sz w:val="22"/>
                <w:szCs w:val="22"/>
              </w:rPr>
            </w:pPr>
          </w:p>
        </w:tc>
        <w:tc>
          <w:tcPr>
            <w:tcW w:w="3284" w:type="dxa"/>
          </w:tcPr>
          <w:p w14:paraId="3BDFBE35" w14:textId="77777777" w:rsidR="00537A5B" w:rsidRPr="009B3C3D" w:rsidRDefault="00537A5B" w:rsidP="00537A5B">
            <w:pPr>
              <w:rPr>
                <w:rFonts w:asciiTheme="minorHAnsi" w:hAnsiTheme="minorHAnsi"/>
                <w:sz w:val="22"/>
                <w:szCs w:val="22"/>
              </w:rPr>
            </w:pPr>
            <w:r w:rsidRPr="009B3C3D">
              <w:rPr>
                <w:rFonts w:asciiTheme="minorHAnsi" w:hAnsiTheme="minorHAnsi"/>
                <w:sz w:val="22"/>
                <w:szCs w:val="22"/>
              </w:rPr>
              <w:t>$       6,000</w:t>
            </w:r>
          </w:p>
        </w:tc>
      </w:tr>
      <w:tr w:rsidR="00286CAA" w:rsidRPr="00286CAA" w14:paraId="181F8765" w14:textId="77777777" w:rsidTr="00286CAA">
        <w:tc>
          <w:tcPr>
            <w:tcW w:w="2394" w:type="dxa"/>
          </w:tcPr>
          <w:p w14:paraId="7D9DE146"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 xml:space="preserve">   Total Annual Costs</w:t>
            </w:r>
          </w:p>
        </w:tc>
        <w:tc>
          <w:tcPr>
            <w:tcW w:w="1584" w:type="dxa"/>
          </w:tcPr>
          <w:p w14:paraId="2CD82C06" w14:textId="77777777" w:rsidR="00537A5B" w:rsidRPr="00286CAA" w:rsidRDefault="00537A5B" w:rsidP="00537A5B">
            <w:pPr>
              <w:rPr>
                <w:rFonts w:asciiTheme="minorHAnsi" w:hAnsiTheme="minorHAnsi"/>
                <w:b/>
                <w:sz w:val="22"/>
                <w:szCs w:val="22"/>
              </w:rPr>
            </w:pPr>
          </w:p>
        </w:tc>
        <w:tc>
          <w:tcPr>
            <w:tcW w:w="3284" w:type="dxa"/>
          </w:tcPr>
          <w:p w14:paraId="7C1DA3BD" w14:textId="77777777" w:rsidR="00537A5B" w:rsidRPr="00286CAA" w:rsidRDefault="00537A5B" w:rsidP="00537A5B">
            <w:pPr>
              <w:rPr>
                <w:rFonts w:asciiTheme="minorHAnsi" w:hAnsiTheme="minorHAnsi"/>
                <w:b/>
                <w:sz w:val="22"/>
                <w:szCs w:val="22"/>
              </w:rPr>
            </w:pPr>
            <w:r w:rsidRPr="00286CAA">
              <w:rPr>
                <w:rFonts w:asciiTheme="minorHAnsi" w:hAnsiTheme="minorHAnsi"/>
                <w:b/>
                <w:sz w:val="22"/>
                <w:szCs w:val="22"/>
              </w:rPr>
              <w:t>$1,189,350</w:t>
            </w:r>
          </w:p>
        </w:tc>
      </w:tr>
    </w:tbl>
    <w:p w14:paraId="136D9962" w14:textId="6A955B2D" w:rsidR="0093315E" w:rsidRDefault="0093315E" w:rsidP="00286CAA">
      <w:pPr>
        <w:ind w:left="720"/>
        <w:rPr>
          <w:color w:val="FF0000"/>
        </w:rPr>
      </w:pPr>
    </w:p>
    <w:p w14:paraId="7C5F14B1" w14:textId="77777777" w:rsidR="008C63A7" w:rsidRPr="00286CAA" w:rsidRDefault="008C63A7" w:rsidP="008C63A7">
      <w:pPr>
        <w:ind w:left="720"/>
        <w:rPr>
          <w:rFonts w:asciiTheme="minorHAnsi" w:hAnsiTheme="minorHAnsi"/>
          <w:sz w:val="22"/>
          <w:szCs w:val="22"/>
        </w:rPr>
      </w:pPr>
      <w:r>
        <w:rPr>
          <w:rFonts w:asciiTheme="minorHAnsi" w:hAnsiTheme="minorHAnsi"/>
          <w:sz w:val="22"/>
          <w:szCs w:val="22"/>
        </w:rPr>
        <w:t>Expenses</w:t>
      </w:r>
      <w:r w:rsidRPr="00286CAA">
        <w:rPr>
          <w:rFonts w:asciiTheme="minorHAnsi" w:hAnsiTheme="minorHAnsi"/>
          <w:sz w:val="22"/>
          <w:szCs w:val="22"/>
        </w:rPr>
        <w:t xml:space="preserve"> include the cost of computer support equipment and supplies estimated at approximately $1,200 annually per FTE -- $1,200 x 5 FTEs = $6,000 annually.</w:t>
      </w:r>
    </w:p>
    <w:p w14:paraId="1E27EA95" w14:textId="77777777" w:rsidR="008C63A7" w:rsidRPr="00DA5A1C" w:rsidRDefault="008C63A7" w:rsidP="00286CAA">
      <w:pPr>
        <w:ind w:left="720"/>
        <w:rPr>
          <w:color w:val="FF0000"/>
        </w:rPr>
      </w:pPr>
    </w:p>
    <w:p w14:paraId="6EA20856" w14:textId="77777777" w:rsidR="0093315E" w:rsidRPr="00DA5A1C" w:rsidRDefault="006F2C86" w:rsidP="0093315E">
      <w:r w:rsidRPr="00DA5A1C">
        <w:rPr>
          <w:b/>
        </w:rPr>
        <w:t>15</w:t>
      </w:r>
      <w:r w:rsidR="0093315E" w:rsidRPr="00DA5A1C">
        <w:t xml:space="preserve">. </w:t>
      </w:r>
      <w:r w:rsidR="0093315E" w:rsidRPr="00DA5A1C">
        <w:rPr>
          <w:b/>
        </w:rPr>
        <w:t>Explain the reasons for any program changes or adjustments reported in Items 13 or 14 of the OMB Form 83-I.</w:t>
      </w:r>
    </w:p>
    <w:p w14:paraId="5926ACDF" w14:textId="77777777" w:rsidR="004E5559" w:rsidRPr="00DA5A1C" w:rsidRDefault="004E5559" w:rsidP="0093315E">
      <w:pPr>
        <w:rPr>
          <w:color w:val="FF0000"/>
        </w:rPr>
      </w:pPr>
    </w:p>
    <w:p w14:paraId="340E95A5" w14:textId="3FB0ADFB" w:rsidR="00537A5B" w:rsidRPr="00286CAA" w:rsidRDefault="008C63A7" w:rsidP="00537A5B">
      <w:pPr>
        <w:rPr>
          <w:rFonts w:asciiTheme="minorHAnsi" w:hAnsiTheme="minorHAnsi"/>
          <w:sz w:val="22"/>
          <w:szCs w:val="22"/>
        </w:rPr>
      </w:pPr>
      <w:r>
        <w:rPr>
          <w:rFonts w:asciiTheme="minorHAnsi" w:hAnsiTheme="minorHAnsi"/>
          <w:sz w:val="22"/>
          <w:szCs w:val="22"/>
        </w:rPr>
        <w:t>No</w:t>
      </w:r>
      <w:r w:rsidR="00537A5B" w:rsidRPr="00286CAA">
        <w:rPr>
          <w:rFonts w:asciiTheme="minorHAnsi" w:hAnsiTheme="minorHAnsi"/>
          <w:sz w:val="22"/>
          <w:szCs w:val="22"/>
        </w:rPr>
        <w:t xml:space="preserve"> program changes or adjustments are </w:t>
      </w:r>
      <w:r>
        <w:rPr>
          <w:rFonts w:asciiTheme="minorHAnsi" w:hAnsiTheme="minorHAnsi"/>
          <w:sz w:val="22"/>
          <w:szCs w:val="22"/>
        </w:rPr>
        <w:t>reported.</w:t>
      </w:r>
    </w:p>
    <w:p w14:paraId="3D558FDD" w14:textId="77777777" w:rsidR="0093315E" w:rsidRPr="00DA5A1C" w:rsidRDefault="0093315E" w:rsidP="0093315E"/>
    <w:p w14:paraId="167CDBFE" w14:textId="780F4A8D" w:rsidR="0093315E" w:rsidRPr="00DA5A1C" w:rsidRDefault="006F2C86" w:rsidP="0093315E">
      <w:pPr>
        <w:rPr>
          <w:b/>
        </w:rPr>
      </w:pPr>
      <w:r w:rsidRPr="00DA5A1C">
        <w:rPr>
          <w:b/>
        </w:rPr>
        <w:t>16.</w:t>
      </w:r>
      <w:r w:rsidR="0093315E" w:rsidRPr="00DA5A1C">
        <w:t xml:space="preserve"> </w:t>
      </w:r>
      <w:r w:rsidR="0093315E" w:rsidRPr="00DA5A1C">
        <w:rPr>
          <w:b/>
        </w:rPr>
        <w:t xml:space="preserve">For collections of information whose results will be published, outline </w:t>
      </w:r>
      <w:r w:rsidR="0093315E" w:rsidRPr="00DA5A1C">
        <w:rPr>
          <w:b/>
          <w:u w:val="single"/>
        </w:rPr>
        <w:t>plans for tabulation and publication</w:t>
      </w:r>
      <w:r w:rsidR="0093315E" w:rsidRPr="00DA5A1C">
        <w:rPr>
          <w:b/>
        </w:rPr>
        <w:t xml:space="preserve">. </w:t>
      </w:r>
    </w:p>
    <w:p w14:paraId="4F10566C" w14:textId="77777777" w:rsidR="0093315E" w:rsidRPr="00DA5A1C" w:rsidRDefault="0093315E" w:rsidP="0093315E"/>
    <w:p w14:paraId="40D03B16" w14:textId="77777777" w:rsidR="0093315E" w:rsidRPr="00163726" w:rsidRDefault="00A54299" w:rsidP="0093315E">
      <w:pPr>
        <w:rPr>
          <w:sz w:val="22"/>
          <w:szCs w:val="22"/>
        </w:rPr>
      </w:pPr>
      <w:r w:rsidRPr="00163726">
        <w:rPr>
          <w:sz w:val="22"/>
          <w:szCs w:val="22"/>
        </w:rPr>
        <w:t xml:space="preserve">NASA does not </w:t>
      </w:r>
      <w:r w:rsidR="00F12371" w:rsidRPr="00163726">
        <w:rPr>
          <w:sz w:val="22"/>
          <w:szCs w:val="22"/>
        </w:rPr>
        <w:t xml:space="preserve">tabulate and </w:t>
      </w:r>
      <w:r w:rsidRPr="00163726">
        <w:rPr>
          <w:sz w:val="22"/>
          <w:szCs w:val="22"/>
        </w:rPr>
        <w:t xml:space="preserve">publish </w:t>
      </w:r>
      <w:r w:rsidR="00FE3977" w:rsidRPr="00163726">
        <w:rPr>
          <w:sz w:val="22"/>
          <w:szCs w:val="22"/>
        </w:rPr>
        <w:t xml:space="preserve">personal information collected from members of the public associated </w:t>
      </w:r>
      <w:r w:rsidR="00E56548" w:rsidRPr="00163726">
        <w:rPr>
          <w:sz w:val="22"/>
          <w:szCs w:val="22"/>
        </w:rPr>
        <w:t xml:space="preserve">covered by the PRA.  </w:t>
      </w:r>
      <w:r w:rsidR="00FE3977" w:rsidRPr="00163726">
        <w:rPr>
          <w:sz w:val="22"/>
          <w:szCs w:val="22"/>
        </w:rPr>
        <w:t xml:space="preserve"> </w:t>
      </w:r>
    </w:p>
    <w:p w14:paraId="0F778A45" w14:textId="77777777" w:rsidR="00FE3977" w:rsidRPr="00163726" w:rsidRDefault="00FE3977" w:rsidP="0093315E">
      <w:pPr>
        <w:rPr>
          <w:sz w:val="22"/>
          <w:szCs w:val="22"/>
        </w:rPr>
      </w:pPr>
    </w:p>
    <w:p w14:paraId="78003348" w14:textId="77777777" w:rsidR="00E56548" w:rsidRPr="00163726" w:rsidRDefault="00E56548" w:rsidP="0093315E">
      <w:pPr>
        <w:rPr>
          <w:sz w:val="22"/>
          <w:szCs w:val="22"/>
        </w:rPr>
      </w:pPr>
      <w:r w:rsidRPr="00163726">
        <w:rPr>
          <w:sz w:val="22"/>
          <w:szCs w:val="22"/>
        </w:rPr>
        <w:t>When required, NASA summarizes information such as the information identified in the link below:</w:t>
      </w:r>
    </w:p>
    <w:p w14:paraId="3ABC5687" w14:textId="77777777" w:rsidR="00E56548" w:rsidRPr="00163726" w:rsidRDefault="007A0A6F" w:rsidP="00E56548">
      <w:pPr>
        <w:rPr>
          <w:sz w:val="22"/>
          <w:szCs w:val="22"/>
        </w:rPr>
      </w:pPr>
      <w:hyperlink r:id="rId11" w:history="1">
        <w:r w:rsidR="00E56548" w:rsidRPr="00163726">
          <w:rPr>
            <w:rStyle w:val="Hyperlink"/>
            <w:color w:val="auto"/>
            <w:sz w:val="22"/>
            <w:szCs w:val="22"/>
          </w:rPr>
          <w:t>http://www.whitehouse.gov/sites/default/files/omb/assets/egov_docs/hspd-12_reporting_workbook_q2fy2013_status_report.pdf</w:t>
        </w:r>
      </w:hyperlink>
    </w:p>
    <w:p w14:paraId="345FE491" w14:textId="77777777" w:rsidR="00FE3977" w:rsidRPr="00DA5A1C" w:rsidRDefault="00FE3977" w:rsidP="0093315E">
      <w:pPr>
        <w:rPr>
          <w:color w:val="4F81BD" w:themeColor="accent1"/>
        </w:rPr>
      </w:pPr>
    </w:p>
    <w:p w14:paraId="358ADFB9" w14:textId="77777777" w:rsidR="0093315E" w:rsidRPr="00DA5A1C" w:rsidRDefault="006F2C86" w:rsidP="0093315E">
      <w:r w:rsidRPr="00DA5A1C">
        <w:rPr>
          <w:b/>
        </w:rPr>
        <w:t>17</w:t>
      </w:r>
      <w:r w:rsidR="0093315E" w:rsidRPr="00DA5A1C">
        <w:rPr>
          <w:b/>
        </w:rPr>
        <w:t>. If seeking approval to not display the expiration date for OMB approval of the information collection, explain the reasons that display would be inappropriate.</w:t>
      </w:r>
    </w:p>
    <w:p w14:paraId="2BB584E4" w14:textId="77777777" w:rsidR="0093315E" w:rsidRPr="00DA5A1C" w:rsidRDefault="0093315E" w:rsidP="0093315E"/>
    <w:p w14:paraId="2F0FC01A" w14:textId="77777777" w:rsidR="009B3C3D" w:rsidRDefault="00F12371" w:rsidP="0093315E">
      <w:pPr>
        <w:rPr>
          <w:sz w:val="22"/>
          <w:szCs w:val="22"/>
        </w:rPr>
      </w:pPr>
      <w:r w:rsidRPr="00163726">
        <w:rPr>
          <w:sz w:val="22"/>
          <w:szCs w:val="22"/>
        </w:rPr>
        <w:t xml:space="preserve">NASA </w:t>
      </w:r>
      <w:r w:rsidR="00E56548" w:rsidRPr="00163726">
        <w:rPr>
          <w:sz w:val="22"/>
          <w:szCs w:val="22"/>
        </w:rPr>
        <w:t xml:space="preserve">will </w:t>
      </w:r>
      <w:r w:rsidRPr="00163726">
        <w:rPr>
          <w:sz w:val="22"/>
          <w:szCs w:val="22"/>
        </w:rPr>
        <w:t>display the expiration date for OMB approval of the information collection</w:t>
      </w:r>
      <w:r w:rsidR="00163726">
        <w:rPr>
          <w:sz w:val="22"/>
          <w:szCs w:val="22"/>
        </w:rPr>
        <w:t xml:space="preserve"> </w:t>
      </w:r>
      <w:r w:rsidR="00163726" w:rsidRPr="00286CAA">
        <w:rPr>
          <w:sz w:val="22"/>
          <w:szCs w:val="22"/>
        </w:rPr>
        <w:t>within the PRA Statement</w:t>
      </w:r>
      <w:r w:rsidRPr="00286CAA">
        <w:rPr>
          <w:sz w:val="22"/>
          <w:szCs w:val="22"/>
        </w:rPr>
        <w:t>.</w:t>
      </w:r>
      <w:r w:rsidR="00E56548" w:rsidRPr="002166DB">
        <w:rPr>
          <w:color w:val="C00000"/>
          <w:sz w:val="22"/>
          <w:szCs w:val="22"/>
        </w:rPr>
        <w:t xml:space="preserve"> </w:t>
      </w:r>
      <w:r w:rsidR="00A520F2" w:rsidRPr="00163726">
        <w:rPr>
          <w:sz w:val="22"/>
          <w:szCs w:val="22"/>
        </w:rPr>
        <w:t>A sample screen shot is provided below:</w:t>
      </w:r>
      <w:r w:rsidR="009B3C3D">
        <w:rPr>
          <w:sz w:val="22"/>
          <w:szCs w:val="22"/>
        </w:rPr>
        <w:t xml:space="preserve"> </w:t>
      </w:r>
    </w:p>
    <w:p w14:paraId="3EA53C36" w14:textId="77777777" w:rsidR="009B3C3D" w:rsidRDefault="009B3C3D" w:rsidP="0093315E">
      <w:pPr>
        <w:rPr>
          <w:sz w:val="22"/>
          <w:szCs w:val="22"/>
        </w:rPr>
      </w:pPr>
    </w:p>
    <w:p w14:paraId="0C99D961" w14:textId="0A4971F3" w:rsidR="00537A5B" w:rsidRPr="00537A5B" w:rsidRDefault="00537A5B" w:rsidP="0093315E">
      <w:pPr>
        <w:rPr>
          <w:color w:val="FF0000"/>
          <w:sz w:val="22"/>
          <w:szCs w:val="22"/>
        </w:rPr>
      </w:pPr>
      <w:r>
        <w:rPr>
          <w:noProof/>
          <w:color w:val="FF0000"/>
          <w:sz w:val="22"/>
          <w:szCs w:val="22"/>
        </w:rPr>
        <w:drawing>
          <wp:inline distT="0" distB="0" distL="0" distR="0" wp14:anchorId="1088A45B" wp14:editId="6BB3AD4E">
            <wp:extent cx="5943600" cy="3649417"/>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649417"/>
                    </a:xfrm>
                    <a:prstGeom prst="rect">
                      <a:avLst/>
                    </a:prstGeom>
                    <a:noFill/>
                    <a:ln>
                      <a:noFill/>
                    </a:ln>
                  </pic:spPr>
                </pic:pic>
              </a:graphicData>
            </a:graphic>
          </wp:inline>
        </w:drawing>
      </w:r>
    </w:p>
    <w:p w14:paraId="5692CB66" w14:textId="77777777" w:rsidR="00A520F2" w:rsidRPr="00DA5A1C" w:rsidRDefault="00A520F2" w:rsidP="0093315E">
      <w:pPr>
        <w:rPr>
          <w:color w:val="4F81BD" w:themeColor="accent1"/>
        </w:rPr>
      </w:pPr>
    </w:p>
    <w:p w14:paraId="5891FAFE" w14:textId="77777777" w:rsidR="00A520F2" w:rsidRPr="00DA5A1C" w:rsidRDefault="00A520F2" w:rsidP="0093315E"/>
    <w:p w14:paraId="7356D489" w14:textId="77777777" w:rsidR="0093315E" w:rsidRPr="00DA5A1C" w:rsidRDefault="006F2C86" w:rsidP="0093315E">
      <w:pPr>
        <w:rPr>
          <w:b/>
        </w:rPr>
      </w:pPr>
      <w:r w:rsidRPr="00DA5A1C">
        <w:rPr>
          <w:b/>
        </w:rPr>
        <w:t xml:space="preserve">18. </w:t>
      </w:r>
      <w:r w:rsidR="0093315E" w:rsidRPr="00DA5A1C">
        <w:rPr>
          <w:b/>
        </w:rPr>
        <w:t>Explain each exception to the certification statement identified in Item 19, "Certification for</w:t>
      </w:r>
      <w:r w:rsidR="00287E23" w:rsidRPr="00DA5A1C">
        <w:rPr>
          <w:b/>
        </w:rPr>
        <w:t xml:space="preserve"> </w:t>
      </w:r>
      <w:r w:rsidR="0093315E" w:rsidRPr="00DA5A1C">
        <w:rPr>
          <w:b/>
        </w:rPr>
        <w:t>Paperwork Reduction Act Submissions," of OMB Form 83-I.</w:t>
      </w:r>
    </w:p>
    <w:p w14:paraId="65248C0B" w14:textId="77777777" w:rsidR="0093315E" w:rsidRPr="00DA5A1C" w:rsidRDefault="0093315E" w:rsidP="0093315E"/>
    <w:p w14:paraId="40A60231" w14:textId="7AECCDB9" w:rsidR="000C44B7" w:rsidRDefault="00D83A2F" w:rsidP="001F2C20">
      <w:r>
        <w:t>NASA does not take exception to the certification statement</w:t>
      </w:r>
      <w:r w:rsidR="000C44B7">
        <w:t xml:space="preserve">s </w:t>
      </w:r>
      <w:r w:rsidR="001F2C20">
        <w:t>in 5 CFR 1320.9</w:t>
      </w:r>
    </w:p>
    <w:p w14:paraId="66F25D29" w14:textId="77777777" w:rsidR="001F2C20" w:rsidRDefault="001F2C20" w:rsidP="001F2C20"/>
    <w:p w14:paraId="699D3E9F" w14:textId="2450247C" w:rsidR="001F2C20" w:rsidRPr="002166DB" w:rsidRDefault="001F2C20" w:rsidP="001F2C20">
      <w:r>
        <w:t>NASA Office of Protective Services/James Nicholas.</w:t>
      </w:r>
    </w:p>
    <w:p w14:paraId="74EAB244" w14:textId="77777777" w:rsidR="0093315E" w:rsidRPr="00DA5A1C" w:rsidRDefault="0093315E" w:rsidP="0093315E"/>
    <w:p w14:paraId="6AC5CFAA" w14:textId="77777777" w:rsidR="0093315E" w:rsidRPr="00DA5A1C" w:rsidRDefault="006F2C86" w:rsidP="0093315E">
      <w:pPr>
        <w:outlineLvl w:val="0"/>
        <w:rPr>
          <w:b/>
        </w:rPr>
      </w:pPr>
      <w:r w:rsidRPr="00DA5A1C">
        <w:rPr>
          <w:b/>
        </w:rPr>
        <w:t xml:space="preserve">B. </w:t>
      </w:r>
      <w:r w:rsidR="002D740F" w:rsidRPr="00DA5A1C">
        <w:rPr>
          <w:b/>
        </w:rPr>
        <w:t>COLLECTIONS OF INFORMATION EMPLOYING STATISTICAL METHODS</w:t>
      </w:r>
      <w:r w:rsidRPr="00DA5A1C">
        <w:rPr>
          <w:b/>
        </w:rPr>
        <w:t xml:space="preserve"> </w:t>
      </w:r>
    </w:p>
    <w:p w14:paraId="41BC9B6D" w14:textId="77777777" w:rsidR="00766F94" w:rsidRPr="00DA5A1C" w:rsidRDefault="00766F94" w:rsidP="0093315E">
      <w:pPr>
        <w:outlineLvl w:val="0"/>
      </w:pPr>
    </w:p>
    <w:p w14:paraId="7BA3895F" w14:textId="2217146D" w:rsidR="00766F94" w:rsidRPr="00DA5A1C" w:rsidRDefault="000C44B7" w:rsidP="0093315E">
      <w:pPr>
        <w:outlineLvl w:val="0"/>
      </w:pPr>
      <w:r>
        <w:t>Not applicable.</w:t>
      </w:r>
    </w:p>
    <w:sectPr w:rsidR="00766F94" w:rsidRPr="00DA5A1C" w:rsidSect="0093315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DC2B1" w14:textId="77777777" w:rsidR="00855B2A" w:rsidRDefault="00855B2A">
      <w:r>
        <w:separator/>
      </w:r>
    </w:p>
  </w:endnote>
  <w:endnote w:type="continuationSeparator" w:id="0">
    <w:p w14:paraId="4659245A" w14:textId="77777777" w:rsidR="00855B2A" w:rsidRDefault="0085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3E251" w14:textId="77777777" w:rsidR="009B3C3D" w:rsidRDefault="009B3C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8CF32" w14:textId="77777777" w:rsidR="00FB5B07" w:rsidRPr="00A8101B" w:rsidRDefault="00FB5B07">
    <w:pPr>
      <w:pStyle w:val="Footer"/>
      <w:rPr>
        <w:sz w:val="20"/>
        <w:szCs w:val="20"/>
      </w:rPr>
    </w:pPr>
    <w:r>
      <w:tab/>
    </w:r>
    <w:r w:rsidRPr="00A8101B">
      <w:rPr>
        <w:sz w:val="20"/>
        <w:szCs w:val="20"/>
      </w:rPr>
      <w:t xml:space="preserve">Page </w:t>
    </w:r>
    <w:r w:rsidRPr="00A8101B">
      <w:rPr>
        <w:rStyle w:val="PageNumber"/>
        <w:sz w:val="20"/>
        <w:szCs w:val="20"/>
      </w:rPr>
      <w:fldChar w:fldCharType="begin"/>
    </w:r>
    <w:r w:rsidRPr="00A8101B">
      <w:rPr>
        <w:rStyle w:val="PageNumber"/>
        <w:sz w:val="20"/>
        <w:szCs w:val="20"/>
      </w:rPr>
      <w:instrText xml:space="preserve"> PAGE </w:instrText>
    </w:r>
    <w:r w:rsidRPr="00A8101B">
      <w:rPr>
        <w:rStyle w:val="PageNumber"/>
        <w:sz w:val="20"/>
        <w:szCs w:val="20"/>
      </w:rPr>
      <w:fldChar w:fldCharType="separate"/>
    </w:r>
    <w:r w:rsidR="007A0A6F">
      <w:rPr>
        <w:rStyle w:val="PageNumber"/>
        <w:noProof/>
        <w:sz w:val="20"/>
        <w:szCs w:val="20"/>
      </w:rPr>
      <w:t>1</w:t>
    </w:r>
    <w:r w:rsidRPr="00A8101B">
      <w:rPr>
        <w:rStyle w:val="PageNumber"/>
        <w:sz w:val="20"/>
        <w:szCs w:val="20"/>
      </w:rPr>
      <w:fldChar w:fldCharType="end"/>
    </w:r>
    <w:r w:rsidRPr="00A8101B">
      <w:rPr>
        <w:rStyle w:val="PageNumber"/>
        <w:sz w:val="20"/>
        <w:szCs w:val="20"/>
      </w:rPr>
      <w:t xml:space="preserve"> of </w:t>
    </w:r>
    <w:r w:rsidRPr="00A8101B">
      <w:rPr>
        <w:rStyle w:val="PageNumber"/>
        <w:sz w:val="20"/>
        <w:szCs w:val="20"/>
      </w:rPr>
      <w:fldChar w:fldCharType="begin"/>
    </w:r>
    <w:r w:rsidRPr="00A8101B">
      <w:rPr>
        <w:rStyle w:val="PageNumber"/>
        <w:sz w:val="20"/>
        <w:szCs w:val="20"/>
      </w:rPr>
      <w:instrText xml:space="preserve"> NUMPAGES </w:instrText>
    </w:r>
    <w:r w:rsidRPr="00A8101B">
      <w:rPr>
        <w:rStyle w:val="PageNumber"/>
        <w:sz w:val="20"/>
        <w:szCs w:val="20"/>
      </w:rPr>
      <w:fldChar w:fldCharType="separate"/>
    </w:r>
    <w:r w:rsidR="007A0A6F">
      <w:rPr>
        <w:rStyle w:val="PageNumber"/>
        <w:noProof/>
        <w:sz w:val="20"/>
        <w:szCs w:val="20"/>
      </w:rPr>
      <w:t>3</w:t>
    </w:r>
    <w:r w:rsidRPr="00A8101B">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47E38" w14:textId="77777777" w:rsidR="009B3C3D" w:rsidRDefault="009B3C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B7CD9" w14:textId="77777777" w:rsidR="00855B2A" w:rsidRDefault="00855B2A">
      <w:r>
        <w:separator/>
      </w:r>
    </w:p>
  </w:footnote>
  <w:footnote w:type="continuationSeparator" w:id="0">
    <w:p w14:paraId="45B08C13" w14:textId="77777777" w:rsidR="00855B2A" w:rsidRDefault="00855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8FBEE" w14:textId="77777777" w:rsidR="009B3C3D" w:rsidRDefault="009B3C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02EC6" w14:textId="77777777" w:rsidR="00FB5B07" w:rsidRPr="009B3C3D" w:rsidRDefault="00FB5B07" w:rsidP="0093315E">
    <w:pPr>
      <w:jc w:val="center"/>
      <w:rPr>
        <w:b/>
        <w:sz w:val="22"/>
        <w:szCs w:val="22"/>
      </w:rPr>
    </w:pPr>
    <w:r w:rsidRPr="009B3C3D">
      <w:rPr>
        <w:b/>
        <w:sz w:val="22"/>
        <w:szCs w:val="22"/>
      </w:rPr>
      <w:t>Supporting Statement</w:t>
    </w:r>
  </w:p>
  <w:p w14:paraId="417F39AC" w14:textId="66336557" w:rsidR="00FB5B07" w:rsidRDefault="00FB5B07" w:rsidP="0093315E">
    <w:pPr>
      <w:jc w:val="center"/>
      <w:rPr>
        <w:b/>
        <w:sz w:val="28"/>
        <w:szCs w:val="28"/>
      </w:rPr>
    </w:pPr>
    <w:r>
      <w:rPr>
        <w:b/>
        <w:sz w:val="28"/>
        <w:szCs w:val="28"/>
      </w:rPr>
      <w:t>OMB Control Number 2700-</w:t>
    </w:r>
    <w:r w:rsidR="008C63A7">
      <w:rPr>
        <w:b/>
        <w:sz w:val="28"/>
        <w:szCs w:val="28"/>
      </w:rPr>
      <w:t>0153</w:t>
    </w:r>
  </w:p>
  <w:p w14:paraId="745DD47F" w14:textId="77777777" w:rsidR="009B3C3D" w:rsidRDefault="009B3C3D" w:rsidP="0093315E">
    <w:pPr>
      <w:jc w:val="center"/>
      <w:rPr>
        <w:b/>
        <w:sz w:val="28"/>
        <w:szCs w:val="28"/>
      </w:rPr>
    </w:pPr>
  </w:p>
  <w:p w14:paraId="48D449DC" w14:textId="0C09422C" w:rsidR="00FB5B07" w:rsidRPr="003401A2" w:rsidRDefault="00FB5B07" w:rsidP="0093315E">
    <w:pPr>
      <w:jc w:val="center"/>
      <w:rPr>
        <w:rFonts w:ascii="Brush Script MT" w:hAnsi="Brush Script MT"/>
        <w:b/>
        <w:sz w:val="28"/>
        <w:szCs w:val="28"/>
      </w:rPr>
    </w:pPr>
    <w:r>
      <w:rPr>
        <w:b/>
        <w:sz w:val="28"/>
        <w:szCs w:val="28"/>
      </w:rPr>
      <w:t>Personal Identity Verification for Routine and Intermittent Access to NASA Facilities, Sites, and Information Systems</w:t>
    </w:r>
  </w:p>
  <w:p w14:paraId="1322569D" w14:textId="77777777" w:rsidR="00FB5B07" w:rsidRDefault="00FB5B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F52F8" w14:textId="77777777" w:rsidR="009B3C3D" w:rsidRDefault="009B3C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551F"/>
    <w:multiLevelType w:val="multilevel"/>
    <w:tmpl w:val="68A4CC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00D11"/>
    <w:multiLevelType w:val="hybridMultilevel"/>
    <w:tmpl w:val="0E005B52"/>
    <w:lvl w:ilvl="0" w:tplc="E8189502">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0A4567"/>
    <w:multiLevelType w:val="hybridMultilevel"/>
    <w:tmpl w:val="8BBE7D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4661AA"/>
    <w:multiLevelType w:val="multilevel"/>
    <w:tmpl w:val="F62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1679B5"/>
    <w:multiLevelType w:val="hybridMultilevel"/>
    <w:tmpl w:val="215C1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F8F48EF"/>
    <w:multiLevelType w:val="hybridMultilevel"/>
    <w:tmpl w:val="BD141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5467AB6"/>
    <w:multiLevelType w:val="hybridMultilevel"/>
    <w:tmpl w:val="90B4D7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A0A42FE"/>
    <w:multiLevelType w:val="hybridMultilevel"/>
    <w:tmpl w:val="B7A6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8D7175E"/>
    <w:multiLevelType w:val="hybridMultilevel"/>
    <w:tmpl w:val="579C5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8"/>
  </w:num>
  <w:num w:numId="6">
    <w:abstractNumId w:val="7"/>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670"/>
    <w:rsid w:val="00020324"/>
    <w:rsid w:val="00026472"/>
    <w:rsid w:val="0002767A"/>
    <w:rsid w:val="00037E40"/>
    <w:rsid w:val="00090743"/>
    <w:rsid w:val="000C44B7"/>
    <w:rsid w:val="000F0EB3"/>
    <w:rsid w:val="00150DAB"/>
    <w:rsid w:val="00163726"/>
    <w:rsid w:val="00166D3A"/>
    <w:rsid w:val="0018772E"/>
    <w:rsid w:val="001946A7"/>
    <w:rsid w:val="001D1C75"/>
    <w:rsid w:val="001F2C20"/>
    <w:rsid w:val="001F7614"/>
    <w:rsid w:val="00212F7E"/>
    <w:rsid w:val="002166DB"/>
    <w:rsid w:val="00220E3F"/>
    <w:rsid w:val="00227F4C"/>
    <w:rsid w:val="00243B78"/>
    <w:rsid w:val="002625EB"/>
    <w:rsid w:val="00286CAA"/>
    <w:rsid w:val="00287E23"/>
    <w:rsid w:val="00291F9D"/>
    <w:rsid w:val="002A0775"/>
    <w:rsid w:val="002D740F"/>
    <w:rsid w:val="00310EFA"/>
    <w:rsid w:val="003343D8"/>
    <w:rsid w:val="00351158"/>
    <w:rsid w:val="003511FD"/>
    <w:rsid w:val="003566D9"/>
    <w:rsid w:val="00375C0A"/>
    <w:rsid w:val="00384E2A"/>
    <w:rsid w:val="00386880"/>
    <w:rsid w:val="003932B4"/>
    <w:rsid w:val="003A06F2"/>
    <w:rsid w:val="003C224F"/>
    <w:rsid w:val="00403851"/>
    <w:rsid w:val="004313A6"/>
    <w:rsid w:val="00464EA7"/>
    <w:rsid w:val="004B6AC2"/>
    <w:rsid w:val="004C2116"/>
    <w:rsid w:val="004D155C"/>
    <w:rsid w:val="004E0F19"/>
    <w:rsid w:val="004E5559"/>
    <w:rsid w:val="004E5DD3"/>
    <w:rsid w:val="00516A7A"/>
    <w:rsid w:val="0052426C"/>
    <w:rsid w:val="005308B4"/>
    <w:rsid w:val="00530E7D"/>
    <w:rsid w:val="00533A7B"/>
    <w:rsid w:val="00537A5B"/>
    <w:rsid w:val="00544501"/>
    <w:rsid w:val="0057319D"/>
    <w:rsid w:val="00577673"/>
    <w:rsid w:val="00580BD0"/>
    <w:rsid w:val="005A70F3"/>
    <w:rsid w:val="005C356D"/>
    <w:rsid w:val="005C6627"/>
    <w:rsid w:val="005F3BB8"/>
    <w:rsid w:val="006062DB"/>
    <w:rsid w:val="0066125B"/>
    <w:rsid w:val="00665957"/>
    <w:rsid w:val="00673D33"/>
    <w:rsid w:val="00675171"/>
    <w:rsid w:val="00675670"/>
    <w:rsid w:val="00675707"/>
    <w:rsid w:val="00684663"/>
    <w:rsid w:val="006A081F"/>
    <w:rsid w:val="006A24A6"/>
    <w:rsid w:val="006D4B92"/>
    <w:rsid w:val="006F2C86"/>
    <w:rsid w:val="006F2EFA"/>
    <w:rsid w:val="006F473C"/>
    <w:rsid w:val="007054D6"/>
    <w:rsid w:val="007073D4"/>
    <w:rsid w:val="00730ED9"/>
    <w:rsid w:val="00750F9A"/>
    <w:rsid w:val="00763DE6"/>
    <w:rsid w:val="00766F94"/>
    <w:rsid w:val="007731EE"/>
    <w:rsid w:val="00777372"/>
    <w:rsid w:val="00780131"/>
    <w:rsid w:val="007A0A6F"/>
    <w:rsid w:val="007A2295"/>
    <w:rsid w:val="007A3F2C"/>
    <w:rsid w:val="007A7308"/>
    <w:rsid w:val="007B7A12"/>
    <w:rsid w:val="007C6A67"/>
    <w:rsid w:val="0081693C"/>
    <w:rsid w:val="00831B19"/>
    <w:rsid w:val="00841B23"/>
    <w:rsid w:val="00844468"/>
    <w:rsid w:val="00850545"/>
    <w:rsid w:val="008533B1"/>
    <w:rsid w:val="00855B2A"/>
    <w:rsid w:val="00855BA7"/>
    <w:rsid w:val="008616AD"/>
    <w:rsid w:val="008632F7"/>
    <w:rsid w:val="00875BD3"/>
    <w:rsid w:val="00880956"/>
    <w:rsid w:val="00890F42"/>
    <w:rsid w:val="008A5CA2"/>
    <w:rsid w:val="008C21E9"/>
    <w:rsid w:val="008C63A7"/>
    <w:rsid w:val="008D2B92"/>
    <w:rsid w:val="008F0502"/>
    <w:rsid w:val="0090455D"/>
    <w:rsid w:val="0093315E"/>
    <w:rsid w:val="00950A6E"/>
    <w:rsid w:val="00960A6B"/>
    <w:rsid w:val="00964691"/>
    <w:rsid w:val="00964CCE"/>
    <w:rsid w:val="00990AF1"/>
    <w:rsid w:val="009A02E3"/>
    <w:rsid w:val="009A4424"/>
    <w:rsid w:val="009A6B88"/>
    <w:rsid w:val="009B3C3D"/>
    <w:rsid w:val="009E411D"/>
    <w:rsid w:val="009F080E"/>
    <w:rsid w:val="009F2D16"/>
    <w:rsid w:val="009F6138"/>
    <w:rsid w:val="00A35473"/>
    <w:rsid w:val="00A520F2"/>
    <w:rsid w:val="00A54299"/>
    <w:rsid w:val="00A55DF4"/>
    <w:rsid w:val="00A57B18"/>
    <w:rsid w:val="00AA2368"/>
    <w:rsid w:val="00AA7BB0"/>
    <w:rsid w:val="00AB0F8E"/>
    <w:rsid w:val="00AB4888"/>
    <w:rsid w:val="00AD030B"/>
    <w:rsid w:val="00B1552A"/>
    <w:rsid w:val="00B23DE5"/>
    <w:rsid w:val="00B56D97"/>
    <w:rsid w:val="00BD5C9E"/>
    <w:rsid w:val="00BD7CAE"/>
    <w:rsid w:val="00BE297E"/>
    <w:rsid w:val="00BE5574"/>
    <w:rsid w:val="00BE78ED"/>
    <w:rsid w:val="00C056A9"/>
    <w:rsid w:val="00C057B9"/>
    <w:rsid w:val="00C11D6F"/>
    <w:rsid w:val="00C1772C"/>
    <w:rsid w:val="00C42212"/>
    <w:rsid w:val="00C45C41"/>
    <w:rsid w:val="00C47EE5"/>
    <w:rsid w:val="00C60C30"/>
    <w:rsid w:val="00C64055"/>
    <w:rsid w:val="00C7105A"/>
    <w:rsid w:val="00C95ABA"/>
    <w:rsid w:val="00CC2059"/>
    <w:rsid w:val="00CE67B3"/>
    <w:rsid w:val="00D15B54"/>
    <w:rsid w:val="00D209CB"/>
    <w:rsid w:val="00D24E58"/>
    <w:rsid w:val="00D40843"/>
    <w:rsid w:val="00D540E7"/>
    <w:rsid w:val="00D81261"/>
    <w:rsid w:val="00D83A2F"/>
    <w:rsid w:val="00DA2044"/>
    <w:rsid w:val="00DA5A1C"/>
    <w:rsid w:val="00DB4928"/>
    <w:rsid w:val="00DC508A"/>
    <w:rsid w:val="00E40155"/>
    <w:rsid w:val="00E56548"/>
    <w:rsid w:val="00E72D2C"/>
    <w:rsid w:val="00E9081C"/>
    <w:rsid w:val="00E90DFC"/>
    <w:rsid w:val="00E94C4A"/>
    <w:rsid w:val="00EA1A40"/>
    <w:rsid w:val="00EA432B"/>
    <w:rsid w:val="00ED3AEE"/>
    <w:rsid w:val="00F041CC"/>
    <w:rsid w:val="00F12371"/>
    <w:rsid w:val="00F143F9"/>
    <w:rsid w:val="00F54211"/>
    <w:rsid w:val="00F866AB"/>
    <w:rsid w:val="00F9033A"/>
    <w:rsid w:val="00F90991"/>
    <w:rsid w:val="00FA3B27"/>
    <w:rsid w:val="00FA67AE"/>
    <w:rsid w:val="00FB48CC"/>
    <w:rsid w:val="00FB5B07"/>
    <w:rsid w:val="00FC53C8"/>
    <w:rsid w:val="00FE2DBF"/>
    <w:rsid w:val="00FE3977"/>
    <w:rsid w:val="00FE6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1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uiPriority w:val="99"/>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customStyle="1" w:styleId="Default">
    <w:name w:val="Default"/>
    <w:rsid w:val="006A081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123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6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75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75670"/>
    <w:pPr>
      <w:tabs>
        <w:tab w:val="center" w:pos="4320"/>
        <w:tab w:val="right" w:pos="8640"/>
      </w:tabs>
    </w:pPr>
  </w:style>
  <w:style w:type="paragraph" w:styleId="Footer">
    <w:name w:val="footer"/>
    <w:basedOn w:val="Normal"/>
    <w:rsid w:val="00675670"/>
    <w:pPr>
      <w:tabs>
        <w:tab w:val="center" w:pos="4320"/>
        <w:tab w:val="right" w:pos="8640"/>
      </w:tabs>
    </w:pPr>
  </w:style>
  <w:style w:type="character" w:styleId="CommentReference">
    <w:name w:val="annotation reference"/>
    <w:basedOn w:val="DefaultParagraphFont"/>
    <w:semiHidden/>
    <w:rsid w:val="008006BF"/>
    <w:rPr>
      <w:sz w:val="16"/>
      <w:szCs w:val="16"/>
    </w:rPr>
  </w:style>
  <w:style w:type="paragraph" w:styleId="CommentText">
    <w:name w:val="annotation text"/>
    <w:basedOn w:val="Normal"/>
    <w:semiHidden/>
    <w:rsid w:val="008006BF"/>
    <w:rPr>
      <w:sz w:val="20"/>
      <w:szCs w:val="20"/>
    </w:rPr>
  </w:style>
  <w:style w:type="paragraph" w:styleId="CommentSubject">
    <w:name w:val="annotation subject"/>
    <w:basedOn w:val="CommentText"/>
    <w:next w:val="CommentText"/>
    <w:semiHidden/>
    <w:rsid w:val="008006BF"/>
    <w:rPr>
      <w:b/>
      <w:bCs/>
    </w:rPr>
  </w:style>
  <w:style w:type="paragraph" w:styleId="BalloonText">
    <w:name w:val="Balloon Text"/>
    <w:basedOn w:val="Normal"/>
    <w:semiHidden/>
    <w:rsid w:val="008006BF"/>
    <w:rPr>
      <w:rFonts w:ascii="Tahoma" w:hAnsi="Tahoma" w:cs="Tahoma"/>
      <w:sz w:val="16"/>
      <w:szCs w:val="16"/>
    </w:rPr>
  </w:style>
  <w:style w:type="character" w:styleId="PageNumber">
    <w:name w:val="page number"/>
    <w:basedOn w:val="DefaultParagraphFont"/>
    <w:rsid w:val="00A8101B"/>
  </w:style>
  <w:style w:type="character" w:styleId="Hyperlink">
    <w:name w:val="Hyperlink"/>
    <w:basedOn w:val="DefaultParagraphFont"/>
    <w:uiPriority w:val="99"/>
    <w:rsid w:val="00EF2A45"/>
    <w:rPr>
      <w:color w:val="0000FF"/>
      <w:u w:val="single"/>
    </w:rPr>
  </w:style>
  <w:style w:type="paragraph" w:styleId="DocumentMap">
    <w:name w:val="Document Map"/>
    <w:basedOn w:val="Normal"/>
    <w:semiHidden/>
    <w:rsid w:val="00DD54DE"/>
    <w:pPr>
      <w:shd w:val="clear" w:color="auto" w:fill="000080"/>
    </w:pPr>
    <w:rPr>
      <w:rFonts w:ascii="Tahoma" w:hAnsi="Tahoma" w:cs="Tahoma"/>
      <w:sz w:val="20"/>
      <w:szCs w:val="20"/>
    </w:rPr>
  </w:style>
  <w:style w:type="character" w:customStyle="1" w:styleId="ptext-2">
    <w:name w:val="ptext-2"/>
    <w:basedOn w:val="DefaultParagraphFont"/>
    <w:rsid w:val="00FC53C8"/>
    <w:rPr>
      <w:b w:val="0"/>
      <w:bCs w:val="0"/>
      <w:sz w:val="20"/>
      <w:szCs w:val="20"/>
    </w:rPr>
  </w:style>
  <w:style w:type="character" w:customStyle="1" w:styleId="ptext-3">
    <w:name w:val="ptext-3"/>
    <w:basedOn w:val="DefaultParagraphFont"/>
    <w:rsid w:val="00FC53C8"/>
    <w:rPr>
      <w:b w:val="0"/>
      <w:bCs w:val="0"/>
      <w:sz w:val="20"/>
      <w:szCs w:val="20"/>
    </w:rPr>
  </w:style>
  <w:style w:type="paragraph" w:styleId="HTMLPreformatted">
    <w:name w:val="HTML Preformatted"/>
    <w:basedOn w:val="Normal"/>
    <w:rsid w:val="00FC53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basedOn w:val="DefaultParagraphFont"/>
    <w:qFormat/>
    <w:rsid w:val="00FC53C8"/>
    <w:rPr>
      <w:i/>
      <w:iCs/>
    </w:rPr>
  </w:style>
  <w:style w:type="paragraph" w:customStyle="1" w:styleId="pindented2">
    <w:name w:val="pindented2"/>
    <w:basedOn w:val="Normal"/>
    <w:rsid w:val="00FC53C8"/>
    <w:pPr>
      <w:spacing w:line="288" w:lineRule="auto"/>
      <w:ind w:firstLine="720"/>
    </w:pPr>
    <w:rPr>
      <w:rFonts w:ascii="Arial" w:hAnsi="Arial" w:cs="Arial"/>
      <w:color w:val="000000"/>
      <w:sz w:val="20"/>
      <w:szCs w:val="20"/>
    </w:rPr>
  </w:style>
  <w:style w:type="paragraph" w:customStyle="1" w:styleId="pindented3">
    <w:name w:val="pindented3"/>
    <w:basedOn w:val="Normal"/>
    <w:rsid w:val="00FC53C8"/>
    <w:pPr>
      <w:spacing w:line="288" w:lineRule="auto"/>
      <w:ind w:firstLine="960"/>
    </w:pPr>
    <w:rPr>
      <w:rFonts w:ascii="Arial" w:hAnsi="Arial" w:cs="Arial"/>
      <w:color w:val="000000"/>
      <w:sz w:val="20"/>
      <w:szCs w:val="20"/>
    </w:rPr>
  </w:style>
  <w:style w:type="paragraph" w:customStyle="1" w:styleId="pindented4">
    <w:name w:val="pindented4"/>
    <w:basedOn w:val="Normal"/>
    <w:rsid w:val="00FC53C8"/>
    <w:pPr>
      <w:spacing w:line="288" w:lineRule="auto"/>
      <w:ind w:firstLine="1200"/>
    </w:pPr>
    <w:rPr>
      <w:rFonts w:ascii="Arial" w:hAnsi="Arial" w:cs="Arial"/>
      <w:color w:val="000000"/>
      <w:sz w:val="20"/>
      <w:szCs w:val="20"/>
    </w:rPr>
  </w:style>
  <w:style w:type="paragraph" w:customStyle="1" w:styleId="pbody">
    <w:name w:val="pbody"/>
    <w:basedOn w:val="Normal"/>
    <w:rsid w:val="00FC53C8"/>
    <w:pPr>
      <w:spacing w:line="288" w:lineRule="auto"/>
      <w:ind w:firstLine="240"/>
    </w:pPr>
    <w:rPr>
      <w:rFonts w:ascii="Arial" w:hAnsi="Arial" w:cs="Arial"/>
      <w:color w:val="000000"/>
      <w:sz w:val="20"/>
      <w:szCs w:val="20"/>
    </w:rPr>
  </w:style>
  <w:style w:type="paragraph" w:styleId="ListParagraph">
    <w:name w:val="List Paragraph"/>
    <w:basedOn w:val="Normal"/>
    <w:uiPriority w:val="34"/>
    <w:qFormat/>
    <w:rsid w:val="0081693C"/>
    <w:pPr>
      <w:ind w:left="720"/>
      <w:contextualSpacing/>
    </w:pPr>
  </w:style>
  <w:style w:type="paragraph" w:customStyle="1" w:styleId="Default">
    <w:name w:val="Default"/>
    <w:rsid w:val="006A081F"/>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rsid w:val="00F123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855233">
      <w:bodyDiv w:val="1"/>
      <w:marLeft w:val="0"/>
      <w:marRight w:val="0"/>
      <w:marTop w:val="0"/>
      <w:marBottom w:val="0"/>
      <w:divBdr>
        <w:top w:val="none" w:sz="0" w:space="0" w:color="auto"/>
        <w:left w:val="none" w:sz="0" w:space="0" w:color="auto"/>
        <w:bottom w:val="none" w:sz="0" w:space="0" w:color="auto"/>
        <w:right w:val="none" w:sz="0" w:space="0" w:color="auto"/>
      </w:divBdr>
    </w:div>
    <w:div w:id="1309244667">
      <w:bodyDiv w:val="1"/>
      <w:marLeft w:val="0"/>
      <w:marRight w:val="0"/>
      <w:marTop w:val="0"/>
      <w:marBottom w:val="0"/>
      <w:divBdr>
        <w:top w:val="none" w:sz="0" w:space="0" w:color="auto"/>
        <w:left w:val="none" w:sz="0" w:space="0" w:color="auto"/>
        <w:bottom w:val="none" w:sz="0" w:space="0" w:color="auto"/>
        <w:right w:val="none" w:sz="0" w:space="0" w:color="auto"/>
      </w:divBdr>
    </w:div>
    <w:div w:id="1465001596">
      <w:bodyDiv w:val="1"/>
      <w:marLeft w:val="0"/>
      <w:marRight w:val="0"/>
      <w:marTop w:val="0"/>
      <w:marBottom w:val="0"/>
      <w:divBdr>
        <w:top w:val="none" w:sz="0" w:space="0" w:color="auto"/>
        <w:left w:val="none" w:sz="0" w:space="0" w:color="auto"/>
        <w:bottom w:val="none" w:sz="0" w:space="0" w:color="auto"/>
        <w:right w:val="none" w:sz="0" w:space="0" w:color="auto"/>
      </w:divBdr>
      <w:divsChild>
        <w:div w:id="1487093309">
          <w:marLeft w:val="0"/>
          <w:marRight w:val="0"/>
          <w:marTop w:val="0"/>
          <w:marBottom w:val="0"/>
          <w:divBdr>
            <w:top w:val="none" w:sz="0" w:space="0" w:color="auto"/>
            <w:left w:val="none" w:sz="0" w:space="0" w:color="auto"/>
            <w:bottom w:val="none" w:sz="0" w:space="0" w:color="auto"/>
            <w:right w:val="none" w:sz="0" w:space="0" w:color="auto"/>
          </w:divBdr>
          <w:divsChild>
            <w:div w:id="2007439471">
              <w:marLeft w:val="0"/>
              <w:marRight w:val="0"/>
              <w:marTop w:val="0"/>
              <w:marBottom w:val="0"/>
              <w:divBdr>
                <w:top w:val="none" w:sz="0" w:space="0" w:color="auto"/>
                <w:left w:val="none" w:sz="0" w:space="0" w:color="auto"/>
                <w:bottom w:val="none" w:sz="0" w:space="0" w:color="auto"/>
                <w:right w:val="none" w:sz="0" w:space="0" w:color="auto"/>
              </w:divBdr>
              <w:divsChild>
                <w:div w:id="610556657">
                  <w:marLeft w:val="0"/>
                  <w:marRight w:val="0"/>
                  <w:marTop w:val="0"/>
                  <w:marBottom w:val="0"/>
                  <w:divBdr>
                    <w:top w:val="none" w:sz="0" w:space="0" w:color="auto"/>
                    <w:left w:val="none" w:sz="0" w:space="0" w:color="auto"/>
                    <w:bottom w:val="none" w:sz="0" w:space="0" w:color="auto"/>
                    <w:right w:val="none" w:sz="0" w:space="0" w:color="auto"/>
                  </w:divBdr>
                  <w:divsChild>
                    <w:div w:id="727068840">
                      <w:marLeft w:val="150"/>
                      <w:marRight w:val="150"/>
                      <w:marTop w:val="0"/>
                      <w:marBottom w:val="0"/>
                      <w:divBdr>
                        <w:top w:val="none" w:sz="0" w:space="0" w:color="auto"/>
                        <w:left w:val="none" w:sz="0" w:space="0" w:color="auto"/>
                        <w:bottom w:val="none" w:sz="0" w:space="0" w:color="auto"/>
                        <w:right w:val="none" w:sz="0" w:space="0" w:color="auto"/>
                      </w:divBdr>
                      <w:divsChild>
                        <w:div w:id="503713133">
                          <w:marLeft w:val="0"/>
                          <w:marRight w:val="0"/>
                          <w:marTop w:val="0"/>
                          <w:marBottom w:val="0"/>
                          <w:divBdr>
                            <w:top w:val="none" w:sz="0" w:space="0" w:color="auto"/>
                            <w:left w:val="none" w:sz="0" w:space="0" w:color="auto"/>
                            <w:bottom w:val="none" w:sz="0" w:space="0" w:color="auto"/>
                            <w:right w:val="none" w:sz="0" w:space="0" w:color="auto"/>
                          </w:divBdr>
                          <w:divsChild>
                            <w:div w:id="1364743952">
                              <w:marLeft w:val="0"/>
                              <w:marRight w:val="0"/>
                              <w:marTop w:val="0"/>
                              <w:marBottom w:val="0"/>
                              <w:divBdr>
                                <w:top w:val="none" w:sz="0" w:space="0" w:color="auto"/>
                                <w:left w:val="none" w:sz="0" w:space="0" w:color="auto"/>
                                <w:bottom w:val="none" w:sz="0" w:space="0" w:color="auto"/>
                                <w:right w:val="none" w:sz="0" w:space="0" w:color="auto"/>
                              </w:divBdr>
                              <w:divsChild>
                                <w:div w:id="774177597">
                                  <w:marLeft w:val="0"/>
                                  <w:marRight w:val="0"/>
                                  <w:marTop w:val="0"/>
                                  <w:marBottom w:val="0"/>
                                  <w:divBdr>
                                    <w:top w:val="none" w:sz="0" w:space="0" w:color="auto"/>
                                    <w:left w:val="none" w:sz="0" w:space="0" w:color="auto"/>
                                    <w:bottom w:val="none" w:sz="0" w:space="0" w:color="auto"/>
                                    <w:right w:val="none" w:sz="0" w:space="0" w:color="auto"/>
                                  </w:divBdr>
                                  <w:divsChild>
                                    <w:div w:id="1797792752">
                                      <w:marLeft w:val="0"/>
                                      <w:marRight w:val="0"/>
                                      <w:marTop w:val="0"/>
                                      <w:marBottom w:val="0"/>
                                      <w:divBdr>
                                        <w:top w:val="none" w:sz="0" w:space="0" w:color="auto"/>
                                        <w:left w:val="none" w:sz="0" w:space="0" w:color="auto"/>
                                        <w:bottom w:val="none" w:sz="0" w:space="0" w:color="auto"/>
                                        <w:right w:val="none" w:sz="0" w:space="0" w:color="auto"/>
                                      </w:divBdr>
                                      <w:divsChild>
                                        <w:div w:id="8078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itehouse.gov/sites/default/files/omb/assets/egov_docs/hspd-12_reporting_workbook_q2fy2013_status_report.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asa.gov/privacy/nasa_sorn_10SECR.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hitehouse.gov/sites/default/files/omb/assets/egov_docs/hspd-12_reporting_workbook_q2fy2013_status_report.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2451-03F2-4ACA-A69C-E7A5C525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During FY07, FY08, and FY09 the NASA-sponsored Classroom of the Future (COTF) will study how much people learn (assessment of learning in games) and how people feel (flow) while playing computer games</vt:lpstr>
    </vt:vector>
  </TitlesOfParts>
  <Company>NASA/ODIN</Company>
  <LinksUpToDate>false</LinksUpToDate>
  <CharactersWithSpaces>14219</CharactersWithSpaces>
  <SharedDoc>false</SharedDoc>
  <HLinks>
    <vt:vector size="12" baseType="variant">
      <vt:variant>
        <vt:i4>4915272</vt:i4>
      </vt:variant>
      <vt:variant>
        <vt:i4>3</vt:i4>
      </vt:variant>
      <vt:variant>
        <vt:i4>0</vt:i4>
      </vt:variant>
      <vt:variant>
        <vt:i4>5</vt:i4>
      </vt:variant>
      <vt:variant>
        <vt:lpwstr>http://www.arnet.gov/far/current/html/FARTOCP12.html</vt:lpwstr>
      </vt:variant>
      <vt:variant>
        <vt:lpwstr>wp1033864</vt:lpwstr>
      </vt:variant>
      <vt:variant>
        <vt:i4>131192</vt:i4>
      </vt:variant>
      <vt:variant>
        <vt:i4>0</vt:i4>
      </vt:variant>
      <vt:variant>
        <vt:i4>0</vt:i4>
      </vt:variant>
      <vt:variant>
        <vt:i4>5</vt:i4>
      </vt:variant>
      <vt:variant>
        <vt:lpwstr>http://www.arnet.gov/far/current/html/52_245.html</vt:lpwstr>
      </vt:variant>
      <vt:variant>
        <vt:lpwstr>wp1149752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During FY07, FY08, and FY09 the NASA-sponsored Classroom of the Future (COTF) will study how much people learn (assessment of learning in games) and how people feel (flow) while playing computer games</dc:title>
  <dc:creator>Debbie Denise Reese, Ph.D.</dc:creator>
  <cp:lastModifiedBy>SYSTEM</cp:lastModifiedBy>
  <cp:revision>2</cp:revision>
  <cp:lastPrinted>2014-07-10T21:18:00Z</cp:lastPrinted>
  <dcterms:created xsi:type="dcterms:W3CDTF">2017-08-01T16:54:00Z</dcterms:created>
  <dcterms:modified xsi:type="dcterms:W3CDTF">2017-08-01T16:54:00Z</dcterms:modified>
</cp:coreProperties>
</file>