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5267"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bookmarkStart w:id="0" w:name="_GoBack"/>
      <w:bookmarkEnd w:id="0"/>
      <w:r w:rsidRPr="005D591A">
        <w:rPr>
          <w:rFonts w:ascii="Times New Roman" w:hAnsi="Times New Roman"/>
          <w:b/>
          <w:bCs/>
        </w:rPr>
        <w:t>SUPPORTING STATEMENT</w:t>
      </w:r>
    </w:p>
    <w:p w14:paraId="5EA85268"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Department of Commerce</w:t>
      </w:r>
    </w:p>
    <w:p w14:paraId="5EA85269" w14:textId="21407B9C" w:rsidR="00FE0141"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Census Bureau</w:t>
      </w:r>
    </w:p>
    <w:p w14:paraId="5EA8526A" w14:textId="5336D14A" w:rsidR="00FE0141" w:rsidRPr="001B0917" w:rsidRDefault="003143E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201</w:t>
      </w:r>
      <w:r w:rsidR="005B455A">
        <w:rPr>
          <w:rFonts w:ascii="Times New Roman" w:hAnsi="Times New Roman"/>
          <w:b/>
          <w:bCs/>
        </w:rPr>
        <w:t xml:space="preserve">8 </w:t>
      </w:r>
      <w:r w:rsidRPr="001B0917">
        <w:rPr>
          <w:rFonts w:ascii="Times New Roman" w:hAnsi="Times New Roman"/>
          <w:b/>
          <w:bCs/>
        </w:rPr>
        <w:t xml:space="preserve">Survey of Income </w:t>
      </w:r>
      <w:r w:rsidR="00130C1B">
        <w:rPr>
          <w:rFonts w:ascii="Times New Roman" w:hAnsi="Times New Roman"/>
          <w:b/>
          <w:bCs/>
        </w:rPr>
        <w:t>and</w:t>
      </w:r>
      <w:r w:rsidRPr="001B0917">
        <w:rPr>
          <w:rFonts w:ascii="Times New Roman" w:hAnsi="Times New Roman"/>
          <w:b/>
          <w:bCs/>
        </w:rPr>
        <w:t xml:space="preserve"> Program Participation</w:t>
      </w:r>
      <w:r w:rsidR="00994B3C">
        <w:rPr>
          <w:rFonts w:ascii="Times New Roman" w:hAnsi="Times New Roman"/>
          <w:b/>
          <w:bCs/>
        </w:rPr>
        <w:t xml:space="preserve"> </w:t>
      </w:r>
      <w:r w:rsidR="0027523F">
        <w:rPr>
          <w:rFonts w:ascii="Times New Roman" w:hAnsi="Times New Roman"/>
          <w:b/>
          <w:bCs/>
        </w:rPr>
        <w:t>Panel</w:t>
      </w:r>
      <w:r w:rsidR="00AE561E">
        <w:rPr>
          <w:rFonts w:ascii="Times New Roman" w:hAnsi="Times New Roman"/>
          <w:b/>
          <w:bCs/>
        </w:rPr>
        <w:t xml:space="preserve"> </w:t>
      </w:r>
    </w:p>
    <w:p w14:paraId="5EA8526C" w14:textId="5B3EDBED" w:rsidR="00FE0141" w:rsidRDefault="00434DB3" w:rsidP="00434D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sidRPr="00434DB3">
        <w:rPr>
          <w:rFonts w:ascii="Times New Roman" w:hAnsi="Times New Roman"/>
          <w:b/>
          <w:bCs/>
        </w:rPr>
        <w:t>OMB Control No. 0607-</w:t>
      </w:r>
      <w:r w:rsidR="00D177E2">
        <w:rPr>
          <w:rFonts w:ascii="Times New Roman" w:hAnsi="Times New Roman"/>
          <w:b/>
          <w:bCs/>
        </w:rPr>
        <w:t>XXXX</w:t>
      </w:r>
    </w:p>
    <w:p w14:paraId="2406D1C7" w14:textId="77777777" w:rsidR="00434DB3" w:rsidRPr="00A83BF4" w:rsidRDefault="00434DB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D" w14:textId="77777777" w:rsidR="00FE0141" w:rsidRPr="00A83BF4"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D63FF8">
        <w:rPr>
          <w:rFonts w:ascii="Times New Roman" w:hAnsi="Times New Roman"/>
          <w:b/>
        </w:rPr>
        <w:t>A.</w:t>
      </w:r>
      <w:r w:rsidRPr="00D63FF8">
        <w:rPr>
          <w:rFonts w:ascii="Times New Roman" w:hAnsi="Times New Roman"/>
          <w:b/>
        </w:rPr>
        <w:tab/>
        <w:t>Justification</w:t>
      </w:r>
    </w:p>
    <w:p w14:paraId="5EA8526E"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F" w14:textId="77777777" w:rsidR="00FE0141" w:rsidRPr="00D63FF8"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r w:rsidRPr="00D63FF8">
        <w:rPr>
          <w:rFonts w:ascii="Times New Roman" w:hAnsi="Times New Roman"/>
          <w:b/>
        </w:rPr>
        <w:t>1.</w:t>
      </w:r>
      <w:r w:rsidRPr="00D63FF8">
        <w:rPr>
          <w:rFonts w:ascii="Times New Roman" w:hAnsi="Times New Roman"/>
          <w:b/>
        </w:rPr>
        <w:tab/>
        <w:t>Necessity of Information Collection</w:t>
      </w:r>
    </w:p>
    <w:p w14:paraId="5EA85270"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4AFA869E" w14:textId="22E6D6D2" w:rsidR="00AA5132" w:rsidRDefault="00193AF1" w:rsidP="00AA513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w:t>
      </w:r>
      <w:r w:rsidR="0027523F">
        <w:rPr>
          <w:rFonts w:ascii="Times New Roman" w:hAnsi="Times New Roman"/>
        </w:rPr>
        <w:t>201</w:t>
      </w:r>
      <w:r w:rsidR="00237B6B">
        <w:rPr>
          <w:rFonts w:ascii="Times New Roman" w:hAnsi="Times New Roman"/>
        </w:rPr>
        <w:t>8</w:t>
      </w:r>
      <w:r w:rsidR="003143E5">
        <w:rPr>
          <w:rFonts w:ascii="Times New Roman" w:hAnsi="Times New Roman"/>
        </w:rPr>
        <w:t xml:space="preserve"> Survey of Income and Program Participation </w:t>
      </w:r>
      <w:r w:rsidR="0027523F">
        <w:rPr>
          <w:rFonts w:ascii="Times New Roman" w:hAnsi="Times New Roman"/>
        </w:rPr>
        <w:t>(SIPP</w:t>
      </w:r>
      <w:r w:rsidR="00AE561E">
        <w:rPr>
          <w:rFonts w:ascii="Times New Roman" w:hAnsi="Times New Roman"/>
        </w:rPr>
        <w:t xml:space="preserve">) </w:t>
      </w:r>
      <w:r w:rsidR="0027523F">
        <w:rPr>
          <w:rFonts w:ascii="Times New Roman" w:hAnsi="Times New Roman"/>
        </w:rPr>
        <w:t>Panel</w:t>
      </w:r>
      <w:r>
        <w:rPr>
          <w:rFonts w:ascii="Times New Roman" w:hAnsi="Times New Roman"/>
        </w:rPr>
        <w:t>.</w:t>
      </w:r>
      <w:r w:rsidR="00AA5132">
        <w:rPr>
          <w:rFonts w:ascii="Times New Roman" w:hAnsi="Times New Roman"/>
        </w:rPr>
        <w:t xml:space="preserve"> The SIPP is authorized by Title 13, United States Code, Section</w:t>
      </w:r>
      <w:r w:rsidR="001A16C1">
        <w:rPr>
          <w:rFonts w:ascii="Times New Roman" w:hAnsi="Times New Roman"/>
        </w:rPr>
        <w:t>s 141 and</w:t>
      </w:r>
      <w:r w:rsidR="00AA5132">
        <w:rPr>
          <w:rFonts w:ascii="Times New Roman" w:hAnsi="Times New Roman"/>
        </w:rPr>
        <w:t xml:space="preserve"> 182.</w:t>
      </w:r>
    </w:p>
    <w:p w14:paraId="5EA85271" w14:textId="17D1140A"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73" w14:textId="3C3EE9FD" w:rsidR="00FE0141" w:rsidRPr="00A83BF4" w:rsidRDefault="00B0733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07337">
        <w:rPr>
          <w:rFonts w:ascii="Times New Roman" w:hAnsi="Times New Roman"/>
        </w:rPr>
        <w:t>The Census Bureau plans to conduct the 201</w:t>
      </w:r>
      <w:r w:rsidR="00237B6B">
        <w:rPr>
          <w:rFonts w:ascii="Times New Roman" w:hAnsi="Times New Roman"/>
        </w:rPr>
        <w:t>8</w:t>
      </w:r>
      <w:r w:rsidRPr="00B07337">
        <w:rPr>
          <w:rFonts w:ascii="Times New Roman" w:hAnsi="Times New Roman"/>
        </w:rPr>
        <w:t xml:space="preserve"> </w:t>
      </w:r>
      <w:r w:rsidR="00F436EF">
        <w:rPr>
          <w:rFonts w:ascii="Times New Roman" w:hAnsi="Times New Roman"/>
        </w:rPr>
        <w:t xml:space="preserve">SIPP </w:t>
      </w:r>
      <w:r w:rsidRPr="00B07337">
        <w:rPr>
          <w:rFonts w:ascii="Times New Roman" w:hAnsi="Times New Roman"/>
        </w:rPr>
        <w:t>Panel in four waves beginning in February 201</w:t>
      </w:r>
      <w:r w:rsidR="00237B6B">
        <w:rPr>
          <w:rFonts w:ascii="Times New Roman" w:hAnsi="Times New Roman"/>
        </w:rPr>
        <w:t>8</w:t>
      </w:r>
      <w:r w:rsidRPr="00B07337">
        <w:rPr>
          <w:rFonts w:ascii="Times New Roman" w:hAnsi="Times New Roman"/>
        </w:rPr>
        <w:t>.</w:t>
      </w:r>
      <w:r w:rsidR="005604EF">
        <w:rPr>
          <w:rFonts w:ascii="Times New Roman" w:hAnsi="Times New Roman"/>
        </w:rPr>
        <w:t xml:space="preserve"> </w:t>
      </w:r>
      <w:r w:rsidR="008320C8" w:rsidRPr="008320C8">
        <w:rPr>
          <w:rFonts w:ascii="Times New Roman" w:hAnsi="Times New Roman"/>
        </w:rPr>
        <w:t>The Census Bureau's S</w:t>
      </w:r>
      <w:r w:rsidR="00AE561E">
        <w:rPr>
          <w:rFonts w:ascii="Times New Roman" w:hAnsi="Times New Roman"/>
        </w:rPr>
        <w:t xml:space="preserve">IPP </w:t>
      </w:r>
      <w:r w:rsidR="0084011D">
        <w:rPr>
          <w:rFonts w:ascii="Times New Roman" w:hAnsi="Times New Roman"/>
        </w:rPr>
        <w:t>Computer-</w:t>
      </w:r>
      <w:r w:rsidR="0084011D" w:rsidRPr="00362434">
        <w:rPr>
          <w:rFonts w:ascii="Times New Roman" w:hAnsi="Times New Roman"/>
        </w:rPr>
        <w:t>Assisted Personal Interview</w:t>
      </w:r>
      <w:r w:rsidR="0084011D">
        <w:rPr>
          <w:rFonts w:ascii="Times New Roman" w:hAnsi="Times New Roman"/>
        </w:rPr>
        <w:t>ing</w:t>
      </w:r>
      <w:r w:rsidR="0084011D" w:rsidRPr="00362434">
        <w:rPr>
          <w:rFonts w:ascii="Times New Roman" w:hAnsi="Times New Roman"/>
        </w:rPr>
        <w:t xml:space="preserve"> </w:t>
      </w:r>
      <w:r w:rsidR="00DF0A42">
        <w:rPr>
          <w:rFonts w:ascii="Times New Roman" w:hAnsi="Times New Roman"/>
        </w:rPr>
        <w:t xml:space="preserve">(CAPI) </w:t>
      </w:r>
      <w:r w:rsidR="008320C8" w:rsidRPr="008320C8">
        <w:rPr>
          <w:rFonts w:ascii="Times New Roman" w:hAnsi="Times New Roman"/>
        </w:rPr>
        <w:t xml:space="preserve">will use an </w:t>
      </w:r>
      <w:r w:rsidR="00454129">
        <w:rPr>
          <w:rFonts w:ascii="Times New Roman" w:hAnsi="Times New Roman"/>
        </w:rPr>
        <w:t>E</w:t>
      </w:r>
      <w:r w:rsidR="00AE561E">
        <w:rPr>
          <w:rFonts w:ascii="Times New Roman" w:hAnsi="Times New Roman"/>
        </w:rPr>
        <w:t xml:space="preserve">vent </w:t>
      </w:r>
      <w:r w:rsidR="00454129">
        <w:rPr>
          <w:rFonts w:ascii="Times New Roman" w:hAnsi="Times New Roman"/>
        </w:rPr>
        <w:t>H</w:t>
      </w:r>
      <w:r w:rsidR="00AE561E">
        <w:rPr>
          <w:rFonts w:ascii="Times New Roman" w:hAnsi="Times New Roman"/>
        </w:rPr>
        <w:t xml:space="preserve">istory </w:t>
      </w:r>
      <w:r w:rsidR="00454129">
        <w:rPr>
          <w:rFonts w:ascii="Times New Roman" w:hAnsi="Times New Roman"/>
        </w:rPr>
        <w:t>C</w:t>
      </w:r>
      <w:r w:rsidR="00AE561E">
        <w:rPr>
          <w:rFonts w:ascii="Times New Roman" w:hAnsi="Times New Roman"/>
        </w:rPr>
        <w:t>alendar</w:t>
      </w:r>
      <w:r w:rsidR="008320C8" w:rsidRPr="008320C8">
        <w:rPr>
          <w:rFonts w:ascii="Times New Roman" w:hAnsi="Times New Roman"/>
        </w:rPr>
        <w:t xml:space="preserve"> </w:t>
      </w:r>
      <w:r w:rsidR="00454129">
        <w:rPr>
          <w:rFonts w:ascii="Times New Roman" w:hAnsi="Times New Roman"/>
        </w:rPr>
        <w:t xml:space="preserve">(EHC) </w:t>
      </w:r>
      <w:r w:rsidR="008320C8" w:rsidRPr="008320C8">
        <w:rPr>
          <w:rFonts w:ascii="Times New Roman" w:hAnsi="Times New Roman"/>
        </w:rPr>
        <w:t>interviewing method and a 12-month, calendar-year reference period</w:t>
      </w:r>
      <w:r w:rsidR="00237B6B">
        <w:rPr>
          <w:rFonts w:ascii="Times New Roman" w:hAnsi="Times New Roman"/>
        </w:rPr>
        <w:t xml:space="preserve">. This is the same </w:t>
      </w:r>
      <w:r w:rsidR="008320C8" w:rsidRPr="008320C8">
        <w:rPr>
          <w:rFonts w:ascii="Times New Roman" w:hAnsi="Times New Roman"/>
        </w:rPr>
        <w:t xml:space="preserve">approach </w:t>
      </w:r>
      <w:r w:rsidR="00237B6B">
        <w:rPr>
          <w:rFonts w:ascii="Times New Roman" w:hAnsi="Times New Roman"/>
        </w:rPr>
        <w:t>as the 2014 SIPP Panel</w:t>
      </w:r>
      <w:r w:rsidR="005604EF">
        <w:rPr>
          <w:rFonts w:ascii="Times New Roman" w:hAnsi="Times New Roman"/>
        </w:rPr>
        <w:t xml:space="preserve">. </w:t>
      </w:r>
      <w:r w:rsidR="00902FEC">
        <w:rPr>
          <w:rFonts w:ascii="Times New Roman" w:hAnsi="Times New Roman"/>
        </w:rPr>
        <w:t xml:space="preserve">The </w:t>
      </w:r>
      <w:r w:rsidR="00FC10E8">
        <w:rPr>
          <w:rFonts w:ascii="Times New Roman" w:hAnsi="Times New Roman"/>
        </w:rPr>
        <w:t xml:space="preserve">2018 SIPP Panel </w:t>
      </w:r>
      <w:r w:rsidR="0084011D">
        <w:rPr>
          <w:rFonts w:ascii="Times New Roman" w:hAnsi="Times New Roman"/>
        </w:rPr>
        <w:t>instrument content</w:t>
      </w:r>
      <w:r w:rsidR="00FC10E8">
        <w:rPr>
          <w:rFonts w:ascii="Times New Roman" w:hAnsi="Times New Roman"/>
        </w:rPr>
        <w:t xml:space="preserve"> and post-</w:t>
      </w:r>
      <w:r w:rsidR="004E6840">
        <w:rPr>
          <w:rFonts w:ascii="Times New Roman" w:hAnsi="Times New Roman"/>
        </w:rPr>
        <w:t xml:space="preserve">production processing will remain </w:t>
      </w:r>
      <w:r w:rsidR="00FC10E8">
        <w:rPr>
          <w:rFonts w:ascii="Times New Roman" w:hAnsi="Times New Roman"/>
        </w:rPr>
        <w:t xml:space="preserve">similar to that of the 2014 SIPP Panel. </w:t>
      </w:r>
      <w:r w:rsidR="008320C8" w:rsidRPr="008320C8">
        <w:rPr>
          <w:rFonts w:ascii="Times New Roman" w:hAnsi="Times New Roman"/>
        </w:rPr>
        <w:t xml:space="preserve">See </w:t>
      </w:r>
      <w:r w:rsidR="008320C8" w:rsidRPr="002B4D45">
        <w:rPr>
          <w:rFonts w:ascii="Times New Roman" w:hAnsi="Times New Roman"/>
        </w:rPr>
        <w:t>Attachment A</w:t>
      </w:r>
      <w:r w:rsidR="002B4D45">
        <w:rPr>
          <w:rFonts w:ascii="Times New Roman" w:hAnsi="Times New Roman"/>
        </w:rPr>
        <w:t>, Wave 1 SIPP 2018 Instrument Items Booklet,</w:t>
      </w:r>
      <w:r w:rsidR="008320C8" w:rsidRPr="008320C8">
        <w:rPr>
          <w:rFonts w:ascii="Times New Roman" w:hAnsi="Times New Roman"/>
        </w:rPr>
        <w:t xml:space="preserve"> for </w:t>
      </w:r>
      <w:r w:rsidR="00D53AB0">
        <w:rPr>
          <w:rFonts w:ascii="Times New Roman" w:hAnsi="Times New Roman"/>
        </w:rPr>
        <w:t xml:space="preserve">the </w:t>
      </w:r>
      <w:r w:rsidR="008320C8" w:rsidRPr="008320C8">
        <w:rPr>
          <w:rFonts w:ascii="Times New Roman" w:hAnsi="Times New Roman"/>
        </w:rPr>
        <w:t>interview questions.</w:t>
      </w:r>
    </w:p>
    <w:p w14:paraId="5EA85274"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6" w14:textId="61E1F8A2" w:rsidR="00FE0141" w:rsidRPr="00A83BF4" w:rsidRDefault="008320C8" w:rsidP="004832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The main objective of the SIPP </w:t>
      </w:r>
      <w:r w:rsidR="00237B6B">
        <w:rPr>
          <w:rFonts w:ascii="Times New Roman" w:hAnsi="Times New Roman"/>
        </w:rPr>
        <w:t>is</w:t>
      </w:r>
      <w:r w:rsidRPr="008320C8">
        <w:rPr>
          <w:rFonts w:ascii="Times New Roman" w:hAnsi="Times New Roman"/>
        </w:rPr>
        <w:t xml:space="preserve"> to provide accurate and comprehensive information about the income and program participation of individuals and ho</w:t>
      </w:r>
      <w:r w:rsidR="005604EF">
        <w:rPr>
          <w:rFonts w:ascii="Times New Roman" w:hAnsi="Times New Roman"/>
        </w:rPr>
        <w:t xml:space="preserve">useholds in the United States. </w:t>
      </w:r>
      <w:r w:rsidRPr="008320C8">
        <w:rPr>
          <w:rFonts w:ascii="Times New Roman" w:hAnsi="Times New Roman"/>
        </w:rPr>
        <w:t>The survey’s mission is to provide a nationally representative sample for evaluating: 1</w:t>
      </w:r>
      <w:r w:rsidR="00757DAB" w:rsidRPr="008320C8">
        <w:rPr>
          <w:rFonts w:ascii="Times New Roman" w:hAnsi="Times New Roman"/>
        </w:rPr>
        <w:t>)</w:t>
      </w:r>
      <w:r w:rsidR="00757DAB">
        <w:rPr>
          <w:rFonts w:ascii="Times New Roman" w:hAnsi="Times New Roman"/>
        </w:rPr>
        <w:t xml:space="preserve"> </w:t>
      </w:r>
      <w:r w:rsidR="00757DAB" w:rsidRPr="008320C8">
        <w:rPr>
          <w:rFonts w:ascii="Times New Roman" w:hAnsi="Times New Roman"/>
        </w:rPr>
        <w:t>annual</w:t>
      </w:r>
      <w:r w:rsidR="00863D86">
        <w:rPr>
          <w:rFonts w:ascii="Times New Roman" w:hAnsi="Times New Roman"/>
        </w:rPr>
        <w:t xml:space="preserve"> and sub-annual income dynamics;</w:t>
      </w:r>
      <w:r w:rsidRPr="008320C8">
        <w:rPr>
          <w:rFonts w:ascii="Times New Roman" w:hAnsi="Times New Roman"/>
        </w:rPr>
        <w:t xml:space="preserve"> 2) </w:t>
      </w:r>
      <w:r w:rsidR="00757DAB">
        <w:rPr>
          <w:rFonts w:ascii="Times New Roman" w:hAnsi="Times New Roman"/>
        </w:rPr>
        <w:t>m</w:t>
      </w:r>
      <w:r w:rsidR="00757DAB" w:rsidRPr="008320C8">
        <w:rPr>
          <w:rFonts w:ascii="Times New Roman" w:hAnsi="Times New Roman"/>
        </w:rPr>
        <w:t>ovements</w:t>
      </w:r>
      <w:r w:rsidRPr="008320C8">
        <w:rPr>
          <w:rFonts w:ascii="Times New Roman" w:hAnsi="Times New Roman"/>
        </w:rPr>
        <w:t xml:space="preserve"> into and out </w:t>
      </w:r>
      <w:r w:rsidR="00863D86">
        <w:rPr>
          <w:rFonts w:ascii="Times New Roman" w:hAnsi="Times New Roman"/>
        </w:rPr>
        <w:t>of government transfer programs;</w:t>
      </w:r>
      <w:r w:rsidRPr="008320C8">
        <w:rPr>
          <w:rFonts w:ascii="Times New Roman" w:hAnsi="Times New Roman"/>
        </w:rPr>
        <w:t xml:space="preserve"> 3) family and social contex</w:t>
      </w:r>
      <w:r w:rsidR="00863D86">
        <w:rPr>
          <w:rFonts w:ascii="Times New Roman" w:hAnsi="Times New Roman"/>
        </w:rPr>
        <w:t>t of individuals and households;</w:t>
      </w:r>
      <w:r w:rsidRPr="008320C8">
        <w:rPr>
          <w:rFonts w:ascii="Times New Roman" w:hAnsi="Times New Roman"/>
        </w:rPr>
        <w:t xml:space="preserve"> and 4) i</w:t>
      </w:r>
      <w:r w:rsidR="005604EF">
        <w:rPr>
          <w:rFonts w:ascii="Times New Roman" w:hAnsi="Times New Roman"/>
        </w:rPr>
        <w:t xml:space="preserve">nteractions among these items. </w:t>
      </w:r>
      <w:r w:rsidR="00354A97" w:rsidRPr="008320C8">
        <w:rPr>
          <w:rFonts w:ascii="Times New Roman" w:hAnsi="Times New Roman"/>
        </w:rPr>
        <w:t xml:space="preserve">A major use of the SIPP has been to evaluate the use of and eligibility for government programs and to analyze the impacts of </w:t>
      </w:r>
      <w:r w:rsidR="00354A97">
        <w:rPr>
          <w:rFonts w:ascii="Times New Roman" w:hAnsi="Times New Roman"/>
        </w:rPr>
        <w:t>modifications to those programs</w:t>
      </w:r>
      <w:r w:rsidR="005604EF">
        <w:rPr>
          <w:rFonts w:ascii="Times New Roman" w:hAnsi="Times New Roman"/>
        </w:rPr>
        <w:t xml:space="preserve">. </w:t>
      </w:r>
      <w:r w:rsidR="00483282">
        <w:rPr>
          <w:rFonts w:ascii="Times New Roman" w:hAnsi="Times New Roman"/>
        </w:rPr>
        <w:t>The SIPP</w:t>
      </w:r>
      <w:r w:rsidRPr="008320C8">
        <w:rPr>
          <w:rFonts w:ascii="Times New Roman" w:hAnsi="Times New Roman"/>
        </w:rPr>
        <w:t xml:space="preserve"> collect</w:t>
      </w:r>
      <w:r w:rsidR="00483282">
        <w:rPr>
          <w:rFonts w:ascii="Times New Roman" w:hAnsi="Times New Roman"/>
        </w:rPr>
        <w:t>s</w:t>
      </w:r>
      <w:r w:rsidRPr="008320C8">
        <w:rPr>
          <w:rFonts w:ascii="Times New Roman" w:hAnsi="Times New Roman"/>
        </w:rPr>
        <w:t xml:space="preserve"> detailed information on cash and non-cash income (including participation in government transfer programs) </w:t>
      </w:r>
      <w:r w:rsidR="00354A97">
        <w:rPr>
          <w:rFonts w:ascii="Times New Roman" w:hAnsi="Times New Roman"/>
        </w:rPr>
        <w:t>once</w:t>
      </w:r>
      <w:r w:rsidRPr="008320C8">
        <w:rPr>
          <w:rFonts w:ascii="Times New Roman" w:hAnsi="Times New Roman"/>
        </w:rPr>
        <w:t xml:space="preserve"> per year.  </w:t>
      </w:r>
      <w:r w:rsidR="00483282" w:rsidRPr="008320C8">
        <w:rPr>
          <w:rFonts w:ascii="Times New Roman" w:hAnsi="Times New Roman"/>
        </w:rPr>
        <w:t>The</w:t>
      </w:r>
      <w:r w:rsidR="00483282">
        <w:rPr>
          <w:rFonts w:ascii="Times New Roman" w:hAnsi="Times New Roman"/>
        </w:rPr>
        <w:t xml:space="preserve"> current</w:t>
      </w:r>
      <w:r w:rsidR="00483282" w:rsidRPr="008320C8">
        <w:rPr>
          <w:rFonts w:ascii="Times New Roman" w:hAnsi="Times New Roman"/>
        </w:rPr>
        <w:t xml:space="preserve"> SIPP </w:t>
      </w:r>
      <w:r w:rsidR="00483282">
        <w:rPr>
          <w:rFonts w:ascii="Times New Roman" w:hAnsi="Times New Roman"/>
        </w:rPr>
        <w:t xml:space="preserve">panel </w:t>
      </w:r>
      <w:r w:rsidR="00071E1D">
        <w:rPr>
          <w:rFonts w:ascii="Times New Roman" w:hAnsi="Times New Roman"/>
        </w:rPr>
        <w:t>continues to reduce</w:t>
      </w:r>
      <w:r w:rsidR="00483282">
        <w:rPr>
          <w:rFonts w:ascii="Times New Roman" w:hAnsi="Times New Roman"/>
        </w:rPr>
        <w:t xml:space="preserve"> the cost of collection,</w:t>
      </w:r>
      <w:r w:rsidR="00071E1D">
        <w:rPr>
          <w:rFonts w:ascii="Times New Roman" w:hAnsi="Times New Roman"/>
        </w:rPr>
        <w:t xml:space="preserve"> improve</w:t>
      </w:r>
      <w:r w:rsidR="00483282" w:rsidRPr="008320C8">
        <w:rPr>
          <w:rFonts w:ascii="Times New Roman" w:hAnsi="Times New Roman"/>
        </w:rPr>
        <w:t xml:space="preserve"> accuracy, </w:t>
      </w:r>
      <w:r w:rsidR="00071E1D">
        <w:rPr>
          <w:rFonts w:ascii="Times New Roman" w:hAnsi="Times New Roman"/>
        </w:rPr>
        <w:t>increase</w:t>
      </w:r>
      <w:r w:rsidR="00483282">
        <w:rPr>
          <w:rFonts w:ascii="Times New Roman" w:hAnsi="Times New Roman"/>
        </w:rPr>
        <w:t xml:space="preserve"> r</w:t>
      </w:r>
      <w:r w:rsidR="00071E1D">
        <w:rPr>
          <w:rFonts w:ascii="Times New Roman" w:hAnsi="Times New Roman"/>
        </w:rPr>
        <w:t>elevance and timeliness, reduce</w:t>
      </w:r>
      <w:r w:rsidR="00483282">
        <w:rPr>
          <w:rFonts w:ascii="Times New Roman" w:hAnsi="Times New Roman"/>
        </w:rPr>
        <w:t xml:space="preserve"> respondent burden</w:t>
      </w:r>
      <w:r w:rsidR="00483282" w:rsidRPr="008320C8">
        <w:rPr>
          <w:rFonts w:ascii="Times New Roman" w:hAnsi="Times New Roman"/>
        </w:rPr>
        <w:t xml:space="preserve">, and </w:t>
      </w:r>
      <w:r w:rsidR="00071E1D">
        <w:rPr>
          <w:rFonts w:ascii="Times New Roman" w:hAnsi="Times New Roman"/>
        </w:rPr>
        <w:t>increase</w:t>
      </w:r>
      <w:r w:rsidR="00483282">
        <w:rPr>
          <w:rFonts w:ascii="Times New Roman" w:hAnsi="Times New Roman"/>
        </w:rPr>
        <w:t xml:space="preserve"> accessibility.</w:t>
      </w:r>
    </w:p>
    <w:p w14:paraId="5EA85277"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8" w14:textId="392EC778" w:rsidR="00AA02B2" w:rsidRDefault="004F03F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Providing the same, or better, quality data at a reduced burden to respondents is a high priority for the Census Bu</w:t>
      </w:r>
      <w:r w:rsidR="00B62337">
        <w:rPr>
          <w:rFonts w:ascii="Times New Roman" w:hAnsi="Times New Roman"/>
        </w:rPr>
        <w:t xml:space="preserve">reau and for the SIPP program. </w:t>
      </w:r>
      <w:r w:rsidR="008320C8" w:rsidRPr="008320C8">
        <w:rPr>
          <w:rFonts w:ascii="Times New Roman" w:hAnsi="Times New Roman"/>
        </w:rPr>
        <w:t xml:space="preserve">To accomplish </w:t>
      </w:r>
      <w:r w:rsidR="00FC10E8">
        <w:rPr>
          <w:rFonts w:ascii="Times New Roman" w:hAnsi="Times New Roman"/>
        </w:rPr>
        <w:t xml:space="preserve">this, </w:t>
      </w:r>
      <w:r w:rsidR="008320C8" w:rsidRPr="008320C8">
        <w:rPr>
          <w:rFonts w:ascii="Times New Roman" w:hAnsi="Times New Roman"/>
        </w:rPr>
        <w:t xml:space="preserve">the Census Bureau </w:t>
      </w:r>
      <w:r w:rsidR="00FC10E8">
        <w:rPr>
          <w:rFonts w:ascii="Times New Roman" w:hAnsi="Times New Roman"/>
        </w:rPr>
        <w:t>uses</w:t>
      </w:r>
      <w:r w:rsidR="00894294" w:rsidRPr="008320C8">
        <w:rPr>
          <w:rFonts w:ascii="Times New Roman" w:hAnsi="Times New Roman"/>
        </w:rPr>
        <w:t xml:space="preserve"> an</w:t>
      </w:r>
      <w:r w:rsidR="008320C8" w:rsidRPr="008320C8">
        <w:rPr>
          <w:rFonts w:ascii="Times New Roman" w:hAnsi="Times New Roman"/>
        </w:rPr>
        <w:t xml:space="preserve"> </w:t>
      </w:r>
      <w:r w:rsidR="00121E9F">
        <w:rPr>
          <w:rFonts w:ascii="Times New Roman" w:hAnsi="Times New Roman"/>
        </w:rPr>
        <w:t>EHC</w:t>
      </w:r>
      <w:r w:rsidR="00F56132">
        <w:rPr>
          <w:rFonts w:ascii="Times New Roman" w:hAnsi="Times New Roman"/>
        </w:rPr>
        <w:t>-</w:t>
      </w:r>
      <w:r w:rsidR="00D255A2">
        <w:rPr>
          <w:rFonts w:ascii="Times New Roman" w:hAnsi="Times New Roman"/>
        </w:rPr>
        <w:t>based instrument</w:t>
      </w:r>
      <w:r w:rsidR="008320C8" w:rsidRPr="008320C8">
        <w:rPr>
          <w:rFonts w:ascii="Times New Roman" w:hAnsi="Times New Roman"/>
        </w:rPr>
        <w:t xml:space="preserve"> to gather SIPP data.</w:t>
      </w:r>
      <w:r w:rsidR="005604EF">
        <w:rPr>
          <w:rFonts w:cs="Shruti"/>
        </w:rPr>
        <w:t xml:space="preserve"> </w:t>
      </w:r>
      <w:r w:rsidR="00863D86" w:rsidRPr="00863D86">
        <w:rPr>
          <w:rFonts w:ascii="Times New Roman" w:hAnsi="Times New Roman"/>
        </w:rPr>
        <w:t>The content of the 201</w:t>
      </w:r>
      <w:r w:rsidR="00FC10E8">
        <w:rPr>
          <w:rFonts w:ascii="Times New Roman" w:hAnsi="Times New Roman"/>
        </w:rPr>
        <w:t>8</w:t>
      </w:r>
      <w:r w:rsidR="00863D86" w:rsidRPr="00863D86">
        <w:rPr>
          <w:rFonts w:ascii="Times New Roman" w:hAnsi="Times New Roman"/>
        </w:rPr>
        <w:t xml:space="preserve"> SIPP Panel will match that of the 201</w:t>
      </w:r>
      <w:r w:rsidR="00FC10E8">
        <w:rPr>
          <w:rFonts w:ascii="Times New Roman" w:hAnsi="Times New Roman"/>
        </w:rPr>
        <w:t>4</w:t>
      </w:r>
      <w:r w:rsidR="00863D86" w:rsidRPr="00863D86">
        <w:rPr>
          <w:rFonts w:ascii="Times New Roman" w:hAnsi="Times New Roman"/>
        </w:rPr>
        <w:t xml:space="preserve"> SIPP very closely.</w:t>
      </w:r>
      <w:r w:rsidR="005604EF">
        <w:rPr>
          <w:rFonts w:ascii="Times New Roman" w:hAnsi="Times New Roman"/>
        </w:rPr>
        <w:t xml:space="preserve"> </w:t>
      </w:r>
      <w:r w:rsidR="00FE0141">
        <w:rPr>
          <w:rFonts w:ascii="Times New Roman" w:hAnsi="Times New Roman"/>
        </w:rPr>
        <w:t>The EHC allow</w:t>
      </w:r>
      <w:r w:rsidR="00B9381B">
        <w:rPr>
          <w:rFonts w:ascii="Times New Roman" w:hAnsi="Times New Roman"/>
        </w:rPr>
        <w:t>s</w:t>
      </w:r>
      <w:r w:rsidR="00FE0141">
        <w:rPr>
          <w:rFonts w:ascii="Times New Roman" w:hAnsi="Times New Roman"/>
        </w:rPr>
        <w:t xml:space="preserve"> recording dates of events and spells of coverage</w:t>
      </w:r>
      <w:r w:rsidR="00F56132">
        <w:rPr>
          <w:rFonts w:ascii="Times New Roman" w:hAnsi="Times New Roman"/>
        </w:rPr>
        <w:t>,</w:t>
      </w:r>
      <w:r w:rsidR="00BC056A">
        <w:rPr>
          <w:rFonts w:ascii="Times New Roman" w:hAnsi="Times New Roman"/>
        </w:rPr>
        <w:t xml:space="preserve"> </w:t>
      </w:r>
      <w:r w:rsidR="00DF7EA7">
        <w:rPr>
          <w:rFonts w:ascii="Times New Roman" w:hAnsi="Times New Roman"/>
        </w:rPr>
        <w:t xml:space="preserve">and </w:t>
      </w:r>
      <w:r w:rsidR="00FE0141">
        <w:rPr>
          <w:rFonts w:ascii="Times New Roman" w:hAnsi="Times New Roman"/>
        </w:rPr>
        <w:t>provide</w:t>
      </w:r>
      <w:r w:rsidR="00FC10E8">
        <w:rPr>
          <w:rFonts w:ascii="Times New Roman" w:hAnsi="Times New Roman"/>
        </w:rPr>
        <w:t>s</w:t>
      </w:r>
      <w:r w:rsidR="00FE0141">
        <w:rPr>
          <w:rFonts w:ascii="Times New Roman" w:hAnsi="Times New Roman"/>
        </w:rPr>
        <w:t xml:space="preserve"> </w:t>
      </w:r>
      <w:r w:rsidR="00B9381B">
        <w:rPr>
          <w:rFonts w:ascii="Times New Roman" w:hAnsi="Times New Roman"/>
        </w:rPr>
        <w:t xml:space="preserve">measures of </w:t>
      </w:r>
      <w:r w:rsidR="00FE0141">
        <w:rPr>
          <w:rFonts w:ascii="Times New Roman" w:hAnsi="Times New Roman"/>
        </w:rPr>
        <w:t xml:space="preserve">monthly </w:t>
      </w:r>
      <w:r w:rsidR="00FE0141">
        <w:rPr>
          <w:rFonts w:ascii="Times New Roman" w:hAnsi="Times New Roman"/>
        </w:rPr>
        <w:lastRenderedPageBreak/>
        <w:t xml:space="preserve">transitions of program receipt and coverage, labor force transitions, health insurance </w:t>
      </w:r>
      <w:r w:rsidR="00483282">
        <w:rPr>
          <w:rFonts w:ascii="Times New Roman" w:hAnsi="Times New Roman"/>
        </w:rPr>
        <w:t>transitions</w:t>
      </w:r>
      <w:r w:rsidR="00FE0141">
        <w:rPr>
          <w:rFonts w:ascii="Times New Roman" w:hAnsi="Times New Roman"/>
        </w:rPr>
        <w:t xml:space="preserve"> and others.</w:t>
      </w:r>
      <w:r w:rsidR="00B9381B">
        <w:rPr>
          <w:rFonts w:ascii="Times New Roman" w:hAnsi="Times New Roman"/>
        </w:rPr>
        <w:t xml:space="preserve">  </w:t>
      </w:r>
    </w:p>
    <w:p w14:paraId="6A16154F" w14:textId="77777777" w:rsidR="0044551F" w:rsidRDefault="0044551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7A" w14:textId="5CF8A27C" w:rsidR="00863D86" w:rsidRDefault="00863D8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63D86">
        <w:rPr>
          <w:rFonts w:ascii="Times New Roman" w:hAnsi="Times New Roman"/>
        </w:rPr>
        <w:t>The 201</w:t>
      </w:r>
      <w:r w:rsidR="00DA2C24">
        <w:rPr>
          <w:rFonts w:ascii="Times New Roman" w:hAnsi="Times New Roman"/>
        </w:rPr>
        <w:t>8</w:t>
      </w:r>
      <w:r w:rsidRPr="00863D86">
        <w:rPr>
          <w:rFonts w:ascii="Times New Roman" w:hAnsi="Times New Roman"/>
        </w:rPr>
        <w:t xml:space="preserve"> SIPP Panel </w:t>
      </w:r>
      <w:r w:rsidR="007F695D">
        <w:rPr>
          <w:rFonts w:ascii="Times New Roman" w:hAnsi="Times New Roman"/>
        </w:rPr>
        <w:t xml:space="preserve">begins with </w:t>
      </w:r>
      <w:r w:rsidRPr="00863D86">
        <w:rPr>
          <w:rFonts w:ascii="Times New Roman" w:hAnsi="Times New Roman"/>
        </w:rPr>
        <w:t>a new “</w:t>
      </w:r>
      <w:r w:rsidR="00854AF1">
        <w:rPr>
          <w:rFonts w:ascii="Times New Roman" w:hAnsi="Times New Roman"/>
        </w:rPr>
        <w:t>W</w:t>
      </w:r>
      <w:r w:rsidRPr="00863D86">
        <w:rPr>
          <w:rFonts w:ascii="Times New Roman" w:hAnsi="Times New Roman"/>
        </w:rPr>
        <w:t xml:space="preserve">ave 1” sample </w:t>
      </w:r>
      <w:r w:rsidR="007F695D">
        <w:rPr>
          <w:rFonts w:ascii="Times New Roman" w:hAnsi="Times New Roman"/>
        </w:rPr>
        <w:t>of</w:t>
      </w:r>
      <w:r w:rsidRPr="00863D86">
        <w:rPr>
          <w:rFonts w:ascii="Times New Roman" w:hAnsi="Times New Roman"/>
        </w:rPr>
        <w:t xml:space="preserve"> survey respondents who were not interviewed in the previous 2</w:t>
      </w:r>
      <w:r w:rsidR="005604EF">
        <w:rPr>
          <w:rFonts w:ascii="Times New Roman" w:hAnsi="Times New Roman"/>
        </w:rPr>
        <w:t>01</w:t>
      </w:r>
      <w:r w:rsidR="00DA2C24">
        <w:rPr>
          <w:rFonts w:ascii="Times New Roman" w:hAnsi="Times New Roman"/>
        </w:rPr>
        <w:t>4 SIPP</w:t>
      </w:r>
      <w:r w:rsidR="005604EF">
        <w:rPr>
          <w:rFonts w:ascii="Times New Roman" w:hAnsi="Times New Roman"/>
        </w:rPr>
        <w:t xml:space="preserve">. </w:t>
      </w:r>
      <w:r w:rsidR="00DF7EA7">
        <w:rPr>
          <w:rFonts w:ascii="Times New Roman" w:hAnsi="Times New Roman"/>
        </w:rPr>
        <w:t>The 201</w:t>
      </w:r>
      <w:r w:rsidR="00DA2C24">
        <w:rPr>
          <w:rFonts w:ascii="Times New Roman" w:hAnsi="Times New Roman"/>
        </w:rPr>
        <w:t>8</w:t>
      </w:r>
      <w:r w:rsidR="00DF7EA7">
        <w:rPr>
          <w:rFonts w:ascii="Times New Roman" w:hAnsi="Times New Roman"/>
        </w:rPr>
        <w:t xml:space="preserve"> SIPP Panel </w:t>
      </w:r>
      <w:r w:rsidR="007F695D">
        <w:rPr>
          <w:rFonts w:ascii="Times New Roman" w:hAnsi="Times New Roman"/>
        </w:rPr>
        <w:t xml:space="preserve">sample </w:t>
      </w:r>
      <w:r w:rsidR="00DA2C24">
        <w:rPr>
          <w:rFonts w:ascii="Times New Roman" w:hAnsi="Times New Roman"/>
        </w:rPr>
        <w:t xml:space="preserve">is </w:t>
      </w:r>
      <w:r w:rsidR="007F695D">
        <w:rPr>
          <w:rFonts w:ascii="Times New Roman" w:hAnsi="Times New Roman"/>
        </w:rPr>
        <w:t xml:space="preserve">based on the </w:t>
      </w:r>
      <w:r w:rsidR="005604EF">
        <w:rPr>
          <w:rFonts w:ascii="Times New Roman" w:hAnsi="Times New Roman"/>
        </w:rPr>
        <w:t xml:space="preserve">2010 </w:t>
      </w:r>
      <w:r w:rsidR="00AD2F57">
        <w:rPr>
          <w:rFonts w:ascii="Times New Roman" w:hAnsi="Times New Roman"/>
        </w:rPr>
        <w:t xml:space="preserve">Decennial </w:t>
      </w:r>
      <w:r w:rsidR="007F695D">
        <w:rPr>
          <w:rFonts w:ascii="Times New Roman" w:hAnsi="Times New Roman"/>
        </w:rPr>
        <w:t>Census</w:t>
      </w:r>
      <w:r w:rsidR="005604EF">
        <w:rPr>
          <w:rFonts w:ascii="Times New Roman" w:hAnsi="Times New Roman"/>
        </w:rPr>
        <w:t xml:space="preserve">. </w:t>
      </w:r>
      <w:r w:rsidRPr="00863D86">
        <w:rPr>
          <w:rFonts w:ascii="Times New Roman" w:hAnsi="Times New Roman"/>
        </w:rPr>
        <w:t>The 201</w:t>
      </w:r>
      <w:r w:rsidR="00DA2C24">
        <w:rPr>
          <w:rFonts w:ascii="Times New Roman" w:hAnsi="Times New Roman"/>
        </w:rPr>
        <w:t>8</w:t>
      </w:r>
      <w:r w:rsidRPr="00863D86">
        <w:rPr>
          <w:rFonts w:ascii="Times New Roman" w:hAnsi="Times New Roman"/>
        </w:rPr>
        <w:t xml:space="preserve"> SIPP Panel </w:t>
      </w:r>
      <w:r w:rsidR="007F695D">
        <w:rPr>
          <w:rFonts w:ascii="Times New Roman" w:hAnsi="Times New Roman"/>
        </w:rPr>
        <w:t>W</w:t>
      </w:r>
      <w:r w:rsidRPr="00863D86">
        <w:rPr>
          <w:rFonts w:ascii="Times New Roman" w:hAnsi="Times New Roman"/>
        </w:rPr>
        <w:t>ave 1 will interview respondents using the previous calendar year 201</w:t>
      </w:r>
      <w:r w:rsidR="00DA2C24">
        <w:rPr>
          <w:rFonts w:ascii="Times New Roman" w:hAnsi="Times New Roman"/>
        </w:rPr>
        <w:t>7</w:t>
      </w:r>
      <w:r w:rsidRPr="00863D86">
        <w:rPr>
          <w:rFonts w:ascii="Times New Roman" w:hAnsi="Times New Roman"/>
        </w:rPr>
        <w:t xml:space="preserve"> as the reference period and will proceed with annu</w:t>
      </w:r>
      <w:r w:rsidR="005604EF">
        <w:rPr>
          <w:rFonts w:ascii="Times New Roman" w:hAnsi="Times New Roman"/>
        </w:rPr>
        <w:t xml:space="preserve">al interviewing going forward. </w:t>
      </w:r>
      <w:r w:rsidRPr="00863D86">
        <w:rPr>
          <w:rFonts w:ascii="Times New Roman" w:hAnsi="Times New Roman"/>
        </w:rPr>
        <w:t>The 201</w:t>
      </w:r>
      <w:r w:rsidR="00DA2C24">
        <w:rPr>
          <w:rFonts w:ascii="Times New Roman" w:hAnsi="Times New Roman"/>
        </w:rPr>
        <w:t>8</w:t>
      </w:r>
      <w:r w:rsidRPr="00863D86">
        <w:rPr>
          <w:rFonts w:ascii="Times New Roman" w:hAnsi="Times New Roman"/>
        </w:rPr>
        <w:t xml:space="preserve"> SIPP Panel will follow </w:t>
      </w:r>
      <w:r w:rsidR="000A1144">
        <w:rPr>
          <w:rFonts w:ascii="Times New Roman" w:hAnsi="Times New Roman"/>
        </w:rPr>
        <w:t xml:space="preserve">persons </w:t>
      </w:r>
      <w:r w:rsidRPr="00863D86">
        <w:rPr>
          <w:rFonts w:ascii="Times New Roman" w:hAnsi="Times New Roman"/>
        </w:rPr>
        <w:t>age</w:t>
      </w:r>
      <w:r w:rsidR="000A1144">
        <w:rPr>
          <w:rFonts w:ascii="Times New Roman" w:hAnsi="Times New Roman"/>
        </w:rPr>
        <w:t>d</w:t>
      </w:r>
      <w:r w:rsidRPr="00863D86">
        <w:rPr>
          <w:rFonts w:ascii="Times New Roman" w:hAnsi="Times New Roman"/>
        </w:rPr>
        <w:t xml:space="preserve"> 15 years an</w:t>
      </w:r>
      <w:r w:rsidR="000A1144">
        <w:rPr>
          <w:rFonts w:ascii="Times New Roman" w:hAnsi="Times New Roman"/>
        </w:rPr>
        <w:t>d older</w:t>
      </w:r>
      <w:r w:rsidRPr="00863D86">
        <w:rPr>
          <w:rFonts w:ascii="Times New Roman" w:hAnsi="Times New Roman"/>
        </w:rPr>
        <w:t xml:space="preserve"> who move </w:t>
      </w:r>
      <w:r w:rsidR="005604EF">
        <w:rPr>
          <w:rFonts w:ascii="Times New Roman" w:hAnsi="Times New Roman"/>
        </w:rPr>
        <w:t xml:space="preserve">from the prior wave household. </w:t>
      </w:r>
      <w:r w:rsidRPr="00863D86">
        <w:rPr>
          <w:rFonts w:ascii="Times New Roman" w:hAnsi="Times New Roman"/>
        </w:rPr>
        <w:t>Consequently, future waves will incorporate dependent data, which is information collected from the prior wave interview brought forward to the current interview.</w:t>
      </w:r>
    </w:p>
    <w:p w14:paraId="497E63B6" w14:textId="5088C950" w:rsidR="00891938" w:rsidRDefault="0089193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A9FE7BE" w14:textId="23FCFB2D" w:rsidR="00891938" w:rsidRPr="00D63FF8" w:rsidRDefault="0089193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u w:val="single"/>
        </w:rPr>
      </w:pPr>
      <w:r w:rsidRPr="00D63FF8">
        <w:rPr>
          <w:rFonts w:ascii="Times New Roman" w:hAnsi="Times New Roman"/>
          <w:u w:val="single"/>
        </w:rPr>
        <w:t>New Sample Design and Overlapping Panels</w:t>
      </w:r>
    </w:p>
    <w:p w14:paraId="38912ABD" w14:textId="2F6FE90F" w:rsidR="00C54F75" w:rsidRDefault="00C54F7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734CC122" w14:textId="7C16C382" w:rsidR="00C54F75" w:rsidRDefault="003859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To increase the ability to respond to changing </w:t>
      </w:r>
      <w:r w:rsidR="00C54F75">
        <w:rPr>
          <w:rFonts w:ascii="Times New Roman" w:hAnsi="Times New Roman"/>
        </w:rPr>
        <w:t xml:space="preserve">budget constraints, the 2018 Panel will have a </w:t>
      </w:r>
      <w:r w:rsidR="00CF5B8D">
        <w:rPr>
          <w:rFonts w:ascii="Times New Roman" w:hAnsi="Times New Roman"/>
        </w:rPr>
        <w:t xml:space="preserve">modified </w:t>
      </w:r>
      <w:r w:rsidR="00C54F75">
        <w:rPr>
          <w:rFonts w:ascii="Times New Roman" w:hAnsi="Times New Roman"/>
        </w:rPr>
        <w:t xml:space="preserve">sample design and data collection strategy. </w:t>
      </w:r>
      <w:r w:rsidR="00CF5B8D">
        <w:rPr>
          <w:rFonts w:ascii="Times New Roman" w:hAnsi="Times New Roman"/>
        </w:rPr>
        <w:t xml:space="preserve">Instead of one large sample that would be </w:t>
      </w:r>
      <w:r w:rsidR="001E5C0D">
        <w:rPr>
          <w:rFonts w:ascii="Times New Roman" w:hAnsi="Times New Roman"/>
        </w:rPr>
        <w:t xml:space="preserve">created prior to Wave 1 and </w:t>
      </w:r>
      <w:r w:rsidR="00CF5B8D">
        <w:rPr>
          <w:rFonts w:ascii="Times New Roman" w:hAnsi="Times New Roman"/>
        </w:rPr>
        <w:t>interviewed over a four</w:t>
      </w:r>
      <w:r w:rsidR="001E5C0D">
        <w:rPr>
          <w:rFonts w:ascii="Times New Roman" w:hAnsi="Times New Roman"/>
        </w:rPr>
        <w:t xml:space="preserve"> to five</w:t>
      </w:r>
      <w:r w:rsidR="00CF5B8D">
        <w:rPr>
          <w:rFonts w:ascii="Times New Roman" w:hAnsi="Times New Roman"/>
        </w:rPr>
        <w:t>-month period, we will draw fiv</w:t>
      </w:r>
      <w:r w:rsidR="009E4A53">
        <w:rPr>
          <w:rFonts w:ascii="Times New Roman" w:hAnsi="Times New Roman"/>
        </w:rPr>
        <w:t xml:space="preserve">e smaller, independent samples, </w:t>
      </w:r>
      <w:r w:rsidR="00CF5B8D">
        <w:rPr>
          <w:rFonts w:ascii="Times New Roman" w:hAnsi="Times New Roman"/>
        </w:rPr>
        <w:t xml:space="preserve">interviewing and closing out one of these samples each month of the </w:t>
      </w:r>
      <w:r w:rsidR="001E5C0D">
        <w:rPr>
          <w:rFonts w:ascii="Times New Roman" w:hAnsi="Times New Roman"/>
        </w:rPr>
        <w:t xml:space="preserve">Wave 1 </w:t>
      </w:r>
      <w:r w:rsidR="00CF5B8D">
        <w:rPr>
          <w:rFonts w:ascii="Times New Roman" w:hAnsi="Times New Roman"/>
        </w:rPr>
        <w:t xml:space="preserve">interview period, which will run </w:t>
      </w:r>
      <w:r w:rsidR="009F3F3E">
        <w:rPr>
          <w:rFonts w:ascii="Times New Roman" w:hAnsi="Times New Roman"/>
        </w:rPr>
        <w:t xml:space="preserve">for 5 months </w:t>
      </w:r>
      <w:r w:rsidR="00CF5B8D">
        <w:rPr>
          <w:rFonts w:ascii="Times New Roman" w:hAnsi="Times New Roman"/>
        </w:rPr>
        <w:t>from February through June for each panel year. Each independent sample will be drawn from the same geographies, so that staffing needs would be constant in level and location from month to month.</w:t>
      </w:r>
      <w:r w:rsidR="00675C21">
        <w:rPr>
          <w:rFonts w:ascii="Times New Roman" w:hAnsi="Times New Roman"/>
        </w:rPr>
        <w:t xml:space="preserve"> </w:t>
      </w:r>
      <w:r w:rsidR="00A613B9">
        <w:rPr>
          <w:rFonts w:ascii="Times New Roman" w:hAnsi="Times New Roman"/>
        </w:rPr>
        <w:t>W</w:t>
      </w:r>
      <w:r w:rsidR="00A613B9" w:rsidRPr="00A613B9">
        <w:rPr>
          <w:rFonts w:ascii="Times New Roman" w:hAnsi="Times New Roman"/>
        </w:rPr>
        <w:t xml:space="preserve">e </w:t>
      </w:r>
      <w:r w:rsidR="00F56132">
        <w:rPr>
          <w:rFonts w:ascii="Times New Roman" w:hAnsi="Times New Roman"/>
        </w:rPr>
        <w:t>will</w:t>
      </w:r>
      <w:r w:rsidR="00A613B9" w:rsidRPr="00A613B9">
        <w:rPr>
          <w:rFonts w:ascii="Times New Roman" w:hAnsi="Times New Roman"/>
        </w:rPr>
        <w:t xml:space="preserve"> treat each of the five smaller samples independently during data collection, but combine them for data processing and file release as the full wave SIPP data file. </w:t>
      </w:r>
      <w:r>
        <w:rPr>
          <w:rFonts w:ascii="Times New Roman" w:hAnsi="Times New Roman"/>
        </w:rPr>
        <w:t>With the exception that the reference period for all of the smaller samples reach back to the same January 2017 starting month, t</w:t>
      </w:r>
      <w:r w:rsidR="00675C21">
        <w:rPr>
          <w:rFonts w:ascii="Times New Roman" w:hAnsi="Times New Roman"/>
        </w:rPr>
        <w:t xml:space="preserve">his design is conceptually analogous to the </w:t>
      </w:r>
      <w:r>
        <w:rPr>
          <w:rFonts w:ascii="Times New Roman" w:hAnsi="Times New Roman"/>
        </w:rPr>
        <w:t xml:space="preserve">way SIPP fielded the </w:t>
      </w:r>
      <w:r w:rsidR="00675C21">
        <w:rPr>
          <w:rFonts w:ascii="Times New Roman" w:hAnsi="Times New Roman"/>
        </w:rPr>
        <w:t xml:space="preserve">rotation groups that existed prior to </w:t>
      </w:r>
      <w:r>
        <w:rPr>
          <w:rFonts w:ascii="Times New Roman" w:hAnsi="Times New Roman"/>
        </w:rPr>
        <w:t xml:space="preserve">the </w:t>
      </w:r>
      <w:r w:rsidR="00675C21">
        <w:rPr>
          <w:rFonts w:ascii="Times New Roman" w:hAnsi="Times New Roman"/>
        </w:rPr>
        <w:t>SIPP Panel 2014.</w:t>
      </w:r>
    </w:p>
    <w:p w14:paraId="3FB1D3C6" w14:textId="4EAEC01F" w:rsidR="00675C21" w:rsidRDefault="00675C2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10D4B64" w14:textId="4E784914" w:rsidR="00675C21" w:rsidRDefault="00675C2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Since we are treating each month’s sample independently, this system will allow flexibility in responding to budgetary levels while still planning for the full workload. </w:t>
      </w:r>
      <w:r w:rsidR="00EF0749">
        <w:rPr>
          <w:rFonts w:ascii="Times New Roman" w:hAnsi="Times New Roman"/>
        </w:rPr>
        <w:t xml:space="preserve">Thus, we will </w:t>
      </w:r>
      <w:r w:rsidR="004253B3">
        <w:rPr>
          <w:rFonts w:ascii="Times New Roman" w:hAnsi="Times New Roman"/>
        </w:rPr>
        <w:t>plan for all</w:t>
      </w:r>
      <w:r w:rsidR="006D4223">
        <w:rPr>
          <w:rFonts w:ascii="Times New Roman" w:hAnsi="Times New Roman"/>
        </w:rPr>
        <w:t xml:space="preserve"> sample months</w:t>
      </w:r>
      <w:r w:rsidR="004253B3">
        <w:rPr>
          <w:rFonts w:ascii="Times New Roman" w:hAnsi="Times New Roman"/>
        </w:rPr>
        <w:t xml:space="preserve">, but </w:t>
      </w:r>
      <w:r w:rsidR="00EF0749">
        <w:rPr>
          <w:rFonts w:ascii="Times New Roman" w:hAnsi="Times New Roman"/>
        </w:rPr>
        <w:t>fiel</w:t>
      </w:r>
      <w:r w:rsidR="00373CC0">
        <w:rPr>
          <w:rFonts w:ascii="Times New Roman" w:hAnsi="Times New Roman"/>
        </w:rPr>
        <w:t xml:space="preserve">d and work as many as </w:t>
      </w:r>
      <w:r w:rsidR="006D4223">
        <w:rPr>
          <w:rFonts w:ascii="Times New Roman" w:hAnsi="Times New Roman"/>
        </w:rPr>
        <w:t>the budget allows</w:t>
      </w:r>
      <w:r w:rsidR="00373CC0">
        <w:rPr>
          <w:rFonts w:ascii="Times New Roman" w:hAnsi="Times New Roman"/>
        </w:rPr>
        <w:t xml:space="preserve">, </w:t>
      </w:r>
      <w:r w:rsidR="006D4223">
        <w:rPr>
          <w:rFonts w:ascii="Times New Roman" w:hAnsi="Times New Roman"/>
        </w:rPr>
        <w:t>and</w:t>
      </w:r>
      <w:r w:rsidR="00373CC0">
        <w:rPr>
          <w:rFonts w:ascii="Times New Roman" w:hAnsi="Times New Roman"/>
        </w:rPr>
        <w:t xml:space="preserve"> allow for </w:t>
      </w:r>
      <w:r w:rsidR="00EF0749">
        <w:rPr>
          <w:rFonts w:ascii="Times New Roman" w:hAnsi="Times New Roman"/>
        </w:rPr>
        <w:t xml:space="preserve">orderly decisions </w:t>
      </w:r>
      <w:r w:rsidR="004516E0">
        <w:rPr>
          <w:rFonts w:ascii="Times New Roman" w:hAnsi="Times New Roman"/>
        </w:rPr>
        <w:t xml:space="preserve">about each month’s interviewing </w:t>
      </w:r>
      <w:r w:rsidR="00EF0749">
        <w:rPr>
          <w:rFonts w:ascii="Times New Roman" w:hAnsi="Times New Roman"/>
        </w:rPr>
        <w:t>based on current funding without haphazard impacts on data quality.</w:t>
      </w:r>
    </w:p>
    <w:p w14:paraId="40C45FB5" w14:textId="0591BD43" w:rsidR="00373CC0" w:rsidRDefault="00373CC0"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43166072" w14:textId="11B857BA" w:rsidR="00373CC0" w:rsidRDefault="006D422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If interviewing is cut off early, in this design, </w:t>
      </w:r>
      <w:r w:rsidR="00EF0749">
        <w:rPr>
          <w:rFonts w:ascii="Times New Roman" w:hAnsi="Times New Roman"/>
        </w:rPr>
        <w:t>t</w:t>
      </w:r>
      <w:r w:rsidR="00373CC0">
        <w:rPr>
          <w:rFonts w:ascii="Times New Roman" w:hAnsi="Times New Roman"/>
        </w:rPr>
        <w:t xml:space="preserve">he loss of data will affect the precision of the estimates and the cases available for longitudinal </w:t>
      </w:r>
      <w:r>
        <w:rPr>
          <w:rFonts w:ascii="Times New Roman" w:hAnsi="Times New Roman"/>
        </w:rPr>
        <w:t>use</w:t>
      </w:r>
      <w:r w:rsidR="00373CC0">
        <w:rPr>
          <w:rFonts w:ascii="Times New Roman" w:hAnsi="Times New Roman"/>
        </w:rPr>
        <w:t xml:space="preserve">, but would not affect the </w:t>
      </w:r>
      <w:r>
        <w:rPr>
          <w:rFonts w:ascii="Times New Roman" w:hAnsi="Times New Roman"/>
        </w:rPr>
        <w:t xml:space="preserve">representativeness of the </w:t>
      </w:r>
      <w:r w:rsidR="00373CC0">
        <w:rPr>
          <w:rFonts w:ascii="Times New Roman" w:hAnsi="Times New Roman"/>
        </w:rPr>
        <w:t>sample composition</w:t>
      </w:r>
      <w:r w:rsidR="00EF0749">
        <w:rPr>
          <w:rFonts w:ascii="Times New Roman" w:hAnsi="Times New Roman"/>
        </w:rPr>
        <w:t xml:space="preserve"> </w:t>
      </w:r>
      <w:r w:rsidR="00942F41">
        <w:rPr>
          <w:rFonts w:ascii="Times New Roman" w:hAnsi="Times New Roman"/>
        </w:rPr>
        <w:t>based on the completed months</w:t>
      </w:r>
      <w:r w:rsidR="00373CC0">
        <w:rPr>
          <w:rFonts w:ascii="Times New Roman" w:hAnsi="Times New Roman"/>
        </w:rPr>
        <w:t>.</w:t>
      </w:r>
      <w:r w:rsidR="00942F41">
        <w:rPr>
          <w:rFonts w:ascii="Times New Roman" w:hAnsi="Times New Roman"/>
        </w:rPr>
        <w:t xml:space="preserve"> We would keep this as a contingency, but plan to</w:t>
      </w:r>
      <w:r w:rsidR="00317586">
        <w:rPr>
          <w:rFonts w:ascii="Times New Roman" w:hAnsi="Times New Roman"/>
        </w:rPr>
        <w:t xml:space="preserve"> </w:t>
      </w:r>
      <w:r w:rsidR="001E5C0D">
        <w:rPr>
          <w:rFonts w:ascii="Times New Roman" w:hAnsi="Times New Roman"/>
        </w:rPr>
        <w:t xml:space="preserve">interview for the full period of months </w:t>
      </w:r>
      <w:r w:rsidR="00317586">
        <w:rPr>
          <w:rFonts w:ascii="Times New Roman" w:hAnsi="Times New Roman"/>
        </w:rPr>
        <w:t>and cover the entire sample.</w:t>
      </w:r>
    </w:p>
    <w:p w14:paraId="6CD0C455" w14:textId="605ABE7F" w:rsidR="00A34C67" w:rsidRDefault="00A34C6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In Waves 2+, we will again interview for as many months as the budget allows. We will continue this pattern in each subsequent wave.</w:t>
      </w:r>
    </w:p>
    <w:p w14:paraId="69CFFEAD" w14:textId="797AE035" w:rsidR="00A34C67" w:rsidRDefault="00A34C6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35D97D2E" w14:textId="58C8369E" w:rsidR="00942F41" w:rsidRDefault="00942F41" w:rsidP="00942F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If we are funded for a sample the same size as the 2014 </w:t>
      </w:r>
      <w:r w:rsidR="00641340">
        <w:rPr>
          <w:rFonts w:ascii="Times New Roman" w:hAnsi="Times New Roman"/>
        </w:rPr>
        <w:t xml:space="preserve">SIPP </w:t>
      </w:r>
      <w:r>
        <w:rPr>
          <w:rFonts w:ascii="Times New Roman" w:hAnsi="Times New Roman"/>
        </w:rPr>
        <w:t xml:space="preserve">Panel, a Wave 1 sample of 53,000 households, we expect approximately 31,800 households with completed interviews. </w:t>
      </w:r>
      <w:r w:rsidRPr="001F45C9">
        <w:rPr>
          <w:rFonts w:ascii="Times New Roman" w:hAnsi="Times New Roman"/>
        </w:rPr>
        <w:t>We estimate that each household contains 2.1 people aged 15 an</w:t>
      </w:r>
      <w:r>
        <w:rPr>
          <w:rFonts w:ascii="Times New Roman" w:hAnsi="Times New Roman"/>
        </w:rPr>
        <w:t>d above, yielding approximately 66,800</w:t>
      </w:r>
      <w:r w:rsidRPr="001F45C9">
        <w:rPr>
          <w:rFonts w:ascii="Times New Roman" w:hAnsi="Times New Roman"/>
        </w:rPr>
        <w:t xml:space="preserve"> person-level inte</w:t>
      </w:r>
      <w:r>
        <w:rPr>
          <w:rFonts w:ascii="Times New Roman" w:hAnsi="Times New Roman"/>
        </w:rPr>
        <w:t xml:space="preserve">rviews per wave in this panel. </w:t>
      </w:r>
      <w:r w:rsidRPr="00847160">
        <w:rPr>
          <w:rFonts w:ascii="Times New Roman" w:hAnsi="Times New Roman"/>
        </w:rPr>
        <w:t>We estimate that</w:t>
      </w:r>
      <w:r>
        <w:rPr>
          <w:rFonts w:ascii="Times New Roman" w:hAnsi="Times New Roman"/>
        </w:rPr>
        <w:t xml:space="preserve"> </w:t>
      </w:r>
      <w:r w:rsidRPr="00847160">
        <w:rPr>
          <w:rFonts w:ascii="Times New Roman" w:hAnsi="Times New Roman"/>
        </w:rPr>
        <w:t>completing the</w:t>
      </w:r>
      <w:r>
        <w:rPr>
          <w:rFonts w:ascii="Times New Roman" w:hAnsi="Times New Roman"/>
        </w:rPr>
        <w:t xml:space="preserve"> SIPP interview will </w:t>
      </w:r>
      <w:r w:rsidRPr="001F45C9">
        <w:rPr>
          <w:rFonts w:ascii="Times New Roman" w:hAnsi="Times New Roman"/>
        </w:rPr>
        <w:t>take approximately 60 minutes per adult on average, consequently the total annual burden for 201</w:t>
      </w:r>
      <w:r>
        <w:rPr>
          <w:rFonts w:ascii="Times New Roman" w:hAnsi="Times New Roman"/>
        </w:rPr>
        <w:t>8</w:t>
      </w:r>
      <w:r w:rsidRPr="001F45C9">
        <w:rPr>
          <w:rFonts w:ascii="Times New Roman" w:hAnsi="Times New Roman"/>
        </w:rPr>
        <w:t xml:space="preserve"> SIPP interviews will be </w:t>
      </w:r>
      <w:r>
        <w:rPr>
          <w:rFonts w:ascii="Times New Roman" w:hAnsi="Times New Roman"/>
        </w:rPr>
        <w:t>66,800</w:t>
      </w:r>
      <w:r w:rsidRPr="001F45C9">
        <w:rPr>
          <w:rFonts w:ascii="Times New Roman" w:hAnsi="Times New Roman"/>
        </w:rPr>
        <w:t xml:space="preserve"> hours per year in FY 201</w:t>
      </w:r>
      <w:r>
        <w:rPr>
          <w:rFonts w:ascii="Times New Roman" w:hAnsi="Times New Roman"/>
        </w:rPr>
        <w:t>8</w:t>
      </w:r>
      <w:r w:rsidRPr="001F45C9">
        <w:rPr>
          <w:rFonts w:ascii="Times New Roman" w:hAnsi="Times New Roman"/>
        </w:rPr>
        <w:t>, 201</w:t>
      </w:r>
      <w:r>
        <w:rPr>
          <w:rFonts w:ascii="Times New Roman" w:hAnsi="Times New Roman"/>
        </w:rPr>
        <w:t>9</w:t>
      </w:r>
      <w:r w:rsidRPr="001F45C9">
        <w:rPr>
          <w:rFonts w:ascii="Times New Roman" w:hAnsi="Times New Roman"/>
        </w:rPr>
        <w:t>, 20</w:t>
      </w:r>
      <w:r>
        <w:rPr>
          <w:rFonts w:ascii="Times New Roman" w:hAnsi="Times New Roman"/>
        </w:rPr>
        <w:t>20</w:t>
      </w:r>
      <w:r w:rsidRPr="001F45C9">
        <w:rPr>
          <w:rFonts w:ascii="Times New Roman" w:hAnsi="Times New Roman"/>
        </w:rPr>
        <w:t>, and 20</w:t>
      </w:r>
      <w:r>
        <w:rPr>
          <w:rFonts w:ascii="Times New Roman" w:hAnsi="Times New Roman"/>
        </w:rPr>
        <w:t>21</w:t>
      </w:r>
      <w:r w:rsidRPr="001F45C9">
        <w:rPr>
          <w:rFonts w:ascii="Times New Roman" w:hAnsi="Times New Roman"/>
        </w:rPr>
        <w:t>.</w:t>
      </w:r>
    </w:p>
    <w:p w14:paraId="79F83D4C" w14:textId="3A703ACD" w:rsidR="00942F41" w:rsidRDefault="00942F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7E8C9001" w14:textId="3F8AF35B" w:rsidR="00942F41" w:rsidRDefault="00942F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If we are funded at current levels, for a Wave 1 sample of 35,000 households, we expect approximately 20</w:t>
      </w:r>
      <w:r w:rsidRPr="004A07FA">
        <w:rPr>
          <w:rFonts w:ascii="Times New Roman" w:hAnsi="Times New Roman"/>
        </w:rPr>
        <w:t>,000</w:t>
      </w:r>
      <w:r>
        <w:rPr>
          <w:rFonts w:ascii="Times New Roman" w:hAnsi="Times New Roman"/>
        </w:rPr>
        <w:t xml:space="preserve"> households with completed interviews. </w:t>
      </w:r>
      <w:r w:rsidRPr="001F45C9">
        <w:rPr>
          <w:rFonts w:ascii="Times New Roman" w:hAnsi="Times New Roman"/>
        </w:rPr>
        <w:t>We estimate that each household contains 2.1 people aged 15 an</w:t>
      </w:r>
      <w:r>
        <w:rPr>
          <w:rFonts w:ascii="Times New Roman" w:hAnsi="Times New Roman"/>
        </w:rPr>
        <w:t>d above, yielding approximately 42,000</w:t>
      </w:r>
      <w:r w:rsidRPr="001F45C9">
        <w:rPr>
          <w:rFonts w:ascii="Times New Roman" w:hAnsi="Times New Roman"/>
        </w:rPr>
        <w:t xml:space="preserve"> person-level inte</w:t>
      </w:r>
      <w:r>
        <w:rPr>
          <w:rFonts w:ascii="Times New Roman" w:hAnsi="Times New Roman"/>
        </w:rPr>
        <w:t xml:space="preserve">rviews per wave in this panel. </w:t>
      </w:r>
      <w:r w:rsidRPr="00847160">
        <w:rPr>
          <w:rFonts w:ascii="Times New Roman" w:hAnsi="Times New Roman"/>
        </w:rPr>
        <w:t>We estimate that</w:t>
      </w:r>
      <w:r>
        <w:rPr>
          <w:rFonts w:ascii="Times New Roman" w:hAnsi="Times New Roman"/>
        </w:rPr>
        <w:t xml:space="preserve"> </w:t>
      </w:r>
      <w:r w:rsidRPr="00847160">
        <w:rPr>
          <w:rFonts w:ascii="Times New Roman" w:hAnsi="Times New Roman"/>
        </w:rPr>
        <w:t>completing the</w:t>
      </w:r>
      <w:r>
        <w:rPr>
          <w:rFonts w:ascii="Times New Roman" w:hAnsi="Times New Roman"/>
        </w:rPr>
        <w:t xml:space="preserve"> SIPP interview will </w:t>
      </w:r>
      <w:r w:rsidRPr="001F45C9">
        <w:rPr>
          <w:rFonts w:ascii="Times New Roman" w:hAnsi="Times New Roman"/>
        </w:rPr>
        <w:t>take approximately 60 minutes per adult on average, consequently the total annual burden for 201</w:t>
      </w:r>
      <w:r>
        <w:rPr>
          <w:rFonts w:ascii="Times New Roman" w:hAnsi="Times New Roman"/>
        </w:rPr>
        <w:t>8</w:t>
      </w:r>
      <w:r w:rsidRPr="001F45C9">
        <w:rPr>
          <w:rFonts w:ascii="Times New Roman" w:hAnsi="Times New Roman"/>
        </w:rPr>
        <w:t xml:space="preserve"> SIPP interviews will be </w:t>
      </w:r>
      <w:r>
        <w:rPr>
          <w:rFonts w:ascii="Times New Roman" w:hAnsi="Times New Roman"/>
        </w:rPr>
        <w:t>42,0</w:t>
      </w:r>
      <w:r w:rsidRPr="00AA5132">
        <w:rPr>
          <w:rFonts w:ascii="Times New Roman" w:hAnsi="Times New Roman"/>
        </w:rPr>
        <w:t>00</w:t>
      </w:r>
      <w:r w:rsidRPr="001F45C9">
        <w:rPr>
          <w:rFonts w:ascii="Times New Roman" w:hAnsi="Times New Roman"/>
        </w:rPr>
        <w:t xml:space="preserve"> hours per year in FY 201</w:t>
      </w:r>
      <w:r>
        <w:rPr>
          <w:rFonts w:ascii="Times New Roman" w:hAnsi="Times New Roman"/>
        </w:rPr>
        <w:t>8</w:t>
      </w:r>
      <w:r w:rsidRPr="001F45C9">
        <w:rPr>
          <w:rFonts w:ascii="Times New Roman" w:hAnsi="Times New Roman"/>
        </w:rPr>
        <w:t>, 201</w:t>
      </w:r>
      <w:r>
        <w:rPr>
          <w:rFonts w:ascii="Times New Roman" w:hAnsi="Times New Roman"/>
        </w:rPr>
        <w:t>9</w:t>
      </w:r>
      <w:r w:rsidRPr="001F45C9">
        <w:rPr>
          <w:rFonts w:ascii="Times New Roman" w:hAnsi="Times New Roman"/>
        </w:rPr>
        <w:t>, 20</w:t>
      </w:r>
      <w:r>
        <w:rPr>
          <w:rFonts w:ascii="Times New Roman" w:hAnsi="Times New Roman"/>
        </w:rPr>
        <w:t>20</w:t>
      </w:r>
      <w:r w:rsidRPr="001F45C9">
        <w:rPr>
          <w:rFonts w:ascii="Times New Roman" w:hAnsi="Times New Roman"/>
        </w:rPr>
        <w:t>, and 20</w:t>
      </w:r>
      <w:r>
        <w:rPr>
          <w:rFonts w:ascii="Times New Roman" w:hAnsi="Times New Roman"/>
        </w:rPr>
        <w:t>21</w:t>
      </w:r>
      <w:r w:rsidRPr="001F45C9">
        <w:rPr>
          <w:rFonts w:ascii="Times New Roman" w:hAnsi="Times New Roman"/>
        </w:rPr>
        <w:t>.</w:t>
      </w:r>
    </w:p>
    <w:p w14:paraId="50A6BCB4" w14:textId="77777777" w:rsidR="00942F41" w:rsidRDefault="00942F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664F7C39" w14:textId="223329F3" w:rsidR="00191AA1" w:rsidRDefault="00191AA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Design plans depend on funding, with a sample size of 35,000 </w:t>
      </w:r>
      <w:r w:rsidR="00C86072">
        <w:rPr>
          <w:rFonts w:ascii="Times New Roman" w:hAnsi="Times New Roman"/>
        </w:rPr>
        <w:t xml:space="preserve">households </w:t>
      </w:r>
      <w:r>
        <w:rPr>
          <w:rFonts w:ascii="Times New Roman" w:hAnsi="Times New Roman"/>
        </w:rPr>
        <w:t xml:space="preserve">being the minimum </w:t>
      </w:r>
      <w:r w:rsidR="00C86072">
        <w:rPr>
          <w:rFonts w:ascii="Times New Roman" w:hAnsi="Times New Roman"/>
        </w:rPr>
        <w:t>threshold</w:t>
      </w:r>
      <w:r>
        <w:rPr>
          <w:rFonts w:ascii="Times New Roman" w:hAnsi="Times New Roman"/>
        </w:rPr>
        <w:t>. If we are funded for a Wave 1 household sample size of more than 35,000</w:t>
      </w:r>
      <w:r w:rsidR="00C86072">
        <w:rPr>
          <w:rFonts w:ascii="Times New Roman" w:hAnsi="Times New Roman"/>
        </w:rPr>
        <w:t xml:space="preserve"> (the 2014 Panel sample size </w:t>
      </w:r>
      <w:r w:rsidR="00942F41">
        <w:rPr>
          <w:rFonts w:ascii="Times New Roman" w:hAnsi="Times New Roman"/>
        </w:rPr>
        <w:t>of</w:t>
      </w:r>
      <w:r w:rsidR="00C86072">
        <w:rPr>
          <w:rFonts w:ascii="Times New Roman" w:hAnsi="Times New Roman"/>
        </w:rPr>
        <w:t xml:space="preserve"> 53,000), we will conduct the 2018 Panel in the same manner as the 1996 – 2014 Panels with abutting panels.</w:t>
      </w:r>
    </w:p>
    <w:p w14:paraId="19017A6A" w14:textId="77777777" w:rsidR="00C86072" w:rsidRDefault="00C8607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0F6AF39" w14:textId="1F46CD8F" w:rsidR="00AA5132" w:rsidRDefault="00C8607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If we are not able to initiate the 2018 Panel with more than 35,000 household</w:t>
      </w:r>
      <w:r w:rsidR="00641340">
        <w:rPr>
          <w:rFonts w:ascii="Times New Roman" w:hAnsi="Times New Roman"/>
        </w:rPr>
        <w:t>s</w:t>
      </w:r>
      <w:r>
        <w:rPr>
          <w:rFonts w:ascii="Times New Roman" w:hAnsi="Times New Roman"/>
        </w:rPr>
        <w:t>, w</w:t>
      </w:r>
      <w:r w:rsidR="000F64D5">
        <w:rPr>
          <w:rFonts w:ascii="Times New Roman" w:hAnsi="Times New Roman"/>
        </w:rPr>
        <w:t xml:space="preserve">e </w:t>
      </w:r>
      <w:r w:rsidR="009F3F3E">
        <w:rPr>
          <w:rFonts w:ascii="Times New Roman" w:hAnsi="Times New Roman"/>
        </w:rPr>
        <w:t>plan to</w:t>
      </w:r>
      <w:r w:rsidR="000F64D5">
        <w:rPr>
          <w:rFonts w:ascii="Times New Roman" w:hAnsi="Times New Roman"/>
        </w:rPr>
        <w:t xml:space="preserve"> </w:t>
      </w:r>
      <w:r w:rsidR="00641340">
        <w:rPr>
          <w:rFonts w:ascii="Times New Roman" w:hAnsi="Times New Roman"/>
        </w:rPr>
        <w:t>institute</w:t>
      </w:r>
      <w:r w:rsidR="000F64D5">
        <w:rPr>
          <w:rFonts w:ascii="Times New Roman" w:hAnsi="Times New Roman"/>
        </w:rPr>
        <w:t xml:space="preserve"> </w:t>
      </w:r>
      <w:r w:rsidR="009F3F3E">
        <w:rPr>
          <w:rFonts w:ascii="Times New Roman" w:hAnsi="Times New Roman"/>
        </w:rPr>
        <w:t>an</w:t>
      </w:r>
      <w:r w:rsidR="000F64D5">
        <w:rPr>
          <w:rFonts w:ascii="Times New Roman" w:hAnsi="Times New Roman"/>
        </w:rPr>
        <w:t xml:space="preserve"> o</w:t>
      </w:r>
      <w:r w:rsidR="00A34C67" w:rsidRPr="000F64D5">
        <w:rPr>
          <w:rFonts w:ascii="Times New Roman" w:hAnsi="Times New Roman"/>
        </w:rPr>
        <w:t>verlappin</w:t>
      </w:r>
      <w:r w:rsidR="000F64D5">
        <w:rPr>
          <w:rFonts w:ascii="Times New Roman" w:hAnsi="Times New Roman"/>
        </w:rPr>
        <w:t xml:space="preserve">g panel (sample) </w:t>
      </w:r>
      <w:r w:rsidR="009F3F3E">
        <w:rPr>
          <w:rFonts w:ascii="Times New Roman" w:hAnsi="Times New Roman"/>
        </w:rPr>
        <w:t>design</w:t>
      </w:r>
      <w:r w:rsidR="000F64D5">
        <w:rPr>
          <w:rFonts w:ascii="Times New Roman" w:hAnsi="Times New Roman"/>
        </w:rPr>
        <w:t xml:space="preserve"> for </w:t>
      </w:r>
      <w:r w:rsidR="004516E0">
        <w:rPr>
          <w:rFonts w:ascii="Times New Roman" w:hAnsi="Times New Roman"/>
        </w:rPr>
        <w:t xml:space="preserve">initiating new panels and maintaining the level of interviewed </w:t>
      </w:r>
      <w:r w:rsidR="00B63349">
        <w:rPr>
          <w:rFonts w:ascii="Times New Roman" w:hAnsi="Times New Roman"/>
        </w:rPr>
        <w:t xml:space="preserve">cases </w:t>
      </w:r>
      <w:r w:rsidR="004516E0">
        <w:rPr>
          <w:rFonts w:ascii="Times New Roman" w:hAnsi="Times New Roman"/>
        </w:rPr>
        <w:t>in</w:t>
      </w:r>
      <w:r w:rsidR="00EF3B13">
        <w:rPr>
          <w:rFonts w:ascii="Times New Roman" w:hAnsi="Times New Roman"/>
        </w:rPr>
        <w:t xml:space="preserve"> each subsequent year to keep the </w:t>
      </w:r>
      <w:r w:rsidR="00B63349">
        <w:rPr>
          <w:rFonts w:ascii="Times New Roman" w:hAnsi="Times New Roman"/>
        </w:rPr>
        <w:t xml:space="preserve">total pool of cases interviewed </w:t>
      </w:r>
      <w:r w:rsidR="00EF3B13">
        <w:rPr>
          <w:rFonts w:ascii="Times New Roman" w:hAnsi="Times New Roman"/>
        </w:rPr>
        <w:t>constant</w:t>
      </w:r>
      <w:r w:rsidR="00B63349">
        <w:rPr>
          <w:rFonts w:ascii="Times New Roman" w:hAnsi="Times New Roman"/>
        </w:rPr>
        <w:t xml:space="preserve"> in each year</w:t>
      </w:r>
      <w:r w:rsidR="00EF3B13">
        <w:rPr>
          <w:rFonts w:ascii="Times New Roman" w:hAnsi="Times New Roman"/>
        </w:rPr>
        <w:t>.</w:t>
      </w:r>
      <w:r w:rsidR="001024B9">
        <w:rPr>
          <w:rFonts w:ascii="Times New Roman" w:hAnsi="Times New Roman"/>
        </w:rPr>
        <w:t xml:space="preserve"> New representative cases </w:t>
      </w:r>
      <w:r w:rsidR="00641340">
        <w:rPr>
          <w:rFonts w:ascii="Times New Roman" w:hAnsi="Times New Roman"/>
        </w:rPr>
        <w:t xml:space="preserve">would </w:t>
      </w:r>
      <w:r w:rsidR="001024B9">
        <w:rPr>
          <w:rFonts w:ascii="Times New Roman" w:hAnsi="Times New Roman"/>
        </w:rPr>
        <w:t>come from the same geographic areas</w:t>
      </w:r>
      <w:r w:rsidR="001607A8">
        <w:rPr>
          <w:rFonts w:ascii="Times New Roman" w:hAnsi="Times New Roman"/>
        </w:rPr>
        <w:t xml:space="preserve"> as the original sample, and represent </w:t>
      </w:r>
      <w:r w:rsidR="00B63349">
        <w:rPr>
          <w:rFonts w:ascii="Times New Roman" w:hAnsi="Times New Roman"/>
        </w:rPr>
        <w:t xml:space="preserve">new representative </w:t>
      </w:r>
      <w:r w:rsidR="001607A8">
        <w:rPr>
          <w:rFonts w:ascii="Times New Roman" w:hAnsi="Times New Roman"/>
        </w:rPr>
        <w:t xml:space="preserve">samples for </w:t>
      </w:r>
      <w:r w:rsidR="00B63349">
        <w:rPr>
          <w:rFonts w:ascii="Times New Roman" w:hAnsi="Times New Roman"/>
        </w:rPr>
        <w:t>incoming annual panels</w:t>
      </w:r>
      <w:r w:rsidR="001607A8">
        <w:rPr>
          <w:rFonts w:ascii="Times New Roman" w:hAnsi="Times New Roman"/>
        </w:rPr>
        <w:t>. This will maintain an approximately equal annual and monthly workload</w:t>
      </w:r>
      <w:r w:rsidR="00D275FD">
        <w:rPr>
          <w:rFonts w:ascii="Times New Roman" w:hAnsi="Times New Roman"/>
        </w:rPr>
        <w:t xml:space="preserve"> during the interview period</w:t>
      </w:r>
      <w:r w:rsidR="001607A8">
        <w:rPr>
          <w:rFonts w:ascii="Times New Roman" w:hAnsi="Times New Roman"/>
        </w:rPr>
        <w:t>.</w:t>
      </w:r>
      <w:r w:rsidR="00A03280">
        <w:rPr>
          <w:rFonts w:ascii="Times New Roman" w:hAnsi="Times New Roman"/>
        </w:rPr>
        <w:t xml:space="preserve">  In addition, </w:t>
      </w:r>
      <w:r w:rsidR="00D275FD">
        <w:rPr>
          <w:rFonts w:ascii="Times New Roman" w:hAnsi="Times New Roman"/>
        </w:rPr>
        <w:t>longitudinal analyses can utilize sets of overlapping four-year panels when</w:t>
      </w:r>
      <w:r w:rsidR="00C220B1">
        <w:rPr>
          <w:rFonts w:ascii="Times New Roman" w:hAnsi="Times New Roman"/>
        </w:rPr>
        <w:t xml:space="preserve"> calendar year is not critical </w:t>
      </w:r>
      <w:r w:rsidR="00D275FD">
        <w:rPr>
          <w:rFonts w:ascii="Times New Roman" w:hAnsi="Times New Roman"/>
        </w:rPr>
        <w:t>to the design of the specific analysis.</w:t>
      </w:r>
    </w:p>
    <w:p w14:paraId="2074AE9C" w14:textId="77777777" w:rsidR="00C220B1" w:rsidRDefault="00C220B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6B89DC11" w14:textId="1F7B1C78" w:rsidR="00EF3B13" w:rsidRDefault="001476C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table below illustrates how the overlapping panels work. </w:t>
      </w:r>
      <w:r w:rsidR="006D07A5">
        <w:rPr>
          <w:rFonts w:ascii="Times New Roman" w:hAnsi="Times New Roman"/>
        </w:rPr>
        <w:t xml:space="preserve">The initial sample of 7,000 per month will be interviewed over the next </w:t>
      </w:r>
      <w:r w:rsidR="00D275FD">
        <w:rPr>
          <w:rFonts w:ascii="Times New Roman" w:hAnsi="Times New Roman"/>
        </w:rPr>
        <w:t>four</w:t>
      </w:r>
      <w:r w:rsidR="006D07A5">
        <w:rPr>
          <w:rFonts w:ascii="Times New Roman" w:hAnsi="Times New Roman"/>
        </w:rPr>
        <w:t xml:space="preserve"> years. </w:t>
      </w:r>
      <w:r>
        <w:rPr>
          <w:rFonts w:ascii="Times New Roman" w:hAnsi="Times New Roman"/>
        </w:rPr>
        <w:t xml:space="preserve">In 2019, based on an estimated sample loss from </w:t>
      </w:r>
      <w:r w:rsidR="009F6EFB">
        <w:rPr>
          <w:rFonts w:ascii="Times New Roman" w:hAnsi="Times New Roman"/>
        </w:rPr>
        <w:t>W</w:t>
      </w:r>
      <w:r>
        <w:rPr>
          <w:rFonts w:ascii="Times New Roman" w:hAnsi="Times New Roman"/>
        </w:rPr>
        <w:t xml:space="preserve">ave 1 (2018) to </w:t>
      </w:r>
      <w:r w:rsidR="009F6EFB">
        <w:rPr>
          <w:rFonts w:ascii="Times New Roman" w:hAnsi="Times New Roman"/>
        </w:rPr>
        <w:t>W</w:t>
      </w:r>
      <w:r>
        <w:rPr>
          <w:rFonts w:ascii="Times New Roman" w:hAnsi="Times New Roman"/>
        </w:rPr>
        <w:t xml:space="preserve">ave 2 (2019), there are 4,060 original cases remaining. Adding 2,800 </w:t>
      </w:r>
      <w:r w:rsidR="006D07A5">
        <w:rPr>
          <w:rFonts w:ascii="Times New Roman" w:hAnsi="Times New Roman"/>
        </w:rPr>
        <w:t xml:space="preserve">new </w:t>
      </w:r>
      <w:r>
        <w:rPr>
          <w:rFonts w:ascii="Times New Roman" w:hAnsi="Times New Roman"/>
        </w:rPr>
        <w:t>cases will bring the monthly total back to around 7,000.  The 2,800 supplement acts as a new panel as these cases are interviewed for the next 4 years.</w:t>
      </w:r>
      <w:r w:rsidR="006D07A5">
        <w:rPr>
          <w:rFonts w:ascii="Times New Roman" w:hAnsi="Times New Roman"/>
        </w:rPr>
        <w:t xml:space="preserve"> In 2020, </w:t>
      </w:r>
      <w:r w:rsidR="00D275FD">
        <w:rPr>
          <w:rFonts w:ascii="Times New Roman" w:hAnsi="Times New Roman"/>
        </w:rPr>
        <w:t>three</w:t>
      </w:r>
      <w:r w:rsidR="006D07A5">
        <w:rPr>
          <w:rFonts w:ascii="Times New Roman" w:hAnsi="Times New Roman"/>
        </w:rPr>
        <w:t xml:space="preserve"> groups make up the 7,000 monthly total: Wave 3 for Panel 2018, Wave 2 for Panel 2019, and Wave 1 for the 2,500 new cases in 2020.</w:t>
      </w:r>
    </w:p>
    <w:p w14:paraId="09D0CC1D" w14:textId="77777777" w:rsidR="001607A8" w:rsidRDefault="001607A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tbl>
      <w:tblPr>
        <w:tblStyle w:val="TableGrid1"/>
        <w:tblW w:w="9990" w:type="dxa"/>
        <w:tblInd w:w="-100" w:type="dxa"/>
        <w:tblLayout w:type="fixed"/>
        <w:tblLook w:val="04A0" w:firstRow="1" w:lastRow="0" w:firstColumn="1" w:lastColumn="0" w:noHBand="0" w:noVBand="1"/>
      </w:tblPr>
      <w:tblGrid>
        <w:gridCol w:w="2610"/>
        <w:gridCol w:w="296"/>
        <w:gridCol w:w="514"/>
        <w:gridCol w:w="810"/>
        <w:gridCol w:w="720"/>
        <w:gridCol w:w="720"/>
        <w:gridCol w:w="720"/>
        <w:gridCol w:w="720"/>
        <w:gridCol w:w="720"/>
        <w:gridCol w:w="720"/>
        <w:gridCol w:w="720"/>
        <w:gridCol w:w="720"/>
      </w:tblGrid>
      <w:tr w:rsidR="00A03280" w:rsidRPr="001024B9" w14:paraId="194E04E9" w14:textId="77777777" w:rsidTr="00A01F09">
        <w:tc>
          <w:tcPr>
            <w:tcW w:w="2610" w:type="dxa"/>
            <w:tcBorders>
              <w:top w:val="single" w:sz="8" w:space="0" w:color="auto"/>
              <w:left w:val="single" w:sz="8" w:space="0" w:color="auto"/>
              <w:bottom w:val="single" w:sz="8" w:space="0" w:color="auto"/>
              <w:right w:val="single" w:sz="8" w:space="0" w:color="auto"/>
            </w:tcBorders>
          </w:tcPr>
          <w:p w14:paraId="7D7CFD4B" w14:textId="4B423389" w:rsidR="00A03280" w:rsidRPr="001024B9" w:rsidRDefault="00F75A54" w:rsidP="001024B9">
            <w:pPr>
              <w:widowControl/>
              <w:autoSpaceDE/>
              <w:autoSpaceDN/>
              <w:adjustRightInd/>
              <w:rPr>
                <w:rFonts w:ascii="Calibri" w:hAnsi="Calibri"/>
                <w:b/>
                <w:sz w:val="18"/>
                <w:szCs w:val="18"/>
              </w:rPr>
            </w:pPr>
            <w:r>
              <w:rPr>
                <w:rFonts w:ascii="Calibri" w:hAnsi="Calibri"/>
                <w:b/>
                <w:sz w:val="18"/>
                <w:szCs w:val="18"/>
              </w:rPr>
              <w:t xml:space="preserve">SIPP </w:t>
            </w:r>
            <w:r w:rsidR="00A03280" w:rsidRPr="001024B9">
              <w:rPr>
                <w:rFonts w:ascii="Calibri" w:hAnsi="Calibri"/>
                <w:b/>
                <w:sz w:val="18"/>
                <w:szCs w:val="18"/>
              </w:rPr>
              <w:t>OVERLAPPING PANELS</w:t>
            </w:r>
          </w:p>
        </w:tc>
        <w:tc>
          <w:tcPr>
            <w:tcW w:w="296" w:type="dxa"/>
            <w:tcBorders>
              <w:top w:val="single" w:sz="8" w:space="0" w:color="auto"/>
              <w:left w:val="single" w:sz="8" w:space="0" w:color="auto"/>
              <w:bottom w:val="single" w:sz="8" w:space="0" w:color="auto"/>
              <w:right w:val="nil"/>
            </w:tcBorders>
          </w:tcPr>
          <w:p w14:paraId="50F6B588" w14:textId="77777777" w:rsidR="00A03280" w:rsidRPr="001024B9" w:rsidRDefault="00A03280" w:rsidP="001024B9">
            <w:pPr>
              <w:widowControl/>
              <w:autoSpaceDE/>
              <w:autoSpaceDN/>
              <w:adjustRightInd/>
              <w:jc w:val="center"/>
              <w:rPr>
                <w:rFonts w:ascii="Calibri" w:hAnsi="Calibri"/>
                <w:b/>
                <w:sz w:val="18"/>
                <w:szCs w:val="18"/>
              </w:rPr>
            </w:pPr>
          </w:p>
        </w:tc>
        <w:tc>
          <w:tcPr>
            <w:tcW w:w="7084" w:type="dxa"/>
            <w:gridSpan w:val="10"/>
            <w:tcBorders>
              <w:top w:val="single" w:sz="8" w:space="0" w:color="auto"/>
              <w:left w:val="nil"/>
              <w:bottom w:val="single" w:sz="12" w:space="0" w:color="auto"/>
              <w:right w:val="single" w:sz="8" w:space="0" w:color="auto"/>
            </w:tcBorders>
          </w:tcPr>
          <w:p w14:paraId="3F0E0E79" w14:textId="28A4AFBD" w:rsidR="00A03280" w:rsidRPr="001024B9" w:rsidRDefault="00A03280" w:rsidP="001024B9">
            <w:pPr>
              <w:widowControl/>
              <w:autoSpaceDE/>
              <w:autoSpaceDN/>
              <w:adjustRightInd/>
              <w:jc w:val="center"/>
              <w:rPr>
                <w:rFonts w:ascii="Calibri" w:hAnsi="Calibri"/>
                <w:b/>
                <w:sz w:val="18"/>
                <w:szCs w:val="18"/>
              </w:rPr>
            </w:pPr>
            <w:r w:rsidRPr="001024B9">
              <w:rPr>
                <w:rFonts w:ascii="Calibri" w:hAnsi="Calibri"/>
                <w:b/>
                <w:sz w:val="18"/>
                <w:szCs w:val="18"/>
              </w:rPr>
              <w:t>YEAR</w:t>
            </w:r>
          </w:p>
        </w:tc>
      </w:tr>
      <w:tr w:rsidR="00F16C0C" w:rsidRPr="001024B9" w14:paraId="373BD997" w14:textId="77777777" w:rsidTr="00A01F09">
        <w:trPr>
          <w:trHeight w:val="432"/>
        </w:trPr>
        <w:tc>
          <w:tcPr>
            <w:tcW w:w="2610" w:type="dxa"/>
            <w:tcBorders>
              <w:top w:val="single" w:sz="8" w:space="0" w:color="auto"/>
              <w:left w:val="single" w:sz="8" w:space="0" w:color="auto"/>
              <w:bottom w:val="single" w:sz="12" w:space="0" w:color="auto"/>
              <w:right w:val="single" w:sz="8" w:space="0" w:color="auto"/>
            </w:tcBorders>
            <w:vAlign w:val="center"/>
          </w:tcPr>
          <w:p w14:paraId="611F2706" w14:textId="77777777" w:rsidR="00F16C0C" w:rsidRPr="001024B9" w:rsidRDefault="00F16C0C" w:rsidP="00F16C0C">
            <w:pPr>
              <w:widowControl/>
              <w:autoSpaceDE/>
              <w:autoSpaceDN/>
              <w:adjustRightInd/>
              <w:jc w:val="right"/>
              <w:rPr>
                <w:rFonts w:ascii="Calibri" w:hAnsi="Calibri"/>
                <w:b/>
                <w:sz w:val="18"/>
                <w:szCs w:val="18"/>
              </w:rPr>
            </w:pPr>
          </w:p>
        </w:tc>
        <w:tc>
          <w:tcPr>
            <w:tcW w:w="810" w:type="dxa"/>
            <w:gridSpan w:val="2"/>
            <w:tcBorders>
              <w:top w:val="single" w:sz="12" w:space="0" w:color="auto"/>
              <w:left w:val="single" w:sz="8" w:space="0" w:color="auto"/>
              <w:bottom w:val="single" w:sz="12" w:space="0" w:color="auto"/>
              <w:right w:val="single" w:sz="8" w:space="0" w:color="auto"/>
            </w:tcBorders>
            <w:vAlign w:val="center"/>
          </w:tcPr>
          <w:p w14:paraId="0328FCDB"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2018</w:t>
            </w:r>
          </w:p>
        </w:tc>
        <w:tc>
          <w:tcPr>
            <w:tcW w:w="810" w:type="dxa"/>
            <w:tcBorders>
              <w:top w:val="single" w:sz="8" w:space="0" w:color="auto"/>
              <w:left w:val="single" w:sz="8" w:space="0" w:color="auto"/>
              <w:bottom w:val="single" w:sz="12" w:space="0" w:color="auto"/>
              <w:right w:val="single" w:sz="8" w:space="0" w:color="auto"/>
            </w:tcBorders>
            <w:vAlign w:val="center"/>
          </w:tcPr>
          <w:p w14:paraId="567911B5"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2019</w:t>
            </w:r>
          </w:p>
        </w:tc>
        <w:tc>
          <w:tcPr>
            <w:tcW w:w="720" w:type="dxa"/>
            <w:tcBorders>
              <w:top w:val="single" w:sz="12" w:space="0" w:color="auto"/>
              <w:left w:val="single" w:sz="8" w:space="0" w:color="auto"/>
              <w:bottom w:val="single" w:sz="12" w:space="0" w:color="auto"/>
              <w:right w:val="single" w:sz="8" w:space="0" w:color="auto"/>
            </w:tcBorders>
            <w:vAlign w:val="center"/>
          </w:tcPr>
          <w:p w14:paraId="7DA936C7"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2020</w:t>
            </w:r>
          </w:p>
        </w:tc>
        <w:tc>
          <w:tcPr>
            <w:tcW w:w="720" w:type="dxa"/>
            <w:tcBorders>
              <w:top w:val="single" w:sz="12" w:space="0" w:color="auto"/>
              <w:left w:val="single" w:sz="8" w:space="0" w:color="auto"/>
              <w:bottom w:val="single" w:sz="12" w:space="0" w:color="auto"/>
              <w:right w:val="single" w:sz="8" w:space="0" w:color="auto"/>
            </w:tcBorders>
            <w:vAlign w:val="center"/>
          </w:tcPr>
          <w:p w14:paraId="5FA761F5"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2021</w:t>
            </w:r>
          </w:p>
        </w:tc>
        <w:tc>
          <w:tcPr>
            <w:tcW w:w="720" w:type="dxa"/>
            <w:tcBorders>
              <w:top w:val="single" w:sz="12" w:space="0" w:color="auto"/>
              <w:left w:val="single" w:sz="8" w:space="0" w:color="auto"/>
              <w:bottom w:val="single" w:sz="12" w:space="0" w:color="auto"/>
              <w:right w:val="single" w:sz="8" w:space="0" w:color="auto"/>
            </w:tcBorders>
            <w:vAlign w:val="center"/>
          </w:tcPr>
          <w:p w14:paraId="3365E2F9"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2022</w:t>
            </w:r>
          </w:p>
        </w:tc>
        <w:tc>
          <w:tcPr>
            <w:tcW w:w="720" w:type="dxa"/>
            <w:tcBorders>
              <w:top w:val="single" w:sz="12" w:space="0" w:color="auto"/>
              <w:left w:val="single" w:sz="8" w:space="0" w:color="auto"/>
              <w:bottom w:val="single" w:sz="12" w:space="0" w:color="auto"/>
              <w:right w:val="single" w:sz="8" w:space="0" w:color="auto"/>
            </w:tcBorders>
            <w:vAlign w:val="center"/>
          </w:tcPr>
          <w:p w14:paraId="66C144AB"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2023</w:t>
            </w:r>
          </w:p>
        </w:tc>
        <w:tc>
          <w:tcPr>
            <w:tcW w:w="720" w:type="dxa"/>
            <w:tcBorders>
              <w:top w:val="single" w:sz="12" w:space="0" w:color="auto"/>
              <w:left w:val="single" w:sz="8" w:space="0" w:color="auto"/>
              <w:bottom w:val="single" w:sz="12" w:space="0" w:color="auto"/>
              <w:right w:val="single" w:sz="8" w:space="0" w:color="auto"/>
            </w:tcBorders>
            <w:vAlign w:val="center"/>
          </w:tcPr>
          <w:p w14:paraId="1F7448A3"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2024</w:t>
            </w:r>
          </w:p>
        </w:tc>
        <w:tc>
          <w:tcPr>
            <w:tcW w:w="720" w:type="dxa"/>
            <w:tcBorders>
              <w:top w:val="single" w:sz="12" w:space="0" w:color="auto"/>
              <w:left w:val="single" w:sz="8" w:space="0" w:color="auto"/>
              <w:bottom w:val="single" w:sz="12" w:space="0" w:color="auto"/>
              <w:right w:val="single" w:sz="8" w:space="0" w:color="auto"/>
            </w:tcBorders>
            <w:vAlign w:val="center"/>
          </w:tcPr>
          <w:p w14:paraId="4B135A00" w14:textId="77777777" w:rsidR="00F16C0C" w:rsidRPr="001024B9" w:rsidRDefault="00F16C0C" w:rsidP="00F16C0C">
            <w:pPr>
              <w:widowControl/>
              <w:autoSpaceDE/>
              <w:autoSpaceDN/>
              <w:adjustRightInd/>
              <w:jc w:val="right"/>
              <w:rPr>
                <w:rFonts w:ascii="Calibri" w:hAnsi="Calibri"/>
                <w:b/>
                <w:sz w:val="18"/>
                <w:szCs w:val="18"/>
              </w:rPr>
            </w:pPr>
            <w:r w:rsidRPr="001024B9">
              <w:rPr>
                <w:rFonts w:ascii="Calibri" w:hAnsi="Calibri"/>
                <w:b/>
                <w:sz w:val="18"/>
                <w:szCs w:val="18"/>
              </w:rPr>
              <w:t>2025</w:t>
            </w:r>
          </w:p>
        </w:tc>
        <w:tc>
          <w:tcPr>
            <w:tcW w:w="720" w:type="dxa"/>
            <w:tcBorders>
              <w:top w:val="single" w:sz="12" w:space="0" w:color="auto"/>
              <w:left w:val="single" w:sz="8" w:space="0" w:color="auto"/>
              <w:bottom w:val="single" w:sz="12" w:space="0" w:color="auto"/>
              <w:right w:val="single" w:sz="8" w:space="0" w:color="auto"/>
            </w:tcBorders>
            <w:vAlign w:val="center"/>
          </w:tcPr>
          <w:p w14:paraId="28DD64EB" w14:textId="69F892FE" w:rsidR="00F16C0C" w:rsidRPr="001024B9" w:rsidRDefault="00F16C0C" w:rsidP="00F16C0C">
            <w:pPr>
              <w:widowControl/>
              <w:autoSpaceDE/>
              <w:autoSpaceDN/>
              <w:adjustRightInd/>
              <w:jc w:val="right"/>
              <w:rPr>
                <w:rFonts w:ascii="Calibri" w:hAnsi="Calibri"/>
                <w:b/>
                <w:sz w:val="18"/>
                <w:szCs w:val="18"/>
              </w:rPr>
            </w:pPr>
            <w:r>
              <w:rPr>
                <w:rFonts w:ascii="Calibri" w:hAnsi="Calibri"/>
                <w:b/>
                <w:sz w:val="18"/>
                <w:szCs w:val="18"/>
              </w:rPr>
              <w:t>2026</w:t>
            </w:r>
          </w:p>
        </w:tc>
        <w:tc>
          <w:tcPr>
            <w:tcW w:w="720" w:type="dxa"/>
            <w:tcBorders>
              <w:top w:val="single" w:sz="8" w:space="0" w:color="auto"/>
              <w:left w:val="single" w:sz="8" w:space="0" w:color="auto"/>
              <w:bottom w:val="single" w:sz="12" w:space="0" w:color="auto"/>
              <w:right w:val="single" w:sz="8" w:space="0" w:color="auto"/>
            </w:tcBorders>
            <w:vAlign w:val="center"/>
          </w:tcPr>
          <w:p w14:paraId="40708219" w14:textId="4A5D2397" w:rsidR="00F16C0C" w:rsidRPr="00DA0AEE" w:rsidRDefault="00F16C0C" w:rsidP="00F16C0C">
            <w:pPr>
              <w:widowControl/>
              <w:autoSpaceDE/>
              <w:autoSpaceDN/>
              <w:adjustRightInd/>
              <w:jc w:val="center"/>
              <w:rPr>
                <w:rFonts w:ascii="Calibri" w:hAnsi="Calibri"/>
                <w:b/>
                <w:sz w:val="14"/>
                <w:szCs w:val="14"/>
              </w:rPr>
            </w:pPr>
            <w:r>
              <w:rPr>
                <w:rFonts w:ascii="Calibri" w:hAnsi="Calibri"/>
                <w:b/>
                <w:sz w:val="18"/>
                <w:szCs w:val="18"/>
              </w:rPr>
              <w:t>2027</w:t>
            </w:r>
          </w:p>
        </w:tc>
      </w:tr>
      <w:tr w:rsidR="00DA0AEE" w:rsidRPr="001024B9" w14:paraId="27B898D9" w14:textId="77777777" w:rsidTr="00A01F09">
        <w:trPr>
          <w:trHeight w:val="288"/>
        </w:trPr>
        <w:tc>
          <w:tcPr>
            <w:tcW w:w="2610" w:type="dxa"/>
            <w:tcBorders>
              <w:top w:val="single" w:sz="12" w:space="0" w:color="auto"/>
              <w:right w:val="single" w:sz="8" w:space="0" w:color="auto"/>
            </w:tcBorders>
          </w:tcPr>
          <w:p w14:paraId="0E174DE6" w14:textId="1FF01225" w:rsidR="00A03280" w:rsidRPr="001024B9" w:rsidRDefault="00A01F09" w:rsidP="001024B9">
            <w:pPr>
              <w:widowControl/>
              <w:autoSpaceDE/>
              <w:autoSpaceDN/>
              <w:adjustRightInd/>
              <w:rPr>
                <w:rFonts w:ascii="Calibri" w:hAnsi="Calibri"/>
                <w:sz w:val="18"/>
                <w:szCs w:val="18"/>
              </w:rPr>
            </w:pPr>
            <w:r>
              <w:rPr>
                <w:rFonts w:ascii="Calibri" w:hAnsi="Calibri"/>
                <w:sz w:val="18"/>
                <w:szCs w:val="18"/>
              </w:rPr>
              <w:t>Initial Monthly sample</w:t>
            </w:r>
          </w:p>
        </w:tc>
        <w:tc>
          <w:tcPr>
            <w:tcW w:w="810" w:type="dxa"/>
            <w:gridSpan w:val="2"/>
            <w:tcBorders>
              <w:top w:val="single" w:sz="12" w:space="0" w:color="auto"/>
              <w:left w:val="single" w:sz="8" w:space="0" w:color="auto"/>
            </w:tcBorders>
            <w:shd w:val="clear" w:color="auto" w:fill="F7CAAC"/>
          </w:tcPr>
          <w:p w14:paraId="2F143471" w14:textId="61222BD4"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7,000</w:t>
            </w:r>
          </w:p>
        </w:tc>
        <w:tc>
          <w:tcPr>
            <w:tcW w:w="810" w:type="dxa"/>
            <w:tcBorders>
              <w:top w:val="single" w:sz="12" w:space="0" w:color="auto"/>
            </w:tcBorders>
            <w:shd w:val="clear" w:color="auto" w:fill="F7CAAC"/>
          </w:tcPr>
          <w:p w14:paraId="352C9C42"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4,060**</w:t>
            </w:r>
          </w:p>
        </w:tc>
        <w:tc>
          <w:tcPr>
            <w:tcW w:w="720" w:type="dxa"/>
            <w:tcBorders>
              <w:top w:val="single" w:sz="12" w:space="0" w:color="auto"/>
            </w:tcBorders>
            <w:shd w:val="clear" w:color="auto" w:fill="F7CAAC"/>
          </w:tcPr>
          <w:p w14:paraId="0B735537"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2,842</w:t>
            </w:r>
          </w:p>
        </w:tc>
        <w:tc>
          <w:tcPr>
            <w:tcW w:w="720" w:type="dxa"/>
            <w:tcBorders>
              <w:top w:val="single" w:sz="12" w:space="0" w:color="auto"/>
            </w:tcBorders>
            <w:shd w:val="clear" w:color="auto" w:fill="F7CAAC"/>
          </w:tcPr>
          <w:p w14:paraId="6298CC29"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1,989</w:t>
            </w:r>
          </w:p>
        </w:tc>
        <w:tc>
          <w:tcPr>
            <w:tcW w:w="720" w:type="dxa"/>
            <w:tcBorders>
              <w:top w:val="single" w:sz="12" w:space="0" w:color="auto"/>
            </w:tcBorders>
            <w:shd w:val="clear" w:color="auto" w:fill="D9D9D9"/>
          </w:tcPr>
          <w:p w14:paraId="1ADD2F0B" w14:textId="77777777"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3,800</w:t>
            </w:r>
          </w:p>
        </w:tc>
        <w:tc>
          <w:tcPr>
            <w:tcW w:w="720" w:type="dxa"/>
            <w:tcBorders>
              <w:top w:val="single" w:sz="12" w:space="0" w:color="auto"/>
            </w:tcBorders>
            <w:shd w:val="clear" w:color="auto" w:fill="D9D9D9"/>
          </w:tcPr>
          <w:p w14:paraId="32626CEC"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2,204</w:t>
            </w:r>
          </w:p>
        </w:tc>
        <w:tc>
          <w:tcPr>
            <w:tcW w:w="720" w:type="dxa"/>
            <w:tcBorders>
              <w:top w:val="single" w:sz="12" w:space="0" w:color="auto"/>
            </w:tcBorders>
            <w:shd w:val="clear" w:color="auto" w:fill="D9D9D9"/>
          </w:tcPr>
          <w:p w14:paraId="04F96EDB"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1,543</w:t>
            </w:r>
          </w:p>
        </w:tc>
        <w:tc>
          <w:tcPr>
            <w:tcW w:w="720" w:type="dxa"/>
            <w:tcBorders>
              <w:top w:val="single" w:sz="12" w:space="0" w:color="auto"/>
            </w:tcBorders>
            <w:shd w:val="clear" w:color="auto" w:fill="D9D9D9"/>
          </w:tcPr>
          <w:p w14:paraId="701E8838"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3,080</w:t>
            </w:r>
          </w:p>
        </w:tc>
        <w:tc>
          <w:tcPr>
            <w:tcW w:w="720" w:type="dxa"/>
            <w:tcBorders>
              <w:top w:val="single" w:sz="12" w:space="0" w:color="auto"/>
            </w:tcBorders>
          </w:tcPr>
          <w:p w14:paraId="3F43421F" w14:textId="3F32BCF2" w:rsidR="00A03280" w:rsidRPr="006071C6" w:rsidRDefault="006071C6" w:rsidP="006071C6">
            <w:pPr>
              <w:widowControl/>
              <w:autoSpaceDE/>
              <w:autoSpaceDN/>
              <w:adjustRightInd/>
              <w:jc w:val="right"/>
              <w:rPr>
                <w:rFonts w:ascii="Calibri" w:hAnsi="Calibri"/>
                <w:b/>
                <w:sz w:val="18"/>
                <w:szCs w:val="18"/>
              </w:rPr>
            </w:pPr>
            <w:r w:rsidRPr="006071C6">
              <w:rPr>
                <w:rFonts w:ascii="Calibri" w:hAnsi="Calibri"/>
                <w:b/>
                <w:sz w:val="18"/>
                <w:szCs w:val="18"/>
              </w:rPr>
              <w:t>3,100</w:t>
            </w:r>
          </w:p>
        </w:tc>
        <w:tc>
          <w:tcPr>
            <w:tcW w:w="720" w:type="dxa"/>
            <w:tcBorders>
              <w:top w:val="single" w:sz="12" w:space="0" w:color="auto"/>
            </w:tcBorders>
          </w:tcPr>
          <w:p w14:paraId="5E5CC32E" w14:textId="63AF3F88" w:rsidR="00A03280" w:rsidRPr="001024B9" w:rsidRDefault="00177E2C" w:rsidP="00F16C0C">
            <w:pPr>
              <w:widowControl/>
              <w:autoSpaceDE/>
              <w:autoSpaceDN/>
              <w:adjustRightInd/>
              <w:jc w:val="right"/>
              <w:rPr>
                <w:rFonts w:ascii="Calibri" w:hAnsi="Calibri"/>
                <w:sz w:val="18"/>
                <w:szCs w:val="18"/>
              </w:rPr>
            </w:pPr>
            <w:r>
              <w:rPr>
                <w:rFonts w:ascii="Calibri" w:hAnsi="Calibri"/>
                <w:sz w:val="18"/>
                <w:szCs w:val="18"/>
              </w:rPr>
              <w:t>1</w:t>
            </w:r>
            <w:r w:rsidR="00F16C0C">
              <w:rPr>
                <w:rFonts w:ascii="Calibri" w:hAnsi="Calibri"/>
                <w:sz w:val="18"/>
                <w:szCs w:val="18"/>
              </w:rPr>
              <w:t>,</w:t>
            </w:r>
            <w:r>
              <w:rPr>
                <w:rFonts w:ascii="Calibri" w:hAnsi="Calibri"/>
                <w:sz w:val="18"/>
                <w:szCs w:val="18"/>
              </w:rPr>
              <w:t>798</w:t>
            </w:r>
          </w:p>
        </w:tc>
      </w:tr>
      <w:tr w:rsidR="00DA0AEE" w:rsidRPr="001024B9" w14:paraId="1F64F77D" w14:textId="77777777" w:rsidTr="00A01F09">
        <w:trPr>
          <w:trHeight w:val="288"/>
        </w:trPr>
        <w:tc>
          <w:tcPr>
            <w:tcW w:w="2610" w:type="dxa"/>
          </w:tcPr>
          <w:p w14:paraId="6FCC8E34" w14:textId="77777777" w:rsidR="00A03280" w:rsidRPr="001024B9" w:rsidRDefault="00A03280" w:rsidP="001024B9">
            <w:pPr>
              <w:widowControl/>
              <w:autoSpaceDE/>
              <w:autoSpaceDN/>
              <w:adjustRightInd/>
              <w:rPr>
                <w:rFonts w:ascii="Calibri" w:hAnsi="Calibri"/>
                <w:sz w:val="18"/>
                <w:szCs w:val="18"/>
              </w:rPr>
            </w:pPr>
            <w:r w:rsidRPr="001024B9">
              <w:rPr>
                <w:rFonts w:ascii="Calibri" w:hAnsi="Calibri"/>
                <w:sz w:val="18"/>
                <w:szCs w:val="18"/>
              </w:rPr>
              <w:t>Year 2 supplement</w:t>
            </w:r>
          </w:p>
        </w:tc>
        <w:tc>
          <w:tcPr>
            <w:tcW w:w="810" w:type="dxa"/>
            <w:gridSpan w:val="2"/>
          </w:tcPr>
          <w:p w14:paraId="157844C6" w14:textId="77777777" w:rsidR="00A03280" w:rsidRPr="001024B9" w:rsidRDefault="00A03280" w:rsidP="001024B9">
            <w:pPr>
              <w:widowControl/>
              <w:autoSpaceDE/>
              <w:autoSpaceDN/>
              <w:adjustRightInd/>
              <w:jc w:val="right"/>
              <w:rPr>
                <w:rFonts w:ascii="Calibri" w:hAnsi="Calibri"/>
                <w:i/>
                <w:sz w:val="18"/>
                <w:szCs w:val="18"/>
              </w:rPr>
            </w:pPr>
            <w:r w:rsidRPr="001024B9">
              <w:rPr>
                <w:rFonts w:ascii="Calibri" w:hAnsi="Calibri"/>
                <w:i/>
                <w:sz w:val="18"/>
                <w:szCs w:val="18"/>
              </w:rPr>
              <w:t>N/A</w:t>
            </w:r>
          </w:p>
        </w:tc>
        <w:tc>
          <w:tcPr>
            <w:tcW w:w="810" w:type="dxa"/>
            <w:shd w:val="clear" w:color="auto" w:fill="C5E0B3"/>
          </w:tcPr>
          <w:p w14:paraId="41F3185A" w14:textId="77777777"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2,800</w:t>
            </w:r>
          </w:p>
        </w:tc>
        <w:tc>
          <w:tcPr>
            <w:tcW w:w="720" w:type="dxa"/>
            <w:shd w:val="clear" w:color="auto" w:fill="C5E0B3"/>
          </w:tcPr>
          <w:p w14:paraId="25FA05EB"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1,624</w:t>
            </w:r>
          </w:p>
        </w:tc>
        <w:tc>
          <w:tcPr>
            <w:tcW w:w="720" w:type="dxa"/>
            <w:shd w:val="clear" w:color="auto" w:fill="C5E0B3"/>
          </w:tcPr>
          <w:p w14:paraId="03C1DE51"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1,137</w:t>
            </w:r>
          </w:p>
        </w:tc>
        <w:tc>
          <w:tcPr>
            <w:tcW w:w="720" w:type="dxa"/>
            <w:shd w:val="clear" w:color="auto" w:fill="C5E0B3"/>
          </w:tcPr>
          <w:p w14:paraId="3F7A8A04"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796</w:t>
            </w:r>
          </w:p>
        </w:tc>
        <w:tc>
          <w:tcPr>
            <w:tcW w:w="720" w:type="dxa"/>
            <w:shd w:val="clear" w:color="auto" w:fill="FFCCFF"/>
          </w:tcPr>
          <w:p w14:paraId="5B0D84F5" w14:textId="77777777"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3,100</w:t>
            </w:r>
          </w:p>
        </w:tc>
        <w:tc>
          <w:tcPr>
            <w:tcW w:w="720" w:type="dxa"/>
            <w:shd w:val="clear" w:color="auto" w:fill="FFCCFF"/>
          </w:tcPr>
          <w:p w14:paraId="30B28C1D"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1,798</w:t>
            </w:r>
          </w:p>
        </w:tc>
        <w:tc>
          <w:tcPr>
            <w:tcW w:w="720" w:type="dxa"/>
            <w:shd w:val="clear" w:color="auto" w:fill="FFCCFF"/>
          </w:tcPr>
          <w:p w14:paraId="4CB5F798"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1,259</w:t>
            </w:r>
          </w:p>
        </w:tc>
        <w:tc>
          <w:tcPr>
            <w:tcW w:w="720" w:type="dxa"/>
            <w:shd w:val="clear" w:color="auto" w:fill="FFCCFF"/>
          </w:tcPr>
          <w:p w14:paraId="1B3BE735" w14:textId="6BA555F4" w:rsidR="00A03280" w:rsidRPr="001024B9" w:rsidRDefault="006071C6" w:rsidP="006071C6">
            <w:pPr>
              <w:widowControl/>
              <w:autoSpaceDE/>
              <w:autoSpaceDN/>
              <w:adjustRightInd/>
              <w:jc w:val="right"/>
              <w:rPr>
                <w:rFonts w:ascii="Calibri" w:hAnsi="Calibri"/>
                <w:sz w:val="18"/>
                <w:szCs w:val="18"/>
              </w:rPr>
            </w:pPr>
            <w:r>
              <w:rPr>
                <w:rFonts w:ascii="Calibri" w:hAnsi="Calibri"/>
                <w:sz w:val="18"/>
                <w:szCs w:val="18"/>
              </w:rPr>
              <w:t>881</w:t>
            </w:r>
          </w:p>
        </w:tc>
        <w:tc>
          <w:tcPr>
            <w:tcW w:w="720" w:type="dxa"/>
            <w:shd w:val="clear" w:color="auto" w:fill="FFFF99"/>
          </w:tcPr>
          <w:p w14:paraId="7BE871DC" w14:textId="0DC6680C" w:rsidR="00A03280" w:rsidRPr="00177E2C" w:rsidRDefault="00177E2C" w:rsidP="00F16C0C">
            <w:pPr>
              <w:widowControl/>
              <w:autoSpaceDE/>
              <w:autoSpaceDN/>
              <w:adjustRightInd/>
              <w:jc w:val="right"/>
              <w:rPr>
                <w:rFonts w:ascii="Calibri" w:hAnsi="Calibri"/>
                <w:b/>
                <w:sz w:val="18"/>
                <w:szCs w:val="18"/>
              </w:rPr>
            </w:pPr>
            <w:r w:rsidRPr="00177E2C">
              <w:rPr>
                <w:rFonts w:ascii="Calibri" w:hAnsi="Calibri"/>
                <w:b/>
                <w:sz w:val="18"/>
                <w:szCs w:val="18"/>
              </w:rPr>
              <w:t>3</w:t>
            </w:r>
            <w:r w:rsidR="00F16C0C">
              <w:rPr>
                <w:rFonts w:ascii="Calibri" w:hAnsi="Calibri"/>
                <w:b/>
                <w:sz w:val="18"/>
                <w:szCs w:val="18"/>
              </w:rPr>
              <w:t>,</w:t>
            </w:r>
            <w:r w:rsidRPr="00177E2C">
              <w:rPr>
                <w:rFonts w:ascii="Calibri" w:hAnsi="Calibri"/>
                <w:b/>
                <w:sz w:val="18"/>
                <w:szCs w:val="18"/>
              </w:rPr>
              <w:t>100</w:t>
            </w:r>
          </w:p>
        </w:tc>
      </w:tr>
      <w:tr w:rsidR="00DA0AEE" w:rsidRPr="001024B9" w14:paraId="2A11FA3E" w14:textId="77777777" w:rsidTr="00A01F09">
        <w:trPr>
          <w:trHeight w:val="288"/>
        </w:trPr>
        <w:tc>
          <w:tcPr>
            <w:tcW w:w="2610" w:type="dxa"/>
          </w:tcPr>
          <w:p w14:paraId="7F7745E8" w14:textId="77777777" w:rsidR="00A03280" w:rsidRPr="001024B9" w:rsidRDefault="00A03280" w:rsidP="001024B9">
            <w:pPr>
              <w:widowControl/>
              <w:autoSpaceDE/>
              <w:autoSpaceDN/>
              <w:adjustRightInd/>
              <w:rPr>
                <w:rFonts w:ascii="Calibri" w:hAnsi="Calibri"/>
                <w:sz w:val="18"/>
                <w:szCs w:val="18"/>
              </w:rPr>
            </w:pPr>
            <w:r w:rsidRPr="001024B9">
              <w:rPr>
                <w:rFonts w:ascii="Calibri" w:hAnsi="Calibri"/>
                <w:sz w:val="18"/>
                <w:szCs w:val="18"/>
              </w:rPr>
              <w:t>Year 3 supplement</w:t>
            </w:r>
          </w:p>
        </w:tc>
        <w:tc>
          <w:tcPr>
            <w:tcW w:w="810" w:type="dxa"/>
            <w:gridSpan w:val="2"/>
          </w:tcPr>
          <w:p w14:paraId="1DC1CAC5" w14:textId="77777777" w:rsidR="00A03280" w:rsidRPr="001024B9" w:rsidRDefault="00A03280" w:rsidP="001024B9">
            <w:pPr>
              <w:widowControl/>
              <w:autoSpaceDE/>
              <w:autoSpaceDN/>
              <w:adjustRightInd/>
              <w:jc w:val="right"/>
              <w:rPr>
                <w:rFonts w:ascii="Calibri" w:hAnsi="Calibri"/>
                <w:sz w:val="22"/>
                <w:szCs w:val="22"/>
              </w:rPr>
            </w:pPr>
            <w:r w:rsidRPr="001024B9">
              <w:rPr>
                <w:rFonts w:ascii="Calibri" w:hAnsi="Calibri"/>
                <w:i/>
                <w:sz w:val="18"/>
                <w:szCs w:val="18"/>
              </w:rPr>
              <w:t>N/A</w:t>
            </w:r>
          </w:p>
        </w:tc>
        <w:tc>
          <w:tcPr>
            <w:tcW w:w="810" w:type="dxa"/>
          </w:tcPr>
          <w:p w14:paraId="2E8CBA37" w14:textId="77777777" w:rsidR="00A03280" w:rsidRPr="001024B9" w:rsidRDefault="00A03280" w:rsidP="001024B9">
            <w:pPr>
              <w:widowControl/>
              <w:autoSpaceDE/>
              <w:autoSpaceDN/>
              <w:adjustRightInd/>
              <w:jc w:val="right"/>
              <w:rPr>
                <w:rFonts w:ascii="Calibri" w:hAnsi="Calibri"/>
                <w:sz w:val="22"/>
                <w:szCs w:val="22"/>
              </w:rPr>
            </w:pPr>
            <w:r w:rsidRPr="001024B9">
              <w:rPr>
                <w:rFonts w:ascii="Calibri" w:hAnsi="Calibri"/>
                <w:i/>
                <w:sz w:val="18"/>
                <w:szCs w:val="18"/>
              </w:rPr>
              <w:t>N/A</w:t>
            </w:r>
          </w:p>
        </w:tc>
        <w:tc>
          <w:tcPr>
            <w:tcW w:w="720" w:type="dxa"/>
            <w:shd w:val="clear" w:color="auto" w:fill="FFE599"/>
          </w:tcPr>
          <w:p w14:paraId="67D090DE" w14:textId="77777777"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2,500</w:t>
            </w:r>
          </w:p>
        </w:tc>
        <w:tc>
          <w:tcPr>
            <w:tcW w:w="720" w:type="dxa"/>
            <w:shd w:val="clear" w:color="auto" w:fill="FFE599"/>
          </w:tcPr>
          <w:p w14:paraId="47527A07"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1,450</w:t>
            </w:r>
          </w:p>
        </w:tc>
        <w:tc>
          <w:tcPr>
            <w:tcW w:w="720" w:type="dxa"/>
            <w:shd w:val="clear" w:color="auto" w:fill="FFE599"/>
          </w:tcPr>
          <w:p w14:paraId="42202F2A"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1,015</w:t>
            </w:r>
          </w:p>
        </w:tc>
        <w:tc>
          <w:tcPr>
            <w:tcW w:w="720" w:type="dxa"/>
            <w:shd w:val="clear" w:color="auto" w:fill="FFE599"/>
          </w:tcPr>
          <w:p w14:paraId="67BE492E"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711</w:t>
            </w:r>
          </w:p>
        </w:tc>
        <w:tc>
          <w:tcPr>
            <w:tcW w:w="720" w:type="dxa"/>
            <w:shd w:val="clear" w:color="auto" w:fill="99FFCC"/>
          </w:tcPr>
          <w:p w14:paraId="0A0A4B45" w14:textId="77777777"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2,900</w:t>
            </w:r>
          </w:p>
        </w:tc>
        <w:tc>
          <w:tcPr>
            <w:tcW w:w="720" w:type="dxa"/>
            <w:shd w:val="clear" w:color="auto" w:fill="99FFCC"/>
          </w:tcPr>
          <w:p w14:paraId="47F65C93"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1,682</w:t>
            </w:r>
          </w:p>
        </w:tc>
        <w:tc>
          <w:tcPr>
            <w:tcW w:w="720" w:type="dxa"/>
            <w:shd w:val="clear" w:color="auto" w:fill="99FFCC"/>
          </w:tcPr>
          <w:p w14:paraId="7609D0CF" w14:textId="0209DCEB" w:rsidR="00A03280" w:rsidRPr="001024B9" w:rsidRDefault="006071C6" w:rsidP="006071C6">
            <w:pPr>
              <w:widowControl/>
              <w:autoSpaceDE/>
              <w:autoSpaceDN/>
              <w:adjustRightInd/>
              <w:jc w:val="right"/>
              <w:rPr>
                <w:rFonts w:ascii="Calibri" w:hAnsi="Calibri"/>
                <w:sz w:val="18"/>
                <w:szCs w:val="18"/>
              </w:rPr>
            </w:pPr>
            <w:r>
              <w:rPr>
                <w:rFonts w:ascii="Calibri" w:hAnsi="Calibri"/>
                <w:sz w:val="18"/>
                <w:szCs w:val="18"/>
              </w:rPr>
              <w:t>1,177</w:t>
            </w:r>
          </w:p>
        </w:tc>
        <w:tc>
          <w:tcPr>
            <w:tcW w:w="720" w:type="dxa"/>
            <w:shd w:val="clear" w:color="auto" w:fill="99FFCC"/>
          </w:tcPr>
          <w:p w14:paraId="514A4A52" w14:textId="78D571F9" w:rsidR="00A03280" w:rsidRPr="001024B9" w:rsidRDefault="00177E2C" w:rsidP="00F16C0C">
            <w:pPr>
              <w:widowControl/>
              <w:autoSpaceDE/>
              <w:autoSpaceDN/>
              <w:adjustRightInd/>
              <w:jc w:val="right"/>
              <w:rPr>
                <w:rFonts w:ascii="Calibri" w:hAnsi="Calibri"/>
                <w:sz w:val="18"/>
                <w:szCs w:val="18"/>
              </w:rPr>
            </w:pPr>
            <w:r>
              <w:rPr>
                <w:rFonts w:ascii="Calibri" w:hAnsi="Calibri"/>
                <w:sz w:val="18"/>
                <w:szCs w:val="18"/>
              </w:rPr>
              <w:t>824</w:t>
            </w:r>
          </w:p>
        </w:tc>
      </w:tr>
      <w:tr w:rsidR="00DA0AEE" w:rsidRPr="001024B9" w14:paraId="319EFEB3" w14:textId="77777777" w:rsidTr="00A01F09">
        <w:trPr>
          <w:trHeight w:val="288"/>
        </w:trPr>
        <w:tc>
          <w:tcPr>
            <w:tcW w:w="2610" w:type="dxa"/>
          </w:tcPr>
          <w:p w14:paraId="0EB9D6D2" w14:textId="77777777" w:rsidR="00A03280" w:rsidRPr="001024B9" w:rsidRDefault="00A03280" w:rsidP="001024B9">
            <w:pPr>
              <w:widowControl/>
              <w:autoSpaceDE/>
              <w:autoSpaceDN/>
              <w:adjustRightInd/>
              <w:rPr>
                <w:rFonts w:ascii="Calibri" w:hAnsi="Calibri"/>
                <w:sz w:val="18"/>
                <w:szCs w:val="18"/>
              </w:rPr>
            </w:pPr>
            <w:r w:rsidRPr="001024B9">
              <w:rPr>
                <w:rFonts w:ascii="Calibri" w:hAnsi="Calibri"/>
                <w:sz w:val="18"/>
                <w:szCs w:val="18"/>
              </w:rPr>
              <w:t>Year 4 supplement</w:t>
            </w:r>
          </w:p>
        </w:tc>
        <w:tc>
          <w:tcPr>
            <w:tcW w:w="810" w:type="dxa"/>
            <w:gridSpan w:val="2"/>
          </w:tcPr>
          <w:p w14:paraId="0A72F5E8" w14:textId="77777777" w:rsidR="00A03280" w:rsidRPr="001024B9" w:rsidRDefault="00A03280" w:rsidP="001024B9">
            <w:pPr>
              <w:widowControl/>
              <w:autoSpaceDE/>
              <w:autoSpaceDN/>
              <w:adjustRightInd/>
              <w:jc w:val="right"/>
              <w:rPr>
                <w:rFonts w:ascii="Calibri" w:hAnsi="Calibri"/>
                <w:sz w:val="22"/>
                <w:szCs w:val="22"/>
              </w:rPr>
            </w:pPr>
            <w:r w:rsidRPr="001024B9">
              <w:rPr>
                <w:rFonts w:ascii="Calibri" w:hAnsi="Calibri"/>
                <w:i/>
                <w:sz w:val="18"/>
                <w:szCs w:val="18"/>
              </w:rPr>
              <w:t>N/A</w:t>
            </w:r>
          </w:p>
        </w:tc>
        <w:tc>
          <w:tcPr>
            <w:tcW w:w="810" w:type="dxa"/>
          </w:tcPr>
          <w:p w14:paraId="775080EC" w14:textId="77777777" w:rsidR="00A03280" w:rsidRPr="001024B9" w:rsidRDefault="00A03280" w:rsidP="001024B9">
            <w:pPr>
              <w:widowControl/>
              <w:autoSpaceDE/>
              <w:autoSpaceDN/>
              <w:adjustRightInd/>
              <w:jc w:val="right"/>
              <w:rPr>
                <w:rFonts w:ascii="Calibri" w:hAnsi="Calibri"/>
                <w:sz w:val="22"/>
                <w:szCs w:val="22"/>
              </w:rPr>
            </w:pPr>
            <w:r w:rsidRPr="001024B9">
              <w:rPr>
                <w:rFonts w:ascii="Calibri" w:hAnsi="Calibri"/>
                <w:i/>
                <w:sz w:val="18"/>
                <w:szCs w:val="18"/>
              </w:rPr>
              <w:t>N/A</w:t>
            </w:r>
          </w:p>
        </w:tc>
        <w:tc>
          <w:tcPr>
            <w:tcW w:w="720" w:type="dxa"/>
          </w:tcPr>
          <w:p w14:paraId="666ECE0D"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i/>
                <w:sz w:val="18"/>
                <w:szCs w:val="18"/>
              </w:rPr>
              <w:t>N/A</w:t>
            </w:r>
          </w:p>
        </w:tc>
        <w:tc>
          <w:tcPr>
            <w:tcW w:w="720" w:type="dxa"/>
            <w:shd w:val="clear" w:color="auto" w:fill="BDD6EE"/>
          </w:tcPr>
          <w:p w14:paraId="43E3AD5A" w14:textId="77777777"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2,400</w:t>
            </w:r>
          </w:p>
        </w:tc>
        <w:tc>
          <w:tcPr>
            <w:tcW w:w="720" w:type="dxa"/>
            <w:shd w:val="clear" w:color="auto" w:fill="BDD6EE"/>
          </w:tcPr>
          <w:p w14:paraId="107E2D5D"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1,392</w:t>
            </w:r>
          </w:p>
        </w:tc>
        <w:tc>
          <w:tcPr>
            <w:tcW w:w="720" w:type="dxa"/>
            <w:shd w:val="clear" w:color="auto" w:fill="BDD6EE"/>
          </w:tcPr>
          <w:p w14:paraId="539F1031"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974</w:t>
            </w:r>
          </w:p>
        </w:tc>
        <w:tc>
          <w:tcPr>
            <w:tcW w:w="720" w:type="dxa"/>
            <w:shd w:val="clear" w:color="auto" w:fill="BDD6EE"/>
          </w:tcPr>
          <w:p w14:paraId="183D059D"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682</w:t>
            </w:r>
          </w:p>
        </w:tc>
        <w:tc>
          <w:tcPr>
            <w:tcW w:w="720" w:type="dxa"/>
            <w:shd w:val="clear" w:color="auto" w:fill="CCFF99"/>
          </w:tcPr>
          <w:p w14:paraId="780D1B65" w14:textId="77777777" w:rsidR="00A03280" w:rsidRPr="001024B9" w:rsidRDefault="00A03280" w:rsidP="001024B9">
            <w:pPr>
              <w:widowControl/>
              <w:autoSpaceDE/>
              <w:autoSpaceDN/>
              <w:adjustRightInd/>
              <w:jc w:val="right"/>
              <w:rPr>
                <w:rFonts w:ascii="Calibri" w:hAnsi="Calibri"/>
                <w:b/>
                <w:sz w:val="18"/>
                <w:szCs w:val="18"/>
              </w:rPr>
            </w:pPr>
            <w:r w:rsidRPr="001024B9">
              <w:rPr>
                <w:rFonts w:ascii="Calibri" w:hAnsi="Calibri"/>
                <w:b/>
                <w:sz w:val="18"/>
                <w:szCs w:val="18"/>
              </w:rPr>
              <w:t>2,900</w:t>
            </w:r>
          </w:p>
        </w:tc>
        <w:tc>
          <w:tcPr>
            <w:tcW w:w="720" w:type="dxa"/>
            <w:shd w:val="clear" w:color="auto" w:fill="CCFF99"/>
          </w:tcPr>
          <w:p w14:paraId="1FF11899" w14:textId="1F1B286B" w:rsidR="00A03280" w:rsidRPr="001024B9" w:rsidRDefault="006071C6" w:rsidP="006071C6">
            <w:pPr>
              <w:widowControl/>
              <w:autoSpaceDE/>
              <w:autoSpaceDN/>
              <w:adjustRightInd/>
              <w:jc w:val="right"/>
              <w:rPr>
                <w:rFonts w:ascii="Calibri" w:hAnsi="Calibri"/>
                <w:sz w:val="18"/>
                <w:szCs w:val="18"/>
              </w:rPr>
            </w:pPr>
            <w:r>
              <w:rPr>
                <w:rFonts w:ascii="Calibri" w:hAnsi="Calibri"/>
                <w:sz w:val="18"/>
                <w:szCs w:val="18"/>
              </w:rPr>
              <w:t>1,682</w:t>
            </w:r>
          </w:p>
        </w:tc>
        <w:tc>
          <w:tcPr>
            <w:tcW w:w="720" w:type="dxa"/>
            <w:shd w:val="clear" w:color="auto" w:fill="CCFF99"/>
          </w:tcPr>
          <w:p w14:paraId="29E0D6D9" w14:textId="3DB88005" w:rsidR="00A03280" w:rsidRPr="001024B9" w:rsidRDefault="00177E2C" w:rsidP="00F16C0C">
            <w:pPr>
              <w:widowControl/>
              <w:autoSpaceDE/>
              <w:autoSpaceDN/>
              <w:adjustRightInd/>
              <w:jc w:val="right"/>
              <w:rPr>
                <w:rFonts w:ascii="Calibri" w:hAnsi="Calibri"/>
                <w:sz w:val="18"/>
                <w:szCs w:val="18"/>
              </w:rPr>
            </w:pPr>
            <w:r>
              <w:rPr>
                <w:rFonts w:ascii="Calibri" w:hAnsi="Calibri"/>
                <w:sz w:val="18"/>
                <w:szCs w:val="18"/>
              </w:rPr>
              <w:t>1</w:t>
            </w:r>
            <w:r w:rsidR="00F16C0C">
              <w:rPr>
                <w:rFonts w:ascii="Calibri" w:hAnsi="Calibri"/>
                <w:sz w:val="18"/>
                <w:szCs w:val="18"/>
              </w:rPr>
              <w:t>,</w:t>
            </w:r>
            <w:r>
              <w:rPr>
                <w:rFonts w:ascii="Calibri" w:hAnsi="Calibri"/>
                <w:sz w:val="18"/>
                <w:szCs w:val="18"/>
              </w:rPr>
              <w:t>177</w:t>
            </w:r>
          </w:p>
        </w:tc>
      </w:tr>
      <w:tr w:rsidR="00DA0AEE" w:rsidRPr="001024B9" w14:paraId="6634ED4D" w14:textId="77777777" w:rsidTr="001B34B8">
        <w:trPr>
          <w:trHeight w:val="360"/>
        </w:trPr>
        <w:tc>
          <w:tcPr>
            <w:tcW w:w="2610" w:type="dxa"/>
            <w:vAlign w:val="bottom"/>
          </w:tcPr>
          <w:p w14:paraId="3B9DF7E3"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Total monthly cases interviewed</w:t>
            </w:r>
          </w:p>
        </w:tc>
        <w:tc>
          <w:tcPr>
            <w:tcW w:w="810" w:type="dxa"/>
            <w:gridSpan w:val="2"/>
            <w:vAlign w:val="bottom"/>
          </w:tcPr>
          <w:p w14:paraId="363B97A8"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7,000</w:t>
            </w:r>
          </w:p>
        </w:tc>
        <w:tc>
          <w:tcPr>
            <w:tcW w:w="810" w:type="dxa"/>
            <w:vAlign w:val="bottom"/>
          </w:tcPr>
          <w:p w14:paraId="2735D9DB"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6,860</w:t>
            </w:r>
          </w:p>
        </w:tc>
        <w:tc>
          <w:tcPr>
            <w:tcW w:w="720" w:type="dxa"/>
            <w:vAlign w:val="bottom"/>
          </w:tcPr>
          <w:p w14:paraId="57F36785"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6,966</w:t>
            </w:r>
          </w:p>
        </w:tc>
        <w:tc>
          <w:tcPr>
            <w:tcW w:w="720" w:type="dxa"/>
            <w:vAlign w:val="bottom"/>
          </w:tcPr>
          <w:p w14:paraId="2FD745AA"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6,976</w:t>
            </w:r>
          </w:p>
        </w:tc>
        <w:tc>
          <w:tcPr>
            <w:tcW w:w="720" w:type="dxa"/>
            <w:vAlign w:val="bottom"/>
          </w:tcPr>
          <w:p w14:paraId="70985742"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7,003</w:t>
            </w:r>
          </w:p>
        </w:tc>
        <w:tc>
          <w:tcPr>
            <w:tcW w:w="720" w:type="dxa"/>
            <w:vAlign w:val="bottom"/>
          </w:tcPr>
          <w:p w14:paraId="1F586A47"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6,989</w:t>
            </w:r>
          </w:p>
        </w:tc>
        <w:tc>
          <w:tcPr>
            <w:tcW w:w="720" w:type="dxa"/>
            <w:vAlign w:val="bottom"/>
          </w:tcPr>
          <w:p w14:paraId="1DF1DD78"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6,923</w:t>
            </w:r>
          </w:p>
        </w:tc>
        <w:tc>
          <w:tcPr>
            <w:tcW w:w="720" w:type="dxa"/>
            <w:vAlign w:val="bottom"/>
          </w:tcPr>
          <w:p w14:paraId="62C9F67F" w14:textId="77777777" w:rsidR="00A03280" w:rsidRPr="001024B9" w:rsidRDefault="00A03280" w:rsidP="002D086C">
            <w:pPr>
              <w:widowControl/>
              <w:autoSpaceDE/>
              <w:autoSpaceDN/>
              <w:adjustRightInd/>
              <w:jc w:val="right"/>
              <w:rPr>
                <w:rFonts w:ascii="Calibri" w:hAnsi="Calibri"/>
                <w:sz w:val="18"/>
                <w:szCs w:val="18"/>
              </w:rPr>
            </w:pPr>
            <w:r w:rsidRPr="001024B9">
              <w:rPr>
                <w:rFonts w:ascii="Calibri" w:hAnsi="Calibri"/>
                <w:sz w:val="18"/>
                <w:szCs w:val="18"/>
              </w:rPr>
              <w:t>6,921</w:t>
            </w:r>
          </w:p>
        </w:tc>
        <w:tc>
          <w:tcPr>
            <w:tcW w:w="720" w:type="dxa"/>
            <w:vAlign w:val="bottom"/>
          </w:tcPr>
          <w:p w14:paraId="3D321761" w14:textId="41C72731" w:rsidR="00A03280" w:rsidRPr="001024B9" w:rsidRDefault="006071C6" w:rsidP="002D086C">
            <w:pPr>
              <w:widowControl/>
              <w:autoSpaceDE/>
              <w:autoSpaceDN/>
              <w:adjustRightInd/>
              <w:jc w:val="right"/>
              <w:rPr>
                <w:rFonts w:ascii="Calibri" w:hAnsi="Calibri"/>
                <w:sz w:val="18"/>
                <w:szCs w:val="18"/>
              </w:rPr>
            </w:pPr>
            <w:r>
              <w:rPr>
                <w:rFonts w:ascii="Calibri" w:hAnsi="Calibri"/>
                <w:sz w:val="18"/>
                <w:szCs w:val="18"/>
              </w:rPr>
              <w:t>6,840</w:t>
            </w:r>
          </w:p>
        </w:tc>
        <w:tc>
          <w:tcPr>
            <w:tcW w:w="720" w:type="dxa"/>
            <w:vAlign w:val="bottom"/>
          </w:tcPr>
          <w:p w14:paraId="79023EEC" w14:textId="1224037C" w:rsidR="00A03280" w:rsidRPr="001024B9" w:rsidRDefault="00177E2C" w:rsidP="002D086C">
            <w:pPr>
              <w:widowControl/>
              <w:autoSpaceDE/>
              <w:autoSpaceDN/>
              <w:adjustRightInd/>
              <w:jc w:val="right"/>
              <w:rPr>
                <w:rFonts w:ascii="Calibri" w:hAnsi="Calibri"/>
                <w:sz w:val="18"/>
                <w:szCs w:val="18"/>
              </w:rPr>
            </w:pPr>
            <w:r>
              <w:rPr>
                <w:rFonts w:ascii="Calibri" w:hAnsi="Calibri"/>
                <w:sz w:val="18"/>
                <w:szCs w:val="18"/>
              </w:rPr>
              <w:t>6</w:t>
            </w:r>
            <w:r w:rsidR="00F16C0C">
              <w:rPr>
                <w:rFonts w:ascii="Calibri" w:hAnsi="Calibri"/>
                <w:sz w:val="18"/>
                <w:szCs w:val="18"/>
              </w:rPr>
              <w:t>,</w:t>
            </w:r>
            <w:r>
              <w:rPr>
                <w:rFonts w:ascii="Calibri" w:hAnsi="Calibri"/>
                <w:sz w:val="18"/>
                <w:szCs w:val="18"/>
              </w:rPr>
              <w:t>900</w:t>
            </w:r>
          </w:p>
        </w:tc>
      </w:tr>
      <w:tr w:rsidR="00DA0AEE" w:rsidRPr="001024B9" w14:paraId="58DB89B2" w14:textId="77777777" w:rsidTr="00A01F09">
        <w:trPr>
          <w:trHeight w:val="72"/>
        </w:trPr>
        <w:tc>
          <w:tcPr>
            <w:tcW w:w="2610" w:type="dxa"/>
          </w:tcPr>
          <w:p w14:paraId="17808FB2" w14:textId="77777777" w:rsidR="00A03280" w:rsidRPr="001024B9" w:rsidRDefault="00A03280" w:rsidP="001024B9">
            <w:pPr>
              <w:widowControl/>
              <w:autoSpaceDE/>
              <w:autoSpaceDN/>
              <w:adjustRightInd/>
              <w:rPr>
                <w:rFonts w:ascii="Calibri" w:hAnsi="Calibri"/>
                <w:sz w:val="18"/>
                <w:szCs w:val="18"/>
              </w:rPr>
            </w:pPr>
          </w:p>
        </w:tc>
        <w:tc>
          <w:tcPr>
            <w:tcW w:w="810" w:type="dxa"/>
            <w:gridSpan w:val="2"/>
          </w:tcPr>
          <w:p w14:paraId="3A1568A5" w14:textId="77777777" w:rsidR="00A03280" w:rsidRPr="001024B9" w:rsidRDefault="00A03280" w:rsidP="001024B9">
            <w:pPr>
              <w:widowControl/>
              <w:autoSpaceDE/>
              <w:autoSpaceDN/>
              <w:adjustRightInd/>
              <w:jc w:val="right"/>
              <w:rPr>
                <w:rFonts w:ascii="Calibri" w:hAnsi="Calibri"/>
                <w:sz w:val="18"/>
                <w:szCs w:val="18"/>
              </w:rPr>
            </w:pPr>
          </w:p>
        </w:tc>
        <w:tc>
          <w:tcPr>
            <w:tcW w:w="810" w:type="dxa"/>
          </w:tcPr>
          <w:p w14:paraId="625C58A2" w14:textId="77777777" w:rsidR="00A03280" w:rsidRPr="001024B9" w:rsidRDefault="00A03280" w:rsidP="001024B9">
            <w:pPr>
              <w:widowControl/>
              <w:autoSpaceDE/>
              <w:autoSpaceDN/>
              <w:adjustRightInd/>
              <w:jc w:val="right"/>
              <w:rPr>
                <w:rFonts w:ascii="Calibri" w:hAnsi="Calibri"/>
                <w:sz w:val="18"/>
                <w:szCs w:val="18"/>
              </w:rPr>
            </w:pPr>
          </w:p>
        </w:tc>
        <w:tc>
          <w:tcPr>
            <w:tcW w:w="720" w:type="dxa"/>
          </w:tcPr>
          <w:p w14:paraId="0BC11EC3" w14:textId="77777777" w:rsidR="00A03280" w:rsidRPr="001024B9" w:rsidRDefault="00A03280" w:rsidP="001024B9">
            <w:pPr>
              <w:widowControl/>
              <w:autoSpaceDE/>
              <w:autoSpaceDN/>
              <w:adjustRightInd/>
              <w:jc w:val="right"/>
              <w:rPr>
                <w:rFonts w:ascii="Calibri" w:hAnsi="Calibri"/>
                <w:sz w:val="18"/>
                <w:szCs w:val="18"/>
              </w:rPr>
            </w:pPr>
          </w:p>
        </w:tc>
        <w:tc>
          <w:tcPr>
            <w:tcW w:w="720" w:type="dxa"/>
          </w:tcPr>
          <w:p w14:paraId="0AC5E580" w14:textId="77777777" w:rsidR="00A03280" w:rsidRPr="001024B9" w:rsidRDefault="00A03280" w:rsidP="001024B9">
            <w:pPr>
              <w:widowControl/>
              <w:autoSpaceDE/>
              <w:autoSpaceDN/>
              <w:adjustRightInd/>
              <w:jc w:val="right"/>
              <w:rPr>
                <w:rFonts w:ascii="Calibri" w:hAnsi="Calibri"/>
                <w:sz w:val="18"/>
                <w:szCs w:val="18"/>
              </w:rPr>
            </w:pPr>
          </w:p>
        </w:tc>
        <w:tc>
          <w:tcPr>
            <w:tcW w:w="720" w:type="dxa"/>
          </w:tcPr>
          <w:p w14:paraId="65021DFD" w14:textId="77777777" w:rsidR="00A03280" w:rsidRPr="001024B9" w:rsidRDefault="00A03280" w:rsidP="001024B9">
            <w:pPr>
              <w:widowControl/>
              <w:autoSpaceDE/>
              <w:autoSpaceDN/>
              <w:adjustRightInd/>
              <w:jc w:val="right"/>
              <w:rPr>
                <w:rFonts w:ascii="Calibri" w:hAnsi="Calibri"/>
                <w:sz w:val="18"/>
                <w:szCs w:val="18"/>
              </w:rPr>
            </w:pPr>
          </w:p>
        </w:tc>
        <w:tc>
          <w:tcPr>
            <w:tcW w:w="720" w:type="dxa"/>
          </w:tcPr>
          <w:p w14:paraId="1D455F7C" w14:textId="77777777" w:rsidR="00A03280" w:rsidRPr="001024B9" w:rsidRDefault="00A03280" w:rsidP="001024B9">
            <w:pPr>
              <w:widowControl/>
              <w:autoSpaceDE/>
              <w:autoSpaceDN/>
              <w:adjustRightInd/>
              <w:jc w:val="right"/>
              <w:rPr>
                <w:rFonts w:ascii="Calibri" w:hAnsi="Calibri"/>
                <w:sz w:val="18"/>
                <w:szCs w:val="18"/>
              </w:rPr>
            </w:pPr>
          </w:p>
        </w:tc>
        <w:tc>
          <w:tcPr>
            <w:tcW w:w="720" w:type="dxa"/>
          </w:tcPr>
          <w:p w14:paraId="096CD318" w14:textId="77777777" w:rsidR="00A03280" w:rsidRPr="001024B9" w:rsidRDefault="00A03280" w:rsidP="001024B9">
            <w:pPr>
              <w:widowControl/>
              <w:autoSpaceDE/>
              <w:autoSpaceDN/>
              <w:adjustRightInd/>
              <w:jc w:val="right"/>
              <w:rPr>
                <w:rFonts w:ascii="Calibri" w:hAnsi="Calibri"/>
                <w:sz w:val="18"/>
                <w:szCs w:val="18"/>
              </w:rPr>
            </w:pPr>
          </w:p>
        </w:tc>
        <w:tc>
          <w:tcPr>
            <w:tcW w:w="720" w:type="dxa"/>
          </w:tcPr>
          <w:p w14:paraId="2EEAF84A" w14:textId="77777777" w:rsidR="00A03280" w:rsidRPr="001024B9" w:rsidRDefault="00A03280" w:rsidP="001024B9">
            <w:pPr>
              <w:widowControl/>
              <w:autoSpaceDE/>
              <w:autoSpaceDN/>
              <w:adjustRightInd/>
              <w:jc w:val="right"/>
              <w:rPr>
                <w:rFonts w:ascii="Calibri" w:hAnsi="Calibri"/>
                <w:sz w:val="18"/>
                <w:szCs w:val="18"/>
              </w:rPr>
            </w:pPr>
          </w:p>
        </w:tc>
        <w:tc>
          <w:tcPr>
            <w:tcW w:w="720" w:type="dxa"/>
          </w:tcPr>
          <w:p w14:paraId="33886802" w14:textId="77777777" w:rsidR="00A03280" w:rsidRPr="001024B9" w:rsidRDefault="00A03280" w:rsidP="006071C6">
            <w:pPr>
              <w:widowControl/>
              <w:autoSpaceDE/>
              <w:autoSpaceDN/>
              <w:adjustRightInd/>
              <w:jc w:val="right"/>
              <w:rPr>
                <w:rFonts w:ascii="Calibri" w:hAnsi="Calibri"/>
                <w:sz w:val="18"/>
                <w:szCs w:val="18"/>
              </w:rPr>
            </w:pPr>
          </w:p>
        </w:tc>
        <w:tc>
          <w:tcPr>
            <w:tcW w:w="720" w:type="dxa"/>
          </w:tcPr>
          <w:p w14:paraId="07440E0C" w14:textId="45B7B430" w:rsidR="00A03280" w:rsidRPr="001024B9" w:rsidRDefault="00A03280" w:rsidP="00F16C0C">
            <w:pPr>
              <w:widowControl/>
              <w:autoSpaceDE/>
              <w:autoSpaceDN/>
              <w:adjustRightInd/>
              <w:jc w:val="right"/>
              <w:rPr>
                <w:rFonts w:ascii="Calibri" w:hAnsi="Calibri"/>
                <w:sz w:val="18"/>
                <w:szCs w:val="18"/>
              </w:rPr>
            </w:pPr>
          </w:p>
        </w:tc>
      </w:tr>
      <w:tr w:rsidR="00DA0AEE" w:rsidRPr="001024B9" w14:paraId="30EECD8D" w14:textId="77777777" w:rsidTr="00A01F09">
        <w:trPr>
          <w:trHeight w:val="288"/>
        </w:trPr>
        <w:tc>
          <w:tcPr>
            <w:tcW w:w="2610" w:type="dxa"/>
          </w:tcPr>
          <w:p w14:paraId="793E595D" w14:textId="77777777" w:rsidR="00A03280" w:rsidRPr="001024B9" w:rsidRDefault="00A03280" w:rsidP="001024B9">
            <w:pPr>
              <w:widowControl/>
              <w:autoSpaceDE/>
              <w:autoSpaceDN/>
              <w:adjustRightInd/>
              <w:rPr>
                <w:rFonts w:ascii="Calibri" w:hAnsi="Calibri"/>
                <w:sz w:val="18"/>
                <w:szCs w:val="18"/>
              </w:rPr>
            </w:pPr>
            <w:r w:rsidRPr="001024B9">
              <w:rPr>
                <w:rFonts w:ascii="Calibri" w:hAnsi="Calibri"/>
                <w:sz w:val="18"/>
                <w:szCs w:val="18"/>
              </w:rPr>
              <w:t>Total annual cases interviewed</w:t>
            </w:r>
          </w:p>
        </w:tc>
        <w:tc>
          <w:tcPr>
            <w:tcW w:w="810" w:type="dxa"/>
            <w:gridSpan w:val="2"/>
          </w:tcPr>
          <w:p w14:paraId="67F72D9C" w14:textId="0FB04D79"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35,000</w:t>
            </w:r>
            <w:r w:rsidR="00A01F09">
              <w:rPr>
                <w:rFonts w:ascii="Calibri" w:hAnsi="Calibri"/>
                <w:sz w:val="18"/>
                <w:szCs w:val="18"/>
              </w:rPr>
              <w:t>*</w:t>
            </w:r>
          </w:p>
        </w:tc>
        <w:tc>
          <w:tcPr>
            <w:tcW w:w="810" w:type="dxa"/>
          </w:tcPr>
          <w:p w14:paraId="109D9803"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34,300</w:t>
            </w:r>
          </w:p>
        </w:tc>
        <w:tc>
          <w:tcPr>
            <w:tcW w:w="720" w:type="dxa"/>
          </w:tcPr>
          <w:p w14:paraId="08DD5281"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34,830</w:t>
            </w:r>
          </w:p>
        </w:tc>
        <w:tc>
          <w:tcPr>
            <w:tcW w:w="720" w:type="dxa"/>
          </w:tcPr>
          <w:p w14:paraId="2DB2E72C"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34,881</w:t>
            </w:r>
          </w:p>
        </w:tc>
        <w:tc>
          <w:tcPr>
            <w:tcW w:w="720" w:type="dxa"/>
          </w:tcPr>
          <w:p w14:paraId="435B4153"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35,014</w:t>
            </w:r>
          </w:p>
        </w:tc>
        <w:tc>
          <w:tcPr>
            <w:tcW w:w="720" w:type="dxa"/>
          </w:tcPr>
          <w:p w14:paraId="1EE5EBCA"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34,945</w:t>
            </w:r>
          </w:p>
        </w:tc>
        <w:tc>
          <w:tcPr>
            <w:tcW w:w="720" w:type="dxa"/>
          </w:tcPr>
          <w:p w14:paraId="759367AA"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34,614</w:t>
            </w:r>
          </w:p>
        </w:tc>
        <w:tc>
          <w:tcPr>
            <w:tcW w:w="720" w:type="dxa"/>
          </w:tcPr>
          <w:p w14:paraId="32FCE94F"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34,603</w:t>
            </w:r>
          </w:p>
        </w:tc>
        <w:tc>
          <w:tcPr>
            <w:tcW w:w="720" w:type="dxa"/>
          </w:tcPr>
          <w:p w14:paraId="2666373A" w14:textId="0648AC54" w:rsidR="00A03280" w:rsidRPr="001024B9" w:rsidRDefault="006071C6" w:rsidP="006071C6">
            <w:pPr>
              <w:widowControl/>
              <w:autoSpaceDE/>
              <w:autoSpaceDN/>
              <w:adjustRightInd/>
              <w:jc w:val="right"/>
              <w:rPr>
                <w:rFonts w:ascii="Calibri" w:hAnsi="Calibri"/>
                <w:sz w:val="18"/>
                <w:szCs w:val="18"/>
              </w:rPr>
            </w:pPr>
            <w:r>
              <w:rPr>
                <w:rFonts w:ascii="Calibri" w:hAnsi="Calibri"/>
                <w:sz w:val="18"/>
                <w:szCs w:val="18"/>
              </w:rPr>
              <w:t>34,202</w:t>
            </w:r>
          </w:p>
        </w:tc>
        <w:tc>
          <w:tcPr>
            <w:tcW w:w="720" w:type="dxa"/>
          </w:tcPr>
          <w:p w14:paraId="2B8F3B9D" w14:textId="686F75F4" w:rsidR="00A03280" w:rsidRPr="001024B9" w:rsidRDefault="00177E2C" w:rsidP="00F16C0C">
            <w:pPr>
              <w:widowControl/>
              <w:autoSpaceDE/>
              <w:autoSpaceDN/>
              <w:adjustRightInd/>
              <w:jc w:val="right"/>
              <w:rPr>
                <w:rFonts w:ascii="Calibri" w:hAnsi="Calibri"/>
                <w:sz w:val="18"/>
                <w:szCs w:val="18"/>
              </w:rPr>
            </w:pPr>
            <w:r>
              <w:rPr>
                <w:rFonts w:ascii="Calibri" w:hAnsi="Calibri"/>
                <w:sz w:val="18"/>
                <w:szCs w:val="18"/>
              </w:rPr>
              <w:t>34</w:t>
            </w:r>
            <w:r w:rsidR="00F16C0C">
              <w:rPr>
                <w:rFonts w:ascii="Calibri" w:hAnsi="Calibri"/>
                <w:sz w:val="18"/>
                <w:szCs w:val="18"/>
              </w:rPr>
              <w:t>,</w:t>
            </w:r>
            <w:r>
              <w:rPr>
                <w:rFonts w:ascii="Calibri" w:hAnsi="Calibri"/>
                <w:sz w:val="18"/>
                <w:szCs w:val="18"/>
              </w:rPr>
              <w:t>498</w:t>
            </w:r>
          </w:p>
        </w:tc>
      </w:tr>
      <w:tr w:rsidR="00DA0AEE" w:rsidRPr="001024B9" w14:paraId="769B94A0" w14:textId="77777777" w:rsidTr="00A01F09">
        <w:trPr>
          <w:trHeight w:val="288"/>
        </w:trPr>
        <w:tc>
          <w:tcPr>
            <w:tcW w:w="2610" w:type="dxa"/>
          </w:tcPr>
          <w:p w14:paraId="54507A0E" w14:textId="77777777" w:rsidR="00A03280" w:rsidRPr="001024B9" w:rsidRDefault="00A03280" w:rsidP="001024B9">
            <w:pPr>
              <w:widowControl/>
              <w:autoSpaceDE/>
              <w:autoSpaceDN/>
              <w:adjustRightInd/>
              <w:rPr>
                <w:rFonts w:ascii="Calibri" w:hAnsi="Calibri"/>
                <w:sz w:val="18"/>
                <w:szCs w:val="18"/>
              </w:rPr>
            </w:pPr>
            <w:r w:rsidRPr="001024B9">
              <w:rPr>
                <w:rFonts w:ascii="Calibri" w:hAnsi="Calibri"/>
                <w:sz w:val="18"/>
                <w:szCs w:val="18"/>
              </w:rPr>
              <w:t>Initial Wave 1 sample/panel</w:t>
            </w:r>
          </w:p>
        </w:tc>
        <w:tc>
          <w:tcPr>
            <w:tcW w:w="810" w:type="dxa"/>
            <w:gridSpan w:val="2"/>
          </w:tcPr>
          <w:p w14:paraId="2E675124" w14:textId="77777777" w:rsidR="00A03280" w:rsidRPr="001024B9" w:rsidRDefault="00A03280" w:rsidP="001024B9">
            <w:pPr>
              <w:widowControl/>
              <w:autoSpaceDE/>
              <w:autoSpaceDN/>
              <w:adjustRightInd/>
              <w:jc w:val="right"/>
              <w:rPr>
                <w:rFonts w:ascii="Calibri" w:hAnsi="Calibri"/>
                <w:sz w:val="18"/>
                <w:szCs w:val="18"/>
              </w:rPr>
            </w:pPr>
            <w:r w:rsidRPr="001024B9">
              <w:rPr>
                <w:rFonts w:ascii="Calibri" w:hAnsi="Calibri"/>
                <w:sz w:val="18"/>
                <w:szCs w:val="18"/>
              </w:rPr>
              <w:t>35,000</w:t>
            </w:r>
          </w:p>
        </w:tc>
        <w:tc>
          <w:tcPr>
            <w:tcW w:w="810" w:type="dxa"/>
          </w:tcPr>
          <w:p w14:paraId="4CA094B0" w14:textId="1430B1DC" w:rsidR="00A03280" w:rsidRPr="001024B9" w:rsidRDefault="00A03280" w:rsidP="001024B9">
            <w:pPr>
              <w:widowControl/>
              <w:autoSpaceDE/>
              <w:autoSpaceDN/>
              <w:adjustRightInd/>
              <w:jc w:val="right"/>
              <w:rPr>
                <w:rFonts w:ascii="Calibri" w:hAnsi="Calibri"/>
                <w:sz w:val="18"/>
                <w:szCs w:val="18"/>
              </w:rPr>
            </w:pPr>
            <w:r>
              <w:rPr>
                <w:rFonts w:ascii="Calibri" w:hAnsi="Calibri"/>
                <w:sz w:val="18"/>
                <w:szCs w:val="18"/>
              </w:rPr>
              <w:t>14</w:t>
            </w:r>
            <w:r w:rsidR="00ED5451">
              <w:rPr>
                <w:rFonts w:ascii="Calibri" w:hAnsi="Calibri"/>
                <w:sz w:val="18"/>
                <w:szCs w:val="18"/>
              </w:rPr>
              <w:t>,</w:t>
            </w:r>
            <w:r>
              <w:rPr>
                <w:rFonts w:ascii="Calibri" w:hAnsi="Calibri"/>
                <w:sz w:val="18"/>
                <w:szCs w:val="18"/>
              </w:rPr>
              <w:t>000</w:t>
            </w:r>
          </w:p>
        </w:tc>
        <w:tc>
          <w:tcPr>
            <w:tcW w:w="720" w:type="dxa"/>
          </w:tcPr>
          <w:p w14:paraId="47751022" w14:textId="5DB90F7E" w:rsidR="00A03280" w:rsidRPr="001024B9" w:rsidRDefault="00A03280" w:rsidP="001024B9">
            <w:pPr>
              <w:widowControl/>
              <w:autoSpaceDE/>
              <w:autoSpaceDN/>
              <w:adjustRightInd/>
              <w:jc w:val="right"/>
              <w:rPr>
                <w:rFonts w:ascii="Calibri" w:hAnsi="Calibri"/>
                <w:sz w:val="18"/>
                <w:szCs w:val="18"/>
              </w:rPr>
            </w:pPr>
            <w:r>
              <w:rPr>
                <w:rFonts w:ascii="Calibri" w:hAnsi="Calibri"/>
                <w:sz w:val="18"/>
                <w:szCs w:val="18"/>
              </w:rPr>
              <w:t>12</w:t>
            </w:r>
            <w:r w:rsidR="00ED5451">
              <w:rPr>
                <w:rFonts w:ascii="Calibri" w:hAnsi="Calibri"/>
                <w:sz w:val="18"/>
                <w:szCs w:val="18"/>
              </w:rPr>
              <w:t>,</w:t>
            </w:r>
            <w:r>
              <w:rPr>
                <w:rFonts w:ascii="Calibri" w:hAnsi="Calibri"/>
                <w:sz w:val="18"/>
                <w:szCs w:val="18"/>
              </w:rPr>
              <w:t>500</w:t>
            </w:r>
          </w:p>
        </w:tc>
        <w:tc>
          <w:tcPr>
            <w:tcW w:w="720" w:type="dxa"/>
          </w:tcPr>
          <w:p w14:paraId="70F8CD47" w14:textId="24C5273E" w:rsidR="00A03280" w:rsidRPr="001024B9" w:rsidRDefault="00A03280" w:rsidP="001024B9">
            <w:pPr>
              <w:widowControl/>
              <w:autoSpaceDE/>
              <w:autoSpaceDN/>
              <w:adjustRightInd/>
              <w:jc w:val="right"/>
              <w:rPr>
                <w:rFonts w:ascii="Calibri" w:hAnsi="Calibri"/>
                <w:sz w:val="18"/>
                <w:szCs w:val="18"/>
              </w:rPr>
            </w:pPr>
            <w:r>
              <w:rPr>
                <w:rFonts w:ascii="Calibri" w:hAnsi="Calibri"/>
                <w:sz w:val="18"/>
                <w:szCs w:val="18"/>
              </w:rPr>
              <w:t>12</w:t>
            </w:r>
            <w:r w:rsidR="00ED5451">
              <w:rPr>
                <w:rFonts w:ascii="Calibri" w:hAnsi="Calibri"/>
                <w:sz w:val="18"/>
                <w:szCs w:val="18"/>
              </w:rPr>
              <w:t>,</w:t>
            </w:r>
            <w:r>
              <w:rPr>
                <w:rFonts w:ascii="Calibri" w:hAnsi="Calibri"/>
                <w:sz w:val="18"/>
                <w:szCs w:val="18"/>
              </w:rPr>
              <w:t>000</w:t>
            </w:r>
          </w:p>
        </w:tc>
        <w:tc>
          <w:tcPr>
            <w:tcW w:w="720" w:type="dxa"/>
          </w:tcPr>
          <w:p w14:paraId="13E81056" w14:textId="2D793E5B" w:rsidR="00A03280" w:rsidRPr="001024B9" w:rsidRDefault="00A03280" w:rsidP="001024B9">
            <w:pPr>
              <w:widowControl/>
              <w:autoSpaceDE/>
              <w:autoSpaceDN/>
              <w:adjustRightInd/>
              <w:jc w:val="right"/>
              <w:rPr>
                <w:rFonts w:ascii="Calibri" w:hAnsi="Calibri"/>
                <w:sz w:val="18"/>
                <w:szCs w:val="18"/>
              </w:rPr>
            </w:pPr>
            <w:r>
              <w:rPr>
                <w:rFonts w:ascii="Calibri" w:hAnsi="Calibri"/>
                <w:sz w:val="18"/>
                <w:szCs w:val="18"/>
              </w:rPr>
              <w:t>19</w:t>
            </w:r>
            <w:r w:rsidR="00ED5451">
              <w:rPr>
                <w:rFonts w:ascii="Calibri" w:hAnsi="Calibri"/>
                <w:sz w:val="18"/>
                <w:szCs w:val="18"/>
              </w:rPr>
              <w:t>,</w:t>
            </w:r>
            <w:r>
              <w:rPr>
                <w:rFonts w:ascii="Calibri" w:hAnsi="Calibri"/>
                <w:sz w:val="18"/>
                <w:szCs w:val="18"/>
              </w:rPr>
              <w:t>000</w:t>
            </w:r>
          </w:p>
        </w:tc>
        <w:tc>
          <w:tcPr>
            <w:tcW w:w="720" w:type="dxa"/>
          </w:tcPr>
          <w:p w14:paraId="48C76A50" w14:textId="779BB429" w:rsidR="00A03280" w:rsidRPr="001024B9" w:rsidRDefault="00A03280" w:rsidP="001024B9">
            <w:pPr>
              <w:widowControl/>
              <w:autoSpaceDE/>
              <w:autoSpaceDN/>
              <w:adjustRightInd/>
              <w:jc w:val="right"/>
              <w:rPr>
                <w:rFonts w:ascii="Calibri" w:hAnsi="Calibri"/>
                <w:sz w:val="18"/>
                <w:szCs w:val="18"/>
              </w:rPr>
            </w:pPr>
            <w:r>
              <w:rPr>
                <w:rFonts w:ascii="Calibri" w:hAnsi="Calibri"/>
                <w:sz w:val="18"/>
                <w:szCs w:val="18"/>
              </w:rPr>
              <w:t>15</w:t>
            </w:r>
            <w:r w:rsidR="00ED5451">
              <w:rPr>
                <w:rFonts w:ascii="Calibri" w:hAnsi="Calibri"/>
                <w:sz w:val="18"/>
                <w:szCs w:val="18"/>
              </w:rPr>
              <w:t>,</w:t>
            </w:r>
            <w:r>
              <w:rPr>
                <w:rFonts w:ascii="Calibri" w:hAnsi="Calibri"/>
                <w:sz w:val="18"/>
                <w:szCs w:val="18"/>
              </w:rPr>
              <w:t>500</w:t>
            </w:r>
          </w:p>
        </w:tc>
        <w:tc>
          <w:tcPr>
            <w:tcW w:w="720" w:type="dxa"/>
          </w:tcPr>
          <w:p w14:paraId="25466C4F" w14:textId="33AF6CEE" w:rsidR="00A03280" w:rsidRPr="001024B9" w:rsidRDefault="006071C6" w:rsidP="001024B9">
            <w:pPr>
              <w:widowControl/>
              <w:autoSpaceDE/>
              <w:autoSpaceDN/>
              <w:adjustRightInd/>
              <w:jc w:val="right"/>
              <w:rPr>
                <w:rFonts w:ascii="Calibri" w:hAnsi="Calibri"/>
                <w:sz w:val="18"/>
                <w:szCs w:val="18"/>
              </w:rPr>
            </w:pPr>
            <w:r>
              <w:rPr>
                <w:rFonts w:ascii="Calibri" w:hAnsi="Calibri"/>
                <w:sz w:val="18"/>
                <w:szCs w:val="18"/>
              </w:rPr>
              <w:t>14</w:t>
            </w:r>
            <w:r w:rsidR="00ED5451">
              <w:rPr>
                <w:rFonts w:ascii="Calibri" w:hAnsi="Calibri"/>
                <w:sz w:val="18"/>
                <w:szCs w:val="18"/>
              </w:rPr>
              <w:t>,</w:t>
            </w:r>
            <w:r>
              <w:rPr>
                <w:rFonts w:ascii="Calibri" w:hAnsi="Calibri"/>
                <w:sz w:val="18"/>
                <w:szCs w:val="18"/>
              </w:rPr>
              <w:t>500</w:t>
            </w:r>
          </w:p>
        </w:tc>
        <w:tc>
          <w:tcPr>
            <w:tcW w:w="720" w:type="dxa"/>
          </w:tcPr>
          <w:p w14:paraId="19B5E619" w14:textId="41B889B3" w:rsidR="00A03280" w:rsidRPr="001024B9" w:rsidRDefault="006071C6" w:rsidP="001024B9">
            <w:pPr>
              <w:widowControl/>
              <w:autoSpaceDE/>
              <w:autoSpaceDN/>
              <w:adjustRightInd/>
              <w:jc w:val="right"/>
              <w:rPr>
                <w:rFonts w:ascii="Calibri" w:hAnsi="Calibri"/>
                <w:sz w:val="18"/>
                <w:szCs w:val="18"/>
              </w:rPr>
            </w:pPr>
            <w:r>
              <w:rPr>
                <w:rFonts w:ascii="Calibri" w:hAnsi="Calibri"/>
                <w:sz w:val="18"/>
                <w:szCs w:val="18"/>
              </w:rPr>
              <w:t>14</w:t>
            </w:r>
            <w:r w:rsidR="00ED5451">
              <w:rPr>
                <w:rFonts w:ascii="Calibri" w:hAnsi="Calibri"/>
                <w:sz w:val="18"/>
                <w:szCs w:val="18"/>
              </w:rPr>
              <w:t>,</w:t>
            </w:r>
            <w:r>
              <w:rPr>
                <w:rFonts w:ascii="Calibri" w:hAnsi="Calibri"/>
                <w:sz w:val="18"/>
                <w:szCs w:val="18"/>
              </w:rPr>
              <w:t>500</w:t>
            </w:r>
          </w:p>
        </w:tc>
        <w:tc>
          <w:tcPr>
            <w:tcW w:w="720" w:type="dxa"/>
          </w:tcPr>
          <w:p w14:paraId="48EB1DDF" w14:textId="0913CF07" w:rsidR="00A03280" w:rsidRPr="00D847AF" w:rsidRDefault="006071C6" w:rsidP="006071C6">
            <w:pPr>
              <w:widowControl/>
              <w:autoSpaceDE/>
              <w:autoSpaceDN/>
              <w:adjustRightInd/>
              <w:jc w:val="right"/>
              <w:rPr>
                <w:rFonts w:ascii="Calibri" w:hAnsi="Calibri"/>
                <w:b/>
                <w:sz w:val="18"/>
                <w:szCs w:val="18"/>
              </w:rPr>
            </w:pPr>
            <w:r w:rsidRPr="00D847AF">
              <w:rPr>
                <w:rFonts w:ascii="Calibri" w:hAnsi="Calibri"/>
                <w:b/>
                <w:sz w:val="18"/>
                <w:szCs w:val="18"/>
              </w:rPr>
              <w:t>15</w:t>
            </w:r>
            <w:r w:rsidR="00ED5451" w:rsidRPr="00D847AF">
              <w:rPr>
                <w:rFonts w:ascii="Calibri" w:hAnsi="Calibri"/>
                <w:b/>
                <w:sz w:val="18"/>
                <w:szCs w:val="18"/>
              </w:rPr>
              <w:t>,</w:t>
            </w:r>
            <w:r w:rsidRPr="00D847AF">
              <w:rPr>
                <w:rFonts w:ascii="Calibri" w:hAnsi="Calibri"/>
                <w:b/>
                <w:sz w:val="18"/>
                <w:szCs w:val="18"/>
              </w:rPr>
              <w:t>500</w:t>
            </w:r>
          </w:p>
        </w:tc>
        <w:tc>
          <w:tcPr>
            <w:tcW w:w="720" w:type="dxa"/>
          </w:tcPr>
          <w:p w14:paraId="724906ED" w14:textId="2FC1BF6D" w:rsidR="00A03280" w:rsidRPr="00D847AF" w:rsidRDefault="00177E2C" w:rsidP="00F16C0C">
            <w:pPr>
              <w:widowControl/>
              <w:autoSpaceDE/>
              <w:autoSpaceDN/>
              <w:adjustRightInd/>
              <w:jc w:val="right"/>
              <w:rPr>
                <w:rFonts w:ascii="Calibri" w:hAnsi="Calibri"/>
                <w:b/>
                <w:sz w:val="18"/>
                <w:szCs w:val="18"/>
              </w:rPr>
            </w:pPr>
            <w:r w:rsidRPr="00D847AF">
              <w:rPr>
                <w:rFonts w:ascii="Calibri" w:hAnsi="Calibri"/>
                <w:b/>
                <w:sz w:val="18"/>
                <w:szCs w:val="18"/>
              </w:rPr>
              <w:t>15,000</w:t>
            </w:r>
          </w:p>
        </w:tc>
      </w:tr>
    </w:tbl>
    <w:p w14:paraId="49A1B8EF" w14:textId="77777777" w:rsidR="001024B9" w:rsidRPr="001024B9" w:rsidRDefault="001024B9" w:rsidP="001024B9">
      <w:pPr>
        <w:widowControl/>
        <w:autoSpaceDE/>
        <w:autoSpaceDN/>
        <w:adjustRightInd/>
        <w:spacing w:line="240" w:lineRule="auto"/>
        <w:rPr>
          <w:rFonts w:ascii="Calibri" w:eastAsia="Calibri" w:hAnsi="Calibri"/>
          <w:sz w:val="18"/>
          <w:szCs w:val="18"/>
        </w:rPr>
      </w:pPr>
      <w:r w:rsidRPr="001024B9">
        <w:rPr>
          <w:rFonts w:ascii="Calibri" w:eastAsia="Calibri" w:hAnsi="Calibri"/>
          <w:sz w:val="18"/>
          <w:szCs w:val="18"/>
        </w:rPr>
        <w:t>*Based on 5 months of interviewing 5 independent samples of 7,000 each</w:t>
      </w:r>
    </w:p>
    <w:p w14:paraId="5C407793" w14:textId="77777777" w:rsidR="001024B9" w:rsidRPr="001024B9" w:rsidRDefault="001024B9" w:rsidP="001024B9">
      <w:pPr>
        <w:widowControl/>
        <w:autoSpaceDE/>
        <w:autoSpaceDN/>
        <w:adjustRightInd/>
        <w:spacing w:line="240" w:lineRule="auto"/>
        <w:rPr>
          <w:rFonts w:ascii="Calibri" w:eastAsia="Calibri" w:hAnsi="Calibri"/>
          <w:sz w:val="18"/>
          <w:szCs w:val="18"/>
        </w:rPr>
      </w:pPr>
      <w:r w:rsidRPr="001024B9">
        <w:rPr>
          <w:rFonts w:ascii="Calibri" w:eastAsia="Calibri" w:hAnsi="Calibri"/>
          <w:sz w:val="18"/>
          <w:szCs w:val="18"/>
        </w:rPr>
        <w:t>**Based on sample loss from Wave 1</w:t>
      </w:r>
    </w:p>
    <w:p w14:paraId="5DF02241" w14:textId="77777777" w:rsidR="00EF3B13" w:rsidRPr="000F64D5" w:rsidRDefault="00EF3B1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1F5536B" w14:textId="6759AD03" w:rsidR="00C220B1" w:rsidRDefault="00C220B1" w:rsidP="00EE4AA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After about </w:t>
      </w:r>
      <w:r w:rsidR="00D275FD">
        <w:rPr>
          <w:rFonts w:ascii="Times New Roman" w:hAnsi="Times New Roman"/>
        </w:rPr>
        <w:t>eight</w:t>
      </w:r>
      <w:r>
        <w:rPr>
          <w:rFonts w:ascii="Times New Roman" w:hAnsi="Times New Roman"/>
        </w:rPr>
        <w:t xml:space="preserve"> years, the samples will reach equilibrium, with each panel consisting of </w:t>
      </w:r>
      <w:r w:rsidR="00237749">
        <w:rPr>
          <w:rFonts w:ascii="Times New Roman" w:hAnsi="Times New Roman"/>
        </w:rPr>
        <w:t>approximately</w:t>
      </w:r>
      <w:r>
        <w:rPr>
          <w:rFonts w:ascii="Times New Roman" w:hAnsi="Times New Roman"/>
        </w:rPr>
        <w:t xml:space="preserve"> 15,000-16,000 </w:t>
      </w:r>
      <w:r w:rsidR="00237749">
        <w:rPr>
          <w:rFonts w:ascii="Times New Roman" w:hAnsi="Times New Roman"/>
        </w:rPr>
        <w:t xml:space="preserve">new </w:t>
      </w:r>
      <w:r>
        <w:rPr>
          <w:rFonts w:ascii="Times New Roman" w:hAnsi="Times New Roman"/>
        </w:rPr>
        <w:t>households</w:t>
      </w:r>
      <w:r w:rsidR="00237749">
        <w:rPr>
          <w:rFonts w:ascii="Times New Roman" w:hAnsi="Times New Roman"/>
        </w:rPr>
        <w:t xml:space="preserve"> per year, and maintaining </w:t>
      </w:r>
      <w:r w:rsidR="00237749" w:rsidRPr="00237749">
        <w:rPr>
          <w:rFonts w:ascii="Times New Roman" w:hAnsi="Times New Roman"/>
        </w:rPr>
        <w:t>approximately 35,000 households being attempted for interview each calendar year</w:t>
      </w:r>
      <w:r>
        <w:rPr>
          <w:rFonts w:ascii="Times New Roman" w:hAnsi="Times New Roman"/>
        </w:rPr>
        <w:t>.</w:t>
      </w:r>
    </w:p>
    <w:p w14:paraId="764F33CA" w14:textId="77777777" w:rsidR="0055028E" w:rsidRDefault="0055028E" w:rsidP="00EE4AA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7C" w14:textId="03485FFF" w:rsidR="009A4EC6" w:rsidRPr="009A4EC6" w:rsidRDefault="003158D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3158D3">
        <w:rPr>
          <w:rFonts w:ascii="Times New Roman" w:hAnsi="Times New Roman"/>
        </w:rPr>
        <w:t xml:space="preserve">The Census Bureau plans to use Computer </w:t>
      </w:r>
      <w:r w:rsidR="00B62337">
        <w:rPr>
          <w:rFonts w:ascii="Times New Roman" w:hAnsi="Times New Roman"/>
        </w:rPr>
        <w:t>Audio-</w:t>
      </w:r>
      <w:r w:rsidR="00B62337" w:rsidRPr="00CD763E">
        <w:rPr>
          <w:rFonts w:ascii="Times New Roman" w:hAnsi="Times New Roman"/>
        </w:rPr>
        <w:t xml:space="preserve">Recorded </w:t>
      </w:r>
      <w:r w:rsidRPr="003158D3">
        <w:rPr>
          <w:rFonts w:ascii="Times New Roman" w:hAnsi="Times New Roman"/>
        </w:rPr>
        <w:t>Interview (CARI) technology during the 201</w:t>
      </w:r>
      <w:r w:rsidR="00DA2C24">
        <w:rPr>
          <w:rFonts w:ascii="Times New Roman" w:hAnsi="Times New Roman"/>
        </w:rPr>
        <w:t>8</w:t>
      </w:r>
      <w:r w:rsidR="00B62337">
        <w:rPr>
          <w:rFonts w:ascii="Times New Roman" w:hAnsi="Times New Roman"/>
        </w:rPr>
        <w:t xml:space="preserve"> SIPP Panel. </w:t>
      </w:r>
      <w:r w:rsidRPr="003158D3">
        <w:rPr>
          <w:rFonts w:ascii="Times New Roman" w:hAnsi="Times New Roman"/>
        </w:rPr>
        <w:t xml:space="preserve">CARI is a </w:t>
      </w:r>
      <w:r w:rsidR="00B62337">
        <w:rPr>
          <w:rFonts w:ascii="Times New Roman" w:hAnsi="Times New Roman"/>
        </w:rPr>
        <w:t>tool</w:t>
      </w:r>
      <w:r w:rsidRPr="003158D3">
        <w:rPr>
          <w:rFonts w:ascii="Times New Roman" w:hAnsi="Times New Roman"/>
        </w:rPr>
        <w:t xml:space="preserve"> </w:t>
      </w:r>
      <w:r w:rsidR="00C10C96">
        <w:rPr>
          <w:rFonts w:ascii="Times New Roman" w:hAnsi="Times New Roman"/>
        </w:rPr>
        <w:t>available</w:t>
      </w:r>
      <w:r w:rsidR="00C10C96" w:rsidRPr="00CD763E">
        <w:rPr>
          <w:rFonts w:ascii="Times New Roman" w:hAnsi="Times New Roman"/>
        </w:rPr>
        <w:t xml:space="preserve"> during data collection </w:t>
      </w:r>
      <w:r w:rsidR="00C10C96">
        <w:rPr>
          <w:rFonts w:ascii="Times New Roman" w:hAnsi="Times New Roman"/>
        </w:rPr>
        <w:t xml:space="preserve">to </w:t>
      </w:r>
      <w:r w:rsidR="00C10C96" w:rsidRPr="00CD763E">
        <w:rPr>
          <w:rFonts w:ascii="Times New Roman" w:hAnsi="Times New Roman"/>
        </w:rPr>
        <w:t>capture audio along with response data.</w:t>
      </w:r>
      <w:r w:rsidR="005604EF">
        <w:rPr>
          <w:rFonts w:ascii="Times New Roman" w:hAnsi="Times New Roman"/>
        </w:rPr>
        <w:t xml:space="preserve"> </w:t>
      </w:r>
      <w:r w:rsidRPr="003158D3">
        <w:rPr>
          <w:rFonts w:ascii="Times New Roman" w:hAnsi="Times New Roman"/>
        </w:rPr>
        <w:t xml:space="preserve">With the respondent’s consent, a portion of each interview is recorded unobtrusively and both the sound file and screen images are returned with the response data </w:t>
      </w:r>
      <w:r w:rsidRPr="00902FEC">
        <w:rPr>
          <w:rFonts w:ascii="Times New Roman" w:hAnsi="Times New Roman"/>
        </w:rPr>
        <w:t xml:space="preserve">to </w:t>
      </w:r>
      <w:r w:rsidR="00902FEC">
        <w:rPr>
          <w:rFonts w:ascii="Times New Roman" w:hAnsi="Times New Roman"/>
        </w:rPr>
        <w:t>Census Headquarters for evaluation</w:t>
      </w:r>
      <w:r w:rsidR="005604EF">
        <w:rPr>
          <w:rFonts w:ascii="Times New Roman" w:hAnsi="Times New Roman"/>
        </w:rPr>
        <w:t xml:space="preserve">. </w:t>
      </w:r>
      <w:r w:rsidR="00C10C96" w:rsidRPr="00CD763E">
        <w:rPr>
          <w:rFonts w:ascii="Times New Roman" w:hAnsi="Times New Roman"/>
        </w:rPr>
        <w:t xml:space="preserve">Census staff may review the recorded portions of the interview </w:t>
      </w:r>
      <w:r w:rsidR="00C10C96">
        <w:rPr>
          <w:rFonts w:ascii="Times New Roman" w:hAnsi="Times New Roman"/>
        </w:rPr>
        <w:t xml:space="preserve">to improve questionnaire design and </w:t>
      </w:r>
      <w:r w:rsidR="00C10C96" w:rsidRPr="00CD763E">
        <w:rPr>
          <w:rFonts w:ascii="Times New Roman" w:hAnsi="Times New Roman"/>
        </w:rPr>
        <w:t>for quality assurance purposes.</w:t>
      </w:r>
      <w:r w:rsidR="009A4EC6" w:rsidRPr="009A4EC6">
        <w:rPr>
          <w:rFonts w:ascii="Times New Roman" w:hAnsi="Times New Roman"/>
        </w:rPr>
        <w:t xml:space="preserve">   </w:t>
      </w:r>
    </w:p>
    <w:p w14:paraId="5EA8527E" w14:textId="77777777" w:rsidR="009A4EC6" w:rsidRDefault="009A4EC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6DE38950" w14:textId="56ACB0FE" w:rsidR="00783519" w:rsidRDefault="00C04595" w:rsidP="0078351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C04595">
        <w:rPr>
          <w:rFonts w:ascii="Times New Roman" w:hAnsi="Times New Roman"/>
        </w:rPr>
        <w:t>Wave 1 of the SIPP 201</w:t>
      </w:r>
      <w:r w:rsidR="00C15DF0">
        <w:rPr>
          <w:rFonts w:ascii="Times New Roman" w:hAnsi="Times New Roman"/>
        </w:rPr>
        <w:t>8</w:t>
      </w:r>
      <w:r w:rsidRPr="00C04595">
        <w:rPr>
          <w:rFonts w:ascii="Times New Roman" w:hAnsi="Times New Roman"/>
        </w:rPr>
        <w:t xml:space="preserve"> Panel will be conducted from February to </w:t>
      </w:r>
      <w:r w:rsidR="00C10C96">
        <w:rPr>
          <w:rFonts w:ascii="Times New Roman" w:hAnsi="Times New Roman"/>
        </w:rPr>
        <w:t>June</w:t>
      </w:r>
      <w:r w:rsidRPr="00C04595">
        <w:rPr>
          <w:rFonts w:ascii="Times New Roman" w:hAnsi="Times New Roman"/>
        </w:rPr>
        <w:t xml:space="preserve"> of 201</w:t>
      </w:r>
      <w:r w:rsidR="00C15DF0">
        <w:rPr>
          <w:rFonts w:ascii="Times New Roman" w:hAnsi="Times New Roman"/>
        </w:rPr>
        <w:t>8</w:t>
      </w:r>
      <w:r w:rsidRPr="00C04595">
        <w:rPr>
          <w:rFonts w:ascii="Times New Roman" w:hAnsi="Times New Roman"/>
        </w:rPr>
        <w:t>.  Wave 2 is scheduled to be conducted</w:t>
      </w:r>
      <w:r w:rsidR="005604EF">
        <w:rPr>
          <w:rFonts w:ascii="Times New Roman" w:hAnsi="Times New Roman"/>
        </w:rPr>
        <w:t xml:space="preserve"> from </w:t>
      </w:r>
      <w:r w:rsidR="00F15065" w:rsidRPr="00C04595">
        <w:rPr>
          <w:rFonts w:ascii="Times New Roman" w:hAnsi="Times New Roman"/>
        </w:rPr>
        <w:t xml:space="preserve">February to </w:t>
      </w:r>
      <w:r w:rsidR="00F15065">
        <w:rPr>
          <w:rFonts w:ascii="Times New Roman" w:hAnsi="Times New Roman"/>
        </w:rPr>
        <w:t>June</w:t>
      </w:r>
      <w:r w:rsidR="00F15065" w:rsidRPr="00C04595">
        <w:rPr>
          <w:rFonts w:ascii="Times New Roman" w:hAnsi="Times New Roman"/>
        </w:rPr>
        <w:t xml:space="preserve"> </w:t>
      </w:r>
      <w:r w:rsidR="005604EF" w:rsidRPr="00094D75">
        <w:rPr>
          <w:rFonts w:ascii="Times New Roman" w:hAnsi="Times New Roman"/>
        </w:rPr>
        <w:t>of 201</w:t>
      </w:r>
      <w:r w:rsidR="00C15DF0" w:rsidRPr="00094D75">
        <w:rPr>
          <w:rFonts w:ascii="Times New Roman" w:hAnsi="Times New Roman"/>
        </w:rPr>
        <w:t>9</w:t>
      </w:r>
      <w:r w:rsidR="005604EF">
        <w:rPr>
          <w:rFonts w:ascii="Times New Roman" w:hAnsi="Times New Roman"/>
        </w:rPr>
        <w:t>.</w:t>
      </w:r>
      <w:r w:rsidRPr="00C04595">
        <w:rPr>
          <w:rFonts w:ascii="Times New Roman" w:hAnsi="Times New Roman"/>
        </w:rPr>
        <w:t xml:space="preserve"> Wave 3 is scheduled to be conducted </w:t>
      </w:r>
      <w:r w:rsidR="005604EF">
        <w:rPr>
          <w:rFonts w:ascii="Times New Roman" w:hAnsi="Times New Roman"/>
        </w:rPr>
        <w:t xml:space="preserve">from </w:t>
      </w:r>
      <w:r w:rsidR="00F15065" w:rsidRPr="00C04595">
        <w:rPr>
          <w:rFonts w:ascii="Times New Roman" w:hAnsi="Times New Roman"/>
        </w:rPr>
        <w:t xml:space="preserve">February to </w:t>
      </w:r>
      <w:r w:rsidR="00F15065">
        <w:rPr>
          <w:rFonts w:ascii="Times New Roman" w:hAnsi="Times New Roman"/>
        </w:rPr>
        <w:t>June</w:t>
      </w:r>
      <w:r w:rsidR="00F15065" w:rsidRPr="00C04595">
        <w:rPr>
          <w:rFonts w:ascii="Times New Roman" w:hAnsi="Times New Roman"/>
        </w:rPr>
        <w:t xml:space="preserve"> </w:t>
      </w:r>
      <w:r w:rsidR="005604EF" w:rsidRPr="00094D75">
        <w:rPr>
          <w:rFonts w:ascii="Times New Roman" w:hAnsi="Times New Roman"/>
        </w:rPr>
        <w:t>of 20</w:t>
      </w:r>
      <w:r w:rsidR="00C15DF0" w:rsidRPr="00094D75">
        <w:rPr>
          <w:rFonts w:ascii="Times New Roman" w:hAnsi="Times New Roman"/>
        </w:rPr>
        <w:t>20</w:t>
      </w:r>
      <w:r w:rsidR="005604EF">
        <w:rPr>
          <w:rFonts w:ascii="Times New Roman" w:hAnsi="Times New Roman"/>
        </w:rPr>
        <w:t xml:space="preserve">. </w:t>
      </w:r>
      <w:r w:rsidRPr="00C04595">
        <w:rPr>
          <w:rFonts w:ascii="Times New Roman" w:hAnsi="Times New Roman"/>
        </w:rPr>
        <w:t xml:space="preserve">Wave 4 is scheduled to be conducted from </w:t>
      </w:r>
      <w:r w:rsidR="00F15065" w:rsidRPr="00C04595">
        <w:rPr>
          <w:rFonts w:ascii="Times New Roman" w:hAnsi="Times New Roman"/>
        </w:rPr>
        <w:t xml:space="preserve">February to </w:t>
      </w:r>
      <w:r w:rsidR="00F15065">
        <w:rPr>
          <w:rFonts w:ascii="Times New Roman" w:hAnsi="Times New Roman"/>
        </w:rPr>
        <w:t>June</w:t>
      </w:r>
      <w:r w:rsidR="00F15065" w:rsidRPr="00C04595">
        <w:rPr>
          <w:rFonts w:ascii="Times New Roman" w:hAnsi="Times New Roman"/>
        </w:rPr>
        <w:t xml:space="preserve"> </w:t>
      </w:r>
      <w:r w:rsidRPr="00094D75">
        <w:rPr>
          <w:rFonts w:ascii="Times New Roman" w:hAnsi="Times New Roman"/>
        </w:rPr>
        <w:t>of 20</w:t>
      </w:r>
      <w:r w:rsidR="00C15DF0" w:rsidRPr="00094D75">
        <w:rPr>
          <w:rFonts w:ascii="Times New Roman" w:hAnsi="Times New Roman"/>
        </w:rPr>
        <w:t>21</w:t>
      </w:r>
      <w:r w:rsidRPr="00C04595">
        <w:rPr>
          <w:rFonts w:ascii="Times New Roman" w:hAnsi="Times New Roman"/>
        </w:rPr>
        <w:t>.</w:t>
      </w:r>
      <w:r w:rsidR="00FE0141">
        <w:rPr>
          <w:rFonts w:ascii="Times New Roman" w:hAnsi="Times New Roman"/>
        </w:rPr>
        <w:t xml:space="preserve"> </w:t>
      </w:r>
      <w:r w:rsidR="00783519" w:rsidRPr="008320C8">
        <w:rPr>
          <w:rFonts w:ascii="Times New Roman" w:hAnsi="Times New Roman"/>
        </w:rPr>
        <w:t>This OMB clearance request is for the 201</w:t>
      </w:r>
      <w:r w:rsidR="00F56132">
        <w:rPr>
          <w:rFonts w:ascii="Times New Roman" w:hAnsi="Times New Roman"/>
        </w:rPr>
        <w:t xml:space="preserve">8 SIPP Panel (Waves 1, 2, </w:t>
      </w:r>
      <w:r w:rsidR="00783519">
        <w:rPr>
          <w:rFonts w:ascii="Times New Roman" w:hAnsi="Times New Roman"/>
        </w:rPr>
        <w:t xml:space="preserve">and </w:t>
      </w:r>
      <w:r w:rsidR="00F56132">
        <w:rPr>
          <w:rFonts w:ascii="Times New Roman" w:hAnsi="Times New Roman"/>
        </w:rPr>
        <w:t>3</w:t>
      </w:r>
      <w:r w:rsidR="00783519">
        <w:rPr>
          <w:rFonts w:ascii="Times New Roman" w:hAnsi="Times New Roman"/>
        </w:rPr>
        <w:t>).</w:t>
      </w:r>
    </w:p>
    <w:p w14:paraId="49B2DAA6" w14:textId="77777777" w:rsidR="00783519" w:rsidRDefault="0078351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83" w14:textId="77777777"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2.</w:t>
      </w:r>
      <w:r w:rsidRPr="00D63FF8">
        <w:rPr>
          <w:rFonts w:ascii="Times New Roman" w:hAnsi="Times New Roman"/>
          <w:b/>
        </w:rPr>
        <w:tab/>
        <w:t>Needs and Uses</w:t>
      </w:r>
    </w:p>
    <w:p w14:paraId="5EA85284"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1327AB94" w14:textId="77777777" w:rsidR="00EA7420" w:rsidRPr="008320C8" w:rsidRDefault="00EA7420" w:rsidP="00EA74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1098E">
        <w:rPr>
          <w:rFonts w:ascii="Times New Roman" w:hAnsi="Times New Roman"/>
        </w:rPr>
        <w:t xml:space="preserve">The </w:t>
      </w:r>
      <w:r>
        <w:rPr>
          <w:rFonts w:ascii="Times New Roman" w:hAnsi="Times New Roman"/>
        </w:rPr>
        <w:t xml:space="preserve">2018 </w:t>
      </w:r>
      <w:r w:rsidRPr="00F1098E">
        <w:rPr>
          <w:rFonts w:ascii="Times New Roman" w:hAnsi="Times New Roman"/>
        </w:rPr>
        <w:t>SIPP</w:t>
      </w:r>
      <w:r>
        <w:rPr>
          <w:rFonts w:ascii="Times New Roman" w:hAnsi="Times New Roman"/>
        </w:rPr>
        <w:t xml:space="preserve"> </w:t>
      </w:r>
      <w:r w:rsidRPr="00F1098E">
        <w:rPr>
          <w:rFonts w:ascii="Times New Roman" w:hAnsi="Times New Roman"/>
        </w:rPr>
        <w:t xml:space="preserve">collects information about a variety of topics including </w:t>
      </w:r>
      <w:r>
        <w:rPr>
          <w:rFonts w:ascii="Times New Roman" w:hAnsi="Times New Roman"/>
        </w:rPr>
        <w:t xml:space="preserve">demographics, </w:t>
      </w:r>
      <w:r w:rsidRPr="00F1098E">
        <w:rPr>
          <w:rFonts w:ascii="Times New Roman" w:hAnsi="Times New Roman"/>
        </w:rPr>
        <w:t>household composition</w:t>
      </w:r>
      <w:r>
        <w:rPr>
          <w:rFonts w:ascii="Times New Roman" w:hAnsi="Times New Roman"/>
        </w:rPr>
        <w:t>,</w:t>
      </w:r>
      <w:r w:rsidRPr="00F1098E">
        <w:rPr>
          <w:rFonts w:ascii="Times New Roman" w:hAnsi="Times New Roman"/>
        </w:rPr>
        <w:t xml:space="preserve"> e</w:t>
      </w:r>
      <w:r>
        <w:rPr>
          <w:rFonts w:ascii="Times New Roman" w:hAnsi="Times New Roman"/>
        </w:rPr>
        <w:t>ducation</w:t>
      </w:r>
      <w:r w:rsidRPr="00F1098E">
        <w:rPr>
          <w:rFonts w:ascii="Times New Roman" w:hAnsi="Times New Roman"/>
        </w:rPr>
        <w:t>, nativity and citizenship, health insurance coverage, Medicaid, Medicare,</w:t>
      </w:r>
      <w:r>
        <w:rPr>
          <w:rFonts w:ascii="Times New Roman" w:hAnsi="Times New Roman"/>
        </w:rPr>
        <w:t xml:space="preserve"> </w:t>
      </w:r>
      <w:r w:rsidRPr="00F1098E">
        <w:rPr>
          <w:rFonts w:ascii="Times New Roman" w:hAnsi="Times New Roman"/>
        </w:rPr>
        <w:t>employment</w:t>
      </w:r>
      <w:r>
        <w:rPr>
          <w:rFonts w:ascii="Times New Roman" w:hAnsi="Times New Roman"/>
        </w:rPr>
        <w:t xml:space="preserve"> </w:t>
      </w:r>
      <w:r w:rsidRPr="00F1098E">
        <w:rPr>
          <w:rFonts w:ascii="Times New Roman" w:hAnsi="Times New Roman"/>
        </w:rPr>
        <w:t>and earnings, unemployment insurance</w:t>
      </w:r>
      <w:r>
        <w:rPr>
          <w:rFonts w:ascii="Times New Roman" w:hAnsi="Times New Roman"/>
        </w:rPr>
        <w:t>,</w:t>
      </w:r>
      <w:r w:rsidRPr="008C242D">
        <w:rPr>
          <w:rFonts w:ascii="Times New Roman" w:hAnsi="Times New Roman"/>
        </w:rPr>
        <w:t xml:space="preserve"> </w:t>
      </w:r>
      <w:r w:rsidRPr="00F1098E">
        <w:rPr>
          <w:rFonts w:ascii="Times New Roman" w:hAnsi="Times New Roman"/>
        </w:rPr>
        <w:t xml:space="preserve">assets, child </w:t>
      </w:r>
      <w:r>
        <w:rPr>
          <w:rFonts w:ascii="Times New Roman" w:hAnsi="Times New Roman"/>
        </w:rPr>
        <w:t xml:space="preserve">support, disability, </w:t>
      </w:r>
      <w:r w:rsidRPr="00F1098E">
        <w:rPr>
          <w:rFonts w:ascii="Times New Roman" w:hAnsi="Times New Roman"/>
        </w:rPr>
        <w:t xml:space="preserve">housing subsidies, </w:t>
      </w:r>
      <w:r>
        <w:rPr>
          <w:rFonts w:ascii="Times New Roman" w:hAnsi="Times New Roman"/>
        </w:rPr>
        <w:t>migration,</w:t>
      </w:r>
      <w:r w:rsidRPr="00F1098E">
        <w:rPr>
          <w:rFonts w:ascii="Times New Roman" w:hAnsi="Times New Roman"/>
        </w:rPr>
        <w:t xml:space="preserve"> Old-Age Survivors and Disability Insurance (OASDI), poverty, </w:t>
      </w:r>
      <w:r>
        <w:rPr>
          <w:rFonts w:ascii="Times New Roman" w:hAnsi="Times New Roman"/>
        </w:rPr>
        <w:t xml:space="preserve">and </w:t>
      </w:r>
      <w:r w:rsidRPr="00F1098E">
        <w:rPr>
          <w:rFonts w:ascii="Times New Roman" w:hAnsi="Times New Roman"/>
        </w:rPr>
        <w:t xml:space="preserve">participation in various government programs </w:t>
      </w:r>
      <w:r>
        <w:rPr>
          <w:rFonts w:ascii="Times New Roman" w:hAnsi="Times New Roman"/>
        </w:rPr>
        <w:t xml:space="preserve">like </w:t>
      </w:r>
      <w:r w:rsidRPr="00F1098E">
        <w:rPr>
          <w:rFonts w:ascii="Times New Roman" w:hAnsi="Times New Roman"/>
        </w:rPr>
        <w:t>Supplemental</w:t>
      </w:r>
      <w:r>
        <w:rPr>
          <w:rFonts w:ascii="Times New Roman" w:hAnsi="Times New Roman"/>
        </w:rPr>
        <w:t xml:space="preserve"> </w:t>
      </w:r>
      <w:r w:rsidRPr="00F1098E">
        <w:rPr>
          <w:rFonts w:ascii="Times New Roman" w:hAnsi="Times New Roman"/>
        </w:rPr>
        <w:t xml:space="preserve">Nutrition Assistance Program (SNAP), Supplemental Security Income (SSI), </w:t>
      </w:r>
      <w:r>
        <w:rPr>
          <w:rFonts w:ascii="Times New Roman" w:hAnsi="Times New Roman"/>
        </w:rPr>
        <w:t xml:space="preserve">and </w:t>
      </w:r>
      <w:r w:rsidRPr="00F1098E">
        <w:rPr>
          <w:rFonts w:ascii="Times New Roman" w:hAnsi="Times New Roman"/>
        </w:rPr>
        <w:t>Temporary Assistance</w:t>
      </w:r>
      <w:r>
        <w:rPr>
          <w:rFonts w:ascii="Times New Roman" w:hAnsi="Times New Roman"/>
        </w:rPr>
        <w:t xml:space="preserve"> for Needy Families (TANF)</w:t>
      </w:r>
      <w:r w:rsidRPr="00F1098E">
        <w:rPr>
          <w:rFonts w:ascii="Times New Roman" w:hAnsi="Times New Roman"/>
        </w:rPr>
        <w:t>.</w:t>
      </w:r>
      <w:r>
        <w:rPr>
          <w:rFonts w:ascii="Times New Roman" w:hAnsi="Times New Roman"/>
        </w:rPr>
        <w:t xml:space="preserve"> The 2018 SIPP Panel will continue the </w:t>
      </w:r>
      <w:r w:rsidRPr="008320C8">
        <w:rPr>
          <w:rFonts w:ascii="Times New Roman" w:hAnsi="Times New Roman"/>
        </w:rPr>
        <w:t xml:space="preserve">EHC methodology </w:t>
      </w:r>
      <w:r>
        <w:rPr>
          <w:rFonts w:ascii="Times New Roman" w:hAnsi="Times New Roman"/>
        </w:rPr>
        <w:t xml:space="preserve">implemented in 2014 SIPP instruments. </w:t>
      </w:r>
      <w:r w:rsidRPr="008320C8">
        <w:rPr>
          <w:rFonts w:ascii="Times New Roman" w:hAnsi="Times New Roman"/>
        </w:rPr>
        <w:t xml:space="preserve">The </w:t>
      </w:r>
      <w:r>
        <w:rPr>
          <w:rFonts w:ascii="Times New Roman" w:hAnsi="Times New Roman"/>
        </w:rPr>
        <w:t xml:space="preserve">2018 SIPP </w:t>
      </w:r>
      <w:r w:rsidRPr="008320C8">
        <w:rPr>
          <w:rFonts w:ascii="Times New Roman" w:hAnsi="Times New Roman"/>
        </w:rPr>
        <w:t xml:space="preserve">sample </w:t>
      </w:r>
      <w:r>
        <w:rPr>
          <w:rFonts w:ascii="Times New Roman" w:hAnsi="Times New Roman"/>
        </w:rPr>
        <w:t xml:space="preserve">is nationally representative, </w:t>
      </w:r>
      <w:r w:rsidRPr="0054357C">
        <w:rPr>
          <w:rFonts w:ascii="Times New Roman" w:hAnsi="Times New Roman"/>
        </w:rPr>
        <w:t>with an oversample of low-income areas</w:t>
      </w:r>
      <w:r>
        <w:rPr>
          <w:rFonts w:ascii="Times New Roman" w:hAnsi="Times New Roman"/>
        </w:rPr>
        <w:t>,</w:t>
      </w:r>
      <w:r w:rsidRPr="0084011D">
        <w:rPr>
          <w:rFonts w:ascii="Times New Roman" w:hAnsi="Times New Roman"/>
          <w:color w:val="FF0000"/>
        </w:rPr>
        <w:t xml:space="preserve"> </w:t>
      </w:r>
      <w:r w:rsidRPr="008320C8">
        <w:rPr>
          <w:rFonts w:ascii="Times New Roman" w:hAnsi="Times New Roman"/>
        </w:rPr>
        <w:t xml:space="preserve">in order to increase the </w:t>
      </w:r>
      <w:r>
        <w:rPr>
          <w:rFonts w:ascii="Times New Roman" w:hAnsi="Times New Roman"/>
        </w:rPr>
        <w:t>ability to measure participation</w:t>
      </w:r>
      <w:r w:rsidRPr="008320C8">
        <w:rPr>
          <w:rFonts w:ascii="Times New Roman" w:hAnsi="Times New Roman"/>
        </w:rPr>
        <w:t xml:space="preserve"> in government programs.  </w:t>
      </w:r>
    </w:p>
    <w:p w14:paraId="28AD1B44" w14:textId="77777777" w:rsidR="00EA7420" w:rsidRDefault="00EA7420"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75E7E75D" w14:textId="62531286" w:rsidR="00200670" w:rsidRDefault="00AB48AD"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w:t>
      </w:r>
      <w:r w:rsidR="00781FA5">
        <w:rPr>
          <w:rFonts w:ascii="Times New Roman" w:hAnsi="Times New Roman"/>
        </w:rPr>
        <w:t xml:space="preserve">2018 </w:t>
      </w:r>
      <w:r>
        <w:rPr>
          <w:rFonts w:ascii="Times New Roman" w:hAnsi="Times New Roman"/>
        </w:rPr>
        <w:t>SIPP program</w:t>
      </w:r>
      <w:r w:rsidR="004F03F7">
        <w:rPr>
          <w:rFonts w:ascii="Times New Roman" w:hAnsi="Times New Roman"/>
        </w:rPr>
        <w:t xml:space="preserve"> provide</w:t>
      </w:r>
      <w:r w:rsidR="00C15DF0">
        <w:rPr>
          <w:rFonts w:ascii="Times New Roman" w:hAnsi="Times New Roman"/>
        </w:rPr>
        <w:t>s</w:t>
      </w:r>
      <w:r w:rsidR="004F03F7">
        <w:rPr>
          <w:rFonts w:ascii="Times New Roman" w:hAnsi="Times New Roman"/>
        </w:rPr>
        <w:t xml:space="preserve"> critical information necessary to understand patterns </w:t>
      </w:r>
      <w:r w:rsidR="00200670">
        <w:rPr>
          <w:rFonts w:ascii="Times New Roman" w:hAnsi="Times New Roman"/>
        </w:rPr>
        <w:t xml:space="preserve">and relationships in income and program participation. </w:t>
      </w:r>
      <w:r w:rsidR="00781FA5">
        <w:rPr>
          <w:rFonts w:ascii="Times New Roman" w:hAnsi="Times New Roman"/>
        </w:rPr>
        <w:t>It will fulfill its</w:t>
      </w:r>
      <w:r>
        <w:rPr>
          <w:rFonts w:ascii="Times New Roman" w:hAnsi="Times New Roman"/>
        </w:rPr>
        <w:t xml:space="preserve"> objectives </w:t>
      </w:r>
      <w:r w:rsidR="00781FA5">
        <w:rPr>
          <w:rFonts w:ascii="Times New Roman" w:hAnsi="Times New Roman"/>
        </w:rPr>
        <w:t xml:space="preserve">started with the 2014 Panel </w:t>
      </w:r>
      <w:r>
        <w:rPr>
          <w:rFonts w:ascii="Times New Roman" w:hAnsi="Times New Roman"/>
        </w:rPr>
        <w:t xml:space="preserve">to </w:t>
      </w:r>
      <w:r w:rsidR="00781FA5">
        <w:rPr>
          <w:rFonts w:ascii="Times New Roman" w:hAnsi="Times New Roman"/>
        </w:rPr>
        <w:t xml:space="preserve">keep </w:t>
      </w:r>
      <w:r w:rsidR="00360205">
        <w:rPr>
          <w:rFonts w:ascii="Times New Roman" w:hAnsi="Times New Roman"/>
        </w:rPr>
        <w:t>respondent burden and costs</w:t>
      </w:r>
      <w:r w:rsidR="00781FA5">
        <w:rPr>
          <w:rFonts w:ascii="Times New Roman" w:hAnsi="Times New Roman"/>
        </w:rPr>
        <w:t xml:space="preserve"> low</w:t>
      </w:r>
      <w:r w:rsidR="00360205">
        <w:rPr>
          <w:rFonts w:ascii="Times New Roman" w:hAnsi="Times New Roman"/>
        </w:rPr>
        <w:t xml:space="preserve">, </w:t>
      </w:r>
      <w:r w:rsidR="00781FA5">
        <w:rPr>
          <w:rFonts w:ascii="Times New Roman" w:hAnsi="Times New Roman"/>
        </w:rPr>
        <w:t>maintain high</w:t>
      </w:r>
      <w:r w:rsidR="00360205">
        <w:rPr>
          <w:rFonts w:ascii="Times New Roman" w:hAnsi="Times New Roman"/>
        </w:rPr>
        <w:t xml:space="preserve"> </w:t>
      </w:r>
      <w:r w:rsidR="00360205" w:rsidRPr="00360205">
        <w:rPr>
          <w:rFonts w:ascii="Times New Roman" w:hAnsi="Times New Roman"/>
        </w:rPr>
        <w:t>data quality and timeliness</w:t>
      </w:r>
      <w:r>
        <w:rPr>
          <w:rFonts w:ascii="Times New Roman" w:hAnsi="Times New Roman"/>
        </w:rPr>
        <w:t xml:space="preserve">, and </w:t>
      </w:r>
      <w:r w:rsidR="00781FA5">
        <w:rPr>
          <w:rFonts w:ascii="Times New Roman" w:hAnsi="Times New Roman"/>
        </w:rPr>
        <w:t xml:space="preserve">use a refined and vetted </w:t>
      </w:r>
      <w:r>
        <w:rPr>
          <w:rFonts w:ascii="Times New Roman" w:hAnsi="Times New Roman"/>
        </w:rPr>
        <w:t>instrument and processing</w:t>
      </w:r>
      <w:r w:rsidR="00781FA5">
        <w:rPr>
          <w:rFonts w:ascii="Times New Roman" w:hAnsi="Times New Roman"/>
        </w:rPr>
        <w:t xml:space="preserve"> system</w:t>
      </w:r>
      <w:r w:rsidR="00360205" w:rsidRPr="00360205">
        <w:rPr>
          <w:rFonts w:ascii="Times New Roman" w:hAnsi="Times New Roman"/>
        </w:rPr>
        <w:t xml:space="preserve">. </w:t>
      </w:r>
      <w:r w:rsidR="00200670">
        <w:rPr>
          <w:rFonts w:ascii="Times New Roman" w:hAnsi="Times New Roman"/>
        </w:rPr>
        <w:t xml:space="preserve">The </w:t>
      </w:r>
      <w:r w:rsidR="00781FA5">
        <w:rPr>
          <w:rFonts w:ascii="Times New Roman" w:hAnsi="Times New Roman"/>
        </w:rPr>
        <w:t xml:space="preserve">2018 </w:t>
      </w:r>
      <w:r w:rsidR="00BD5FBA">
        <w:rPr>
          <w:rFonts w:ascii="Times New Roman" w:hAnsi="Times New Roman"/>
        </w:rPr>
        <w:t>SIPP data collection instrument</w:t>
      </w:r>
      <w:r w:rsidR="00200670">
        <w:rPr>
          <w:rFonts w:ascii="Times New Roman" w:hAnsi="Times New Roman"/>
        </w:rPr>
        <w:t xml:space="preserve"> </w:t>
      </w:r>
      <w:r w:rsidR="0047651A">
        <w:rPr>
          <w:rFonts w:ascii="Times New Roman" w:hAnsi="Times New Roman"/>
        </w:rPr>
        <w:t>maintain</w:t>
      </w:r>
      <w:r w:rsidR="0033552D">
        <w:rPr>
          <w:rFonts w:ascii="Times New Roman" w:hAnsi="Times New Roman"/>
        </w:rPr>
        <w:t>s</w:t>
      </w:r>
      <w:r w:rsidR="0047651A">
        <w:rPr>
          <w:rFonts w:ascii="Times New Roman" w:hAnsi="Times New Roman"/>
        </w:rPr>
        <w:t xml:space="preserve"> the </w:t>
      </w:r>
      <w:r w:rsidR="00200670">
        <w:rPr>
          <w:rFonts w:ascii="Times New Roman" w:hAnsi="Times New Roman"/>
        </w:rPr>
        <w:t>improve</w:t>
      </w:r>
      <w:r w:rsidR="0047651A">
        <w:rPr>
          <w:rFonts w:ascii="Times New Roman" w:hAnsi="Times New Roman"/>
        </w:rPr>
        <w:t>d</w:t>
      </w:r>
      <w:r w:rsidR="00200670">
        <w:rPr>
          <w:rFonts w:ascii="Times New Roman" w:hAnsi="Times New Roman"/>
        </w:rPr>
        <w:t xml:space="preserve"> data collection experience for respondents and interviewers</w:t>
      </w:r>
      <w:r w:rsidR="00994FF6">
        <w:rPr>
          <w:rFonts w:ascii="Times New Roman" w:hAnsi="Times New Roman"/>
        </w:rPr>
        <w:t>,</w:t>
      </w:r>
      <w:r w:rsidR="00200670">
        <w:rPr>
          <w:rFonts w:ascii="Times New Roman" w:hAnsi="Times New Roman"/>
        </w:rPr>
        <w:t xml:space="preserve"> and </w:t>
      </w:r>
      <w:r w:rsidR="007E00EB">
        <w:rPr>
          <w:rFonts w:ascii="Times New Roman" w:hAnsi="Times New Roman"/>
        </w:rPr>
        <w:t>focus</w:t>
      </w:r>
      <w:r w:rsidR="0033552D">
        <w:rPr>
          <w:rFonts w:ascii="Times New Roman" w:hAnsi="Times New Roman"/>
        </w:rPr>
        <w:t>es</w:t>
      </w:r>
      <w:r w:rsidR="007E00EB">
        <w:rPr>
          <w:rFonts w:ascii="Times New Roman" w:hAnsi="Times New Roman"/>
        </w:rPr>
        <w:t xml:space="preserve"> on improvements in data quality</w:t>
      </w:r>
      <w:r w:rsidR="00994FF6">
        <w:rPr>
          <w:rFonts w:ascii="Times New Roman" w:hAnsi="Times New Roman"/>
        </w:rPr>
        <w:t xml:space="preserve"> and better topic </w:t>
      </w:r>
      <w:r w:rsidR="0047651A">
        <w:rPr>
          <w:rFonts w:ascii="Times New Roman" w:hAnsi="Times New Roman"/>
        </w:rPr>
        <w:t xml:space="preserve">integration. </w:t>
      </w:r>
      <w:r w:rsidR="00E409E3">
        <w:rPr>
          <w:rFonts w:ascii="Times New Roman" w:hAnsi="Times New Roman"/>
        </w:rPr>
        <w:t>While evaluations</w:t>
      </w:r>
      <w:r w:rsidR="00994FF6">
        <w:rPr>
          <w:rFonts w:ascii="Times New Roman" w:hAnsi="Times New Roman"/>
        </w:rPr>
        <w:t xml:space="preserve"> will be ongoing, the Census Bureau is pleased with the results and is confident in continuing to provide high quality SIPP data utilizing the </w:t>
      </w:r>
      <w:r w:rsidR="0084011D">
        <w:rPr>
          <w:rFonts w:ascii="Times New Roman" w:hAnsi="Times New Roman"/>
        </w:rPr>
        <w:t xml:space="preserve">current </w:t>
      </w:r>
      <w:r w:rsidR="00994FF6">
        <w:rPr>
          <w:rFonts w:ascii="Times New Roman" w:hAnsi="Times New Roman"/>
        </w:rPr>
        <w:t>annual SIPP data collection instrument and procedures.</w:t>
      </w:r>
    </w:p>
    <w:p w14:paraId="27FA8A6E" w14:textId="77777777" w:rsidR="00151B9C" w:rsidRDefault="00151B9C"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BA91030" w14:textId="7646CF15" w:rsidR="0050392A" w:rsidRDefault="00360205"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360205">
        <w:rPr>
          <w:rFonts w:ascii="Times New Roman" w:hAnsi="Times New Roman"/>
        </w:rPr>
        <w:t xml:space="preserve">The </w:t>
      </w:r>
      <w:r w:rsidR="0033552D">
        <w:rPr>
          <w:rFonts w:ascii="Times New Roman" w:hAnsi="Times New Roman"/>
        </w:rPr>
        <w:t xml:space="preserve">2018 </w:t>
      </w:r>
      <w:r w:rsidRPr="00360205">
        <w:rPr>
          <w:rFonts w:ascii="Times New Roman" w:hAnsi="Times New Roman"/>
        </w:rPr>
        <w:t xml:space="preserve">SIPP instrument is </w:t>
      </w:r>
      <w:r w:rsidR="0054357C">
        <w:rPr>
          <w:rFonts w:ascii="Times New Roman" w:hAnsi="Times New Roman"/>
        </w:rPr>
        <w:t xml:space="preserve">currently </w:t>
      </w:r>
      <w:r w:rsidR="0033552D">
        <w:rPr>
          <w:rFonts w:ascii="Times New Roman" w:hAnsi="Times New Roman"/>
        </w:rPr>
        <w:t xml:space="preserve">written </w:t>
      </w:r>
      <w:r w:rsidRPr="00360205">
        <w:rPr>
          <w:rFonts w:ascii="Times New Roman" w:hAnsi="Times New Roman"/>
        </w:rPr>
        <w:t>in Blaise and C#</w:t>
      </w:r>
      <w:r>
        <w:rPr>
          <w:rFonts w:ascii="Times New Roman" w:hAnsi="Times New Roman"/>
        </w:rPr>
        <w:t xml:space="preserve">. </w:t>
      </w:r>
      <w:r w:rsidR="0033552D">
        <w:rPr>
          <w:rFonts w:ascii="Times New Roman" w:hAnsi="Times New Roman"/>
        </w:rPr>
        <w:t>It</w:t>
      </w:r>
      <w:r w:rsidR="0050392A">
        <w:rPr>
          <w:rFonts w:ascii="Times New Roman" w:hAnsi="Times New Roman"/>
        </w:rPr>
        <w:t xml:space="preserve"> incorporates an </w:t>
      </w:r>
      <w:r w:rsidR="0033552D">
        <w:rPr>
          <w:rFonts w:ascii="Times New Roman" w:hAnsi="Times New Roman"/>
        </w:rPr>
        <w:t>EHC</w:t>
      </w:r>
      <w:r w:rsidRPr="00360205">
        <w:rPr>
          <w:rFonts w:ascii="Times New Roman" w:hAnsi="Times New Roman"/>
        </w:rPr>
        <w:t xml:space="preserve"> design to help ensure that the</w:t>
      </w:r>
      <w:r>
        <w:rPr>
          <w:rFonts w:ascii="Times New Roman" w:hAnsi="Times New Roman"/>
        </w:rPr>
        <w:t xml:space="preserve"> </w:t>
      </w:r>
      <w:r w:rsidRPr="00360205">
        <w:rPr>
          <w:rFonts w:ascii="Times New Roman" w:hAnsi="Times New Roman"/>
        </w:rPr>
        <w:t>201</w:t>
      </w:r>
      <w:r w:rsidR="0033552D">
        <w:rPr>
          <w:rFonts w:ascii="Times New Roman" w:hAnsi="Times New Roman"/>
        </w:rPr>
        <w:t>8</w:t>
      </w:r>
      <w:r w:rsidRPr="00360205">
        <w:rPr>
          <w:rFonts w:ascii="Times New Roman" w:hAnsi="Times New Roman"/>
        </w:rPr>
        <w:t xml:space="preserve"> panel will collect intra-year dynamics of income, program participation, and other activities</w:t>
      </w:r>
      <w:r w:rsidR="001C777D">
        <w:rPr>
          <w:rFonts w:ascii="Times New Roman" w:hAnsi="Times New Roman"/>
        </w:rPr>
        <w:t xml:space="preserve"> </w:t>
      </w:r>
      <w:r w:rsidRPr="00360205">
        <w:rPr>
          <w:rFonts w:ascii="Times New Roman" w:hAnsi="Times New Roman"/>
        </w:rPr>
        <w:t xml:space="preserve">with at least the same data quality as earlier panels. </w:t>
      </w:r>
      <w:r w:rsidR="00C16C25">
        <w:rPr>
          <w:rFonts w:ascii="Times New Roman" w:hAnsi="Times New Roman"/>
        </w:rPr>
        <w:t xml:space="preserve"> The EHC</w:t>
      </w:r>
      <w:r w:rsidR="00C16C25" w:rsidRPr="008320C8">
        <w:rPr>
          <w:rFonts w:ascii="Times New Roman" w:hAnsi="Times New Roman"/>
        </w:rPr>
        <w:t xml:space="preserve"> is intended to help respondents recall information in a more natural “autobiographical” manner by using life events as triggers to recall</w:t>
      </w:r>
      <w:r w:rsidR="00C16C25">
        <w:rPr>
          <w:rFonts w:ascii="Times New Roman" w:hAnsi="Times New Roman"/>
        </w:rPr>
        <w:t xml:space="preserve"> other economic events. </w:t>
      </w:r>
      <w:r w:rsidR="00C16C25" w:rsidRPr="008320C8">
        <w:rPr>
          <w:rFonts w:ascii="Times New Roman" w:hAnsi="Times New Roman"/>
        </w:rPr>
        <w:t xml:space="preserve">For example, a residence change </w:t>
      </w:r>
      <w:r w:rsidR="00C16C25">
        <w:rPr>
          <w:rFonts w:ascii="Times New Roman" w:hAnsi="Times New Roman"/>
        </w:rPr>
        <w:t xml:space="preserve">may often occur </w:t>
      </w:r>
      <w:r w:rsidR="00C16C25" w:rsidRPr="008320C8">
        <w:rPr>
          <w:rFonts w:ascii="Times New Roman" w:hAnsi="Times New Roman"/>
        </w:rPr>
        <w:t>contemporaneousl</w:t>
      </w:r>
      <w:r w:rsidR="00C16C25">
        <w:rPr>
          <w:rFonts w:ascii="Times New Roman" w:hAnsi="Times New Roman"/>
        </w:rPr>
        <w:t xml:space="preserve">y with a change in employment. </w:t>
      </w:r>
      <w:r w:rsidR="00C16C25" w:rsidRPr="008320C8">
        <w:rPr>
          <w:rFonts w:ascii="Times New Roman" w:hAnsi="Times New Roman"/>
        </w:rPr>
        <w:t>The entire process of compiling the calendar focuses, by its nature, on consistency and sequential order of events, and attempts to corre</w:t>
      </w:r>
      <w:r w:rsidR="00C16C25">
        <w:rPr>
          <w:rFonts w:ascii="Times New Roman" w:hAnsi="Times New Roman"/>
        </w:rPr>
        <w:t>ct for otherwise missing data.</w:t>
      </w:r>
    </w:p>
    <w:p w14:paraId="254110F0" w14:textId="77777777" w:rsidR="0050392A" w:rsidRDefault="0050392A"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1F0847A3" w14:textId="77777777" w:rsidR="00EA7420" w:rsidRDefault="00EA7420" w:rsidP="00EA74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14:paraId="5EA85291" w14:textId="369D4CF3" w:rsidR="000D5272" w:rsidRDefault="000D527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2" w14:textId="77777777" w:rsidR="00ED32C6" w:rsidRPr="00D63FF8"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D63FF8">
        <w:rPr>
          <w:rFonts w:ascii="Times New Roman" w:hAnsi="Times New Roman"/>
          <w:b/>
        </w:rPr>
        <w:t>3.</w:t>
      </w:r>
      <w:r w:rsidR="00EA13CA" w:rsidRPr="00D63FF8">
        <w:rPr>
          <w:rFonts w:ascii="Times New Roman" w:hAnsi="Times New Roman"/>
          <w:b/>
        </w:rPr>
        <w:t xml:space="preserve">    </w:t>
      </w:r>
      <w:r w:rsidRPr="00D63FF8">
        <w:rPr>
          <w:rFonts w:ascii="Times New Roman" w:hAnsi="Times New Roman"/>
          <w:b/>
        </w:rPr>
        <w:t>Use of Information Technology</w:t>
      </w:r>
    </w:p>
    <w:p w14:paraId="5EA85293"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4" w14:textId="25BD26BC" w:rsidR="00FE0141"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survey is administered using CAPI </w:t>
      </w:r>
      <w:r w:rsidR="00240681">
        <w:rPr>
          <w:rFonts w:ascii="Times New Roman" w:hAnsi="Times New Roman"/>
        </w:rPr>
        <w:t xml:space="preserve">and CARI </w:t>
      </w:r>
      <w:r w:rsidR="005604EF">
        <w:rPr>
          <w:rFonts w:ascii="Times New Roman" w:hAnsi="Times New Roman"/>
        </w:rPr>
        <w:t xml:space="preserve">methodologies. </w:t>
      </w:r>
      <w:r w:rsidRPr="008320C8">
        <w:rPr>
          <w:rFonts w:ascii="Times New Roman" w:hAnsi="Times New Roman"/>
        </w:rPr>
        <w:t xml:space="preserve">The Census Bureau field representatives (FRs) collect the data from respondents using laptop computers and </w:t>
      </w:r>
      <w:r w:rsidR="00C672EB">
        <w:rPr>
          <w:rFonts w:ascii="Times New Roman" w:hAnsi="Times New Roman"/>
        </w:rPr>
        <w:t>transmit</w:t>
      </w:r>
      <w:r w:rsidRPr="008320C8">
        <w:rPr>
          <w:rFonts w:ascii="Times New Roman" w:hAnsi="Times New Roman"/>
        </w:rPr>
        <w:t xml:space="preserve"> to the Census Bureau Headquarters via high-speed modems. Automation significantly enhances our efforts to collect high quality data with skip instructions programmed into the instrument and information obtained in earlier interview segmen</w:t>
      </w:r>
      <w:r w:rsidR="005604EF">
        <w:rPr>
          <w:rFonts w:ascii="Times New Roman" w:hAnsi="Times New Roman"/>
        </w:rPr>
        <w:t xml:space="preserve">ts fed back to the respondent. </w:t>
      </w:r>
      <w:r w:rsidRPr="008320C8">
        <w:rPr>
          <w:rFonts w:ascii="Times New Roman" w:hAnsi="Times New Roman"/>
        </w:rPr>
        <w:t xml:space="preserve">Response burden </w:t>
      </w:r>
      <w:r w:rsidR="00CD565A">
        <w:rPr>
          <w:rFonts w:ascii="Times New Roman" w:hAnsi="Times New Roman"/>
        </w:rPr>
        <w:t>is</w:t>
      </w:r>
      <w:r w:rsidRPr="008320C8">
        <w:rPr>
          <w:rFonts w:ascii="Times New Roman" w:hAnsi="Times New Roman"/>
        </w:rPr>
        <w:t xml:space="preserve"> minimized by incorporating design features that make it easier to collect and </w:t>
      </w:r>
      <w:r w:rsidR="005604EF">
        <w:rPr>
          <w:rFonts w:ascii="Times New Roman" w:hAnsi="Times New Roman"/>
        </w:rPr>
        <w:t xml:space="preserve">record respondent information. </w:t>
      </w:r>
      <w:r w:rsidR="00A801A7">
        <w:rPr>
          <w:rFonts w:ascii="Times New Roman" w:hAnsi="Times New Roman"/>
        </w:rPr>
        <w:t>Therefore, s</w:t>
      </w:r>
      <w:r w:rsidRPr="008320C8">
        <w:rPr>
          <w:rFonts w:ascii="Times New Roman" w:hAnsi="Times New Roman"/>
        </w:rPr>
        <w:t xml:space="preserve">creening </w:t>
      </w:r>
      <w:r w:rsidR="00D81128">
        <w:rPr>
          <w:rFonts w:ascii="Times New Roman" w:hAnsi="Times New Roman"/>
        </w:rPr>
        <w:t xml:space="preserve">questions </w:t>
      </w:r>
      <w:r w:rsidRPr="008320C8">
        <w:rPr>
          <w:rFonts w:ascii="Times New Roman" w:hAnsi="Times New Roman"/>
        </w:rPr>
        <w:t xml:space="preserve">and lead-in questions </w:t>
      </w:r>
      <w:r w:rsidR="00D81128">
        <w:rPr>
          <w:rFonts w:ascii="Times New Roman" w:hAnsi="Times New Roman"/>
        </w:rPr>
        <w:t xml:space="preserve">are built into the automated instrument </w:t>
      </w:r>
      <w:r w:rsidRPr="008320C8">
        <w:rPr>
          <w:rFonts w:ascii="Times New Roman" w:hAnsi="Times New Roman"/>
        </w:rPr>
        <w:t>to skip respondents out of sections of the questionnaire that are not relevant or applicable.</w:t>
      </w:r>
    </w:p>
    <w:p w14:paraId="6483B9E9" w14:textId="77777777" w:rsidR="00AD03DC" w:rsidRPr="00A4692E" w:rsidRDefault="00AD03D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6" w14:textId="09415C1D" w:rsidR="00795CB6" w:rsidRPr="00A4692E" w:rsidRDefault="0054357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Review of current internet instruments and analysis from an i</w:t>
      </w:r>
      <w:r w:rsidR="008320C8" w:rsidRPr="008320C8">
        <w:rPr>
          <w:rFonts w:ascii="Times New Roman" w:hAnsi="Times New Roman"/>
        </w:rPr>
        <w:t xml:space="preserve">nternet field test conducted by the SIPP Methods Panel </w:t>
      </w:r>
      <w:r>
        <w:rPr>
          <w:rFonts w:ascii="Times New Roman" w:hAnsi="Times New Roman"/>
        </w:rPr>
        <w:t>(</w:t>
      </w:r>
      <w:r w:rsidR="008320C8" w:rsidRPr="008320C8">
        <w:rPr>
          <w:rFonts w:ascii="Times New Roman" w:hAnsi="Times New Roman"/>
        </w:rPr>
        <w:t>2000</w:t>
      </w:r>
      <w:r>
        <w:rPr>
          <w:rFonts w:ascii="Times New Roman" w:hAnsi="Times New Roman"/>
        </w:rPr>
        <w:t>)</w:t>
      </w:r>
      <w:r w:rsidR="008320C8" w:rsidRPr="008320C8">
        <w:rPr>
          <w:rFonts w:ascii="Times New Roman" w:hAnsi="Times New Roman"/>
        </w:rPr>
        <w:t xml:space="preserve"> </w:t>
      </w:r>
      <w:r>
        <w:rPr>
          <w:rFonts w:ascii="Times New Roman" w:hAnsi="Times New Roman"/>
        </w:rPr>
        <w:t>suggest that using the i</w:t>
      </w:r>
      <w:r w:rsidR="008320C8" w:rsidRPr="008320C8">
        <w:rPr>
          <w:rFonts w:ascii="Times New Roman" w:hAnsi="Times New Roman"/>
        </w:rPr>
        <w:t xml:space="preserve">nternet as a </w:t>
      </w:r>
      <w:r w:rsidR="006B77A4">
        <w:rPr>
          <w:rFonts w:ascii="Times New Roman" w:hAnsi="Times New Roman"/>
        </w:rPr>
        <w:t xml:space="preserve">data-collection </w:t>
      </w:r>
      <w:r w:rsidR="008320C8" w:rsidRPr="008320C8">
        <w:rPr>
          <w:rFonts w:ascii="Times New Roman" w:hAnsi="Times New Roman"/>
        </w:rPr>
        <w:t xml:space="preserve">mode for a </w:t>
      </w:r>
      <w:r w:rsidR="006B77A4">
        <w:rPr>
          <w:rFonts w:ascii="Times New Roman" w:hAnsi="Times New Roman"/>
        </w:rPr>
        <w:t xml:space="preserve">long, </w:t>
      </w:r>
      <w:r w:rsidR="008320C8" w:rsidRPr="008320C8">
        <w:rPr>
          <w:rFonts w:ascii="Times New Roman" w:hAnsi="Times New Roman"/>
        </w:rPr>
        <w:t xml:space="preserve">complex demographic survey such as SIPP is </w:t>
      </w:r>
      <w:r w:rsidR="006B77A4">
        <w:rPr>
          <w:rFonts w:ascii="Times New Roman" w:hAnsi="Times New Roman"/>
        </w:rPr>
        <w:t xml:space="preserve">currently </w:t>
      </w:r>
      <w:r w:rsidR="008320C8" w:rsidRPr="008320C8">
        <w:rPr>
          <w:rFonts w:ascii="Times New Roman" w:hAnsi="Times New Roman"/>
        </w:rPr>
        <w:t xml:space="preserve">not </w:t>
      </w:r>
      <w:r w:rsidR="006B77A4">
        <w:rPr>
          <w:rFonts w:ascii="Times New Roman" w:hAnsi="Times New Roman"/>
        </w:rPr>
        <w:t xml:space="preserve">a </w:t>
      </w:r>
      <w:r w:rsidR="008320C8" w:rsidRPr="008320C8">
        <w:rPr>
          <w:rFonts w:ascii="Times New Roman" w:hAnsi="Times New Roman"/>
        </w:rPr>
        <w:t>feasib</w:t>
      </w:r>
      <w:r w:rsidR="005604EF">
        <w:rPr>
          <w:rFonts w:ascii="Times New Roman" w:hAnsi="Times New Roman"/>
        </w:rPr>
        <w:t>le</w:t>
      </w:r>
      <w:r w:rsidR="006B77A4">
        <w:rPr>
          <w:rFonts w:ascii="Times New Roman" w:hAnsi="Times New Roman"/>
        </w:rPr>
        <w:t xml:space="preserve"> option for the SIPP program</w:t>
      </w:r>
      <w:r w:rsidR="005604EF">
        <w:rPr>
          <w:rFonts w:ascii="Times New Roman" w:hAnsi="Times New Roman"/>
        </w:rPr>
        <w:t xml:space="preserve">. </w:t>
      </w:r>
      <w:r w:rsidR="00D81128">
        <w:rPr>
          <w:rFonts w:ascii="Times New Roman" w:hAnsi="Times New Roman"/>
        </w:rPr>
        <w:t>The SIPP automated instrument contains</w:t>
      </w:r>
      <w:r w:rsidR="008320C8" w:rsidRPr="008320C8">
        <w:rPr>
          <w:rFonts w:ascii="Times New Roman" w:hAnsi="Times New Roman"/>
        </w:rPr>
        <w:t xml:space="preserve"> </w:t>
      </w:r>
      <w:r w:rsidR="00D81128">
        <w:rPr>
          <w:rFonts w:ascii="Times New Roman" w:hAnsi="Times New Roman"/>
        </w:rPr>
        <w:t xml:space="preserve">many </w:t>
      </w:r>
      <w:r w:rsidR="008320C8" w:rsidRPr="008320C8">
        <w:rPr>
          <w:rFonts w:ascii="Times New Roman" w:hAnsi="Times New Roman"/>
        </w:rPr>
        <w:t>complic</w:t>
      </w:r>
      <w:r w:rsidR="00795CB6">
        <w:rPr>
          <w:rFonts w:ascii="Times New Roman" w:hAnsi="Times New Roman"/>
        </w:rPr>
        <w:t>ated skip patterns and roster related</w:t>
      </w:r>
      <w:r w:rsidR="005604EF">
        <w:rPr>
          <w:rFonts w:ascii="Times New Roman" w:hAnsi="Times New Roman"/>
        </w:rPr>
        <w:t xml:space="preserve"> components. </w:t>
      </w:r>
      <w:r w:rsidR="00AD13B6">
        <w:rPr>
          <w:rFonts w:ascii="Times New Roman" w:hAnsi="Times New Roman"/>
        </w:rPr>
        <w:t xml:space="preserve">While the Methods Panel findings are now seventeen-years old, they remain salient. The public is not expected to be tolerant of long, complex, self-administered internet data collections.  Major revisions to design and content would be necessary to shift to an online-data collection. </w:t>
      </w:r>
      <w:r w:rsidR="00EC6429">
        <w:rPr>
          <w:rFonts w:ascii="Times New Roman" w:hAnsi="Times New Roman"/>
        </w:rPr>
        <w:t>T</w:t>
      </w:r>
      <w:r w:rsidR="008320C8" w:rsidRPr="008320C8">
        <w:rPr>
          <w:rFonts w:ascii="Times New Roman" w:hAnsi="Times New Roman"/>
        </w:rPr>
        <w:t xml:space="preserve">he costs of converting a complex questionnaire </w:t>
      </w:r>
      <w:r w:rsidR="00EC6429">
        <w:rPr>
          <w:rFonts w:ascii="Times New Roman" w:hAnsi="Times New Roman"/>
        </w:rPr>
        <w:t xml:space="preserve">such as SIPP </w:t>
      </w:r>
      <w:r w:rsidR="008320C8" w:rsidRPr="008320C8">
        <w:rPr>
          <w:rFonts w:ascii="Times New Roman" w:hAnsi="Times New Roman"/>
        </w:rPr>
        <w:t>to an online survey far outweigh the benefits ev</w:t>
      </w:r>
      <w:r w:rsidR="005604EF">
        <w:rPr>
          <w:rFonts w:ascii="Times New Roman" w:hAnsi="Times New Roman"/>
        </w:rPr>
        <w:t xml:space="preserve">en in a multimode environment. </w:t>
      </w:r>
      <w:r w:rsidR="006B77A4" w:rsidRPr="006B77A4">
        <w:rPr>
          <w:rFonts w:ascii="Times New Roman" w:hAnsi="Times New Roman"/>
        </w:rPr>
        <w:t>The SIPP program continuously reviews options for simplification of data collection, options for multi-mode data collection, and ways to reduce respondent burden.</w:t>
      </w:r>
    </w:p>
    <w:p w14:paraId="5EA85297" w14:textId="77777777" w:rsidR="008374B9" w:rsidRDefault="008374B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98" w14:textId="77777777" w:rsidR="00FE0141" w:rsidRPr="00D63FF8"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4.</w:t>
      </w:r>
      <w:r w:rsidRPr="00D63FF8">
        <w:rPr>
          <w:rFonts w:ascii="Times New Roman" w:hAnsi="Times New Roman"/>
          <w:b/>
        </w:rPr>
        <w:tab/>
        <w:t>Efforts to Identify Duplication</w:t>
      </w:r>
    </w:p>
    <w:p w14:paraId="5EA85299" w14:textId="77777777" w:rsidR="00647C89"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A" w14:textId="6EBA7B21" w:rsidR="00CC414E" w:rsidRDefault="00CC414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B3F0A">
        <w:rPr>
          <w:rFonts w:ascii="Times New Roman" w:hAnsi="Times New Roman"/>
        </w:rPr>
        <w:t>The demographic data collected in the S</w:t>
      </w:r>
      <w:r>
        <w:rPr>
          <w:rFonts w:ascii="Times New Roman" w:hAnsi="Times New Roman"/>
        </w:rPr>
        <w:t>IPP</w:t>
      </w:r>
      <w:r w:rsidRPr="00FB3F0A">
        <w:rPr>
          <w:rFonts w:ascii="Times New Roman" w:hAnsi="Times New Roman"/>
        </w:rPr>
        <w:t xml:space="preserve"> must be collected in conjunction with the labor force </w:t>
      </w:r>
      <w:r>
        <w:rPr>
          <w:rFonts w:ascii="Times New Roman" w:hAnsi="Times New Roman"/>
        </w:rPr>
        <w:t xml:space="preserve">and program participation </w:t>
      </w:r>
      <w:r w:rsidRPr="00FB3F0A">
        <w:rPr>
          <w:rFonts w:ascii="Times New Roman" w:hAnsi="Times New Roman"/>
        </w:rPr>
        <w:t xml:space="preserve">data in order for the information to be most useful; therefore, although we collect demographic data in conjunction with almost all </w:t>
      </w:r>
      <w:r w:rsidR="00D63FF8">
        <w:rPr>
          <w:rFonts w:ascii="Times New Roman" w:hAnsi="Times New Roman"/>
        </w:rPr>
        <w:t xml:space="preserve">Census Bureau </w:t>
      </w:r>
      <w:r w:rsidRPr="00FB3F0A">
        <w:rPr>
          <w:rFonts w:ascii="Times New Roman" w:hAnsi="Times New Roman"/>
        </w:rPr>
        <w:t>surveys, we need to continue its present collection in the S</w:t>
      </w:r>
      <w:r>
        <w:rPr>
          <w:rFonts w:ascii="Times New Roman" w:hAnsi="Times New Roman"/>
        </w:rPr>
        <w:t>IPP</w:t>
      </w:r>
      <w:r w:rsidR="005604EF">
        <w:rPr>
          <w:rFonts w:ascii="Times New Roman" w:hAnsi="Times New Roman"/>
        </w:rPr>
        <w:t xml:space="preserve">. </w:t>
      </w:r>
      <w:r w:rsidR="004F2938">
        <w:rPr>
          <w:rFonts w:ascii="Times New Roman" w:hAnsi="Times New Roman"/>
        </w:rPr>
        <w:t>No</w:t>
      </w:r>
      <w:r w:rsidRPr="00FB3F0A">
        <w:rPr>
          <w:rFonts w:ascii="Times New Roman" w:hAnsi="Times New Roman"/>
        </w:rPr>
        <w:t xml:space="preserve"> other current data source </w:t>
      </w:r>
      <w:r w:rsidR="004F2938">
        <w:rPr>
          <w:rFonts w:ascii="Times New Roman" w:hAnsi="Times New Roman"/>
        </w:rPr>
        <w:t xml:space="preserve">is </w:t>
      </w:r>
      <w:r w:rsidRPr="00FB3F0A">
        <w:rPr>
          <w:rFonts w:ascii="Times New Roman" w:hAnsi="Times New Roman"/>
        </w:rPr>
        <w:t xml:space="preserve">available </w:t>
      </w:r>
      <w:r w:rsidR="004F2938">
        <w:rPr>
          <w:rFonts w:ascii="Times New Roman" w:hAnsi="Times New Roman"/>
        </w:rPr>
        <w:t>which</w:t>
      </w:r>
      <w:r w:rsidRPr="00FB3F0A">
        <w:rPr>
          <w:rFonts w:ascii="Times New Roman" w:hAnsi="Times New Roman"/>
        </w:rPr>
        <w:t xml:space="preserve"> provides as comprehensive a set of statistics for analysis as described above</w:t>
      </w:r>
      <w:r w:rsidR="002864EB">
        <w:rPr>
          <w:rFonts w:ascii="Times New Roman" w:hAnsi="Times New Roman"/>
        </w:rPr>
        <w:t xml:space="preserve"> in section 2</w:t>
      </w:r>
      <w:r w:rsidRPr="00FB3F0A">
        <w:rPr>
          <w:rFonts w:ascii="Times New Roman" w:hAnsi="Times New Roman"/>
        </w:rPr>
        <w:t>.</w:t>
      </w:r>
    </w:p>
    <w:p w14:paraId="6419D26A" w14:textId="702CEAC0" w:rsidR="003A4EB2" w:rsidRDefault="003A4EB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C" w14:textId="77777777" w:rsidR="00FE0141" w:rsidRPr="00D63FF8"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D63FF8">
        <w:rPr>
          <w:rFonts w:ascii="Times New Roman" w:hAnsi="Times New Roman"/>
          <w:b/>
        </w:rPr>
        <w:t>5.</w:t>
      </w:r>
      <w:r w:rsidRPr="00D63FF8">
        <w:rPr>
          <w:rFonts w:ascii="Times New Roman" w:hAnsi="Times New Roman"/>
          <w:b/>
        </w:rPr>
        <w:tab/>
        <w:t>Minimizing Burden</w:t>
      </w:r>
    </w:p>
    <w:p w14:paraId="5EA8529D"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E" w14:textId="3AA5EA78" w:rsidR="00FE0141"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Census Bureau uses appropriate technology to keep </w:t>
      </w:r>
      <w:r w:rsidR="005604EF">
        <w:rPr>
          <w:rFonts w:ascii="Times New Roman" w:hAnsi="Times New Roman"/>
        </w:rPr>
        <w:t>respondent burden to a minimum.</w:t>
      </w:r>
      <w:r w:rsidRPr="008320C8">
        <w:rPr>
          <w:rFonts w:ascii="Times New Roman" w:hAnsi="Times New Roman"/>
        </w:rPr>
        <w:t xml:space="preserve"> Examples of technology used to minimize respondent burden include:  use of</w:t>
      </w:r>
      <w:r w:rsidR="009657ED">
        <w:rPr>
          <w:rFonts w:ascii="Times New Roman" w:hAnsi="Times New Roman"/>
        </w:rPr>
        <w:t xml:space="preserve"> appropriate screening and lead-</w:t>
      </w:r>
      <w:r w:rsidRPr="008320C8">
        <w:rPr>
          <w:rFonts w:ascii="Times New Roman" w:hAnsi="Times New Roman"/>
        </w:rPr>
        <w:t>in questions that serve to skip respondents out of sections of the CAPI instrument that are not relevant or applicable to them;</w:t>
      </w:r>
      <w:r w:rsidR="00A07E33">
        <w:rPr>
          <w:rFonts w:ascii="Times New Roman" w:hAnsi="Times New Roman"/>
        </w:rPr>
        <w:t xml:space="preserve"> </w:t>
      </w:r>
      <w:r w:rsidRPr="008320C8">
        <w:rPr>
          <w:rFonts w:ascii="Times New Roman" w:hAnsi="Times New Roman"/>
        </w:rPr>
        <w:t>use of flash cards to aid respondents with multiple response categories; and the arrangement of</w:t>
      </w:r>
      <w:r w:rsidR="00015169">
        <w:rPr>
          <w:rFonts w:ascii="Times New Roman" w:hAnsi="Times New Roman"/>
        </w:rPr>
        <w:t xml:space="preserve"> </w:t>
      </w:r>
      <w:r w:rsidRPr="008320C8">
        <w:rPr>
          <w:rFonts w:ascii="Times New Roman" w:hAnsi="Times New Roman"/>
        </w:rPr>
        <w:t>questions and sections of the CAPI instrument that facilitate the flow of administration f</w:t>
      </w:r>
      <w:r w:rsidR="005604EF">
        <w:rPr>
          <w:rFonts w:ascii="Times New Roman" w:hAnsi="Times New Roman"/>
        </w:rPr>
        <w:t xml:space="preserve">rom one topic area to another. </w:t>
      </w:r>
      <w:r w:rsidR="005D65A5">
        <w:rPr>
          <w:rFonts w:ascii="Times New Roman" w:hAnsi="Times New Roman"/>
        </w:rPr>
        <w:t>We will also use paradata to help evaluate respondent burden. For a more detailed explanation on paradata evaluation, see section 16.</w:t>
      </w:r>
    </w:p>
    <w:p w14:paraId="7CBB1489" w14:textId="77777777" w:rsidR="00EA7420" w:rsidRDefault="00EA7420"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14:paraId="5EA852A0" w14:textId="372E0D25" w:rsidR="00FE0141" w:rsidRPr="00D63FF8"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6.</w:t>
      </w:r>
      <w:r w:rsidRPr="00D63FF8">
        <w:rPr>
          <w:rFonts w:ascii="Times New Roman" w:hAnsi="Times New Roman"/>
          <w:b/>
        </w:rPr>
        <w:tab/>
        <w:t>Frequen</w:t>
      </w:r>
      <w:r w:rsidR="00973206" w:rsidRPr="00D63FF8">
        <w:rPr>
          <w:rFonts w:ascii="Times New Roman" w:hAnsi="Times New Roman"/>
          <w:b/>
        </w:rPr>
        <w:t>cy</w:t>
      </w:r>
      <w:r w:rsidRPr="00D63FF8">
        <w:rPr>
          <w:rFonts w:ascii="Times New Roman" w:hAnsi="Times New Roman"/>
          <w:b/>
        </w:rPr>
        <w:t xml:space="preserve"> </w:t>
      </w:r>
      <w:r w:rsidR="00973206" w:rsidRPr="00D63FF8">
        <w:rPr>
          <w:rFonts w:ascii="Times New Roman" w:hAnsi="Times New Roman"/>
          <w:b/>
        </w:rPr>
        <w:t xml:space="preserve">of </w:t>
      </w:r>
      <w:r w:rsidRPr="00D63FF8">
        <w:rPr>
          <w:rFonts w:ascii="Times New Roman" w:hAnsi="Times New Roman"/>
          <w:b/>
        </w:rPr>
        <w:t>Collection</w:t>
      </w:r>
    </w:p>
    <w:p w14:paraId="5EA852A1"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2" w14:textId="51B9E452"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w:t>
      </w:r>
      <w:r w:rsidR="000C47AB">
        <w:rPr>
          <w:rFonts w:ascii="Times New Roman" w:hAnsi="Times New Roman"/>
        </w:rPr>
        <w:t>201</w:t>
      </w:r>
      <w:r w:rsidR="00783519">
        <w:rPr>
          <w:rFonts w:ascii="Times New Roman" w:hAnsi="Times New Roman"/>
        </w:rPr>
        <w:t>8</w:t>
      </w:r>
      <w:r w:rsidR="007457CE">
        <w:rPr>
          <w:rFonts w:ascii="Times New Roman" w:hAnsi="Times New Roman"/>
        </w:rPr>
        <w:t xml:space="preserve"> </w:t>
      </w:r>
      <w:r w:rsidRPr="008320C8">
        <w:rPr>
          <w:rFonts w:ascii="Times New Roman" w:hAnsi="Times New Roman"/>
        </w:rPr>
        <w:t>SIPP</w:t>
      </w:r>
      <w:r w:rsidR="000C47AB">
        <w:rPr>
          <w:rFonts w:ascii="Times New Roman" w:hAnsi="Times New Roman"/>
        </w:rPr>
        <w:t xml:space="preserve"> Panel</w:t>
      </w:r>
      <w:r w:rsidRPr="008320C8">
        <w:rPr>
          <w:rFonts w:ascii="Times New Roman" w:hAnsi="Times New Roman"/>
        </w:rPr>
        <w:t xml:space="preserve"> will interview respondents </w:t>
      </w:r>
      <w:r w:rsidR="00982A7F">
        <w:rPr>
          <w:rFonts w:ascii="Times New Roman" w:hAnsi="Times New Roman"/>
        </w:rPr>
        <w:t>annually</w:t>
      </w:r>
      <w:r w:rsidRPr="008320C8">
        <w:rPr>
          <w:rFonts w:ascii="Times New Roman" w:hAnsi="Times New Roman"/>
        </w:rPr>
        <w:t>, using the previous calendar</w:t>
      </w:r>
      <w:r w:rsidR="005604EF">
        <w:rPr>
          <w:rFonts w:ascii="Times New Roman" w:hAnsi="Times New Roman"/>
        </w:rPr>
        <w:t xml:space="preserve"> year as the reference period. </w:t>
      </w:r>
      <w:r w:rsidR="00982A7F">
        <w:rPr>
          <w:rFonts w:ascii="Times New Roman" w:hAnsi="Times New Roman"/>
        </w:rPr>
        <w:t xml:space="preserve">One possible </w:t>
      </w:r>
      <w:r w:rsidRPr="008320C8">
        <w:rPr>
          <w:rFonts w:ascii="Times New Roman" w:hAnsi="Times New Roman"/>
        </w:rPr>
        <w:t xml:space="preserve">consequence of the </w:t>
      </w:r>
      <w:r w:rsidR="003A6285" w:rsidRPr="008320C8">
        <w:rPr>
          <w:rFonts w:ascii="Times New Roman" w:hAnsi="Times New Roman"/>
        </w:rPr>
        <w:t>one-year</w:t>
      </w:r>
      <w:r w:rsidRPr="008320C8">
        <w:rPr>
          <w:rFonts w:ascii="Times New Roman" w:hAnsi="Times New Roman"/>
        </w:rPr>
        <w:t xml:space="preserve"> reference period </w:t>
      </w:r>
      <w:r w:rsidR="00982A7F">
        <w:rPr>
          <w:rFonts w:ascii="Times New Roman" w:hAnsi="Times New Roman"/>
        </w:rPr>
        <w:t>is</w:t>
      </w:r>
      <w:r w:rsidRPr="008320C8">
        <w:rPr>
          <w:rFonts w:ascii="Times New Roman" w:hAnsi="Times New Roman"/>
        </w:rPr>
        <w:t xml:space="preserve"> </w:t>
      </w:r>
      <w:r w:rsidR="004A3F24">
        <w:rPr>
          <w:rFonts w:ascii="Times New Roman" w:hAnsi="Times New Roman"/>
        </w:rPr>
        <w:t xml:space="preserve">the </w:t>
      </w:r>
      <w:r w:rsidR="00197C2F">
        <w:rPr>
          <w:rFonts w:ascii="Times New Roman" w:hAnsi="Times New Roman"/>
        </w:rPr>
        <w:t>possibility</w:t>
      </w:r>
      <w:r w:rsidR="004A3F24">
        <w:rPr>
          <w:rFonts w:ascii="Times New Roman" w:hAnsi="Times New Roman"/>
        </w:rPr>
        <w:t xml:space="preserve"> of </w:t>
      </w:r>
      <w:r w:rsidRPr="008320C8">
        <w:rPr>
          <w:rFonts w:ascii="Times New Roman" w:hAnsi="Times New Roman"/>
        </w:rPr>
        <w:t>increase</w:t>
      </w:r>
      <w:r w:rsidR="005604EF">
        <w:rPr>
          <w:rFonts w:ascii="Times New Roman" w:hAnsi="Times New Roman"/>
        </w:rPr>
        <w:t xml:space="preserve">d </w:t>
      </w:r>
      <w:r w:rsidR="006B77A4">
        <w:rPr>
          <w:rFonts w:ascii="Times New Roman" w:hAnsi="Times New Roman"/>
        </w:rPr>
        <w:t>recall difficulties for</w:t>
      </w:r>
      <w:r w:rsidR="005604EF">
        <w:rPr>
          <w:rFonts w:ascii="Times New Roman" w:hAnsi="Times New Roman"/>
        </w:rPr>
        <w:t xml:space="preserve"> respondents. </w:t>
      </w:r>
      <w:r w:rsidRPr="008320C8">
        <w:rPr>
          <w:rFonts w:ascii="Times New Roman" w:hAnsi="Times New Roman"/>
        </w:rPr>
        <w:t xml:space="preserve">However, </w:t>
      </w:r>
      <w:r w:rsidR="00982A7F">
        <w:rPr>
          <w:rFonts w:ascii="Times New Roman" w:hAnsi="Times New Roman"/>
        </w:rPr>
        <w:t>use</w:t>
      </w:r>
      <w:r w:rsidRPr="008320C8">
        <w:rPr>
          <w:rFonts w:ascii="Times New Roman" w:hAnsi="Times New Roman"/>
        </w:rPr>
        <w:t xml:space="preserve"> of the EHC </w:t>
      </w:r>
      <w:r w:rsidR="00982A7F">
        <w:rPr>
          <w:rFonts w:ascii="Times New Roman" w:hAnsi="Times New Roman"/>
        </w:rPr>
        <w:t xml:space="preserve">methodology of interview should </w:t>
      </w:r>
      <w:r w:rsidRPr="008320C8">
        <w:rPr>
          <w:rFonts w:ascii="Times New Roman" w:hAnsi="Times New Roman"/>
        </w:rPr>
        <w:t xml:space="preserve">help to </w:t>
      </w:r>
      <w:r w:rsidR="00982A7F">
        <w:rPr>
          <w:rFonts w:ascii="Times New Roman" w:hAnsi="Times New Roman"/>
        </w:rPr>
        <w:t xml:space="preserve">alleviate </w:t>
      </w:r>
      <w:r w:rsidR="006B77A4">
        <w:rPr>
          <w:rFonts w:ascii="Times New Roman" w:hAnsi="Times New Roman"/>
        </w:rPr>
        <w:t>these issues</w:t>
      </w:r>
      <w:r w:rsidRPr="008320C8">
        <w:rPr>
          <w:rFonts w:ascii="Times New Roman" w:hAnsi="Times New Roman"/>
        </w:rPr>
        <w:t xml:space="preserve"> by linking respondents</w:t>
      </w:r>
      <w:r w:rsidR="00982A7F">
        <w:rPr>
          <w:rFonts w:ascii="Times New Roman" w:hAnsi="Times New Roman"/>
        </w:rPr>
        <w:t>’</w:t>
      </w:r>
      <w:r w:rsidRPr="008320C8">
        <w:rPr>
          <w:rFonts w:ascii="Times New Roman" w:hAnsi="Times New Roman"/>
        </w:rPr>
        <w:t xml:space="preserve"> memories</w:t>
      </w:r>
      <w:r w:rsidR="00EB6D18">
        <w:rPr>
          <w:rFonts w:ascii="Times New Roman" w:hAnsi="Times New Roman"/>
        </w:rPr>
        <w:t xml:space="preserve"> </w:t>
      </w:r>
      <w:r w:rsidR="00982A7F">
        <w:rPr>
          <w:rFonts w:ascii="Times New Roman" w:hAnsi="Times New Roman"/>
        </w:rPr>
        <w:t>to</w:t>
      </w:r>
      <w:r w:rsidRPr="008320C8">
        <w:rPr>
          <w:rFonts w:ascii="Times New Roman" w:hAnsi="Times New Roman"/>
        </w:rPr>
        <w:t xml:space="preserve"> significant </w:t>
      </w:r>
      <w:r w:rsidR="00982A7F">
        <w:rPr>
          <w:rFonts w:ascii="Times New Roman" w:hAnsi="Times New Roman"/>
        </w:rPr>
        <w:t xml:space="preserve">life </w:t>
      </w:r>
      <w:r w:rsidR="005604EF">
        <w:rPr>
          <w:rFonts w:ascii="Times New Roman" w:hAnsi="Times New Roman"/>
        </w:rPr>
        <w:t xml:space="preserve">events. </w:t>
      </w:r>
      <w:r w:rsidRPr="008320C8">
        <w:rPr>
          <w:rFonts w:ascii="Times New Roman" w:hAnsi="Times New Roman"/>
        </w:rPr>
        <w:t xml:space="preserve">See earlier explanation </w:t>
      </w:r>
      <w:r w:rsidR="000C47AB">
        <w:rPr>
          <w:rFonts w:ascii="Times New Roman" w:hAnsi="Times New Roman"/>
        </w:rPr>
        <w:t>in section 2</w:t>
      </w:r>
      <w:r w:rsidRPr="008320C8">
        <w:rPr>
          <w:rFonts w:ascii="Times New Roman" w:hAnsi="Times New Roman"/>
        </w:rPr>
        <w:t>.</w:t>
      </w:r>
    </w:p>
    <w:p w14:paraId="5EA852A3"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4" w14:textId="77777777" w:rsidR="00FE0141" w:rsidRPr="00D63FF8"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7.</w:t>
      </w:r>
      <w:r w:rsidRPr="00D63FF8">
        <w:rPr>
          <w:rFonts w:ascii="Times New Roman" w:hAnsi="Times New Roman"/>
          <w:b/>
        </w:rPr>
        <w:tab/>
        <w:t>Special Circumstances</w:t>
      </w:r>
    </w:p>
    <w:p w14:paraId="5EA852A5"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6"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There are no special circumstances associated with this clearance request.</w:t>
      </w:r>
    </w:p>
    <w:p w14:paraId="5EA852A7" w14:textId="4447CABD"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8" w14:textId="21E117BD" w:rsidR="00FE0141" w:rsidRPr="00D63FF8"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b/>
        </w:rPr>
      </w:pPr>
      <w:r w:rsidRPr="008320C8">
        <w:rPr>
          <w:rFonts w:ascii="Times New Roman" w:hAnsi="Times New Roman"/>
        </w:rPr>
        <w:tab/>
      </w:r>
      <w:r w:rsidRPr="00D63FF8">
        <w:rPr>
          <w:rFonts w:ascii="Times New Roman" w:hAnsi="Times New Roman"/>
          <w:b/>
        </w:rPr>
        <w:t>8.</w:t>
      </w:r>
      <w:r w:rsidRPr="00D63FF8">
        <w:rPr>
          <w:rFonts w:ascii="Times New Roman" w:hAnsi="Times New Roman"/>
          <w:b/>
        </w:rPr>
        <w:tab/>
      </w:r>
      <w:r w:rsidR="001B34B8" w:rsidRPr="00D63FF8">
        <w:rPr>
          <w:rFonts w:ascii="Times New Roman" w:hAnsi="Times New Roman"/>
          <w:b/>
        </w:rPr>
        <w:t>Consultations O</w:t>
      </w:r>
      <w:r w:rsidRPr="00D63FF8">
        <w:rPr>
          <w:rFonts w:ascii="Times New Roman" w:hAnsi="Times New Roman"/>
          <w:b/>
        </w:rPr>
        <w:t>utside the Agency</w:t>
      </w:r>
    </w:p>
    <w:p w14:paraId="5EA852A9"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0D691943" w14:textId="4D9CE726" w:rsidR="007D0CA5" w:rsidRPr="003A6285"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r w:rsidRPr="00CD565A">
        <w:rPr>
          <w:rFonts w:ascii="Times New Roman" w:hAnsi="Times New Roman"/>
        </w:rPr>
        <w:t xml:space="preserve">The </w:t>
      </w:r>
      <w:r w:rsidR="006F492E" w:rsidRPr="006F492E">
        <w:rPr>
          <w:rFonts w:ascii="Times New Roman" w:hAnsi="Times New Roman"/>
        </w:rPr>
        <w:t xml:space="preserve">SIPP program has always relied upon and valued the input of our stakeholders outside the Census Bureau. Input from partner agencies and OMB continue to be valuable and welcome </w:t>
      </w:r>
      <w:r w:rsidRPr="00CD565A">
        <w:rPr>
          <w:rFonts w:ascii="Times New Roman" w:hAnsi="Times New Roman"/>
        </w:rPr>
        <w:t>guidance for the conte</w:t>
      </w:r>
      <w:r w:rsidR="008C563C" w:rsidRPr="00CD565A">
        <w:rPr>
          <w:rFonts w:ascii="Times New Roman" w:hAnsi="Times New Roman"/>
        </w:rPr>
        <w:t>nt and procedures for the SIPP.</w:t>
      </w:r>
      <w:r w:rsidRPr="00CD565A">
        <w:rPr>
          <w:rFonts w:ascii="Times New Roman" w:hAnsi="Times New Roman"/>
        </w:rPr>
        <w:t xml:space="preserve"> </w:t>
      </w:r>
    </w:p>
    <w:p w14:paraId="168803D8" w14:textId="77777777" w:rsidR="007D0CA5" w:rsidRPr="003A6285" w:rsidRDefault="007D0CA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14:paraId="417BCEDC" w14:textId="13354B32" w:rsidR="007D0CA5" w:rsidRPr="006F492E" w:rsidRDefault="006F492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Additionally</w:t>
      </w:r>
      <w:r w:rsidR="00820BCF" w:rsidRPr="006F492E">
        <w:rPr>
          <w:rFonts w:ascii="Times New Roman" w:hAnsi="Times New Roman"/>
        </w:rPr>
        <w:t xml:space="preserve">, the Census Bureau has continued involvement with the Committee for National Statistics </w:t>
      </w:r>
      <w:r w:rsidR="007D0CA5" w:rsidRPr="006F492E">
        <w:rPr>
          <w:rFonts w:ascii="Times New Roman" w:hAnsi="Times New Roman"/>
        </w:rPr>
        <w:t xml:space="preserve">(CNSTAT) </w:t>
      </w:r>
      <w:r w:rsidR="00820BCF" w:rsidRPr="006F492E">
        <w:rPr>
          <w:rFonts w:ascii="Times New Roman" w:hAnsi="Times New Roman"/>
        </w:rPr>
        <w:t>at th</w:t>
      </w:r>
      <w:r>
        <w:rPr>
          <w:rFonts w:ascii="Times New Roman" w:hAnsi="Times New Roman"/>
        </w:rPr>
        <w:t xml:space="preserve">e National Academies of Science, </w:t>
      </w:r>
      <w:r w:rsidRPr="006F492E">
        <w:rPr>
          <w:rFonts w:ascii="Times New Roman" w:hAnsi="Times New Roman"/>
        </w:rPr>
        <w:t>and other interested representatives from policy, research, and government. The Census Bureau has continued to work actively to assure that the SIPP stakeholders interests and priorities are represented, that the content and procedures to collect SIPP data are appropriate, and the duplication between surveys are minimized to the extent possible.</w:t>
      </w:r>
      <w:r>
        <w:rPr>
          <w:rFonts w:ascii="Times New Roman" w:hAnsi="Times New Roman"/>
        </w:rPr>
        <w:t xml:space="preserve"> </w:t>
      </w:r>
    </w:p>
    <w:p w14:paraId="4B3F5417" w14:textId="77777777" w:rsidR="007D0CA5" w:rsidRPr="003A6285" w:rsidRDefault="007D0CA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14:paraId="5EA852AC" w14:textId="4AE7E984" w:rsidR="00440DA0" w:rsidRPr="00F80448"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color w:val="FF0000"/>
        </w:rPr>
      </w:pPr>
      <w:r w:rsidRPr="008320C8">
        <w:rPr>
          <w:rFonts w:ascii="Times New Roman" w:hAnsi="Times New Roman"/>
        </w:rPr>
        <w:t xml:space="preserve">We published a notice in the </w:t>
      </w:r>
      <w:r w:rsidRPr="008320C8">
        <w:rPr>
          <w:rFonts w:ascii="Times New Roman" w:hAnsi="Times New Roman"/>
          <w:i/>
          <w:iCs/>
        </w:rPr>
        <w:t>Federal Register</w:t>
      </w:r>
      <w:r w:rsidRPr="008320C8">
        <w:rPr>
          <w:rFonts w:ascii="Times New Roman" w:hAnsi="Times New Roman"/>
        </w:rPr>
        <w:t xml:space="preserve"> on</w:t>
      </w:r>
      <w:r w:rsidR="003A6285">
        <w:rPr>
          <w:rFonts w:ascii="Times New Roman" w:hAnsi="Times New Roman"/>
        </w:rPr>
        <w:t xml:space="preserve"> </w:t>
      </w:r>
      <w:r w:rsidR="009774F8">
        <w:rPr>
          <w:rFonts w:ascii="Times New Roman" w:hAnsi="Times New Roman"/>
        </w:rPr>
        <w:t>April 19</w:t>
      </w:r>
      <w:r w:rsidR="00D1042E">
        <w:rPr>
          <w:rFonts w:ascii="Times New Roman" w:hAnsi="Times New Roman"/>
        </w:rPr>
        <w:t>,</w:t>
      </w:r>
      <w:r w:rsidRPr="008320C8">
        <w:rPr>
          <w:rFonts w:ascii="Times New Roman" w:hAnsi="Times New Roman"/>
        </w:rPr>
        <w:t xml:space="preserve"> 201</w:t>
      </w:r>
      <w:r w:rsidR="009774F8">
        <w:rPr>
          <w:rFonts w:ascii="Times New Roman" w:hAnsi="Times New Roman"/>
        </w:rPr>
        <w:t>7</w:t>
      </w:r>
      <w:r w:rsidRPr="008320C8">
        <w:rPr>
          <w:rFonts w:ascii="Times New Roman" w:hAnsi="Times New Roman"/>
        </w:rPr>
        <w:t>, Vol.</w:t>
      </w:r>
      <w:r w:rsidR="00A25810">
        <w:rPr>
          <w:rFonts w:ascii="Times New Roman" w:hAnsi="Times New Roman"/>
        </w:rPr>
        <w:t xml:space="preserve"> 82</w:t>
      </w:r>
      <w:r w:rsidRPr="008320C8">
        <w:rPr>
          <w:rFonts w:ascii="Times New Roman" w:hAnsi="Times New Roman"/>
        </w:rPr>
        <w:t>, No.</w:t>
      </w:r>
      <w:r w:rsidR="00A25810">
        <w:rPr>
          <w:rFonts w:ascii="Times New Roman" w:hAnsi="Times New Roman"/>
        </w:rPr>
        <w:t xml:space="preserve"> 74</w:t>
      </w:r>
      <w:r w:rsidRPr="008320C8">
        <w:rPr>
          <w:rFonts w:ascii="Times New Roman" w:hAnsi="Times New Roman"/>
        </w:rPr>
        <w:t>, page</w:t>
      </w:r>
      <w:r w:rsidR="009774F8">
        <w:rPr>
          <w:rFonts w:ascii="Times New Roman" w:hAnsi="Times New Roman"/>
        </w:rPr>
        <w:t xml:space="preserve">s </w:t>
      </w:r>
      <w:r w:rsidR="009774F8" w:rsidRPr="009774F8">
        <w:rPr>
          <w:rFonts w:ascii="Times New Roman" w:hAnsi="Times New Roman"/>
        </w:rPr>
        <w:t>18418-18419</w:t>
      </w:r>
      <w:r w:rsidRPr="008320C8">
        <w:rPr>
          <w:rFonts w:ascii="Times New Roman" w:hAnsi="Times New Roman"/>
        </w:rPr>
        <w:t>,</w:t>
      </w:r>
      <w:r w:rsidR="004D2758">
        <w:rPr>
          <w:rFonts w:ascii="Times New Roman" w:hAnsi="Times New Roman"/>
        </w:rPr>
        <w:t xml:space="preserve"> </w:t>
      </w:r>
      <w:r w:rsidRPr="008320C8">
        <w:rPr>
          <w:rFonts w:ascii="Times New Roman" w:hAnsi="Times New Roman"/>
        </w:rPr>
        <w:t>inviting public comment on our plans to submit this request</w:t>
      </w:r>
      <w:r w:rsidR="00827403">
        <w:rPr>
          <w:rFonts w:ascii="Times New Roman" w:hAnsi="Times New Roman"/>
        </w:rPr>
        <w:t xml:space="preserve"> </w:t>
      </w:r>
      <w:r w:rsidR="00827403" w:rsidRPr="00CC378F">
        <w:rPr>
          <w:rFonts w:ascii="Times New Roman" w:hAnsi="Times New Roman"/>
        </w:rPr>
        <w:t xml:space="preserve">(Attachment </w:t>
      </w:r>
      <w:r w:rsidR="00401BD7">
        <w:rPr>
          <w:rFonts w:ascii="Times New Roman" w:hAnsi="Times New Roman"/>
        </w:rPr>
        <w:t>M</w:t>
      </w:r>
      <w:r w:rsidR="00827403" w:rsidRPr="00CC378F">
        <w:rPr>
          <w:rFonts w:ascii="Times New Roman" w:hAnsi="Times New Roman"/>
        </w:rPr>
        <w:t>)</w:t>
      </w:r>
      <w:r w:rsidRPr="008320C8">
        <w:rPr>
          <w:rFonts w:ascii="Times New Roman" w:hAnsi="Times New Roman"/>
        </w:rPr>
        <w:t>.</w:t>
      </w:r>
      <w:r w:rsidR="008C563C">
        <w:rPr>
          <w:rFonts w:ascii="Times New Roman" w:hAnsi="Times New Roman"/>
        </w:rPr>
        <w:t xml:space="preserve"> </w:t>
      </w:r>
      <w:r w:rsidR="00CD2D6D" w:rsidRPr="0057442D">
        <w:rPr>
          <w:rFonts w:ascii="Times New Roman" w:hAnsi="Times New Roman"/>
        </w:rPr>
        <w:t xml:space="preserve">We received </w:t>
      </w:r>
      <w:r w:rsidR="00FB54ED">
        <w:rPr>
          <w:rFonts w:ascii="Times New Roman" w:hAnsi="Times New Roman"/>
        </w:rPr>
        <w:t>one</w:t>
      </w:r>
      <w:r w:rsidR="00854A98" w:rsidRPr="0057442D">
        <w:rPr>
          <w:rFonts w:ascii="Times New Roman" w:hAnsi="Times New Roman"/>
        </w:rPr>
        <w:t xml:space="preserve"> comment</w:t>
      </w:r>
      <w:r w:rsidR="003A6285" w:rsidRPr="0057442D">
        <w:rPr>
          <w:rFonts w:ascii="Times New Roman" w:hAnsi="Times New Roman"/>
        </w:rPr>
        <w:t xml:space="preserve"> about</w:t>
      </w:r>
      <w:r w:rsidR="0057442D" w:rsidRPr="0057442D">
        <w:rPr>
          <w:rFonts w:ascii="Times New Roman" w:hAnsi="Times New Roman"/>
        </w:rPr>
        <w:t xml:space="preserve"> the necessity of the survey</w:t>
      </w:r>
      <w:r w:rsidR="002C1F89">
        <w:rPr>
          <w:rFonts w:ascii="Times New Roman" w:hAnsi="Times New Roman"/>
        </w:rPr>
        <w:t xml:space="preserve"> that was not relevant</w:t>
      </w:r>
      <w:r w:rsidR="0057442D" w:rsidRPr="0057442D">
        <w:rPr>
          <w:rFonts w:ascii="Times New Roman" w:hAnsi="Times New Roman"/>
        </w:rPr>
        <w:t>.</w:t>
      </w:r>
    </w:p>
    <w:p w14:paraId="5EA852AD" w14:textId="77777777" w:rsidR="006A58DA" w:rsidRPr="00A4692E" w:rsidRDefault="006A58D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E" w14:textId="77777777"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D63FF8">
        <w:rPr>
          <w:rFonts w:ascii="Times New Roman" w:hAnsi="Times New Roman"/>
          <w:b/>
        </w:rPr>
        <w:t>9.</w:t>
      </w:r>
      <w:r w:rsidRPr="00D63FF8">
        <w:rPr>
          <w:rFonts w:ascii="Times New Roman" w:hAnsi="Times New Roman"/>
          <w:b/>
        </w:rPr>
        <w:tab/>
        <w:t>Paying Respondents</w:t>
      </w:r>
    </w:p>
    <w:p w14:paraId="5EA852AF"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14:paraId="1BAB54F0" w14:textId="77777777" w:rsidR="006F492E" w:rsidRPr="006F492E"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6F492E">
        <w:rPr>
          <w:rFonts w:ascii="Times New Roman" w:hAnsi="Times New Roman"/>
        </w:rPr>
        <w:t xml:space="preserve">For the 2018 SIPP Panel, we will continue our multi-wave incentive experiment and continue to evaluate the efficacy of incentives as a means of increasing respondent cooperation with the SIPP. </w:t>
      </w:r>
    </w:p>
    <w:p w14:paraId="4B7362CD" w14:textId="77777777" w:rsidR="006F492E" w:rsidRPr="006F492E" w:rsidRDefault="006F492E"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67D739E7" w14:textId="520BAC9C" w:rsidR="00C4769B" w:rsidRPr="00B1595B"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6F492E">
        <w:rPr>
          <w:rFonts w:ascii="Times New Roman" w:hAnsi="Times New Roman"/>
        </w:rPr>
        <w:t xml:space="preserve">We </w:t>
      </w:r>
      <w:r w:rsidR="006F492E">
        <w:rPr>
          <w:rFonts w:ascii="Times New Roman" w:hAnsi="Times New Roman"/>
        </w:rPr>
        <w:t>plan to</w:t>
      </w:r>
      <w:r w:rsidRPr="006F492E">
        <w:rPr>
          <w:rFonts w:ascii="Times New Roman" w:hAnsi="Times New Roman"/>
        </w:rPr>
        <w:t xml:space="preserve"> divide the </w:t>
      </w:r>
      <w:r w:rsidR="002846C0" w:rsidRPr="006F492E">
        <w:rPr>
          <w:rFonts w:ascii="Times New Roman" w:hAnsi="Times New Roman"/>
        </w:rPr>
        <w:t>panel</w:t>
      </w:r>
      <w:r w:rsidRPr="006F492E">
        <w:rPr>
          <w:rFonts w:ascii="Times New Roman" w:hAnsi="Times New Roman"/>
        </w:rPr>
        <w:t xml:space="preserve"> into t</w:t>
      </w:r>
      <w:r w:rsidR="006F492E">
        <w:rPr>
          <w:rFonts w:ascii="Times New Roman" w:hAnsi="Times New Roman"/>
        </w:rPr>
        <w:t>wo incentive</w:t>
      </w:r>
      <w:r w:rsidRPr="006F492E">
        <w:rPr>
          <w:rFonts w:ascii="Times New Roman" w:hAnsi="Times New Roman"/>
        </w:rPr>
        <w:t xml:space="preserve"> groups </w:t>
      </w:r>
      <w:r w:rsidR="00B1595B" w:rsidRPr="00B1595B">
        <w:rPr>
          <w:rFonts w:ascii="Times New Roman" w:hAnsi="Times New Roman"/>
        </w:rPr>
        <w:t xml:space="preserve">and a control group to monitor the effectiveness of the incentives over time. Group 1 is the control group; households in this group will not be eligible for an incentive in any wave of the 2018 panel. For Wave 1, incentives will be assigned </w:t>
      </w:r>
      <w:r w:rsidRPr="006F492E">
        <w:rPr>
          <w:rFonts w:ascii="Times New Roman" w:hAnsi="Times New Roman"/>
        </w:rPr>
        <w:t xml:space="preserve">randomly </w:t>
      </w:r>
      <w:r w:rsidR="00B1595B">
        <w:rPr>
          <w:rFonts w:ascii="Times New Roman" w:hAnsi="Times New Roman"/>
        </w:rPr>
        <w:t>to</w:t>
      </w:r>
      <w:r w:rsidRPr="006F492E">
        <w:rPr>
          <w:rFonts w:ascii="Times New Roman" w:hAnsi="Times New Roman"/>
        </w:rPr>
        <w:t xml:space="preserve"> household</w:t>
      </w:r>
      <w:r w:rsidR="00B1595B">
        <w:rPr>
          <w:rFonts w:ascii="Times New Roman" w:hAnsi="Times New Roman"/>
        </w:rPr>
        <w:t>s</w:t>
      </w:r>
      <w:r w:rsidRPr="006F492E">
        <w:rPr>
          <w:rFonts w:ascii="Times New Roman" w:hAnsi="Times New Roman"/>
        </w:rPr>
        <w:t xml:space="preserve"> </w:t>
      </w:r>
      <w:r w:rsidR="00B1595B">
        <w:rPr>
          <w:rFonts w:ascii="Times New Roman" w:hAnsi="Times New Roman"/>
        </w:rPr>
        <w:t xml:space="preserve">in incentive </w:t>
      </w:r>
      <w:r w:rsidRPr="00B1595B">
        <w:rPr>
          <w:rFonts w:ascii="Times New Roman" w:hAnsi="Times New Roman"/>
        </w:rPr>
        <w:t xml:space="preserve">Group 2 </w:t>
      </w:r>
      <w:r w:rsidR="00B1595B">
        <w:rPr>
          <w:rFonts w:ascii="Times New Roman" w:hAnsi="Times New Roman"/>
        </w:rPr>
        <w:t>and will be</w:t>
      </w:r>
      <w:r w:rsidRPr="00B1595B">
        <w:rPr>
          <w:rFonts w:ascii="Times New Roman" w:hAnsi="Times New Roman"/>
        </w:rPr>
        <w:t xml:space="preserve"> eligible to receive an incentive in Wave 1</w:t>
      </w:r>
      <w:r w:rsidR="00B1595B">
        <w:rPr>
          <w:rFonts w:ascii="Times New Roman" w:hAnsi="Times New Roman"/>
        </w:rPr>
        <w:t xml:space="preserve"> and later waves</w:t>
      </w:r>
      <w:r w:rsidRPr="00B1595B">
        <w:rPr>
          <w:rFonts w:ascii="Times New Roman" w:hAnsi="Times New Roman"/>
        </w:rPr>
        <w:t xml:space="preserve">. </w:t>
      </w:r>
      <w:r w:rsidR="00431BDF">
        <w:rPr>
          <w:rFonts w:ascii="Times New Roman" w:hAnsi="Times New Roman"/>
        </w:rPr>
        <w:t>I</w:t>
      </w:r>
      <w:r w:rsidRPr="00B1595B">
        <w:rPr>
          <w:rFonts w:ascii="Times New Roman" w:hAnsi="Times New Roman"/>
        </w:rPr>
        <w:t xml:space="preserve">n subsequent waves, households </w:t>
      </w:r>
      <w:r w:rsidR="00431BDF">
        <w:rPr>
          <w:rFonts w:ascii="Times New Roman" w:hAnsi="Times New Roman"/>
        </w:rPr>
        <w:t xml:space="preserve">in Group 2 </w:t>
      </w:r>
      <w:r w:rsidRPr="00B1595B">
        <w:rPr>
          <w:rFonts w:ascii="Times New Roman" w:hAnsi="Times New Roman"/>
        </w:rPr>
        <w:t>will receive incentives of $40 based on a propensity model</w:t>
      </w:r>
      <w:r w:rsidR="00431BDF">
        <w:rPr>
          <w:rFonts w:ascii="Times New Roman" w:hAnsi="Times New Roman"/>
        </w:rPr>
        <w:t xml:space="preserve"> </w:t>
      </w:r>
      <w:r w:rsidR="00431BDF" w:rsidRPr="00431BDF">
        <w:rPr>
          <w:rFonts w:ascii="Times New Roman" w:hAnsi="Times New Roman"/>
        </w:rPr>
        <w:t>that considers the effectiveness of the incent</w:t>
      </w:r>
      <w:r w:rsidR="00431BDF">
        <w:rPr>
          <w:rFonts w:ascii="Times New Roman" w:hAnsi="Times New Roman"/>
        </w:rPr>
        <w:t>ive for generating an interview</w:t>
      </w:r>
      <w:r w:rsidRPr="00B1595B">
        <w:rPr>
          <w:rFonts w:ascii="Times New Roman" w:hAnsi="Times New Roman"/>
        </w:rPr>
        <w:t xml:space="preserve">. This </w:t>
      </w:r>
      <w:r w:rsidR="00431BDF">
        <w:rPr>
          <w:rFonts w:ascii="Times New Roman" w:hAnsi="Times New Roman"/>
        </w:rPr>
        <w:t>assignment plan for</w:t>
      </w:r>
      <w:r w:rsidRPr="00B1595B">
        <w:rPr>
          <w:rFonts w:ascii="Times New Roman" w:hAnsi="Times New Roman"/>
        </w:rPr>
        <w:t xml:space="preserve"> incentives will help to both increase the response rate </w:t>
      </w:r>
      <w:r w:rsidR="00431BDF" w:rsidRPr="00431BDF">
        <w:rPr>
          <w:rFonts w:ascii="Times New Roman" w:hAnsi="Times New Roman"/>
        </w:rPr>
        <w:t>among households where the absence of the incentive would lead to differential attrition.  The use of incentives in this model-based fr</w:t>
      </w:r>
      <w:r w:rsidR="004E032E">
        <w:rPr>
          <w:rFonts w:ascii="Times New Roman" w:hAnsi="Times New Roman"/>
        </w:rPr>
        <w:t xml:space="preserve">amework will also lower costs </w:t>
      </w:r>
      <w:r w:rsidR="00431BDF" w:rsidRPr="00431BDF">
        <w:rPr>
          <w:rFonts w:ascii="Times New Roman" w:hAnsi="Times New Roman"/>
        </w:rPr>
        <w:t>since we would not focus incentives on households that would be over-represented in the absence of an incentive.</w:t>
      </w:r>
      <w:r w:rsidRPr="00B1595B">
        <w:rPr>
          <w:rFonts w:ascii="Times New Roman" w:hAnsi="Times New Roman"/>
        </w:rPr>
        <w:t xml:space="preserve"> Additionally, we will </w:t>
      </w:r>
      <w:r w:rsidR="004E032E">
        <w:rPr>
          <w:rFonts w:ascii="Times New Roman" w:hAnsi="Times New Roman"/>
        </w:rPr>
        <w:t xml:space="preserve">continue to </w:t>
      </w:r>
      <w:r w:rsidRPr="00B1595B">
        <w:rPr>
          <w:rFonts w:ascii="Times New Roman" w:hAnsi="Times New Roman"/>
        </w:rPr>
        <w:t xml:space="preserve">evaluate the </w:t>
      </w:r>
      <w:r w:rsidR="004E032E">
        <w:rPr>
          <w:rFonts w:ascii="Times New Roman" w:hAnsi="Times New Roman"/>
        </w:rPr>
        <w:t xml:space="preserve">incentive </w:t>
      </w:r>
      <w:r w:rsidRPr="00B1595B">
        <w:rPr>
          <w:rFonts w:ascii="Times New Roman" w:hAnsi="Times New Roman"/>
        </w:rPr>
        <w:t xml:space="preserve">modeling </w:t>
      </w:r>
      <w:r w:rsidR="004E032E">
        <w:rPr>
          <w:rFonts w:ascii="Times New Roman" w:hAnsi="Times New Roman"/>
        </w:rPr>
        <w:t>and develop</w:t>
      </w:r>
      <w:r w:rsidRPr="00B1595B">
        <w:rPr>
          <w:rFonts w:ascii="Times New Roman" w:hAnsi="Times New Roman"/>
        </w:rPr>
        <w:t xml:space="preserve"> specifications that </w:t>
      </w:r>
      <w:r w:rsidR="004E032E">
        <w:rPr>
          <w:rFonts w:ascii="Times New Roman" w:hAnsi="Times New Roman"/>
        </w:rPr>
        <w:t>incorporate ongoing work to utilize</w:t>
      </w:r>
      <w:r w:rsidRPr="00B1595B">
        <w:rPr>
          <w:rFonts w:ascii="Times New Roman" w:hAnsi="Times New Roman"/>
        </w:rPr>
        <w:t xml:space="preserve"> responsive </w:t>
      </w:r>
      <w:r w:rsidR="004E032E">
        <w:rPr>
          <w:rFonts w:ascii="Times New Roman" w:hAnsi="Times New Roman"/>
        </w:rPr>
        <w:t xml:space="preserve">and adaptive </w:t>
      </w:r>
      <w:r w:rsidRPr="00B1595B">
        <w:rPr>
          <w:rFonts w:ascii="Times New Roman" w:hAnsi="Times New Roman"/>
        </w:rPr>
        <w:t xml:space="preserve">design </w:t>
      </w:r>
      <w:r w:rsidR="004E032E" w:rsidRPr="004E032E">
        <w:rPr>
          <w:rFonts w:ascii="Times New Roman" w:hAnsi="Times New Roman"/>
        </w:rPr>
        <w:t>to prioritize ca</w:t>
      </w:r>
      <w:r w:rsidR="004E032E">
        <w:rPr>
          <w:rFonts w:ascii="Times New Roman" w:hAnsi="Times New Roman"/>
        </w:rPr>
        <w:t>ses in interviewers’ workloads.</w:t>
      </w:r>
    </w:p>
    <w:p w14:paraId="46D52E2E" w14:textId="77777777" w:rsidR="00C4769B" w:rsidRPr="002846C0"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14:paraId="7B597DB0" w14:textId="42A23CBA" w:rsidR="00C4769B" w:rsidRPr="002846C0"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r w:rsidRPr="004E032E">
        <w:rPr>
          <w:rFonts w:ascii="Times New Roman" w:hAnsi="Times New Roman"/>
        </w:rPr>
        <w:t>The third group</w:t>
      </w:r>
      <w:r w:rsidR="00151B9C">
        <w:rPr>
          <w:rFonts w:ascii="Times New Roman" w:hAnsi="Times New Roman"/>
        </w:rPr>
        <w:t xml:space="preserve"> </w:t>
      </w:r>
      <w:r w:rsidRPr="004E032E">
        <w:rPr>
          <w:rFonts w:ascii="Times New Roman" w:hAnsi="Times New Roman"/>
        </w:rPr>
        <w:t xml:space="preserve">of respondents </w:t>
      </w:r>
      <w:r w:rsidR="00151B9C">
        <w:rPr>
          <w:rFonts w:ascii="Times New Roman" w:hAnsi="Times New Roman"/>
        </w:rPr>
        <w:t xml:space="preserve">(Group 3) </w:t>
      </w:r>
      <w:r w:rsidRPr="004E032E">
        <w:rPr>
          <w:rFonts w:ascii="Times New Roman" w:hAnsi="Times New Roman"/>
        </w:rPr>
        <w:t>will receive a $40 incentive in Wave 1 and all subsequent waves</w:t>
      </w:r>
      <w:r w:rsidR="004E032E">
        <w:rPr>
          <w:rFonts w:ascii="Times New Roman" w:hAnsi="Times New Roman"/>
        </w:rPr>
        <w:t>. All incentives are</w:t>
      </w:r>
      <w:r w:rsidRPr="004E032E">
        <w:rPr>
          <w:rFonts w:ascii="Times New Roman" w:hAnsi="Times New Roman"/>
        </w:rPr>
        <w:t xml:space="preserve"> conditional on completing the interview. We will inform households in both the advance letter and the introduction to the survey of their eligibility for an incentive.</w:t>
      </w:r>
    </w:p>
    <w:p w14:paraId="3337C71E" w14:textId="77777777" w:rsidR="00C4769B" w:rsidRPr="002846C0"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14:paraId="7DDE9F3D" w14:textId="1F03D32F" w:rsidR="00C4769B" w:rsidRPr="004E032E"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4E032E">
        <w:rPr>
          <w:rFonts w:ascii="Times New Roman" w:hAnsi="Times New Roman"/>
        </w:rPr>
        <w:t>Inputs for the propensity model for Group 2 will come from the Wave 1 responses, Wave 1 contact data</w:t>
      </w:r>
      <w:r w:rsidR="00B47006">
        <w:rPr>
          <w:rFonts w:ascii="Times New Roman" w:hAnsi="Times New Roman"/>
        </w:rPr>
        <w:t xml:space="preserve">, sample </w:t>
      </w:r>
      <w:r w:rsidR="00151B9C" w:rsidRPr="00151B9C">
        <w:rPr>
          <w:rFonts w:ascii="Times New Roman" w:hAnsi="Times New Roman"/>
        </w:rPr>
        <w:t>frame data, data linkable to the sample frame</w:t>
      </w:r>
      <w:r w:rsidRPr="004E032E">
        <w:rPr>
          <w:rFonts w:ascii="Times New Roman" w:hAnsi="Times New Roman"/>
        </w:rPr>
        <w:t>, and results from comparing Groups 1 and 2 with Group 3. We will evaluate what characteristics of households seem to make them more or less likely to complete interviews, how they contribute to the eventual sample representation, and how likely they are to respond to incentives. Using this knowledge, we can design a model for Waves 2+ that optimizes our distribution of incentives to Group 2 in a way that maximizes the return on each dollar spent</w:t>
      </w:r>
      <w:r w:rsidR="00E71899">
        <w:rPr>
          <w:rFonts w:ascii="Times New Roman" w:hAnsi="Times New Roman"/>
        </w:rPr>
        <w:t xml:space="preserve">, </w:t>
      </w:r>
      <w:r w:rsidR="00E71899" w:rsidRPr="00E71899">
        <w:rPr>
          <w:rFonts w:ascii="Times New Roman" w:hAnsi="Times New Roman"/>
        </w:rPr>
        <w:t>reduces non-response bias, and improves sample representativeness</w:t>
      </w:r>
      <w:r w:rsidR="00E71899">
        <w:rPr>
          <w:rFonts w:ascii="Times New Roman" w:hAnsi="Times New Roman"/>
        </w:rPr>
        <w:t>.</w:t>
      </w:r>
    </w:p>
    <w:p w14:paraId="608FE317" w14:textId="77777777" w:rsidR="00C4769B" w:rsidRPr="004E032E"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3112A000" w14:textId="4BAF5C82" w:rsidR="007D6736" w:rsidRDefault="00C4769B" w:rsidP="00C476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r w:rsidRPr="004E032E">
        <w:rPr>
          <w:rFonts w:ascii="Times New Roman" w:hAnsi="Times New Roman"/>
        </w:rPr>
        <w:t xml:space="preserve">For all waves, we will distribute the incentives centrally, from our National Processing Center. This centralized distribution eliminates any discretion on the part of the field representatives, ensuring that only eligible households are given (or promised) incentives. This control is necessary to ensure the success of the propensity modeling experiment. We plan to mail the debit cards containing the incentives on a weekly basis. That is, as we receive completed interviews from eligible households, we will send a list of these households to the NPC, and they will mail </w:t>
      </w:r>
      <w:r w:rsidR="00B47006">
        <w:rPr>
          <w:rFonts w:ascii="Times New Roman" w:hAnsi="Times New Roman"/>
        </w:rPr>
        <w:t xml:space="preserve">the Thank You </w:t>
      </w:r>
      <w:r w:rsidR="001F10A1">
        <w:rPr>
          <w:rFonts w:ascii="Times New Roman" w:hAnsi="Times New Roman"/>
        </w:rPr>
        <w:t>l</w:t>
      </w:r>
      <w:r w:rsidRPr="004E032E">
        <w:rPr>
          <w:rFonts w:ascii="Times New Roman" w:hAnsi="Times New Roman"/>
        </w:rPr>
        <w:t xml:space="preserve">etters containing the PIN information </w:t>
      </w:r>
      <w:r w:rsidR="001F10A1">
        <w:rPr>
          <w:rFonts w:ascii="Times New Roman" w:hAnsi="Times New Roman"/>
        </w:rPr>
        <w:t xml:space="preserve">(Attachment </w:t>
      </w:r>
      <w:r w:rsidR="00E00C2B">
        <w:rPr>
          <w:rFonts w:ascii="Times New Roman" w:hAnsi="Times New Roman"/>
        </w:rPr>
        <w:t>K</w:t>
      </w:r>
      <w:r w:rsidR="001F10A1">
        <w:rPr>
          <w:rFonts w:ascii="Times New Roman" w:hAnsi="Times New Roman"/>
        </w:rPr>
        <w:t xml:space="preserve">), </w:t>
      </w:r>
      <w:r w:rsidRPr="004E032E">
        <w:rPr>
          <w:rFonts w:ascii="Times New Roman" w:hAnsi="Times New Roman"/>
        </w:rPr>
        <w:t xml:space="preserve">and then </w:t>
      </w:r>
      <w:r w:rsidR="003B5626">
        <w:rPr>
          <w:rFonts w:ascii="Times New Roman" w:hAnsi="Times New Roman"/>
        </w:rPr>
        <w:t xml:space="preserve">mail </w:t>
      </w:r>
      <w:r w:rsidRPr="004E032E">
        <w:rPr>
          <w:rFonts w:ascii="Times New Roman" w:hAnsi="Times New Roman"/>
        </w:rPr>
        <w:t>the debit cards</w:t>
      </w:r>
      <w:r w:rsidR="003B5626">
        <w:rPr>
          <w:rFonts w:ascii="Times New Roman" w:hAnsi="Times New Roman"/>
        </w:rPr>
        <w:t xml:space="preserve"> in a separate mailing</w:t>
      </w:r>
      <w:r w:rsidRPr="004E032E">
        <w:rPr>
          <w:rFonts w:ascii="Times New Roman" w:hAnsi="Times New Roman"/>
        </w:rPr>
        <w:t>. Splitting the mailings this way allows us to avoid the additional expense of sending the debit cards via a signature-required service such as FedEx.</w:t>
      </w:r>
    </w:p>
    <w:p w14:paraId="798289F5" w14:textId="77777777" w:rsidR="00A25810" w:rsidRDefault="00A25810"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B2" w14:textId="0A73048F"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10.</w:t>
      </w:r>
      <w:r w:rsidRPr="00D63FF8">
        <w:rPr>
          <w:rFonts w:ascii="Times New Roman" w:hAnsi="Times New Roman"/>
          <w:b/>
        </w:rPr>
        <w:tab/>
        <w:t>Assurance of Confidentiality</w:t>
      </w:r>
    </w:p>
    <w:p w14:paraId="5EA852B3" w14:textId="77777777" w:rsidR="00647C89"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271D3D21" w14:textId="7EB780B1" w:rsidR="00AE1C95" w:rsidRDefault="00AE1C95" w:rsidP="00AE1C9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AE1C95">
        <w:rPr>
          <w:rFonts w:ascii="Times New Roman" w:hAnsi="Times New Roman"/>
        </w:rPr>
        <w:t xml:space="preserve">The U.S. Census Bureau is required by law to protect </w:t>
      </w:r>
      <w:r>
        <w:rPr>
          <w:rFonts w:ascii="Times New Roman" w:hAnsi="Times New Roman"/>
        </w:rPr>
        <w:t>all respondent</w:t>
      </w:r>
      <w:r w:rsidRPr="00AE1C95">
        <w:rPr>
          <w:rFonts w:ascii="Times New Roman" w:hAnsi="Times New Roman"/>
        </w:rPr>
        <w:t xml:space="preserve"> information. The Census Bureau</w:t>
      </w:r>
      <w:r>
        <w:rPr>
          <w:rFonts w:ascii="Times New Roman" w:hAnsi="Times New Roman"/>
        </w:rPr>
        <w:t xml:space="preserve"> </w:t>
      </w:r>
      <w:r w:rsidRPr="00AE1C95">
        <w:rPr>
          <w:rFonts w:ascii="Times New Roman" w:hAnsi="Times New Roman"/>
        </w:rPr>
        <w:t>is not permitted to publicly release responses in a</w:t>
      </w:r>
      <w:r>
        <w:rPr>
          <w:rFonts w:ascii="Times New Roman" w:hAnsi="Times New Roman"/>
        </w:rPr>
        <w:t>ny</w:t>
      </w:r>
      <w:r w:rsidRPr="00AE1C95">
        <w:rPr>
          <w:rFonts w:ascii="Times New Roman" w:hAnsi="Times New Roman"/>
        </w:rPr>
        <w:t xml:space="preserve"> way that could identify </w:t>
      </w:r>
      <w:r>
        <w:rPr>
          <w:rFonts w:ascii="Times New Roman" w:hAnsi="Times New Roman"/>
        </w:rPr>
        <w:t>an individual or household</w:t>
      </w:r>
      <w:r w:rsidRPr="00AE1C95">
        <w:rPr>
          <w:rFonts w:ascii="Times New Roman" w:hAnsi="Times New Roman"/>
        </w:rPr>
        <w:t>. We are conducting this survey</w:t>
      </w:r>
      <w:r>
        <w:rPr>
          <w:rFonts w:ascii="Times New Roman" w:hAnsi="Times New Roman"/>
        </w:rPr>
        <w:t xml:space="preserve"> </w:t>
      </w:r>
      <w:r w:rsidRPr="00AE1C95">
        <w:rPr>
          <w:rFonts w:ascii="Times New Roman" w:hAnsi="Times New Roman"/>
        </w:rPr>
        <w:t xml:space="preserve">under the authority of Title </w:t>
      </w:r>
      <w:r>
        <w:rPr>
          <w:rFonts w:ascii="Times New Roman" w:hAnsi="Times New Roman"/>
        </w:rPr>
        <w:t>13, United States Code, Section</w:t>
      </w:r>
      <w:r w:rsidR="001A16C1">
        <w:rPr>
          <w:rFonts w:ascii="Times New Roman" w:hAnsi="Times New Roman"/>
        </w:rPr>
        <w:t>s 141 and</w:t>
      </w:r>
      <w:r>
        <w:rPr>
          <w:rFonts w:ascii="Times New Roman" w:hAnsi="Times New Roman"/>
        </w:rPr>
        <w:t xml:space="preserve"> 182</w:t>
      </w:r>
      <w:r w:rsidRPr="00AE1C95">
        <w:rPr>
          <w:rFonts w:ascii="Times New Roman" w:hAnsi="Times New Roman"/>
        </w:rPr>
        <w:t xml:space="preserve">. Federal law protects </w:t>
      </w:r>
      <w:r>
        <w:rPr>
          <w:rFonts w:ascii="Times New Roman" w:hAnsi="Times New Roman"/>
        </w:rPr>
        <w:t>respondent</w:t>
      </w:r>
      <w:r w:rsidRPr="00AE1C95">
        <w:rPr>
          <w:rFonts w:ascii="Times New Roman" w:hAnsi="Times New Roman"/>
        </w:rPr>
        <w:t xml:space="preserve"> privacy and keeps </w:t>
      </w:r>
      <w:r>
        <w:rPr>
          <w:rFonts w:ascii="Times New Roman" w:hAnsi="Times New Roman"/>
        </w:rPr>
        <w:t xml:space="preserve">all </w:t>
      </w:r>
      <w:r w:rsidRPr="00AE1C95">
        <w:rPr>
          <w:rFonts w:ascii="Times New Roman" w:hAnsi="Times New Roman"/>
        </w:rPr>
        <w:t>answers</w:t>
      </w:r>
      <w:r>
        <w:rPr>
          <w:rFonts w:ascii="Times New Roman" w:hAnsi="Times New Roman"/>
        </w:rPr>
        <w:t xml:space="preserve"> </w:t>
      </w:r>
      <w:r w:rsidRPr="00AE1C95">
        <w:rPr>
          <w:rFonts w:ascii="Times New Roman" w:hAnsi="Times New Roman"/>
        </w:rPr>
        <w:t xml:space="preserve">confidential </w:t>
      </w:r>
      <w:r w:rsidR="00007D64">
        <w:rPr>
          <w:rFonts w:ascii="Times New Roman" w:hAnsi="Times New Roman"/>
        </w:rPr>
        <w:t xml:space="preserve">under </w:t>
      </w:r>
      <w:r w:rsidRPr="00AE1C95">
        <w:rPr>
          <w:rFonts w:ascii="Times New Roman" w:hAnsi="Times New Roman"/>
        </w:rPr>
        <w:t>Title 13, United State</w:t>
      </w:r>
      <w:r w:rsidR="00007D64">
        <w:rPr>
          <w:rFonts w:ascii="Times New Roman" w:hAnsi="Times New Roman"/>
        </w:rPr>
        <w:t>s Code, Section 9</w:t>
      </w:r>
      <w:r w:rsidR="00D8165D">
        <w:rPr>
          <w:rFonts w:ascii="Times New Roman" w:hAnsi="Times New Roman"/>
        </w:rPr>
        <w:t>.</w:t>
      </w:r>
      <w:r w:rsidRPr="00AE1C95">
        <w:rPr>
          <w:rFonts w:ascii="Times New Roman" w:hAnsi="Times New Roman"/>
        </w:rPr>
        <w:t xml:space="preserve"> </w:t>
      </w:r>
      <w:r w:rsidR="00D8165D">
        <w:rPr>
          <w:rFonts w:ascii="Times New Roman" w:hAnsi="Times New Roman"/>
        </w:rPr>
        <w:t xml:space="preserve"> </w:t>
      </w:r>
      <w:r w:rsidRPr="00AE1C95">
        <w:rPr>
          <w:rFonts w:ascii="Times New Roman" w:hAnsi="Times New Roman"/>
        </w:rPr>
        <w:t xml:space="preserve">Per the Federal Cybersecurity Enhancement Act of 2015, </w:t>
      </w:r>
      <w:r>
        <w:rPr>
          <w:rFonts w:ascii="Times New Roman" w:hAnsi="Times New Roman"/>
        </w:rPr>
        <w:t>all respondent</w:t>
      </w:r>
      <w:r w:rsidRPr="00AE1C95">
        <w:rPr>
          <w:rFonts w:ascii="Times New Roman" w:hAnsi="Times New Roman"/>
        </w:rPr>
        <w:t xml:space="preserve"> data are</w:t>
      </w:r>
      <w:r>
        <w:rPr>
          <w:rFonts w:ascii="Times New Roman" w:hAnsi="Times New Roman"/>
        </w:rPr>
        <w:t xml:space="preserve"> </w:t>
      </w:r>
      <w:r w:rsidRPr="00AE1C95">
        <w:rPr>
          <w:rFonts w:ascii="Times New Roman" w:hAnsi="Times New Roman"/>
        </w:rPr>
        <w:t xml:space="preserve">protected from cybersecurity risks through screening of the systems that transmit </w:t>
      </w:r>
      <w:r>
        <w:rPr>
          <w:rFonts w:ascii="Times New Roman" w:hAnsi="Times New Roman"/>
        </w:rPr>
        <w:t>the</w:t>
      </w:r>
      <w:r w:rsidRPr="00AE1C95">
        <w:rPr>
          <w:rFonts w:ascii="Times New Roman" w:hAnsi="Times New Roman"/>
        </w:rPr>
        <w:t xml:space="preserve"> data.</w:t>
      </w:r>
    </w:p>
    <w:p w14:paraId="5FC45225" w14:textId="77777777" w:rsidR="00AE1C95" w:rsidRDefault="00AE1C9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4" w14:textId="3F29970C" w:rsidR="00FE0141" w:rsidRDefault="003F5E6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SIPP</w:t>
      </w:r>
      <w:r w:rsidR="00FE0141">
        <w:rPr>
          <w:rFonts w:ascii="Times New Roman" w:hAnsi="Times New Roman"/>
        </w:rPr>
        <w:t xml:space="preserve"> respondents will be informed of the confidentiality of their responses and that this is a voluntary survey by a</w:t>
      </w:r>
      <w:r>
        <w:rPr>
          <w:rFonts w:ascii="Times New Roman" w:hAnsi="Times New Roman"/>
        </w:rPr>
        <w:t>n annual (per wave)</w:t>
      </w:r>
      <w:r w:rsidR="00FE0141">
        <w:rPr>
          <w:rFonts w:ascii="Times New Roman" w:hAnsi="Times New Roman"/>
        </w:rPr>
        <w:t xml:space="preserve"> letter from the Director of the Census Bureau that will be sent to all participants in the survey </w:t>
      </w:r>
      <w:r w:rsidR="00827403">
        <w:rPr>
          <w:rFonts w:ascii="Times New Roman" w:hAnsi="Times New Roman"/>
        </w:rPr>
        <w:t xml:space="preserve">in advance of the interview </w:t>
      </w:r>
      <w:r w:rsidR="00FE0141" w:rsidRPr="00217E7D">
        <w:rPr>
          <w:rFonts w:ascii="Times New Roman" w:hAnsi="Times New Roman"/>
        </w:rPr>
        <w:t>(</w:t>
      </w:r>
      <w:r w:rsidR="00FE0141" w:rsidRPr="002B4D45">
        <w:rPr>
          <w:rFonts w:ascii="Times New Roman" w:hAnsi="Times New Roman"/>
        </w:rPr>
        <w:t>Attachments B</w:t>
      </w:r>
      <w:r w:rsidR="002B4D45">
        <w:rPr>
          <w:rFonts w:ascii="Times New Roman" w:hAnsi="Times New Roman"/>
        </w:rPr>
        <w:t xml:space="preserve"> and </w:t>
      </w:r>
      <w:r w:rsidR="006F1F42" w:rsidRPr="002B4D45">
        <w:rPr>
          <w:rFonts w:ascii="Times New Roman" w:hAnsi="Times New Roman"/>
        </w:rPr>
        <w:t>C</w:t>
      </w:r>
      <w:r w:rsidR="00FE0141" w:rsidRPr="00217E7D">
        <w:rPr>
          <w:rFonts w:ascii="Times New Roman" w:hAnsi="Times New Roman"/>
        </w:rPr>
        <w:t>).</w:t>
      </w:r>
    </w:p>
    <w:p w14:paraId="255D15E0" w14:textId="56E24FC1" w:rsidR="00C672EB" w:rsidRDefault="00C672E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6" w14:textId="77777777"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D63FF8">
        <w:rPr>
          <w:rFonts w:ascii="Times New Roman" w:hAnsi="Times New Roman"/>
          <w:b/>
        </w:rPr>
        <w:t>11.</w:t>
      </w:r>
      <w:r w:rsidRPr="00D63FF8">
        <w:rPr>
          <w:rFonts w:ascii="Times New Roman" w:hAnsi="Times New Roman"/>
          <w:b/>
        </w:rPr>
        <w:tab/>
        <w:t>Justification for Sensitive Questions</w:t>
      </w:r>
    </w:p>
    <w:p w14:paraId="5EA852B7"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B8" w14:textId="6554CDBE" w:rsidR="00795CB6"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sources of income and assets are among the kinds of data collected and </w:t>
      </w:r>
      <w:r w:rsidR="00C672EB">
        <w:rPr>
          <w:rFonts w:ascii="Times New Roman" w:hAnsi="Times New Roman"/>
        </w:rPr>
        <w:t>possibly considered</w:t>
      </w:r>
      <w:r w:rsidR="008C563C">
        <w:rPr>
          <w:rFonts w:ascii="Times New Roman" w:hAnsi="Times New Roman"/>
        </w:rPr>
        <w:t xml:space="preserve"> of a sensitive nature. </w:t>
      </w:r>
      <w:r>
        <w:rPr>
          <w:rFonts w:ascii="Times New Roman" w:hAnsi="Times New Roman"/>
        </w:rPr>
        <w:t>The Census Bureau takes the position that the collection of these types of data is necessary for the analysis of important policy and program issues</w:t>
      </w:r>
      <w:r w:rsidR="00AA7B6C">
        <w:rPr>
          <w:rFonts w:ascii="Times New Roman" w:hAnsi="Times New Roman"/>
        </w:rPr>
        <w:t>,</w:t>
      </w:r>
      <w:r>
        <w:rPr>
          <w:rFonts w:ascii="Times New Roman" w:hAnsi="Times New Roman"/>
        </w:rPr>
        <w:t xml:space="preserve"> and </w:t>
      </w:r>
      <w:r w:rsidR="00AA7B6C">
        <w:rPr>
          <w:rFonts w:ascii="Times New Roman" w:hAnsi="Times New Roman"/>
        </w:rPr>
        <w:t xml:space="preserve">consequently </w:t>
      </w:r>
      <w:r>
        <w:rPr>
          <w:rFonts w:ascii="Times New Roman" w:hAnsi="Times New Roman"/>
        </w:rPr>
        <w:t>has structured the questions to lessen their sensitivity.</w:t>
      </w:r>
    </w:p>
    <w:p w14:paraId="5EA852B9" w14:textId="77777777" w:rsidR="00CC414E" w:rsidRDefault="00CC414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BA" w14:textId="53201817"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12.</w:t>
      </w:r>
      <w:r w:rsidRPr="00D63FF8">
        <w:rPr>
          <w:rFonts w:ascii="Times New Roman" w:hAnsi="Times New Roman"/>
          <w:b/>
        </w:rPr>
        <w:tab/>
        <w:t>Estimate</w:t>
      </w:r>
      <w:r w:rsidR="002073FE">
        <w:rPr>
          <w:rFonts w:ascii="Times New Roman" w:hAnsi="Times New Roman"/>
          <w:b/>
        </w:rPr>
        <w:t>s</w:t>
      </w:r>
      <w:r w:rsidRPr="00D63FF8">
        <w:rPr>
          <w:rFonts w:ascii="Times New Roman" w:hAnsi="Times New Roman"/>
          <w:b/>
        </w:rPr>
        <w:t xml:space="preserve"> of </w:t>
      </w:r>
      <w:r w:rsidR="002073FE">
        <w:rPr>
          <w:rFonts w:ascii="Times New Roman" w:hAnsi="Times New Roman"/>
          <w:b/>
        </w:rPr>
        <w:t xml:space="preserve">Annualized </w:t>
      </w:r>
      <w:r w:rsidRPr="00D63FF8">
        <w:rPr>
          <w:rFonts w:ascii="Times New Roman" w:hAnsi="Times New Roman"/>
          <w:b/>
        </w:rPr>
        <w:t>Respondent</w:t>
      </w:r>
      <w:r w:rsidR="002073FE">
        <w:rPr>
          <w:rFonts w:ascii="Times New Roman" w:hAnsi="Times New Roman"/>
          <w:b/>
        </w:rPr>
        <w:t xml:space="preserve"> Hour and Cost</w:t>
      </w:r>
      <w:r w:rsidRPr="00D63FF8">
        <w:rPr>
          <w:rFonts w:ascii="Times New Roman" w:hAnsi="Times New Roman"/>
          <w:b/>
        </w:rPr>
        <w:t xml:space="preserve"> Burden</w:t>
      </w:r>
    </w:p>
    <w:p w14:paraId="5EA852BB"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14:paraId="3E6CE0E3" w14:textId="40B04C66" w:rsidR="008C563C" w:rsidRDefault="00FE0141" w:rsidP="008C56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Based on our experience with the </w:t>
      </w:r>
      <w:r w:rsidR="00585592">
        <w:rPr>
          <w:rFonts w:ascii="Times New Roman" w:hAnsi="Times New Roman"/>
        </w:rPr>
        <w:t>2014 SIPP Panel</w:t>
      </w:r>
      <w:r w:rsidR="004E0ACC">
        <w:rPr>
          <w:rFonts w:ascii="Times New Roman" w:hAnsi="Times New Roman"/>
        </w:rPr>
        <w:t xml:space="preserve"> waves</w:t>
      </w:r>
      <w:r>
        <w:rPr>
          <w:rFonts w:ascii="Times New Roman" w:hAnsi="Times New Roman"/>
        </w:rPr>
        <w:t xml:space="preserve">, the burden estimates for </w:t>
      </w:r>
      <w:r w:rsidR="00596CAD">
        <w:rPr>
          <w:rFonts w:ascii="Times New Roman" w:hAnsi="Times New Roman"/>
        </w:rPr>
        <w:t xml:space="preserve">the </w:t>
      </w:r>
      <w:r>
        <w:rPr>
          <w:rFonts w:ascii="Times New Roman" w:hAnsi="Times New Roman"/>
        </w:rPr>
        <w:t>201</w:t>
      </w:r>
      <w:r w:rsidR="00585592">
        <w:rPr>
          <w:rFonts w:ascii="Times New Roman" w:hAnsi="Times New Roman"/>
        </w:rPr>
        <w:t>8</w:t>
      </w:r>
      <w:r>
        <w:rPr>
          <w:rFonts w:ascii="Times New Roman" w:hAnsi="Times New Roman"/>
        </w:rPr>
        <w:t xml:space="preserve"> </w:t>
      </w:r>
      <w:r w:rsidR="00AA7B6C">
        <w:rPr>
          <w:rFonts w:ascii="Times New Roman" w:hAnsi="Times New Roman"/>
        </w:rPr>
        <w:t>SIPP Panel (per wave)</w:t>
      </w:r>
      <w:r w:rsidR="00973FEA">
        <w:rPr>
          <w:rFonts w:ascii="Times New Roman" w:hAnsi="Times New Roman"/>
        </w:rPr>
        <w:t xml:space="preserve"> </w:t>
      </w:r>
      <w:r>
        <w:rPr>
          <w:rFonts w:ascii="Times New Roman" w:hAnsi="Times New Roman"/>
        </w:rPr>
        <w:t>are as follows:</w:t>
      </w:r>
    </w:p>
    <w:p w14:paraId="466FC38A" w14:textId="6A4F626C" w:rsidR="00401BD7" w:rsidRDefault="00401BD7" w:rsidP="008C56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F50B7CF" w14:textId="6C163DEE" w:rsidR="00D043CC" w:rsidRDefault="004E0ACC" w:rsidP="008C56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bCs/>
          <w:sz w:val="22"/>
          <w:szCs w:val="22"/>
        </w:rPr>
      </w:pPr>
      <w:r>
        <w:rPr>
          <w:rFonts w:ascii="Times New Roman" w:hAnsi="Times New Roman"/>
          <w:b/>
          <w:sz w:val="22"/>
          <w:szCs w:val="22"/>
        </w:rPr>
        <w:t xml:space="preserve">12a. </w:t>
      </w:r>
      <w:r w:rsidR="00F1584D" w:rsidRPr="00D63FF8">
        <w:rPr>
          <w:rFonts w:ascii="Times New Roman" w:hAnsi="Times New Roman"/>
          <w:b/>
          <w:sz w:val="22"/>
          <w:szCs w:val="22"/>
        </w:rPr>
        <w:t>2018 SIPP PANEL</w:t>
      </w:r>
      <w:r w:rsidR="00F1584D" w:rsidRPr="00A81B9E">
        <w:rPr>
          <w:rFonts w:ascii="Times New Roman" w:hAnsi="Times New Roman"/>
          <w:b/>
          <w:sz w:val="22"/>
          <w:szCs w:val="22"/>
        </w:rPr>
        <w:t xml:space="preserve"> </w:t>
      </w:r>
      <w:r w:rsidR="00A81B9E" w:rsidRPr="00A81B9E">
        <w:rPr>
          <w:rFonts w:ascii="Times New Roman" w:hAnsi="Times New Roman"/>
          <w:b/>
          <w:sz w:val="22"/>
          <w:szCs w:val="22"/>
        </w:rPr>
        <w:t>ESTIMATED ANNUALIZED</w:t>
      </w:r>
      <w:r w:rsidR="00A81B9E">
        <w:rPr>
          <w:rFonts w:ascii="Times New Roman" w:hAnsi="Times New Roman"/>
          <w:sz w:val="22"/>
          <w:szCs w:val="22"/>
        </w:rPr>
        <w:t xml:space="preserve"> </w:t>
      </w:r>
      <w:r w:rsidR="00F1584D" w:rsidRPr="00D63FF8">
        <w:rPr>
          <w:rFonts w:ascii="Times New Roman" w:hAnsi="Times New Roman"/>
          <w:b/>
          <w:bCs/>
          <w:sz w:val="22"/>
          <w:szCs w:val="22"/>
        </w:rPr>
        <w:t>BURDEN HOUR</w:t>
      </w:r>
      <w:r w:rsidR="00A81B9E">
        <w:rPr>
          <w:rFonts w:ascii="Times New Roman" w:hAnsi="Times New Roman"/>
          <w:b/>
          <w:bCs/>
          <w:sz w:val="22"/>
          <w:szCs w:val="22"/>
        </w:rPr>
        <w:t>S</w:t>
      </w:r>
      <w:r w:rsidR="00F1584D" w:rsidRPr="00D63FF8">
        <w:rPr>
          <w:rFonts w:ascii="Times New Roman" w:hAnsi="Times New Roman"/>
          <w:b/>
          <w:bCs/>
          <w:sz w:val="22"/>
          <w:szCs w:val="22"/>
        </w:rPr>
        <w:t xml:space="preserve"> SUMMARY</w:t>
      </w:r>
    </w:p>
    <w:p w14:paraId="053A4CB5" w14:textId="0771553E" w:rsidR="004E0ACC" w:rsidRDefault="004E0ACC" w:rsidP="008C56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2"/>
          <w:szCs w:val="22"/>
        </w:rPr>
      </w:pPr>
    </w:p>
    <w:p w14:paraId="21DFED63" w14:textId="47EBBA4E" w:rsidR="00401BD7" w:rsidRPr="00401BD7" w:rsidRDefault="00401BD7" w:rsidP="008C56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sz w:val="22"/>
          <w:szCs w:val="22"/>
        </w:rPr>
      </w:pPr>
      <w:r w:rsidRPr="00401BD7">
        <w:rPr>
          <w:rFonts w:ascii="Times New Roman" w:hAnsi="Times New Roman"/>
          <w:b/>
          <w:sz w:val="22"/>
          <w:szCs w:val="22"/>
        </w:rPr>
        <w:t>Table 1: For a 35,000 Household Sample</w:t>
      </w:r>
    </w:p>
    <w:tbl>
      <w:tblPr>
        <w:tblStyle w:val="TableGrid"/>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98"/>
        <w:gridCol w:w="1527"/>
        <w:gridCol w:w="1372"/>
        <w:gridCol w:w="1469"/>
        <w:gridCol w:w="1479"/>
        <w:gridCol w:w="1260"/>
      </w:tblGrid>
      <w:tr w:rsidR="00D043CC" w14:paraId="32F0524A" w14:textId="77777777" w:rsidTr="00D043CC">
        <w:tc>
          <w:tcPr>
            <w:tcW w:w="1198" w:type="dxa"/>
            <w:shd w:val="clear" w:color="auto" w:fill="F2F2F2" w:themeFill="background1" w:themeFillShade="F2"/>
            <w:vAlign w:val="bottom"/>
          </w:tcPr>
          <w:p w14:paraId="642D8CCA"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14:paraId="427F1872" w14:textId="04D2BF85"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Expected Number of Respondents</w:t>
            </w:r>
          </w:p>
        </w:tc>
        <w:tc>
          <w:tcPr>
            <w:tcW w:w="1372" w:type="dxa"/>
            <w:shd w:val="clear" w:color="auto" w:fill="F2F2F2" w:themeFill="background1" w:themeFillShade="F2"/>
            <w:vAlign w:val="bottom"/>
          </w:tcPr>
          <w:p w14:paraId="20D998F2"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Waves</w:t>
            </w:r>
          </w:p>
        </w:tc>
        <w:tc>
          <w:tcPr>
            <w:tcW w:w="1469" w:type="dxa"/>
            <w:shd w:val="clear" w:color="auto" w:fill="F2F2F2" w:themeFill="background1" w:themeFillShade="F2"/>
            <w:vAlign w:val="bottom"/>
          </w:tcPr>
          <w:p w14:paraId="56CD32FC" w14:textId="563E67CE"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Number of Responses</w:t>
            </w:r>
            <w:r w:rsidR="004E0ACC">
              <w:rPr>
                <w:rFonts w:ascii="Times New Roman" w:hAnsi="Times New Roman"/>
              </w:rPr>
              <w:t xml:space="preserve"> per Respondent</w:t>
            </w:r>
          </w:p>
        </w:tc>
        <w:tc>
          <w:tcPr>
            <w:tcW w:w="1479" w:type="dxa"/>
            <w:shd w:val="clear" w:color="auto" w:fill="F2F2F2" w:themeFill="background1" w:themeFillShade="F2"/>
            <w:vAlign w:val="bottom"/>
          </w:tcPr>
          <w:p w14:paraId="08113E44"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Average Burden Per Response</w:t>
            </w:r>
          </w:p>
          <w:p w14:paraId="1929DACC" w14:textId="7117C38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(in Hours)</w:t>
            </w:r>
          </w:p>
        </w:tc>
        <w:tc>
          <w:tcPr>
            <w:tcW w:w="1260" w:type="dxa"/>
            <w:shd w:val="clear" w:color="auto" w:fill="F2F2F2" w:themeFill="background1" w:themeFillShade="F2"/>
            <w:vAlign w:val="bottom"/>
          </w:tcPr>
          <w:p w14:paraId="75BB7123" w14:textId="6DB2EBEA" w:rsidR="00D043CC" w:rsidRPr="00F45549"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F45549">
              <w:rPr>
                <w:rFonts w:ascii="Times New Roman" w:hAnsi="Times New Roman"/>
                <w:b/>
              </w:rPr>
              <w:t xml:space="preserve">Total </w:t>
            </w:r>
            <w:r>
              <w:rPr>
                <w:rFonts w:ascii="Times New Roman" w:hAnsi="Times New Roman"/>
                <w:b/>
              </w:rPr>
              <w:t xml:space="preserve">Burden </w:t>
            </w:r>
            <w:r w:rsidRPr="00F45549">
              <w:rPr>
                <w:rFonts w:ascii="Times New Roman" w:hAnsi="Times New Roman"/>
                <w:b/>
              </w:rPr>
              <w:t>Hours</w:t>
            </w:r>
          </w:p>
        </w:tc>
      </w:tr>
      <w:tr w:rsidR="00D043CC" w14:paraId="33C85726" w14:textId="77777777" w:rsidTr="00D043CC">
        <w:trPr>
          <w:trHeight w:val="432"/>
        </w:trPr>
        <w:tc>
          <w:tcPr>
            <w:tcW w:w="1198" w:type="dxa"/>
            <w:vAlign w:val="center"/>
          </w:tcPr>
          <w:p w14:paraId="48919D0D"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Interview</w:t>
            </w:r>
          </w:p>
        </w:tc>
        <w:tc>
          <w:tcPr>
            <w:tcW w:w="1527" w:type="dxa"/>
            <w:vAlign w:val="center"/>
          </w:tcPr>
          <w:p w14:paraId="1542D018"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42,000</w:t>
            </w:r>
          </w:p>
        </w:tc>
        <w:tc>
          <w:tcPr>
            <w:tcW w:w="1372" w:type="dxa"/>
            <w:vAlign w:val="center"/>
          </w:tcPr>
          <w:p w14:paraId="3F35F06D"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1</w:t>
            </w:r>
          </w:p>
        </w:tc>
        <w:tc>
          <w:tcPr>
            <w:tcW w:w="1469" w:type="dxa"/>
            <w:vAlign w:val="center"/>
          </w:tcPr>
          <w:p w14:paraId="135558EC" w14:textId="04468529" w:rsidR="00D043CC" w:rsidRDefault="004E0A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1</w:t>
            </w:r>
          </w:p>
        </w:tc>
        <w:tc>
          <w:tcPr>
            <w:tcW w:w="1479" w:type="dxa"/>
            <w:vAlign w:val="center"/>
          </w:tcPr>
          <w:p w14:paraId="4C41089C"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1.0</w:t>
            </w:r>
          </w:p>
        </w:tc>
        <w:tc>
          <w:tcPr>
            <w:tcW w:w="1260" w:type="dxa"/>
            <w:vAlign w:val="center"/>
          </w:tcPr>
          <w:p w14:paraId="75F42F52" w14:textId="77777777" w:rsidR="00D043CC"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42,000</w:t>
            </w:r>
          </w:p>
        </w:tc>
      </w:tr>
      <w:tr w:rsidR="00D043CC" w14:paraId="37632044" w14:textId="77777777" w:rsidTr="00D043CC">
        <w:trPr>
          <w:trHeight w:val="432"/>
        </w:trPr>
        <w:tc>
          <w:tcPr>
            <w:tcW w:w="1198" w:type="dxa"/>
            <w:vAlign w:val="center"/>
          </w:tcPr>
          <w:p w14:paraId="27C4181C" w14:textId="0F5457D1" w:rsidR="00D043CC" w:rsidRPr="00F45549" w:rsidRDefault="00A81B9E"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Total</w:t>
            </w:r>
          </w:p>
        </w:tc>
        <w:tc>
          <w:tcPr>
            <w:tcW w:w="1527" w:type="dxa"/>
            <w:vAlign w:val="center"/>
          </w:tcPr>
          <w:p w14:paraId="28DDB2B4" w14:textId="77777777" w:rsidR="00D043CC" w:rsidRPr="00E425FD"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42,000</w:t>
            </w:r>
          </w:p>
        </w:tc>
        <w:tc>
          <w:tcPr>
            <w:tcW w:w="1372" w:type="dxa"/>
            <w:vAlign w:val="center"/>
          </w:tcPr>
          <w:p w14:paraId="5C1D76A2" w14:textId="77777777" w:rsidR="00D043CC" w:rsidRPr="00E425FD"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1</w:t>
            </w:r>
          </w:p>
        </w:tc>
        <w:tc>
          <w:tcPr>
            <w:tcW w:w="1469" w:type="dxa"/>
            <w:vAlign w:val="center"/>
          </w:tcPr>
          <w:p w14:paraId="715D1D7C" w14:textId="3F80DB82" w:rsidR="00D043CC" w:rsidRPr="00E425FD" w:rsidRDefault="004E0A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1</w:t>
            </w:r>
          </w:p>
        </w:tc>
        <w:tc>
          <w:tcPr>
            <w:tcW w:w="1479" w:type="dxa"/>
            <w:vAlign w:val="center"/>
          </w:tcPr>
          <w:p w14:paraId="1C4108D2" w14:textId="77777777" w:rsidR="00D043CC" w:rsidRPr="00E425FD"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1.0</w:t>
            </w:r>
          </w:p>
        </w:tc>
        <w:tc>
          <w:tcPr>
            <w:tcW w:w="1260" w:type="dxa"/>
            <w:vAlign w:val="center"/>
          </w:tcPr>
          <w:p w14:paraId="05FC33FD" w14:textId="77777777" w:rsidR="00D043CC" w:rsidRPr="00E425FD" w:rsidRDefault="00D043CC" w:rsidP="00D043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42,000</w:t>
            </w:r>
          </w:p>
        </w:tc>
      </w:tr>
    </w:tbl>
    <w:p w14:paraId="0B2D6CC7" w14:textId="33A16022" w:rsidR="00D043CC" w:rsidRDefault="00D043CC" w:rsidP="008C56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DB" w14:textId="06090864" w:rsidR="00596CAD" w:rsidRPr="00596CAD" w:rsidRDefault="00596CA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596CAD">
        <w:rPr>
          <w:rFonts w:ascii="Times New Roman" w:hAnsi="Times New Roman"/>
        </w:rPr>
        <w:t xml:space="preserve">Approximately </w:t>
      </w:r>
      <w:r w:rsidR="003F5E62">
        <w:rPr>
          <w:rFonts w:ascii="Times New Roman" w:hAnsi="Times New Roman"/>
        </w:rPr>
        <w:t>20</w:t>
      </w:r>
      <w:r w:rsidRPr="00F45549">
        <w:rPr>
          <w:rFonts w:ascii="Times New Roman" w:hAnsi="Times New Roman"/>
        </w:rPr>
        <w:t>,000</w:t>
      </w:r>
      <w:r w:rsidRPr="00596CAD">
        <w:rPr>
          <w:rFonts w:ascii="Times New Roman" w:hAnsi="Times New Roman"/>
        </w:rPr>
        <w:t xml:space="preserve"> households are expected to </w:t>
      </w:r>
      <w:r w:rsidR="00DE3DEF" w:rsidRPr="00DE3DEF">
        <w:rPr>
          <w:rFonts w:ascii="Times New Roman" w:hAnsi="Times New Roman"/>
        </w:rPr>
        <w:t xml:space="preserve">have completed interviews for the initial wave of the </w:t>
      </w:r>
      <w:r w:rsidR="008C563C">
        <w:rPr>
          <w:rFonts w:ascii="Times New Roman" w:hAnsi="Times New Roman"/>
        </w:rPr>
        <w:t>201</w:t>
      </w:r>
      <w:r w:rsidR="00585592">
        <w:rPr>
          <w:rFonts w:ascii="Times New Roman" w:hAnsi="Times New Roman"/>
        </w:rPr>
        <w:t>8</w:t>
      </w:r>
      <w:r w:rsidR="002538A1">
        <w:rPr>
          <w:rFonts w:ascii="Times New Roman" w:hAnsi="Times New Roman"/>
        </w:rPr>
        <w:t xml:space="preserve"> SIPP Panel</w:t>
      </w:r>
      <w:r w:rsidR="008C563C">
        <w:rPr>
          <w:rFonts w:ascii="Times New Roman" w:hAnsi="Times New Roman"/>
        </w:rPr>
        <w:t xml:space="preserve">. </w:t>
      </w:r>
      <w:r w:rsidRPr="00596CAD">
        <w:rPr>
          <w:rFonts w:ascii="Times New Roman" w:hAnsi="Times New Roman"/>
        </w:rPr>
        <w:t xml:space="preserve">We estimate that each household contains 2.1 people aged 15 and above, yielding approximately </w:t>
      </w:r>
      <w:r w:rsidR="003F5E62">
        <w:rPr>
          <w:rFonts w:ascii="Times New Roman" w:hAnsi="Times New Roman"/>
        </w:rPr>
        <w:t>42,000</w:t>
      </w:r>
      <w:r w:rsidRPr="00596CAD">
        <w:rPr>
          <w:rFonts w:ascii="Times New Roman" w:hAnsi="Times New Roman"/>
        </w:rPr>
        <w:t xml:space="preserve"> person-level inte</w:t>
      </w:r>
      <w:r w:rsidR="008C563C">
        <w:rPr>
          <w:rFonts w:ascii="Times New Roman" w:hAnsi="Times New Roman"/>
        </w:rPr>
        <w:t xml:space="preserve">rviews per wave in this panel. </w:t>
      </w:r>
      <w:r w:rsidR="00AE1C95" w:rsidRPr="00847160">
        <w:rPr>
          <w:rFonts w:ascii="Times New Roman" w:hAnsi="Times New Roman"/>
        </w:rPr>
        <w:t>We estimate that</w:t>
      </w:r>
      <w:r w:rsidR="00AE1C95">
        <w:rPr>
          <w:rFonts w:ascii="Times New Roman" w:hAnsi="Times New Roman"/>
        </w:rPr>
        <w:t xml:space="preserve"> </w:t>
      </w:r>
      <w:r w:rsidR="00AE1C95" w:rsidRPr="00847160">
        <w:rPr>
          <w:rFonts w:ascii="Times New Roman" w:hAnsi="Times New Roman"/>
        </w:rPr>
        <w:t>completing the</w:t>
      </w:r>
      <w:r w:rsidR="00AE1C95">
        <w:rPr>
          <w:rFonts w:ascii="Times New Roman" w:hAnsi="Times New Roman"/>
        </w:rPr>
        <w:t xml:space="preserve"> SIPP interview</w:t>
      </w:r>
      <w:r w:rsidRPr="00596CAD">
        <w:rPr>
          <w:rFonts w:ascii="Times New Roman" w:hAnsi="Times New Roman"/>
        </w:rPr>
        <w:t xml:space="preserve"> take approximately 60 minutes per adult on average, consequently the total annual burden for 201</w:t>
      </w:r>
      <w:r w:rsidR="00585592">
        <w:rPr>
          <w:rFonts w:ascii="Times New Roman" w:hAnsi="Times New Roman"/>
        </w:rPr>
        <w:t xml:space="preserve">8 </w:t>
      </w:r>
      <w:r w:rsidRPr="00596CAD">
        <w:rPr>
          <w:rFonts w:ascii="Times New Roman" w:hAnsi="Times New Roman"/>
        </w:rPr>
        <w:t xml:space="preserve">SIPP interviews will be </w:t>
      </w:r>
      <w:r w:rsidR="003F5E62">
        <w:rPr>
          <w:rFonts w:ascii="Times New Roman" w:hAnsi="Times New Roman"/>
        </w:rPr>
        <w:t>42,000</w:t>
      </w:r>
      <w:r w:rsidRPr="00596CAD">
        <w:rPr>
          <w:rFonts w:ascii="Times New Roman" w:hAnsi="Times New Roman"/>
        </w:rPr>
        <w:t xml:space="preserve"> hours per year in FY 201</w:t>
      </w:r>
      <w:r w:rsidR="00585592">
        <w:rPr>
          <w:rFonts w:ascii="Times New Roman" w:hAnsi="Times New Roman"/>
        </w:rPr>
        <w:t>8</w:t>
      </w:r>
      <w:r w:rsidRPr="00596CAD">
        <w:rPr>
          <w:rFonts w:ascii="Times New Roman" w:hAnsi="Times New Roman"/>
        </w:rPr>
        <w:t>, 201</w:t>
      </w:r>
      <w:r w:rsidR="00585592">
        <w:rPr>
          <w:rFonts w:ascii="Times New Roman" w:hAnsi="Times New Roman"/>
        </w:rPr>
        <w:t>9</w:t>
      </w:r>
      <w:r w:rsidRPr="00596CAD">
        <w:rPr>
          <w:rFonts w:ascii="Times New Roman" w:hAnsi="Times New Roman"/>
        </w:rPr>
        <w:t>, 20</w:t>
      </w:r>
      <w:r w:rsidR="00585592">
        <w:rPr>
          <w:rFonts w:ascii="Times New Roman" w:hAnsi="Times New Roman"/>
        </w:rPr>
        <w:t>20</w:t>
      </w:r>
      <w:r w:rsidRPr="00596CAD">
        <w:rPr>
          <w:rFonts w:ascii="Times New Roman" w:hAnsi="Times New Roman"/>
        </w:rPr>
        <w:t>, and 20</w:t>
      </w:r>
      <w:r w:rsidR="00585592">
        <w:rPr>
          <w:rFonts w:ascii="Times New Roman" w:hAnsi="Times New Roman"/>
        </w:rPr>
        <w:t>21</w:t>
      </w:r>
      <w:r w:rsidRPr="00596CAD">
        <w:rPr>
          <w:rFonts w:ascii="Times New Roman" w:hAnsi="Times New Roman"/>
        </w:rPr>
        <w:t>.</w:t>
      </w:r>
    </w:p>
    <w:p w14:paraId="5EA852DC" w14:textId="3F46D909" w:rsidR="006638DB" w:rsidRDefault="006638D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38AA6164" w14:textId="5BB7F2C6" w:rsidR="00401BD7" w:rsidRP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sz w:val="22"/>
          <w:szCs w:val="22"/>
        </w:rPr>
      </w:pPr>
      <w:r w:rsidRPr="00401BD7">
        <w:rPr>
          <w:rFonts w:ascii="Times New Roman" w:hAnsi="Times New Roman"/>
          <w:b/>
          <w:sz w:val="22"/>
          <w:szCs w:val="22"/>
        </w:rPr>
        <w:t>Table 2: For a 53,000 Household Sample</w:t>
      </w:r>
    </w:p>
    <w:tbl>
      <w:tblPr>
        <w:tblStyle w:val="TableGrid"/>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98"/>
        <w:gridCol w:w="1527"/>
        <w:gridCol w:w="1372"/>
        <w:gridCol w:w="1469"/>
        <w:gridCol w:w="1479"/>
        <w:gridCol w:w="1260"/>
      </w:tblGrid>
      <w:tr w:rsidR="00401BD7" w14:paraId="10740BE3" w14:textId="77777777" w:rsidTr="00401BD7">
        <w:tc>
          <w:tcPr>
            <w:tcW w:w="1198" w:type="dxa"/>
            <w:shd w:val="clear" w:color="auto" w:fill="F2F2F2" w:themeFill="background1" w:themeFillShade="F2"/>
            <w:vAlign w:val="bottom"/>
          </w:tcPr>
          <w:p w14:paraId="7B67024E"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14:paraId="39D06764"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Expected Number of Respondents</w:t>
            </w:r>
          </w:p>
        </w:tc>
        <w:tc>
          <w:tcPr>
            <w:tcW w:w="1372" w:type="dxa"/>
            <w:shd w:val="clear" w:color="auto" w:fill="F2F2F2" w:themeFill="background1" w:themeFillShade="F2"/>
            <w:vAlign w:val="bottom"/>
          </w:tcPr>
          <w:p w14:paraId="0B1B4751"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Waves</w:t>
            </w:r>
          </w:p>
        </w:tc>
        <w:tc>
          <w:tcPr>
            <w:tcW w:w="1469" w:type="dxa"/>
            <w:shd w:val="clear" w:color="auto" w:fill="F2F2F2" w:themeFill="background1" w:themeFillShade="F2"/>
            <w:vAlign w:val="bottom"/>
          </w:tcPr>
          <w:p w14:paraId="308B95B1"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Number of Responses per Respondent</w:t>
            </w:r>
          </w:p>
        </w:tc>
        <w:tc>
          <w:tcPr>
            <w:tcW w:w="1479" w:type="dxa"/>
            <w:shd w:val="clear" w:color="auto" w:fill="F2F2F2" w:themeFill="background1" w:themeFillShade="F2"/>
            <w:vAlign w:val="bottom"/>
          </w:tcPr>
          <w:p w14:paraId="75FA61AB"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Average Burden Per Response</w:t>
            </w:r>
          </w:p>
          <w:p w14:paraId="2181CA12"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(in Hours)</w:t>
            </w:r>
          </w:p>
        </w:tc>
        <w:tc>
          <w:tcPr>
            <w:tcW w:w="1260" w:type="dxa"/>
            <w:shd w:val="clear" w:color="auto" w:fill="F2F2F2" w:themeFill="background1" w:themeFillShade="F2"/>
            <w:vAlign w:val="bottom"/>
          </w:tcPr>
          <w:p w14:paraId="0B31CC37" w14:textId="77777777" w:rsidR="00401BD7" w:rsidRPr="00F45549"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F45549">
              <w:rPr>
                <w:rFonts w:ascii="Times New Roman" w:hAnsi="Times New Roman"/>
                <w:b/>
              </w:rPr>
              <w:t xml:space="preserve">Total </w:t>
            </w:r>
            <w:r>
              <w:rPr>
                <w:rFonts w:ascii="Times New Roman" w:hAnsi="Times New Roman"/>
                <w:b/>
              </w:rPr>
              <w:t xml:space="preserve">Burden </w:t>
            </w:r>
            <w:r w:rsidRPr="00F45549">
              <w:rPr>
                <w:rFonts w:ascii="Times New Roman" w:hAnsi="Times New Roman"/>
                <w:b/>
              </w:rPr>
              <w:t>Hours</w:t>
            </w:r>
          </w:p>
        </w:tc>
      </w:tr>
      <w:tr w:rsidR="00401BD7" w14:paraId="52D3339E" w14:textId="77777777" w:rsidTr="00401BD7">
        <w:trPr>
          <w:trHeight w:val="432"/>
        </w:trPr>
        <w:tc>
          <w:tcPr>
            <w:tcW w:w="1198" w:type="dxa"/>
            <w:vAlign w:val="center"/>
          </w:tcPr>
          <w:p w14:paraId="4EF8B5E4"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Interview</w:t>
            </w:r>
          </w:p>
        </w:tc>
        <w:tc>
          <w:tcPr>
            <w:tcW w:w="1527" w:type="dxa"/>
            <w:vAlign w:val="center"/>
          </w:tcPr>
          <w:p w14:paraId="3666CF09" w14:textId="764F1F3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66,800</w:t>
            </w:r>
          </w:p>
        </w:tc>
        <w:tc>
          <w:tcPr>
            <w:tcW w:w="1372" w:type="dxa"/>
            <w:vAlign w:val="center"/>
          </w:tcPr>
          <w:p w14:paraId="212152A1"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1</w:t>
            </w:r>
          </w:p>
        </w:tc>
        <w:tc>
          <w:tcPr>
            <w:tcW w:w="1469" w:type="dxa"/>
            <w:vAlign w:val="center"/>
          </w:tcPr>
          <w:p w14:paraId="166BB379"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1</w:t>
            </w:r>
          </w:p>
        </w:tc>
        <w:tc>
          <w:tcPr>
            <w:tcW w:w="1479" w:type="dxa"/>
            <w:vAlign w:val="center"/>
          </w:tcPr>
          <w:p w14:paraId="3CD0D949" w14:textId="77777777"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1.0</w:t>
            </w:r>
          </w:p>
        </w:tc>
        <w:tc>
          <w:tcPr>
            <w:tcW w:w="1260" w:type="dxa"/>
            <w:vAlign w:val="center"/>
          </w:tcPr>
          <w:p w14:paraId="332CA56E" w14:textId="26EC8ADA" w:rsidR="00401BD7"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66,800</w:t>
            </w:r>
          </w:p>
        </w:tc>
      </w:tr>
      <w:tr w:rsidR="00401BD7" w14:paraId="03F152FD" w14:textId="77777777" w:rsidTr="00401BD7">
        <w:trPr>
          <w:trHeight w:val="432"/>
        </w:trPr>
        <w:tc>
          <w:tcPr>
            <w:tcW w:w="1198" w:type="dxa"/>
            <w:vAlign w:val="center"/>
          </w:tcPr>
          <w:p w14:paraId="0B701941" w14:textId="77777777" w:rsidR="00401BD7" w:rsidRPr="00F45549"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Total</w:t>
            </w:r>
          </w:p>
        </w:tc>
        <w:tc>
          <w:tcPr>
            <w:tcW w:w="1527" w:type="dxa"/>
            <w:vAlign w:val="center"/>
          </w:tcPr>
          <w:p w14:paraId="668598D2" w14:textId="00E68E63" w:rsidR="00401BD7" w:rsidRPr="00E425FD"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66</w:t>
            </w:r>
            <w:r w:rsidRPr="00E425FD">
              <w:rPr>
                <w:rFonts w:ascii="Times New Roman" w:hAnsi="Times New Roman"/>
                <w:b/>
              </w:rPr>
              <w:t>,</w:t>
            </w:r>
            <w:r>
              <w:rPr>
                <w:rFonts w:ascii="Times New Roman" w:hAnsi="Times New Roman"/>
                <w:b/>
              </w:rPr>
              <w:t>8</w:t>
            </w:r>
            <w:r w:rsidRPr="00E425FD">
              <w:rPr>
                <w:rFonts w:ascii="Times New Roman" w:hAnsi="Times New Roman"/>
                <w:b/>
              </w:rPr>
              <w:t>00</w:t>
            </w:r>
          </w:p>
        </w:tc>
        <w:tc>
          <w:tcPr>
            <w:tcW w:w="1372" w:type="dxa"/>
            <w:vAlign w:val="center"/>
          </w:tcPr>
          <w:p w14:paraId="2E4491B2" w14:textId="77777777" w:rsidR="00401BD7" w:rsidRPr="00E425FD"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1</w:t>
            </w:r>
          </w:p>
        </w:tc>
        <w:tc>
          <w:tcPr>
            <w:tcW w:w="1469" w:type="dxa"/>
            <w:vAlign w:val="center"/>
          </w:tcPr>
          <w:p w14:paraId="1796389A" w14:textId="77777777" w:rsidR="00401BD7" w:rsidRPr="00E425FD"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1</w:t>
            </w:r>
          </w:p>
        </w:tc>
        <w:tc>
          <w:tcPr>
            <w:tcW w:w="1479" w:type="dxa"/>
            <w:vAlign w:val="center"/>
          </w:tcPr>
          <w:p w14:paraId="790624BD" w14:textId="77777777" w:rsidR="00401BD7" w:rsidRPr="00E425FD"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1.0</w:t>
            </w:r>
          </w:p>
        </w:tc>
        <w:tc>
          <w:tcPr>
            <w:tcW w:w="1260" w:type="dxa"/>
            <w:vAlign w:val="center"/>
          </w:tcPr>
          <w:p w14:paraId="7BBC5AB9" w14:textId="04B5045D" w:rsidR="00401BD7" w:rsidRPr="00E425FD"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66</w:t>
            </w:r>
            <w:r w:rsidRPr="00E425FD">
              <w:rPr>
                <w:rFonts w:ascii="Times New Roman" w:hAnsi="Times New Roman"/>
                <w:b/>
              </w:rPr>
              <w:t>,</w:t>
            </w:r>
            <w:r>
              <w:rPr>
                <w:rFonts w:ascii="Times New Roman" w:hAnsi="Times New Roman"/>
                <w:b/>
              </w:rPr>
              <w:t>8</w:t>
            </w:r>
            <w:r w:rsidRPr="00E425FD">
              <w:rPr>
                <w:rFonts w:ascii="Times New Roman" w:hAnsi="Times New Roman"/>
                <w:b/>
              </w:rPr>
              <w:t>00</w:t>
            </w:r>
          </w:p>
        </w:tc>
      </w:tr>
    </w:tbl>
    <w:p w14:paraId="7A1FF5A7" w14:textId="33C0767E" w:rsidR="004E0ACC" w:rsidRDefault="004E0AC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F199D7E" w14:textId="669E0D8C" w:rsidR="00401BD7" w:rsidRPr="00596CAD" w:rsidRDefault="00401BD7" w:rsidP="00401B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596CAD">
        <w:rPr>
          <w:rFonts w:ascii="Times New Roman" w:hAnsi="Times New Roman"/>
        </w:rPr>
        <w:t xml:space="preserve">Approximately </w:t>
      </w:r>
      <w:r>
        <w:rPr>
          <w:rFonts w:ascii="Times New Roman" w:hAnsi="Times New Roman"/>
        </w:rPr>
        <w:t>31</w:t>
      </w:r>
      <w:r w:rsidRPr="00F45549">
        <w:rPr>
          <w:rFonts w:ascii="Times New Roman" w:hAnsi="Times New Roman"/>
        </w:rPr>
        <w:t>,</w:t>
      </w:r>
      <w:r>
        <w:rPr>
          <w:rFonts w:ascii="Times New Roman" w:hAnsi="Times New Roman"/>
        </w:rPr>
        <w:t>8</w:t>
      </w:r>
      <w:r w:rsidRPr="00F45549">
        <w:rPr>
          <w:rFonts w:ascii="Times New Roman" w:hAnsi="Times New Roman"/>
        </w:rPr>
        <w:t>00</w:t>
      </w:r>
      <w:r w:rsidRPr="00596CAD">
        <w:rPr>
          <w:rFonts w:ascii="Times New Roman" w:hAnsi="Times New Roman"/>
        </w:rPr>
        <w:t xml:space="preserve"> households are expected to </w:t>
      </w:r>
      <w:r w:rsidRPr="00DE3DEF">
        <w:rPr>
          <w:rFonts w:ascii="Times New Roman" w:hAnsi="Times New Roman"/>
        </w:rPr>
        <w:t xml:space="preserve">have completed interviews for the initial wave of the </w:t>
      </w:r>
      <w:r>
        <w:rPr>
          <w:rFonts w:ascii="Times New Roman" w:hAnsi="Times New Roman"/>
        </w:rPr>
        <w:t xml:space="preserve">2018 SIPP Panel. </w:t>
      </w:r>
      <w:r w:rsidRPr="00596CAD">
        <w:rPr>
          <w:rFonts w:ascii="Times New Roman" w:hAnsi="Times New Roman"/>
        </w:rPr>
        <w:t xml:space="preserve">We estimate that each household contains 2.1 people aged 15 and above, yielding approximately </w:t>
      </w:r>
      <w:r w:rsidR="009C7D3C">
        <w:rPr>
          <w:rFonts w:ascii="Times New Roman" w:hAnsi="Times New Roman"/>
        </w:rPr>
        <w:t>66</w:t>
      </w:r>
      <w:r>
        <w:rPr>
          <w:rFonts w:ascii="Times New Roman" w:hAnsi="Times New Roman"/>
        </w:rPr>
        <w:t>,</w:t>
      </w:r>
      <w:r w:rsidR="009C7D3C">
        <w:rPr>
          <w:rFonts w:ascii="Times New Roman" w:hAnsi="Times New Roman"/>
        </w:rPr>
        <w:t>8</w:t>
      </w:r>
      <w:r>
        <w:rPr>
          <w:rFonts w:ascii="Times New Roman" w:hAnsi="Times New Roman"/>
        </w:rPr>
        <w:t>00</w:t>
      </w:r>
      <w:r w:rsidRPr="00596CAD">
        <w:rPr>
          <w:rFonts w:ascii="Times New Roman" w:hAnsi="Times New Roman"/>
        </w:rPr>
        <w:t xml:space="preserve"> person-level inte</w:t>
      </w:r>
      <w:r>
        <w:rPr>
          <w:rFonts w:ascii="Times New Roman" w:hAnsi="Times New Roman"/>
        </w:rPr>
        <w:t xml:space="preserve">rviews per wave in this panel. </w:t>
      </w:r>
      <w:r w:rsidRPr="00847160">
        <w:rPr>
          <w:rFonts w:ascii="Times New Roman" w:hAnsi="Times New Roman"/>
        </w:rPr>
        <w:t>We estimate that</w:t>
      </w:r>
      <w:r>
        <w:rPr>
          <w:rFonts w:ascii="Times New Roman" w:hAnsi="Times New Roman"/>
        </w:rPr>
        <w:t xml:space="preserve"> </w:t>
      </w:r>
      <w:r w:rsidRPr="00847160">
        <w:rPr>
          <w:rFonts w:ascii="Times New Roman" w:hAnsi="Times New Roman"/>
        </w:rPr>
        <w:t>completing the</w:t>
      </w:r>
      <w:r>
        <w:rPr>
          <w:rFonts w:ascii="Times New Roman" w:hAnsi="Times New Roman"/>
        </w:rPr>
        <w:t xml:space="preserve"> SIPP interview</w:t>
      </w:r>
      <w:r w:rsidRPr="00596CAD">
        <w:rPr>
          <w:rFonts w:ascii="Times New Roman" w:hAnsi="Times New Roman"/>
        </w:rPr>
        <w:t xml:space="preserve"> take approximately 60 minutes per adult on average, consequently the total annual burden for 201</w:t>
      </w:r>
      <w:r>
        <w:rPr>
          <w:rFonts w:ascii="Times New Roman" w:hAnsi="Times New Roman"/>
        </w:rPr>
        <w:t xml:space="preserve">8 </w:t>
      </w:r>
      <w:r w:rsidRPr="00596CAD">
        <w:rPr>
          <w:rFonts w:ascii="Times New Roman" w:hAnsi="Times New Roman"/>
        </w:rPr>
        <w:t xml:space="preserve">SIPP interviews will be </w:t>
      </w:r>
      <w:r w:rsidR="009C7D3C">
        <w:rPr>
          <w:rFonts w:ascii="Times New Roman" w:hAnsi="Times New Roman"/>
        </w:rPr>
        <w:t>66</w:t>
      </w:r>
      <w:r>
        <w:rPr>
          <w:rFonts w:ascii="Times New Roman" w:hAnsi="Times New Roman"/>
        </w:rPr>
        <w:t>,</w:t>
      </w:r>
      <w:r w:rsidR="009C7D3C">
        <w:rPr>
          <w:rFonts w:ascii="Times New Roman" w:hAnsi="Times New Roman"/>
        </w:rPr>
        <w:t>8</w:t>
      </w:r>
      <w:r>
        <w:rPr>
          <w:rFonts w:ascii="Times New Roman" w:hAnsi="Times New Roman"/>
        </w:rPr>
        <w:t>00</w:t>
      </w:r>
      <w:r w:rsidRPr="00596CAD">
        <w:rPr>
          <w:rFonts w:ascii="Times New Roman" w:hAnsi="Times New Roman"/>
        </w:rPr>
        <w:t xml:space="preserve"> hours per year in FY 201</w:t>
      </w:r>
      <w:r>
        <w:rPr>
          <w:rFonts w:ascii="Times New Roman" w:hAnsi="Times New Roman"/>
        </w:rPr>
        <w:t>8</w:t>
      </w:r>
      <w:r w:rsidRPr="00596CAD">
        <w:rPr>
          <w:rFonts w:ascii="Times New Roman" w:hAnsi="Times New Roman"/>
        </w:rPr>
        <w:t>, 201</w:t>
      </w:r>
      <w:r>
        <w:rPr>
          <w:rFonts w:ascii="Times New Roman" w:hAnsi="Times New Roman"/>
        </w:rPr>
        <w:t>9</w:t>
      </w:r>
      <w:r w:rsidRPr="00596CAD">
        <w:rPr>
          <w:rFonts w:ascii="Times New Roman" w:hAnsi="Times New Roman"/>
        </w:rPr>
        <w:t>, 20</w:t>
      </w:r>
      <w:r>
        <w:rPr>
          <w:rFonts w:ascii="Times New Roman" w:hAnsi="Times New Roman"/>
        </w:rPr>
        <w:t>20</w:t>
      </w:r>
      <w:r w:rsidRPr="00596CAD">
        <w:rPr>
          <w:rFonts w:ascii="Times New Roman" w:hAnsi="Times New Roman"/>
        </w:rPr>
        <w:t>, and 20</w:t>
      </w:r>
      <w:r>
        <w:rPr>
          <w:rFonts w:ascii="Times New Roman" w:hAnsi="Times New Roman"/>
        </w:rPr>
        <w:t>21</w:t>
      </w:r>
      <w:r w:rsidRPr="00596CAD">
        <w:rPr>
          <w:rFonts w:ascii="Times New Roman" w:hAnsi="Times New Roman"/>
        </w:rPr>
        <w:t>.</w:t>
      </w:r>
    </w:p>
    <w:p w14:paraId="798E84C7" w14:textId="7499612E" w:rsidR="001F10A1" w:rsidRDefault="001F10A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45343908" w14:textId="2D9B9F41" w:rsidR="004E0ACC" w:rsidRPr="00D63FF8" w:rsidRDefault="004E0ACC"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2"/>
          <w:szCs w:val="22"/>
        </w:rPr>
      </w:pPr>
      <w:r>
        <w:rPr>
          <w:rFonts w:ascii="Times New Roman" w:hAnsi="Times New Roman"/>
          <w:b/>
          <w:sz w:val="22"/>
          <w:szCs w:val="22"/>
        </w:rPr>
        <w:t xml:space="preserve">12b. </w:t>
      </w:r>
      <w:r w:rsidR="00A81B9E" w:rsidRPr="00D63FF8">
        <w:rPr>
          <w:rFonts w:ascii="Times New Roman" w:hAnsi="Times New Roman"/>
          <w:b/>
          <w:sz w:val="22"/>
          <w:szCs w:val="22"/>
        </w:rPr>
        <w:t>2018 SIPP PANEL</w:t>
      </w:r>
      <w:r w:rsidR="00A81B9E" w:rsidRPr="00A81B9E">
        <w:rPr>
          <w:rFonts w:ascii="Times New Roman" w:hAnsi="Times New Roman"/>
          <w:b/>
          <w:sz w:val="22"/>
          <w:szCs w:val="22"/>
        </w:rPr>
        <w:t xml:space="preserve"> </w:t>
      </w:r>
      <w:r>
        <w:rPr>
          <w:rFonts w:ascii="Times New Roman" w:hAnsi="Times New Roman"/>
          <w:b/>
          <w:sz w:val="22"/>
          <w:szCs w:val="22"/>
        </w:rPr>
        <w:t xml:space="preserve">ESTIMATED </w:t>
      </w:r>
      <w:r w:rsidR="00A81B9E">
        <w:rPr>
          <w:rFonts w:ascii="Times New Roman" w:hAnsi="Times New Roman"/>
          <w:b/>
          <w:sz w:val="22"/>
          <w:szCs w:val="22"/>
        </w:rPr>
        <w:t xml:space="preserve">ANNUALIZED </w:t>
      </w:r>
      <w:r w:rsidRPr="00D63FF8">
        <w:rPr>
          <w:rFonts w:ascii="Times New Roman" w:hAnsi="Times New Roman"/>
          <w:b/>
          <w:bCs/>
          <w:sz w:val="22"/>
          <w:szCs w:val="22"/>
        </w:rPr>
        <w:t xml:space="preserve">BURDEN </w:t>
      </w:r>
      <w:r>
        <w:rPr>
          <w:rFonts w:ascii="Times New Roman" w:hAnsi="Times New Roman"/>
          <w:b/>
          <w:bCs/>
          <w:sz w:val="22"/>
          <w:szCs w:val="22"/>
        </w:rPr>
        <w:t>COSTS</w:t>
      </w:r>
    </w:p>
    <w:p w14:paraId="0F85F118" w14:textId="7EA34BE6" w:rsidR="004E0ACC" w:rsidRDefault="004E0AC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7CCE5B9F" w14:textId="77777777" w:rsidR="009C7D3C" w:rsidRPr="00401BD7" w:rsidRDefault="009C7D3C" w:rsidP="009C7D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sz w:val="22"/>
          <w:szCs w:val="22"/>
        </w:rPr>
      </w:pPr>
      <w:r w:rsidRPr="00401BD7">
        <w:rPr>
          <w:rFonts w:ascii="Times New Roman" w:hAnsi="Times New Roman"/>
          <w:b/>
          <w:sz w:val="22"/>
          <w:szCs w:val="22"/>
        </w:rPr>
        <w:t>Table 1: For a 35,000 Household Sample</w:t>
      </w:r>
    </w:p>
    <w:tbl>
      <w:tblPr>
        <w:tblStyle w:val="TableGrid"/>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3"/>
        <w:gridCol w:w="1527"/>
        <w:gridCol w:w="1710"/>
        <w:gridCol w:w="2070"/>
      </w:tblGrid>
      <w:tr w:rsidR="004E0ACC" w14:paraId="5CBD44F1" w14:textId="77777777" w:rsidTr="009C7D3C">
        <w:tc>
          <w:tcPr>
            <w:tcW w:w="1443" w:type="dxa"/>
            <w:shd w:val="clear" w:color="auto" w:fill="F2F2F2" w:themeFill="background1" w:themeFillShade="F2"/>
            <w:vAlign w:val="bottom"/>
          </w:tcPr>
          <w:p w14:paraId="5B50AACE" w14:textId="77777777" w:rsidR="004E0ACC" w:rsidRDefault="004E0ACC"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14:paraId="40B57F19" w14:textId="6AE80BC5" w:rsidR="004E0ACC" w:rsidRDefault="004E0ACC"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Total Burden Hours</w:t>
            </w:r>
          </w:p>
        </w:tc>
        <w:tc>
          <w:tcPr>
            <w:tcW w:w="1710" w:type="dxa"/>
            <w:shd w:val="clear" w:color="auto" w:fill="F2F2F2" w:themeFill="background1" w:themeFillShade="F2"/>
            <w:vAlign w:val="bottom"/>
          </w:tcPr>
          <w:p w14:paraId="0DD9A8E5" w14:textId="18946125" w:rsidR="004E0ACC" w:rsidRDefault="00A81B9E" w:rsidP="00F86AC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Hourly Wage Rate</w:t>
            </w:r>
            <w:r w:rsidRPr="00E425FD">
              <w:rPr>
                <w:rFonts w:ascii="Times New Roman" w:hAnsi="Times New Roman"/>
                <w:vertAlign w:val="superscript"/>
              </w:rPr>
              <w:t>1</w:t>
            </w:r>
          </w:p>
        </w:tc>
        <w:tc>
          <w:tcPr>
            <w:tcW w:w="2070" w:type="dxa"/>
            <w:shd w:val="clear" w:color="auto" w:fill="F2F2F2" w:themeFill="background1" w:themeFillShade="F2"/>
            <w:vAlign w:val="bottom"/>
          </w:tcPr>
          <w:p w14:paraId="7230FF41" w14:textId="776F3F5C" w:rsidR="004E0ACC" w:rsidRDefault="00A81B9E"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 xml:space="preserve">Total </w:t>
            </w:r>
            <w:r w:rsidR="004E0ACC">
              <w:rPr>
                <w:rFonts w:ascii="Times New Roman" w:hAnsi="Times New Roman"/>
              </w:rPr>
              <w:t>Respondent</w:t>
            </w:r>
            <w:r>
              <w:rPr>
                <w:rFonts w:ascii="Times New Roman" w:hAnsi="Times New Roman"/>
              </w:rPr>
              <w:t xml:space="preserve"> Costs</w:t>
            </w:r>
          </w:p>
        </w:tc>
      </w:tr>
      <w:tr w:rsidR="004E0ACC" w14:paraId="7CDDB0AA" w14:textId="77777777" w:rsidTr="009C7D3C">
        <w:trPr>
          <w:trHeight w:val="432"/>
        </w:trPr>
        <w:tc>
          <w:tcPr>
            <w:tcW w:w="1443" w:type="dxa"/>
            <w:vAlign w:val="center"/>
          </w:tcPr>
          <w:p w14:paraId="640AB3C8" w14:textId="6959A68E" w:rsidR="004E0ACC" w:rsidRDefault="002073FE"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Respondents</w:t>
            </w:r>
          </w:p>
        </w:tc>
        <w:tc>
          <w:tcPr>
            <w:tcW w:w="1527" w:type="dxa"/>
            <w:vAlign w:val="center"/>
          </w:tcPr>
          <w:p w14:paraId="099FDE85" w14:textId="77777777" w:rsidR="004E0ACC" w:rsidRDefault="004E0ACC"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42,000</w:t>
            </w:r>
          </w:p>
        </w:tc>
        <w:tc>
          <w:tcPr>
            <w:tcW w:w="1710" w:type="dxa"/>
            <w:vAlign w:val="center"/>
          </w:tcPr>
          <w:p w14:paraId="55284625" w14:textId="319DC8E4" w:rsidR="004E0ACC" w:rsidRDefault="00A81B9E" w:rsidP="000F7B4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w:t>
            </w:r>
            <w:r w:rsidR="00E425FD">
              <w:rPr>
                <w:rFonts w:ascii="Times New Roman" w:hAnsi="Times New Roman"/>
              </w:rPr>
              <w:t>2</w:t>
            </w:r>
            <w:r w:rsidR="000F7B44">
              <w:rPr>
                <w:rFonts w:ascii="Times New Roman" w:hAnsi="Times New Roman"/>
              </w:rPr>
              <w:t>6.25</w:t>
            </w:r>
          </w:p>
        </w:tc>
        <w:tc>
          <w:tcPr>
            <w:tcW w:w="2070" w:type="dxa"/>
            <w:vAlign w:val="center"/>
          </w:tcPr>
          <w:p w14:paraId="0517CB44" w14:textId="7718CFA9" w:rsidR="004E0ACC" w:rsidRDefault="00A81B9E" w:rsidP="00F86AC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w:t>
            </w:r>
            <w:r w:rsidR="00E425FD">
              <w:rPr>
                <w:rFonts w:ascii="Times New Roman" w:hAnsi="Times New Roman"/>
              </w:rPr>
              <w:t>1</w:t>
            </w:r>
            <w:r w:rsidR="00F86ACF">
              <w:rPr>
                <w:rFonts w:ascii="Times New Roman" w:hAnsi="Times New Roman"/>
              </w:rPr>
              <w:t>,102,500</w:t>
            </w:r>
          </w:p>
        </w:tc>
      </w:tr>
      <w:tr w:rsidR="004E0ACC" w14:paraId="40257A28" w14:textId="77777777" w:rsidTr="009C7D3C">
        <w:trPr>
          <w:trHeight w:val="432"/>
        </w:trPr>
        <w:tc>
          <w:tcPr>
            <w:tcW w:w="1443" w:type="dxa"/>
            <w:vAlign w:val="center"/>
          </w:tcPr>
          <w:p w14:paraId="5FCF561A" w14:textId="19FCAC46" w:rsidR="004E0ACC" w:rsidRPr="00F45549" w:rsidRDefault="004E0ACC" w:rsidP="00A81B9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F45549">
              <w:rPr>
                <w:rFonts w:ascii="Times New Roman" w:hAnsi="Times New Roman"/>
                <w:b/>
              </w:rPr>
              <w:t>Total</w:t>
            </w:r>
          </w:p>
        </w:tc>
        <w:tc>
          <w:tcPr>
            <w:tcW w:w="1527" w:type="dxa"/>
            <w:vAlign w:val="center"/>
          </w:tcPr>
          <w:p w14:paraId="30271676" w14:textId="77777777" w:rsidR="004E0ACC" w:rsidRPr="00E425FD" w:rsidRDefault="004E0ACC"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42,000</w:t>
            </w:r>
          </w:p>
        </w:tc>
        <w:tc>
          <w:tcPr>
            <w:tcW w:w="1710" w:type="dxa"/>
            <w:vAlign w:val="center"/>
          </w:tcPr>
          <w:p w14:paraId="66957FBC" w14:textId="4FC03DE8" w:rsidR="004E0ACC" w:rsidRPr="00E425FD" w:rsidRDefault="00A81B9E" w:rsidP="000F7B4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w:t>
            </w:r>
            <w:r w:rsidR="000F7B44">
              <w:rPr>
                <w:rFonts w:ascii="Times New Roman" w:hAnsi="Times New Roman"/>
                <w:b/>
              </w:rPr>
              <w:t>26.25</w:t>
            </w:r>
          </w:p>
        </w:tc>
        <w:tc>
          <w:tcPr>
            <w:tcW w:w="2070" w:type="dxa"/>
            <w:vAlign w:val="center"/>
          </w:tcPr>
          <w:p w14:paraId="10524B75" w14:textId="6C1EB5ED" w:rsidR="004E0ACC" w:rsidRPr="00E425FD" w:rsidRDefault="00F86ACF" w:rsidP="004E0A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F86ACF">
              <w:rPr>
                <w:rFonts w:ascii="Times New Roman" w:hAnsi="Times New Roman"/>
                <w:b/>
              </w:rPr>
              <w:t>$1,102,500</w:t>
            </w:r>
          </w:p>
        </w:tc>
      </w:tr>
    </w:tbl>
    <w:p w14:paraId="7449D443" w14:textId="4970BAC5" w:rsidR="0044551F" w:rsidRDefault="0044551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3C866421" w14:textId="2EC704D0" w:rsidR="009C7D3C" w:rsidRPr="00401BD7" w:rsidRDefault="009C7D3C" w:rsidP="009C7D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sz w:val="22"/>
          <w:szCs w:val="22"/>
        </w:rPr>
      </w:pPr>
      <w:r w:rsidRPr="00401BD7">
        <w:rPr>
          <w:rFonts w:ascii="Times New Roman" w:hAnsi="Times New Roman"/>
          <w:b/>
          <w:sz w:val="22"/>
          <w:szCs w:val="22"/>
        </w:rPr>
        <w:t xml:space="preserve">Table </w:t>
      </w:r>
      <w:r>
        <w:rPr>
          <w:rFonts w:ascii="Times New Roman" w:hAnsi="Times New Roman"/>
          <w:b/>
          <w:sz w:val="22"/>
          <w:szCs w:val="22"/>
        </w:rPr>
        <w:t>2</w:t>
      </w:r>
      <w:r w:rsidRPr="00401BD7">
        <w:rPr>
          <w:rFonts w:ascii="Times New Roman" w:hAnsi="Times New Roman"/>
          <w:b/>
          <w:sz w:val="22"/>
          <w:szCs w:val="22"/>
        </w:rPr>
        <w:t xml:space="preserve">: For a </w:t>
      </w:r>
      <w:r>
        <w:rPr>
          <w:rFonts w:ascii="Times New Roman" w:hAnsi="Times New Roman"/>
          <w:b/>
          <w:sz w:val="22"/>
          <w:szCs w:val="22"/>
        </w:rPr>
        <w:t>53</w:t>
      </w:r>
      <w:r w:rsidRPr="00401BD7">
        <w:rPr>
          <w:rFonts w:ascii="Times New Roman" w:hAnsi="Times New Roman"/>
          <w:b/>
          <w:sz w:val="22"/>
          <w:szCs w:val="22"/>
        </w:rPr>
        <w:t>,000 Household Sample</w:t>
      </w:r>
    </w:p>
    <w:tbl>
      <w:tblPr>
        <w:tblStyle w:val="TableGrid"/>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3"/>
        <w:gridCol w:w="1527"/>
        <w:gridCol w:w="1710"/>
        <w:gridCol w:w="2070"/>
      </w:tblGrid>
      <w:tr w:rsidR="009C7D3C" w14:paraId="1D25F8CC" w14:textId="77777777" w:rsidTr="002071F5">
        <w:tc>
          <w:tcPr>
            <w:tcW w:w="1443" w:type="dxa"/>
            <w:shd w:val="clear" w:color="auto" w:fill="F2F2F2" w:themeFill="background1" w:themeFillShade="F2"/>
            <w:vAlign w:val="bottom"/>
          </w:tcPr>
          <w:p w14:paraId="0ABC1AD0" w14:textId="77777777" w:rsidR="009C7D3C"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14:paraId="6D5D425A" w14:textId="77777777" w:rsidR="009C7D3C"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Total Burden Hours</w:t>
            </w:r>
          </w:p>
        </w:tc>
        <w:tc>
          <w:tcPr>
            <w:tcW w:w="1710" w:type="dxa"/>
            <w:shd w:val="clear" w:color="auto" w:fill="F2F2F2" w:themeFill="background1" w:themeFillShade="F2"/>
            <w:vAlign w:val="bottom"/>
          </w:tcPr>
          <w:p w14:paraId="2DC757A7" w14:textId="77777777" w:rsidR="009C7D3C"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Hourly Wage Rate</w:t>
            </w:r>
            <w:r w:rsidRPr="00E425FD">
              <w:rPr>
                <w:rFonts w:ascii="Times New Roman" w:hAnsi="Times New Roman"/>
                <w:vertAlign w:val="superscript"/>
              </w:rPr>
              <w:t>1</w:t>
            </w:r>
          </w:p>
        </w:tc>
        <w:tc>
          <w:tcPr>
            <w:tcW w:w="2070" w:type="dxa"/>
            <w:shd w:val="clear" w:color="auto" w:fill="F2F2F2" w:themeFill="background1" w:themeFillShade="F2"/>
            <w:vAlign w:val="bottom"/>
          </w:tcPr>
          <w:p w14:paraId="537A7D4E" w14:textId="77777777" w:rsidR="009C7D3C"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Total Respondent Costs</w:t>
            </w:r>
          </w:p>
        </w:tc>
      </w:tr>
      <w:tr w:rsidR="009C7D3C" w14:paraId="239EBBA6" w14:textId="77777777" w:rsidTr="002071F5">
        <w:trPr>
          <w:trHeight w:val="432"/>
        </w:trPr>
        <w:tc>
          <w:tcPr>
            <w:tcW w:w="1443" w:type="dxa"/>
            <w:vAlign w:val="center"/>
          </w:tcPr>
          <w:p w14:paraId="54C66D52" w14:textId="77777777" w:rsidR="009C7D3C"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Respondents</w:t>
            </w:r>
          </w:p>
        </w:tc>
        <w:tc>
          <w:tcPr>
            <w:tcW w:w="1527" w:type="dxa"/>
            <w:vAlign w:val="center"/>
          </w:tcPr>
          <w:p w14:paraId="5B5CBA01" w14:textId="52FCA622" w:rsidR="009C7D3C" w:rsidRDefault="009C7D3C" w:rsidP="009C7D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66,800</w:t>
            </w:r>
          </w:p>
        </w:tc>
        <w:tc>
          <w:tcPr>
            <w:tcW w:w="1710" w:type="dxa"/>
            <w:vAlign w:val="center"/>
          </w:tcPr>
          <w:p w14:paraId="0F58A2B1" w14:textId="77777777" w:rsidR="009C7D3C"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$26.25</w:t>
            </w:r>
          </w:p>
        </w:tc>
        <w:tc>
          <w:tcPr>
            <w:tcW w:w="2070" w:type="dxa"/>
            <w:vAlign w:val="center"/>
          </w:tcPr>
          <w:p w14:paraId="56660A1C" w14:textId="4EB95A9B" w:rsidR="009C7D3C" w:rsidRDefault="009C7D3C" w:rsidP="009C7D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$1,753,500</w:t>
            </w:r>
          </w:p>
        </w:tc>
      </w:tr>
      <w:tr w:rsidR="009C7D3C" w14:paraId="60CAD2C1" w14:textId="77777777" w:rsidTr="002071F5">
        <w:trPr>
          <w:trHeight w:val="432"/>
        </w:trPr>
        <w:tc>
          <w:tcPr>
            <w:tcW w:w="1443" w:type="dxa"/>
            <w:vAlign w:val="center"/>
          </w:tcPr>
          <w:p w14:paraId="1B91A33A" w14:textId="77777777" w:rsidR="009C7D3C" w:rsidRPr="00F45549"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F45549">
              <w:rPr>
                <w:rFonts w:ascii="Times New Roman" w:hAnsi="Times New Roman"/>
                <w:b/>
              </w:rPr>
              <w:t>Total</w:t>
            </w:r>
          </w:p>
        </w:tc>
        <w:tc>
          <w:tcPr>
            <w:tcW w:w="1527" w:type="dxa"/>
            <w:vAlign w:val="center"/>
          </w:tcPr>
          <w:p w14:paraId="3D2FAC55" w14:textId="41F567AF" w:rsidR="009C7D3C" w:rsidRPr="00E425FD" w:rsidRDefault="009C7D3C" w:rsidP="009C7D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66</w:t>
            </w:r>
            <w:r w:rsidRPr="00E425FD">
              <w:rPr>
                <w:rFonts w:ascii="Times New Roman" w:hAnsi="Times New Roman"/>
                <w:b/>
              </w:rPr>
              <w:t>,</w:t>
            </w:r>
            <w:r>
              <w:rPr>
                <w:rFonts w:ascii="Times New Roman" w:hAnsi="Times New Roman"/>
                <w:b/>
              </w:rPr>
              <w:t>8</w:t>
            </w:r>
            <w:r w:rsidRPr="00E425FD">
              <w:rPr>
                <w:rFonts w:ascii="Times New Roman" w:hAnsi="Times New Roman"/>
                <w:b/>
              </w:rPr>
              <w:t>00</w:t>
            </w:r>
          </w:p>
        </w:tc>
        <w:tc>
          <w:tcPr>
            <w:tcW w:w="1710" w:type="dxa"/>
            <w:vAlign w:val="center"/>
          </w:tcPr>
          <w:p w14:paraId="68F2FE8F" w14:textId="77777777" w:rsidR="009C7D3C" w:rsidRPr="00E425FD" w:rsidRDefault="009C7D3C" w:rsidP="002071F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E425FD">
              <w:rPr>
                <w:rFonts w:ascii="Times New Roman" w:hAnsi="Times New Roman"/>
                <w:b/>
              </w:rPr>
              <w:t>$</w:t>
            </w:r>
            <w:r>
              <w:rPr>
                <w:rFonts w:ascii="Times New Roman" w:hAnsi="Times New Roman"/>
                <w:b/>
              </w:rPr>
              <w:t>26.25</w:t>
            </w:r>
          </w:p>
        </w:tc>
        <w:tc>
          <w:tcPr>
            <w:tcW w:w="2070" w:type="dxa"/>
            <w:vAlign w:val="center"/>
          </w:tcPr>
          <w:p w14:paraId="4D1CB14E" w14:textId="74ECD454" w:rsidR="009C7D3C" w:rsidRPr="00E425FD" w:rsidRDefault="009C7D3C" w:rsidP="009C7D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F86ACF">
              <w:rPr>
                <w:rFonts w:ascii="Times New Roman" w:hAnsi="Times New Roman"/>
                <w:b/>
              </w:rPr>
              <w:t>$1,</w:t>
            </w:r>
            <w:r>
              <w:rPr>
                <w:rFonts w:ascii="Times New Roman" w:hAnsi="Times New Roman"/>
                <w:b/>
              </w:rPr>
              <w:t>753</w:t>
            </w:r>
            <w:r w:rsidRPr="00F86ACF">
              <w:rPr>
                <w:rFonts w:ascii="Times New Roman" w:hAnsi="Times New Roman"/>
                <w:b/>
              </w:rPr>
              <w:t>,500</w:t>
            </w:r>
          </w:p>
        </w:tc>
      </w:tr>
    </w:tbl>
    <w:p w14:paraId="466F58B4" w14:textId="77777777" w:rsidR="009C7D3C" w:rsidRDefault="009C7D3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66DEE5D1" w14:textId="1515837F" w:rsidR="004E0ACC" w:rsidRPr="00F86ACF" w:rsidRDefault="00A81B9E" w:rsidP="003D39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sz w:val="22"/>
          <w:szCs w:val="22"/>
        </w:rPr>
      </w:pPr>
      <w:r w:rsidRPr="00F86ACF">
        <w:rPr>
          <w:rFonts w:ascii="Times New Roman" w:hAnsi="Times New Roman"/>
          <w:vertAlign w:val="superscript"/>
        </w:rPr>
        <w:t>1</w:t>
      </w:r>
      <w:r>
        <w:rPr>
          <w:rFonts w:ascii="Times New Roman" w:hAnsi="Times New Roman"/>
        </w:rPr>
        <w:t xml:space="preserve"> </w:t>
      </w:r>
      <w:r w:rsidRPr="003D3977">
        <w:rPr>
          <w:rFonts w:ascii="Times New Roman" w:hAnsi="Times New Roman"/>
          <w:sz w:val="22"/>
          <w:szCs w:val="22"/>
        </w:rPr>
        <w:t>For individuals, the wage rate is $</w:t>
      </w:r>
      <w:r w:rsidR="00F86ACF" w:rsidRPr="003D3977">
        <w:rPr>
          <w:rFonts w:ascii="Times New Roman" w:hAnsi="Times New Roman"/>
          <w:sz w:val="22"/>
          <w:szCs w:val="22"/>
        </w:rPr>
        <w:t>26.25</w:t>
      </w:r>
      <w:r w:rsidRPr="003D3977">
        <w:rPr>
          <w:rFonts w:ascii="Times New Roman" w:hAnsi="Times New Roman"/>
          <w:sz w:val="22"/>
          <w:szCs w:val="22"/>
        </w:rPr>
        <w:t xml:space="preserve"> per hour</w:t>
      </w:r>
      <w:r w:rsidR="00F86ACF" w:rsidRPr="003D3977">
        <w:rPr>
          <w:rFonts w:ascii="Times New Roman" w:hAnsi="Times New Roman"/>
          <w:sz w:val="22"/>
          <w:szCs w:val="22"/>
        </w:rPr>
        <w:t xml:space="preserve"> (for June 2017)</w:t>
      </w:r>
      <w:r w:rsidRPr="003D3977">
        <w:rPr>
          <w:rFonts w:ascii="Times New Roman" w:hAnsi="Times New Roman"/>
          <w:sz w:val="22"/>
          <w:szCs w:val="22"/>
        </w:rPr>
        <w:t xml:space="preserve">.  This is based on the average hourly earnings for </w:t>
      </w:r>
      <w:r w:rsidR="00F86ACF" w:rsidRPr="003D3977">
        <w:rPr>
          <w:rFonts w:ascii="Times New Roman" w:hAnsi="Times New Roman"/>
          <w:sz w:val="22"/>
          <w:szCs w:val="22"/>
        </w:rPr>
        <w:t xml:space="preserve">all employees on private nonfarm payrolls </w:t>
      </w:r>
      <w:r w:rsidRPr="003D3977">
        <w:rPr>
          <w:rFonts w:ascii="Times New Roman" w:hAnsi="Times New Roman"/>
          <w:sz w:val="22"/>
          <w:szCs w:val="22"/>
        </w:rPr>
        <w:t>as reported by the Bureau of Labor Statistics (</w:t>
      </w:r>
      <w:r w:rsidR="00F86ACF" w:rsidRPr="003D3977">
        <w:rPr>
          <w:rFonts w:ascii="Times New Roman" w:hAnsi="Times New Roman"/>
          <w:sz w:val="22"/>
          <w:szCs w:val="22"/>
        </w:rPr>
        <w:t>http://www.bls.gov/news.release</w:t>
      </w:r>
      <w:r w:rsidR="000B6BA1" w:rsidRPr="003D3977">
        <w:rPr>
          <w:rFonts w:ascii="Times New Roman" w:hAnsi="Times New Roman"/>
          <w:sz w:val="22"/>
          <w:szCs w:val="22"/>
        </w:rPr>
        <w:t>).</w:t>
      </w:r>
    </w:p>
    <w:p w14:paraId="5BB980A9" w14:textId="744BE5FA" w:rsidR="004E0ACC" w:rsidRDefault="004E0AC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1EC297FE" w14:textId="77777777" w:rsidR="00AD13B6" w:rsidRDefault="00AD13B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DD" w14:textId="77777777"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D63FF8">
        <w:rPr>
          <w:rFonts w:ascii="Times New Roman" w:hAnsi="Times New Roman"/>
          <w:b/>
        </w:rPr>
        <w:t>13.</w:t>
      </w:r>
      <w:r w:rsidRPr="00D63FF8">
        <w:rPr>
          <w:rFonts w:ascii="Times New Roman" w:hAnsi="Times New Roman"/>
          <w:b/>
        </w:rPr>
        <w:tab/>
        <w:t>Estimate of Cost Burden</w:t>
      </w:r>
    </w:p>
    <w:p w14:paraId="5EA852DE"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DF"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14:paraId="5EA852E0" w14:textId="53CA2D8E"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E2" w14:textId="2A67EBB2" w:rsidR="00FE0141" w:rsidRPr="00D63FF8" w:rsidRDefault="00FE0141" w:rsidP="00F4554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D63FF8">
        <w:rPr>
          <w:rFonts w:ascii="Times New Roman" w:hAnsi="Times New Roman"/>
          <w:b/>
        </w:rPr>
        <w:t>14.</w:t>
      </w:r>
      <w:r w:rsidRPr="00D63FF8">
        <w:rPr>
          <w:rFonts w:ascii="Times New Roman" w:hAnsi="Times New Roman"/>
          <w:b/>
        </w:rPr>
        <w:tab/>
        <w:t>Cost to Federal Government</w:t>
      </w:r>
    </w:p>
    <w:p w14:paraId="74C8256C" w14:textId="77777777" w:rsidR="00F45549" w:rsidRDefault="00F4554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6BCEC27" w14:textId="2CA42F9E" w:rsidR="003A4EB2" w:rsidRPr="008D380A" w:rsidRDefault="00FE0141" w:rsidP="008D38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w:t>
      </w:r>
      <w:r w:rsidR="00AD13B6" w:rsidRPr="008D380A">
        <w:rPr>
          <w:rFonts w:ascii="Times New Roman" w:hAnsi="Times New Roman"/>
        </w:rPr>
        <w:t>data collection</w:t>
      </w:r>
      <w:r>
        <w:rPr>
          <w:rFonts w:ascii="Times New Roman" w:hAnsi="Times New Roman"/>
        </w:rPr>
        <w:t xml:space="preserve"> costs of th</w:t>
      </w:r>
      <w:r w:rsidR="00CD61F5">
        <w:rPr>
          <w:rFonts w:ascii="Times New Roman" w:hAnsi="Times New Roman"/>
        </w:rPr>
        <w:t>e 201</w:t>
      </w:r>
      <w:r w:rsidR="00585592">
        <w:rPr>
          <w:rFonts w:ascii="Times New Roman" w:hAnsi="Times New Roman"/>
        </w:rPr>
        <w:t>8</w:t>
      </w:r>
      <w:r w:rsidR="00CD61F5">
        <w:rPr>
          <w:rFonts w:ascii="Times New Roman" w:hAnsi="Times New Roman"/>
        </w:rPr>
        <w:t xml:space="preserve"> SIPP </w:t>
      </w:r>
      <w:r w:rsidR="00AD13B6">
        <w:rPr>
          <w:rFonts w:ascii="Times New Roman" w:hAnsi="Times New Roman"/>
        </w:rPr>
        <w:t>P</w:t>
      </w:r>
      <w:r w:rsidR="00CD61F5">
        <w:rPr>
          <w:rFonts w:ascii="Times New Roman" w:hAnsi="Times New Roman"/>
        </w:rPr>
        <w:t xml:space="preserve">anel </w:t>
      </w:r>
      <w:r>
        <w:rPr>
          <w:rFonts w:ascii="Times New Roman" w:hAnsi="Times New Roman"/>
        </w:rPr>
        <w:t xml:space="preserve">are approximately </w:t>
      </w:r>
      <w:r w:rsidRPr="00070DDF">
        <w:rPr>
          <w:rFonts w:ascii="Times New Roman" w:hAnsi="Times New Roman"/>
        </w:rPr>
        <w:t>$</w:t>
      </w:r>
      <w:r w:rsidR="00890BE0">
        <w:rPr>
          <w:rFonts w:ascii="Times New Roman" w:hAnsi="Times New Roman"/>
        </w:rPr>
        <w:t>18,000,000</w:t>
      </w:r>
      <w:r w:rsidR="00890BE0" w:rsidRPr="002538A1">
        <w:rPr>
          <w:rFonts w:ascii="Times New Roman" w:hAnsi="Times New Roman"/>
        </w:rPr>
        <w:t xml:space="preserve"> </w:t>
      </w:r>
      <w:r w:rsidR="002071F5">
        <w:rPr>
          <w:rFonts w:ascii="Times New Roman" w:hAnsi="Times New Roman"/>
        </w:rPr>
        <w:t xml:space="preserve">for 35,000 households </w:t>
      </w:r>
      <w:r w:rsidR="00246228" w:rsidRPr="002538A1">
        <w:rPr>
          <w:rFonts w:ascii="Times New Roman" w:hAnsi="Times New Roman"/>
        </w:rPr>
        <w:t xml:space="preserve">($510 per 7,000 cases * 5 months) </w:t>
      </w:r>
      <w:r w:rsidR="002071F5">
        <w:rPr>
          <w:rFonts w:ascii="Times New Roman" w:hAnsi="Times New Roman"/>
        </w:rPr>
        <w:t xml:space="preserve">or $27,000,000 for 53,000 households </w:t>
      </w:r>
      <w:r w:rsidR="002071F5" w:rsidRPr="002538A1">
        <w:rPr>
          <w:rFonts w:ascii="Times New Roman" w:hAnsi="Times New Roman"/>
        </w:rPr>
        <w:t xml:space="preserve">($510 per </w:t>
      </w:r>
      <w:r w:rsidR="002071F5">
        <w:rPr>
          <w:rFonts w:ascii="Times New Roman" w:hAnsi="Times New Roman"/>
        </w:rPr>
        <w:t>10</w:t>
      </w:r>
      <w:r w:rsidR="002071F5" w:rsidRPr="002538A1">
        <w:rPr>
          <w:rFonts w:ascii="Times New Roman" w:hAnsi="Times New Roman"/>
        </w:rPr>
        <w:t>,</w:t>
      </w:r>
      <w:r w:rsidR="002071F5">
        <w:rPr>
          <w:rFonts w:ascii="Times New Roman" w:hAnsi="Times New Roman"/>
        </w:rPr>
        <w:t>6</w:t>
      </w:r>
      <w:r w:rsidR="002071F5" w:rsidRPr="002538A1">
        <w:rPr>
          <w:rFonts w:ascii="Times New Roman" w:hAnsi="Times New Roman"/>
        </w:rPr>
        <w:t xml:space="preserve">00 cases * 5 months) </w:t>
      </w:r>
      <w:r>
        <w:rPr>
          <w:rFonts w:ascii="Times New Roman" w:hAnsi="Times New Roman"/>
        </w:rPr>
        <w:t>in</w:t>
      </w:r>
      <w:r w:rsidR="00CD61F5">
        <w:rPr>
          <w:rFonts w:ascii="Times New Roman" w:hAnsi="Times New Roman"/>
        </w:rPr>
        <w:t xml:space="preserve"> each year from </w:t>
      </w:r>
      <w:r>
        <w:rPr>
          <w:rFonts w:ascii="Times New Roman" w:hAnsi="Times New Roman"/>
        </w:rPr>
        <w:t>FY 201</w:t>
      </w:r>
      <w:r w:rsidR="00585592">
        <w:rPr>
          <w:rFonts w:ascii="Times New Roman" w:hAnsi="Times New Roman"/>
        </w:rPr>
        <w:t>8</w:t>
      </w:r>
      <w:r w:rsidR="000E5D17">
        <w:rPr>
          <w:rFonts w:ascii="Times New Roman" w:hAnsi="Times New Roman"/>
        </w:rPr>
        <w:t>-20</w:t>
      </w:r>
      <w:r w:rsidR="00585592">
        <w:rPr>
          <w:rFonts w:ascii="Times New Roman" w:hAnsi="Times New Roman"/>
        </w:rPr>
        <w:t>21</w:t>
      </w:r>
      <w:r w:rsidR="003D414C">
        <w:rPr>
          <w:rFonts w:ascii="Times New Roman" w:hAnsi="Times New Roman"/>
        </w:rPr>
        <w:t xml:space="preserve"> </w:t>
      </w:r>
      <w:r w:rsidR="00890BE0" w:rsidRPr="00890BE0">
        <w:rPr>
          <w:rFonts w:ascii="Times New Roman" w:hAnsi="Times New Roman"/>
        </w:rPr>
        <w:t>(assuming we interview all 5 months in a wave). That amount is included in the estimate of total costs to the federal government of the Census Bureau's current programs supplied to the OMB.</w:t>
      </w:r>
      <w:r w:rsidR="008D380A">
        <w:rPr>
          <w:rFonts w:ascii="Times New Roman" w:hAnsi="Times New Roman"/>
        </w:rPr>
        <w:t xml:space="preserve"> </w:t>
      </w:r>
      <w:r w:rsidR="008D380A" w:rsidRPr="008D380A">
        <w:rPr>
          <w:rFonts w:ascii="Times New Roman" w:hAnsi="Times New Roman"/>
        </w:rPr>
        <w:t>Items included in the cost of data collection are: instrument review, printing of materials, hiring and training for field representatives, data collection, interview monitoring, respondent engagement, initial data review, overhead, and support staff for the Field division.</w:t>
      </w:r>
    </w:p>
    <w:p w14:paraId="5F28AEEF" w14:textId="6607BEBB" w:rsidR="00585592" w:rsidRDefault="00585592" w:rsidP="00F4554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E6" w14:textId="7CBFA4F8"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15.</w:t>
      </w:r>
      <w:r w:rsidRPr="00D63FF8">
        <w:rPr>
          <w:rFonts w:ascii="Times New Roman" w:hAnsi="Times New Roman"/>
          <w:b/>
        </w:rPr>
        <w:tab/>
        <w:t>Reason for Change in Burden</w:t>
      </w:r>
    </w:p>
    <w:p w14:paraId="5EA852E7"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E8" w14:textId="6B31EB62" w:rsidR="000531E5" w:rsidRDefault="000E5D1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585592">
        <w:rPr>
          <w:rFonts w:ascii="Times New Roman" w:hAnsi="Times New Roman"/>
        </w:rPr>
        <w:t>8</w:t>
      </w:r>
      <w:r>
        <w:rPr>
          <w:rFonts w:ascii="Times New Roman" w:hAnsi="Times New Roman"/>
        </w:rPr>
        <w:t xml:space="preserve"> SIPP Panel is</w:t>
      </w:r>
      <w:r w:rsidR="00C633C0">
        <w:rPr>
          <w:rFonts w:ascii="Times New Roman" w:hAnsi="Times New Roman"/>
        </w:rPr>
        <w:t xml:space="preserve"> being submitted as</w:t>
      </w:r>
      <w:r>
        <w:rPr>
          <w:rFonts w:ascii="Times New Roman" w:hAnsi="Times New Roman"/>
        </w:rPr>
        <w:t xml:space="preserve"> a </w:t>
      </w:r>
      <w:r w:rsidR="00C633C0">
        <w:rPr>
          <w:rFonts w:ascii="Times New Roman" w:hAnsi="Times New Roman"/>
        </w:rPr>
        <w:t>new collection</w:t>
      </w:r>
      <w:r w:rsidR="006F1161">
        <w:rPr>
          <w:rFonts w:ascii="Times New Roman" w:hAnsi="Times New Roman"/>
        </w:rPr>
        <w:t>;</w:t>
      </w:r>
      <w:r>
        <w:rPr>
          <w:rFonts w:ascii="Times New Roman" w:hAnsi="Times New Roman"/>
        </w:rPr>
        <w:t xml:space="preserve"> therefore</w:t>
      </w:r>
      <w:r w:rsidR="006F1161">
        <w:rPr>
          <w:rFonts w:ascii="Times New Roman" w:hAnsi="Times New Roman"/>
        </w:rPr>
        <w:t>,</w:t>
      </w:r>
      <w:r w:rsidR="00C633C0">
        <w:rPr>
          <w:rFonts w:ascii="Times New Roman" w:hAnsi="Times New Roman"/>
        </w:rPr>
        <w:t xml:space="preserve"> </w:t>
      </w:r>
      <w:r>
        <w:rPr>
          <w:rFonts w:ascii="Times New Roman" w:hAnsi="Times New Roman"/>
        </w:rPr>
        <w:t>change in burden will occur</w:t>
      </w:r>
      <w:r w:rsidR="005C7ACB">
        <w:rPr>
          <w:rFonts w:ascii="Times New Roman" w:hAnsi="Times New Roman"/>
        </w:rPr>
        <w:t>.</w:t>
      </w:r>
      <w:r w:rsidR="005A6985">
        <w:rPr>
          <w:rFonts w:ascii="Times New Roman" w:hAnsi="Times New Roman"/>
        </w:rPr>
        <w:t xml:space="preserve"> </w:t>
      </w:r>
    </w:p>
    <w:p w14:paraId="5EA852E9" w14:textId="40A725F1" w:rsidR="005C7ACB" w:rsidRDefault="005C7AC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EA" w14:textId="77777777"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D63FF8">
        <w:rPr>
          <w:rFonts w:ascii="Times New Roman" w:hAnsi="Times New Roman"/>
          <w:b/>
        </w:rPr>
        <w:t>16.</w:t>
      </w:r>
      <w:r w:rsidRPr="00D63FF8">
        <w:rPr>
          <w:rFonts w:ascii="Times New Roman" w:hAnsi="Times New Roman"/>
          <w:b/>
        </w:rPr>
        <w:tab/>
        <w:t>Project Schedule</w:t>
      </w:r>
    </w:p>
    <w:p w14:paraId="5EA852EB"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EC" w14:textId="5E9CE4F2"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585592">
        <w:rPr>
          <w:rFonts w:ascii="Times New Roman" w:hAnsi="Times New Roman"/>
        </w:rPr>
        <w:t>8</w:t>
      </w:r>
      <w:r>
        <w:rPr>
          <w:rFonts w:ascii="Times New Roman" w:hAnsi="Times New Roman"/>
        </w:rPr>
        <w:t xml:space="preserve"> SIPP</w:t>
      </w:r>
      <w:r w:rsidR="008C746A">
        <w:rPr>
          <w:rFonts w:ascii="Times New Roman" w:hAnsi="Times New Roman"/>
        </w:rPr>
        <w:t xml:space="preserve"> Panel</w:t>
      </w:r>
      <w:r w:rsidR="001F10A1">
        <w:rPr>
          <w:rFonts w:ascii="Times New Roman" w:hAnsi="Times New Roman"/>
        </w:rPr>
        <w:t xml:space="preserve"> Advance L</w:t>
      </w:r>
      <w:r>
        <w:rPr>
          <w:rFonts w:ascii="Times New Roman" w:hAnsi="Times New Roman"/>
        </w:rPr>
        <w:t>etters will be</w:t>
      </w:r>
      <w:r w:rsidR="000915CF">
        <w:rPr>
          <w:rFonts w:ascii="Times New Roman" w:hAnsi="Times New Roman"/>
        </w:rPr>
        <w:t xml:space="preserve"> mailed prior to interviewing. </w:t>
      </w:r>
      <w:r w:rsidR="008C746A" w:rsidRPr="008C746A">
        <w:rPr>
          <w:rFonts w:ascii="Times New Roman" w:hAnsi="Times New Roman"/>
        </w:rPr>
        <w:t>Wave 1 of the SIPP 201</w:t>
      </w:r>
      <w:r w:rsidR="00585592">
        <w:rPr>
          <w:rFonts w:ascii="Times New Roman" w:hAnsi="Times New Roman"/>
        </w:rPr>
        <w:t>8</w:t>
      </w:r>
      <w:r w:rsidR="008C746A" w:rsidRPr="008C746A">
        <w:rPr>
          <w:rFonts w:ascii="Times New Roman" w:hAnsi="Times New Roman"/>
        </w:rPr>
        <w:t xml:space="preserve"> Panel will be conducted</w:t>
      </w:r>
      <w:r w:rsidR="000915CF">
        <w:rPr>
          <w:rFonts w:ascii="Times New Roman" w:hAnsi="Times New Roman"/>
        </w:rPr>
        <w:t xml:space="preserve"> from February to </w:t>
      </w:r>
      <w:r w:rsidR="00246228">
        <w:rPr>
          <w:rFonts w:ascii="Times New Roman" w:hAnsi="Times New Roman"/>
        </w:rPr>
        <w:t xml:space="preserve">June </w:t>
      </w:r>
      <w:r w:rsidR="000915CF" w:rsidRPr="00094D75">
        <w:rPr>
          <w:rFonts w:ascii="Times New Roman" w:hAnsi="Times New Roman"/>
        </w:rPr>
        <w:t>of 201</w:t>
      </w:r>
      <w:r w:rsidR="00585592" w:rsidRPr="00094D75">
        <w:rPr>
          <w:rFonts w:ascii="Times New Roman" w:hAnsi="Times New Roman"/>
        </w:rPr>
        <w:t>8</w:t>
      </w:r>
      <w:r w:rsidR="000915CF">
        <w:rPr>
          <w:rFonts w:ascii="Times New Roman" w:hAnsi="Times New Roman"/>
        </w:rPr>
        <w:t xml:space="preserve">. </w:t>
      </w:r>
      <w:r w:rsidR="008C746A" w:rsidRPr="008C746A">
        <w:rPr>
          <w:rFonts w:ascii="Times New Roman" w:hAnsi="Times New Roman"/>
        </w:rPr>
        <w:t xml:space="preserve">Wave 2 is scheduled to be conducted </w:t>
      </w:r>
      <w:r w:rsidR="000915CF">
        <w:rPr>
          <w:rFonts w:ascii="Times New Roman" w:hAnsi="Times New Roman"/>
        </w:rPr>
        <w:t xml:space="preserve">from </w:t>
      </w:r>
      <w:r w:rsidR="002538A1">
        <w:rPr>
          <w:rFonts w:ascii="Times New Roman" w:hAnsi="Times New Roman"/>
        </w:rPr>
        <w:t xml:space="preserve">February to June </w:t>
      </w:r>
      <w:r w:rsidR="000915CF" w:rsidRPr="00585592">
        <w:rPr>
          <w:rFonts w:ascii="Times New Roman" w:hAnsi="Times New Roman"/>
        </w:rPr>
        <w:t>of 201</w:t>
      </w:r>
      <w:r w:rsidR="00585592" w:rsidRPr="00585592">
        <w:rPr>
          <w:rFonts w:ascii="Times New Roman" w:hAnsi="Times New Roman"/>
        </w:rPr>
        <w:t>9</w:t>
      </w:r>
      <w:r w:rsidR="000915CF">
        <w:rPr>
          <w:rFonts w:ascii="Times New Roman" w:hAnsi="Times New Roman"/>
        </w:rPr>
        <w:t xml:space="preserve">. </w:t>
      </w:r>
      <w:r w:rsidR="008C746A" w:rsidRPr="008C746A">
        <w:rPr>
          <w:rFonts w:ascii="Times New Roman" w:hAnsi="Times New Roman"/>
        </w:rPr>
        <w:t xml:space="preserve">Wave 3 is scheduled to be conducted </w:t>
      </w:r>
      <w:r w:rsidR="00585592">
        <w:rPr>
          <w:rFonts w:ascii="Times New Roman" w:hAnsi="Times New Roman"/>
        </w:rPr>
        <w:t xml:space="preserve">from </w:t>
      </w:r>
      <w:r w:rsidR="002538A1">
        <w:rPr>
          <w:rFonts w:ascii="Times New Roman" w:hAnsi="Times New Roman"/>
        </w:rPr>
        <w:t xml:space="preserve">February to June </w:t>
      </w:r>
      <w:r w:rsidR="00585592">
        <w:rPr>
          <w:rFonts w:ascii="Times New Roman" w:hAnsi="Times New Roman"/>
        </w:rPr>
        <w:t>of 2020</w:t>
      </w:r>
      <w:r w:rsidR="000915CF">
        <w:rPr>
          <w:rFonts w:ascii="Times New Roman" w:hAnsi="Times New Roman"/>
        </w:rPr>
        <w:t xml:space="preserve">. </w:t>
      </w:r>
      <w:r w:rsidR="008C746A" w:rsidRPr="008C746A">
        <w:rPr>
          <w:rFonts w:ascii="Times New Roman" w:hAnsi="Times New Roman"/>
        </w:rPr>
        <w:t xml:space="preserve">Wave 4 is scheduled to be conducted from </w:t>
      </w:r>
      <w:r w:rsidR="002538A1">
        <w:rPr>
          <w:rFonts w:ascii="Times New Roman" w:hAnsi="Times New Roman"/>
        </w:rPr>
        <w:t xml:space="preserve">February to June </w:t>
      </w:r>
      <w:r w:rsidR="008C746A" w:rsidRPr="008C746A">
        <w:rPr>
          <w:rFonts w:ascii="Times New Roman" w:hAnsi="Times New Roman"/>
        </w:rPr>
        <w:t>of 20</w:t>
      </w:r>
      <w:r w:rsidR="00585592">
        <w:rPr>
          <w:rFonts w:ascii="Times New Roman" w:hAnsi="Times New Roman"/>
        </w:rPr>
        <w:t>21</w:t>
      </w:r>
      <w:r w:rsidR="008C746A" w:rsidRPr="008C746A">
        <w:rPr>
          <w:rFonts w:ascii="Times New Roman" w:hAnsi="Times New Roman"/>
        </w:rPr>
        <w:t>.</w:t>
      </w:r>
      <w:r w:rsidR="000915CF">
        <w:rPr>
          <w:rFonts w:ascii="Times New Roman" w:hAnsi="Times New Roman"/>
        </w:rPr>
        <w:t xml:space="preserve"> </w:t>
      </w:r>
      <w:r w:rsidR="005E1603">
        <w:rPr>
          <w:rFonts w:ascii="Times New Roman" w:hAnsi="Times New Roman"/>
        </w:rPr>
        <w:t xml:space="preserve">We will </w:t>
      </w:r>
      <w:r w:rsidR="0032253A">
        <w:rPr>
          <w:rFonts w:ascii="Times New Roman" w:hAnsi="Times New Roman"/>
        </w:rPr>
        <w:t>release</w:t>
      </w:r>
      <w:r w:rsidR="00B52BC9">
        <w:rPr>
          <w:rFonts w:ascii="Times New Roman" w:hAnsi="Times New Roman"/>
        </w:rPr>
        <w:t xml:space="preserve"> </w:t>
      </w:r>
      <w:r>
        <w:rPr>
          <w:rFonts w:ascii="Times New Roman" w:hAnsi="Times New Roman"/>
        </w:rPr>
        <w:t>public use data product</w:t>
      </w:r>
      <w:r w:rsidR="004A7640">
        <w:rPr>
          <w:rFonts w:ascii="Times New Roman" w:hAnsi="Times New Roman"/>
        </w:rPr>
        <w:t>s</w:t>
      </w:r>
      <w:r>
        <w:rPr>
          <w:rFonts w:ascii="Times New Roman" w:hAnsi="Times New Roman"/>
        </w:rPr>
        <w:t xml:space="preserve"> </w:t>
      </w:r>
      <w:r w:rsidR="005E1603">
        <w:rPr>
          <w:rFonts w:ascii="Times New Roman" w:hAnsi="Times New Roman"/>
        </w:rPr>
        <w:t>on a schedule to be determined</w:t>
      </w:r>
      <w:r w:rsidRPr="006318C5">
        <w:rPr>
          <w:rFonts w:ascii="Times New Roman" w:hAnsi="Times New Roman"/>
        </w:rPr>
        <w:t xml:space="preserve">.  </w:t>
      </w:r>
    </w:p>
    <w:p w14:paraId="5EA852ED" w14:textId="77777777" w:rsidR="00D0431D" w:rsidRDefault="00D0431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0A1EF67A" w14:textId="1A506752"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We will evaluate the survey using bot</w:t>
      </w:r>
      <w:r w:rsidR="000915CF">
        <w:rPr>
          <w:rFonts w:ascii="Times New Roman" w:hAnsi="Times New Roman"/>
        </w:rPr>
        <w:t xml:space="preserve">h collected data and paradata. </w:t>
      </w:r>
      <w:r w:rsidRPr="00005061">
        <w:rPr>
          <w:rFonts w:ascii="Times New Roman" w:hAnsi="Times New Roman"/>
        </w:rPr>
        <w:t>As each subject-matter area is evaluating its content, we expect that in addition to comparing the results from the 201</w:t>
      </w:r>
      <w:r w:rsidR="00094D75">
        <w:rPr>
          <w:rFonts w:ascii="Times New Roman" w:hAnsi="Times New Roman"/>
        </w:rPr>
        <w:t>8</w:t>
      </w:r>
      <w:r w:rsidRPr="00005061">
        <w:rPr>
          <w:rFonts w:ascii="Times New Roman" w:hAnsi="Times New Roman"/>
        </w:rPr>
        <w:t xml:space="preserve"> SIPP to the 20</w:t>
      </w:r>
      <w:r w:rsidR="00094D75">
        <w:rPr>
          <w:rFonts w:ascii="Times New Roman" w:hAnsi="Times New Roman"/>
        </w:rPr>
        <w:t>14</w:t>
      </w:r>
      <w:r w:rsidRPr="00005061">
        <w:rPr>
          <w:rFonts w:ascii="Times New Roman" w:hAnsi="Times New Roman"/>
        </w:rPr>
        <w:t xml:space="preserve"> SIPP, </w:t>
      </w:r>
      <w:r w:rsidR="006E26C5">
        <w:rPr>
          <w:rFonts w:ascii="Times New Roman" w:hAnsi="Times New Roman"/>
        </w:rPr>
        <w:t xml:space="preserve">where possible </w:t>
      </w:r>
      <w:r w:rsidRPr="00005061">
        <w:rPr>
          <w:rFonts w:ascii="Times New Roman" w:hAnsi="Times New Roman"/>
        </w:rPr>
        <w:t>they will also compare the results to those from other surveys, such as the American Community Survey (ACS) or the Cu</w:t>
      </w:r>
      <w:r w:rsidR="000915CF">
        <w:rPr>
          <w:rFonts w:ascii="Times New Roman" w:hAnsi="Times New Roman"/>
        </w:rPr>
        <w:t xml:space="preserve">rrent Population Survey (CPS). </w:t>
      </w:r>
      <w:r w:rsidRPr="00005061">
        <w:rPr>
          <w:rFonts w:ascii="Times New Roman" w:hAnsi="Times New Roman"/>
        </w:rPr>
        <w:t>While we would expect some variation in estimates from the different surveys due to sample size, survey universe, etc., we can tell whether SIPP’s results are broadly in line with those from other surveys.</w:t>
      </w:r>
    </w:p>
    <w:p w14:paraId="60E25A78"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66B5979E" w14:textId="24625034"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The 201</w:t>
      </w:r>
      <w:r w:rsidR="00094D75">
        <w:rPr>
          <w:rFonts w:ascii="Times New Roman" w:hAnsi="Times New Roman"/>
        </w:rPr>
        <w:t>8</w:t>
      </w:r>
      <w:r w:rsidRPr="00005061">
        <w:rPr>
          <w:rFonts w:ascii="Times New Roman" w:hAnsi="Times New Roman"/>
        </w:rPr>
        <w:t xml:space="preserve"> SIPP instrument will also generate a large amount of paradata that the survey team will </w:t>
      </w:r>
      <w:r w:rsidR="000915CF">
        <w:rPr>
          <w:rFonts w:ascii="Times New Roman" w:hAnsi="Times New Roman"/>
        </w:rPr>
        <w:t xml:space="preserve">use to evaluate the survey. </w:t>
      </w:r>
      <w:r w:rsidRPr="00005061">
        <w:rPr>
          <w:rFonts w:ascii="Times New Roman" w:hAnsi="Times New Roman"/>
        </w:rPr>
        <w:t>First, we want to run a number of comparisons related to interview timing – for example, how much longer are adults’ interviews compared to children’s, and how much different are prox</w:t>
      </w:r>
      <w:r w:rsidR="000915CF">
        <w:rPr>
          <w:rFonts w:ascii="Times New Roman" w:hAnsi="Times New Roman"/>
        </w:rPr>
        <w:t>y interviews from self-reports?</w:t>
      </w:r>
      <w:r w:rsidRPr="00005061">
        <w:rPr>
          <w:rFonts w:ascii="Times New Roman" w:hAnsi="Times New Roman"/>
        </w:rPr>
        <w:t xml:space="preserve"> Those comparisons involve respondents’ behavior, but additionally we want to use paradata to evaluate how much influence field representatives’ behavior </w:t>
      </w:r>
      <w:r w:rsidR="000915CF">
        <w:rPr>
          <w:rFonts w:ascii="Times New Roman" w:hAnsi="Times New Roman"/>
        </w:rPr>
        <w:t xml:space="preserve">has on the survey results. </w:t>
      </w:r>
      <w:r w:rsidRPr="008419F6">
        <w:rPr>
          <w:rFonts w:ascii="Times New Roman" w:hAnsi="Times New Roman"/>
        </w:rPr>
        <w:t>We will have results from the FR certification test,</w:t>
      </w:r>
      <w:r w:rsidRPr="00005061">
        <w:rPr>
          <w:rFonts w:ascii="Times New Roman" w:hAnsi="Times New Roman"/>
        </w:rPr>
        <w:t xml:space="preserve"> so we can determine how much more successful high-scoring FRs are than low-scoring ones.  Differential success by certification test score will help to identify areas to target for improvement in training and supplemental interviewer observation.  </w:t>
      </w:r>
    </w:p>
    <w:p w14:paraId="5F86630F"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1932E69" w14:textId="71842FAE"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 xml:space="preserve">The paradata will also provide us with metrics that allow us to evaluate the respondent burden and to </w:t>
      </w:r>
      <w:r w:rsidR="000915CF">
        <w:rPr>
          <w:rFonts w:ascii="Times New Roman" w:hAnsi="Times New Roman"/>
        </w:rPr>
        <w:t xml:space="preserve">produce better cost estimates. </w:t>
      </w:r>
      <w:r w:rsidRPr="00005061">
        <w:rPr>
          <w:rFonts w:ascii="Times New Roman" w:hAnsi="Times New Roman"/>
        </w:rPr>
        <w:t>For example, we will know the average number of questions asked during each interview, allowing us to pinpoint content areas that we could streamline or cha</w:t>
      </w:r>
      <w:r w:rsidR="000915CF">
        <w:rPr>
          <w:rFonts w:ascii="Times New Roman" w:hAnsi="Times New Roman"/>
        </w:rPr>
        <w:t xml:space="preserve">nge during the research panel. </w:t>
      </w:r>
      <w:r w:rsidRPr="00005061">
        <w:rPr>
          <w:rFonts w:ascii="Times New Roman" w:hAnsi="Times New Roman"/>
        </w:rPr>
        <w:t>We also know how many visits to a househ</w:t>
      </w:r>
      <w:r w:rsidR="00D722B9">
        <w:rPr>
          <w:rFonts w:ascii="Times New Roman" w:hAnsi="Times New Roman"/>
        </w:rPr>
        <w:t>old it takes to get a</w:t>
      </w:r>
      <w:r w:rsidRPr="00005061">
        <w:rPr>
          <w:rFonts w:ascii="Times New Roman" w:hAnsi="Times New Roman"/>
        </w:rPr>
        <w:t xml:space="preserve"> completed interview, so we can use this statistic to estimate our 201</w:t>
      </w:r>
      <w:r w:rsidR="009555E8">
        <w:rPr>
          <w:rFonts w:ascii="Times New Roman" w:hAnsi="Times New Roman"/>
        </w:rPr>
        <w:t>9</w:t>
      </w:r>
      <w:r w:rsidRPr="00005061">
        <w:rPr>
          <w:rFonts w:ascii="Times New Roman" w:hAnsi="Times New Roman"/>
        </w:rPr>
        <w:t xml:space="preserve"> costs more precisely.</w:t>
      </w:r>
    </w:p>
    <w:p w14:paraId="46684491"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291B4106" w14:textId="13798DD2"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The paradata can provide information we can use to improve the overall survey or correct erro</w:t>
      </w:r>
      <w:r w:rsidR="000915CF">
        <w:rPr>
          <w:rFonts w:ascii="Times New Roman" w:hAnsi="Times New Roman"/>
        </w:rPr>
        <w:t xml:space="preserve">rs in the existing instrument. </w:t>
      </w:r>
      <w:r w:rsidRPr="00005061">
        <w:rPr>
          <w:rFonts w:ascii="Times New Roman" w:hAnsi="Times New Roman"/>
        </w:rPr>
        <w:t xml:space="preserve">We will be reviewing item level don’t know and refusal rates, as well as particularly time consuming items, to further </w:t>
      </w:r>
      <w:r w:rsidR="000915CF">
        <w:rPr>
          <w:rFonts w:ascii="Times New Roman" w:hAnsi="Times New Roman"/>
        </w:rPr>
        <w:t xml:space="preserve">target instrument improvement. </w:t>
      </w:r>
      <w:r w:rsidRPr="00005061">
        <w:rPr>
          <w:rFonts w:ascii="Times New Roman" w:hAnsi="Times New Roman"/>
        </w:rPr>
        <w:t>Field representatives have the ability to enter notes, both at the ite</w:t>
      </w:r>
      <w:r w:rsidR="000915CF">
        <w:rPr>
          <w:rFonts w:ascii="Times New Roman" w:hAnsi="Times New Roman"/>
        </w:rPr>
        <w:t xml:space="preserve">m level and at the case level. </w:t>
      </w:r>
      <w:r w:rsidRPr="00005061">
        <w:rPr>
          <w:rFonts w:ascii="Times New Roman" w:hAnsi="Times New Roman"/>
        </w:rPr>
        <w:t>We used these notes to identify and correct a number of bugs in the 201</w:t>
      </w:r>
      <w:r w:rsidR="009555E8">
        <w:rPr>
          <w:rFonts w:ascii="Times New Roman" w:hAnsi="Times New Roman"/>
        </w:rPr>
        <w:t>4</w:t>
      </w:r>
      <w:r w:rsidRPr="00005061">
        <w:rPr>
          <w:rFonts w:ascii="Times New Roman" w:hAnsi="Times New Roman"/>
        </w:rPr>
        <w:t xml:space="preserve"> instrument, and we hope to duplicate this success in 201</w:t>
      </w:r>
      <w:r w:rsidR="009555E8">
        <w:rPr>
          <w:rFonts w:ascii="Times New Roman" w:hAnsi="Times New Roman"/>
        </w:rPr>
        <w:t>8</w:t>
      </w:r>
      <w:r w:rsidRPr="00005061">
        <w:rPr>
          <w:rFonts w:ascii="Times New Roman" w:hAnsi="Times New Roman"/>
        </w:rPr>
        <w:t xml:space="preserve">.  Additionally, </w:t>
      </w:r>
      <w:r w:rsidRPr="008419F6">
        <w:rPr>
          <w:rFonts w:ascii="Times New Roman" w:hAnsi="Times New Roman"/>
        </w:rPr>
        <w:t>we develop</w:t>
      </w:r>
      <w:r w:rsidR="009555E8" w:rsidRPr="008419F6">
        <w:rPr>
          <w:rFonts w:ascii="Times New Roman" w:hAnsi="Times New Roman"/>
        </w:rPr>
        <w:t xml:space="preserve">ed a </w:t>
      </w:r>
      <w:r w:rsidRPr="008419F6">
        <w:rPr>
          <w:rFonts w:ascii="Times New Roman" w:hAnsi="Times New Roman"/>
        </w:rPr>
        <w:t>FR debriefing instrument</w:t>
      </w:r>
      <w:r w:rsidRPr="00005061">
        <w:rPr>
          <w:rFonts w:ascii="Times New Roman" w:hAnsi="Times New Roman"/>
        </w:rPr>
        <w:t>, which allows the FRs to offer detailed comments on each section of the instrument and to express any concerns or problems they had when fielding the survey</w:t>
      </w:r>
      <w:r w:rsidR="00E544D3">
        <w:rPr>
          <w:rFonts w:ascii="Times New Roman" w:hAnsi="Times New Roman"/>
        </w:rPr>
        <w:t xml:space="preserve"> once they completed all the cases in their workload</w:t>
      </w:r>
      <w:r w:rsidRPr="00005061">
        <w:rPr>
          <w:rFonts w:ascii="Times New Roman" w:hAnsi="Times New Roman"/>
        </w:rPr>
        <w:t>.</w:t>
      </w:r>
    </w:p>
    <w:p w14:paraId="159A4E8F" w14:textId="77777777" w:rsidR="00005061" w:rsidRPr="00005061" w:rsidRDefault="00005061" w:rsidP="00005061">
      <w:pPr>
        <w:spacing w:line="240" w:lineRule="auto"/>
        <w:ind w:left="950"/>
        <w:rPr>
          <w:rFonts w:ascii="Times New Roman" w:hAnsi="Times New Roman"/>
        </w:rPr>
      </w:pPr>
    </w:p>
    <w:p w14:paraId="5BC49372" w14:textId="4739B2A1" w:rsidR="00005061" w:rsidRPr="002C5A93"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C4769B">
        <w:rPr>
          <w:rFonts w:ascii="Times New Roman" w:hAnsi="Times New Roman"/>
        </w:rPr>
        <w:t>In addition to these evaluation tools</w:t>
      </w:r>
      <w:r w:rsidRPr="008419F6">
        <w:rPr>
          <w:rFonts w:ascii="Times New Roman" w:hAnsi="Times New Roman"/>
        </w:rPr>
        <w:t xml:space="preserve">, the Census Bureau plans to </w:t>
      </w:r>
      <w:r w:rsidR="008419F6" w:rsidRPr="008419F6">
        <w:rPr>
          <w:rFonts w:ascii="Times New Roman" w:hAnsi="Times New Roman"/>
        </w:rPr>
        <w:t>continue using</w:t>
      </w:r>
      <w:r w:rsidRPr="008419F6">
        <w:rPr>
          <w:rFonts w:ascii="Times New Roman" w:hAnsi="Times New Roman"/>
        </w:rPr>
        <w:t xml:space="preserve"> </w:t>
      </w:r>
      <w:r w:rsidR="00A33397" w:rsidRPr="008419F6">
        <w:rPr>
          <w:rFonts w:ascii="Times New Roman" w:hAnsi="Times New Roman"/>
        </w:rPr>
        <w:t>CARI</w:t>
      </w:r>
      <w:r w:rsidRPr="008419F6">
        <w:rPr>
          <w:rFonts w:ascii="Times New Roman" w:hAnsi="Times New Roman"/>
        </w:rPr>
        <w:t xml:space="preserve"> technology </w:t>
      </w:r>
      <w:r w:rsidR="00A33397" w:rsidRPr="008419F6">
        <w:rPr>
          <w:rFonts w:ascii="Times New Roman" w:hAnsi="Times New Roman"/>
        </w:rPr>
        <w:t xml:space="preserve">(see page </w:t>
      </w:r>
      <w:r w:rsidR="008419F6" w:rsidRPr="008419F6">
        <w:rPr>
          <w:rFonts w:ascii="Times New Roman" w:hAnsi="Times New Roman"/>
        </w:rPr>
        <w:t>4</w:t>
      </w:r>
      <w:r w:rsidR="00A33397" w:rsidRPr="008419F6">
        <w:rPr>
          <w:rFonts w:ascii="Times New Roman" w:hAnsi="Times New Roman"/>
        </w:rPr>
        <w:t>)</w:t>
      </w:r>
      <w:r w:rsidR="000915CF" w:rsidRPr="008419F6">
        <w:rPr>
          <w:rFonts w:ascii="Times New Roman" w:hAnsi="Times New Roman"/>
        </w:rPr>
        <w:t xml:space="preserve">. </w:t>
      </w:r>
      <w:r w:rsidRPr="002C5A93">
        <w:rPr>
          <w:rFonts w:ascii="Times New Roman" w:hAnsi="Times New Roman"/>
        </w:rPr>
        <w:t>We will record items from each household’s interview, so long as the household provides its consent to the</w:t>
      </w:r>
      <w:r w:rsidR="000915CF" w:rsidRPr="002C5A93">
        <w:rPr>
          <w:rFonts w:ascii="Times New Roman" w:hAnsi="Times New Roman"/>
        </w:rPr>
        <w:t xml:space="preserve"> quality assurance recordings. </w:t>
      </w:r>
      <w:r w:rsidRPr="002C5A93">
        <w:rPr>
          <w:rFonts w:ascii="Times New Roman" w:hAnsi="Times New Roman"/>
        </w:rPr>
        <w:t xml:space="preserve">It is the Census Bureau’s plan to evaluate both the quality of the SIPP data and the possibility that CARI could supplement or replace standard reinterview.  </w:t>
      </w:r>
    </w:p>
    <w:p w14:paraId="1F5971E7" w14:textId="77777777" w:rsidR="00005061" w:rsidRPr="002C5A93"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5737D90" w14:textId="6DD7C6D4" w:rsidR="00005061" w:rsidRPr="002C5A93"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2C5A93">
        <w:rPr>
          <w:rFonts w:ascii="Times New Roman" w:hAnsi="Times New Roman"/>
        </w:rPr>
        <w:t xml:space="preserve">Additionally, by recording all households, supervisors will have the ability to select recordings for the supplemental observation and coaching </w:t>
      </w:r>
      <w:r w:rsidR="000915CF" w:rsidRPr="002C5A93">
        <w:rPr>
          <w:rFonts w:ascii="Times New Roman" w:hAnsi="Times New Roman"/>
        </w:rPr>
        <w:t>of interviewers.</w:t>
      </w:r>
      <w:r w:rsidRPr="002C5A93">
        <w:rPr>
          <w:rFonts w:ascii="Times New Roman" w:hAnsi="Times New Roman"/>
        </w:rPr>
        <w:t xml:space="preserve"> As the recordings from 201</w:t>
      </w:r>
      <w:r w:rsidR="00AE1539">
        <w:rPr>
          <w:rFonts w:ascii="Times New Roman" w:hAnsi="Times New Roman"/>
        </w:rPr>
        <w:t>8</w:t>
      </w:r>
      <w:r w:rsidRPr="002C5A93">
        <w:rPr>
          <w:rFonts w:ascii="Times New Roman" w:hAnsi="Times New Roman"/>
        </w:rPr>
        <w:t xml:space="preserve"> are used during and after data collection for Wave 1, the Census Bureau will </w:t>
      </w:r>
      <w:r w:rsidR="004A003E" w:rsidRPr="002C5A93">
        <w:rPr>
          <w:rFonts w:ascii="Times New Roman" w:hAnsi="Times New Roman"/>
        </w:rPr>
        <w:t>use</w:t>
      </w:r>
      <w:r w:rsidRPr="002C5A93">
        <w:rPr>
          <w:rFonts w:ascii="Times New Roman" w:hAnsi="Times New Roman"/>
        </w:rPr>
        <w:t xml:space="preserve"> the recordings to develop standards for the use of recorded intervi</w:t>
      </w:r>
      <w:r w:rsidR="000915CF" w:rsidRPr="002C5A93">
        <w:rPr>
          <w:rFonts w:ascii="Times New Roman" w:hAnsi="Times New Roman"/>
        </w:rPr>
        <w:t xml:space="preserve">ews for coaching interviewers. </w:t>
      </w:r>
      <w:r w:rsidRPr="002C5A93">
        <w:rPr>
          <w:rFonts w:ascii="Times New Roman" w:hAnsi="Times New Roman"/>
        </w:rPr>
        <w:t>We will also use them to develop options to use the recordings as supplements to both in-perso</w:t>
      </w:r>
      <w:r w:rsidR="000915CF" w:rsidRPr="002C5A93">
        <w:rPr>
          <w:rFonts w:ascii="Times New Roman" w:hAnsi="Times New Roman"/>
        </w:rPr>
        <w:t xml:space="preserve">n observation and reinterview. </w:t>
      </w:r>
      <w:r w:rsidRPr="002C5A93">
        <w:rPr>
          <w:rFonts w:ascii="Times New Roman" w:hAnsi="Times New Roman"/>
        </w:rPr>
        <w:t>The 201</w:t>
      </w:r>
      <w:r w:rsidR="00AE1539">
        <w:rPr>
          <w:rFonts w:ascii="Times New Roman" w:hAnsi="Times New Roman"/>
        </w:rPr>
        <w:t>8</w:t>
      </w:r>
      <w:r w:rsidRPr="002C5A93">
        <w:rPr>
          <w:rFonts w:ascii="Times New Roman" w:hAnsi="Times New Roman"/>
        </w:rPr>
        <w:t xml:space="preserve"> SIPP Panel instrument will utilize the CARI Interactive Data Access System (CARI System), an innovative, integrated, multifaceted monitoring system that features a configurable web-based interface for behavior coding, qu</w:t>
      </w:r>
      <w:r w:rsidR="000915CF" w:rsidRPr="002C5A93">
        <w:rPr>
          <w:rFonts w:ascii="Times New Roman" w:hAnsi="Times New Roman"/>
        </w:rPr>
        <w:t xml:space="preserve">ality assurance, and coaching. </w:t>
      </w:r>
      <w:r w:rsidRPr="002C5A93">
        <w:rPr>
          <w:rFonts w:ascii="Times New Roman" w:hAnsi="Times New Roman"/>
        </w:rPr>
        <w:t>This system assists in coding interviews for measuring question and interviewer performance and the interaction between interviewers and respondents.</w:t>
      </w:r>
    </w:p>
    <w:p w14:paraId="7AA4E48F" w14:textId="77777777" w:rsidR="00005061" w:rsidRPr="002C5A93"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303" w14:textId="232A2D84" w:rsidR="00D0431D"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2C5A93">
        <w:rPr>
          <w:rFonts w:ascii="Times New Roman" w:hAnsi="Times New Roman"/>
        </w:rPr>
        <w:t>Finally, for a small subset of characteristics, and for a subset of sample areas, we will have access to administrative record data, which we will use for an objective assessment of the validity of survey estimates m</w:t>
      </w:r>
      <w:r w:rsidR="000915CF" w:rsidRPr="002C5A93">
        <w:rPr>
          <w:rFonts w:ascii="Times New Roman" w:hAnsi="Times New Roman"/>
        </w:rPr>
        <w:t>atched to administrative data.</w:t>
      </w:r>
      <w:r w:rsidR="000915CF">
        <w:rPr>
          <w:rFonts w:ascii="Times New Roman" w:hAnsi="Times New Roman"/>
        </w:rPr>
        <w:t xml:space="preserve"> </w:t>
      </w:r>
    </w:p>
    <w:p w14:paraId="6F60EEF7" w14:textId="77777777" w:rsidR="0069265C" w:rsidRDefault="0069265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305" w14:textId="78381D72"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D63FF8">
        <w:rPr>
          <w:rFonts w:ascii="Times New Roman" w:hAnsi="Times New Roman"/>
          <w:b/>
        </w:rPr>
        <w:t>17.</w:t>
      </w:r>
      <w:r w:rsidRPr="00D63FF8">
        <w:rPr>
          <w:rFonts w:ascii="Times New Roman" w:hAnsi="Times New Roman"/>
          <w:b/>
        </w:rPr>
        <w:tab/>
        <w:t xml:space="preserve">Display </w:t>
      </w:r>
      <w:r w:rsidR="006645A0" w:rsidRPr="00D63FF8">
        <w:rPr>
          <w:rFonts w:ascii="Times New Roman" w:hAnsi="Times New Roman"/>
          <w:b/>
        </w:rPr>
        <w:t>of OMB Approval Information</w:t>
      </w:r>
    </w:p>
    <w:p w14:paraId="5EA85306"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307" w14:textId="49471BFF" w:rsidR="006A58DA"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ab/>
      </w:r>
      <w:r w:rsidR="007901BD">
        <w:rPr>
          <w:rFonts w:ascii="Times New Roman" w:hAnsi="Times New Roman"/>
        </w:rPr>
        <w:t xml:space="preserve">The </w:t>
      </w:r>
      <w:r w:rsidR="003B5626">
        <w:rPr>
          <w:rFonts w:ascii="Times New Roman" w:hAnsi="Times New Roman"/>
        </w:rPr>
        <w:t>OMB control number</w:t>
      </w:r>
      <w:r w:rsidR="007901BD">
        <w:rPr>
          <w:rFonts w:ascii="Times New Roman" w:hAnsi="Times New Roman"/>
        </w:rPr>
        <w:t xml:space="preserve"> is displayed in the advance letter that </w:t>
      </w:r>
      <w:r w:rsidR="006F1161">
        <w:rPr>
          <w:rFonts w:ascii="Times New Roman" w:hAnsi="Times New Roman"/>
        </w:rPr>
        <w:t>will be</w:t>
      </w:r>
      <w:r w:rsidR="007901BD">
        <w:rPr>
          <w:rFonts w:ascii="Times New Roman" w:hAnsi="Times New Roman"/>
        </w:rPr>
        <w:t xml:space="preserve"> sent to</w:t>
      </w:r>
      <w:r w:rsidR="006F1161">
        <w:rPr>
          <w:rFonts w:ascii="Times New Roman" w:hAnsi="Times New Roman"/>
        </w:rPr>
        <w:t xml:space="preserve"> eligible households before each wave’s </w:t>
      </w:r>
      <w:r w:rsidR="007901BD">
        <w:rPr>
          <w:rFonts w:ascii="Times New Roman" w:hAnsi="Times New Roman"/>
        </w:rPr>
        <w:t>interview.</w:t>
      </w:r>
      <w:r w:rsidR="003B5626">
        <w:rPr>
          <w:rFonts w:ascii="Times New Roman" w:hAnsi="Times New Roman"/>
        </w:rPr>
        <w:t xml:space="preserve"> We request not to display the expiration date so we can reuse materials.</w:t>
      </w:r>
    </w:p>
    <w:p w14:paraId="5EA85308" w14:textId="77777777" w:rsidR="006A58DA" w:rsidRDefault="006A58D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14:paraId="5EA85309" w14:textId="77777777" w:rsidR="00FE0141" w:rsidRPr="00D63FF8"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D63FF8">
        <w:rPr>
          <w:rFonts w:ascii="Times New Roman" w:hAnsi="Times New Roman"/>
          <w:b/>
        </w:rPr>
        <w:t>18.</w:t>
      </w:r>
      <w:r w:rsidRPr="00D63FF8">
        <w:rPr>
          <w:rFonts w:ascii="Times New Roman" w:hAnsi="Times New Roman"/>
          <w:b/>
        </w:rPr>
        <w:tab/>
        <w:t>Exceptions to the Certification</w:t>
      </w:r>
    </w:p>
    <w:p w14:paraId="5EA8530A"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14:paraId="5EA8530B" w14:textId="294A80C7" w:rsidR="00C36628" w:rsidRDefault="00FE014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exceptions to the certification.</w:t>
      </w:r>
    </w:p>
    <w:sectPr w:rsidR="00C36628" w:rsidSect="00D70727">
      <w:headerReference w:type="default" r:id="rId13"/>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5310" w14:textId="77777777" w:rsidR="00D177E2" w:rsidRDefault="00D177E2" w:rsidP="00FE0141">
      <w:r>
        <w:separator/>
      </w:r>
    </w:p>
  </w:endnote>
  <w:endnote w:type="continuationSeparator" w:id="0">
    <w:p w14:paraId="5EA85311" w14:textId="77777777" w:rsidR="00D177E2" w:rsidRDefault="00D177E2"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530E" w14:textId="77777777" w:rsidR="00D177E2" w:rsidRDefault="00D177E2" w:rsidP="00FE0141">
      <w:r>
        <w:separator/>
      </w:r>
    </w:p>
  </w:footnote>
  <w:footnote w:type="continuationSeparator" w:id="0">
    <w:p w14:paraId="5EA8530F" w14:textId="77777777" w:rsidR="00D177E2" w:rsidRDefault="00D177E2" w:rsidP="00FE0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2"/>
      <w:docPartObj>
        <w:docPartGallery w:val="Page Numbers (Top of Page)"/>
        <w:docPartUnique/>
      </w:docPartObj>
    </w:sdtPr>
    <w:sdtEndPr>
      <w:rPr>
        <w:rFonts w:ascii="Times New Roman" w:hAnsi="Times New Roman"/>
      </w:rPr>
    </w:sdtEndPr>
    <w:sdtContent>
      <w:p w14:paraId="5EA85312" w14:textId="5C200C24" w:rsidR="00D177E2" w:rsidRPr="00EC6DC9" w:rsidRDefault="00D177E2">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C17728">
          <w:rPr>
            <w:rFonts w:ascii="Times New Roman" w:hAnsi="Times New Roman"/>
            <w:noProof/>
          </w:rPr>
          <w:t>2</w:t>
        </w:r>
        <w:r w:rsidRPr="00EC6DC9">
          <w:rPr>
            <w:rFonts w:ascii="Times New Roman" w:hAnsi="Times New Roman"/>
            <w:noProof/>
          </w:rPr>
          <w:fldChar w:fldCharType="end"/>
        </w:r>
      </w:p>
    </w:sdtContent>
  </w:sdt>
  <w:p w14:paraId="5EA85313" w14:textId="77777777" w:rsidR="00D177E2" w:rsidRDefault="00D177E2">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385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E0141"/>
    <w:rsid w:val="00005061"/>
    <w:rsid w:val="00007D64"/>
    <w:rsid w:val="00007EB7"/>
    <w:rsid w:val="000116C1"/>
    <w:rsid w:val="00013EC7"/>
    <w:rsid w:val="00015169"/>
    <w:rsid w:val="00015308"/>
    <w:rsid w:val="00025B69"/>
    <w:rsid w:val="000314D9"/>
    <w:rsid w:val="00031A81"/>
    <w:rsid w:val="00032714"/>
    <w:rsid w:val="000404B8"/>
    <w:rsid w:val="000531E5"/>
    <w:rsid w:val="00064E48"/>
    <w:rsid w:val="00067636"/>
    <w:rsid w:val="00070DDF"/>
    <w:rsid w:val="00071A4A"/>
    <w:rsid w:val="00071E1D"/>
    <w:rsid w:val="0008385F"/>
    <w:rsid w:val="000915CF"/>
    <w:rsid w:val="00091BB4"/>
    <w:rsid w:val="000938CE"/>
    <w:rsid w:val="00094D75"/>
    <w:rsid w:val="00095B3C"/>
    <w:rsid w:val="000A1144"/>
    <w:rsid w:val="000A2426"/>
    <w:rsid w:val="000A6924"/>
    <w:rsid w:val="000B46A2"/>
    <w:rsid w:val="000B6BA1"/>
    <w:rsid w:val="000C47AB"/>
    <w:rsid w:val="000D5272"/>
    <w:rsid w:val="000E07C5"/>
    <w:rsid w:val="000E4489"/>
    <w:rsid w:val="000E5D17"/>
    <w:rsid w:val="000E75B5"/>
    <w:rsid w:val="000F64D5"/>
    <w:rsid w:val="000F7B44"/>
    <w:rsid w:val="001024B9"/>
    <w:rsid w:val="001049E6"/>
    <w:rsid w:val="00110BA3"/>
    <w:rsid w:val="00112234"/>
    <w:rsid w:val="00117796"/>
    <w:rsid w:val="00117815"/>
    <w:rsid w:val="00121E9F"/>
    <w:rsid w:val="0012626A"/>
    <w:rsid w:val="00130C1B"/>
    <w:rsid w:val="00130D02"/>
    <w:rsid w:val="00130EB5"/>
    <w:rsid w:val="00131891"/>
    <w:rsid w:val="00133540"/>
    <w:rsid w:val="001476C3"/>
    <w:rsid w:val="001508D5"/>
    <w:rsid w:val="00151B9C"/>
    <w:rsid w:val="00151C6D"/>
    <w:rsid w:val="00154249"/>
    <w:rsid w:val="001607A8"/>
    <w:rsid w:val="00165FCF"/>
    <w:rsid w:val="001669EF"/>
    <w:rsid w:val="0017372D"/>
    <w:rsid w:val="00176530"/>
    <w:rsid w:val="00177E2C"/>
    <w:rsid w:val="00183757"/>
    <w:rsid w:val="00184C65"/>
    <w:rsid w:val="00191AA1"/>
    <w:rsid w:val="001933DC"/>
    <w:rsid w:val="00193AF1"/>
    <w:rsid w:val="001950F9"/>
    <w:rsid w:val="0019517C"/>
    <w:rsid w:val="00197C2F"/>
    <w:rsid w:val="001A16C1"/>
    <w:rsid w:val="001B0917"/>
    <w:rsid w:val="001B34B8"/>
    <w:rsid w:val="001B370C"/>
    <w:rsid w:val="001B3D6D"/>
    <w:rsid w:val="001C4A5B"/>
    <w:rsid w:val="001C4F0E"/>
    <w:rsid w:val="001C5AF0"/>
    <w:rsid w:val="001C777D"/>
    <w:rsid w:val="001D15A4"/>
    <w:rsid w:val="001D1933"/>
    <w:rsid w:val="001D5365"/>
    <w:rsid w:val="001E08AD"/>
    <w:rsid w:val="001E5C0D"/>
    <w:rsid w:val="001F10A1"/>
    <w:rsid w:val="001F1B62"/>
    <w:rsid w:val="001F45C9"/>
    <w:rsid w:val="00200670"/>
    <w:rsid w:val="00204D8D"/>
    <w:rsid w:val="002071F5"/>
    <w:rsid w:val="002073FE"/>
    <w:rsid w:val="00207AD3"/>
    <w:rsid w:val="002105E0"/>
    <w:rsid w:val="002152C8"/>
    <w:rsid w:val="002179D0"/>
    <w:rsid w:val="00217E7D"/>
    <w:rsid w:val="00224D79"/>
    <w:rsid w:val="00226A9B"/>
    <w:rsid w:val="00227B7D"/>
    <w:rsid w:val="00227C78"/>
    <w:rsid w:val="00227E6E"/>
    <w:rsid w:val="00233AF5"/>
    <w:rsid w:val="00233ED0"/>
    <w:rsid w:val="0023595C"/>
    <w:rsid w:val="00237749"/>
    <w:rsid w:val="00237B6B"/>
    <w:rsid w:val="00240681"/>
    <w:rsid w:val="00242793"/>
    <w:rsid w:val="00246228"/>
    <w:rsid w:val="00251C77"/>
    <w:rsid w:val="00252DB1"/>
    <w:rsid w:val="002538A1"/>
    <w:rsid w:val="00261E85"/>
    <w:rsid w:val="00265A9B"/>
    <w:rsid w:val="00267CE7"/>
    <w:rsid w:val="002726DE"/>
    <w:rsid w:val="0027523F"/>
    <w:rsid w:val="002846C0"/>
    <w:rsid w:val="00284C81"/>
    <w:rsid w:val="00285CDE"/>
    <w:rsid w:val="002864EB"/>
    <w:rsid w:val="00290AFB"/>
    <w:rsid w:val="002A173D"/>
    <w:rsid w:val="002A18C6"/>
    <w:rsid w:val="002A3DF8"/>
    <w:rsid w:val="002A7D6A"/>
    <w:rsid w:val="002B4D45"/>
    <w:rsid w:val="002C1F89"/>
    <w:rsid w:val="002C5A93"/>
    <w:rsid w:val="002D086C"/>
    <w:rsid w:val="002D151D"/>
    <w:rsid w:val="002D3534"/>
    <w:rsid w:val="002E17A8"/>
    <w:rsid w:val="002F1F21"/>
    <w:rsid w:val="002F2E4F"/>
    <w:rsid w:val="002F329E"/>
    <w:rsid w:val="002F3978"/>
    <w:rsid w:val="002F3CD6"/>
    <w:rsid w:val="00302DC3"/>
    <w:rsid w:val="0030311F"/>
    <w:rsid w:val="00304EBE"/>
    <w:rsid w:val="003124E3"/>
    <w:rsid w:val="0031271F"/>
    <w:rsid w:val="003143E5"/>
    <w:rsid w:val="00314B92"/>
    <w:rsid w:val="00314EA5"/>
    <w:rsid w:val="003158D3"/>
    <w:rsid w:val="00317586"/>
    <w:rsid w:val="003205EC"/>
    <w:rsid w:val="0032253A"/>
    <w:rsid w:val="00322AEA"/>
    <w:rsid w:val="00325D9C"/>
    <w:rsid w:val="00334B7B"/>
    <w:rsid w:val="0033552D"/>
    <w:rsid w:val="00346F34"/>
    <w:rsid w:val="0034785D"/>
    <w:rsid w:val="00352E8C"/>
    <w:rsid w:val="00354A97"/>
    <w:rsid w:val="00357F20"/>
    <w:rsid w:val="00360205"/>
    <w:rsid w:val="00364C52"/>
    <w:rsid w:val="003676A6"/>
    <w:rsid w:val="00373CC0"/>
    <w:rsid w:val="0037721D"/>
    <w:rsid w:val="003817BC"/>
    <w:rsid w:val="00385941"/>
    <w:rsid w:val="0039019B"/>
    <w:rsid w:val="00395F52"/>
    <w:rsid w:val="0039678F"/>
    <w:rsid w:val="003A157E"/>
    <w:rsid w:val="003A4EB2"/>
    <w:rsid w:val="003A5810"/>
    <w:rsid w:val="003A6285"/>
    <w:rsid w:val="003A6394"/>
    <w:rsid w:val="003B5626"/>
    <w:rsid w:val="003D2268"/>
    <w:rsid w:val="003D3977"/>
    <w:rsid w:val="003D3D44"/>
    <w:rsid w:val="003D414C"/>
    <w:rsid w:val="003D4874"/>
    <w:rsid w:val="003D6C0D"/>
    <w:rsid w:val="003D6E29"/>
    <w:rsid w:val="003D7CD1"/>
    <w:rsid w:val="003E0122"/>
    <w:rsid w:val="003F078A"/>
    <w:rsid w:val="003F5E62"/>
    <w:rsid w:val="00401BD7"/>
    <w:rsid w:val="0040525C"/>
    <w:rsid w:val="00414BA7"/>
    <w:rsid w:val="00417EA8"/>
    <w:rsid w:val="00423E71"/>
    <w:rsid w:val="004253B3"/>
    <w:rsid w:val="00431BDF"/>
    <w:rsid w:val="00432DB0"/>
    <w:rsid w:val="00434DB3"/>
    <w:rsid w:val="00440DA0"/>
    <w:rsid w:val="00442CC9"/>
    <w:rsid w:val="00443648"/>
    <w:rsid w:val="0044551F"/>
    <w:rsid w:val="00445855"/>
    <w:rsid w:val="0044794D"/>
    <w:rsid w:val="004516E0"/>
    <w:rsid w:val="00454129"/>
    <w:rsid w:val="00455570"/>
    <w:rsid w:val="00473978"/>
    <w:rsid w:val="0047651A"/>
    <w:rsid w:val="00482ABD"/>
    <w:rsid w:val="00483282"/>
    <w:rsid w:val="00484298"/>
    <w:rsid w:val="004861FE"/>
    <w:rsid w:val="004916C1"/>
    <w:rsid w:val="004945ED"/>
    <w:rsid w:val="004A003E"/>
    <w:rsid w:val="004A07FA"/>
    <w:rsid w:val="004A2DD0"/>
    <w:rsid w:val="004A3F24"/>
    <w:rsid w:val="004A7640"/>
    <w:rsid w:val="004B24E9"/>
    <w:rsid w:val="004C15C3"/>
    <w:rsid w:val="004D10DF"/>
    <w:rsid w:val="004D15C6"/>
    <w:rsid w:val="004D2758"/>
    <w:rsid w:val="004D276F"/>
    <w:rsid w:val="004D4251"/>
    <w:rsid w:val="004D44B3"/>
    <w:rsid w:val="004E032E"/>
    <w:rsid w:val="004E0752"/>
    <w:rsid w:val="004E0ACC"/>
    <w:rsid w:val="004E2AE5"/>
    <w:rsid w:val="004E6840"/>
    <w:rsid w:val="004E6C29"/>
    <w:rsid w:val="004F03F7"/>
    <w:rsid w:val="004F1719"/>
    <w:rsid w:val="004F2938"/>
    <w:rsid w:val="00501A66"/>
    <w:rsid w:val="00502483"/>
    <w:rsid w:val="0050392A"/>
    <w:rsid w:val="00517419"/>
    <w:rsid w:val="00520311"/>
    <w:rsid w:val="005240DA"/>
    <w:rsid w:val="00530E6B"/>
    <w:rsid w:val="005312C4"/>
    <w:rsid w:val="005321CD"/>
    <w:rsid w:val="0054026D"/>
    <w:rsid w:val="0054357C"/>
    <w:rsid w:val="0054401D"/>
    <w:rsid w:val="00547229"/>
    <w:rsid w:val="0055028E"/>
    <w:rsid w:val="00552DCC"/>
    <w:rsid w:val="005604EF"/>
    <w:rsid w:val="00564807"/>
    <w:rsid w:val="0056517C"/>
    <w:rsid w:val="0057442D"/>
    <w:rsid w:val="00585592"/>
    <w:rsid w:val="00596CAD"/>
    <w:rsid w:val="005975F1"/>
    <w:rsid w:val="005976BD"/>
    <w:rsid w:val="005A106E"/>
    <w:rsid w:val="005A1B82"/>
    <w:rsid w:val="005A25A2"/>
    <w:rsid w:val="005A662A"/>
    <w:rsid w:val="005A6985"/>
    <w:rsid w:val="005B455A"/>
    <w:rsid w:val="005B7364"/>
    <w:rsid w:val="005C61F7"/>
    <w:rsid w:val="005C7ACB"/>
    <w:rsid w:val="005D0113"/>
    <w:rsid w:val="005D2472"/>
    <w:rsid w:val="005D591A"/>
    <w:rsid w:val="005D605F"/>
    <w:rsid w:val="005D65A5"/>
    <w:rsid w:val="005E1603"/>
    <w:rsid w:val="005F1161"/>
    <w:rsid w:val="005F58E5"/>
    <w:rsid w:val="006071C6"/>
    <w:rsid w:val="006210DF"/>
    <w:rsid w:val="00622805"/>
    <w:rsid w:val="006248F6"/>
    <w:rsid w:val="00627C71"/>
    <w:rsid w:val="006318C5"/>
    <w:rsid w:val="00636CA8"/>
    <w:rsid w:val="0064062E"/>
    <w:rsid w:val="0064127D"/>
    <w:rsid w:val="00641340"/>
    <w:rsid w:val="00641A0B"/>
    <w:rsid w:val="00641F06"/>
    <w:rsid w:val="00647C89"/>
    <w:rsid w:val="006638DB"/>
    <w:rsid w:val="006645A0"/>
    <w:rsid w:val="0067074F"/>
    <w:rsid w:val="0067207F"/>
    <w:rsid w:val="00673FC7"/>
    <w:rsid w:val="00675C21"/>
    <w:rsid w:val="00681DD0"/>
    <w:rsid w:val="0068559F"/>
    <w:rsid w:val="0069265C"/>
    <w:rsid w:val="006A35BB"/>
    <w:rsid w:val="006A4FEF"/>
    <w:rsid w:val="006A58DA"/>
    <w:rsid w:val="006B0BD6"/>
    <w:rsid w:val="006B4559"/>
    <w:rsid w:val="006B77A4"/>
    <w:rsid w:val="006C127C"/>
    <w:rsid w:val="006C665D"/>
    <w:rsid w:val="006C7144"/>
    <w:rsid w:val="006D07A5"/>
    <w:rsid w:val="006D23F5"/>
    <w:rsid w:val="006D27F1"/>
    <w:rsid w:val="006D2DD6"/>
    <w:rsid w:val="006D3D7A"/>
    <w:rsid w:val="006D4223"/>
    <w:rsid w:val="006D5336"/>
    <w:rsid w:val="006E26C5"/>
    <w:rsid w:val="006E4E0D"/>
    <w:rsid w:val="006F1161"/>
    <w:rsid w:val="006F1F42"/>
    <w:rsid w:val="006F2A2D"/>
    <w:rsid w:val="006F492E"/>
    <w:rsid w:val="0070291A"/>
    <w:rsid w:val="007036A4"/>
    <w:rsid w:val="00703F73"/>
    <w:rsid w:val="0070482B"/>
    <w:rsid w:val="00711A40"/>
    <w:rsid w:val="00726903"/>
    <w:rsid w:val="00726E5A"/>
    <w:rsid w:val="007273E4"/>
    <w:rsid w:val="00737BEB"/>
    <w:rsid w:val="00737C03"/>
    <w:rsid w:val="007457CE"/>
    <w:rsid w:val="00750B4D"/>
    <w:rsid w:val="00757126"/>
    <w:rsid w:val="00757DAB"/>
    <w:rsid w:val="007615E2"/>
    <w:rsid w:val="00772AB7"/>
    <w:rsid w:val="00772EAA"/>
    <w:rsid w:val="00781817"/>
    <w:rsid w:val="00781F7E"/>
    <w:rsid w:val="00781FA5"/>
    <w:rsid w:val="00783519"/>
    <w:rsid w:val="00783CEC"/>
    <w:rsid w:val="007901BD"/>
    <w:rsid w:val="00790451"/>
    <w:rsid w:val="00790EC0"/>
    <w:rsid w:val="00791803"/>
    <w:rsid w:val="007950F0"/>
    <w:rsid w:val="00795CB6"/>
    <w:rsid w:val="007A1AB8"/>
    <w:rsid w:val="007A474B"/>
    <w:rsid w:val="007B2915"/>
    <w:rsid w:val="007C7A44"/>
    <w:rsid w:val="007D0CA5"/>
    <w:rsid w:val="007D161B"/>
    <w:rsid w:val="007D6736"/>
    <w:rsid w:val="007D6D23"/>
    <w:rsid w:val="007D755C"/>
    <w:rsid w:val="007E00EB"/>
    <w:rsid w:val="007E4D6E"/>
    <w:rsid w:val="007F695D"/>
    <w:rsid w:val="007F72D4"/>
    <w:rsid w:val="00801576"/>
    <w:rsid w:val="00804E04"/>
    <w:rsid w:val="00811F12"/>
    <w:rsid w:val="0081441F"/>
    <w:rsid w:val="008152F8"/>
    <w:rsid w:val="00820BCF"/>
    <w:rsid w:val="00827403"/>
    <w:rsid w:val="008320C8"/>
    <w:rsid w:val="00834E79"/>
    <w:rsid w:val="008374B9"/>
    <w:rsid w:val="0084011D"/>
    <w:rsid w:val="008419F6"/>
    <w:rsid w:val="008456ED"/>
    <w:rsid w:val="00847160"/>
    <w:rsid w:val="00854A98"/>
    <w:rsid w:val="00854AF1"/>
    <w:rsid w:val="008555B8"/>
    <w:rsid w:val="00855A0B"/>
    <w:rsid w:val="00863D86"/>
    <w:rsid w:val="008711D4"/>
    <w:rsid w:val="0087442D"/>
    <w:rsid w:val="00884389"/>
    <w:rsid w:val="008862D6"/>
    <w:rsid w:val="00890BE0"/>
    <w:rsid w:val="00891938"/>
    <w:rsid w:val="00894294"/>
    <w:rsid w:val="008A1A40"/>
    <w:rsid w:val="008A552E"/>
    <w:rsid w:val="008B198D"/>
    <w:rsid w:val="008B4914"/>
    <w:rsid w:val="008C0771"/>
    <w:rsid w:val="008C242D"/>
    <w:rsid w:val="008C563C"/>
    <w:rsid w:val="008C746A"/>
    <w:rsid w:val="008D0B62"/>
    <w:rsid w:val="008D380A"/>
    <w:rsid w:val="008E35FF"/>
    <w:rsid w:val="008E365A"/>
    <w:rsid w:val="008F4375"/>
    <w:rsid w:val="008F69B3"/>
    <w:rsid w:val="00902DE3"/>
    <w:rsid w:val="00902FEC"/>
    <w:rsid w:val="00915534"/>
    <w:rsid w:val="0091553E"/>
    <w:rsid w:val="009168FC"/>
    <w:rsid w:val="00917C62"/>
    <w:rsid w:val="00927777"/>
    <w:rsid w:val="0094156E"/>
    <w:rsid w:val="00942F41"/>
    <w:rsid w:val="00950A44"/>
    <w:rsid w:val="0095116D"/>
    <w:rsid w:val="00951843"/>
    <w:rsid w:val="00952628"/>
    <w:rsid w:val="009555E8"/>
    <w:rsid w:val="0095687C"/>
    <w:rsid w:val="009657ED"/>
    <w:rsid w:val="0097000D"/>
    <w:rsid w:val="00971520"/>
    <w:rsid w:val="00973206"/>
    <w:rsid w:val="00973FEA"/>
    <w:rsid w:val="009774F8"/>
    <w:rsid w:val="00980361"/>
    <w:rsid w:val="00982A7F"/>
    <w:rsid w:val="00992349"/>
    <w:rsid w:val="00994B3C"/>
    <w:rsid w:val="00994FF6"/>
    <w:rsid w:val="00997566"/>
    <w:rsid w:val="009978B1"/>
    <w:rsid w:val="009A2600"/>
    <w:rsid w:val="009A3634"/>
    <w:rsid w:val="009A4EC6"/>
    <w:rsid w:val="009C0D98"/>
    <w:rsid w:val="009C3143"/>
    <w:rsid w:val="009C7D3C"/>
    <w:rsid w:val="009D3B7B"/>
    <w:rsid w:val="009D631B"/>
    <w:rsid w:val="009E3DC8"/>
    <w:rsid w:val="009E42E6"/>
    <w:rsid w:val="009E4A53"/>
    <w:rsid w:val="009E6FE9"/>
    <w:rsid w:val="009E70CC"/>
    <w:rsid w:val="009F3F3E"/>
    <w:rsid w:val="009F6EFB"/>
    <w:rsid w:val="00A01F09"/>
    <w:rsid w:val="00A03280"/>
    <w:rsid w:val="00A06B2E"/>
    <w:rsid w:val="00A07E33"/>
    <w:rsid w:val="00A10093"/>
    <w:rsid w:val="00A11FEA"/>
    <w:rsid w:val="00A13994"/>
    <w:rsid w:val="00A13A9C"/>
    <w:rsid w:val="00A13F3E"/>
    <w:rsid w:val="00A140B5"/>
    <w:rsid w:val="00A14999"/>
    <w:rsid w:val="00A25810"/>
    <w:rsid w:val="00A32691"/>
    <w:rsid w:val="00A33397"/>
    <w:rsid w:val="00A34C67"/>
    <w:rsid w:val="00A4692E"/>
    <w:rsid w:val="00A613B9"/>
    <w:rsid w:val="00A75E8C"/>
    <w:rsid w:val="00A77AF4"/>
    <w:rsid w:val="00A801A7"/>
    <w:rsid w:val="00A81B9E"/>
    <w:rsid w:val="00A83BF4"/>
    <w:rsid w:val="00A86BF5"/>
    <w:rsid w:val="00A872CC"/>
    <w:rsid w:val="00A96FC3"/>
    <w:rsid w:val="00AA02B2"/>
    <w:rsid w:val="00AA5132"/>
    <w:rsid w:val="00AA5EA3"/>
    <w:rsid w:val="00AA7B6C"/>
    <w:rsid w:val="00AB48AD"/>
    <w:rsid w:val="00AC32AB"/>
    <w:rsid w:val="00AC33C1"/>
    <w:rsid w:val="00AC65ED"/>
    <w:rsid w:val="00AD03DC"/>
    <w:rsid w:val="00AD1318"/>
    <w:rsid w:val="00AD13B6"/>
    <w:rsid w:val="00AD2F57"/>
    <w:rsid w:val="00AE137F"/>
    <w:rsid w:val="00AE1539"/>
    <w:rsid w:val="00AE1C95"/>
    <w:rsid w:val="00AE561E"/>
    <w:rsid w:val="00B06AC8"/>
    <w:rsid w:val="00B07337"/>
    <w:rsid w:val="00B11D79"/>
    <w:rsid w:val="00B1595B"/>
    <w:rsid w:val="00B23A24"/>
    <w:rsid w:val="00B23C17"/>
    <w:rsid w:val="00B23D58"/>
    <w:rsid w:val="00B23EC6"/>
    <w:rsid w:val="00B31CEB"/>
    <w:rsid w:val="00B44934"/>
    <w:rsid w:val="00B47006"/>
    <w:rsid w:val="00B51816"/>
    <w:rsid w:val="00B52BC9"/>
    <w:rsid w:val="00B54CAB"/>
    <w:rsid w:val="00B62337"/>
    <w:rsid w:val="00B63349"/>
    <w:rsid w:val="00B6447F"/>
    <w:rsid w:val="00B65112"/>
    <w:rsid w:val="00B71A0B"/>
    <w:rsid w:val="00B9009A"/>
    <w:rsid w:val="00B9381B"/>
    <w:rsid w:val="00B96769"/>
    <w:rsid w:val="00BA5BFE"/>
    <w:rsid w:val="00BB63F4"/>
    <w:rsid w:val="00BC056A"/>
    <w:rsid w:val="00BC2466"/>
    <w:rsid w:val="00BC3FB2"/>
    <w:rsid w:val="00BC5236"/>
    <w:rsid w:val="00BD5FBA"/>
    <w:rsid w:val="00BE7668"/>
    <w:rsid w:val="00BF0F88"/>
    <w:rsid w:val="00BF2AF6"/>
    <w:rsid w:val="00BF5D5C"/>
    <w:rsid w:val="00C0213A"/>
    <w:rsid w:val="00C04595"/>
    <w:rsid w:val="00C10C96"/>
    <w:rsid w:val="00C15DF0"/>
    <w:rsid w:val="00C16C25"/>
    <w:rsid w:val="00C17728"/>
    <w:rsid w:val="00C220B1"/>
    <w:rsid w:val="00C22386"/>
    <w:rsid w:val="00C22E12"/>
    <w:rsid w:val="00C2542E"/>
    <w:rsid w:val="00C26294"/>
    <w:rsid w:val="00C31921"/>
    <w:rsid w:val="00C36628"/>
    <w:rsid w:val="00C36AB8"/>
    <w:rsid w:val="00C4092A"/>
    <w:rsid w:val="00C427C3"/>
    <w:rsid w:val="00C435AE"/>
    <w:rsid w:val="00C461F8"/>
    <w:rsid w:val="00C4769B"/>
    <w:rsid w:val="00C54F75"/>
    <w:rsid w:val="00C633C0"/>
    <w:rsid w:val="00C672EB"/>
    <w:rsid w:val="00C82711"/>
    <w:rsid w:val="00C86072"/>
    <w:rsid w:val="00CA70A3"/>
    <w:rsid w:val="00CA7AC4"/>
    <w:rsid w:val="00CB40E9"/>
    <w:rsid w:val="00CB4411"/>
    <w:rsid w:val="00CC0750"/>
    <w:rsid w:val="00CC378F"/>
    <w:rsid w:val="00CC414E"/>
    <w:rsid w:val="00CC45E4"/>
    <w:rsid w:val="00CD2D6D"/>
    <w:rsid w:val="00CD565A"/>
    <w:rsid w:val="00CD61F5"/>
    <w:rsid w:val="00CE7992"/>
    <w:rsid w:val="00CF12AA"/>
    <w:rsid w:val="00CF1535"/>
    <w:rsid w:val="00CF233E"/>
    <w:rsid w:val="00CF38F2"/>
    <w:rsid w:val="00CF542D"/>
    <w:rsid w:val="00CF5B8D"/>
    <w:rsid w:val="00CF6A6A"/>
    <w:rsid w:val="00D0431D"/>
    <w:rsid w:val="00D043CC"/>
    <w:rsid w:val="00D04E57"/>
    <w:rsid w:val="00D056A8"/>
    <w:rsid w:val="00D06FA8"/>
    <w:rsid w:val="00D1042E"/>
    <w:rsid w:val="00D111C9"/>
    <w:rsid w:val="00D177E2"/>
    <w:rsid w:val="00D255A2"/>
    <w:rsid w:val="00D275FD"/>
    <w:rsid w:val="00D32682"/>
    <w:rsid w:val="00D3516D"/>
    <w:rsid w:val="00D35AED"/>
    <w:rsid w:val="00D3659F"/>
    <w:rsid w:val="00D4169A"/>
    <w:rsid w:val="00D433B0"/>
    <w:rsid w:val="00D442EA"/>
    <w:rsid w:val="00D4667F"/>
    <w:rsid w:val="00D468CF"/>
    <w:rsid w:val="00D526B4"/>
    <w:rsid w:val="00D53AB0"/>
    <w:rsid w:val="00D5454C"/>
    <w:rsid w:val="00D63FF8"/>
    <w:rsid w:val="00D70727"/>
    <w:rsid w:val="00D722B9"/>
    <w:rsid w:val="00D7744D"/>
    <w:rsid w:val="00D80D1A"/>
    <w:rsid w:val="00D81060"/>
    <w:rsid w:val="00D81128"/>
    <w:rsid w:val="00D8165D"/>
    <w:rsid w:val="00D83F64"/>
    <w:rsid w:val="00D847AF"/>
    <w:rsid w:val="00D90C93"/>
    <w:rsid w:val="00DA0AEE"/>
    <w:rsid w:val="00DA11BA"/>
    <w:rsid w:val="00DA2C24"/>
    <w:rsid w:val="00DA4D42"/>
    <w:rsid w:val="00DB3008"/>
    <w:rsid w:val="00DC094B"/>
    <w:rsid w:val="00DC1B38"/>
    <w:rsid w:val="00DC3D0F"/>
    <w:rsid w:val="00DE1F4C"/>
    <w:rsid w:val="00DE1F61"/>
    <w:rsid w:val="00DE3DEF"/>
    <w:rsid w:val="00DE6BB5"/>
    <w:rsid w:val="00DF0A42"/>
    <w:rsid w:val="00DF19CF"/>
    <w:rsid w:val="00DF3216"/>
    <w:rsid w:val="00DF477B"/>
    <w:rsid w:val="00DF7EA7"/>
    <w:rsid w:val="00E00C2B"/>
    <w:rsid w:val="00E02679"/>
    <w:rsid w:val="00E23748"/>
    <w:rsid w:val="00E27993"/>
    <w:rsid w:val="00E3018D"/>
    <w:rsid w:val="00E31AB5"/>
    <w:rsid w:val="00E31DE1"/>
    <w:rsid w:val="00E32E91"/>
    <w:rsid w:val="00E409E3"/>
    <w:rsid w:val="00E425FD"/>
    <w:rsid w:val="00E47FB3"/>
    <w:rsid w:val="00E539AC"/>
    <w:rsid w:val="00E53CCB"/>
    <w:rsid w:val="00E544D3"/>
    <w:rsid w:val="00E54AF1"/>
    <w:rsid w:val="00E56B2B"/>
    <w:rsid w:val="00E61EA9"/>
    <w:rsid w:val="00E64182"/>
    <w:rsid w:val="00E71899"/>
    <w:rsid w:val="00E733A5"/>
    <w:rsid w:val="00E74DFC"/>
    <w:rsid w:val="00E75D6C"/>
    <w:rsid w:val="00E90445"/>
    <w:rsid w:val="00E90859"/>
    <w:rsid w:val="00EA04B5"/>
    <w:rsid w:val="00EA13CA"/>
    <w:rsid w:val="00EA1937"/>
    <w:rsid w:val="00EA2DAE"/>
    <w:rsid w:val="00EA3B11"/>
    <w:rsid w:val="00EA5AEF"/>
    <w:rsid w:val="00EA7420"/>
    <w:rsid w:val="00EB0ABB"/>
    <w:rsid w:val="00EB6D18"/>
    <w:rsid w:val="00EB72FB"/>
    <w:rsid w:val="00EB76E3"/>
    <w:rsid w:val="00EC0066"/>
    <w:rsid w:val="00EC3F7A"/>
    <w:rsid w:val="00EC3FFE"/>
    <w:rsid w:val="00EC6429"/>
    <w:rsid w:val="00EC6DC9"/>
    <w:rsid w:val="00ED32C6"/>
    <w:rsid w:val="00ED5451"/>
    <w:rsid w:val="00EE0B78"/>
    <w:rsid w:val="00EE2A29"/>
    <w:rsid w:val="00EE4AA3"/>
    <w:rsid w:val="00EE5A85"/>
    <w:rsid w:val="00EE659B"/>
    <w:rsid w:val="00EF0749"/>
    <w:rsid w:val="00EF3B13"/>
    <w:rsid w:val="00F02F18"/>
    <w:rsid w:val="00F05F8D"/>
    <w:rsid w:val="00F1098E"/>
    <w:rsid w:val="00F15065"/>
    <w:rsid w:val="00F1584D"/>
    <w:rsid w:val="00F16429"/>
    <w:rsid w:val="00F16C0C"/>
    <w:rsid w:val="00F2186C"/>
    <w:rsid w:val="00F2394E"/>
    <w:rsid w:val="00F30C5B"/>
    <w:rsid w:val="00F3367B"/>
    <w:rsid w:val="00F35BAB"/>
    <w:rsid w:val="00F41A0A"/>
    <w:rsid w:val="00F436EF"/>
    <w:rsid w:val="00F45243"/>
    <w:rsid w:val="00F45549"/>
    <w:rsid w:val="00F47B32"/>
    <w:rsid w:val="00F51A07"/>
    <w:rsid w:val="00F56132"/>
    <w:rsid w:val="00F61969"/>
    <w:rsid w:val="00F64B92"/>
    <w:rsid w:val="00F65A77"/>
    <w:rsid w:val="00F6666D"/>
    <w:rsid w:val="00F70AE7"/>
    <w:rsid w:val="00F714A9"/>
    <w:rsid w:val="00F71850"/>
    <w:rsid w:val="00F73564"/>
    <w:rsid w:val="00F7477D"/>
    <w:rsid w:val="00F75A54"/>
    <w:rsid w:val="00F75B01"/>
    <w:rsid w:val="00F80448"/>
    <w:rsid w:val="00F812B8"/>
    <w:rsid w:val="00F86ACF"/>
    <w:rsid w:val="00F93178"/>
    <w:rsid w:val="00FA205D"/>
    <w:rsid w:val="00FA272B"/>
    <w:rsid w:val="00FA2744"/>
    <w:rsid w:val="00FB54ED"/>
    <w:rsid w:val="00FC10E8"/>
    <w:rsid w:val="00FC3767"/>
    <w:rsid w:val="00FC66B9"/>
    <w:rsid w:val="00FD15A3"/>
    <w:rsid w:val="00FD771A"/>
    <w:rsid w:val="00FE0029"/>
    <w:rsid w:val="00FE0141"/>
    <w:rsid w:val="00FE608E"/>
    <w:rsid w:val="00FE7213"/>
    <w:rsid w:val="00FF0196"/>
    <w:rsid w:val="00FF0C30"/>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3"/>
    <o:shapelayout v:ext="edit">
      <o:idmap v:ext="edit" data="1"/>
    </o:shapelayout>
  </w:shapeDefaults>
  <w:decimalSymbol w:val="."/>
  <w:listSeparator w:val=","/>
  <w14:docId w14:val="5EA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74UD3H3CCC5Y-2-30</_dlc_DocId>
    <_dlc_DocIdUrl xmlns="76e98581-4ef5-4bec-82d7-f3edb794b5bc">
      <Url>https://collab.ecm.census.gov/teamsites/sipp/_layouts/DocIdRedir.aspx?ID=74UD3H3CCC5Y-2-30</Url>
      <Description>74UD3H3CCC5Y-2-30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2.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3.xml><?xml version="1.0" encoding="utf-8"?>
<ds:datastoreItem xmlns:ds="http://schemas.openxmlformats.org/officeDocument/2006/customXml" ds:itemID="{E0F991B0-7149-4415-8CA9-1885AAD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43CC2-E584-44C2-BBFF-C30957FA74E8}">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6e98581-4ef5-4bec-82d7-f3edb794b5b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B14138A-D298-4EA0-BB8A-AFF5CD36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SYSTEM</cp:lastModifiedBy>
  <cp:revision>2</cp:revision>
  <cp:lastPrinted>2017-09-06T19:36:00Z</cp:lastPrinted>
  <dcterms:created xsi:type="dcterms:W3CDTF">2017-09-19T17:48:00Z</dcterms:created>
  <dcterms:modified xsi:type="dcterms:W3CDTF">2017-09-19T17:48:00Z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0x010100FBD82C100471EB46B2187F27F5504ABD</vt:lpwstr>
  </property>
  <property fmtid="{D5CDD505-2E9C-101B-9397-08002B2CF9AE}" pid="9" name="_dlc_DocIdItemGuid">
    <vt:lpwstr>cfe0a8ec-8a28-428d-bba5-d73934d310e2</vt:lpwstr>
  </property>
</Properties>
</file>