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8F6" w:rsidRDefault="008D08F6" w:rsidP="00A34A97">
      <w:pPr>
        <w:pStyle w:val="DFARS"/>
      </w:pPr>
      <w:bookmarkStart w:id="0" w:name="_GoBack"/>
      <w:bookmarkEnd w:id="0"/>
    </w:p>
    <w:p w:rsidR="008D08F6" w:rsidRDefault="008D08F6" w:rsidP="00A34A97">
      <w:pPr>
        <w:pStyle w:val="DFARS"/>
        <w:rPr>
          <w:b/>
        </w:rPr>
      </w:pPr>
      <w:bookmarkStart w:id="1" w:name="252.219-7003"/>
      <w:bookmarkStart w:id="2" w:name="BM252219"/>
      <w:r>
        <w:rPr>
          <w:b/>
        </w:rPr>
        <w:t>252.219-7003</w:t>
      </w:r>
      <w:bookmarkEnd w:id="1"/>
      <w:r>
        <w:rPr>
          <w:b/>
        </w:rPr>
        <w:t xml:space="preserve">  Small Business</w:t>
      </w:r>
      <w:r>
        <w:t xml:space="preserve"> </w:t>
      </w:r>
      <w:r>
        <w:rPr>
          <w:b/>
        </w:rPr>
        <w:t>Subcontracting Plan (DoD Contracts).</w:t>
      </w:r>
      <w:bookmarkEnd w:id="2"/>
    </w:p>
    <w:p w:rsidR="008D08F6" w:rsidRDefault="008D08F6" w:rsidP="00A34A97">
      <w:pPr>
        <w:pStyle w:val="DFARS"/>
      </w:pPr>
    </w:p>
    <w:p w:rsidR="008D08F6" w:rsidRDefault="008D08F6" w:rsidP="00A34A97">
      <w:pPr>
        <w:pStyle w:val="DFARS"/>
      </w:pPr>
      <w:r>
        <w:rPr>
          <w:rStyle w:val="Emphasis"/>
        </w:rPr>
        <w:tab/>
        <w:t>Basic</w:t>
      </w:r>
      <w:r>
        <w:t xml:space="preserve">. As prescribed in </w:t>
      </w:r>
      <w:hyperlink r:id="rId8" w:anchor="219.708" w:history="1">
        <w:r>
          <w:rPr>
            <w:rStyle w:val="Hyperlink"/>
          </w:rPr>
          <w:t>219.708</w:t>
        </w:r>
      </w:hyperlink>
      <w:r>
        <w:t>(b)(1)(A) and (b)(1)(A)(</w:t>
      </w:r>
      <w:r>
        <w:rPr>
          <w:rStyle w:val="Emphasis"/>
        </w:rPr>
        <w:t>1</w:t>
      </w:r>
      <w:r>
        <w:t>), use the following clause:</w:t>
      </w:r>
    </w:p>
    <w:p w:rsidR="008D08F6" w:rsidRDefault="008D08F6" w:rsidP="00A34A97">
      <w:pPr>
        <w:pStyle w:val="DFARS"/>
      </w:pPr>
    </w:p>
    <w:p w:rsidR="00977477" w:rsidRDefault="008D08F6" w:rsidP="008D08F6">
      <w:pPr>
        <w:pStyle w:val="DFARS"/>
        <w:jc w:val="center"/>
        <w:rPr>
          <w:caps/>
        </w:rPr>
      </w:pPr>
      <w:r>
        <w:rPr>
          <w:caps/>
        </w:rPr>
        <w:t>SMALL BUSINESS SUBCONTRACTING PLAN (DOD CONTRACTS)—</w:t>
      </w:r>
    </w:p>
    <w:p w:rsidR="008D08F6" w:rsidRDefault="008D08F6" w:rsidP="008D08F6">
      <w:pPr>
        <w:pStyle w:val="DFARS"/>
        <w:jc w:val="center"/>
        <w:rPr>
          <w:caps/>
        </w:rPr>
      </w:pPr>
      <w:r>
        <w:rPr>
          <w:caps/>
        </w:rPr>
        <w:t>BASIC</w:t>
      </w:r>
      <w:r w:rsidR="00977477">
        <w:rPr>
          <w:caps/>
        </w:rPr>
        <w:t xml:space="preserve"> </w:t>
      </w:r>
      <w:r>
        <w:rPr>
          <w:caps/>
        </w:rPr>
        <w:t>(MAR 2016)</w:t>
      </w:r>
    </w:p>
    <w:p w:rsidR="008D08F6" w:rsidRDefault="008D08F6" w:rsidP="008D08F6">
      <w:pPr>
        <w:pStyle w:val="DFARS"/>
        <w:rPr>
          <w:caps/>
        </w:rPr>
      </w:pPr>
    </w:p>
    <w:p w:rsidR="008D08F6" w:rsidRDefault="008D08F6" w:rsidP="008D08F6">
      <w:pPr>
        <w:pStyle w:val="DFARS"/>
      </w:pPr>
      <w:r>
        <w:t>This clause supplements the Federal Acquisition Regulation 52.219-9, Small Business Subcontracting Plan, clause of this contract.</w:t>
      </w:r>
    </w:p>
    <w:p w:rsidR="008D08F6" w:rsidRDefault="008D08F6" w:rsidP="008D08F6">
      <w:pPr>
        <w:pStyle w:val="DFARS"/>
      </w:pPr>
    </w:p>
    <w:p w:rsidR="008D08F6" w:rsidRDefault="008D08F6" w:rsidP="008D08F6">
      <w:pPr>
        <w:pStyle w:val="DFARS"/>
      </w:pPr>
      <w:r>
        <w:tab/>
        <w:t xml:space="preserve">(a)  </w:t>
      </w:r>
      <w:r>
        <w:rPr>
          <w:i/>
        </w:rPr>
        <w:t>Definitions.</w:t>
      </w:r>
      <w:r>
        <w:t xml:space="preserve">  “Summary Subcontract Report (SSR) Coordinator,” as used in this clause, means the individual at the department or agency level who is registered in the Electronic Subcontracting Reporting System (eSRS) and is responsible for acknowledging receipt or rejecting SSRs in eSRS for the department or agency.</w:t>
      </w:r>
    </w:p>
    <w:p w:rsidR="008D08F6" w:rsidRDefault="008D08F6" w:rsidP="008D08F6">
      <w:pPr>
        <w:pStyle w:val="DFARS"/>
      </w:pPr>
    </w:p>
    <w:p w:rsidR="008D08F6" w:rsidRDefault="003427DD" w:rsidP="008D08F6">
      <w:pPr>
        <w:pStyle w:val="DFARS"/>
      </w:pPr>
      <w:r>
        <w:tab/>
        <w:t>(b)  Subcontracts awarded to workshops approved by the Committee for Purchase from People Who are Blind or Severely Disabled (41 U.S.C. 8502-8504), may be counted toward the Contractor’s small business subcontracting goal.</w:t>
      </w:r>
    </w:p>
    <w:p w:rsidR="008D08F6" w:rsidRDefault="008D08F6" w:rsidP="008D08F6">
      <w:pPr>
        <w:pStyle w:val="DFARS"/>
      </w:pPr>
    </w:p>
    <w:p w:rsidR="003427DD" w:rsidRDefault="003427DD" w:rsidP="008D08F6">
      <w:pPr>
        <w:pStyle w:val="DFARS"/>
      </w:pPr>
      <w:r>
        <w:tab/>
        <w:t>(c)  A mentor firm, under the Pilot Mentor-Protege Program established under section 831 of Public Law 101-510, as amended, may count toward its small disadvantaged business goal, subcontracts awarded to—</w:t>
      </w:r>
    </w:p>
    <w:p w:rsidR="003427DD" w:rsidRDefault="003427DD" w:rsidP="008D08F6">
      <w:pPr>
        <w:pStyle w:val="DFARS"/>
      </w:pPr>
    </w:p>
    <w:p w:rsidR="003427DD" w:rsidRPr="003427DD" w:rsidRDefault="003427DD" w:rsidP="003427DD">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3427DD">
        <w:rPr>
          <w:rFonts w:ascii="Century Schoolbook" w:eastAsia="Times New Roman" w:hAnsi="Century Schoolbook" w:cs="Times New Roman"/>
          <w:spacing w:val="-5"/>
          <w:kern w:val="20"/>
          <w:sz w:val="24"/>
          <w:szCs w:val="20"/>
        </w:rPr>
        <w:tab/>
      </w:r>
      <w:r w:rsidRPr="003427DD">
        <w:rPr>
          <w:rFonts w:ascii="Century Schoolbook" w:eastAsia="Times New Roman" w:hAnsi="Century Schoolbook" w:cs="Times New Roman"/>
          <w:spacing w:val="-5"/>
          <w:kern w:val="20"/>
          <w:sz w:val="24"/>
          <w:szCs w:val="20"/>
        </w:rPr>
        <w:tab/>
        <w:t>(1)  Protege firms which are qualified organizations emplo</w:t>
      </w:r>
      <w:r>
        <w:rPr>
          <w:rFonts w:ascii="Century Schoolbook" w:eastAsia="Times New Roman" w:hAnsi="Century Schoolbook" w:cs="Times New Roman"/>
          <w:spacing w:val="-5"/>
          <w:kern w:val="20"/>
          <w:sz w:val="24"/>
          <w:szCs w:val="20"/>
        </w:rPr>
        <w:t>ying the severely disabled; and</w:t>
      </w:r>
    </w:p>
    <w:p w:rsidR="003427DD" w:rsidRPr="003427DD" w:rsidRDefault="003427DD" w:rsidP="003427DD">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3427DD" w:rsidRPr="003427DD" w:rsidRDefault="003427DD" w:rsidP="003427DD">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3427DD">
        <w:rPr>
          <w:rFonts w:ascii="Century Schoolbook" w:eastAsia="Times New Roman" w:hAnsi="Century Schoolbook" w:cs="Times New Roman"/>
          <w:spacing w:val="-5"/>
          <w:kern w:val="20"/>
          <w:sz w:val="24"/>
          <w:szCs w:val="20"/>
        </w:rPr>
        <w:tab/>
      </w:r>
      <w:r w:rsidRPr="003427DD">
        <w:rPr>
          <w:rFonts w:ascii="Century Schoolbook" w:eastAsia="Times New Roman" w:hAnsi="Century Schoolbook" w:cs="Times New Roman"/>
          <w:spacing w:val="-5"/>
          <w:kern w:val="20"/>
          <w:sz w:val="24"/>
          <w:szCs w:val="20"/>
        </w:rPr>
        <w:tab/>
        <w:t>(2)  Former protege firms that meet the criteria in section 831(g)(4) of Public Law 101-510.</w:t>
      </w:r>
    </w:p>
    <w:p w:rsidR="003427DD" w:rsidRPr="003427DD" w:rsidRDefault="003427DD" w:rsidP="003427DD">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b/>
          <w:spacing w:val="-5"/>
          <w:kern w:val="20"/>
          <w:sz w:val="24"/>
          <w:szCs w:val="20"/>
        </w:rPr>
      </w:pPr>
    </w:p>
    <w:p w:rsidR="003427DD" w:rsidRPr="003427DD" w:rsidRDefault="003427DD" w:rsidP="003427DD">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3427DD">
        <w:rPr>
          <w:rFonts w:ascii="Century Schoolbook" w:eastAsia="Times New Roman" w:hAnsi="Century Schoolbook" w:cs="Times New Roman"/>
          <w:spacing w:val="-5"/>
          <w:kern w:val="20"/>
          <w:sz w:val="24"/>
          <w:szCs w:val="20"/>
        </w:rPr>
        <w:tab/>
        <w:t>(d)  The master plan is approved by the Contractor's cognizant co</w:t>
      </w:r>
      <w:r>
        <w:rPr>
          <w:rFonts w:ascii="Century Schoolbook" w:eastAsia="Times New Roman" w:hAnsi="Century Schoolbook" w:cs="Times New Roman"/>
          <w:spacing w:val="-5"/>
          <w:kern w:val="20"/>
          <w:sz w:val="24"/>
          <w:szCs w:val="20"/>
        </w:rPr>
        <w:t>ntract administration activity.</w:t>
      </w:r>
    </w:p>
    <w:p w:rsidR="003427DD" w:rsidRPr="003427DD" w:rsidRDefault="003427DD" w:rsidP="003427DD">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3427DD" w:rsidRPr="003427DD" w:rsidRDefault="003427DD" w:rsidP="003427DD">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3427DD">
        <w:rPr>
          <w:rFonts w:ascii="Century Schoolbook" w:eastAsia="Times New Roman" w:hAnsi="Century Schoolbook" w:cs="Times New Roman"/>
          <w:spacing w:val="-5"/>
          <w:kern w:val="20"/>
          <w:sz w:val="24"/>
          <w:szCs w:val="20"/>
        </w:rPr>
        <w:tab/>
        <w:t>(e)  In those subcontracting plans which specifically identify small businesses, the Contractor shall notify the Administrative Contracting Officer of any substitutions of firms that are not small business firms, for the small business firms specifically identified in the subcontracting plan. Notifications shall be in writing and shall occur within a reasonable period of time after award of the subcontract. Contractor-specifi</w:t>
      </w:r>
      <w:r>
        <w:rPr>
          <w:rFonts w:ascii="Century Schoolbook" w:eastAsia="Times New Roman" w:hAnsi="Century Schoolbook" w:cs="Times New Roman"/>
          <w:spacing w:val="-5"/>
          <w:kern w:val="20"/>
          <w:sz w:val="24"/>
          <w:szCs w:val="20"/>
        </w:rPr>
        <w:t>ed formats shall be acceptable.</w:t>
      </w:r>
    </w:p>
    <w:p w:rsidR="003427DD" w:rsidRPr="003427DD" w:rsidRDefault="003427DD" w:rsidP="003427DD">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b/>
          <w:spacing w:val="-5"/>
          <w:kern w:val="20"/>
          <w:sz w:val="24"/>
          <w:szCs w:val="20"/>
        </w:rPr>
      </w:pPr>
    </w:p>
    <w:p w:rsidR="003427DD" w:rsidRPr="003427DD" w:rsidRDefault="003427DD" w:rsidP="003427DD">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3427DD">
        <w:rPr>
          <w:rFonts w:ascii="Century Schoolbook" w:eastAsia="Times New Roman" w:hAnsi="Century Schoolbook" w:cs="Times New Roman"/>
          <w:spacing w:val="-5"/>
          <w:kern w:val="20"/>
          <w:sz w:val="24"/>
          <w:szCs w:val="20"/>
        </w:rPr>
        <w:tab/>
        <w:t>(f)(1)  For DoD, the Contractor shall sub</w:t>
      </w:r>
      <w:r>
        <w:rPr>
          <w:rFonts w:ascii="Century Schoolbook" w:eastAsia="Times New Roman" w:hAnsi="Century Schoolbook" w:cs="Times New Roman"/>
          <w:spacing w:val="-5"/>
          <w:kern w:val="20"/>
          <w:sz w:val="24"/>
          <w:szCs w:val="20"/>
        </w:rPr>
        <w:t>mit reports in eSRS as follows:</w:t>
      </w:r>
    </w:p>
    <w:p w:rsidR="003427DD" w:rsidRPr="003427DD" w:rsidRDefault="003427DD" w:rsidP="003427DD">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b/>
          <w:spacing w:val="-5"/>
          <w:kern w:val="20"/>
          <w:sz w:val="24"/>
          <w:szCs w:val="20"/>
        </w:rPr>
      </w:pPr>
    </w:p>
    <w:p w:rsidR="003427DD" w:rsidRPr="003427DD" w:rsidRDefault="003427DD" w:rsidP="003427DD">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3427DD">
        <w:rPr>
          <w:rFonts w:ascii="Century Schoolbook" w:eastAsia="Times New Roman" w:hAnsi="Century Schoolbook" w:cs="Times New Roman"/>
          <w:spacing w:val="-5"/>
          <w:kern w:val="20"/>
          <w:sz w:val="24"/>
          <w:szCs w:val="20"/>
        </w:rPr>
        <w:tab/>
      </w:r>
      <w:r w:rsidRPr="003427DD">
        <w:rPr>
          <w:rFonts w:ascii="Century Schoolbook" w:eastAsia="Times New Roman" w:hAnsi="Century Schoolbook" w:cs="Times New Roman"/>
          <w:spacing w:val="-5"/>
          <w:kern w:val="20"/>
          <w:sz w:val="24"/>
          <w:szCs w:val="20"/>
        </w:rPr>
        <w:tab/>
      </w:r>
      <w:r>
        <w:rPr>
          <w:rFonts w:ascii="Century Schoolbook" w:eastAsia="Times New Roman" w:hAnsi="Century Schoolbook" w:cs="Times New Roman"/>
          <w:spacing w:val="-5"/>
          <w:kern w:val="20"/>
          <w:sz w:val="24"/>
          <w:szCs w:val="20"/>
        </w:rPr>
        <w:tab/>
      </w:r>
      <w:r w:rsidRPr="003427DD">
        <w:rPr>
          <w:rFonts w:ascii="Century Schoolbook" w:eastAsia="Times New Roman" w:hAnsi="Century Schoolbook" w:cs="Times New Roman"/>
          <w:spacing w:val="-5"/>
          <w:kern w:val="20"/>
          <w:sz w:val="24"/>
          <w:szCs w:val="20"/>
        </w:rPr>
        <w:t>(i)  The Individual Subcontract Report (ISR) shall be submitted to the contracting officer at the procuring contracting office, even when contract administration has been delegated to the Defe</w:t>
      </w:r>
      <w:r>
        <w:rPr>
          <w:rFonts w:ascii="Century Schoolbook" w:eastAsia="Times New Roman" w:hAnsi="Century Schoolbook" w:cs="Times New Roman"/>
          <w:spacing w:val="-5"/>
          <w:kern w:val="20"/>
          <w:sz w:val="24"/>
          <w:szCs w:val="20"/>
        </w:rPr>
        <w:t>nse Contract Management Agency.</w:t>
      </w:r>
    </w:p>
    <w:p w:rsidR="003427DD" w:rsidRPr="003427DD" w:rsidRDefault="003427DD" w:rsidP="003427DD">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3427DD" w:rsidRPr="003427DD" w:rsidRDefault="003427DD" w:rsidP="003427DD">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3427DD">
        <w:rPr>
          <w:rFonts w:ascii="Century Schoolbook" w:eastAsia="Times New Roman" w:hAnsi="Century Schoolbook" w:cs="Times New Roman"/>
          <w:spacing w:val="-5"/>
          <w:kern w:val="20"/>
          <w:sz w:val="24"/>
          <w:szCs w:val="20"/>
        </w:rPr>
        <w:tab/>
      </w:r>
      <w:r w:rsidRPr="003427DD">
        <w:rPr>
          <w:rFonts w:ascii="Century Schoolbook" w:eastAsia="Times New Roman" w:hAnsi="Century Schoolbook" w:cs="Times New Roman"/>
          <w:spacing w:val="-5"/>
          <w:kern w:val="20"/>
          <w:sz w:val="24"/>
          <w:szCs w:val="20"/>
        </w:rPr>
        <w:tab/>
      </w:r>
      <w:r>
        <w:rPr>
          <w:rFonts w:ascii="Century Schoolbook" w:eastAsia="Times New Roman" w:hAnsi="Century Schoolbook" w:cs="Times New Roman"/>
          <w:spacing w:val="-5"/>
          <w:kern w:val="20"/>
          <w:sz w:val="24"/>
          <w:szCs w:val="20"/>
        </w:rPr>
        <w:tab/>
      </w:r>
      <w:r w:rsidRPr="003427DD">
        <w:rPr>
          <w:rFonts w:ascii="Century Schoolbook" w:eastAsia="Times New Roman" w:hAnsi="Century Schoolbook" w:cs="Times New Roman"/>
          <w:spacing w:val="-5"/>
          <w:kern w:val="20"/>
          <w:sz w:val="24"/>
          <w:szCs w:val="20"/>
        </w:rPr>
        <w:t>(ii)  An SSR for other than a commercial subcontracting plan, or construction and related maintenance repair contracts, shall be submitted in eSRS to the department or agency within DoD that administers the majority of the Contractor’s individual subcontracting plans. An example would be Defense Finance and Accounting Service or Missile Defense Agency.</w:t>
      </w:r>
    </w:p>
    <w:p w:rsidR="003427DD" w:rsidRPr="003427DD" w:rsidRDefault="003427DD" w:rsidP="003427DD">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b/>
          <w:spacing w:val="-5"/>
          <w:kern w:val="20"/>
          <w:sz w:val="24"/>
          <w:szCs w:val="20"/>
        </w:rPr>
      </w:pPr>
    </w:p>
    <w:p w:rsidR="003427DD" w:rsidRPr="003427DD" w:rsidRDefault="003427DD" w:rsidP="003427DD">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Pr>
          <w:rFonts w:ascii="Century Schoolbook" w:eastAsia="Times New Roman" w:hAnsi="Century Schoolbook" w:cs="Times New Roman"/>
          <w:spacing w:val="-5"/>
          <w:kern w:val="20"/>
          <w:sz w:val="24"/>
          <w:szCs w:val="20"/>
        </w:rPr>
        <w:tab/>
      </w:r>
      <w:r>
        <w:rPr>
          <w:rFonts w:ascii="Century Schoolbook" w:eastAsia="Times New Roman" w:hAnsi="Century Schoolbook" w:cs="Times New Roman"/>
          <w:spacing w:val="-5"/>
          <w:kern w:val="20"/>
          <w:sz w:val="24"/>
          <w:szCs w:val="20"/>
        </w:rPr>
        <w:tab/>
      </w:r>
      <w:r w:rsidRPr="003427DD">
        <w:rPr>
          <w:rFonts w:ascii="Century Schoolbook" w:eastAsia="Times New Roman" w:hAnsi="Century Schoolbook" w:cs="Times New Roman"/>
          <w:spacing w:val="-5"/>
          <w:kern w:val="20"/>
          <w:sz w:val="24"/>
          <w:szCs w:val="20"/>
        </w:rPr>
        <w:t>(2)</w:t>
      </w:r>
      <w:r>
        <w:rPr>
          <w:rFonts w:ascii="Century Schoolbook" w:eastAsia="Times New Roman" w:hAnsi="Century Schoolbook" w:cs="Times New Roman"/>
          <w:spacing w:val="-5"/>
          <w:kern w:val="20"/>
          <w:sz w:val="24"/>
          <w:szCs w:val="20"/>
        </w:rPr>
        <w:t xml:space="preserve">  </w:t>
      </w:r>
      <w:r w:rsidRPr="003427DD">
        <w:rPr>
          <w:rFonts w:ascii="Century Schoolbook" w:eastAsia="Times New Roman" w:hAnsi="Century Schoolbook" w:cs="Times New Roman"/>
          <w:spacing w:val="-5"/>
          <w:kern w:val="20"/>
          <w:sz w:val="24"/>
          <w:szCs w:val="20"/>
        </w:rPr>
        <w:t>For DoD, the authority to acknowledge receipt or reject reports in eSRS is as follows:</w:t>
      </w:r>
    </w:p>
    <w:p w:rsidR="003427DD" w:rsidRPr="003427DD" w:rsidRDefault="003427DD" w:rsidP="003427DD">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3427DD" w:rsidRDefault="003427DD" w:rsidP="003427DD">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Pr>
          <w:rFonts w:ascii="Century Schoolbook" w:eastAsia="Times New Roman" w:hAnsi="Century Schoolbook" w:cs="Times New Roman"/>
          <w:spacing w:val="-5"/>
          <w:kern w:val="20"/>
          <w:sz w:val="24"/>
          <w:szCs w:val="20"/>
        </w:rPr>
        <w:tab/>
      </w:r>
      <w:r>
        <w:rPr>
          <w:rFonts w:ascii="Century Schoolbook" w:eastAsia="Times New Roman" w:hAnsi="Century Schoolbook" w:cs="Times New Roman"/>
          <w:spacing w:val="-5"/>
          <w:kern w:val="20"/>
          <w:sz w:val="24"/>
          <w:szCs w:val="20"/>
        </w:rPr>
        <w:tab/>
      </w:r>
      <w:r>
        <w:rPr>
          <w:rFonts w:ascii="Century Schoolbook" w:eastAsia="Times New Roman" w:hAnsi="Century Schoolbook" w:cs="Times New Roman"/>
          <w:spacing w:val="-5"/>
          <w:kern w:val="20"/>
          <w:sz w:val="24"/>
          <w:szCs w:val="20"/>
        </w:rPr>
        <w:tab/>
      </w:r>
      <w:r w:rsidRPr="003427DD">
        <w:rPr>
          <w:rFonts w:ascii="Century Schoolbook" w:eastAsia="Times New Roman" w:hAnsi="Century Schoolbook" w:cs="Times New Roman"/>
          <w:spacing w:val="-5"/>
          <w:kern w:val="20"/>
          <w:sz w:val="24"/>
          <w:szCs w:val="20"/>
        </w:rPr>
        <w:t>(i)</w:t>
      </w:r>
      <w:r>
        <w:rPr>
          <w:rFonts w:ascii="Century Schoolbook" w:eastAsia="Times New Roman" w:hAnsi="Century Schoolbook" w:cs="Times New Roman"/>
          <w:spacing w:val="-5"/>
          <w:kern w:val="20"/>
          <w:sz w:val="24"/>
          <w:szCs w:val="20"/>
        </w:rPr>
        <w:t xml:space="preserve">  </w:t>
      </w:r>
      <w:r w:rsidRPr="003427DD">
        <w:rPr>
          <w:rFonts w:ascii="Century Schoolbook" w:eastAsia="Times New Roman" w:hAnsi="Century Schoolbook" w:cs="Times New Roman"/>
          <w:spacing w:val="-5"/>
          <w:kern w:val="20"/>
          <w:sz w:val="24"/>
          <w:szCs w:val="20"/>
        </w:rPr>
        <w:t>The authority to acknowledge receipt or reject the ISR resides with the contracting officer who receives it, as described in paragraph (f)(1)(i) of this clause.</w:t>
      </w:r>
    </w:p>
    <w:p w:rsidR="003427DD" w:rsidRPr="003427DD" w:rsidRDefault="003427DD" w:rsidP="003427DD">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3427DD" w:rsidRPr="003427DD" w:rsidRDefault="003427DD" w:rsidP="003427DD">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Pr>
          <w:rFonts w:ascii="Century Schoolbook" w:eastAsia="Times New Roman" w:hAnsi="Century Schoolbook" w:cs="Times New Roman"/>
          <w:spacing w:val="-5"/>
          <w:kern w:val="20"/>
          <w:sz w:val="24"/>
          <w:szCs w:val="20"/>
        </w:rPr>
        <w:tab/>
      </w:r>
      <w:r>
        <w:rPr>
          <w:rFonts w:ascii="Century Schoolbook" w:eastAsia="Times New Roman" w:hAnsi="Century Schoolbook" w:cs="Times New Roman"/>
          <w:spacing w:val="-5"/>
          <w:kern w:val="20"/>
          <w:sz w:val="24"/>
          <w:szCs w:val="20"/>
        </w:rPr>
        <w:tab/>
      </w:r>
      <w:r>
        <w:rPr>
          <w:rFonts w:ascii="Century Schoolbook" w:eastAsia="Times New Roman" w:hAnsi="Century Schoolbook" w:cs="Times New Roman"/>
          <w:spacing w:val="-5"/>
          <w:kern w:val="20"/>
          <w:sz w:val="24"/>
          <w:szCs w:val="20"/>
        </w:rPr>
        <w:tab/>
      </w:r>
      <w:r w:rsidRPr="003427DD">
        <w:rPr>
          <w:rFonts w:ascii="Century Schoolbook" w:eastAsia="Times New Roman" w:hAnsi="Century Schoolbook" w:cs="Times New Roman"/>
          <w:spacing w:val="-5"/>
          <w:kern w:val="20"/>
          <w:sz w:val="24"/>
          <w:szCs w:val="20"/>
        </w:rPr>
        <w:t>(ii)</w:t>
      </w:r>
      <w:r>
        <w:rPr>
          <w:rFonts w:ascii="Century Schoolbook" w:eastAsia="Times New Roman" w:hAnsi="Century Schoolbook" w:cs="Times New Roman"/>
          <w:spacing w:val="-5"/>
          <w:kern w:val="20"/>
          <w:sz w:val="24"/>
          <w:szCs w:val="20"/>
        </w:rPr>
        <w:t xml:space="preserve">  </w:t>
      </w:r>
      <w:r w:rsidRPr="003427DD">
        <w:rPr>
          <w:rFonts w:ascii="Century Schoolbook" w:eastAsia="Times New Roman" w:hAnsi="Century Schoolbook" w:cs="Times New Roman"/>
          <w:spacing w:val="-5"/>
          <w:kern w:val="20"/>
          <w:sz w:val="24"/>
          <w:szCs w:val="20"/>
        </w:rPr>
        <w:t>Except as provided in (f)(2)(iii), the authority to acknowledge receipt or reject SSRs in eSRS resides with the SSR Coordinator at the department or agency that administers the majority of the Contractor’s i</w:t>
      </w:r>
      <w:r w:rsidR="00CE1578">
        <w:rPr>
          <w:rFonts w:ascii="Century Schoolbook" w:eastAsia="Times New Roman" w:hAnsi="Century Schoolbook" w:cs="Times New Roman"/>
          <w:spacing w:val="-5"/>
          <w:kern w:val="20"/>
          <w:sz w:val="24"/>
          <w:szCs w:val="20"/>
        </w:rPr>
        <w:t>ndividual subcontracting plans.</w:t>
      </w:r>
    </w:p>
    <w:p w:rsidR="003427DD" w:rsidRPr="003427DD" w:rsidRDefault="003427DD" w:rsidP="003427DD">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3427DD" w:rsidRPr="003427DD" w:rsidRDefault="00CE1578" w:rsidP="003427DD">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Pr>
          <w:rFonts w:ascii="Century Schoolbook" w:eastAsia="Times New Roman" w:hAnsi="Century Schoolbook" w:cs="Times New Roman"/>
          <w:spacing w:val="-5"/>
          <w:kern w:val="20"/>
          <w:sz w:val="24"/>
          <w:szCs w:val="20"/>
        </w:rPr>
        <w:tab/>
      </w:r>
      <w:r>
        <w:rPr>
          <w:rFonts w:ascii="Century Schoolbook" w:eastAsia="Times New Roman" w:hAnsi="Century Schoolbook" w:cs="Times New Roman"/>
          <w:spacing w:val="-5"/>
          <w:kern w:val="20"/>
          <w:sz w:val="24"/>
          <w:szCs w:val="20"/>
        </w:rPr>
        <w:tab/>
      </w:r>
      <w:r>
        <w:rPr>
          <w:rFonts w:ascii="Century Schoolbook" w:eastAsia="Times New Roman" w:hAnsi="Century Schoolbook" w:cs="Times New Roman"/>
          <w:spacing w:val="-5"/>
          <w:kern w:val="20"/>
          <w:sz w:val="24"/>
          <w:szCs w:val="20"/>
        </w:rPr>
        <w:tab/>
      </w:r>
      <w:r w:rsidR="003427DD" w:rsidRPr="003427DD">
        <w:rPr>
          <w:rFonts w:ascii="Century Schoolbook" w:eastAsia="Times New Roman" w:hAnsi="Century Schoolbook" w:cs="Times New Roman"/>
          <w:spacing w:val="-5"/>
          <w:kern w:val="20"/>
          <w:sz w:val="24"/>
          <w:szCs w:val="20"/>
        </w:rPr>
        <w:t>(iii)</w:t>
      </w:r>
      <w:r>
        <w:rPr>
          <w:rFonts w:ascii="Century Schoolbook" w:eastAsia="Times New Roman" w:hAnsi="Century Schoolbook" w:cs="Times New Roman"/>
          <w:spacing w:val="-5"/>
          <w:kern w:val="20"/>
          <w:sz w:val="24"/>
          <w:szCs w:val="20"/>
        </w:rPr>
        <w:t xml:space="preserve">  </w:t>
      </w:r>
      <w:r w:rsidR="003427DD" w:rsidRPr="003427DD">
        <w:rPr>
          <w:rFonts w:ascii="Century Schoolbook" w:eastAsia="Times New Roman" w:hAnsi="Century Schoolbook" w:cs="Times New Roman"/>
          <w:spacing w:val="-5"/>
          <w:kern w:val="20"/>
          <w:sz w:val="24"/>
          <w:szCs w:val="20"/>
        </w:rPr>
        <w:t>The authority to acknowledge receipt or reject SSRs for construction and related maintenance and repair contracts resides with the SSR Coordinator for each department or agency.</w:t>
      </w:r>
    </w:p>
    <w:p w:rsidR="003427DD" w:rsidRPr="003427DD" w:rsidRDefault="003427DD" w:rsidP="003427DD">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3427DD" w:rsidRDefault="003427DD" w:rsidP="003427DD">
      <w:pPr>
        <w:tabs>
          <w:tab w:val="left" w:pos="360"/>
          <w:tab w:val="left" w:pos="810"/>
          <w:tab w:val="left" w:pos="1210"/>
          <w:tab w:val="left" w:pos="1656"/>
          <w:tab w:val="left" w:pos="2131"/>
          <w:tab w:val="left" w:pos="2520"/>
        </w:tabs>
        <w:spacing w:after="0" w:line="240" w:lineRule="exact"/>
        <w:jc w:val="center"/>
        <w:rPr>
          <w:rFonts w:ascii="Century Schoolbook" w:eastAsia="Times New Roman" w:hAnsi="Century Schoolbook" w:cs="Times New Roman"/>
          <w:spacing w:val="-5"/>
          <w:kern w:val="20"/>
          <w:sz w:val="24"/>
          <w:szCs w:val="20"/>
        </w:rPr>
      </w:pPr>
      <w:r w:rsidRPr="003427DD">
        <w:rPr>
          <w:rFonts w:ascii="Century Schoolbook" w:eastAsia="Times New Roman" w:hAnsi="Century Schoolbook" w:cs="Times New Roman"/>
          <w:spacing w:val="-5"/>
          <w:kern w:val="20"/>
          <w:sz w:val="24"/>
          <w:szCs w:val="20"/>
        </w:rPr>
        <w:t>(End of clause)</w:t>
      </w:r>
    </w:p>
    <w:p w:rsidR="003427DD" w:rsidRDefault="003427DD" w:rsidP="008D08F6">
      <w:pPr>
        <w:pStyle w:val="DFARS"/>
      </w:pPr>
    </w:p>
    <w:p w:rsidR="002E6596" w:rsidRDefault="002E6596" w:rsidP="008D08F6">
      <w:pPr>
        <w:pStyle w:val="DFARS"/>
      </w:pPr>
    </w:p>
    <w:p w:rsidR="00977477" w:rsidRDefault="00977477" w:rsidP="00977477">
      <w:pPr>
        <w:pStyle w:val="DFARS"/>
      </w:pPr>
      <w:r>
        <w:rPr>
          <w:rStyle w:val="Emphasis"/>
        </w:rPr>
        <w:tab/>
        <w:t>Alternate I</w:t>
      </w:r>
      <w:r>
        <w:t xml:space="preserve">. As prescribed in </w:t>
      </w:r>
      <w:hyperlink r:id="rId9" w:anchor="219.708" w:history="1">
        <w:r>
          <w:rPr>
            <w:rStyle w:val="Hyperlink"/>
          </w:rPr>
          <w:t>219.708</w:t>
        </w:r>
      </w:hyperlink>
      <w:r>
        <w:t>(b)(1)(A) and (b)(1)(A)(</w:t>
      </w:r>
      <w:r>
        <w:rPr>
          <w:rStyle w:val="Emphasis"/>
        </w:rPr>
        <w:t>2</w:t>
      </w:r>
      <w:r>
        <w:t>), use the following clause, which uses a different paragraph (f) than the basic clause.</w:t>
      </w:r>
    </w:p>
    <w:p w:rsidR="00977477" w:rsidRDefault="00977477" w:rsidP="00977477">
      <w:pPr>
        <w:pStyle w:val="DFARS"/>
      </w:pPr>
    </w:p>
    <w:p w:rsidR="00977477" w:rsidRDefault="00977477" w:rsidP="00977477">
      <w:pPr>
        <w:pStyle w:val="DFARS"/>
        <w:jc w:val="center"/>
      </w:pPr>
      <w:r>
        <w:t>SMALL BUSINESS SUBCONTRACTING PLAN (DOD CONTRACTS)—</w:t>
      </w:r>
    </w:p>
    <w:p w:rsidR="00977477" w:rsidRDefault="00977477" w:rsidP="00977477">
      <w:pPr>
        <w:pStyle w:val="DFARS"/>
        <w:jc w:val="center"/>
      </w:pPr>
      <w:r>
        <w:t>ALTERNATE I (MAR 2016)</w:t>
      </w:r>
    </w:p>
    <w:p w:rsidR="00977477" w:rsidRDefault="00977477" w:rsidP="00977477">
      <w:pPr>
        <w:pStyle w:val="DFARS"/>
      </w:pPr>
    </w:p>
    <w:p w:rsidR="00977477" w:rsidRDefault="00977477" w:rsidP="00977477">
      <w:pPr>
        <w:pStyle w:val="DFARS"/>
      </w:pPr>
      <w:r>
        <w:t>This clause supplements the Federal Acquisition Regulation 52.219-9, Small Business Subcontracting Plan, clause of this contract.</w:t>
      </w:r>
    </w:p>
    <w:p w:rsidR="00977477" w:rsidRDefault="00977477" w:rsidP="00977477">
      <w:pPr>
        <w:pStyle w:val="DFARS"/>
      </w:pPr>
    </w:p>
    <w:p w:rsidR="00977477" w:rsidRDefault="00977477" w:rsidP="00977477">
      <w:pPr>
        <w:pStyle w:val="DFARS"/>
      </w:pPr>
      <w:r>
        <w:tab/>
        <w:t xml:space="preserve">(a)  </w:t>
      </w:r>
      <w:r>
        <w:rPr>
          <w:i/>
        </w:rPr>
        <w:t>Definitions.</w:t>
      </w:r>
      <w:r>
        <w:t xml:space="preserve">  “Summary Subcontract Report (SSR) Coordinator,” as used in this clause, means the individual at the department or agency level who is registered in the Electronic Subcontracting Reporting System (eSRS) and is responsible for acknowledging receipt or rejecting SSRs in eSRS for the department or agency.</w:t>
      </w:r>
      <w:r w:rsidRPr="00977477">
        <w:t xml:space="preserve"> </w:t>
      </w:r>
    </w:p>
    <w:p w:rsidR="00977477" w:rsidRDefault="00977477" w:rsidP="00977477">
      <w:pPr>
        <w:pStyle w:val="DFARS"/>
      </w:pPr>
    </w:p>
    <w:p w:rsidR="00977477" w:rsidRDefault="00977477" w:rsidP="00977477">
      <w:pPr>
        <w:pStyle w:val="DFARS"/>
      </w:pPr>
      <w:r>
        <w:tab/>
        <w:t>(b)  Subcontracts awarded to workshops approved by the Committee for Purchase from People Who are Blind or Severely Disabled (41 U.S.C. 8502-8504), may be counted toward the Contractor’s small business subcontracting goal.</w:t>
      </w:r>
    </w:p>
    <w:p w:rsidR="00977477" w:rsidRDefault="00977477" w:rsidP="00977477">
      <w:pPr>
        <w:pStyle w:val="DFARS"/>
      </w:pPr>
    </w:p>
    <w:p w:rsidR="00977477" w:rsidRDefault="00977477" w:rsidP="00977477">
      <w:pPr>
        <w:pStyle w:val="DFARS"/>
      </w:pPr>
      <w:r>
        <w:tab/>
        <w:t>(c)  A mentor firm, under the Pilot Mentor-Protege Program established under section 831 of Public Law 101-510, as amended, may count toward its small disadvantaged business goal, subcontracts awarded to—</w:t>
      </w:r>
    </w:p>
    <w:p w:rsidR="00977477" w:rsidRDefault="00977477" w:rsidP="00977477">
      <w:pPr>
        <w:pStyle w:val="DFARS"/>
      </w:pPr>
    </w:p>
    <w:p w:rsidR="00977477" w:rsidRDefault="00977477" w:rsidP="00977477">
      <w:pPr>
        <w:pStyle w:val="DFARS"/>
      </w:pPr>
      <w:r>
        <w:tab/>
      </w:r>
      <w:r>
        <w:tab/>
        <w:t>(1)  Protege firms which are qualified organizations employing the severely disabled; and</w:t>
      </w:r>
    </w:p>
    <w:p w:rsidR="00977477" w:rsidRDefault="00977477" w:rsidP="00977477">
      <w:pPr>
        <w:pStyle w:val="DFARS"/>
      </w:pPr>
    </w:p>
    <w:p w:rsidR="00977477" w:rsidRDefault="00977477" w:rsidP="00977477">
      <w:pPr>
        <w:pStyle w:val="DFARS"/>
      </w:pPr>
      <w:r>
        <w:tab/>
      </w:r>
      <w:r>
        <w:tab/>
        <w:t>(2)  Former protege firms that meet the criteria in section 831(g)(4) of Public Law 101-510.</w:t>
      </w:r>
    </w:p>
    <w:p w:rsidR="00977477" w:rsidRDefault="00977477" w:rsidP="00977477">
      <w:pPr>
        <w:pStyle w:val="DFARS"/>
      </w:pPr>
    </w:p>
    <w:p w:rsidR="00977477" w:rsidRDefault="00977477" w:rsidP="00977477">
      <w:pPr>
        <w:pStyle w:val="DFARS"/>
      </w:pPr>
      <w:r>
        <w:tab/>
        <w:t>(d)  The master plan is approved by the Contractor's cognizant contract administration activity.</w:t>
      </w:r>
    </w:p>
    <w:p w:rsidR="00977477" w:rsidRDefault="00977477" w:rsidP="00977477">
      <w:pPr>
        <w:pStyle w:val="DFARS"/>
      </w:pPr>
    </w:p>
    <w:p w:rsidR="00977477" w:rsidRDefault="00977477" w:rsidP="00977477">
      <w:pPr>
        <w:pStyle w:val="DFARS"/>
      </w:pPr>
      <w:r>
        <w:tab/>
        <w:t>(e)  In those subcontracting plans which specifically identify small businesses, the Contractor shall notify the Administrative Contracting Officer of any substitutions of firms that are not small business firms, for the small business firms specifically identified in the subcontracting plan. Notifications shall be in writing and shall occur within a reasonable period of time after award of the subcontract. Contractor-specified formats shall be acceptable.</w:t>
      </w:r>
    </w:p>
    <w:p w:rsidR="00977477" w:rsidRDefault="00977477" w:rsidP="00977477">
      <w:pPr>
        <w:pStyle w:val="DFARS"/>
      </w:pPr>
    </w:p>
    <w:p w:rsidR="002E6596" w:rsidRDefault="002E6596" w:rsidP="00977477">
      <w:pPr>
        <w:pStyle w:val="DFARS"/>
      </w:pPr>
    </w:p>
    <w:p w:rsidR="00977477" w:rsidRDefault="00977477" w:rsidP="00977477">
      <w:pPr>
        <w:pStyle w:val="DFARS"/>
      </w:pPr>
      <w:r>
        <w:tab/>
        <w:t>(f)(1)  For DoD, the Contractor shall submit reports in eSRS as follows:</w:t>
      </w:r>
      <w:r w:rsidRPr="00977477">
        <w:t xml:space="preserve"> </w:t>
      </w:r>
    </w:p>
    <w:p w:rsidR="00977477" w:rsidRDefault="00977477" w:rsidP="00977477">
      <w:pPr>
        <w:pStyle w:val="DFARS"/>
      </w:pPr>
    </w:p>
    <w:p w:rsidR="00977477" w:rsidRDefault="00977477" w:rsidP="00977477">
      <w:pPr>
        <w:pStyle w:val="DFARS"/>
      </w:pPr>
      <w:r>
        <w:tab/>
      </w:r>
      <w:r>
        <w:tab/>
      </w:r>
      <w:r>
        <w:tab/>
        <w:t>(i)  The Standard Form 294, Subcontracting Report for Individual Contracts, shall be submitted in accordance with the instructions on that form.</w:t>
      </w:r>
    </w:p>
    <w:p w:rsidR="00977477" w:rsidRDefault="00977477" w:rsidP="00977477">
      <w:pPr>
        <w:pStyle w:val="DFARS"/>
      </w:pPr>
    </w:p>
    <w:p w:rsidR="00977477" w:rsidRDefault="00977477" w:rsidP="00977477">
      <w:pPr>
        <w:pStyle w:val="DFARS"/>
      </w:pPr>
      <w:r>
        <w:tab/>
      </w:r>
      <w:r>
        <w:tab/>
      </w:r>
      <w:r>
        <w:tab/>
        <w:t>(ii)  An SSR for other than a commercial subcontracting plan, or construction and related maintenance repair contracts, shall be submitted in eSRS to the department or agency within DoD that administers the majority of the Contractor’s individual subcontracting plans. An example would be Defense Finance and Accounting Service or Missile Defense Agency.</w:t>
      </w:r>
    </w:p>
    <w:p w:rsidR="00977477" w:rsidRDefault="00977477" w:rsidP="00977477">
      <w:pPr>
        <w:pStyle w:val="DFARS"/>
      </w:pPr>
    </w:p>
    <w:p w:rsidR="00977477" w:rsidRDefault="00977477" w:rsidP="00977477">
      <w:pPr>
        <w:pStyle w:val="DFARS"/>
      </w:pPr>
      <w:r>
        <w:tab/>
      </w:r>
      <w:r>
        <w:tab/>
        <w:t>(2)  For DoD, the authority to acknowledge receipt or reject reports in eSRS is as follows:</w:t>
      </w:r>
    </w:p>
    <w:p w:rsidR="00977477" w:rsidRDefault="00977477" w:rsidP="00977477">
      <w:pPr>
        <w:pStyle w:val="DFARS"/>
      </w:pPr>
    </w:p>
    <w:p w:rsidR="00977477" w:rsidRDefault="00977477" w:rsidP="00977477">
      <w:pPr>
        <w:pStyle w:val="DFARS"/>
      </w:pPr>
      <w:r>
        <w:tab/>
      </w:r>
      <w:r>
        <w:tab/>
      </w:r>
      <w:r>
        <w:tab/>
        <w:t>(i)  Except as provided in paragraph (f)(2)(ii) of this clause, the authority to acknowledge receipt or reject SSRs in eSRS resides with the SSR Coordinator at the department or agency that administers the majority of the Contractor’s individual subcontracting plans.</w:t>
      </w:r>
    </w:p>
    <w:p w:rsidR="00977477" w:rsidRDefault="00977477" w:rsidP="00977477">
      <w:pPr>
        <w:pStyle w:val="DFARS"/>
      </w:pPr>
    </w:p>
    <w:p w:rsidR="00977477" w:rsidRDefault="00977477" w:rsidP="00977477">
      <w:pPr>
        <w:pStyle w:val="DFARS"/>
      </w:pPr>
      <w:r>
        <w:tab/>
      </w:r>
      <w:r>
        <w:tab/>
      </w:r>
      <w:r>
        <w:tab/>
        <w:t>(ii)  The authority to acknowledge receipt or reject SSRs for construction and related maintenance and repair contracts resides with the SSR Coordinator for each department or agency.</w:t>
      </w:r>
    </w:p>
    <w:p w:rsidR="00977477" w:rsidRDefault="00977477" w:rsidP="00977477">
      <w:pPr>
        <w:pStyle w:val="DFARS"/>
      </w:pPr>
    </w:p>
    <w:p w:rsidR="00977477" w:rsidRDefault="00977477" w:rsidP="00977477">
      <w:pPr>
        <w:pStyle w:val="DFARS"/>
        <w:jc w:val="center"/>
      </w:pPr>
      <w:r>
        <w:t>(End of clause)</w:t>
      </w:r>
    </w:p>
    <w:p w:rsidR="003427DD" w:rsidRPr="008D08F6" w:rsidRDefault="003427DD" w:rsidP="008D08F6">
      <w:pPr>
        <w:pStyle w:val="DFARS"/>
      </w:pPr>
    </w:p>
    <w:sectPr w:rsidR="003427DD" w:rsidRPr="008D08F6" w:rsidSect="0090378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7DF" w:rsidRDefault="00D427DF" w:rsidP="00FA5AE1">
      <w:pPr>
        <w:spacing w:after="0" w:line="240" w:lineRule="auto"/>
      </w:pPr>
      <w:r>
        <w:separator/>
      </w:r>
    </w:p>
  </w:endnote>
  <w:endnote w:type="continuationSeparator" w:id="0">
    <w:p w:rsidR="00D427DF" w:rsidRDefault="00D427DF" w:rsidP="00FA5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7DF" w:rsidRDefault="00D427DF" w:rsidP="00FA5AE1">
      <w:pPr>
        <w:spacing w:after="0" w:line="240" w:lineRule="auto"/>
      </w:pPr>
      <w:r>
        <w:separator/>
      </w:r>
    </w:p>
  </w:footnote>
  <w:footnote w:type="continuationSeparator" w:id="0">
    <w:p w:rsidR="00D427DF" w:rsidRDefault="00D427DF" w:rsidP="00FA5AE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6C9"/>
    <w:rsid w:val="00002AF6"/>
    <w:rsid w:val="00002BCE"/>
    <w:rsid w:val="00004D27"/>
    <w:rsid w:val="00016087"/>
    <w:rsid w:val="00025081"/>
    <w:rsid w:val="00026695"/>
    <w:rsid w:val="000348B0"/>
    <w:rsid w:val="00044AF4"/>
    <w:rsid w:val="00045F7A"/>
    <w:rsid w:val="000676B0"/>
    <w:rsid w:val="000759E0"/>
    <w:rsid w:val="000B09E4"/>
    <w:rsid w:val="000B1EE7"/>
    <w:rsid w:val="000B4440"/>
    <w:rsid w:val="000B63E6"/>
    <w:rsid w:val="000B7CD0"/>
    <w:rsid w:val="000D3943"/>
    <w:rsid w:val="000E229F"/>
    <w:rsid w:val="000F4D89"/>
    <w:rsid w:val="00105123"/>
    <w:rsid w:val="001217A2"/>
    <w:rsid w:val="0012471F"/>
    <w:rsid w:val="00136DF2"/>
    <w:rsid w:val="00156807"/>
    <w:rsid w:val="00167E7E"/>
    <w:rsid w:val="00192F17"/>
    <w:rsid w:val="00197F9B"/>
    <w:rsid w:val="001A26C8"/>
    <w:rsid w:val="001B0795"/>
    <w:rsid w:val="001C313C"/>
    <w:rsid w:val="001D3B4A"/>
    <w:rsid w:val="001E057C"/>
    <w:rsid w:val="0020642D"/>
    <w:rsid w:val="00213C90"/>
    <w:rsid w:val="00214970"/>
    <w:rsid w:val="002151D3"/>
    <w:rsid w:val="0022000B"/>
    <w:rsid w:val="00250BDE"/>
    <w:rsid w:val="0025648A"/>
    <w:rsid w:val="002645F4"/>
    <w:rsid w:val="00271DDB"/>
    <w:rsid w:val="0027529B"/>
    <w:rsid w:val="002971CC"/>
    <w:rsid w:val="002A07C2"/>
    <w:rsid w:val="002C7E82"/>
    <w:rsid w:val="002D6E65"/>
    <w:rsid w:val="002E6596"/>
    <w:rsid w:val="003044A7"/>
    <w:rsid w:val="0030452B"/>
    <w:rsid w:val="00304AD5"/>
    <w:rsid w:val="00314E20"/>
    <w:rsid w:val="003427DD"/>
    <w:rsid w:val="003650DE"/>
    <w:rsid w:val="00365E5A"/>
    <w:rsid w:val="0037744F"/>
    <w:rsid w:val="003812B4"/>
    <w:rsid w:val="003834D0"/>
    <w:rsid w:val="003A451B"/>
    <w:rsid w:val="003B4BC5"/>
    <w:rsid w:val="003D2813"/>
    <w:rsid w:val="003D5721"/>
    <w:rsid w:val="003D6FF3"/>
    <w:rsid w:val="00401EED"/>
    <w:rsid w:val="004270E8"/>
    <w:rsid w:val="0045372B"/>
    <w:rsid w:val="004648B2"/>
    <w:rsid w:val="004743C1"/>
    <w:rsid w:val="00496CF4"/>
    <w:rsid w:val="00496F28"/>
    <w:rsid w:val="004B4AB9"/>
    <w:rsid w:val="004B748F"/>
    <w:rsid w:val="004C6985"/>
    <w:rsid w:val="004D38F3"/>
    <w:rsid w:val="004E123B"/>
    <w:rsid w:val="004F0A06"/>
    <w:rsid w:val="00505D55"/>
    <w:rsid w:val="005130DA"/>
    <w:rsid w:val="00525F25"/>
    <w:rsid w:val="00531CEF"/>
    <w:rsid w:val="00546CA2"/>
    <w:rsid w:val="00551BA6"/>
    <w:rsid w:val="005716E4"/>
    <w:rsid w:val="00592BC3"/>
    <w:rsid w:val="005A214A"/>
    <w:rsid w:val="005B481E"/>
    <w:rsid w:val="005C0FFD"/>
    <w:rsid w:val="005C29FF"/>
    <w:rsid w:val="005E108F"/>
    <w:rsid w:val="005E58F5"/>
    <w:rsid w:val="005E751F"/>
    <w:rsid w:val="005F00A3"/>
    <w:rsid w:val="005F2CD0"/>
    <w:rsid w:val="005F4473"/>
    <w:rsid w:val="00617257"/>
    <w:rsid w:val="00624E57"/>
    <w:rsid w:val="0063406A"/>
    <w:rsid w:val="00645BF7"/>
    <w:rsid w:val="00646B30"/>
    <w:rsid w:val="00663FDA"/>
    <w:rsid w:val="006810D0"/>
    <w:rsid w:val="00682E42"/>
    <w:rsid w:val="006C0656"/>
    <w:rsid w:val="006C2F1B"/>
    <w:rsid w:val="006F02A3"/>
    <w:rsid w:val="0070422A"/>
    <w:rsid w:val="007062BD"/>
    <w:rsid w:val="0070697C"/>
    <w:rsid w:val="00727E8F"/>
    <w:rsid w:val="007526CA"/>
    <w:rsid w:val="00780B44"/>
    <w:rsid w:val="00781EAE"/>
    <w:rsid w:val="00783B9A"/>
    <w:rsid w:val="00791695"/>
    <w:rsid w:val="007A0B76"/>
    <w:rsid w:val="007D6D7A"/>
    <w:rsid w:val="007E20A8"/>
    <w:rsid w:val="007F303C"/>
    <w:rsid w:val="007F32EB"/>
    <w:rsid w:val="008143F7"/>
    <w:rsid w:val="008161BC"/>
    <w:rsid w:val="00836777"/>
    <w:rsid w:val="00837084"/>
    <w:rsid w:val="00843153"/>
    <w:rsid w:val="00846554"/>
    <w:rsid w:val="00847D23"/>
    <w:rsid w:val="00856393"/>
    <w:rsid w:val="00862A2A"/>
    <w:rsid w:val="00871516"/>
    <w:rsid w:val="008949E2"/>
    <w:rsid w:val="00896405"/>
    <w:rsid w:val="008A36E4"/>
    <w:rsid w:val="008D08F6"/>
    <w:rsid w:val="008D346D"/>
    <w:rsid w:val="008F55F1"/>
    <w:rsid w:val="008F571E"/>
    <w:rsid w:val="0090378C"/>
    <w:rsid w:val="00926D35"/>
    <w:rsid w:val="00926E80"/>
    <w:rsid w:val="009331D7"/>
    <w:rsid w:val="0093563D"/>
    <w:rsid w:val="00965D1A"/>
    <w:rsid w:val="00972C12"/>
    <w:rsid w:val="00976869"/>
    <w:rsid w:val="00977477"/>
    <w:rsid w:val="00983E82"/>
    <w:rsid w:val="0098416A"/>
    <w:rsid w:val="00984E67"/>
    <w:rsid w:val="0098644B"/>
    <w:rsid w:val="009944E0"/>
    <w:rsid w:val="009962D5"/>
    <w:rsid w:val="009C152C"/>
    <w:rsid w:val="009D552B"/>
    <w:rsid w:val="009E7AE3"/>
    <w:rsid w:val="009F0949"/>
    <w:rsid w:val="009F4FD9"/>
    <w:rsid w:val="00A165B4"/>
    <w:rsid w:val="00A16FDE"/>
    <w:rsid w:val="00A3134B"/>
    <w:rsid w:val="00A34A97"/>
    <w:rsid w:val="00A358F1"/>
    <w:rsid w:val="00A53637"/>
    <w:rsid w:val="00A57FE9"/>
    <w:rsid w:val="00A80541"/>
    <w:rsid w:val="00A86C60"/>
    <w:rsid w:val="00AA101C"/>
    <w:rsid w:val="00AA1B45"/>
    <w:rsid w:val="00AA68B7"/>
    <w:rsid w:val="00AC228E"/>
    <w:rsid w:val="00AC5F17"/>
    <w:rsid w:val="00AE715E"/>
    <w:rsid w:val="00B64C8F"/>
    <w:rsid w:val="00B816D8"/>
    <w:rsid w:val="00B83122"/>
    <w:rsid w:val="00BA67C9"/>
    <w:rsid w:val="00BC1F72"/>
    <w:rsid w:val="00BE271B"/>
    <w:rsid w:val="00BE4C28"/>
    <w:rsid w:val="00BF404C"/>
    <w:rsid w:val="00C038D2"/>
    <w:rsid w:val="00C03BBE"/>
    <w:rsid w:val="00C04E7E"/>
    <w:rsid w:val="00C066EE"/>
    <w:rsid w:val="00C06C83"/>
    <w:rsid w:val="00C11B13"/>
    <w:rsid w:val="00C1396B"/>
    <w:rsid w:val="00C21B3D"/>
    <w:rsid w:val="00C26B4E"/>
    <w:rsid w:val="00C66F21"/>
    <w:rsid w:val="00C70FDA"/>
    <w:rsid w:val="00C94807"/>
    <w:rsid w:val="00CA2FF3"/>
    <w:rsid w:val="00CB65BC"/>
    <w:rsid w:val="00CB776D"/>
    <w:rsid w:val="00CE1578"/>
    <w:rsid w:val="00CE4191"/>
    <w:rsid w:val="00CF0089"/>
    <w:rsid w:val="00CF1A74"/>
    <w:rsid w:val="00CF754A"/>
    <w:rsid w:val="00D067AE"/>
    <w:rsid w:val="00D20847"/>
    <w:rsid w:val="00D225F8"/>
    <w:rsid w:val="00D34554"/>
    <w:rsid w:val="00D427DF"/>
    <w:rsid w:val="00D458FC"/>
    <w:rsid w:val="00D46941"/>
    <w:rsid w:val="00D558E8"/>
    <w:rsid w:val="00D6479F"/>
    <w:rsid w:val="00DA78A1"/>
    <w:rsid w:val="00DB1971"/>
    <w:rsid w:val="00DB2597"/>
    <w:rsid w:val="00DB55E6"/>
    <w:rsid w:val="00DB7A31"/>
    <w:rsid w:val="00DC37C8"/>
    <w:rsid w:val="00DC5B83"/>
    <w:rsid w:val="00DD30EB"/>
    <w:rsid w:val="00DD58C5"/>
    <w:rsid w:val="00DD7AE2"/>
    <w:rsid w:val="00DF4BDC"/>
    <w:rsid w:val="00E04907"/>
    <w:rsid w:val="00E16D1F"/>
    <w:rsid w:val="00E31899"/>
    <w:rsid w:val="00E329D9"/>
    <w:rsid w:val="00E3312F"/>
    <w:rsid w:val="00E523B2"/>
    <w:rsid w:val="00E6362E"/>
    <w:rsid w:val="00E66181"/>
    <w:rsid w:val="00E75FE0"/>
    <w:rsid w:val="00E8155F"/>
    <w:rsid w:val="00E87260"/>
    <w:rsid w:val="00E95AE1"/>
    <w:rsid w:val="00EA01B4"/>
    <w:rsid w:val="00EB7B15"/>
    <w:rsid w:val="00EF6470"/>
    <w:rsid w:val="00F009E5"/>
    <w:rsid w:val="00F02CBA"/>
    <w:rsid w:val="00F234F1"/>
    <w:rsid w:val="00F523DE"/>
    <w:rsid w:val="00F6391E"/>
    <w:rsid w:val="00F74B72"/>
    <w:rsid w:val="00F756C9"/>
    <w:rsid w:val="00F83516"/>
    <w:rsid w:val="00F91B2C"/>
    <w:rsid w:val="00F93906"/>
    <w:rsid w:val="00F95B21"/>
    <w:rsid w:val="00FA2453"/>
    <w:rsid w:val="00FA5AE1"/>
    <w:rsid w:val="00FC130A"/>
    <w:rsid w:val="00FE0DC8"/>
    <w:rsid w:val="00FF015A"/>
    <w:rsid w:val="00FF5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F756C9"/>
    <w:rPr>
      <w:color w:val="0000FF"/>
      <w:u w:val="single"/>
    </w:rPr>
  </w:style>
  <w:style w:type="paragraph" w:customStyle="1" w:styleId="DFARS">
    <w:name w:val="DFARS"/>
    <w:basedOn w:val="Normal"/>
    <w:link w:val="DFARSChar"/>
    <w:rsid w:val="00F756C9"/>
    <w:pPr>
      <w:tabs>
        <w:tab w:val="left" w:pos="360"/>
        <w:tab w:val="left" w:pos="810"/>
        <w:tab w:val="left" w:pos="1210"/>
        <w:tab w:val="left" w:pos="1656"/>
        <w:tab w:val="left" w:pos="2131"/>
        <w:tab w:val="left" w:pos="2520"/>
      </w:tabs>
      <w:spacing w:after="0" w:line="240" w:lineRule="exact"/>
    </w:pPr>
    <w:rPr>
      <w:rFonts w:ascii="Century Schoolbook" w:eastAsia="Times New Roman" w:hAnsi="Century Schoolbook" w:cs="Times New Roman"/>
      <w:spacing w:val="-5"/>
      <w:kern w:val="20"/>
      <w:sz w:val="24"/>
      <w:szCs w:val="20"/>
    </w:rPr>
  </w:style>
  <w:style w:type="character" w:customStyle="1" w:styleId="style61">
    <w:name w:val="style61"/>
    <w:basedOn w:val="DefaultParagraphFont"/>
    <w:rsid w:val="00F756C9"/>
    <w:rPr>
      <w:color w:val="4F81BD"/>
    </w:rPr>
  </w:style>
  <w:style w:type="character" w:styleId="Emphasis">
    <w:name w:val="Emphasis"/>
    <w:basedOn w:val="DefaultParagraphFont"/>
    <w:qFormat/>
    <w:rsid w:val="00F756C9"/>
    <w:rPr>
      <w:i/>
      <w:iCs/>
    </w:rPr>
  </w:style>
  <w:style w:type="character" w:customStyle="1" w:styleId="DFARSChar">
    <w:name w:val="DFARS Char"/>
    <w:link w:val="DFARS"/>
    <w:rsid w:val="00E8155F"/>
    <w:rPr>
      <w:rFonts w:ascii="Century Schoolbook" w:eastAsia="Times New Roman" w:hAnsi="Century Schoolbook" w:cs="Times New Roman"/>
      <w:spacing w:val="-5"/>
      <w:kern w:val="20"/>
      <w:sz w:val="24"/>
      <w:szCs w:val="20"/>
    </w:rPr>
  </w:style>
  <w:style w:type="character" w:styleId="CommentReference">
    <w:name w:val="annotation reference"/>
    <w:basedOn w:val="DefaultParagraphFont"/>
    <w:uiPriority w:val="99"/>
    <w:semiHidden/>
    <w:unhideWhenUsed/>
    <w:rsid w:val="00E8155F"/>
    <w:rPr>
      <w:sz w:val="16"/>
      <w:szCs w:val="16"/>
    </w:rPr>
  </w:style>
  <w:style w:type="paragraph" w:styleId="CommentText">
    <w:name w:val="annotation text"/>
    <w:basedOn w:val="Normal"/>
    <w:link w:val="CommentTextChar"/>
    <w:uiPriority w:val="99"/>
    <w:semiHidden/>
    <w:unhideWhenUsed/>
    <w:rsid w:val="00E8155F"/>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E8155F"/>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E815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155F"/>
    <w:rPr>
      <w:rFonts w:ascii="Tahoma" w:hAnsi="Tahoma" w:cs="Tahoma"/>
      <w:sz w:val="16"/>
      <w:szCs w:val="16"/>
    </w:rPr>
  </w:style>
  <w:style w:type="paragraph" w:customStyle="1" w:styleId="pbody">
    <w:name w:val="pbody"/>
    <w:basedOn w:val="Normal"/>
    <w:rsid w:val="00C06C83"/>
    <w:pPr>
      <w:spacing w:after="0" w:line="288" w:lineRule="auto"/>
      <w:ind w:firstLine="240"/>
    </w:pPr>
    <w:rPr>
      <w:rFonts w:ascii="Arial" w:eastAsia="Times New Roman"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2645F4"/>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645F4"/>
    <w:rPr>
      <w:rFonts w:ascii="Calibri" w:eastAsia="Times New Roman" w:hAnsi="Calibri" w:cs="Times New Roman"/>
      <w:b/>
      <w:bCs/>
      <w:sz w:val="20"/>
      <w:szCs w:val="20"/>
    </w:rPr>
  </w:style>
  <w:style w:type="paragraph" w:styleId="Header">
    <w:name w:val="header"/>
    <w:basedOn w:val="Normal"/>
    <w:link w:val="HeaderChar"/>
    <w:uiPriority w:val="99"/>
    <w:unhideWhenUsed/>
    <w:rsid w:val="00FA5A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5AE1"/>
  </w:style>
  <w:style w:type="paragraph" w:styleId="Footer">
    <w:name w:val="footer"/>
    <w:basedOn w:val="Normal"/>
    <w:link w:val="FooterChar"/>
    <w:uiPriority w:val="99"/>
    <w:unhideWhenUsed/>
    <w:rsid w:val="00FA5A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5AE1"/>
  </w:style>
  <w:style w:type="paragraph" w:styleId="FootnoteText">
    <w:name w:val="footnote text"/>
    <w:basedOn w:val="Normal"/>
    <w:link w:val="FootnoteTextChar"/>
    <w:uiPriority w:val="99"/>
    <w:semiHidden/>
    <w:unhideWhenUsed/>
    <w:rsid w:val="00C04E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04E7E"/>
    <w:rPr>
      <w:sz w:val="20"/>
      <w:szCs w:val="20"/>
    </w:rPr>
  </w:style>
  <w:style w:type="character" w:styleId="FootnoteReference">
    <w:name w:val="footnote reference"/>
    <w:basedOn w:val="DefaultParagraphFont"/>
    <w:uiPriority w:val="99"/>
    <w:semiHidden/>
    <w:unhideWhenUsed/>
    <w:rsid w:val="00C04E7E"/>
    <w:rPr>
      <w:vertAlign w:val="superscript"/>
    </w:rPr>
  </w:style>
  <w:style w:type="character" w:styleId="LineNumber">
    <w:name w:val="line number"/>
    <w:basedOn w:val="DefaultParagraphFont"/>
    <w:uiPriority w:val="99"/>
    <w:semiHidden/>
    <w:unhideWhenUsed/>
    <w:rsid w:val="00645B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F756C9"/>
    <w:rPr>
      <w:color w:val="0000FF"/>
      <w:u w:val="single"/>
    </w:rPr>
  </w:style>
  <w:style w:type="paragraph" w:customStyle="1" w:styleId="DFARS">
    <w:name w:val="DFARS"/>
    <w:basedOn w:val="Normal"/>
    <w:link w:val="DFARSChar"/>
    <w:rsid w:val="00F756C9"/>
    <w:pPr>
      <w:tabs>
        <w:tab w:val="left" w:pos="360"/>
        <w:tab w:val="left" w:pos="810"/>
        <w:tab w:val="left" w:pos="1210"/>
        <w:tab w:val="left" w:pos="1656"/>
        <w:tab w:val="left" w:pos="2131"/>
        <w:tab w:val="left" w:pos="2520"/>
      </w:tabs>
      <w:spacing w:after="0" w:line="240" w:lineRule="exact"/>
    </w:pPr>
    <w:rPr>
      <w:rFonts w:ascii="Century Schoolbook" w:eastAsia="Times New Roman" w:hAnsi="Century Schoolbook" w:cs="Times New Roman"/>
      <w:spacing w:val="-5"/>
      <w:kern w:val="20"/>
      <w:sz w:val="24"/>
      <w:szCs w:val="20"/>
    </w:rPr>
  </w:style>
  <w:style w:type="character" w:customStyle="1" w:styleId="style61">
    <w:name w:val="style61"/>
    <w:basedOn w:val="DefaultParagraphFont"/>
    <w:rsid w:val="00F756C9"/>
    <w:rPr>
      <w:color w:val="4F81BD"/>
    </w:rPr>
  </w:style>
  <w:style w:type="character" w:styleId="Emphasis">
    <w:name w:val="Emphasis"/>
    <w:basedOn w:val="DefaultParagraphFont"/>
    <w:qFormat/>
    <w:rsid w:val="00F756C9"/>
    <w:rPr>
      <w:i/>
      <w:iCs/>
    </w:rPr>
  </w:style>
  <w:style w:type="character" w:customStyle="1" w:styleId="DFARSChar">
    <w:name w:val="DFARS Char"/>
    <w:link w:val="DFARS"/>
    <w:rsid w:val="00E8155F"/>
    <w:rPr>
      <w:rFonts w:ascii="Century Schoolbook" w:eastAsia="Times New Roman" w:hAnsi="Century Schoolbook" w:cs="Times New Roman"/>
      <w:spacing w:val="-5"/>
      <w:kern w:val="20"/>
      <w:sz w:val="24"/>
      <w:szCs w:val="20"/>
    </w:rPr>
  </w:style>
  <w:style w:type="character" w:styleId="CommentReference">
    <w:name w:val="annotation reference"/>
    <w:basedOn w:val="DefaultParagraphFont"/>
    <w:uiPriority w:val="99"/>
    <w:semiHidden/>
    <w:unhideWhenUsed/>
    <w:rsid w:val="00E8155F"/>
    <w:rPr>
      <w:sz w:val="16"/>
      <w:szCs w:val="16"/>
    </w:rPr>
  </w:style>
  <w:style w:type="paragraph" w:styleId="CommentText">
    <w:name w:val="annotation text"/>
    <w:basedOn w:val="Normal"/>
    <w:link w:val="CommentTextChar"/>
    <w:uiPriority w:val="99"/>
    <w:semiHidden/>
    <w:unhideWhenUsed/>
    <w:rsid w:val="00E8155F"/>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E8155F"/>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E815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155F"/>
    <w:rPr>
      <w:rFonts w:ascii="Tahoma" w:hAnsi="Tahoma" w:cs="Tahoma"/>
      <w:sz w:val="16"/>
      <w:szCs w:val="16"/>
    </w:rPr>
  </w:style>
  <w:style w:type="paragraph" w:customStyle="1" w:styleId="pbody">
    <w:name w:val="pbody"/>
    <w:basedOn w:val="Normal"/>
    <w:rsid w:val="00C06C83"/>
    <w:pPr>
      <w:spacing w:after="0" w:line="288" w:lineRule="auto"/>
      <w:ind w:firstLine="240"/>
    </w:pPr>
    <w:rPr>
      <w:rFonts w:ascii="Arial" w:eastAsia="Times New Roman"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2645F4"/>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645F4"/>
    <w:rPr>
      <w:rFonts w:ascii="Calibri" w:eastAsia="Times New Roman" w:hAnsi="Calibri" w:cs="Times New Roman"/>
      <w:b/>
      <w:bCs/>
      <w:sz w:val="20"/>
      <w:szCs w:val="20"/>
    </w:rPr>
  </w:style>
  <w:style w:type="paragraph" w:styleId="Header">
    <w:name w:val="header"/>
    <w:basedOn w:val="Normal"/>
    <w:link w:val="HeaderChar"/>
    <w:uiPriority w:val="99"/>
    <w:unhideWhenUsed/>
    <w:rsid w:val="00FA5A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5AE1"/>
  </w:style>
  <w:style w:type="paragraph" w:styleId="Footer">
    <w:name w:val="footer"/>
    <w:basedOn w:val="Normal"/>
    <w:link w:val="FooterChar"/>
    <w:uiPriority w:val="99"/>
    <w:unhideWhenUsed/>
    <w:rsid w:val="00FA5A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5AE1"/>
  </w:style>
  <w:style w:type="paragraph" w:styleId="FootnoteText">
    <w:name w:val="footnote text"/>
    <w:basedOn w:val="Normal"/>
    <w:link w:val="FootnoteTextChar"/>
    <w:uiPriority w:val="99"/>
    <w:semiHidden/>
    <w:unhideWhenUsed/>
    <w:rsid w:val="00C04E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04E7E"/>
    <w:rPr>
      <w:sz w:val="20"/>
      <w:szCs w:val="20"/>
    </w:rPr>
  </w:style>
  <w:style w:type="character" w:styleId="FootnoteReference">
    <w:name w:val="footnote reference"/>
    <w:basedOn w:val="DefaultParagraphFont"/>
    <w:uiPriority w:val="99"/>
    <w:semiHidden/>
    <w:unhideWhenUsed/>
    <w:rsid w:val="00C04E7E"/>
    <w:rPr>
      <w:vertAlign w:val="superscript"/>
    </w:rPr>
  </w:style>
  <w:style w:type="character" w:styleId="LineNumber">
    <w:name w:val="line number"/>
    <w:basedOn w:val="DefaultParagraphFont"/>
    <w:uiPriority w:val="99"/>
    <w:semiHidden/>
    <w:unhideWhenUsed/>
    <w:rsid w:val="00645B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522548">
      <w:bodyDiv w:val="1"/>
      <w:marLeft w:val="0"/>
      <w:marRight w:val="0"/>
      <w:marTop w:val="0"/>
      <w:marBottom w:val="0"/>
      <w:divBdr>
        <w:top w:val="none" w:sz="0" w:space="0" w:color="auto"/>
        <w:left w:val="none" w:sz="0" w:space="0" w:color="auto"/>
        <w:bottom w:val="none" w:sz="0" w:space="0" w:color="auto"/>
        <w:right w:val="none" w:sz="0" w:space="0" w:color="auto"/>
      </w:divBdr>
      <w:divsChild>
        <w:div w:id="11982804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0448780">
      <w:bodyDiv w:val="1"/>
      <w:marLeft w:val="0"/>
      <w:marRight w:val="0"/>
      <w:marTop w:val="0"/>
      <w:marBottom w:val="0"/>
      <w:divBdr>
        <w:top w:val="none" w:sz="0" w:space="0" w:color="auto"/>
        <w:left w:val="none" w:sz="0" w:space="0" w:color="auto"/>
        <w:bottom w:val="none" w:sz="0" w:space="0" w:color="auto"/>
        <w:right w:val="none" w:sz="0" w:space="0" w:color="auto"/>
      </w:divBdr>
    </w:div>
    <w:div w:id="727530392">
      <w:bodyDiv w:val="1"/>
      <w:marLeft w:val="0"/>
      <w:marRight w:val="0"/>
      <w:marTop w:val="0"/>
      <w:marBottom w:val="0"/>
      <w:divBdr>
        <w:top w:val="none" w:sz="0" w:space="0" w:color="auto"/>
        <w:left w:val="none" w:sz="0" w:space="0" w:color="auto"/>
        <w:bottom w:val="none" w:sz="0" w:space="0" w:color="auto"/>
        <w:right w:val="none" w:sz="0" w:space="0" w:color="auto"/>
      </w:divBdr>
    </w:div>
    <w:div w:id="970942361">
      <w:bodyDiv w:val="1"/>
      <w:marLeft w:val="0"/>
      <w:marRight w:val="0"/>
      <w:marTop w:val="0"/>
      <w:marBottom w:val="0"/>
      <w:divBdr>
        <w:top w:val="none" w:sz="0" w:space="0" w:color="auto"/>
        <w:left w:val="none" w:sz="0" w:space="0" w:color="auto"/>
        <w:bottom w:val="none" w:sz="0" w:space="0" w:color="auto"/>
        <w:right w:val="none" w:sz="0" w:space="0" w:color="auto"/>
      </w:divBdr>
    </w:div>
    <w:div w:id="1458839615">
      <w:bodyDiv w:val="1"/>
      <w:marLeft w:val="0"/>
      <w:marRight w:val="0"/>
      <w:marTop w:val="0"/>
      <w:marBottom w:val="0"/>
      <w:divBdr>
        <w:top w:val="none" w:sz="0" w:space="0" w:color="auto"/>
        <w:left w:val="none" w:sz="0" w:space="0" w:color="auto"/>
        <w:bottom w:val="none" w:sz="0" w:space="0" w:color="auto"/>
        <w:right w:val="none" w:sz="0" w:space="0" w:color="auto"/>
      </w:divBdr>
    </w:div>
    <w:div w:id="1521772081">
      <w:bodyDiv w:val="1"/>
      <w:marLeft w:val="0"/>
      <w:marRight w:val="0"/>
      <w:marTop w:val="0"/>
      <w:marBottom w:val="0"/>
      <w:divBdr>
        <w:top w:val="none" w:sz="0" w:space="0" w:color="auto"/>
        <w:left w:val="none" w:sz="0" w:space="0" w:color="auto"/>
        <w:bottom w:val="none" w:sz="0" w:space="0" w:color="auto"/>
        <w:right w:val="none" w:sz="0" w:space="0" w:color="auto"/>
      </w:divBdr>
    </w:div>
    <w:div w:id="172039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cq.osd.mil/dpap/dars/dfars/html/current/219_7.ht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cq.osd.mil/dpap/dars/dfars/html/current/219_7.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8F8EF7-43CC-46DD-9A41-D5EFC8000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963</Words>
  <Characters>5490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6441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Marylee Renna</dc:creator>
  <cp:lastModifiedBy>SYSTEM</cp:lastModifiedBy>
  <cp:revision>2</cp:revision>
  <cp:lastPrinted>2016-03-23T15:08:00Z</cp:lastPrinted>
  <dcterms:created xsi:type="dcterms:W3CDTF">2017-09-22T13:14:00Z</dcterms:created>
  <dcterms:modified xsi:type="dcterms:W3CDTF">2017-09-22T13:14:00Z</dcterms:modified>
</cp:coreProperties>
</file>