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4B5" w:rsidRPr="005A7EF0" w:rsidRDefault="00A754B5" w:rsidP="00350142">
      <w:pPr>
        <w:spacing w:after="0" w:line="240" w:lineRule="auto"/>
        <w:jc w:val="center"/>
        <w:rPr>
          <w:sz w:val="20"/>
          <w:szCs w:val="20"/>
        </w:rPr>
      </w:pPr>
    </w:p>
    <w:p w:rsidR="001173A3" w:rsidRDefault="001173A3" w:rsidP="00350142">
      <w:pPr>
        <w:spacing w:after="0" w:line="240" w:lineRule="auto"/>
        <w:jc w:val="center"/>
        <w:rPr>
          <w:b/>
          <w:sz w:val="32"/>
        </w:rPr>
      </w:pPr>
    </w:p>
    <w:p w:rsidR="001173A3" w:rsidRDefault="001173A3" w:rsidP="00350142">
      <w:pPr>
        <w:spacing w:after="0" w:line="240" w:lineRule="auto"/>
        <w:jc w:val="center"/>
        <w:rPr>
          <w:b/>
          <w:sz w:val="32"/>
        </w:rPr>
      </w:pPr>
    </w:p>
    <w:p w:rsidR="001C0B79" w:rsidRDefault="00B707A8" w:rsidP="00350142">
      <w:pPr>
        <w:spacing w:after="0" w:line="240" w:lineRule="auto"/>
        <w:jc w:val="center"/>
        <w:rPr>
          <w:b/>
          <w:sz w:val="32"/>
        </w:rPr>
      </w:pPr>
      <w:r>
        <w:rPr>
          <w:b/>
          <w:sz w:val="32"/>
        </w:rPr>
        <w:t xml:space="preserve">Supporting Statement (Part A: Justification) </w:t>
      </w:r>
    </w:p>
    <w:p w:rsidR="00B707A8" w:rsidRDefault="00B707A8" w:rsidP="00350142">
      <w:pPr>
        <w:spacing w:after="0" w:line="240" w:lineRule="auto"/>
        <w:jc w:val="center"/>
        <w:rPr>
          <w:b/>
          <w:sz w:val="32"/>
        </w:rPr>
      </w:pPr>
      <w:proofErr w:type="gramStart"/>
      <w:r>
        <w:rPr>
          <w:b/>
          <w:sz w:val="32"/>
        </w:rPr>
        <w:t>of</w:t>
      </w:r>
      <w:proofErr w:type="gramEnd"/>
      <w:r>
        <w:rPr>
          <w:b/>
          <w:sz w:val="32"/>
        </w:rPr>
        <w:t xml:space="preserve"> the Request for OMB Review and Approval for </w:t>
      </w:r>
    </w:p>
    <w:p w:rsidR="00B707A8" w:rsidRDefault="00B707A8" w:rsidP="00350142">
      <w:pPr>
        <w:spacing w:after="0" w:line="240" w:lineRule="auto"/>
        <w:jc w:val="center"/>
        <w:rPr>
          <w:b/>
          <w:sz w:val="32"/>
        </w:rPr>
      </w:pPr>
      <w:r w:rsidRPr="00B707A8">
        <w:rPr>
          <w:b/>
          <w:sz w:val="32"/>
        </w:rPr>
        <w:t>Community Assessment for Public Health Emergency Response (CASPER)</w:t>
      </w:r>
    </w:p>
    <w:p w:rsidR="001173A3" w:rsidRDefault="001173A3" w:rsidP="00350142">
      <w:pPr>
        <w:spacing w:after="0" w:line="240" w:lineRule="auto"/>
        <w:jc w:val="center"/>
        <w:rPr>
          <w:b/>
          <w:sz w:val="32"/>
        </w:rPr>
      </w:pPr>
    </w:p>
    <w:p w:rsidR="00B707A8" w:rsidRDefault="000604C0" w:rsidP="00350142">
      <w:pPr>
        <w:spacing w:after="0" w:line="240" w:lineRule="auto"/>
        <w:jc w:val="center"/>
        <w:rPr>
          <w:b/>
          <w:sz w:val="32"/>
        </w:rPr>
      </w:pPr>
      <w:r>
        <w:rPr>
          <w:b/>
          <w:sz w:val="32"/>
        </w:rPr>
        <w:t>0920</w:t>
      </w:r>
      <w:r w:rsidR="00B707A8">
        <w:rPr>
          <w:b/>
          <w:sz w:val="32"/>
        </w:rPr>
        <w:t>-NEW</w:t>
      </w:r>
    </w:p>
    <w:p w:rsidR="001173A3" w:rsidRDefault="001173A3" w:rsidP="00350142">
      <w:pPr>
        <w:spacing w:after="0" w:line="240" w:lineRule="auto"/>
        <w:jc w:val="center"/>
        <w:rPr>
          <w:b/>
          <w:sz w:val="32"/>
        </w:rPr>
      </w:pPr>
    </w:p>
    <w:p w:rsidR="00B707A8" w:rsidRDefault="00B707A8" w:rsidP="00350142">
      <w:pPr>
        <w:spacing w:after="0" w:line="240" w:lineRule="auto"/>
        <w:jc w:val="center"/>
        <w:rPr>
          <w:b/>
          <w:sz w:val="32"/>
        </w:rPr>
      </w:pPr>
      <w:r>
        <w:rPr>
          <w:b/>
          <w:sz w:val="32"/>
        </w:rPr>
        <w:t>Generic Clearance</w:t>
      </w:r>
    </w:p>
    <w:p w:rsidR="001173A3" w:rsidRDefault="001173A3" w:rsidP="00350142">
      <w:pPr>
        <w:spacing w:after="0" w:line="240" w:lineRule="auto"/>
        <w:jc w:val="center"/>
        <w:rPr>
          <w:b/>
          <w:sz w:val="32"/>
        </w:rPr>
      </w:pPr>
    </w:p>
    <w:p w:rsidR="00B707A8" w:rsidRDefault="00BC79AF" w:rsidP="00350142">
      <w:pPr>
        <w:spacing w:after="0" w:line="240" w:lineRule="auto"/>
        <w:jc w:val="center"/>
        <w:rPr>
          <w:b/>
          <w:sz w:val="32"/>
        </w:rPr>
      </w:pPr>
      <w:r>
        <w:rPr>
          <w:b/>
          <w:sz w:val="32"/>
        </w:rPr>
        <w:t>December</w:t>
      </w:r>
      <w:r w:rsidR="00556B57">
        <w:rPr>
          <w:b/>
          <w:sz w:val="32"/>
        </w:rPr>
        <w:t xml:space="preserve"> 2014</w:t>
      </w:r>
    </w:p>
    <w:p w:rsidR="004E3FBD" w:rsidRPr="004E3FBD" w:rsidRDefault="004E3FBD" w:rsidP="00350142">
      <w:pPr>
        <w:spacing w:after="0" w:line="240" w:lineRule="auto"/>
        <w:jc w:val="center"/>
        <w:rPr>
          <w:b/>
          <w:sz w:val="28"/>
        </w:rPr>
      </w:pPr>
    </w:p>
    <w:p w:rsidR="00B707A8" w:rsidRDefault="00B707A8" w:rsidP="00350142">
      <w:pPr>
        <w:spacing w:after="0" w:line="240" w:lineRule="auto"/>
        <w:jc w:val="center"/>
        <w:rPr>
          <w:sz w:val="28"/>
        </w:rPr>
      </w:pPr>
      <w:r>
        <w:rPr>
          <w:sz w:val="28"/>
        </w:rPr>
        <w:t>Health Studies Branch (HSB)</w:t>
      </w:r>
    </w:p>
    <w:p w:rsidR="00B707A8" w:rsidRDefault="00B707A8" w:rsidP="00350142">
      <w:pPr>
        <w:spacing w:after="0" w:line="240" w:lineRule="auto"/>
        <w:jc w:val="center"/>
        <w:rPr>
          <w:sz w:val="28"/>
        </w:rPr>
      </w:pPr>
      <w:r>
        <w:rPr>
          <w:sz w:val="28"/>
        </w:rPr>
        <w:t>Division of Environmental Hazards and Health Effects (DEHHE)</w:t>
      </w:r>
    </w:p>
    <w:p w:rsidR="00B707A8" w:rsidRDefault="00B707A8" w:rsidP="00350142">
      <w:pPr>
        <w:spacing w:after="0" w:line="240" w:lineRule="auto"/>
        <w:jc w:val="center"/>
        <w:rPr>
          <w:sz w:val="28"/>
        </w:rPr>
      </w:pPr>
      <w:r>
        <w:rPr>
          <w:sz w:val="28"/>
        </w:rPr>
        <w:t>National Center for Environmental Health (NCEH)</w:t>
      </w:r>
    </w:p>
    <w:p w:rsidR="00B707A8" w:rsidRDefault="00B707A8" w:rsidP="00350142">
      <w:pPr>
        <w:spacing w:after="0" w:line="240" w:lineRule="auto"/>
        <w:jc w:val="center"/>
        <w:rPr>
          <w:sz w:val="28"/>
        </w:rPr>
      </w:pPr>
      <w:r>
        <w:rPr>
          <w:sz w:val="28"/>
        </w:rPr>
        <w:t>Centers for Disease Control and Prevention (CDC)</w:t>
      </w:r>
    </w:p>
    <w:p w:rsidR="00B707A8" w:rsidRDefault="00B707A8" w:rsidP="00350142">
      <w:pPr>
        <w:spacing w:after="0" w:line="240" w:lineRule="auto"/>
        <w:jc w:val="center"/>
        <w:rPr>
          <w:sz w:val="28"/>
        </w:rPr>
      </w:pPr>
    </w:p>
    <w:p w:rsidR="00D424DC" w:rsidRDefault="00D424DC" w:rsidP="00350142">
      <w:pPr>
        <w:spacing w:after="0" w:line="240" w:lineRule="auto"/>
        <w:jc w:val="center"/>
        <w:rPr>
          <w:sz w:val="28"/>
        </w:rPr>
      </w:pPr>
    </w:p>
    <w:p w:rsidR="00D424DC" w:rsidRDefault="00D424DC" w:rsidP="00350142">
      <w:pPr>
        <w:spacing w:after="0" w:line="240" w:lineRule="auto"/>
        <w:jc w:val="center"/>
        <w:rPr>
          <w:sz w:val="28"/>
        </w:rPr>
      </w:pPr>
    </w:p>
    <w:p w:rsidR="00D424DC" w:rsidRDefault="00D424DC" w:rsidP="00350142">
      <w:pPr>
        <w:spacing w:after="0" w:line="240" w:lineRule="auto"/>
        <w:jc w:val="center"/>
        <w:rPr>
          <w:sz w:val="28"/>
        </w:rPr>
      </w:pPr>
    </w:p>
    <w:p w:rsidR="00D424DC" w:rsidRDefault="00D424DC" w:rsidP="00350142">
      <w:pPr>
        <w:spacing w:after="0" w:line="240" w:lineRule="auto"/>
        <w:jc w:val="center"/>
        <w:rPr>
          <w:sz w:val="28"/>
        </w:rPr>
      </w:pPr>
    </w:p>
    <w:p w:rsidR="00D424DC" w:rsidRDefault="00D424DC" w:rsidP="00350142">
      <w:pPr>
        <w:spacing w:after="0" w:line="240" w:lineRule="auto"/>
        <w:jc w:val="center"/>
        <w:rPr>
          <w:sz w:val="28"/>
        </w:rPr>
      </w:pPr>
    </w:p>
    <w:p w:rsidR="004E3FBD" w:rsidRPr="004E3FBD" w:rsidRDefault="004E3FBD" w:rsidP="00350142">
      <w:pPr>
        <w:spacing w:after="0" w:line="240" w:lineRule="auto"/>
        <w:rPr>
          <w:sz w:val="24"/>
          <w:szCs w:val="28"/>
          <w:lang w:val="en"/>
        </w:rPr>
      </w:pPr>
    </w:p>
    <w:p w:rsidR="004E3FBD" w:rsidRPr="004E3FBD" w:rsidRDefault="004E3FBD" w:rsidP="00350142">
      <w:pPr>
        <w:spacing w:after="0" w:line="240" w:lineRule="auto"/>
        <w:rPr>
          <w:b/>
          <w:sz w:val="28"/>
          <w:szCs w:val="28"/>
          <w:lang w:val="en"/>
        </w:rPr>
      </w:pPr>
      <w:r>
        <w:rPr>
          <w:b/>
          <w:sz w:val="28"/>
          <w:szCs w:val="28"/>
          <w:lang w:val="en"/>
        </w:rPr>
        <w:t>Point of Contact</w:t>
      </w:r>
    </w:p>
    <w:p w:rsidR="00305A69" w:rsidRPr="00305A69" w:rsidRDefault="00305A69" w:rsidP="00305A69">
      <w:pPr>
        <w:spacing w:after="0" w:line="240" w:lineRule="auto"/>
        <w:rPr>
          <w:sz w:val="24"/>
          <w:szCs w:val="28"/>
        </w:rPr>
      </w:pPr>
      <w:r w:rsidRPr="00305A69">
        <w:rPr>
          <w:sz w:val="24"/>
          <w:szCs w:val="28"/>
        </w:rPr>
        <w:t xml:space="preserve">Sherry </w:t>
      </w:r>
      <w:proofErr w:type="spellStart"/>
      <w:r w:rsidRPr="00305A69">
        <w:rPr>
          <w:sz w:val="24"/>
          <w:szCs w:val="28"/>
        </w:rPr>
        <w:t>Burrer</w:t>
      </w:r>
      <w:proofErr w:type="spellEnd"/>
    </w:p>
    <w:p w:rsidR="00305A69" w:rsidRPr="00305A69" w:rsidRDefault="00305A69" w:rsidP="00305A69">
      <w:pPr>
        <w:spacing w:after="0" w:line="240" w:lineRule="auto"/>
        <w:rPr>
          <w:sz w:val="24"/>
          <w:szCs w:val="28"/>
        </w:rPr>
      </w:pPr>
      <w:r w:rsidRPr="00305A69">
        <w:rPr>
          <w:sz w:val="24"/>
          <w:szCs w:val="28"/>
        </w:rPr>
        <w:t>Centers for Disease Control and Prevention</w:t>
      </w:r>
    </w:p>
    <w:p w:rsidR="00305A69" w:rsidRPr="00305A69" w:rsidRDefault="00305A69" w:rsidP="00305A69">
      <w:pPr>
        <w:spacing w:after="0" w:line="240" w:lineRule="auto"/>
        <w:rPr>
          <w:sz w:val="24"/>
          <w:szCs w:val="28"/>
        </w:rPr>
      </w:pPr>
      <w:r w:rsidRPr="00305A69">
        <w:rPr>
          <w:sz w:val="24"/>
          <w:szCs w:val="28"/>
        </w:rPr>
        <w:t>4770 Buford Hwy NE, MS</w:t>
      </w:r>
      <w:r w:rsidR="001173A3">
        <w:rPr>
          <w:sz w:val="24"/>
          <w:szCs w:val="28"/>
        </w:rPr>
        <w:t xml:space="preserve"> F-60</w:t>
      </w:r>
    </w:p>
    <w:p w:rsidR="00305A69" w:rsidRPr="00305A69" w:rsidRDefault="00305A69" w:rsidP="00305A69">
      <w:pPr>
        <w:spacing w:after="0" w:line="240" w:lineRule="auto"/>
        <w:rPr>
          <w:sz w:val="24"/>
          <w:szCs w:val="28"/>
        </w:rPr>
      </w:pPr>
      <w:r w:rsidRPr="00305A69">
        <w:rPr>
          <w:sz w:val="24"/>
          <w:szCs w:val="28"/>
        </w:rPr>
        <w:t>Atlanta, GA  30341</w:t>
      </w:r>
    </w:p>
    <w:p w:rsidR="00305A69" w:rsidRPr="00305A69" w:rsidRDefault="00305A69" w:rsidP="00305A69">
      <w:pPr>
        <w:spacing w:after="0" w:line="240" w:lineRule="auto"/>
        <w:rPr>
          <w:sz w:val="24"/>
          <w:szCs w:val="28"/>
        </w:rPr>
      </w:pPr>
      <w:r w:rsidRPr="00305A69">
        <w:rPr>
          <w:sz w:val="24"/>
          <w:szCs w:val="28"/>
        </w:rPr>
        <w:t>Phone:  770-488-3412</w:t>
      </w:r>
    </w:p>
    <w:p w:rsidR="00305A69" w:rsidRPr="00305A69" w:rsidRDefault="00305A69" w:rsidP="00305A69">
      <w:pPr>
        <w:spacing w:after="0" w:line="240" w:lineRule="auto"/>
        <w:rPr>
          <w:sz w:val="24"/>
          <w:szCs w:val="28"/>
        </w:rPr>
      </w:pPr>
      <w:r w:rsidRPr="00305A69">
        <w:rPr>
          <w:sz w:val="24"/>
          <w:szCs w:val="28"/>
        </w:rPr>
        <w:t>Fax:  770-488-3450</w:t>
      </w:r>
    </w:p>
    <w:p w:rsidR="0008198E" w:rsidRDefault="00305A69" w:rsidP="00305A69">
      <w:pPr>
        <w:spacing w:after="0" w:line="240" w:lineRule="auto"/>
        <w:rPr>
          <w:sz w:val="24"/>
          <w:szCs w:val="28"/>
          <w:lang w:val="en"/>
        </w:rPr>
      </w:pPr>
      <w:r w:rsidRPr="00305A69">
        <w:rPr>
          <w:sz w:val="24"/>
          <w:szCs w:val="28"/>
        </w:rPr>
        <w:t>Email:  sburrer@cdc.gov</w:t>
      </w:r>
      <w:r w:rsidR="0008198E">
        <w:rPr>
          <w:sz w:val="24"/>
          <w:szCs w:val="28"/>
          <w:lang w:val="en"/>
        </w:rPr>
        <w:br w:type="page"/>
      </w:r>
    </w:p>
    <w:p w:rsidR="004E3FBD" w:rsidRPr="004E3FBD" w:rsidRDefault="004E3FBD" w:rsidP="00350142">
      <w:pPr>
        <w:spacing w:after="0" w:line="240" w:lineRule="auto"/>
        <w:rPr>
          <w:sz w:val="24"/>
          <w:szCs w:val="28"/>
          <w:lang w:val="en"/>
        </w:rPr>
      </w:pPr>
    </w:p>
    <w:sdt>
      <w:sdtPr>
        <w:rPr>
          <w:rFonts w:asciiTheme="minorHAnsi" w:eastAsiaTheme="minorHAnsi" w:hAnsiTheme="minorHAnsi" w:cstheme="minorBidi"/>
          <w:b w:val="0"/>
          <w:bCs w:val="0"/>
          <w:color w:val="auto"/>
          <w:sz w:val="22"/>
          <w:szCs w:val="22"/>
          <w:lang w:eastAsia="en-US"/>
        </w:rPr>
        <w:id w:val="-544906130"/>
        <w:docPartObj>
          <w:docPartGallery w:val="Table of Contents"/>
          <w:docPartUnique/>
        </w:docPartObj>
      </w:sdtPr>
      <w:sdtEndPr>
        <w:rPr>
          <w:noProof/>
        </w:rPr>
      </w:sdtEndPr>
      <w:sdtContent>
        <w:p w:rsidR="00C9554F" w:rsidRDefault="00C9554F" w:rsidP="00350142">
          <w:pPr>
            <w:pStyle w:val="TOCHeading"/>
            <w:spacing w:before="0" w:line="240" w:lineRule="auto"/>
            <w:jc w:val="center"/>
          </w:pPr>
        </w:p>
        <w:p w:rsidR="00C9554F" w:rsidRPr="00C9554F" w:rsidRDefault="00C9554F" w:rsidP="00350142">
          <w:pPr>
            <w:pStyle w:val="TOCHeading"/>
            <w:spacing w:before="0" w:line="240" w:lineRule="auto"/>
            <w:jc w:val="center"/>
            <w:rPr>
              <w:rFonts w:asciiTheme="minorHAnsi" w:hAnsiTheme="minorHAnsi"/>
            </w:rPr>
          </w:pPr>
          <w:r w:rsidRPr="00C9554F">
            <w:rPr>
              <w:rFonts w:asciiTheme="minorHAnsi" w:hAnsiTheme="minorHAnsi"/>
            </w:rPr>
            <w:t>Table of Contents</w:t>
          </w:r>
        </w:p>
        <w:p w:rsidR="00C9554F" w:rsidRPr="00C9554F" w:rsidRDefault="00C9554F" w:rsidP="00350142">
          <w:pPr>
            <w:spacing w:after="0" w:line="240" w:lineRule="auto"/>
            <w:rPr>
              <w:lang w:eastAsia="ja-JP"/>
            </w:rPr>
          </w:pPr>
        </w:p>
        <w:p w:rsidR="008F5D10" w:rsidRDefault="00C9554F">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403138193" w:history="1">
            <w:r w:rsidR="008F5D10" w:rsidRPr="00990DEF">
              <w:rPr>
                <w:rStyle w:val="Hyperlink"/>
                <w:noProof/>
              </w:rPr>
              <w:t>List of Attachments</w:t>
            </w:r>
            <w:r w:rsidR="008F5D10">
              <w:rPr>
                <w:noProof/>
                <w:webHidden/>
              </w:rPr>
              <w:tab/>
            </w:r>
            <w:r w:rsidR="008F5D10">
              <w:rPr>
                <w:noProof/>
                <w:webHidden/>
              </w:rPr>
              <w:fldChar w:fldCharType="begin"/>
            </w:r>
            <w:r w:rsidR="008F5D10">
              <w:rPr>
                <w:noProof/>
                <w:webHidden/>
              </w:rPr>
              <w:instrText xml:space="preserve"> PAGEREF _Toc403138193 \h </w:instrText>
            </w:r>
            <w:r w:rsidR="008F5D10">
              <w:rPr>
                <w:noProof/>
                <w:webHidden/>
              </w:rPr>
            </w:r>
            <w:r w:rsidR="008F5D10">
              <w:rPr>
                <w:noProof/>
                <w:webHidden/>
              </w:rPr>
              <w:fldChar w:fldCharType="separate"/>
            </w:r>
            <w:r w:rsidR="008F5D10">
              <w:rPr>
                <w:noProof/>
                <w:webHidden/>
              </w:rPr>
              <w:t>3</w:t>
            </w:r>
            <w:r w:rsidR="008F5D10">
              <w:rPr>
                <w:noProof/>
                <w:webHidden/>
              </w:rPr>
              <w:fldChar w:fldCharType="end"/>
            </w:r>
          </w:hyperlink>
        </w:p>
        <w:p w:rsidR="008F5D10" w:rsidRDefault="00BC2322">
          <w:pPr>
            <w:pStyle w:val="TOC1"/>
            <w:tabs>
              <w:tab w:val="right" w:leader="dot" w:pos="9350"/>
            </w:tabs>
            <w:rPr>
              <w:rFonts w:eastAsiaTheme="minorEastAsia"/>
              <w:noProof/>
            </w:rPr>
          </w:pPr>
          <w:hyperlink w:anchor="_Toc403138194" w:history="1">
            <w:r w:rsidR="008F5D10" w:rsidRPr="00990DEF">
              <w:rPr>
                <w:rStyle w:val="Hyperlink"/>
                <w:noProof/>
              </w:rPr>
              <w:t>A.1 Circumstances Making the Collection of Information Necessary</w:t>
            </w:r>
            <w:r w:rsidR="008F5D10">
              <w:rPr>
                <w:noProof/>
                <w:webHidden/>
              </w:rPr>
              <w:tab/>
            </w:r>
            <w:r w:rsidR="008F5D10">
              <w:rPr>
                <w:noProof/>
                <w:webHidden/>
              </w:rPr>
              <w:fldChar w:fldCharType="begin"/>
            </w:r>
            <w:r w:rsidR="008F5D10">
              <w:rPr>
                <w:noProof/>
                <w:webHidden/>
              </w:rPr>
              <w:instrText xml:space="preserve"> PAGEREF _Toc403138194 \h </w:instrText>
            </w:r>
            <w:r w:rsidR="008F5D10">
              <w:rPr>
                <w:noProof/>
                <w:webHidden/>
              </w:rPr>
            </w:r>
            <w:r w:rsidR="008F5D10">
              <w:rPr>
                <w:noProof/>
                <w:webHidden/>
              </w:rPr>
              <w:fldChar w:fldCharType="separate"/>
            </w:r>
            <w:r w:rsidR="008F5D10">
              <w:rPr>
                <w:noProof/>
                <w:webHidden/>
              </w:rPr>
              <w:t>4</w:t>
            </w:r>
            <w:r w:rsidR="008F5D10">
              <w:rPr>
                <w:noProof/>
                <w:webHidden/>
              </w:rPr>
              <w:fldChar w:fldCharType="end"/>
            </w:r>
          </w:hyperlink>
        </w:p>
        <w:p w:rsidR="008F5D10" w:rsidRDefault="00BC2322">
          <w:pPr>
            <w:pStyle w:val="TOC1"/>
            <w:tabs>
              <w:tab w:val="right" w:leader="dot" w:pos="9350"/>
            </w:tabs>
            <w:rPr>
              <w:rFonts w:eastAsiaTheme="minorEastAsia"/>
              <w:noProof/>
            </w:rPr>
          </w:pPr>
          <w:hyperlink w:anchor="_Toc403138195" w:history="1">
            <w:r w:rsidR="008F5D10" w:rsidRPr="00990DEF">
              <w:rPr>
                <w:rStyle w:val="Hyperlink"/>
                <w:noProof/>
              </w:rPr>
              <w:t>A.2 Purpose and Use of Information Collection</w:t>
            </w:r>
            <w:r w:rsidR="008F5D10">
              <w:rPr>
                <w:noProof/>
                <w:webHidden/>
              </w:rPr>
              <w:tab/>
            </w:r>
            <w:r w:rsidR="008F5D10">
              <w:rPr>
                <w:noProof/>
                <w:webHidden/>
              </w:rPr>
              <w:fldChar w:fldCharType="begin"/>
            </w:r>
            <w:r w:rsidR="008F5D10">
              <w:rPr>
                <w:noProof/>
                <w:webHidden/>
              </w:rPr>
              <w:instrText xml:space="preserve"> PAGEREF _Toc403138195 \h </w:instrText>
            </w:r>
            <w:r w:rsidR="008F5D10">
              <w:rPr>
                <w:noProof/>
                <w:webHidden/>
              </w:rPr>
            </w:r>
            <w:r w:rsidR="008F5D10">
              <w:rPr>
                <w:noProof/>
                <w:webHidden/>
              </w:rPr>
              <w:fldChar w:fldCharType="separate"/>
            </w:r>
            <w:r w:rsidR="008F5D10">
              <w:rPr>
                <w:noProof/>
                <w:webHidden/>
              </w:rPr>
              <w:t>6</w:t>
            </w:r>
            <w:r w:rsidR="008F5D10">
              <w:rPr>
                <w:noProof/>
                <w:webHidden/>
              </w:rPr>
              <w:fldChar w:fldCharType="end"/>
            </w:r>
          </w:hyperlink>
        </w:p>
        <w:p w:rsidR="008F5D10" w:rsidRDefault="00BC2322">
          <w:pPr>
            <w:pStyle w:val="TOC1"/>
            <w:tabs>
              <w:tab w:val="right" w:leader="dot" w:pos="9350"/>
            </w:tabs>
            <w:rPr>
              <w:rFonts w:eastAsiaTheme="minorEastAsia"/>
              <w:noProof/>
            </w:rPr>
          </w:pPr>
          <w:hyperlink w:anchor="_Toc403138196" w:history="1">
            <w:r w:rsidR="008F5D10" w:rsidRPr="00990DEF">
              <w:rPr>
                <w:rStyle w:val="Hyperlink"/>
                <w:noProof/>
              </w:rPr>
              <w:t>A.3 Use of Improved Information Technology and Burden Reduction</w:t>
            </w:r>
            <w:r w:rsidR="008F5D10">
              <w:rPr>
                <w:noProof/>
                <w:webHidden/>
              </w:rPr>
              <w:tab/>
            </w:r>
            <w:r w:rsidR="008F5D10">
              <w:rPr>
                <w:noProof/>
                <w:webHidden/>
              </w:rPr>
              <w:fldChar w:fldCharType="begin"/>
            </w:r>
            <w:r w:rsidR="008F5D10">
              <w:rPr>
                <w:noProof/>
                <w:webHidden/>
              </w:rPr>
              <w:instrText xml:space="preserve"> PAGEREF _Toc403138196 \h </w:instrText>
            </w:r>
            <w:r w:rsidR="008F5D10">
              <w:rPr>
                <w:noProof/>
                <w:webHidden/>
              </w:rPr>
            </w:r>
            <w:r w:rsidR="008F5D10">
              <w:rPr>
                <w:noProof/>
                <w:webHidden/>
              </w:rPr>
              <w:fldChar w:fldCharType="separate"/>
            </w:r>
            <w:r w:rsidR="008F5D10">
              <w:rPr>
                <w:noProof/>
                <w:webHidden/>
              </w:rPr>
              <w:t>7</w:t>
            </w:r>
            <w:r w:rsidR="008F5D10">
              <w:rPr>
                <w:noProof/>
                <w:webHidden/>
              </w:rPr>
              <w:fldChar w:fldCharType="end"/>
            </w:r>
          </w:hyperlink>
        </w:p>
        <w:p w:rsidR="008F5D10" w:rsidRDefault="00BC2322">
          <w:pPr>
            <w:pStyle w:val="TOC1"/>
            <w:tabs>
              <w:tab w:val="right" w:leader="dot" w:pos="9350"/>
            </w:tabs>
            <w:rPr>
              <w:rFonts w:eastAsiaTheme="minorEastAsia"/>
              <w:noProof/>
            </w:rPr>
          </w:pPr>
          <w:hyperlink w:anchor="_Toc403138197" w:history="1">
            <w:r w:rsidR="008F5D10" w:rsidRPr="00990DEF">
              <w:rPr>
                <w:rStyle w:val="Hyperlink"/>
                <w:noProof/>
              </w:rPr>
              <w:t>A.4 Efforts to Identify Duplication and Use of Similar Information</w:t>
            </w:r>
            <w:r w:rsidR="008F5D10">
              <w:rPr>
                <w:noProof/>
                <w:webHidden/>
              </w:rPr>
              <w:tab/>
            </w:r>
            <w:r w:rsidR="008F5D10">
              <w:rPr>
                <w:noProof/>
                <w:webHidden/>
              </w:rPr>
              <w:fldChar w:fldCharType="begin"/>
            </w:r>
            <w:r w:rsidR="008F5D10">
              <w:rPr>
                <w:noProof/>
                <w:webHidden/>
              </w:rPr>
              <w:instrText xml:space="preserve"> PAGEREF _Toc403138197 \h </w:instrText>
            </w:r>
            <w:r w:rsidR="008F5D10">
              <w:rPr>
                <w:noProof/>
                <w:webHidden/>
              </w:rPr>
            </w:r>
            <w:r w:rsidR="008F5D10">
              <w:rPr>
                <w:noProof/>
                <w:webHidden/>
              </w:rPr>
              <w:fldChar w:fldCharType="separate"/>
            </w:r>
            <w:r w:rsidR="008F5D10">
              <w:rPr>
                <w:noProof/>
                <w:webHidden/>
              </w:rPr>
              <w:t>7</w:t>
            </w:r>
            <w:r w:rsidR="008F5D10">
              <w:rPr>
                <w:noProof/>
                <w:webHidden/>
              </w:rPr>
              <w:fldChar w:fldCharType="end"/>
            </w:r>
          </w:hyperlink>
        </w:p>
        <w:p w:rsidR="008F5D10" w:rsidRDefault="00BC2322">
          <w:pPr>
            <w:pStyle w:val="TOC1"/>
            <w:tabs>
              <w:tab w:val="right" w:leader="dot" w:pos="9350"/>
            </w:tabs>
            <w:rPr>
              <w:rFonts w:eastAsiaTheme="minorEastAsia"/>
              <w:noProof/>
            </w:rPr>
          </w:pPr>
          <w:hyperlink w:anchor="_Toc403138198" w:history="1">
            <w:r w:rsidR="008F5D10" w:rsidRPr="00990DEF">
              <w:rPr>
                <w:rStyle w:val="Hyperlink"/>
                <w:noProof/>
              </w:rPr>
              <w:t>A.5 Impact on Small Businesses or Other Small Entities</w:t>
            </w:r>
            <w:r w:rsidR="008F5D10">
              <w:rPr>
                <w:noProof/>
                <w:webHidden/>
              </w:rPr>
              <w:tab/>
            </w:r>
            <w:r w:rsidR="008F5D10">
              <w:rPr>
                <w:noProof/>
                <w:webHidden/>
              </w:rPr>
              <w:fldChar w:fldCharType="begin"/>
            </w:r>
            <w:r w:rsidR="008F5D10">
              <w:rPr>
                <w:noProof/>
                <w:webHidden/>
              </w:rPr>
              <w:instrText xml:space="preserve"> PAGEREF _Toc403138198 \h </w:instrText>
            </w:r>
            <w:r w:rsidR="008F5D10">
              <w:rPr>
                <w:noProof/>
                <w:webHidden/>
              </w:rPr>
            </w:r>
            <w:r w:rsidR="008F5D10">
              <w:rPr>
                <w:noProof/>
                <w:webHidden/>
              </w:rPr>
              <w:fldChar w:fldCharType="separate"/>
            </w:r>
            <w:r w:rsidR="008F5D10">
              <w:rPr>
                <w:noProof/>
                <w:webHidden/>
              </w:rPr>
              <w:t>8</w:t>
            </w:r>
            <w:r w:rsidR="008F5D10">
              <w:rPr>
                <w:noProof/>
                <w:webHidden/>
              </w:rPr>
              <w:fldChar w:fldCharType="end"/>
            </w:r>
          </w:hyperlink>
        </w:p>
        <w:p w:rsidR="008F5D10" w:rsidRDefault="00BC2322">
          <w:pPr>
            <w:pStyle w:val="TOC1"/>
            <w:tabs>
              <w:tab w:val="right" w:leader="dot" w:pos="9350"/>
            </w:tabs>
            <w:rPr>
              <w:rFonts w:eastAsiaTheme="minorEastAsia"/>
              <w:noProof/>
            </w:rPr>
          </w:pPr>
          <w:hyperlink w:anchor="_Toc403138199" w:history="1">
            <w:r w:rsidR="008F5D10" w:rsidRPr="00990DEF">
              <w:rPr>
                <w:rStyle w:val="Hyperlink"/>
                <w:noProof/>
              </w:rPr>
              <w:t>A.6 Consequences of Collecting the Information Less Frequently</w:t>
            </w:r>
            <w:r w:rsidR="008F5D10">
              <w:rPr>
                <w:noProof/>
                <w:webHidden/>
              </w:rPr>
              <w:tab/>
            </w:r>
            <w:r w:rsidR="008F5D10">
              <w:rPr>
                <w:noProof/>
                <w:webHidden/>
              </w:rPr>
              <w:fldChar w:fldCharType="begin"/>
            </w:r>
            <w:r w:rsidR="008F5D10">
              <w:rPr>
                <w:noProof/>
                <w:webHidden/>
              </w:rPr>
              <w:instrText xml:space="preserve"> PAGEREF _Toc403138199 \h </w:instrText>
            </w:r>
            <w:r w:rsidR="008F5D10">
              <w:rPr>
                <w:noProof/>
                <w:webHidden/>
              </w:rPr>
            </w:r>
            <w:r w:rsidR="008F5D10">
              <w:rPr>
                <w:noProof/>
                <w:webHidden/>
              </w:rPr>
              <w:fldChar w:fldCharType="separate"/>
            </w:r>
            <w:r w:rsidR="008F5D10">
              <w:rPr>
                <w:noProof/>
                <w:webHidden/>
              </w:rPr>
              <w:t>8</w:t>
            </w:r>
            <w:r w:rsidR="008F5D10">
              <w:rPr>
                <w:noProof/>
                <w:webHidden/>
              </w:rPr>
              <w:fldChar w:fldCharType="end"/>
            </w:r>
          </w:hyperlink>
        </w:p>
        <w:p w:rsidR="008F5D10" w:rsidRDefault="00BC2322">
          <w:pPr>
            <w:pStyle w:val="TOC1"/>
            <w:tabs>
              <w:tab w:val="right" w:leader="dot" w:pos="9350"/>
            </w:tabs>
            <w:rPr>
              <w:rFonts w:eastAsiaTheme="minorEastAsia"/>
              <w:noProof/>
            </w:rPr>
          </w:pPr>
          <w:hyperlink w:anchor="_Toc403138200" w:history="1">
            <w:r w:rsidR="008F5D10" w:rsidRPr="00990DEF">
              <w:rPr>
                <w:rStyle w:val="Hyperlink"/>
                <w:noProof/>
              </w:rPr>
              <w:t>A.7 Special Circumstances Relating to the Guidelines of 5 CFR 1320.5</w:t>
            </w:r>
            <w:r w:rsidR="008F5D10">
              <w:rPr>
                <w:noProof/>
                <w:webHidden/>
              </w:rPr>
              <w:tab/>
            </w:r>
            <w:r w:rsidR="008F5D10">
              <w:rPr>
                <w:noProof/>
                <w:webHidden/>
              </w:rPr>
              <w:fldChar w:fldCharType="begin"/>
            </w:r>
            <w:r w:rsidR="008F5D10">
              <w:rPr>
                <w:noProof/>
                <w:webHidden/>
              </w:rPr>
              <w:instrText xml:space="preserve"> PAGEREF _Toc403138200 \h </w:instrText>
            </w:r>
            <w:r w:rsidR="008F5D10">
              <w:rPr>
                <w:noProof/>
                <w:webHidden/>
              </w:rPr>
            </w:r>
            <w:r w:rsidR="008F5D10">
              <w:rPr>
                <w:noProof/>
                <w:webHidden/>
              </w:rPr>
              <w:fldChar w:fldCharType="separate"/>
            </w:r>
            <w:r w:rsidR="008F5D10">
              <w:rPr>
                <w:noProof/>
                <w:webHidden/>
              </w:rPr>
              <w:t>8</w:t>
            </w:r>
            <w:r w:rsidR="008F5D10">
              <w:rPr>
                <w:noProof/>
                <w:webHidden/>
              </w:rPr>
              <w:fldChar w:fldCharType="end"/>
            </w:r>
          </w:hyperlink>
        </w:p>
        <w:p w:rsidR="008F5D10" w:rsidRDefault="00BC2322">
          <w:pPr>
            <w:pStyle w:val="TOC1"/>
            <w:tabs>
              <w:tab w:val="right" w:leader="dot" w:pos="9350"/>
            </w:tabs>
            <w:rPr>
              <w:rFonts w:eastAsiaTheme="minorEastAsia"/>
              <w:noProof/>
            </w:rPr>
          </w:pPr>
          <w:hyperlink w:anchor="_Toc403138201" w:history="1">
            <w:r w:rsidR="008F5D10" w:rsidRPr="00990DEF">
              <w:rPr>
                <w:rStyle w:val="Hyperlink"/>
                <w:noProof/>
              </w:rPr>
              <w:t>A.8 Comments in Response to the Federal Register Notice and Efforts to Consult Outside the Agency</w:t>
            </w:r>
            <w:r w:rsidR="008F5D10">
              <w:rPr>
                <w:noProof/>
                <w:webHidden/>
              </w:rPr>
              <w:tab/>
            </w:r>
            <w:r w:rsidR="008F5D10">
              <w:rPr>
                <w:noProof/>
                <w:webHidden/>
              </w:rPr>
              <w:fldChar w:fldCharType="begin"/>
            </w:r>
            <w:r w:rsidR="008F5D10">
              <w:rPr>
                <w:noProof/>
                <w:webHidden/>
              </w:rPr>
              <w:instrText xml:space="preserve"> PAGEREF _Toc403138201 \h </w:instrText>
            </w:r>
            <w:r w:rsidR="008F5D10">
              <w:rPr>
                <w:noProof/>
                <w:webHidden/>
              </w:rPr>
            </w:r>
            <w:r w:rsidR="008F5D10">
              <w:rPr>
                <w:noProof/>
                <w:webHidden/>
              </w:rPr>
              <w:fldChar w:fldCharType="separate"/>
            </w:r>
            <w:r w:rsidR="008F5D10">
              <w:rPr>
                <w:noProof/>
                <w:webHidden/>
              </w:rPr>
              <w:t>10</w:t>
            </w:r>
            <w:r w:rsidR="008F5D10">
              <w:rPr>
                <w:noProof/>
                <w:webHidden/>
              </w:rPr>
              <w:fldChar w:fldCharType="end"/>
            </w:r>
          </w:hyperlink>
        </w:p>
        <w:p w:rsidR="008F5D10" w:rsidRDefault="00BC2322">
          <w:pPr>
            <w:pStyle w:val="TOC1"/>
            <w:tabs>
              <w:tab w:val="right" w:leader="dot" w:pos="9350"/>
            </w:tabs>
            <w:rPr>
              <w:rFonts w:eastAsiaTheme="minorEastAsia"/>
              <w:noProof/>
            </w:rPr>
          </w:pPr>
          <w:hyperlink w:anchor="_Toc403138202" w:history="1">
            <w:r w:rsidR="008F5D10" w:rsidRPr="00990DEF">
              <w:rPr>
                <w:rStyle w:val="Hyperlink"/>
                <w:noProof/>
              </w:rPr>
              <w:t>A.9 Explanation of Any Payment or Gift to Respondents</w:t>
            </w:r>
            <w:r w:rsidR="008F5D10">
              <w:rPr>
                <w:noProof/>
                <w:webHidden/>
              </w:rPr>
              <w:tab/>
            </w:r>
            <w:r w:rsidR="008F5D10">
              <w:rPr>
                <w:noProof/>
                <w:webHidden/>
              </w:rPr>
              <w:fldChar w:fldCharType="begin"/>
            </w:r>
            <w:r w:rsidR="008F5D10">
              <w:rPr>
                <w:noProof/>
                <w:webHidden/>
              </w:rPr>
              <w:instrText xml:space="preserve"> PAGEREF _Toc403138202 \h </w:instrText>
            </w:r>
            <w:r w:rsidR="008F5D10">
              <w:rPr>
                <w:noProof/>
                <w:webHidden/>
              </w:rPr>
            </w:r>
            <w:r w:rsidR="008F5D10">
              <w:rPr>
                <w:noProof/>
                <w:webHidden/>
              </w:rPr>
              <w:fldChar w:fldCharType="separate"/>
            </w:r>
            <w:r w:rsidR="008F5D10">
              <w:rPr>
                <w:noProof/>
                <w:webHidden/>
              </w:rPr>
              <w:t>11</w:t>
            </w:r>
            <w:r w:rsidR="008F5D10">
              <w:rPr>
                <w:noProof/>
                <w:webHidden/>
              </w:rPr>
              <w:fldChar w:fldCharType="end"/>
            </w:r>
          </w:hyperlink>
        </w:p>
        <w:p w:rsidR="008F5D10" w:rsidRDefault="00BC2322">
          <w:pPr>
            <w:pStyle w:val="TOC1"/>
            <w:tabs>
              <w:tab w:val="right" w:leader="dot" w:pos="9350"/>
            </w:tabs>
            <w:rPr>
              <w:rFonts w:eastAsiaTheme="minorEastAsia"/>
              <w:noProof/>
            </w:rPr>
          </w:pPr>
          <w:hyperlink w:anchor="_Toc403138203" w:history="1">
            <w:r w:rsidR="008F5D10" w:rsidRPr="00990DEF">
              <w:rPr>
                <w:rStyle w:val="Hyperlink"/>
                <w:noProof/>
              </w:rPr>
              <w:t>A.10 Assurance of Confidentiality Provided to Respondents</w:t>
            </w:r>
            <w:r w:rsidR="008F5D10">
              <w:rPr>
                <w:noProof/>
                <w:webHidden/>
              </w:rPr>
              <w:tab/>
            </w:r>
            <w:r w:rsidR="008F5D10">
              <w:rPr>
                <w:noProof/>
                <w:webHidden/>
              </w:rPr>
              <w:fldChar w:fldCharType="begin"/>
            </w:r>
            <w:r w:rsidR="008F5D10">
              <w:rPr>
                <w:noProof/>
                <w:webHidden/>
              </w:rPr>
              <w:instrText xml:space="preserve"> PAGEREF _Toc403138203 \h </w:instrText>
            </w:r>
            <w:r w:rsidR="008F5D10">
              <w:rPr>
                <w:noProof/>
                <w:webHidden/>
              </w:rPr>
            </w:r>
            <w:r w:rsidR="008F5D10">
              <w:rPr>
                <w:noProof/>
                <w:webHidden/>
              </w:rPr>
              <w:fldChar w:fldCharType="separate"/>
            </w:r>
            <w:r w:rsidR="008F5D10">
              <w:rPr>
                <w:noProof/>
                <w:webHidden/>
              </w:rPr>
              <w:t>11</w:t>
            </w:r>
            <w:r w:rsidR="008F5D10">
              <w:rPr>
                <w:noProof/>
                <w:webHidden/>
              </w:rPr>
              <w:fldChar w:fldCharType="end"/>
            </w:r>
          </w:hyperlink>
        </w:p>
        <w:p w:rsidR="008F5D10" w:rsidRDefault="00BC2322">
          <w:pPr>
            <w:pStyle w:val="TOC2"/>
            <w:tabs>
              <w:tab w:val="right" w:leader="dot" w:pos="9350"/>
            </w:tabs>
            <w:rPr>
              <w:rFonts w:eastAsiaTheme="minorEastAsia"/>
              <w:noProof/>
            </w:rPr>
          </w:pPr>
          <w:hyperlink w:anchor="_Toc403138204" w:history="1">
            <w:r w:rsidR="008F5D10" w:rsidRPr="00990DEF">
              <w:rPr>
                <w:rStyle w:val="Hyperlink"/>
                <w:noProof/>
              </w:rPr>
              <w:t>A.10.1. Privacy Impact Assessment Information</w:t>
            </w:r>
            <w:r w:rsidR="008F5D10">
              <w:rPr>
                <w:noProof/>
                <w:webHidden/>
              </w:rPr>
              <w:tab/>
            </w:r>
            <w:r w:rsidR="008F5D10">
              <w:rPr>
                <w:noProof/>
                <w:webHidden/>
              </w:rPr>
              <w:fldChar w:fldCharType="begin"/>
            </w:r>
            <w:r w:rsidR="008F5D10">
              <w:rPr>
                <w:noProof/>
                <w:webHidden/>
              </w:rPr>
              <w:instrText xml:space="preserve"> PAGEREF _Toc403138204 \h </w:instrText>
            </w:r>
            <w:r w:rsidR="008F5D10">
              <w:rPr>
                <w:noProof/>
                <w:webHidden/>
              </w:rPr>
            </w:r>
            <w:r w:rsidR="008F5D10">
              <w:rPr>
                <w:noProof/>
                <w:webHidden/>
              </w:rPr>
              <w:fldChar w:fldCharType="separate"/>
            </w:r>
            <w:r w:rsidR="008F5D10">
              <w:rPr>
                <w:noProof/>
                <w:webHidden/>
              </w:rPr>
              <w:t>11</w:t>
            </w:r>
            <w:r w:rsidR="008F5D10">
              <w:rPr>
                <w:noProof/>
                <w:webHidden/>
              </w:rPr>
              <w:fldChar w:fldCharType="end"/>
            </w:r>
          </w:hyperlink>
        </w:p>
        <w:p w:rsidR="008F5D10" w:rsidRDefault="00BC2322">
          <w:pPr>
            <w:pStyle w:val="TOC1"/>
            <w:tabs>
              <w:tab w:val="right" w:leader="dot" w:pos="9350"/>
            </w:tabs>
            <w:rPr>
              <w:rFonts w:eastAsiaTheme="minorEastAsia"/>
              <w:noProof/>
            </w:rPr>
          </w:pPr>
          <w:hyperlink w:anchor="_Toc403138205" w:history="1">
            <w:r w:rsidR="008F5D10" w:rsidRPr="00990DEF">
              <w:rPr>
                <w:rStyle w:val="Hyperlink"/>
                <w:noProof/>
              </w:rPr>
              <w:t>A.11 Justification for Sensitive Questions</w:t>
            </w:r>
            <w:r w:rsidR="008F5D10">
              <w:rPr>
                <w:noProof/>
                <w:webHidden/>
              </w:rPr>
              <w:tab/>
            </w:r>
            <w:r w:rsidR="008F5D10">
              <w:rPr>
                <w:noProof/>
                <w:webHidden/>
              </w:rPr>
              <w:fldChar w:fldCharType="begin"/>
            </w:r>
            <w:r w:rsidR="008F5D10">
              <w:rPr>
                <w:noProof/>
                <w:webHidden/>
              </w:rPr>
              <w:instrText xml:space="preserve"> PAGEREF _Toc403138205 \h </w:instrText>
            </w:r>
            <w:r w:rsidR="008F5D10">
              <w:rPr>
                <w:noProof/>
                <w:webHidden/>
              </w:rPr>
            </w:r>
            <w:r w:rsidR="008F5D10">
              <w:rPr>
                <w:noProof/>
                <w:webHidden/>
              </w:rPr>
              <w:fldChar w:fldCharType="separate"/>
            </w:r>
            <w:r w:rsidR="008F5D10">
              <w:rPr>
                <w:noProof/>
                <w:webHidden/>
              </w:rPr>
              <w:t>15</w:t>
            </w:r>
            <w:r w:rsidR="008F5D10">
              <w:rPr>
                <w:noProof/>
                <w:webHidden/>
              </w:rPr>
              <w:fldChar w:fldCharType="end"/>
            </w:r>
          </w:hyperlink>
        </w:p>
        <w:p w:rsidR="008F5D10" w:rsidRDefault="00BC2322">
          <w:pPr>
            <w:pStyle w:val="TOC1"/>
            <w:tabs>
              <w:tab w:val="right" w:leader="dot" w:pos="9350"/>
            </w:tabs>
            <w:rPr>
              <w:rFonts w:eastAsiaTheme="minorEastAsia"/>
              <w:noProof/>
            </w:rPr>
          </w:pPr>
          <w:hyperlink w:anchor="_Toc403138206" w:history="1">
            <w:r w:rsidR="008F5D10" w:rsidRPr="00990DEF">
              <w:rPr>
                <w:rStyle w:val="Hyperlink"/>
                <w:noProof/>
              </w:rPr>
              <w:t>A.12 Estimates of Annualized Burden Hours and Costs</w:t>
            </w:r>
            <w:r w:rsidR="008F5D10">
              <w:rPr>
                <w:noProof/>
                <w:webHidden/>
              </w:rPr>
              <w:tab/>
            </w:r>
            <w:r w:rsidR="008F5D10">
              <w:rPr>
                <w:noProof/>
                <w:webHidden/>
              </w:rPr>
              <w:fldChar w:fldCharType="begin"/>
            </w:r>
            <w:r w:rsidR="008F5D10">
              <w:rPr>
                <w:noProof/>
                <w:webHidden/>
              </w:rPr>
              <w:instrText xml:space="preserve"> PAGEREF _Toc403138206 \h </w:instrText>
            </w:r>
            <w:r w:rsidR="008F5D10">
              <w:rPr>
                <w:noProof/>
                <w:webHidden/>
              </w:rPr>
            </w:r>
            <w:r w:rsidR="008F5D10">
              <w:rPr>
                <w:noProof/>
                <w:webHidden/>
              </w:rPr>
              <w:fldChar w:fldCharType="separate"/>
            </w:r>
            <w:r w:rsidR="008F5D10">
              <w:rPr>
                <w:noProof/>
                <w:webHidden/>
              </w:rPr>
              <w:t>16</w:t>
            </w:r>
            <w:r w:rsidR="008F5D10">
              <w:rPr>
                <w:noProof/>
                <w:webHidden/>
              </w:rPr>
              <w:fldChar w:fldCharType="end"/>
            </w:r>
          </w:hyperlink>
        </w:p>
        <w:p w:rsidR="008F5D10" w:rsidRDefault="00BC2322">
          <w:pPr>
            <w:pStyle w:val="TOC1"/>
            <w:tabs>
              <w:tab w:val="right" w:leader="dot" w:pos="9350"/>
            </w:tabs>
            <w:rPr>
              <w:rFonts w:eastAsiaTheme="minorEastAsia"/>
              <w:noProof/>
            </w:rPr>
          </w:pPr>
          <w:hyperlink w:anchor="_Toc403138207" w:history="1">
            <w:r w:rsidR="008F5D10" w:rsidRPr="00990DEF">
              <w:rPr>
                <w:rStyle w:val="Hyperlink"/>
                <w:noProof/>
              </w:rPr>
              <w:t>A.13 Estimates of Other Total Annual Cost Burden to Respondents or Record Keepers</w:t>
            </w:r>
            <w:r w:rsidR="008F5D10">
              <w:rPr>
                <w:noProof/>
                <w:webHidden/>
              </w:rPr>
              <w:tab/>
            </w:r>
            <w:r w:rsidR="008F5D10">
              <w:rPr>
                <w:noProof/>
                <w:webHidden/>
              </w:rPr>
              <w:fldChar w:fldCharType="begin"/>
            </w:r>
            <w:r w:rsidR="008F5D10">
              <w:rPr>
                <w:noProof/>
                <w:webHidden/>
              </w:rPr>
              <w:instrText xml:space="preserve"> PAGEREF _Toc403138207 \h </w:instrText>
            </w:r>
            <w:r w:rsidR="008F5D10">
              <w:rPr>
                <w:noProof/>
                <w:webHidden/>
              </w:rPr>
            </w:r>
            <w:r w:rsidR="008F5D10">
              <w:rPr>
                <w:noProof/>
                <w:webHidden/>
              </w:rPr>
              <w:fldChar w:fldCharType="separate"/>
            </w:r>
            <w:r w:rsidR="008F5D10">
              <w:rPr>
                <w:noProof/>
                <w:webHidden/>
              </w:rPr>
              <w:t>17</w:t>
            </w:r>
            <w:r w:rsidR="008F5D10">
              <w:rPr>
                <w:noProof/>
                <w:webHidden/>
              </w:rPr>
              <w:fldChar w:fldCharType="end"/>
            </w:r>
          </w:hyperlink>
        </w:p>
        <w:p w:rsidR="008F5D10" w:rsidRDefault="00BC2322">
          <w:pPr>
            <w:pStyle w:val="TOC1"/>
            <w:tabs>
              <w:tab w:val="right" w:leader="dot" w:pos="9350"/>
            </w:tabs>
            <w:rPr>
              <w:rFonts w:eastAsiaTheme="minorEastAsia"/>
              <w:noProof/>
            </w:rPr>
          </w:pPr>
          <w:hyperlink w:anchor="_Toc403138208" w:history="1">
            <w:r w:rsidR="008F5D10" w:rsidRPr="00990DEF">
              <w:rPr>
                <w:rStyle w:val="Hyperlink"/>
                <w:noProof/>
              </w:rPr>
              <w:t>A.14. Annualized Cost to the Federal Government</w:t>
            </w:r>
            <w:r w:rsidR="008F5D10">
              <w:rPr>
                <w:noProof/>
                <w:webHidden/>
              </w:rPr>
              <w:tab/>
            </w:r>
            <w:r w:rsidR="008F5D10">
              <w:rPr>
                <w:noProof/>
                <w:webHidden/>
              </w:rPr>
              <w:fldChar w:fldCharType="begin"/>
            </w:r>
            <w:r w:rsidR="008F5D10">
              <w:rPr>
                <w:noProof/>
                <w:webHidden/>
              </w:rPr>
              <w:instrText xml:space="preserve"> PAGEREF _Toc403138208 \h </w:instrText>
            </w:r>
            <w:r w:rsidR="008F5D10">
              <w:rPr>
                <w:noProof/>
                <w:webHidden/>
              </w:rPr>
            </w:r>
            <w:r w:rsidR="008F5D10">
              <w:rPr>
                <w:noProof/>
                <w:webHidden/>
              </w:rPr>
              <w:fldChar w:fldCharType="separate"/>
            </w:r>
            <w:r w:rsidR="008F5D10">
              <w:rPr>
                <w:noProof/>
                <w:webHidden/>
              </w:rPr>
              <w:t>17</w:t>
            </w:r>
            <w:r w:rsidR="008F5D10">
              <w:rPr>
                <w:noProof/>
                <w:webHidden/>
              </w:rPr>
              <w:fldChar w:fldCharType="end"/>
            </w:r>
          </w:hyperlink>
        </w:p>
        <w:p w:rsidR="008F5D10" w:rsidRDefault="00BC2322">
          <w:pPr>
            <w:pStyle w:val="TOC1"/>
            <w:tabs>
              <w:tab w:val="right" w:leader="dot" w:pos="9350"/>
            </w:tabs>
            <w:rPr>
              <w:rFonts w:eastAsiaTheme="minorEastAsia"/>
              <w:noProof/>
            </w:rPr>
          </w:pPr>
          <w:hyperlink w:anchor="_Toc403138209" w:history="1">
            <w:r w:rsidR="008F5D10" w:rsidRPr="00990DEF">
              <w:rPr>
                <w:rStyle w:val="Hyperlink"/>
                <w:noProof/>
              </w:rPr>
              <w:t>A.15. Explanation for Program Changes or Adjustments</w:t>
            </w:r>
            <w:r w:rsidR="008F5D10">
              <w:rPr>
                <w:noProof/>
                <w:webHidden/>
              </w:rPr>
              <w:tab/>
            </w:r>
            <w:r w:rsidR="008F5D10">
              <w:rPr>
                <w:noProof/>
                <w:webHidden/>
              </w:rPr>
              <w:fldChar w:fldCharType="begin"/>
            </w:r>
            <w:r w:rsidR="008F5D10">
              <w:rPr>
                <w:noProof/>
                <w:webHidden/>
              </w:rPr>
              <w:instrText xml:space="preserve"> PAGEREF _Toc403138209 \h </w:instrText>
            </w:r>
            <w:r w:rsidR="008F5D10">
              <w:rPr>
                <w:noProof/>
                <w:webHidden/>
              </w:rPr>
            </w:r>
            <w:r w:rsidR="008F5D10">
              <w:rPr>
                <w:noProof/>
                <w:webHidden/>
              </w:rPr>
              <w:fldChar w:fldCharType="separate"/>
            </w:r>
            <w:r w:rsidR="008F5D10">
              <w:rPr>
                <w:noProof/>
                <w:webHidden/>
              </w:rPr>
              <w:t>17</w:t>
            </w:r>
            <w:r w:rsidR="008F5D10">
              <w:rPr>
                <w:noProof/>
                <w:webHidden/>
              </w:rPr>
              <w:fldChar w:fldCharType="end"/>
            </w:r>
          </w:hyperlink>
        </w:p>
        <w:p w:rsidR="008F5D10" w:rsidRDefault="00BC2322">
          <w:pPr>
            <w:pStyle w:val="TOC1"/>
            <w:tabs>
              <w:tab w:val="right" w:leader="dot" w:pos="9350"/>
            </w:tabs>
            <w:rPr>
              <w:rFonts w:eastAsiaTheme="minorEastAsia"/>
              <w:noProof/>
            </w:rPr>
          </w:pPr>
          <w:hyperlink w:anchor="_Toc403138210" w:history="1">
            <w:r w:rsidR="008F5D10" w:rsidRPr="00990DEF">
              <w:rPr>
                <w:rStyle w:val="Hyperlink"/>
                <w:noProof/>
              </w:rPr>
              <w:t>A.16. Plans for Tabulation and Publication and Project Time Schedule</w:t>
            </w:r>
            <w:r w:rsidR="008F5D10">
              <w:rPr>
                <w:noProof/>
                <w:webHidden/>
              </w:rPr>
              <w:tab/>
            </w:r>
            <w:r w:rsidR="008F5D10">
              <w:rPr>
                <w:noProof/>
                <w:webHidden/>
              </w:rPr>
              <w:fldChar w:fldCharType="begin"/>
            </w:r>
            <w:r w:rsidR="008F5D10">
              <w:rPr>
                <w:noProof/>
                <w:webHidden/>
              </w:rPr>
              <w:instrText xml:space="preserve"> PAGEREF _Toc403138210 \h </w:instrText>
            </w:r>
            <w:r w:rsidR="008F5D10">
              <w:rPr>
                <w:noProof/>
                <w:webHidden/>
              </w:rPr>
            </w:r>
            <w:r w:rsidR="008F5D10">
              <w:rPr>
                <w:noProof/>
                <w:webHidden/>
              </w:rPr>
              <w:fldChar w:fldCharType="separate"/>
            </w:r>
            <w:r w:rsidR="008F5D10">
              <w:rPr>
                <w:noProof/>
                <w:webHidden/>
              </w:rPr>
              <w:t>17</w:t>
            </w:r>
            <w:r w:rsidR="008F5D10">
              <w:rPr>
                <w:noProof/>
                <w:webHidden/>
              </w:rPr>
              <w:fldChar w:fldCharType="end"/>
            </w:r>
          </w:hyperlink>
        </w:p>
        <w:p w:rsidR="008F5D10" w:rsidRDefault="00BC2322">
          <w:pPr>
            <w:pStyle w:val="TOC1"/>
            <w:tabs>
              <w:tab w:val="right" w:leader="dot" w:pos="9350"/>
            </w:tabs>
            <w:rPr>
              <w:rFonts w:eastAsiaTheme="minorEastAsia"/>
              <w:noProof/>
            </w:rPr>
          </w:pPr>
          <w:hyperlink w:anchor="_Toc403138211" w:history="1">
            <w:r w:rsidR="008F5D10" w:rsidRPr="00990DEF">
              <w:rPr>
                <w:rStyle w:val="Hyperlink"/>
                <w:noProof/>
              </w:rPr>
              <w:t>A.17. Reason(s) Display of OMB Expiration Date is Inappropriate</w:t>
            </w:r>
            <w:r w:rsidR="008F5D10">
              <w:rPr>
                <w:noProof/>
                <w:webHidden/>
              </w:rPr>
              <w:tab/>
            </w:r>
            <w:r w:rsidR="008F5D10">
              <w:rPr>
                <w:noProof/>
                <w:webHidden/>
              </w:rPr>
              <w:fldChar w:fldCharType="begin"/>
            </w:r>
            <w:r w:rsidR="008F5D10">
              <w:rPr>
                <w:noProof/>
                <w:webHidden/>
              </w:rPr>
              <w:instrText xml:space="preserve"> PAGEREF _Toc403138211 \h </w:instrText>
            </w:r>
            <w:r w:rsidR="008F5D10">
              <w:rPr>
                <w:noProof/>
                <w:webHidden/>
              </w:rPr>
            </w:r>
            <w:r w:rsidR="008F5D10">
              <w:rPr>
                <w:noProof/>
                <w:webHidden/>
              </w:rPr>
              <w:fldChar w:fldCharType="separate"/>
            </w:r>
            <w:r w:rsidR="008F5D10">
              <w:rPr>
                <w:noProof/>
                <w:webHidden/>
              </w:rPr>
              <w:t>18</w:t>
            </w:r>
            <w:r w:rsidR="008F5D10">
              <w:rPr>
                <w:noProof/>
                <w:webHidden/>
              </w:rPr>
              <w:fldChar w:fldCharType="end"/>
            </w:r>
          </w:hyperlink>
        </w:p>
        <w:p w:rsidR="008F5D10" w:rsidRDefault="00BC2322">
          <w:pPr>
            <w:pStyle w:val="TOC1"/>
            <w:tabs>
              <w:tab w:val="right" w:leader="dot" w:pos="9350"/>
            </w:tabs>
            <w:rPr>
              <w:rFonts w:eastAsiaTheme="minorEastAsia"/>
              <w:noProof/>
            </w:rPr>
          </w:pPr>
          <w:hyperlink w:anchor="_Toc403138212" w:history="1">
            <w:r w:rsidR="008F5D10" w:rsidRPr="00990DEF">
              <w:rPr>
                <w:rStyle w:val="Hyperlink"/>
                <w:noProof/>
              </w:rPr>
              <w:t>A.18. Exceptions to Certification for Paperwork Reduction Act Submissions</w:t>
            </w:r>
            <w:r w:rsidR="008F5D10">
              <w:rPr>
                <w:noProof/>
                <w:webHidden/>
              </w:rPr>
              <w:tab/>
            </w:r>
            <w:r w:rsidR="008F5D10">
              <w:rPr>
                <w:noProof/>
                <w:webHidden/>
              </w:rPr>
              <w:fldChar w:fldCharType="begin"/>
            </w:r>
            <w:r w:rsidR="008F5D10">
              <w:rPr>
                <w:noProof/>
                <w:webHidden/>
              </w:rPr>
              <w:instrText xml:space="preserve"> PAGEREF _Toc403138212 \h </w:instrText>
            </w:r>
            <w:r w:rsidR="008F5D10">
              <w:rPr>
                <w:noProof/>
                <w:webHidden/>
              </w:rPr>
            </w:r>
            <w:r w:rsidR="008F5D10">
              <w:rPr>
                <w:noProof/>
                <w:webHidden/>
              </w:rPr>
              <w:fldChar w:fldCharType="separate"/>
            </w:r>
            <w:r w:rsidR="008F5D10">
              <w:rPr>
                <w:noProof/>
                <w:webHidden/>
              </w:rPr>
              <w:t>18</w:t>
            </w:r>
            <w:r w:rsidR="008F5D10">
              <w:rPr>
                <w:noProof/>
                <w:webHidden/>
              </w:rPr>
              <w:fldChar w:fldCharType="end"/>
            </w:r>
          </w:hyperlink>
        </w:p>
        <w:p w:rsidR="008F5D10" w:rsidRDefault="00BC2322">
          <w:pPr>
            <w:pStyle w:val="TOC1"/>
            <w:tabs>
              <w:tab w:val="right" w:leader="dot" w:pos="9350"/>
            </w:tabs>
            <w:rPr>
              <w:rFonts w:eastAsiaTheme="minorEastAsia"/>
              <w:noProof/>
            </w:rPr>
          </w:pPr>
          <w:hyperlink w:anchor="_Toc403138213" w:history="1">
            <w:r w:rsidR="008F5D10" w:rsidRPr="00990DEF">
              <w:rPr>
                <w:rStyle w:val="Hyperlink"/>
                <w:noProof/>
              </w:rPr>
              <w:t>References</w:t>
            </w:r>
            <w:r w:rsidR="008F5D10">
              <w:rPr>
                <w:noProof/>
                <w:webHidden/>
              </w:rPr>
              <w:tab/>
            </w:r>
            <w:r w:rsidR="008F5D10">
              <w:rPr>
                <w:noProof/>
                <w:webHidden/>
              </w:rPr>
              <w:fldChar w:fldCharType="begin"/>
            </w:r>
            <w:r w:rsidR="008F5D10">
              <w:rPr>
                <w:noProof/>
                <w:webHidden/>
              </w:rPr>
              <w:instrText xml:space="preserve"> PAGEREF _Toc403138213 \h </w:instrText>
            </w:r>
            <w:r w:rsidR="008F5D10">
              <w:rPr>
                <w:noProof/>
                <w:webHidden/>
              </w:rPr>
            </w:r>
            <w:r w:rsidR="008F5D10">
              <w:rPr>
                <w:noProof/>
                <w:webHidden/>
              </w:rPr>
              <w:fldChar w:fldCharType="separate"/>
            </w:r>
            <w:r w:rsidR="008F5D10">
              <w:rPr>
                <w:noProof/>
                <w:webHidden/>
              </w:rPr>
              <w:t>18</w:t>
            </w:r>
            <w:r w:rsidR="008F5D10">
              <w:rPr>
                <w:noProof/>
                <w:webHidden/>
              </w:rPr>
              <w:fldChar w:fldCharType="end"/>
            </w:r>
          </w:hyperlink>
        </w:p>
        <w:p w:rsidR="00C9554F" w:rsidRDefault="00C9554F" w:rsidP="00350142">
          <w:pPr>
            <w:spacing w:after="0" w:line="240" w:lineRule="auto"/>
          </w:pPr>
          <w:r>
            <w:rPr>
              <w:b/>
              <w:bCs/>
              <w:noProof/>
            </w:rPr>
            <w:fldChar w:fldCharType="end"/>
          </w:r>
        </w:p>
      </w:sdtContent>
    </w:sdt>
    <w:p w:rsidR="00B707A8" w:rsidRDefault="00B707A8" w:rsidP="00350142">
      <w:pPr>
        <w:spacing w:after="0" w:line="240" w:lineRule="auto"/>
        <w:rPr>
          <w:sz w:val="28"/>
          <w:szCs w:val="28"/>
        </w:rPr>
      </w:pPr>
    </w:p>
    <w:p w:rsidR="00C9554F" w:rsidRDefault="005B1361" w:rsidP="008F5D10">
      <w:pPr>
        <w:spacing w:after="0" w:line="240" w:lineRule="auto"/>
      </w:pPr>
      <w:r>
        <w:br w:type="page"/>
      </w:r>
    </w:p>
    <w:p w:rsidR="00C9554F" w:rsidRDefault="00C9554F" w:rsidP="008F5D10">
      <w:pPr>
        <w:pStyle w:val="Heading1"/>
        <w:jc w:val="center"/>
      </w:pPr>
      <w:bookmarkStart w:id="0" w:name="_Toc403138193"/>
      <w:r>
        <w:lastRenderedPageBreak/>
        <w:t>List of Attachments</w:t>
      </w:r>
      <w:bookmarkEnd w:id="0"/>
    </w:p>
    <w:p w:rsidR="00C9554F" w:rsidRPr="00C9554F" w:rsidRDefault="00C9554F" w:rsidP="00350142">
      <w:pPr>
        <w:spacing w:after="0" w:line="240" w:lineRule="auto"/>
        <w:rPr>
          <w:lang w:eastAsia="ja-JP"/>
        </w:rPr>
      </w:pPr>
    </w:p>
    <w:p w:rsidR="00FC6EFF" w:rsidRPr="00730EAA" w:rsidRDefault="00FC6EFF" w:rsidP="005719BD">
      <w:pPr>
        <w:pStyle w:val="ListParagraph"/>
        <w:spacing w:after="0" w:line="240" w:lineRule="auto"/>
        <w:contextualSpacing w:val="0"/>
        <w:rPr>
          <w:lang w:eastAsia="ja-JP"/>
        </w:rPr>
      </w:pPr>
      <w:r w:rsidRPr="00730EAA">
        <w:rPr>
          <w:lang w:eastAsia="ja-JP"/>
        </w:rPr>
        <w:t xml:space="preserve">Attachment A. Authorizing Legislation </w:t>
      </w:r>
    </w:p>
    <w:p w:rsidR="00FC6EFF" w:rsidRPr="00730EAA" w:rsidRDefault="00FC6EFF" w:rsidP="005719BD">
      <w:pPr>
        <w:pStyle w:val="ListParagraph"/>
        <w:spacing w:after="0" w:line="240" w:lineRule="auto"/>
        <w:contextualSpacing w:val="0"/>
        <w:rPr>
          <w:lang w:eastAsia="ja-JP"/>
        </w:rPr>
      </w:pPr>
      <w:r w:rsidRPr="00730EAA">
        <w:rPr>
          <w:lang w:eastAsia="ja-JP"/>
        </w:rPr>
        <w:t>Attachment B. 60-day Federal Register Notice</w:t>
      </w:r>
    </w:p>
    <w:p w:rsidR="00FC6EFF" w:rsidRPr="00730EAA" w:rsidRDefault="00FC6EFF" w:rsidP="005719BD">
      <w:pPr>
        <w:pStyle w:val="ListParagraph"/>
        <w:spacing w:after="0" w:line="240" w:lineRule="auto"/>
        <w:contextualSpacing w:val="0"/>
        <w:rPr>
          <w:lang w:eastAsia="ja-JP"/>
        </w:rPr>
      </w:pPr>
      <w:r w:rsidRPr="00730EAA">
        <w:rPr>
          <w:lang w:eastAsia="ja-JP"/>
        </w:rPr>
        <w:t xml:space="preserve">Attachment C. </w:t>
      </w:r>
      <w:r w:rsidR="00EC18D9" w:rsidRPr="00730EAA">
        <w:rPr>
          <w:lang w:eastAsia="ja-JP"/>
        </w:rPr>
        <w:t xml:space="preserve">Sample </w:t>
      </w:r>
      <w:r w:rsidRPr="00730EAA">
        <w:rPr>
          <w:lang w:eastAsia="ja-JP"/>
        </w:rPr>
        <w:t>CASPER Questionnaires</w:t>
      </w:r>
    </w:p>
    <w:p w:rsidR="00FC6EFF" w:rsidRPr="00730EAA" w:rsidRDefault="00FC6EFF" w:rsidP="005719BD">
      <w:pPr>
        <w:pStyle w:val="ListParagraph"/>
        <w:spacing w:after="0" w:line="240" w:lineRule="auto"/>
        <w:contextualSpacing w:val="0"/>
        <w:rPr>
          <w:lang w:eastAsia="ja-JP"/>
        </w:rPr>
      </w:pPr>
      <w:r w:rsidRPr="00730EAA">
        <w:rPr>
          <w:lang w:eastAsia="ja-JP"/>
        </w:rPr>
        <w:t xml:space="preserve">Attachment D. </w:t>
      </w:r>
      <w:r w:rsidR="00EC18D9" w:rsidRPr="00730EAA">
        <w:rPr>
          <w:lang w:eastAsia="ja-JP"/>
        </w:rPr>
        <w:t xml:space="preserve">Sample CASPER </w:t>
      </w:r>
      <w:r w:rsidRPr="00730EAA">
        <w:rPr>
          <w:lang w:eastAsia="ja-JP"/>
        </w:rPr>
        <w:t>Tracking Form</w:t>
      </w:r>
    </w:p>
    <w:p w:rsidR="00FC6EFF" w:rsidRPr="00730EAA" w:rsidRDefault="00FC6EFF" w:rsidP="005719BD">
      <w:pPr>
        <w:pStyle w:val="ListParagraph"/>
        <w:spacing w:after="0" w:line="240" w:lineRule="auto"/>
        <w:contextualSpacing w:val="0"/>
        <w:rPr>
          <w:lang w:eastAsia="ja-JP"/>
        </w:rPr>
      </w:pPr>
      <w:r w:rsidRPr="00730EAA">
        <w:rPr>
          <w:lang w:eastAsia="ja-JP"/>
        </w:rPr>
        <w:t xml:space="preserve">Attachment E. </w:t>
      </w:r>
      <w:r w:rsidR="00EC18D9" w:rsidRPr="00730EAA">
        <w:rPr>
          <w:lang w:eastAsia="ja-JP"/>
        </w:rPr>
        <w:t xml:space="preserve">Sample </w:t>
      </w:r>
      <w:r w:rsidRPr="00730EAA">
        <w:rPr>
          <w:lang w:eastAsia="ja-JP"/>
        </w:rPr>
        <w:t>Referral Form</w:t>
      </w:r>
    </w:p>
    <w:p w:rsidR="00FC6EFF" w:rsidRPr="00730EAA" w:rsidRDefault="00FC6EFF" w:rsidP="005719BD">
      <w:pPr>
        <w:pStyle w:val="ListParagraph"/>
        <w:spacing w:after="0" w:line="240" w:lineRule="auto"/>
        <w:contextualSpacing w:val="0"/>
        <w:rPr>
          <w:lang w:eastAsia="ja-JP"/>
        </w:rPr>
      </w:pPr>
      <w:r w:rsidRPr="00730EAA">
        <w:rPr>
          <w:lang w:eastAsia="ja-JP"/>
        </w:rPr>
        <w:t xml:space="preserve">Attachment F. </w:t>
      </w:r>
      <w:r w:rsidR="00EC18D9" w:rsidRPr="00730EAA">
        <w:rPr>
          <w:lang w:eastAsia="ja-JP"/>
        </w:rPr>
        <w:t xml:space="preserve">Sample </w:t>
      </w:r>
      <w:r w:rsidRPr="00730EAA">
        <w:rPr>
          <w:lang w:eastAsia="ja-JP"/>
        </w:rPr>
        <w:t>Final Report</w:t>
      </w:r>
    </w:p>
    <w:p w:rsidR="009308BF" w:rsidRPr="00730EAA" w:rsidRDefault="009308BF" w:rsidP="005719BD">
      <w:pPr>
        <w:pStyle w:val="ListParagraph"/>
        <w:spacing w:after="0" w:line="240" w:lineRule="auto"/>
        <w:contextualSpacing w:val="0"/>
        <w:rPr>
          <w:lang w:eastAsia="ja-JP"/>
        </w:rPr>
      </w:pPr>
      <w:r w:rsidRPr="00730EAA">
        <w:rPr>
          <w:lang w:eastAsia="ja-JP"/>
        </w:rPr>
        <w:t>Attachment G.</w:t>
      </w:r>
      <w:r w:rsidRPr="00730EAA">
        <w:t xml:space="preserve"> Request for </w:t>
      </w:r>
      <w:r w:rsidR="00EB7175" w:rsidRPr="00730EAA">
        <w:t>Approval under Generic Clearance for CASPER</w:t>
      </w:r>
    </w:p>
    <w:p w:rsidR="009308BF" w:rsidRPr="00730EAA" w:rsidRDefault="009308BF" w:rsidP="005719BD">
      <w:pPr>
        <w:pStyle w:val="ListParagraph"/>
        <w:spacing w:after="0" w:line="240" w:lineRule="auto"/>
        <w:contextualSpacing w:val="0"/>
        <w:rPr>
          <w:lang w:eastAsia="ja-JP"/>
        </w:rPr>
      </w:pPr>
      <w:r w:rsidRPr="00730EAA">
        <w:rPr>
          <w:lang w:eastAsia="ja-JP"/>
        </w:rPr>
        <w:t>Attachment H. Burden Memo</w:t>
      </w:r>
    </w:p>
    <w:p w:rsidR="00556B57" w:rsidRPr="00730EAA" w:rsidRDefault="00FC6EFF" w:rsidP="005719BD">
      <w:pPr>
        <w:pStyle w:val="ListParagraph"/>
        <w:spacing w:after="0" w:line="240" w:lineRule="auto"/>
        <w:contextualSpacing w:val="0"/>
        <w:rPr>
          <w:lang w:eastAsia="ja-JP"/>
        </w:rPr>
      </w:pPr>
      <w:r w:rsidRPr="00730EAA">
        <w:rPr>
          <w:lang w:eastAsia="ja-JP"/>
        </w:rPr>
        <w:t xml:space="preserve">Attachment </w:t>
      </w:r>
      <w:r w:rsidR="009308BF" w:rsidRPr="00730EAA">
        <w:rPr>
          <w:lang w:eastAsia="ja-JP"/>
        </w:rPr>
        <w:t>I</w:t>
      </w:r>
      <w:r w:rsidRPr="00730EAA">
        <w:rPr>
          <w:lang w:eastAsia="ja-JP"/>
        </w:rPr>
        <w:t xml:space="preserve">. </w:t>
      </w:r>
      <w:r w:rsidR="00556B57" w:rsidRPr="00730EAA">
        <w:rPr>
          <w:lang w:eastAsia="ja-JP"/>
        </w:rPr>
        <w:t>Step-by-Step How to Use the Generic Clearance for CASPER</w:t>
      </w:r>
    </w:p>
    <w:p w:rsidR="00FC6EFF" w:rsidRPr="00730EAA" w:rsidRDefault="00556B57" w:rsidP="005719BD">
      <w:pPr>
        <w:pStyle w:val="ListParagraph"/>
        <w:spacing w:after="0" w:line="240" w:lineRule="auto"/>
        <w:contextualSpacing w:val="0"/>
        <w:rPr>
          <w:lang w:eastAsia="ja-JP"/>
        </w:rPr>
      </w:pPr>
      <w:r w:rsidRPr="00730EAA">
        <w:rPr>
          <w:lang w:eastAsia="ja-JP"/>
        </w:rPr>
        <w:t xml:space="preserve">Attachment J. </w:t>
      </w:r>
      <w:r w:rsidR="00EC18D9" w:rsidRPr="00730EAA">
        <w:rPr>
          <w:lang w:eastAsia="ja-JP"/>
        </w:rPr>
        <w:t xml:space="preserve">Sample Introduction and </w:t>
      </w:r>
      <w:r w:rsidR="00FC6EFF" w:rsidRPr="00730EAA">
        <w:rPr>
          <w:lang w:eastAsia="ja-JP"/>
        </w:rPr>
        <w:t xml:space="preserve">Consent Script </w:t>
      </w:r>
    </w:p>
    <w:p w:rsidR="00EC18D9" w:rsidRPr="00730EAA" w:rsidRDefault="009308BF" w:rsidP="005719BD">
      <w:pPr>
        <w:pStyle w:val="ListParagraph"/>
        <w:spacing w:after="0" w:line="240" w:lineRule="auto"/>
        <w:contextualSpacing w:val="0"/>
        <w:rPr>
          <w:lang w:eastAsia="ja-JP"/>
        </w:rPr>
      </w:pPr>
      <w:r w:rsidRPr="00730EAA">
        <w:rPr>
          <w:lang w:eastAsia="ja-JP"/>
        </w:rPr>
        <w:t xml:space="preserve">Attachment </w:t>
      </w:r>
      <w:r w:rsidR="005A3DD5" w:rsidRPr="00730EAA">
        <w:rPr>
          <w:lang w:eastAsia="ja-JP"/>
        </w:rPr>
        <w:t>K</w:t>
      </w:r>
      <w:r w:rsidR="00A02B6A" w:rsidRPr="00730EAA">
        <w:rPr>
          <w:lang w:eastAsia="ja-JP"/>
        </w:rPr>
        <w:t>.</w:t>
      </w:r>
      <w:r w:rsidR="00EC18D9" w:rsidRPr="00730EAA">
        <w:rPr>
          <w:lang w:eastAsia="ja-JP"/>
        </w:rPr>
        <w:t xml:space="preserve"> Sample Sampling Frame and Cluster Map</w:t>
      </w:r>
    </w:p>
    <w:p w:rsidR="00EC18D9" w:rsidRPr="00730EAA" w:rsidRDefault="009308BF" w:rsidP="005719BD">
      <w:pPr>
        <w:pStyle w:val="ListParagraph"/>
        <w:spacing w:after="0" w:line="240" w:lineRule="auto"/>
        <w:contextualSpacing w:val="0"/>
        <w:rPr>
          <w:lang w:eastAsia="ja-JP"/>
        </w:rPr>
      </w:pPr>
      <w:r w:rsidRPr="00730EAA">
        <w:rPr>
          <w:lang w:eastAsia="ja-JP"/>
        </w:rPr>
        <w:t>Attachment</w:t>
      </w:r>
      <w:r w:rsidR="00732086" w:rsidRPr="00730EAA">
        <w:rPr>
          <w:lang w:eastAsia="ja-JP"/>
        </w:rPr>
        <w:t xml:space="preserve"> </w:t>
      </w:r>
      <w:r w:rsidR="005A3DD5" w:rsidRPr="00730EAA">
        <w:rPr>
          <w:lang w:eastAsia="ja-JP"/>
        </w:rPr>
        <w:t>L</w:t>
      </w:r>
      <w:r w:rsidR="00A02B6A" w:rsidRPr="00730EAA">
        <w:rPr>
          <w:lang w:eastAsia="ja-JP"/>
        </w:rPr>
        <w:t>.</w:t>
      </w:r>
      <w:r w:rsidR="00EC18D9" w:rsidRPr="00730EAA">
        <w:rPr>
          <w:lang w:eastAsia="ja-JP"/>
        </w:rPr>
        <w:t xml:space="preserve"> Sample CASPER Press Release</w:t>
      </w:r>
    </w:p>
    <w:p w:rsidR="00EC18D9" w:rsidRDefault="00A02B6A" w:rsidP="005719BD">
      <w:pPr>
        <w:pStyle w:val="ListParagraph"/>
        <w:spacing w:after="0" w:line="240" w:lineRule="auto"/>
        <w:contextualSpacing w:val="0"/>
        <w:rPr>
          <w:lang w:eastAsia="ja-JP"/>
        </w:rPr>
      </w:pPr>
      <w:r w:rsidRPr="00730EAA">
        <w:rPr>
          <w:lang w:eastAsia="ja-JP"/>
        </w:rPr>
        <w:t xml:space="preserve">Attachment </w:t>
      </w:r>
      <w:r w:rsidR="005A3DD5" w:rsidRPr="00730EAA">
        <w:rPr>
          <w:lang w:eastAsia="ja-JP"/>
        </w:rPr>
        <w:t>M</w:t>
      </w:r>
      <w:r w:rsidRPr="00730EAA">
        <w:rPr>
          <w:lang w:eastAsia="ja-JP"/>
        </w:rPr>
        <w:t>.</w:t>
      </w:r>
      <w:r w:rsidR="008F566D">
        <w:rPr>
          <w:lang w:eastAsia="ja-JP"/>
        </w:rPr>
        <w:t xml:space="preserve"> </w:t>
      </w:r>
      <w:r w:rsidR="00EC18D9" w:rsidRPr="00730EAA">
        <w:rPr>
          <w:lang w:eastAsia="ja-JP"/>
        </w:rPr>
        <w:t>Sample CASPER Publication</w:t>
      </w:r>
    </w:p>
    <w:p w:rsidR="00401A47" w:rsidRDefault="00401A47" w:rsidP="005719BD">
      <w:pPr>
        <w:pStyle w:val="ListParagraph"/>
        <w:spacing w:after="0" w:line="240" w:lineRule="auto"/>
        <w:contextualSpacing w:val="0"/>
        <w:rPr>
          <w:lang w:eastAsia="ja-JP"/>
        </w:rPr>
      </w:pPr>
      <w:r w:rsidRPr="00401A47">
        <w:rPr>
          <w:lang w:eastAsia="ja-JP"/>
        </w:rPr>
        <w:t>Attachment N. CASPER Toolkit, Sections 5.2 Weighted Analyses and 5.3 Calculation of 95% Confidence Intervals</w:t>
      </w:r>
    </w:p>
    <w:p w:rsidR="00587D07" w:rsidRPr="00B44302" w:rsidRDefault="00587D07" w:rsidP="005719BD">
      <w:pPr>
        <w:pStyle w:val="ListParagraph"/>
        <w:spacing w:after="0" w:line="240" w:lineRule="auto"/>
        <w:contextualSpacing w:val="0"/>
        <w:rPr>
          <w:lang w:eastAsia="ja-JP"/>
        </w:rPr>
      </w:pPr>
    </w:p>
    <w:p w:rsidR="00C9554F" w:rsidRDefault="00C9554F" w:rsidP="00350142">
      <w:pPr>
        <w:spacing w:after="0" w:line="240" w:lineRule="auto"/>
        <w:rPr>
          <w:sz w:val="24"/>
          <w:szCs w:val="28"/>
        </w:rPr>
      </w:pPr>
    </w:p>
    <w:p w:rsidR="00C9554F" w:rsidRDefault="00C9554F" w:rsidP="00350142">
      <w:pPr>
        <w:spacing w:after="0" w:line="240" w:lineRule="auto"/>
        <w:rPr>
          <w:sz w:val="24"/>
          <w:szCs w:val="28"/>
        </w:rPr>
      </w:pPr>
    </w:p>
    <w:p w:rsidR="00C9554F" w:rsidRDefault="00C9554F" w:rsidP="00350142">
      <w:pPr>
        <w:spacing w:after="0" w:line="240" w:lineRule="auto"/>
        <w:rPr>
          <w:sz w:val="24"/>
          <w:szCs w:val="28"/>
        </w:rPr>
      </w:pPr>
    </w:p>
    <w:p w:rsidR="00C9554F" w:rsidRDefault="00C9554F" w:rsidP="00350142">
      <w:pPr>
        <w:spacing w:after="0" w:line="240" w:lineRule="auto"/>
        <w:rPr>
          <w:sz w:val="24"/>
          <w:szCs w:val="28"/>
        </w:rPr>
      </w:pPr>
    </w:p>
    <w:p w:rsidR="00C9554F" w:rsidRDefault="00C9554F" w:rsidP="00350142">
      <w:pPr>
        <w:spacing w:after="0" w:line="240" w:lineRule="auto"/>
        <w:rPr>
          <w:sz w:val="24"/>
          <w:szCs w:val="28"/>
        </w:rPr>
      </w:pPr>
    </w:p>
    <w:p w:rsidR="00C9554F" w:rsidRDefault="00C9554F" w:rsidP="00350142">
      <w:pPr>
        <w:spacing w:after="0" w:line="240" w:lineRule="auto"/>
        <w:rPr>
          <w:sz w:val="24"/>
          <w:szCs w:val="28"/>
        </w:rPr>
      </w:pPr>
    </w:p>
    <w:p w:rsidR="00C9554F" w:rsidRDefault="00C9554F" w:rsidP="00350142">
      <w:pPr>
        <w:spacing w:after="0" w:line="240" w:lineRule="auto"/>
        <w:rPr>
          <w:sz w:val="24"/>
          <w:szCs w:val="28"/>
        </w:rPr>
      </w:pPr>
    </w:p>
    <w:p w:rsidR="00C9554F" w:rsidRDefault="00C9554F" w:rsidP="00350142">
      <w:pPr>
        <w:spacing w:after="0" w:line="240" w:lineRule="auto"/>
        <w:rPr>
          <w:sz w:val="24"/>
          <w:szCs w:val="28"/>
        </w:rPr>
      </w:pPr>
    </w:p>
    <w:p w:rsidR="00C9554F" w:rsidRDefault="00C9554F" w:rsidP="00350142">
      <w:pPr>
        <w:spacing w:after="0" w:line="240" w:lineRule="auto"/>
        <w:rPr>
          <w:sz w:val="24"/>
          <w:szCs w:val="28"/>
        </w:rPr>
      </w:pPr>
    </w:p>
    <w:p w:rsidR="00B44302" w:rsidRDefault="00B44302" w:rsidP="00350142">
      <w:pPr>
        <w:spacing w:after="0" w:line="240" w:lineRule="auto"/>
        <w:rPr>
          <w:sz w:val="24"/>
          <w:szCs w:val="28"/>
        </w:rPr>
      </w:pPr>
    </w:p>
    <w:p w:rsidR="00C9554F" w:rsidRDefault="00C9554F" w:rsidP="00350142">
      <w:pPr>
        <w:spacing w:after="0" w:line="240" w:lineRule="auto"/>
        <w:rPr>
          <w:sz w:val="24"/>
          <w:szCs w:val="28"/>
        </w:rPr>
      </w:pPr>
    </w:p>
    <w:p w:rsidR="00C9554F" w:rsidRDefault="00C9554F" w:rsidP="00350142">
      <w:pPr>
        <w:spacing w:after="0" w:line="240" w:lineRule="auto"/>
        <w:rPr>
          <w:sz w:val="24"/>
          <w:szCs w:val="28"/>
        </w:rPr>
      </w:pPr>
    </w:p>
    <w:p w:rsidR="00C9554F" w:rsidRDefault="00C9554F" w:rsidP="00350142">
      <w:pPr>
        <w:spacing w:after="0" w:line="240" w:lineRule="auto"/>
        <w:rPr>
          <w:sz w:val="24"/>
          <w:szCs w:val="28"/>
        </w:rPr>
      </w:pPr>
    </w:p>
    <w:p w:rsidR="00C9554F" w:rsidRDefault="00C9554F" w:rsidP="00350142">
      <w:pPr>
        <w:spacing w:after="0" w:line="240" w:lineRule="auto"/>
        <w:rPr>
          <w:sz w:val="24"/>
          <w:szCs w:val="28"/>
        </w:rPr>
      </w:pPr>
    </w:p>
    <w:p w:rsidR="00C9554F" w:rsidRDefault="00C9554F" w:rsidP="00350142">
      <w:pPr>
        <w:spacing w:after="0" w:line="240" w:lineRule="auto"/>
        <w:rPr>
          <w:sz w:val="24"/>
          <w:szCs w:val="28"/>
        </w:rPr>
      </w:pPr>
    </w:p>
    <w:p w:rsidR="00C9554F" w:rsidRDefault="00C9554F" w:rsidP="00350142">
      <w:pPr>
        <w:spacing w:after="0" w:line="240" w:lineRule="auto"/>
        <w:rPr>
          <w:sz w:val="24"/>
          <w:szCs w:val="28"/>
        </w:rPr>
      </w:pPr>
    </w:p>
    <w:p w:rsidR="00C9554F" w:rsidRDefault="00C9554F" w:rsidP="00350142">
      <w:pPr>
        <w:spacing w:after="0" w:line="240" w:lineRule="auto"/>
        <w:rPr>
          <w:sz w:val="24"/>
          <w:szCs w:val="28"/>
        </w:rPr>
      </w:pPr>
    </w:p>
    <w:p w:rsidR="00C9554F" w:rsidRDefault="00C9554F" w:rsidP="00350142">
      <w:pPr>
        <w:spacing w:after="0" w:line="240" w:lineRule="auto"/>
        <w:rPr>
          <w:sz w:val="24"/>
          <w:szCs w:val="28"/>
        </w:rPr>
      </w:pPr>
    </w:p>
    <w:p w:rsidR="00C9554F" w:rsidRDefault="00C9554F" w:rsidP="00350142">
      <w:pPr>
        <w:spacing w:after="0" w:line="240" w:lineRule="auto"/>
        <w:rPr>
          <w:sz w:val="24"/>
          <w:szCs w:val="28"/>
        </w:rPr>
      </w:pPr>
    </w:p>
    <w:p w:rsidR="00C9554F" w:rsidRDefault="00C9554F" w:rsidP="00350142">
      <w:pPr>
        <w:spacing w:after="0" w:line="240" w:lineRule="auto"/>
        <w:rPr>
          <w:sz w:val="24"/>
          <w:szCs w:val="28"/>
        </w:rPr>
      </w:pPr>
    </w:p>
    <w:p w:rsidR="00C9554F" w:rsidRDefault="00C9554F" w:rsidP="00350142">
      <w:pPr>
        <w:spacing w:after="0" w:line="240" w:lineRule="auto"/>
        <w:rPr>
          <w:sz w:val="24"/>
          <w:szCs w:val="28"/>
        </w:rPr>
      </w:pPr>
    </w:p>
    <w:p w:rsidR="00C9554F" w:rsidRDefault="00C9554F" w:rsidP="00350142">
      <w:pPr>
        <w:spacing w:after="0" w:line="240" w:lineRule="auto"/>
        <w:rPr>
          <w:sz w:val="24"/>
          <w:szCs w:val="28"/>
        </w:rPr>
      </w:pPr>
    </w:p>
    <w:p w:rsidR="00C9554F" w:rsidRDefault="00C9554F" w:rsidP="00350142">
      <w:pPr>
        <w:spacing w:after="0" w:line="240" w:lineRule="auto"/>
        <w:rPr>
          <w:sz w:val="24"/>
          <w:szCs w:val="28"/>
        </w:rPr>
      </w:pPr>
    </w:p>
    <w:p w:rsidR="00C9554F" w:rsidRDefault="00C9554F" w:rsidP="00350142">
      <w:pPr>
        <w:spacing w:after="0" w:line="240" w:lineRule="auto"/>
        <w:rPr>
          <w:sz w:val="24"/>
          <w:szCs w:val="28"/>
        </w:rPr>
      </w:pPr>
    </w:p>
    <w:p w:rsidR="00C9554F" w:rsidRDefault="00C9554F" w:rsidP="00350142">
      <w:pPr>
        <w:spacing w:after="0" w:line="240" w:lineRule="auto"/>
        <w:rPr>
          <w:sz w:val="24"/>
          <w:szCs w:val="28"/>
        </w:rPr>
      </w:pPr>
    </w:p>
    <w:p w:rsidR="00C9554F" w:rsidRDefault="00C9554F" w:rsidP="00350142">
      <w:pPr>
        <w:spacing w:after="0" w:line="240" w:lineRule="auto"/>
        <w:rPr>
          <w:sz w:val="24"/>
          <w:szCs w:val="28"/>
        </w:rPr>
      </w:pPr>
    </w:p>
    <w:p w:rsidR="00C9554F" w:rsidRDefault="00C9554F" w:rsidP="00350142">
      <w:pPr>
        <w:spacing w:after="0" w:line="240" w:lineRule="auto"/>
        <w:rPr>
          <w:sz w:val="24"/>
          <w:szCs w:val="28"/>
        </w:rPr>
      </w:pPr>
    </w:p>
    <w:p w:rsidR="00C9554F" w:rsidRDefault="00C9554F" w:rsidP="00350142">
      <w:pPr>
        <w:spacing w:after="0" w:line="240" w:lineRule="auto"/>
        <w:rPr>
          <w:sz w:val="24"/>
          <w:szCs w:val="28"/>
        </w:rPr>
      </w:pPr>
    </w:p>
    <w:p w:rsidR="00197D78" w:rsidRPr="00197D78" w:rsidRDefault="00C9554F" w:rsidP="00350142">
      <w:pPr>
        <w:pStyle w:val="Heading1"/>
        <w:spacing w:before="0" w:line="240" w:lineRule="auto"/>
      </w:pPr>
      <w:bookmarkStart w:id="1" w:name="_Toc403138194"/>
      <w:r w:rsidRPr="004E3FBD">
        <w:t>A.1 Circumstances Making the Colle</w:t>
      </w:r>
      <w:r>
        <w:t>ction of Information Necessary</w:t>
      </w:r>
      <w:bookmarkEnd w:id="1"/>
      <w:r>
        <w:tab/>
      </w:r>
    </w:p>
    <w:p w:rsidR="00625708" w:rsidRDefault="00625708" w:rsidP="00350142">
      <w:pPr>
        <w:pStyle w:val="NoSpacing"/>
        <w:rPr>
          <w:i/>
          <w:color w:val="365F91" w:themeColor="accent1" w:themeShade="BF"/>
        </w:rPr>
      </w:pPr>
    </w:p>
    <w:p w:rsidR="00E41B8B" w:rsidRDefault="006870CB" w:rsidP="008F5D10">
      <w:pPr>
        <w:spacing w:line="240" w:lineRule="auto"/>
      </w:pPr>
      <w:r>
        <w:t>The Centers for Disease Control and Prevention (</w:t>
      </w:r>
      <w:r w:rsidRPr="00BD7F44">
        <w:t>CDC</w:t>
      </w:r>
      <w:r>
        <w:t>)</w:t>
      </w:r>
      <w:r w:rsidRPr="00BD7F44">
        <w:t xml:space="preserve"> </w:t>
      </w:r>
      <w:r>
        <w:t>is seeking Office of Management and Budget approval for three years for a new generic information collection request (ICR)</w:t>
      </w:r>
      <w:r w:rsidRPr="006C2FD4">
        <w:t xml:space="preserve"> </w:t>
      </w:r>
      <w:r>
        <w:t xml:space="preserve">for </w:t>
      </w:r>
      <w:r w:rsidRPr="00C308F2">
        <w:t>Community Assessment for Public Health Emergency Response (CASPER</w:t>
      </w:r>
      <w:r>
        <w:t xml:space="preserve">). Prior to this request, CASPERs were conducted as </w:t>
      </w:r>
      <w:proofErr w:type="spellStart"/>
      <w:r>
        <w:t>Epi</w:t>
      </w:r>
      <w:proofErr w:type="spellEnd"/>
      <w:r>
        <w:t xml:space="preserve">-Aids and as such, were covered under the </w:t>
      </w:r>
      <w:r w:rsidRPr="001550A1">
        <w:t xml:space="preserve">previously OMB-approved Emergency Epidemic Investigations ICR (OMB No. 0920-0008; expiration 7/31/2014), which applied specifically to information collections conducted by CDC under the </w:t>
      </w:r>
      <w:proofErr w:type="spellStart"/>
      <w:r w:rsidRPr="001550A1">
        <w:t>Epi</w:t>
      </w:r>
      <w:proofErr w:type="spellEnd"/>
      <w:r w:rsidRPr="001550A1">
        <w:t>-Aid mechanism (a specific administrative mechanism enacted to support a field response)</w:t>
      </w:r>
      <w:r>
        <w:t>. The Emergency</w:t>
      </w:r>
      <w:r w:rsidRPr="001550A1">
        <w:t xml:space="preserve"> Epidemic Investigations ICR</w:t>
      </w:r>
      <w:r w:rsidR="005A783C">
        <w:t xml:space="preserve"> was not</w:t>
      </w:r>
      <w:r w:rsidRPr="001550A1">
        <w:t xml:space="preserve"> reinstated fo</w:t>
      </w:r>
      <w:r>
        <w:t xml:space="preserve">llowing expiration, and the ICR submitted in its place will no longer cover CASPERs; therefore, we are requesting a </w:t>
      </w:r>
      <w:r w:rsidR="007D2465">
        <w:t>G</w:t>
      </w:r>
      <w:r>
        <w:t>eneric</w:t>
      </w:r>
      <w:r w:rsidR="00E676A0">
        <w:t xml:space="preserve"> </w:t>
      </w:r>
      <w:r w:rsidR="007D2465">
        <w:t>ICR C</w:t>
      </w:r>
      <w:r w:rsidR="00E676A0">
        <w:t>learance</w:t>
      </w:r>
      <w:r>
        <w:t xml:space="preserve"> for the CASPER activit</w:t>
      </w:r>
      <w:r w:rsidR="006A4752">
        <w:t>ies conducted in the context of emergency situations</w:t>
      </w:r>
      <w:r>
        <w:t xml:space="preserve">. </w:t>
      </w:r>
      <w:r w:rsidR="006D355D" w:rsidRPr="00485B05">
        <w:t xml:space="preserve">The purpose of this </w:t>
      </w:r>
      <w:r w:rsidR="007D2465">
        <w:t>G</w:t>
      </w:r>
      <w:r w:rsidR="006D355D" w:rsidRPr="00485B05">
        <w:t xml:space="preserve">eneric </w:t>
      </w:r>
      <w:r w:rsidR="007D2465">
        <w:t>ICR C</w:t>
      </w:r>
      <w:r w:rsidR="00E676A0">
        <w:t xml:space="preserve">learance </w:t>
      </w:r>
      <w:r w:rsidR="006D355D" w:rsidRPr="00485B05">
        <w:t xml:space="preserve">is to facilitate the use of CASPER </w:t>
      </w:r>
      <w:r w:rsidR="006D355D">
        <w:t xml:space="preserve">to </w:t>
      </w:r>
      <w:r w:rsidR="006D355D" w:rsidRPr="00485B05">
        <w:t>quickly provide low-cost, household-based information about a community’s</w:t>
      </w:r>
      <w:r w:rsidR="006A4752">
        <w:t xml:space="preserve"> perceived</w:t>
      </w:r>
      <w:r w:rsidR="006D355D" w:rsidRPr="00485B05">
        <w:t xml:space="preserve"> needs in a simple, easy-to-understand format </w:t>
      </w:r>
      <w:r w:rsidR="006A4752">
        <w:t xml:space="preserve">to </w:t>
      </w:r>
      <w:r w:rsidR="002359F1">
        <w:t>requesting state</w:t>
      </w:r>
      <w:r w:rsidR="006A4752">
        <w:t xml:space="preserve"> and local agencies to </w:t>
      </w:r>
      <w:r w:rsidR="006D355D" w:rsidRPr="00485B05">
        <w:t>respon</w:t>
      </w:r>
      <w:r w:rsidR="006A4752">
        <w:t xml:space="preserve">d </w:t>
      </w:r>
      <w:r w:rsidR="0090131A">
        <w:t xml:space="preserve">to </w:t>
      </w:r>
      <w:r w:rsidR="006A4752">
        <w:t>emergency situations. Note that in an emergency situation, it is often more useful for local health officials and emergency responders to have immediate feedback on perceived needs than it is to wait for more precise characterizations of actual health conditions, access limitations, and infrastructure problems.</w:t>
      </w:r>
    </w:p>
    <w:p w:rsidR="006870CB" w:rsidRDefault="006870CB" w:rsidP="008F5D10">
      <w:pPr>
        <w:spacing w:line="240" w:lineRule="auto"/>
      </w:pPr>
      <w:r>
        <w:t>The law authorizing data collection using CASPER is Section 301 of the Public Health Service Act (42 U.S.C. 241) (</w:t>
      </w:r>
      <w:r w:rsidRPr="00AF034B">
        <w:t>Attachment A</w:t>
      </w:r>
      <w:r>
        <w:t>)</w:t>
      </w:r>
      <w:r w:rsidR="002727DA">
        <w:t>.</w:t>
      </w:r>
      <w:r w:rsidR="00B33BF1">
        <w:t xml:space="preserve"> </w:t>
      </w:r>
      <w:r>
        <w:t xml:space="preserve">The 60-day Federal Register Notice is provided as Attachment B. </w:t>
      </w:r>
    </w:p>
    <w:p w:rsidR="00DC56F2" w:rsidRPr="008F5D10" w:rsidRDefault="00DC56F2" w:rsidP="006870CB">
      <w:pPr>
        <w:pStyle w:val="NoSpacing"/>
        <w:rPr>
          <w:u w:val="single"/>
        </w:rPr>
      </w:pPr>
      <w:r w:rsidRPr="008F5D10">
        <w:rPr>
          <w:u w:val="single"/>
        </w:rPr>
        <w:t>Background</w:t>
      </w:r>
    </w:p>
    <w:p w:rsidR="00DC56F2" w:rsidRDefault="00DC56F2" w:rsidP="006870CB">
      <w:pPr>
        <w:pStyle w:val="NoSpacing"/>
      </w:pPr>
    </w:p>
    <w:p w:rsidR="00C650C2" w:rsidRPr="008F5D10" w:rsidRDefault="00C650C2" w:rsidP="006870CB">
      <w:pPr>
        <w:pStyle w:val="NoSpacing"/>
        <w:rPr>
          <w:i/>
        </w:rPr>
      </w:pPr>
      <w:r w:rsidRPr="008F5D10">
        <w:rPr>
          <w:i/>
        </w:rPr>
        <w:t>HSB Disaster-related Expertise</w:t>
      </w:r>
    </w:p>
    <w:p w:rsidR="00C650C2" w:rsidRDefault="00C650C2" w:rsidP="006870CB">
      <w:pPr>
        <w:pStyle w:val="NoSpacing"/>
      </w:pPr>
    </w:p>
    <w:p w:rsidR="00680B74" w:rsidRDefault="00E37589" w:rsidP="00625708">
      <w:pPr>
        <w:pStyle w:val="NoSpacing"/>
      </w:pPr>
      <w:r>
        <w:rPr>
          <w:bCs/>
        </w:rPr>
        <w:t>Important areas of expertise within Health Studies Branch</w:t>
      </w:r>
      <w:r w:rsidR="00B75E75">
        <w:rPr>
          <w:bCs/>
        </w:rPr>
        <w:t xml:space="preserve"> (HSB)</w:t>
      </w:r>
      <w:r>
        <w:rPr>
          <w:bCs/>
        </w:rPr>
        <w:t>, National Center for Environmental Health, Centers for Disease Control and Prevention, are</w:t>
      </w:r>
      <w:r w:rsidR="003C7E3F" w:rsidRPr="00DB4521">
        <w:rPr>
          <w:bCs/>
        </w:rPr>
        <w:t xml:space="preserve"> disaster epidemiology and </w:t>
      </w:r>
      <w:r>
        <w:rPr>
          <w:bCs/>
        </w:rPr>
        <w:t xml:space="preserve">disaster </w:t>
      </w:r>
      <w:r w:rsidR="003C7E3F" w:rsidRPr="00DB4521">
        <w:rPr>
          <w:bCs/>
        </w:rPr>
        <w:t>response</w:t>
      </w:r>
      <w:r>
        <w:rPr>
          <w:bCs/>
        </w:rPr>
        <w:t xml:space="preserve"> (</w:t>
      </w:r>
      <w:r w:rsidR="003C7E3F" w:rsidRPr="00DB4521">
        <w:rPr>
          <w:bCs/>
        </w:rPr>
        <w:t xml:space="preserve">in all four phases of </w:t>
      </w:r>
      <w:r w:rsidR="003C7E3F">
        <w:rPr>
          <w:bCs/>
        </w:rPr>
        <w:t xml:space="preserve">a </w:t>
      </w:r>
      <w:r w:rsidR="003C7E3F" w:rsidRPr="00DB4521">
        <w:rPr>
          <w:bCs/>
        </w:rPr>
        <w:t>disaster</w:t>
      </w:r>
      <w:r>
        <w:rPr>
          <w:bCs/>
        </w:rPr>
        <w:t>--</w:t>
      </w:r>
      <w:r w:rsidR="003C7E3F" w:rsidRPr="00DB4521">
        <w:rPr>
          <w:bCs/>
        </w:rPr>
        <w:t>mitigation, preparedness, response, and recovery)</w:t>
      </w:r>
      <w:r w:rsidR="003C7E3F">
        <w:rPr>
          <w:bCs/>
        </w:rPr>
        <w:t>. Our role is often</w:t>
      </w:r>
      <w:r>
        <w:rPr>
          <w:bCs/>
        </w:rPr>
        <w:t xml:space="preserve"> to gather</w:t>
      </w:r>
      <w:r w:rsidR="003C7E3F">
        <w:rPr>
          <w:bCs/>
        </w:rPr>
        <w:t xml:space="preserve"> knowledge </w:t>
      </w:r>
      <w:r>
        <w:rPr>
          <w:bCs/>
        </w:rPr>
        <w:t>about</w:t>
      </w:r>
      <w:r w:rsidR="003C7E3F">
        <w:rPr>
          <w:bCs/>
        </w:rPr>
        <w:t xml:space="preserve"> the community as it</w:t>
      </w:r>
      <w:r>
        <w:rPr>
          <w:bCs/>
        </w:rPr>
        <w:t xml:space="preserve"> progresses through</w:t>
      </w:r>
      <w:r w:rsidR="003C7E3F">
        <w:rPr>
          <w:bCs/>
        </w:rPr>
        <w:t xml:space="preserve"> these four disaster phases.</w:t>
      </w:r>
      <w:r w:rsidR="003C7E3F">
        <w:t xml:space="preserve"> </w:t>
      </w:r>
      <w:r w:rsidR="00680B74" w:rsidRPr="00DB4521">
        <w:rPr>
          <w:bCs/>
        </w:rPr>
        <w:t xml:space="preserve">Both natural </w:t>
      </w:r>
      <w:r w:rsidR="003C7E3F">
        <w:rPr>
          <w:bCs/>
        </w:rPr>
        <w:t xml:space="preserve">(e.g., tornado, earthquake, hurricane) </w:t>
      </w:r>
      <w:r w:rsidR="00680B74" w:rsidRPr="00DB4521">
        <w:rPr>
          <w:bCs/>
        </w:rPr>
        <w:t>and man-made</w:t>
      </w:r>
      <w:r w:rsidR="003C7E3F">
        <w:rPr>
          <w:bCs/>
        </w:rPr>
        <w:t xml:space="preserve"> (e.g., chemical spill, radiation event)</w:t>
      </w:r>
      <w:r w:rsidR="00680B74" w:rsidRPr="00DB4521">
        <w:rPr>
          <w:bCs/>
        </w:rPr>
        <w:t xml:space="preserve"> disasters </w:t>
      </w:r>
      <w:r w:rsidR="003C7E3F">
        <w:rPr>
          <w:bCs/>
        </w:rPr>
        <w:t>are environmental</w:t>
      </w:r>
      <w:r w:rsidR="00680B74" w:rsidRPr="00DB4521">
        <w:rPr>
          <w:bCs/>
        </w:rPr>
        <w:t xml:space="preserve">. </w:t>
      </w:r>
      <w:r w:rsidR="00EF60A0">
        <w:t xml:space="preserve">Disasters destroy homes; damage local infrastructure such as the water </w:t>
      </w:r>
      <w:r>
        <w:t>distribution systems</w:t>
      </w:r>
      <w:r w:rsidR="00EF60A0">
        <w:t xml:space="preserve">, </w:t>
      </w:r>
      <w:r>
        <w:t xml:space="preserve">power production and distribution </w:t>
      </w:r>
      <w:r w:rsidR="00B92FD1">
        <w:t>systems</w:t>
      </w:r>
      <w:r w:rsidR="00EF60A0">
        <w:t>, and health facilities</w:t>
      </w:r>
      <w:r>
        <w:t>. Disasters also</w:t>
      </w:r>
      <w:r w:rsidR="00EF60A0">
        <w:t xml:space="preserve"> interrupt services</w:t>
      </w:r>
      <w:r w:rsidR="003F6A7F">
        <w:t xml:space="preserve"> and</w:t>
      </w:r>
      <w:r w:rsidR="00EF60A0">
        <w:t xml:space="preserve"> social support networks, </w:t>
      </w:r>
      <w:r>
        <w:t xml:space="preserve">thus negatively </w:t>
      </w:r>
      <w:r w:rsidR="00EF60A0">
        <w:t>affecting</w:t>
      </w:r>
      <w:r>
        <w:t xml:space="preserve"> community</w:t>
      </w:r>
      <w:r w:rsidR="00EF60A0">
        <w:t xml:space="preserve"> well-being</w:t>
      </w:r>
      <w:r>
        <w:t>.</w:t>
      </w:r>
      <w:r w:rsidR="00EF60A0">
        <w:t xml:space="preserve"> </w:t>
      </w:r>
      <w:r>
        <w:rPr>
          <w:bCs/>
        </w:rPr>
        <w:t xml:space="preserve">A number of </w:t>
      </w:r>
      <w:r w:rsidR="003C7E3F">
        <w:rPr>
          <w:bCs/>
        </w:rPr>
        <w:t xml:space="preserve">public health issues </w:t>
      </w:r>
      <w:r>
        <w:rPr>
          <w:bCs/>
        </w:rPr>
        <w:t xml:space="preserve">may </w:t>
      </w:r>
      <w:r w:rsidR="003C7E3F">
        <w:rPr>
          <w:bCs/>
        </w:rPr>
        <w:t>arise</w:t>
      </w:r>
      <w:r w:rsidR="00B92FD1">
        <w:rPr>
          <w:bCs/>
        </w:rPr>
        <w:t xml:space="preserve"> from</w:t>
      </w:r>
      <w:r>
        <w:rPr>
          <w:bCs/>
        </w:rPr>
        <w:t xml:space="preserve"> exposure </w:t>
      </w:r>
      <w:r w:rsidR="00680B74" w:rsidRPr="00DB4521">
        <w:rPr>
          <w:bCs/>
        </w:rPr>
        <w:t>to</w:t>
      </w:r>
      <w:r>
        <w:rPr>
          <w:bCs/>
        </w:rPr>
        <w:t xml:space="preserve"> the</w:t>
      </w:r>
      <w:r w:rsidR="00680B74" w:rsidRPr="00DB4521">
        <w:rPr>
          <w:bCs/>
        </w:rPr>
        <w:t xml:space="preserve"> env</w:t>
      </w:r>
      <w:r w:rsidR="001779B8">
        <w:rPr>
          <w:bCs/>
        </w:rPr>
        <w:t xml:space="preserve">ironmental </w:t>
      </w:r>
      <w:r>
        <w:rPr>
          <w:bCs/>
        </w:rPr>
        <w:t>impacts of a</w:t>
      </w:r>
      <w:r w:rsidR="00680B74" w:rsidRPr="00DB4521">
        <w:rPr>
          <w:bCs/>
        </w:rPr>
        <w:t xml:space="preserve"> disaster. For </w:t>
      </w:r>
      <w:r w:rsidR="00B92FD1" w:rsidRPr="00DB4521">
        <w:rPr>
          <w:bCs/>
        </w:rPr>
        <w:t>example</w:t>
      </w:r>
      <w:r w:rsidR="00680B74" w:rsidRPr="00DB4521">
        <w:rPr>
          <w:bCs/>
        </w:rPr>
        <w:t>, morbidity and mortality</w:t>
      </w:r>
      <w:r>
        <w:rPr>
          <w:bCs/>
        </w:rPr>
        <w:t xml:space="preserve"> results from exposure to chemicals, flood waters, </w:t>
      </w:r>
      <w:r w:rsidR="00680B74" w:rsidRPr="00DB4521">
        <w:rPr>
          <w:bCs/>
        </w:rPr>
        <w:t>falling debris, and</w:t>
      </w:r>
      <w:r w:rsidR="007F28F3">
        <w:rPr>
          <w:bCs/>
        </w:rPr>
        <w:t xml:space="preserve"> </w:t>
      </w:r>
      <w:r>
        <w:rPr>
          <w:bCs/>
        </w:rPr>
        <w:t>structure</w:t>
      </w:r>
      <w:r w:rsidR="007F28F3">
        <w:rPr>
          <w:bCs/>
        </w:rPr>
        <w:t xml:space="preserve"> </w:t>
      </w:r>
      <w:r w:rsidR="00680B74" w:rsidRPr="00DB4521">
        <w:rPr>
          <w:bCs/>
        </w:rPr>
        <w:t>collapse.</w:t>
      </w:r>
      <w:r w:rsidR="00680B74">
        <w:rPr>
          <w:bCs/>
          <w:vertAlign w:val="superscript"/>
        </w:rPr>
        <w:t>1</w:t>
      </w:r>
      <w:proofErr w:type="gramStart"/>
      <w:r w:rsidR="00680B74">
        <w:rPr>
          <w:bCs/>
          <w:vertAlign w:val="superscript"/>
        </w:rPr>
        <w:t>,2</w:t>
      </w:r>
      <w:proofErr w:type="gramEnd"/>
      <w:r w:rsidR="00532873">
        <w:rPr>
          <w:bCs/>
          <w:vertAlign w:val="superscript"/>
        </w:rPr>
        <w:t xml:space="preserve"> </w:t>
      </w:r>
    </w:p>
    <w:p w:rsidR="003C7E3F" w:rsidRDefault="003C7E3F" w:rsidP="00625708">
      <w:pPr>
        <w:pStyle w:val="NoSpacing"/>
      </w:pPr>
    </w:p>
    <w:p w:rsidR="00C650C2" w:rsidRPr="008F5D10" w:rsidRDefault="00C650C2" w:rsidP="00625708">
      <w:pPr>
        <w:pStyle w:val="NoSpacing"/>
        <w:rPr>
          <w:i/>
        </w:rPr>
      </w:pPr>
      <w:r w:rsidRPr="008F5D10">
        <w:rPr>
          <w:i/>
        </w:rPr>
        <w:t>What i</w:t>
      </w:r>
      <w:r w:rsidRPr="00B569FD">
        <w:rPr>
          <w:i/>
        </w:rPr>
        <w:t>s</w:t>
      </w:r>
      <w:r>
        <w:rPr>
          <w:i/>
        </w:rPr>
        <w:t xml:space="preserve"> a </w:t>
      </w:r>
      <w:r w:rsidRPr="008F5D10">
        <w:rPr>
          <w:i/>
        </w:rPr>
        <w:t>CASPER?</w:t>
      </w:r>
    </w:p>
    <w:p w:rsidR="00C650C2" w:rsidRPr="00C650C2" w:rsidRDefault="00C650C2" w:rsidP="00625708">
      <w:pPr>
        <w:pStyle w:val="NoSpacing"/>
      </w:pPr>
    </w:p>
    <w:p w:rsidR="00FA726A" w:rsidRDefault="00625708" w:rsidP="00625708">
      <w:pPr>
        <w:pStyle w:val="NoSpacing"/>
        <w:rPr>
          <w:color w:val="000000"/>
        </w:rPr>
      </w:pPr>
      <w:r>
        <w:t>Following disasters or</w:t>
      </w:r>
      <w:r w:rsidR="00B75E75">
        <w:t xml:space="preserve"> other</w:t>
      </w:r>
      <w:r>
        <w:t xml:space="preserve"> public health emergencies, </w:t>
      </w:r>
      <w:r w:rsidRPr="00BD27EC">
        <w:t xml:space="preserve">public health and emergency management professionals must be prepared to </w:t>
      </w:r>
      <w:r w:rsidR="00B75E75">
        <w:t xml:space="preserve">quickly identify and </w:t>
      </w:r>
      <w:r w:rsidRPr="00BD27EC">
        <w:t xml:space="preserve">meet the needs of the affected </w:t>
      </w:r>
      <w:r w:rsidR="00B75E75">
        <w:t>community</w:t>
      </w:r>
      <w:r>
        <w:t>.</w:t>
      </w:r>
      <w:r w:rsidR="00B75E75">
        <w:rPr>
          <w:color w:val="000000"/>
        </w:rPr>
        <w:t xml:space="preserve"> To respond appropriately, these professionals need </w:t>
      </w:r>
      <w:r w:rsidRPr="00B76A43">
        <w:rPr>
          <w:color w:val="000000"/>
        </w:rPr>
        <w:t>timely and accurate information</w:t>
      </w:r>
      <w:r w:rsidR="00B75E75">
        <w:rPr>
          <w:color w:val="000000"/>
        </w:rPr>
        <w:t>.</w:t>
      </w:r>
    </w:p>
    <w:p w:rsidR="00FA726A" w:rsidRDefault="00FA726A" w:rsidP="00625708">
      <w:pPr>
        <w:pStyle w:val="NoSpacing"/>
        <w:rPr>
          <w:color w:val="000000"/>
        </w:rPr>
      </w:pPr>
    </w:p>
    <w:p w:rsidR="00136191" w:rsidRDefault="00625708" w:rsidP="00625708">
      <w:pPr>
        <w:pStyle w:val="NoSpacing"/>
        <w:rPr>
          <w:bCs/>
        </w:rPr>
      </w:pPr>
      <w:r w:rsidRPr="00EA557D">
        <w:rPr>
          <w:rFonts w:cstheme="minorHAnsi"/>
        </w:rPr>
        <w:t>CASPER is a</w:t>
      </w:r>
      <w:r w:rsidR="00B75E75">
        <w:rPr>
          <w:rFonts w:cstheme="minorHAnsi"/>
        </w:rPr>
        <w:t xml:space="preserve"> </w:t>
      </w:r>
      <w:r w:rsidR="007F28F3">
        <w:rPr>
          <w:rFonts w:cstheme="minorHAnsi"/>
        </w:rPr>
        <w:t>public health</w:t>
      </w:r>
      <w:r w:rsidR="00B75E75">
        <w:rPr>
          <w:rFonts w:cstheme="minorHAnsi"/>
        </w:rPr>
        <w:t xml:space="preserve"> tool </w:t>
      </w:r>
      <w:r w:rsidR="007F28F3">
        <w:rPr>
          <w:rFonts w:cstheme="minorHAnsi"/>
        </w:rPr>
        <w:t xml:space="preserve">(i.e., one of the many options that a public health professional can use to gather information) </w:t>
      </w:r>
      <w:r w:rsidR="00B75E75">
        <w:rPr>
          <w:rFonts w:cstheme="minorHAnsi"/>
        </w:rPr>
        <w:t>originally developed by the World Health Organization</w:t>
      </w:r>
      <w:r w:rsidR="007F28F3">
        <w:rPr>
          <w:rFonts w:cstheme="minorHAnsi"/>
        </w:rPr>
        <w:t xml:space="preserve"> (WHO)</w:t>
      </w:r>
      <w:r w:rsidR="00B75E75">
        <w:rPr>
          <w:rFonts w:cstheme="minorHAnsi"/>
        </w:rPr>
        <w:t xml:space="preserve"> and adapted by HSB</w:t>
      </w:r>
      <w:r w:rsidR="00DE401A" w:rsidRPr="00EA557D">
        <w:rPr>
          <w:rFonts w:cstheme="minorHAnsi"/>
        </w:rPr>
        <w:t xml:space="preserve"> </w:t>
      </w:r>
      <w:r w:rsidR="00B75E75">
        <w:rPr>
          <w:rFonts w:cstheme="minorHAnsi"/>
        </w:rPr>
        <w:t xml:space="preserve">for use in </w:t>
      </w:r>
      <w:r w:rsidR="00B75E75">
        <w:rPr>
          <w:bCs/>
        </w:rPr>
        <w:t xml:space="preserve">mitigating, preparing for, responding to, and recovering from disasters. The purpose is to quickly gather information about the current situation and assess a community’s immediate needs by conducting a survey </w:t>
      </w:r>
      <w:r w:rsidR="00136191">
        <w:rPr>
          <w:bCs/>
        </w:rPr>
        <w:t>of a representative sample of the community</w:t>
      </w:r>
      <w:r w:rsidR="00136535">
        <w:rPr>
          <w:bCs/>
        </w:rPr>
        <w:t>.</w:t>
      </w:r>
      <w:r w:rsidR="00136535" w:rsidRPr="00136535">
        <w:t xml:space="preserve"> </w:t>
      </w:r>
      <w:r w:rsidR="00136535">
        <w:t>The CASPER</w:t>
      </w:r>
      <w:r w:rsidR="00624755">
        <w:t>’s</w:t>
      </w:r>
      <w:r w:rsidR="00136535" w:rsidRPr="00072A9A">
        <w:t xml:space="preserve"> method</w:t>
      </w:r>
      <w:r w:rsidR="00624755">
        <w:t xml:space="preserve"> is</w:t>
      </w:r>
      <w:r w:rsidR="00136535">
        <w:t xml:space="preserve"> to identify </w:t>
      </w:r>
      <w:r w:rsidR="00FA7A74">
        <w:lastRenderedPageBreak/>
        <w:t xml:space="preserve">the </w:t>
      </w:r>
      <w:r w:rsidR="00136535">
        <w:t>community</w:t>
      </w:r>
      <w:r w:rsidR="00FA7A74">
        <w:t>’s perceived</w:t>
      </w:r>
      <w:r w:rsidR="00136535">
        <w:t xml:space="preserve"> needs</w:t>
      </w:r>
      <w:r w:rsidR="0090131A">
        <w:t xml:space="preserve"> and infrastructure status </w:t>
      </w:r>
      <w:r w:rsidR="00136535">
        <w:t>during all phases of a disaster</w:t>
      </w:r>
      <w:r w:rsidR="00136535" w:rsidRPr="00072A9A">
        <w:t xml:space="preserve"> has been</w:t>
      </w:r>
      <w:r w:rsidR="00136535">
        <w:t xml:space="preserve"> validated via</w:t>
      </w:r>
      <w:r w:rsidR="00136535" w:rsidRPr="00072A9A">
        <w:t xml:space="preserve"> use and review </w:t>
      </w:r>
      <w:r w:rsidR="00136535" w:rsidRPr="00D473D9">
        <w:t>by epidemiologists and statisticians</w:t>
      </w:r>
      <w:r w:rsidR="00136535">
        <w:t xml:space="preserve"> from </w:t>
      </w:r>
      <w:r w:rsidR="007F28F3">
        <w:t>WHO</w:t>
      </w:r>
      <w:r w:rsidR="00136535">
        <w:t xml:space="preserve"> and CDC</w:t>
      </w:r>
      <w:r w:rsidR="00136535" w:rsidRPr="00D473D9">
        <w:t xml:space="preserve"> </w:t>
      </w:r>
      <w:r w:rsidR="00136535" w:rsidRPr="00072A9A">
        <w:t>over the last few decades</w:t>
      </w:r>
      <w:r w:rsidR="00136535">
        <w:t>.</w:t>
      </w:r>
      <w:r w:rsidR="00136535">
        <w:rPr>
          <w:vertAlign w:val="superscript"/>
        </w:rPr>
        <w:t>3</w:t>
      </w:r>
      <w:proofErr w:type="gramStart"/>
      <w:r w:rsidR="00136535">
        <w:rPr>
          <w:vertAlign w:val="superscript"/>
        </w:rPr>
        <w:t>,4</w:t>
      </w:r>
      <w:proofErr w:type="gramEnd"/>
      <w:r w:rsidR="00136535">
        <w:t xml:space="preserve"> Reviewers conclude</w:t>
      </w:r>
      <w:r w:rsidR="00D04769">
        <w:t>d</w:t>
      </w:r>
      <w:r w:rsidR="00136535">
        <w:t xml:space="preserve"> that the CASPER method provides critical </w:t>
      </w:r>
      <w:r w:rsidR="00136535" w:rsidRPr="00D473D9">
        <w:t>information</w:t>
      </w:r>
      <w:r w:rsidR="00136535">
        <w:t xml:space="preserve"> needed to allow emergency response</w:t>
      </w:r>
      <w:r w:rsidR="00136535" w:rsidRPr="00D473D9">
        <w:t xml:space="preserve"> officials to prioritize emergency response activities and to make informed decisions regarding the distribution of resources.</w:t>
      </w:r>
    </w:p>
    <w:p w:rsidR="00136191" w:rsidRDefault="00136191" w:rsidP="00625708">
      <w:pPr>
        <w:pStyle w:val="NoSpacing"/>
        <w:rPr>
          <w:bCs/>
        </w:rPr>
      </w:pPr>
    </w:p>
    <w:p w:rsidR="00B45D78" w:rsidRPr="00BB0482" w:rsidRDefault="00B75E75" w:rsidP="00625708">
      <w:pPr>
        <w:pStyle w:val="NoSpacing"/>
        <w:rPr>
          <w:vertAlign w:val="superscript"/>
        </w:rPr>
      </w:pPr>
      <w:r>
        <w:rPr>
          <w:bCs/>
        </w:rPr>
        <w:t xml:space="preserve">Each time a CASPER is used, it is tailored to the current needs of public health and, if appropriate, emergency managers. For example, during disaster preparedness, a CASPER survey may be used to </w:t>
      </w:r>
      <w:r w:rsidR="00136191">
        <w:rPr>
          <w:bCs/>
        </w:rPr>
        <w:t>assess whether people are prepared to remain a</w:t>
      </w:r>
      <w:r w:rsidR="00D04769">
        <w:rPr>
          <w:bCs/>
        </w:rPr>
        <w:t>t</w:t>
      </w:r>
      <w:r w:rsidR="00136191">
        <w:rPr>
          <w:bCs/>
        </w:rPr>
        <w:t xml:space="preserve"> home for a prolonged period by having sufficient emergency supplies available. During disaster response, a CASPER survey may be used to assess whether people have electricity or whether </w:t>
      </w:r>
      <w:r w:rsidR="00D04769">
        <w:rPr>
          <w:bCs/>
        </w:rPr>
        <w:t>people are receiving and understanding critical public health messages</w:t>
      </w:r>
      <w:r w:rsidR="00136191">
        <w:rPr>
          <w:bCs/>
        </w:rPr>
        <w:t>.</w:t>
      </w:r>
      <w:r>
        <w:rPr>
          <w:bCs/>
        </w:rPr>
        <w:t xml:space="preserve"> </w:t>
      </w:r>
      <w:r w:rsidR="00136191">
        <w:rPr>
          <w:bCs/>
        </w:rPr>
        <w:t xml:space="preserve">The results of CASPER surveys are shared through the local public health or incident command structure with a wide variety of professionals, including  city planners, emergency medical personnel, public health officials, and engineers. </w:t>
      </w:r>
      <w:r w:rsidR="00EA557D" w:rsidRPr="002A2F07">
        <w:t xml:space="preserve"> </w:t>
      </w:r>
      <w:r w:rsidR="00532873">
        <w:t>HSB</w:t>
      </w:r>
      <w:r w:rsidR="00C06268">
        <w:t xml:space="preserve"> developed the CASPER toolkit to explain what a CASPER is and</w:t>
      </w:r>
      <w:r w:rsidR="00680B74">
        <w:t xml:space="preserve"> </w:t>
      </w:r>
      <w:r w:rsidR="00136191">
        <w:t xml:space="preserve">to </w:t>
      </w:r>
      <w:r w:rsidR="00680B74">
        <w:t>standardize</w:t>
      </w:r>
      <w:r w:rsidR="00C06268">
        <w:t xml:space="preserve"> the process for conducting one. </w:t>
      </w:r>
      <w:r w:rsidR="006240F0" w:rsidRPr="008A1234">
        <w:t xml:space="preserve">The CASPER toolkit can be found on the web and is freely available for use by state and local jurisdictions (see </w:t>
      </w:r>
      <w:hyperlink r:id="rId9" w:history="1">
        <w:r w:rsidR="006240F0" w:rsidRPr="008A1234">
          <w:rPr>
            <w:rStyle w:val="Hyperlink"/>
          </w:rPr>
          <w:t>http://www.cdc.gov/nceh/hsb/disaster/casper.htm</w:t>
        </w:r>
      </w:hyperlink>
      <w:r w:rsidR="006240F0" w:rsidRPr="008A1234">
        <w:t>).</w:t>
      </w:r>
      <w:r w:rsidR="00D04769">
        <w:t xml:space="preserve"> </w:t>
      </w:r>
      <w:r w:rsidR="00136191" w:rsidRPr="00BB0482">
        <w:rPr>
          <w:i/>
          <w:u w:val="single"/>
        </w:rPr>
        <w:t xml:space="preserve">In this </w:t>
      </w:r>
      <w:r w:rsidR="0090131A">
        <w:rPr>
          <w:i/>
          <w:u w:val="single"/>
        </w:rPr>
        <w:t>ICR</w:t>
      </w:r>
      <w:r w:rsidR="00136191" w:rsidRPr="00BB0482">
        <w:rPr>
          <w:i/>
          <w:u w:val="single"/>
        </w:rPr>
        <w:t xml:space="preserve">, we </w:t>
      </w:r>
      <w:r w:rsidR="00E634FA">
        <w:rPr>
          <w:i/>
          <w:u w:val="single"/>
        </w:rPr>
        <w:t>focus</w:t>
      </w:r>
      <w:r w:rsidR="00136191" w:rsidRPr="00BB0482">
        <w:rPr>
          <w:i/>
          <w:u w:val="single"/>
        </w:rPr>
        <w:t xml:space="preserve"> only </w:t>
      </w:r>
      <w:r w:rsidR="00E634FA">
        <w:rPr>
          <w:i/>
          <w:u w:val="single"/>
        </w:rPr>
        <w:t>on</w:t>
      </w:r>
      <w:r w:rsidR="00136191" w:rsidRPr="00BB0482">
        <w:rPr>
          <w:i/>
          <w:u w:val="single"/>
        </w:rPr>
        <w:t xml:space="preserve"> CASPERS done in the context of a</w:t>
      </w:r>
      <w:r w:rsidR="00E52469" w:rsidRPr="00BB0482">
        <w:rPr>
          <w:i/>
          <w:u w:val="single"/>
        </w:rPr>
        <w:t xml:space="preserve">n </w:t>
      </w:r>
      <w:r w:rsidR="00E634FA">
        <w:rPr>
          <w:i/>
          <w:u w:val="single"/>
        </w:rPr>
        <w:t xml:space="preserve">immediate </w:t>
      </w:r>
      <w:r w:rsidR="00E52469" w:rsidRPr="00BB0482">
        <w:rPr>
          <w:i/>
          <w:u w:val="single"/>
        </w:rPr>
        <w:t>emergency</w:t>
      </w:r>
      <w:r w:rsidR="00136191" w:rsidRPr="00BB0482">
        <w:rPr>
          <w:i/>
          <w:u w:val="single"/>
        </w:rPr>
        <w:t xml:space="preserve"> disaster</w:t>
      </w:r>
      <w:r w:rsidR="00E52469" w:rsidRPr="00BB0482">
        <w:rPr>
          <w:i/>
          <w:u w:val="single"/>
        </w:rPr>
        <w:t xml:space="preserve"> response</w:t>
      </w:r>
      <w:r w:rsidR="00191C68">
        <w:rPr>
          <w:i/>
          <w:u w:val="single"/>
        </w:rPr>
        <w:t xml:space="preserve"> and recovery</w:t>
      </w:r>
      <w:r w:rsidR="00FA7A74">
        <w:rPr>
          <w:i/>
          <w:u w:val="single"/>
        </w:rPr>
        <w:t xml:space="preserve">; CASPERS designed </w:t>
      </w:r>
      <w:r w:rsidR="00E229A7">
        <w:rPr>
          <w:i/>
          <w:u w:val="single"/>
        </w:rPr>
        <w:t xml:space="preserve">only </w:t>
      </w:r>
      <w:r w:rsidR="00FA7A74">
        <w:rPr>
          <w:i/>
          <w:u w:val="single"/>
        </w:rPr>
        <w:t>for capacity building</w:t>
      </w:r>
      <w:r w:rsidR="0090131A">
        <w:rPr>
          <w:i/>
          <w:u w:val="single"/>
        </w:rPr>
        <w:t>,</w:t>
      </w:r>
      <w:r w:rsidR="00FA7A74">
        <w:rPr>
          <w:i/>
          <w:u w:val="single"/>
        </w:rPr>
        <w:t xml:space="preserve"> preparedness</w:t>
      </w:r>
      <w:r w:rsidR="0090131A">
        <w:rPr>
          <w:i/>
          <w:u w:val="single"/>
        </w:rPr>
        <w:t>, and post-event evaluations</w:t>
      </w:r>
      <w:r w:rsidR="00FA7A74">
        <w:rPr>
          <w:i/>
          <w:u w:val="single"/>
        </w:rPr>
        <w:t xml:space="preserve"> are not covered in this generic ICR.</w:t>
      </w:r>
      <w:r w:rsidR="00B45D78">
        <w:t xml:space="preserve"> Urgent public health needs can occur both in the response and short- and intermediate-term recovery phases of a disaster (see figure below).</w:t>
      </w:r>
      <w:r w:rsidR="00B45D78" w:rsidRPr="00BB0482">
        <w:rPr>
          <w:vertAlign w:val="superscript"/>
        </w:rPr>
        <w:t>5</w:t>
      </w:r>
      <w:r w:rsidR="00B45D78">
        <w:t xml:space="preserve"> </w:t>
      </w:r>
      <w:proofErr w:type="gramStart"/>
      <w:r w:rsidR="00B45D78">
        <w:t>The</w:t>
      </w:r>
      <w:proofErr w:type="gramEnd"/>
      <w:r w:rsidR="00B45D78">
        <w:t xml:space="preserve"> recovery phase of a disaster involves moving the community back towards normal functioning. Recovery </w:t>
      </w:r>
      <w:r w:rsidR="00B45D78" w:rsidRPr="00B45D78">
        <w:t>is immediate and overlaps with response. It includes actions such as providing essential public health and safety services, restoring interrupted utility and other essential services, reestablishing transportation routes, and providing food and shelter for those displaced by the incident.</w:t>
      </w:r>
      <w:r w:rsidR="00B45D78" w:rsidRPr="001532DB">
        <w:rPr>
          <w:vertAlign w:val="superscript"/>
        </w:rPr>
        <w:t>6</w:t>
      </w:r>
    </w:p>
    <w:p w:rsidR="00B45D78" w:rsidRDefault="00B45D78" w:rsidP="00625708">
      <w:pPr>
        <w:pStyle w:val="NoSpacing"/>
      </w:pPr>
    </w:p>
    <w:p w:rsidR="00500E0A" w:rsidRPr="00BB0482" w:rsidRDefault="00B45D78" w:rsidP="00625708">
      <w:pPr>
        <w:pStyle w:val="NoSpacing"/>
        <w:rPr>
          <w:i/>
          <w:u w:val="single"/>
        </w:rPr>
      </w:pPr>
      <w:r>
        <w:t xml:space="preserve">Figure A.1.1. The Recovery Continuum </w:t>
      </w:r>
      <w:r w:rsidR="00136191" w:rsidRPr="00BB0482">
        <w:rPr>
          <w:i/>
          <w:u w:val="single"/>
        </w:rPr>
        <w:t xml:space="preserve"> </w:t>
      </w:r>
    </w:p>
    <w:p w:rsidR="00C650C2" w:rsidRDefault="00B45D78" w:rsidP="00C650C2">
      <w:pPr>
        <w:pStyle w:val="NoSpacing"/>
        <w:rPr>
          <w:color w:val="000000"/>
        </w:rPr>
      </w:pPr>
      <w:r>
        <w:rPr>
          <w:noProof/>
          <w:color w:val="000000"/>
        </w:rPr>
        <w:drawing>
          <wp:inline distT="0" distB="0" distL="0" distR="0" wp14:anchorId="58661907" wp14:editId="5FDB0A4B">
            <wp:extent cx="5943600" cy="2469999"/>
            <wp:effectExtent l="0" t="0" r="0" b="6985"/>
            <wp:docPr id="3" name="Picture 3" descr="C:\Users\wng9\Desktop\IS8_L1sc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ng9\Desktop\IS8_L1sc1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469999"/>
                    </a:xfrm>
                    <a:prstGeom prst="rect">
                      <a:avLst/>
                    </a:prstGeom>
                    <a:noFill/>
                    <a:ln>
                      <a:noFill/>
                    </a:ln>
                  </pic:spPr>
                </pic:pic>
              </a:graphicData>
            </a:graphic>
          </wp:inline>
        </w:drawing>
      </w:r>
    </w:p>
    <w:p w:rsidR="00B45D78" w:rsidRDefault="00B45D78" w:rsidP="00C650C2">
      <w:pPr>
        <w:pStyle w:val="NoSpacing"/>
        <w:rPr>
          <w:i/>
          <w:color w:val="000000"/>
        </w:rPr>
      </w:pPr>
    </w:p>
    <w:p w:rsidR="00C650C2" w:rsidRPr="008F5D10" w:rsidRDefault="00C650C2" w:rsidP="00C650C2">
      <w:pPr>
        <w:pStyle w:val="NoSpacing"/>
        <w:rPr>
          <w:i/>
          <w:color w:val="000000"/>
        </w:rPr>
      </w:pPr>
      <w:r w:rsidRPr="008F5D10">
        <w:rPr>
          <w:i/>
          <w:color w:val="000000"/>
        </w:rPr>
        <w:t>What are the objectives of a CASPER done during an emergency disaster response?</w:t>
      </w:r>
    </w:p>
    <w:p w:rsidR="00C650C2" w:rsidRDefault="00C650C2" w:rsidP="00C650C2">
      <w:pPr>
        <w:pStyle w:val="NoSpacing"/>
        <w:rPr>
          <w:color w:val="000000"/>
        </w:rPr>
      </w:pPr>
    </w:p>
    <w:p w:rsidR="00C650C2" w:rsidRPr="00D032D6" w:rsidRDefault="00C650C2" w:rsidP="00C650C2">
      <w:pPr>
        <w:pStyle w:val="NoSpacing"/>
        <w:rPr>
          <w:color w:val="000000"/>
        </w:rPr>
      </w:pPr>
      <w:r w:rsidRPr="00D032D6">
        <w:rPr>
          <w:color w:val="000000"/>
        </w:rPr>
        <w:t>In the disaster setting, the main objectives of CASPER are to</w:t>
      </w:r>
      <w:r>
        <w:rPr>
          <w:color w:val="000000"/>
        </w:rPr>
        <w:t>:</w:t>
      </w:r>
    </w:p>
    <w:p w:rsidR="00C650C2" w:rsidRPr="00D032D6" w:rsidRDefault="00C650C2" w:rsidP="00C650C2">
      <w:pPr>
        <w:pStyle w:val="NoSpacing"/>
        <w:rPr>
          <w:color w:val="000000"/>
        </w:rPr>
      </w:pPr>
    </w:p>
    <w:p w:rsidR="00C650C2" w:rsidRPr="00D032D6" w:rsidRDefault="00C650C2" w:rsidP="00C650C2">
      <w:pPr>
        <w:pStyle w:val="NoSpacing"/>
        <w:numPr>
          <w:ilvl w:val="0"/>
          <w:numId w:val="4"/>
        </w:numPr>
        <w:rPr>
          <w:color w:val="000000"/>
        </w:rPr>
      </w:pPr>
      <w:r w:rsidRPr="00D032D6">
        <w:rPr>
          <w:color w:val="000000"/>
        </w:rPr>
        <w:lastRenderedPageBreak/>
        <w:t xml:space="preserve">determine the </w:t>
      </w:r>
      <w:r w:rsidR="00FA7A74">
        <w:rPr>
          <w:color w:val="000000"/>
        </w:rPr>
        <w:t xml:space="preserve">perceived </w:t>
      </w:r>
      <w:r w:rsidRPr="00D032D6">
        <w:rPr>
          <w:color w:val="000000"/>
        </w:rPr>
        <w:t xml:space="preserve">health needs and assess the </w:t>
      </w:r>
      <w:r w:rsidR="00FA7A74">
        <w:rPr>
          <w:color w:val="000000"/>
        </w:rPr>
        <w:t>immediate</w:t>
      </w:r>
      <w:r w:rsidR="00E634FA">
        <w:rPr>
          <w:color w:val="000000"/>
        </w:rPr>
        <w:t xml:space="preserve"> infrastructure</w:t>
      </w:r>
      <w:r w:rsidR="00FA7A74">
        <w:rPr>
          <w:color w:val="000000"/>
        </w:rPr>
        <w:t xml:space="preserve"> </w:t>
      </w:r>
      <w:r w:rsidRPr="00D032D6">
        <w:rPr>
          <w:color w:val="000000"/>
        </w:rPr>
        <w:t xml:space="preserve">impact of the disaster (e.g., </w:t>
      </w:r>
      <w:r w:rsidR="00FA7A74">
        <w:rPr>
          <w:color w:val="000000"/>
        </w:rPr>
        <w:t xml:space="preserve">characterizing </w:t>
      </w:r>
      <w:r w:rsidRPr="00D032D6">
        <w:rPr>
          <w:color w:val="000000"/>
        </w:rPr>
        <w:t xml:space="preserve">the availability of public utilities and sanitation services </w:t>
      </w:r>
      <w:r>
        <w:rPr>
          <w:color w:val="000000"/>
        </w:rPr>
        <w:t>for</w:t>
      </w:r>
      <w:r w:rsidRPr="00D032D6">
        <w:rPr>
          <w:color w:val="000000"/>
        </w:rPr>
        <w:t xml:space="preserve"> the population)</w:t>
      </w:r>
      <w:r w:rsidR="00D04769">
        <w:rPr>
          <w:color w:val="000000"/>
        </w:rPr>
        <w:t xml:space="preserve"> and</w:t>
      </w:r>
    </w:p>
    <w:p w:rsidR="00C650C2" w:rsidRDefault="00C650C2" w:rsidP="00C650C2">
      <w:pPr>
        <w:pStyle w:val="NoSpacing"/>
        <w:numPr>
          <w:ilvl w:val="0"/>
          <w:numId w:val="4"/>
        </w:numPr>
        <w:rPr>
          <w:color w:val="000000"/>
        </w:rPr>
      </w:pPr>
      <w:proofErr w:type="gramStart"/>
      <w:r w:rsidRPr="00D032D6">
        <w:rPr>
          <w:color w:val="000000"/>
        </w:rPr>
        <w:t>characterize</w:t>
      </w:r>
      <w:proofErr w:type="gramEnd"/>
      <w:r w:rsidRPr="00D032D6">
        <w:rPr>
          <w:color w:val="000000"/>
        </w:rPr>
        <w:t xml:space="preserve"> the population residing in the affected area (e.g., </w:t>
      </w:r>
      <w:r>
        <w:rPr>
          <w:color w:val="000000"/>
        </w:rPr>
        <w:t xml:space="preserve">assessing </w:t>
      </w:r>
      <w:r w:rsidRPr="00D032D6">
        <w:rPr>
          <w:color w:val="000000"/>
        </w:rPr>
        <w:t xml:space="preserve">basic demographic characteristics </w:t>
      </w:r>
      <w:r>
        <w:rPr>
          <w:color w:val="000000"/>
        </w:rPr>
        <w:t>such as</w:t>
      </w:r>
      <w:r w:rsidRPr="00D032D6">
        <w:rPr>
          <w:color w:val="000000"/>
        </w:rPr>
        <w:t xml:space="preserve"> age, ethnicity, sex, and number of households with pregnant women)</w:t>
      </w:r>
      <w:r w:rsidR="00D04769">
        <w:rPr>
          <w:color w:val="000000"/>
        </w:rPr>
        <w:t>.</w:t>
      </w:r>
    </w:p>
    <w:p w:rsidR="00C650C2" w:rsidRDefault="00C650C2" w:rsidP="00C650C2">
      <w:pPr>
        <w:pStyle w:val="NoSpacing"/>
        <w:rPr>
          <w:color w:val="000000"/>
        </w:rPr>
      </w:pPr>
    </w:p>
    <w:p w:rsidR="00C650C2" w:rsidRDefault="00C650C2" w:rsidP="00625708">
      <w:pPr>
        <w:pStyle w:val="NoSpacing"/>
      </w:pPr>
    </w:p>
    <w:p w:rsidR="00C650C2" w:rsidRPr="008F5D10" w:rsidRDefault="00C650C2" w:rsidP="00136535">
      <w:pPr>
        <w:pStyle w:val="NoSpacing"/>
        <w:rPr>
          <w:i/>
          <w:color w:val="000000"/>
        </w:rPr>
      </w:pPr>
      <w:r>
        <w:rPr>
          <w:i/>
          <w:color w:val="000000"/>
        </w:rPr>
        <w:t>Who can request a CASPER?</w:t>
      </w:r>
    </w:p>
    <w:p w:rsidR="00C650C2" w:rsidRDefault="00C650C2" w:rsidP="00136535">
      <w:pPr>
        <w:pStyle w:val="NoSpacing"/>
        <w:rPr>
          <w:color w:val="000000"/>
        </w:rPr>
      </w:pPr>
    </w:p>
    <w:p w:rsidR="00887F03" w:rsidRDefault="000070F0" w:rsidP="00887F03">
      <w:pPr>
        <w:spacing w:after="0" w:line="240" w:lineRule="auto"/>
      </w:pPr>
      <w:r>
        <w:rPr>
          <w:color w:val="000000"/>
        </w:rPr>
        <w:t xml:space="preserve">At the request of </w:t>
      </w:r>
      <w:r w:rsidRPr="00EC2B6D">
        <w:t xml:space="preserve">a </w:t>
      </w:r>
      <w:r w:rsidR="00382FEF">
        <w:rPr>
          <w:rFonts w:eastAsia="Arial Unicode MS" w:cstheme="minorHAnsi"/>
          <w:color w:val="000000"/>
        </w:rPr>
        <w:t xml:space="preserve">state, </w:t>
      </w:r>
      <w:r w:rsidR="00136535">
        <w:rPr>
          <w:rFonts w:eastAsia="Arial Unicode MS" w:cstheme="minorHAnsi"/>
          <w:color w:val="000000"/>
        </w:rPr>
        <w:t>tribal, local</w:t>
      </w:r>
      <w:r w:rsidR="00A11DF6">
        <w:rPr>
          <w:rFonts w:eastAsia="Arial Unicode MS" w:cstheme="minorHAnsi"/>
          <w:color w:val="000000"/>
        </w:rPr>
        <w:t>,</w:t>
      </w:r>
      <w:r w:rsidR="00AB38EB">
        <w:rPr>
          <w:rFonts w:eastAsia="Arial Unicode MS" w:cstheme="minorHAnsi"/>
          <w:color w:val="000000"/>
        </w:rPr>
        <w:t xml:space="preserve"> or territorial government agency</w:t>
      </w:r>
      <w:r w:rsidR="00382FEF">
        <w:rPr>
          <w:rFonts w:eastAsia="Arial Unicode MS" w:cstheme="minorHAnsi"/>
          <w:color w:val="000000"/>
        </w:rPr>
        <w:t xml:space="preserve"> </w:t>
      </w:r>
      <w:r w:rsidR="00136535">
        <w:rPr>
          <w:rFonts w:eastAsia="Arial Unicode MS" w:cstheme="minorHAnsi"/>
          <w:color w:val="000000"/>
        </w:rPr>
        <w:t>(STLT</w:t>
      </w:r>
      <w:r w:rsidR="008C58C7">
        <w:rPr>
          <w:rFonts w:eastAsia="Arial Unicode MS" w:cstheme="minorHAnsi"/>
          <w:color w:val="000000"/>
        </w:rPr>
        <w:t xml:space="preserve">) </w:t>
      </w:r>
      <w:r w:rsidR="00AB38EB">
        <w:rPr>
          <w:rFonts w:eastAsia="Arial Unicode MS" w:cstheme="minorHAnsi"/>
          <w:color w:val="000000"/>
        </w:rPr>
        <w:t xml:space="preserve">or </w:t>
      </w:r>
      <w:r w:rsidR="00A11DF6">
        <w:rPr>
          <w:rFonts w:eastAsia="Arial Unicode MS" w:cstheme="minorHAnsi"/>
          <w:color w:val="000000"/>
        </w:rPr>
        <w:t>an</w:t>
      </w:r>
      <w:r>
        <w:rPr>
          <w:rFonts w:eastAsia="Arial Unicode MS" w:cstheme="minorHAnsi"/>
          <w:color w:val="000000"/>
        </w:rPr>
        <w:t xml:space="preserve"> international health authority</w:t>
      </w:r>
      <w:r w:rsidR="00EB5C9E">
        <w:rPr>
          <w:rFonts w:eastAsia="Arial Unicode MS" w:cstheme="minorHAnsi"/>
          <w:color w:val="000000"/>
        </w:rPr>
        <w:t>,</w:t>
      </w:r>
      <w:r w:rsidR="00AB38EB">
        <w:rPr>
          <w:color w:val="000000"/>
        </w:rPr>
        <w:t xml:space="preserve"> </w:t>
      </w:r>
      <w:r w:rsidR="00887F03">
        <w:rPr>
          <w:color w:val="000000"/>
        </w:rPr>
        <w:t>H</w:t>
      </w:r>
      <w:r w:rsidR="008C58C7">
        <w:rPr>
          <w:color w:val="000000"/>
        </w:rPr>
        <w:t>S</w:t>
      </w:r>
      <w:r w:rsidR="00887F03">
        <w:rPr>
          <w:color w:val="000000"/>
        </w:rPr>
        <w:t xml:space="preserve">B </w:t>
      </w:r>
      <w:r w:rsidR="00136535">
        <w:rPr>
          <w:color w:val="000000"/>
        </w:rPr>
        <w:t xml:space="preserve">will conduct a </w:t>
      </w:r>
      <w:r w:rsidR="005F61D3" w:rsidRPr="008B3F0D">
        <w:rPr>
          <w:color w:val="000000"/>
        </w:rPr>
        <w:t xml:space="preserve">CASPER </w:t>
      </w:r>
      <w:r w:rsidR="00136535">
        <w:rPr>
          <w:color w:val="000000"/>
        </w:rPr>
        <w:t>to assess current or emerging community needs</w:t>
      </w:r>
      <w:r w:rsidR="00887F03">
        <w:rPr>
          <w:color w:val="000000"/>
        </w:rPr>
        <w:t xml:space="preserve"> during a</w:t>
      </w:r>
      <w:r w:rsidR="00136535">
        <w:rPr>
          <w:color w:val="000000"/>
        </w:rPr>
        <w:t xml:space="preserve"> disaster</w:t>
      </w:r>
      <w:r w:rsidR="00887F03">
        <w:rPr>
          <w:color w:val="000000"/>
        </w:rPr>
        <w:t xml:space="preserve"> emergency</w:t>
      </w:r>
      <w:r w:rsidR="00136535">
        <w:rPr>
          <w:color w:val="000000"/>
        </w:rPr>
        <w:t xml:space="preserve"> response.</w:t>
      </w:r>
      <w:r w:rsidR="00EB5C9E">
        <w:rPr>
          <w:color w:val="000000"/>
        </w:rPr>
        <w:t xml:space="preserve"> This does not require a federally- or state-declared disaster; this only requires an official request from the public health authority of an STLT or an international health authority. Domestic CASPERs will follow prescribed Incident Command System (ICS) or Incident Management Structure (IMS) procedures described below. CASPERs conducted internationally, such as the CASPER conducted for the Turkey Earthquake in 1999, will be managed through the CDC emergency operations center and follow prescribed IMS for CDC staff</w:t>
      </w:r>
      <w:r w:rsidR="00EB5C9E" w:rsidRPr="007201A9">
        <w:rPr>
          <w:color w:val="000000"/>
        </w:rPr>
        <w:t>.</w:t>
      </w:r>
      <w:r w:rsidR="001532DB" w:rsidRPr="00BB0482">
        <w:rPr>
          <w:color w:val="000000"/>
          <w:vertAlign w:val="superscript"/>
        </w:rPr>
        <w:t>7</w:t>
      </w:r>
      <w:r w:rsidR="001532DB" w:rsidRPr="007201A9">
        <w:rPr>
          <w:color w:val="000000"/>
          <w:vertAlign w:val="superscript"/>
        </w:rPr>
        <w:t xml:space="preserve">, </w:t>
      </w:r>
      <w:proofErr w:type="gramStart"/>
      <w:r w:rsidR="001532DB" w:rsidRPr="007201A9">
        <w:rPr>
          <w:color w:val="000000"/>
          <w:vertAlign w:val="superscript"/>
        </w:rPr>
        <w:t>8</w:t>
      </w:r>
      <w:r w:rsidR="001532DB">
        <w:rPr>
          <w:color w:val="000000"/>
        </w:rPr>
        <w:t xml:space="preserve">  </w:t>
      </w:r>
      <w:r w:rsidR="00887F03" w:rsidRPr="00EC2B6D">
        <w:t>The</w:t>
      </w:r>
      <w:proofErr w:type="gramEnd"/>
      <w:r w:rsidR="00887F03" w:rsidRPr="00EC2B6D">
        <w:t xml:space="preserve"> jurisdiction will determine the level </w:t>
      </w:r>
      <w:r w:rsidR="00887F03">
        <w:t>of</w:t>
      </w:r>
      <w:r w:rsidR="00887F03" w:rsidRPr="00EC2B6D">
        <w:t xml:space="preserve"> CDC</w:t>
      </w:r>
      <w:r w:rsidR="00887F03">
        <w:t>’s</w:t>
      </w:r>
      <w:r w:rsidR="00887F03" w:rsidRPr="00EC2B6D">
        <w:t xml:space="preserve"> involv</w:t>
      </w:r>
      <w:r w:rsidR="00887F03">
        <w:t>e</w:t>
      </w:r>
      <w:r w:rsidR="00887F03" w:rsidRPr="00EC2B6D">
        <w:t>m</w:t>
      </w:r>
      <w:r w:rsidR="00887F03">
        <w:t>ent and the particular objectives of the CASPER they would like to conduct</w:t>
      </w:r>
      <w:r w:rsidR="00887F03" w:rsidRPr="00EC2B6D">
        <w:t xml:space="preserve">. </w:t>
      </w:r>
    </w:p>
    <w:p w:rsidR="00C650C2" w:rsidRDefault="00C650C2" w:rsidP="00887F03">
      <w:pPr>
        <w:pStyle w:val="NoSpacing"/>
      </w:pPr>
    </w:p>
    <w:p w:rsidR="00C650C2" w:rsidRPr="008F5D10" w:rsidRDefault="00C650C2" w:rsidP="00887F03">
      <w:pPr>
        <w:pStyle w:val="NoSpacing"/>
        <w:rPr>
          <w:i/>
        </w:rPr>
      </w:pPr>
      <w:r w:rsidRPr="008F5D10">
        <w:rPr>
          <w:i/>
        </w:rPr>
        <w:t xml:space="preserve">How does a CASPER fit in to the overall </w:t>
      </w:r>
      <w:r w:rsidR="00AC5655">
        <w:rPr>
          <w:i/>
        </w:rPr>
        <w:t xml:space="preserve">emergency </w:t>
      </w:r>
      <w:r w:rsidRPr="008F5D10">
        <w:rPr>
          <w:i/>
        </w:rPr>
        <w:t>disaster response?</w:t>
      </w:r>
    </w:p>
    <w:p w:rsidR="00C650C2" w:rsidRDefault="00C650C2">
      <w:pPr>
        <w:pStyle w:val="NoSpacing"/>
      </w:pPr>
    </w:p>
    <w:p w:rsidR="00C650C2" w:rsidRDefault="00C650C2" w:rsidP="00C650C2">
      <w:pPr>
        <w:pStyle w:val="NoSpacing"/>
      </w:pPr>
      <w:r>
        <w:t xml:space="preserve">HSB will assist with a CASPER survey when requested by </w:t>
      </w:r>
      <w:r w:rsidR="0099019C">
        <w:t>a state</w:t>
      </w:r>
      <w:r>
        <w:t xml:space="preserve"> or other Public Health Partner. HSB’s disaster-related CASPER surveys </w:t>
      </w:r>
      <w:r w:rsidR="00E634FA">
        <w:t xml:space="preserve">will only </w:t>
      </w:r>
      <w:r>
        <w:t xml:space="preserve">collect information </w:t>
      </w:r>
      <w:r w:rsidR="00E634FA">
        <w:t xml:space="preserve">that is not available from </w:t>
      </w:r>
      <w:r>
        <w:t>other disaster response entities</w:t>
      </w:r>
      <w:r w:rsidR="0099019C">
        <w:t xml:space="preserve">. </w:t>
      </w:r>
      <w:r>
        <w:t>The notice that HSB has been invited by a state to conduct a CASPER will be shared by our public health contact (e.g., the State Epidemiologist) with other agencies responding to the event through the ICS or IMS</w:t>
      </w:r>
      <w:r w:rsidR="008C58C7">
        <w:t xml:space="preserve"> </w:t>
      </w:r>
      <w:r>
        <w:t>--</w:t>
      </w:r>
      <w:r w:rsidR="008C58C7">
        <w:t xml:space="preserve"> </w:t>
      </w:r>
      <w:r>
        <w:t>entities activated by the emergency management coordinating agency in the affected state. The ICS and I</w:t>
      </w:r>
      <w:r w:rsidR="008C58C7">
        <w:t>MS</w:t>
      </w:r>
      <w:r>
        <w:t xml:space="preserve"> are designed to promote efficient communication and integration across responding entities.</w:t>
      </w:r>
      <w:r w:rsidR="00BC2A35">
        <w:rPr>
          <w:vertAlign w:val="superscript"/>
        </w:rPr>
        <w:t>9</w:t>
      </w:r>
      <w:r>
        <w:t xml:space="preserve"> A liaison officer will act as the point of contact for agency representatives, including the state health official requesting a CASPER, and will track assisting and cooperating agencies, and aid in setting up interagency contact.</w:t>
      </w:r>
      <w:r w:rsidR="00D91B8C">
        <w:rPr>
          <w:vertAlign w:val="superscript"/>
        </w:rPr>
        <w:t>9</w:t>
      </w:r>
      <w:r>
        <w:t xml:space="preserve"> The individual filling this role will change from event to event. For more information please see the following site: </w:t>
      </w:r>
      <w:hyperlink r:id="rId11" w:history="1">
        <w:r w:rsidRPr="000B7B1F">
          <w:rPr>
            <w:rStyle w:val="Hyperlink"/>
          </w:rPr>
          <w:t>http://training.fema.gov/EMIWeb/IS/ICSResource/assets/reviewMaterials.pdf</w:t>
        </w:r>
      </w:hyperlink>
      <w:r>
        <w:t xml:space="preserve">. HSB will work through the requesting state agency if contact with any other entities active in the disaster is required. </w:t>
      </w:r>
    </w:p>
    <w:p w:rsidR="001E229B" w:rsidRDefault="001E229B" w:rsidP="005719BD">
      <w:pPr>
        <w:spacing w:after="0" w:line="240" w:lineRule="auto"/>
      </w:pPr>
    </w:p>
    <w:p w:rsidR="00887F03" w:rsidRPr="008F5D10" w:rsidRDefault="00887F03" w:rsidP="005719BD">
      <w:pPr>
        <w:spacing w:after="0" w:line="240" w:lineRule="auto"/>
        <w:rPr>
          <w:i/>
        </w:rPr>
      </w:pPr>
      <w:r w:rsidRPr="008F5D10">
        <w:rPr>
          <w:i/>
        </w:rPr>
        <w:t>How is HSB involved in CASPER surveys?</w:t>
      </w:r>
    </w:p>
    <w:p w:rsidR="00887F03" w:rsidRDefault="00887F03" w:rsidP="005719BD">
      <w:pPr>
        <w:spacing w:after="0" w:line="240" w:lineRule="auto"/>
      </w:pPr>
    </w:p>
    <w:p w:rsidR="009C3439" w:rsidRDefault="00DB0D12" w:rsidP="005719BD">
      <w:pPr>
        <w:spacing w:after="0" w:line="240" w:lineRule="auto"/>
      </w:pPr>
      <w:r>
        <w:t>CDC developed the CASPER t</w:t>
      </w:r>
      <w:r w:rsidR="001B05C3">
        <w:t xml:space="preserve">oolkit as a </w:t>
      </w:r>
      <w:r w:rsidR="008549B1">
        <w:t>guidance</w:t>
      </w:r>
      <w:r w:rsidR="001B05C3">
        <w:t xml:space="preserve"> document for use by external partners. </w:t>
      </w:r>
      <w:r w:rsidR="00E143BA">
        <w:t xml:space="preserve">The toolkit provides options on the best methods available for conducting CASPERs. </w:t>
      </w:r>
      <w:r w:rsidR="008C58C7">
        <w:t>Sometimes</w:t>
      </w:r>
      <w:r w:rsidR="00887F03">
        <w:t>,</w:t>
      </w:r>
      <w:r w:rsidR="0034317A" w:rsidRPr="00EC2B6D">
        <w:t xml:space="preserve"> CDC provides technical assistance with sampling methodologies or </w:t>
      </w:r>
      <w:r w:rsidR="00D90FE5">
        <w:t>questionnaire</w:t>
      </w:r>
      <w:r w:rsidR="0034317A" w:rsidRPr="00EC2B6D">
        <w:t xml:space="preserve"> </w:t>
      </w:r>
      <w:r w:rsidR="006D1E60">
        <w:t>development</w:t>
      </w:r>
      <w:r w:rsidR="006D1E60" w:rsidRPr="00EC2B6D">
        <w:t xml:space="preserve"> </w:t>
      </w:r>
      <w:r w:rsidR="0034317A" w:rsidRPr="00EC2B6D">
        <w:t>and is not involved in data collection or analysis</w:t>
      </w:r>
      <w:r w:rsidR="00567CF0">
        <w:t xml:space="preserve">. </w:t>
      </w:r>
      <w:r w:rsidR="004363DA">
        <w:t xml:space="preserve">In these cases, CDC </w:t>
      </w:r>
      <w:r w:rsidR="004363DA" w:rsidRPr="001B05C3">
        <w:t xml:space="preserve">does </w:t>
      </w:r>
      <w:r w:rsidR="004363DA" w:rsidRPr="009F56C5">
        <w:t>not</w:t>
      </w:r>
      <w:r w:rsidR="004363DA" w:rsidRPr="008F5D10">
        <w:rPr>
          <w:b/>
        </w:rPr>
        <w:t xml:space="preserve"> </w:t>
      </w:r>
      <w:r w:rsidR="00560567">
        <w:t>receive</w:t>
      </w:r>
      <w:r w:rsidR="004363DA">
        <w:t xml:space="preserve"> the data</w:t>
      </w:r>
      <w:r w:rsidR="005F069C">
        <w:t xml:space="preserve"> nor do we request to keep the data</w:t>
      </w:r>
      <w:r w:rsidR="00887F03">
        <w:t>.</w:t>
      </w:r>
      <w:r w:rsidR="004363DA">
        <w:t xml:space="preserve"> </w:t>
      </w:r>
      <w:r w:rsidR="00CB3565">
        <w:t>Thus f</w:t>
      </w:r>
      <w:r w:rsidR="00567CF0">
        <w:t>or</w:t>
      </w:r>
      <w:r w:rsidR="00CB3565">
        <w:t xml:space="preserve"> these types of</w:t>
      </w:r>
      <w:r w:rsidR="00567CF0">
        <w:t xml:space="preserve"> technical assistance</w:t>
      </w:r>
      <w:r w:rsidR="00B415A6">
        <w:t xml:space="preserve"> requests,</w:t>
      </w:r>
      <w:r w:rsidR="00567CF0">
        <w:t xml:space="preserve"> </w:t>
      </w:r>
      <w:r w:rsidR="003A4CD0">
        <w:t xml:space="preserve">OMB </w:t>
      </w:r>
      <w:r w:rsidR="009F7201">
        <w:t xml:space="preserve">approval </w:t>
      </w:r>
      <w:r w:rsidR="003A4CD0">
        <w:t>would not be required</w:t>
      </w:r>
      <w:r w:rsidR="0034317A" w:rsidRPr="00EC2B6D">
        <w:t>.</w:t>
      </w:r>
      <w:r w:rsidR="001E229B" w:rsidRPr="00EC2B6D" w:rsidDel="001E229B">
        <w:t xml:space="preserve"> </w:t>
      </w:r>
      <w:r w:rsidR="00887F03">
        <w:t xml:space="preserve">In other cases, </w:t>
      </w:r>
      <w:r w:rsidR="006D1E60">
        <w:t xml:space="preserve">CDC employees </w:t>
      </w:r>
      <w:r w:rsidR="0034317A" w:rsidRPr="00EC2B6D">
        <w:t>are deployed to the field to assist in some or all of the operations of the CASPER</w:t>
      </w:r>
      <w:r w:rsidR="00887F03">
        <w:t>, including interviewing household members</w:t>
      </w:r>
      <w:r w:rsidR="00D842AE">
        <w:t xml:space="preserve">. </w:t>
      </w:r>
      <w:r w:rsidR="00887F03">
        <w:t>This is considered a sponsored project in the context of the PRA.</w:t>
      </w:r>
      <w:r w:rsidR="00192D3F">
        <w:t xml:space="preserve"> </w:t>
      </w:r>
    </w:p>
    <w:p w:rsidR="00B66958" w:rsidRDefault="00B66958" w:rsidP="00350142">
      <w:pPr>
        <w:spacing w:after="0" w:line="240" w:lineRule="auto"/>
        <w:rPr>
          <w:rFonts w:cstheme="minorHAnsi"/>
        </w:rPr>
      </w:pPr>
    </w:p>
    <w:p w:rsidR="00C9554F" w:rsidRPr="00C847FE" w:rsidRDefault="00C9554F" w:rsidP="00350142">
      <w:pPr>
        <w:pStyle w:val="Heading1"/>
        <w:spacing w:before="0" w:line="240" w:lineRule="auto"/>
      </w:pPr>
      <w:bookmarkStart w:id="2" w:name="_Toc403138195"/>
      <w:r w:rsidRPr="00405BE4">
        <w:t>A.2 Purpose and Use of Information Collection</w:t>
      </w:r>
      <w:bookmarkEnd w:id="2"/>
      <w:r w:rsidRPr="00C847FE">
        <w:tab/>
      </w:r>
    </w:p>
    <w:p w:rsidR="00887F03" w:rsidRDefault="00887F03" w:rsidP="00D5635D">
      <w:pPr>
        <w:spacing w:after="0" w:line="240" w:lineRule="auto"/>
      </w:pPr>
    </w:p>
    <w:p w:rsidR="00F56CB0" w:rsidRDefault="00887F03" w:rsidP="00D5635D">
      <w:pPr>
        <w:spacing w:after="0" w:line="240" w:lineRule="auto"/>
      </w:pPr>
      <w:r>
        <w:lastRenderedPageBreak/>
        <w:t>Information collected</w:t>
      </w:r>
      <w:r w:rsidR="0079510C">
        <w:t xml:space="preserve"> through</w:t>
      </w:r>
      <w:r>
        <w:t xml:space="preserve"> </w:t>
      </w:r>
      <w:r w:rsidR="001E1B79">
        <w:t xml:space="preserve">CASPER </w:t>
      </w:r>
      <w:r w:rsidR="009C5A56">
        <w:t>questionnaire</w:t>
      </w:r>
      <w:r w:rsidR="001E1B79">
        <w:t xml:space="preserve">s and their corresponding reports </w:t>
      </w:r>
      <w:r w:rsidR="00E634FA">
        <w:t xml:space="preserve">is designed to </w:t>
      </w:r>
      <w:r w:rsidR="001E1B79">
        <w:t xml:space="preserve">be used by public health department personnel, emergency management officials, academics, or other </w:t>
      </w:r>
      <w:r>
        <w:t>entities with responsibility for disaster response</w:t>
      </w:r>
      <w:r w:rsidR="008C58C7">
        <w:t xml:space="preserve"> that</w:t>
      </w:r>
      <w:r w:rsidR="001E1B79">
        <w:t xml:space="preserve"> </w:t>
      </w:r>
      <w:r>
        <w:t>must</w:t>
      </w:r>
      <w:r w:rsidR="001E1B79">
        <w:t xml:space="preserve"> </w:t>
      </w:r>
      <w:r w:rsidR="003A3939">
        <w:t xml:space="preserve">rapidly </w:t>
      </w:r>
      <w:r w:rsidR="00692153">
        <w:t>assess household</w:t>
      </w:r>
      <w:r w:rsidR="000A075A">
        <w:t>-</w:t>
      </w:r>
      <w:r w:rsidR="001E1B79">
        <w:t xml:space="preserve">level public health needs. </w:t>
      </w:r>
    </w:p>
    <w:p w:rsidR="001D51CD" w:rsidRDefault="001D51CD" w:rsidP="00350142">
      <w:pPr>
        <w:spacing w:after="0" w:line="240" w:lineRule="auto"/>
      </w:pPr>
    </w:p>
    <w:p w:rsidR="0001147A" w:rsidRDefault="001D51CD" w:rsidP="00350142">
      <w:pPr>
        <w:spacing w:after="0" w:line="240" w:lineRule="auto"/>
      </w:pPr>
      <w:r>
        <w:t xml:space="preserve">The information collected characterizes the population residing in the affected area and is not intended </w:t>
      </w:r>
      <w:r w:rsidR="008F71D1">
        <w:t>for use outside of that local area</w:t>
      </w:r>
      <w:r w:rsidR="00E906CD">
        <w:t xml:space="preserve"> nor to</w:t>
      </w:r>
      <w:r w:rsidR="008F71D1">
        <w:t xml:space="preserve"> inform activities in other areas.</w:t>
      </w:r>
      <w:r w:rsidR="0001147A">
        <w:t xml:space="preserve"> CDC may also provide recommendations to state or local decision makers, but ultimately it is the state or local jurisdiction’s decision to act on the recommendations presented. </w:t>
      </w:r>
      <w:r w:rsidR="005855DB">
        <w:t xml:space="preserve">CDC also plans to analyze the data collected during the CASPERs that are </w:t>
      </w:r>
      <w:r w:rsidR="009079A8">
        <w:t>f</w:t>
      </w:r>
      <w:r w:rsidR="005855DB">
        <w:t>ederally sponsored to provide insight into how disaster related emergencies affect communities and to assess community preparedness.</w:t>
      </w:r>
    </w:p>
    <w:p w:rsidR="0001147A" w:rsidRDefault="0001147A" w:rsidP="00350142">
      <w:pPr>
        <w:spacing w:after="0" w:line="240" w:lineRule="auto"/>
      </w:pPr>
    </w:p>
    <w:p w:rsidR="00B87D78" w:rsidRDefault="008A3DBD" w:rsidP="00072A9A">
      <w:pPr>
        <w:spacing w:after="0" w:line="240" w:lineRule="auto"/>
      </w:pPr>
      <w:r>
        <w:t>It is important for the information collected to be applicable specifically for the</w:t>
      </w:r>
      <w:r w:rsidR="00E906CD">
        <w:t xml:space="preserve"> affected</w:t>
      </w:r>
      <w:r>
        <w:t xml:space="preserve"> jurisdiction</w:t>
      </w:r>
      <w:r w:rsidR="002D4B34">
        <w:t xml:space="preserve">. </w:t>
      </w:r>
      <w:r w:rsidR="007D1214">
        <w:t xml:space="preserve">Negative impacts of not conducting CASPER include </w:t>
      </w:r>
      <w:r w:rsidR="00E906CD">
        <w:t>not having</w:t>
      </w:r>
      <w:r w:rsidR="007D1214">
        <w:t xml:space="preserve"> information </w:t>
      </w:r>
      <w:r w:rsidR="00E906CD">
        <w:t>to understand and take action to address immediate community needs during disaster-related emergencies.</w:t>
      </w:r>
    </w:p>
    <w:p w:rsidR="00EE2277" w:rsidRDefault="00EE2277" w:rsidP="00072A9A">
      <w:pPr>
        <w:spacing w:after="0" w:line="240" w:lineRule="auto"/>
      </w:pPr>
    </w:p>
    <w:p w:rsidR="00814273" w:rsidRPr="006200E1" w:rsidRDefault="00EE2277" w:rsidP="00814273">
      <w:pPr>
        <w:spacing w:after="0" w:line="240" w:lineRule="auto"/>
      </w:pPr>
      <w:r>
        <w:t>The information collected during a CASPER meet</w:t>
      </w:r>
      <w:r w:rsidR="00814273">
        <w:t>s</w:t>
      </w:r>
      <w:r>
        <w:t xml:space="preserve"> the a priori objectives determined by the requesting public health entity. </w:t>
      </w:r>
      <w:r w:rsidR="00814273">
        <w:t xml:space="preserve">Information is gathered to identify the community’s perceived needs and infrastructure status during the response or recovery phase of a disaster. Depending on the objectives, information can be collected in the following categories: demographic and functional needs; housing damage and repair; general utilities; carbon monoxide exposure; animal safety; supplies, relief, and emergency preparedness; health status; medical care and prescriptions; and communications. For more detail please see Table A-10.1. </w:t>
      </w:r>
      <w:proofErr w:type="gramStart"/>
      <w:r w:rsidR="00814273">
        <w:t>Household-level information that may be collected using a CASPER survey in section A.10.1.</w:t>
      </w:r>
      <w:proofErr w:type="gramEnd"/>
      <w:r w:rsidR="00814273" w:rsidRPr="00814273">
        <w:t xml:space="preserve"> </w:t>
      </w:r>
      <w:proofErr w:type="gramStart"/>
      <w:r w:rsidR="00814273" w:rsidRPr="00814273">
        <w:t>Privacy Impact Assessment Information</w:t>
      </w:r>
      <w:r w:rsidR="00814273">
        <w:t>.</w:t>
      </w:r>
      <w:proofErr w:type="gramEnd"/>
      <w:r w:rsidR="00814273">
        <w:t xml:space="preserve"> </w:t>
      </w:r>
    </w:p>
    <w:p w:rsidR="00814273" w:rsidRPr="00814273" w:rsidRDefault="00814273" w:rsidP="00BB0482"/>
    <w:p w:rsidR="000A7409" w:rsidRPr="000A7409" w:rsidRDefault="00C9554F" w:rsidP="00350142">
      <w:pPr>
        <w:pStyle w:val="Heading1"/>
        <w:spacing w:before="0" w:line="240" w:lineRule="auto"/>
      </w:pPr>
      <w:bookmarkStart w:id="3" w:name="_Toc403138196"/>
      <w:r w:rsidRPr="004A44C3">
        <w:t>A.3 Use of Improved Information Technology and Burden Reduction</w:t>
      </w:r>
      <w:bookmarkEnd w:id="3"/>
      <w:r w:rsidRPr="004A44C3">
        <w:tab/>
      </w:r>
    </w:p>
    <w:p w:rsidR="000A7409" w:rsidRPr="00A463CD" w:rsidRDefault="000A7409" w:rsidP="00350142">
      <w:pPr>
        <w:spacing w:after="0" w:line="240" w:lineRule="auto"/>
      </w:pPr>
    </w:p>
    <w:p w:rsidR="00EC1C82" w:rsidRDefault="003F3ABD" w:rsidP="00350142">
      <w:pPr>
        <w:spacing w:after="0" w:line="240" w:lineRule="auto"/>
      </w:pPr>
      <w:r>
        <w:t xml:space="preserve">CASPER interviews are conducted in person and </w:t>
      </w:r>
      <w:r w:rsidR="00224BAB">
        <w:t>there are two options for data collection: paper forms and handheld electronic devices. Both the paper and the electronic formats have their advantages and disadvantages; therefore, it is imp</w:t>
      </w:r>
      <w:r w:rsidR="00947FCD">
        <w:t>ortant to carefully consider both</w:t>
      </w:r>
      <w:r w:rsidR="00224BAB">
        <w:t xml:space="preserve"> options prior to making a decision and producing the questionnaire. Generally</w:t>
      </w:r>
      <w:r w:rsidR="00F725A7">
        <w:t>,</w:t>
      </w:r>
      <w:r w:rsidR="00224BAB">
        <w:t xml:space="preserve"> while the paper forms can be labor-intensive in the data entry process, the electronic </w:t>
      </w:r>
      <w:r w:rsidR="00D8602C">
        <w:t xml:space="preserve">format </w:t>
      </w:r>
      <w:r w:rsidR="00224BAB">
        <w:t>can be labor-intensive in the development stage. In addition, electronic forms may be more resource intensive to conduct</w:t>
      </w:r>
      <w:r w:rsidR="0052168F">
        <w:t>.</w:t>
      </w:r>
    </w:p>
    <w:p w:rsidR="0052168F" w:rsidRDefault="0052168F" w:rsidP="00350142">
      <w:pPr>
        <w:spacing w:after="0" w:line="240" w:lineRule="auto"/>
      </w:pPr>
    </w:p>
    <w:p w:rsidR="00F452B0" w:rsidRPr="00F452B0" w:rsidRDefault="00F725A7" w:rsidP="00F452B0">
      <w:pPr>
        <w:spacing w:after="0" w:line="240" w:lineRule="auto"/>
        <w:rPr>
          <w:rFonts w:cstheme="minorHAnsi"/>
        </w:rPr>
      </w:pPr>
      <w:r>
        <w:t xml:space="preserve">In order to reduce burden on the participant, CASPER </w:t>
      </w:r>
      <w:r w:rsidR="009C5A56">
        <w:t>questionnaire</w:t>
      </w:r>
      <w:r>
        <w:t>s are generally limited to two</w:t>
      </w:r>
      <w:r w:rsidR="00F452B0">
        <w:t xml:space="preserve"> </w:t>
      </w:r>
      <w:r w:rsidR="009C5A56">
        <w:t>pages</w:t>
      </w:r>
      <w:r>
        <w:t xml:space="preserve">. In </w:t>
      </w:r>
      <w:r w:rsidRPr="00F452B0">
        <w:t xml:space="preserve">general, yes/no and multiple choice questions are utilized to capture the needed information more efficiently. </w:t>
      </w:r>
      <w:r w:rsidR="00F452B0" w:rsidRPr="005719BD">
        <w:t>While the CASPER questionnaire is usually completed using pen and paper, there may be instances where the questionnaires may be completed using CDC-approved electronic devices, such as digital pens</w:t>
      </w:r>
      <w:r w:rsidR="003251E1">
        <w:t xml:space="preserve">. </w:t>
      </w:r>
      <w:r w:rsidR="00F452B0" w:rsidRPr="00F452B0">
        <w:t>Digital pens are encrypted and the databases that information is entered into are password protected.</w:t>
      </w:r>
      <w:r w:rsidR="00F452B0" w:rsidRPr="005719BD">
        <w:t xml:space="preserve"> </w:t>
      </w:r>
      <w:r w:rsidR="00F452B0" w:rsidRPr="00F452B0">
        <w:t>State and local CASPER partners may own other electronic equipment that can range in type (e.g., various handheld devices). Use of these devices is up to the local jurisdiction conducting the CASPER</w:t>
      </w:r>
      <w:r w:rsidR="00AB516E">
        <w:t xml:space="preserve">. </w:t>
      </w:r>
      <w:r w:rsidR="00F127C7">
        <w:t xml:space="preserve">The responses potentially collected via electronic equipment </w:t>
      </w:r>
      <w:r w:rsidR="00F127C7" w:rsidRPr="00F127C7">
        <w:t>are currently approximated at</w:t>
      </w:r>
      <w:r w:rsidR="00F127C7">
        <w:t xml:space="preserve"> 1% of all CASPERs conducted</w:t>
      </w:r>
      <w:r w:rsidR="00F452B0" w:rsidRPr="00F452B0">
        <w:t xml:space="preserve">. </w:t>
      </w:r>
      <w:r w:rsidR="00F452B0" w:rsidRPr="005719BD">
        <w:t xml:space="preserve">Referral forms that contain </w:t>
      </w:r>
      <w:r w:rsidR="008302E4">
        <w:t>PII</w:t>
      </w:r>
      <w:r w:rsidR="00F452B0" w:rsidRPr="005719BD">
        <w:t xml:space="preserve"> will not be collected using electronic devices.</w:t>
      </w:r>
      <w:r w:rsidR="00F452B0" w:rsidRPr="00F452B0">
        <w:t xml:space="preserve"> </w:t>
      </w:r>
    </w:p>
    <w:p w:rsidR="00F452B0" w:rsidRPr="005719BD" w:rsidRDefault="00F452B0" w:rsidP="00F452B0">
      <w:pPr>
        <w:spacing w:after="0" w:line="240" w:lineRule="auto"/>
      </w:pPr>
    </w:p>
    <w:p w:rsidR="00F452B0" w:rsidRDefault="00F452B0" w:rsidP="00F452B0">
      <w:pPr>
        <w:spacing w:after="0" w:line="240" w:lineRule="auto"/>
      </w:pPr>
      <w:r w:rsidRPr="005719BD">
        <w:t xml:space="preserve">Regardless of how information </w:t>
      </w:r>
      <w:r w:rsidR="003F6A7F">
        <w:t>is</w:t>
      </w:r>
      <w:r w:rsidRPr="005719BD">
        <w:t xml:space="preserve"> collected, data is analyzed with CDC-approved software, such as </w:t>
      </w:r>
      <w:proofErr w:type="spellStart"/>
      <w:r w:rsidRPr="005719BD">
        <w:t>Epi</w:t>
      </w:r>
      <w:proofErr w:type="spellEnd"/>
      <w:r w:rsidRPr="005719BD">
        <w:t xml:space="preserve"> Info 7. </w:t>
      </w:r>
      <w:proofErr w:type="spellStart"/>
      <w:r w:rsidRPr="005719BD">
        <w:t>Epi</w:t>
      </w:r>
      <w:proofErr w:type="spellEnd"/>
      <w:r w:rsidRPr="005719BD">
        <w:t xml:space="preserve"> Info 7 is publically available statistical software that stores data in a Microsoft Access </w:t>
      </w:r>
      <w:r w:rsidRPr="005719BD">
        <w:lastRenderedPageBreak/>
        <w:t>Database file (</w:t>
      </w:r>
      <w:hyperlink r:id="rId12" w:history="1">
        <w:r w:rsidR="00F943BF" w:rsidRPr="003B35D1">
          <w:rPr>
            <w:rStyle w:val="Hyperlink"/>
          </w:rPr>
          <w:t>http://wwwn.cdc.gov/epiinfo/</w:t>
        </w:r>
      </w:hyperlink>
      <w:r w:rsidRPr="005719BD">
        <w:t>)</w:t>
      </w:r>
      <w:r w:rsidR="003251E1">
        <w:t xml:space="preserve">. </w:t>
      </w:r>
      <w:r w:rsidRPr="005719BD">
        <w:t xml:space="preserve">Data is stored as a flat file and the databases are password protected. </w:t>
      </w:r>
    </w:p>
    <w:p w:rsidR="00F452B0" w:rsidRDefault="00F452B0" w:rsidP="00F452B0">
      <w:pPr>
        <w:spacing w:after="0" w:line="240" w:lineRule="auto"/>
      </w:pPr>
    </w:p>
    <w:p w:rsidR="00C9554F" w:rsidRDefault="00C9554F" w:rsidP="00350142">
      <w:pPr>
        <w:pStyle w:val="Heading1"/>
        <w:spacing w:before="0" w:line="240" w:lineRule="auto"/>
        <w:rPr>
          <w:highlight w:val="green"/>
        </w:rPr>
      </w:pPr>
      <w:bookmarkStart w:id="4" w:name="_Toc403138197"/>
      <w:r w:rsidRPr="00B255A3">
        <w:t>A.4 Efforts to Identify Duplication and Use of Similar Information</w:t>
      </w:r>
      <w:bookmarkEnd w:id="4"/>
      <w:r w:rsidRPr="00B255A3">
        <w:tab/>
      </w:r>
    </w:p>
    <w:p w:rsidR="000A7409" w:rsidRPr="000A7409" w:rsidRDefault="000A7409" w:rsidP="00350142">
      <w:pPr>
        <w:pStyle w:val="ListParagraph"/>
        <w:spacing w:after="0" w:line="240" w:lineRule="auto"/>
        <w:contextualSpacing w:val="0"/>
        <w:rPr>
          <w:i/>
          <w:color w:val="365F91" w:themeColor="accent1" w:themeShade="BF"/>
        </w:rPr>
      </w:pPr>
    </w:p>
    <w:p w:rsidR="00B569FD" w:rsidRDefault="00000855">
      <w:pPr>
        <w:spacing w:after="0" w:line="240" w:lineRule="auto"/>
      </w:pPr>
      <w:r>
        <w:t>The</w:t>
      </w:r>
      <w:r w:rsidR="00352539">
        <w:t xml:space="preserve"> purpose of CASPER is to assess the </w:t>
      </w:r>
      <w:r w:rsidR="00B255A3">
        <w:t xml:space="preserve">health status and </w:t>
      </w:r>
      <w:r w:rsidR="00352539">
        <w:t>needs</w:t>
      </w:r>
      <w:r w:rsidR="00B255A3">
        <w:t xml:space="preserve"> of an affected community </w:t>
      </w:r>
      <w:r w:rsidR="00B94FC5">
        <w:t xml:space="preserve">at the household level </w:t>
      </w:r>
      <w:r w:rsidR="00352539">
        <w:t xml:space="preserve">and </w:t>
      </w:r>
      <w:r w:rsidR="00B94FC5">
        <w:t xml:space="preserve">to </w:t>
      </w:r>
      <w:r w:rsidR="00352539">
        <w:t xml:space="preserve">provide information specific to the event being addressed at that time. </w:t>
      </w:r>
      <w:r w:rsidR="00FB1AF3">
        <w:t>While there may be health information known about an area before a disaster</w:t>
      </w:r>
      <w:r w:rsidR="001B271B">
        <w:t xml:space="preserve"> or public health threat occurs, a community’s </w:t>
      </w:r>
      <w:r w:rsidR="005855DB">
        <w:t xml:space="preserve">perceived </w:t>
      </w:r>
      <w:r w:rsidR="001B271B">
        <w:t xml:space="preserve">needs </w:t>
      </w:r>
      <w:r w:rsidR="00E906CD">
        <w:t>will be directly</w:t>
      </w:r>
      <w:r w:rsidR="001B271B">
        <w:t xml:space="preserve"> affected by </w:t>
      </w:r>
      <w:r w:rsidR="00E906CD">
        <w:t>a disaster-related emergency</w:t>
      </w:r>
      <w:r w:rsidR="001B271B">
        <w:t xml:space="preserve"> event. A</w:t>
      </w:r>
      <w:r w:rsidR="00FB1AF3">
        <w:t xml:space="preserve">s a result, CDC and its partners </w:t>
      </w:r>
      <w:r w:rsidR="005855DB">
        <w:t>may decid</w:t>
      </w:r>
      <w:r w:rsidR="009079A8">
        <w:t>e</w:t>
      </w:r>
      <w:r w:rsidR="005855DB">
        <w:t xml:space="preserve"> to </w:t>
      </w:r>
      <w:r w:rsidR="00FB1AF3">
        <w:t>conduct CASPERs to assess the chang</w:t>
      </w:r>
      <w:r w:rsidR="00E906CD">
        <w:t>ing</w:t>
      </w:r>
      <w:r w:rsidR="00FB1AF3">
        <w:t xml:space="preserve"> situation</w:t>
      </w:r>
      <w:r w:rsidR="00E906CD">
        <w:t xml:space="preserve"> by collected data that are immediately relevant to the emergency</w:t>
      </w:r>
      <w:r w:rsidR="00AF184F">
        <w:t>.</w:t>
      </w:r>
      <w:r w:rsidR="00FB1AF3">
        <w:t xml:space="preserve"> </w:t>
      </w:r>
      <w:r w:rsidR="00352539">
        <w:t xml:space="preserve">Without this </w:t>
      </w:r>
      <w:r w:rsidR="001E0E66">
        <w:t xml:space="preserve">event-specific </w:t>
      </w:r>
      <w:r w:rsidR="00352539">
        <w:t xml:space="preserve">information on the community, public health officials </w:t>
      </w:r>
      <w:r w:rsidR="00E906CD">
        <w:t xml:space="preserve">cannot respond to the most current community needs. </w:t>
      </w:r>
    </w:p>
    <w:p w:rsidR="00B569FD" w:rsidRDefault="00B569FD">
      <w:pPr>
        <w:spacing w:after="0" w:line="240" w:lineRule="auto"/>
      </w:pPr>
    </w:p>
    <w:p w:rsidR="00B569FD" w:rsidRDefault="00B569FD">
      <w:pPr>
        <w:spacing w:after="0" w:line="240" w:lineRule="auto"/>
      </w:pPr>
      <w:r>
        <w:t>It is important to note that CASPERs are unique data collection events</w:t>
      </w:r>
      <w:r w:rsidR="00D842AE">
        <w:t xml:space="preserve">. </w:t>
      </w:r>
      <w:r>
        <w:t>CASPERs are used to assess current needs of community members</w:t>
      </w:r>
      <w:r w:rsidR="00D842AE">
        <w:t xml:space="preserve">. </w:t>
      </w:r>
      <w:r>
        <w:t xml:space="preserve">By contrast, </w:t>
      </w:r>
      <w:r w:rsidR="00F0720E">
        <w:t xml:space="preserve">the Federal Emergency Management Agency (FEMA) formerly conducted </w:t>
      </w:r>
      <w:r>
        <w:t>rapid needs assessment (</w:t>
      </w:r>
      <w:r w:rsidR="00F0720E">
        <w:t>RNAs</w:t>
      </w:r>
      <w:r>
        <w:t>)</w:t>
      </w:r>
      <w:r w:rsidR="00F0720E">
        <w:t xml:space="preserve"> as part of their disaster</w:t>
      </w:r>
      <w:r>
        <w:t xml:space="preserve"> emergency response</w:t>
      </w:r>
      <w:r w:rsidR="00F0720E">
        <w:t xml:space="preserve"> activities</w:t>
      </w:r>
      <w:r w:rsidR="00BC2A35">
        <w:t>.</w:t>
      </w:r>
      <w:r w:rsidR="00BC2A35">
        <w:rPr>
          <w:vertAlign w:val="superscript"/>
        </w:rPr>
        <w:t>10, 11</w:t>
      </w:r>
      <w:r w:rsidR="00BC2A35">
        <w:t xml:space="preserve"> </w:t>
      </w:r>
      <w:r w:rsidR="002B6A2E">
        <w:t>FEMA’s RNAs focus on high level key infrastructure assessments (e.g., hospitals, bridges, emergency operation centers) to assist in determining Federal involvement and funding in a disaster/emergency. The new concept of these assessments used by FEMA is known as the Incident Management Assistance Team (IMAT)</w:t>
      </w:r>
      <w:r w:rsidR="00BC2A35">
        <w:t>.</w:t>
      </w:r>
      <w:r w:rsidR="00BC2A35">
        <w:rPr>
          <w:vertAlign w:val="superscript"/>
        </w:rPr>
        <w:t>12</w:t>
      </w:r>
      <w:r w:rsidR="00EB2EF4">
        <w:t xml:space="preserve">Different from a FEMA RNA or IMAT, CASPER </w:t>
      </w:r>
      <w:r w:rsidR="002B6A2E">
        <w:t>focuses on assessing h</w:t>
      </w:r>
      <w:r w:rsidR="003F6A7F">
        <w:t>ousehold-level</w:t>
      </w:r>
      <w:r w:rsidR="002B6A2E">
        <w:t xml:space="preserve"> public health needs (e.g., household access to utilities, generator use/exposure to carbon monoxide, receipt and understanding o</w:t>
      </w:r>
      <w:r w:rsidR="00EB2EF4">
        <w:t>f public health communications)</w:t>
      </w:r>
      <w:r w:rsidR="00D842AE">
        <w:t xml:space="preserve">. </w:t>
      </w:r>
      <w:r>
        <w:t>CDC does not consult with FEMA before conducting a CASPER</w:t>
      </w:r>
      <w:r w:rsidR="00D842AE">
        <w:t xml:space="preserve">. </w:t>
      </w:r>
      <w:r>
        <w:t>CASPERs are done at the request of our STLT partners, who then coordinate with other agencies that may be responding to the same disaster-related emergencies.</w:t>
      </w:r>
    </w:p>
    <w:p w:rsidR="005B1361" w:rsidRPr="000022D3" w:rsidRDefault="00D96EA4" w:rsidP="00350142">
      <w:pPr>
        <w:spacing w:after="0" w:line="240" w:lineRule="auto"/>
        <w:rPr>
          <w:bCs/>
          <w:sz w:val="23"/>
          <w:szCs w:val="23"/>
        </w:rPr>
      </w:pPr>
      <w:r w:rsidRPr="00451A7C">
        <w:t xml:space="preserve"> </w:t>
      </w:r>
    </w:p>
    <w:p w:rsidR="00C9554F" w:rsidRPr="004E3FBD" w:rsidRDefault="00C9554F" w:rsidP="00350142">
      <w:pPr>
        <w:pStyle w:val="Heading1"/>
        <w:spacing w:before="0" w:line="240" w:lineRule="auto"/>
      </w:pPr>
      <w:bookmarkStart w:id="5" w:name="_Toc403138198"/>
      <w:r w:rsidRPr="00D640B0">
        <w:t>A.5 Impact on Small Businesses or Other Small Entities</w:t>
      </w:r>
      <w:bookmarkEnd w:id="5"/>
      <w:r>
        <w:tab/>
      </w:r>
    </w:p>
    <w:p w:rsidR="00765918" w:rsidRPr="00765918" w:rsidRDefault="00765918" w:rsidP="00350142">
      <w:pPr>
        <w:spacing w:after="0" w:line="240" w:lineRule="auto"/>
      </w:pPr>
    </w:p>
    <w:p w:rsidR="00765918" w:rsidRDefault="00765918" w:rsidP="00350142">
      <w:pPr>
        <w:spacing w:after="0" w:line="240" w:lineRule="auto"/>
      </w:pPr>
      <w:r>
        <w:t xml:space="preserve">No small businesses will be involved in this data collection. </w:t>
      </w:r>
    </w:p>
    <w:p w:rsidR="005B1361" w:rsidRPr="00765918" w:rsidRDefault="005B1361" w:rsidP="00350142">
      <w:pPr>
        <w:spacing w:after="0" w:line="240" w:lineRule="auto"/>
      </w:pPr>
    </w:p>
    <w:p w:rsidR="00C9554F" w:rsidRPr="00126A27" w:rsidRDefault="00C9554F" w:rsidP="00350142">
      <w:pPr>
        <w:pStyle w:val="Heading1"/>
        <w:spacing w:before="0" w:line="240" w:lineRule="auto"/>
      </w:pPr>
      <w:bookmarkStart w:id="6" w:name="_Toc403138199"/>
      <w:r w:rsidRPr="00126A27">
        <w:t>A.6 Consequences of Collecting the Information Less Frequently</w:t>
      </w:r>
      <w:bookmarkEnd w:id="6"/>
      <w:r w:rsidRPr="00126A27">
        <w:tab/>
      </w:r>
    </w:p>
    <w:p w:rsidR="000A7409" w:rsidRPr="000A7409" w:rsidRDefault="000A7409" w:rsidP="00350142">
      <w:pPr>
        <w:pStyle w:val="ListParagraph"/>
        <w:spacing w:after="0" w:line="240" w:lineRule="auto"/>
        <w:contextualSpacing w:val="0"/>
        <w:rPr>
          <w:i/>
          <w:color w:val="365F91" w:themeColor="accent1" w:themeShade="BF"/>
        </w:rPr>
      </w:pPr>
    </w:p>
    <w:p w:rsidR="002E54F0" w:rsidRDefault="002E54F0" w:rsidP="00350142">
      <w:pPr>
        <w:spacing w:after="0" w:line="240" w:lineRule="auto"/>
      </w:pPr>
      <w:r>
        <w:t>The purpose of this request for generic clearance is to ensure the collection of data that provides valuable, time sensitive information on critical health needs and impacts of an event, characterize the affected population, provide</w:t>
      </w:r>
      <w:r w:rsidR="009E5DF8">
        <w:t xml:space="preserve"> primarily</w:t>
      </w:r>
      <w:r>
        <w:t xml:space="preserve"> household-based information to decision-makers, and </w:t>
      </w:r>
      <w:r w:rsidR="005855DB">
        <w:t xml:space="preserve">potentially to use this information after the event to </w:t>
      </w:r>
      <w:r w:rsidR="009079A8">
        <w:t xml:space="preserve">assess </w:t>
      </w:r>
      <w:r>
        <w:t xml:space="preserve">the effectiveness of relief efforts. These data are not otherwise available prior to a disaster or other event occurring. Without this data, public health officials may make decisions based on anecdotal information; such decisions may not accurately reflect the </w:t>
      </w:r>
      <w:r w:rsidR="005855DB">
        <w:t xml:space="preserve">perceived </w:t>
      </w:r>
      <w:r>
        <w:t>need</w:t>
      </w:r>
      <w:r w:rsidR="002E30F4">
        <w:t>s</w:t>
      </w:r>
      <w:r>
        <w:t xml:space="preserve"> of the entire community. </w:t>
      </w:r>
    </w:p>
    <w:p w:rsidR="000A7409" w:rsidRPr="007C3865" w:rsidRDefault="000A7409" w:rsidP="00350142">
      <w:pPr>
        <w:spacing w:after="0" w:line="240" w:lineRule="auto"/>
      </w:pPr>
    </w:p>
    <w:p w:rsidR="002E54F0" w:rsidRDefault="007C5CA0" w:rsidP="00350142">
      <w:pPr>
        <w:spacing w:after="0" w:line="240" w:lineRule="auto"/>
      </w:pPr>
      <w:r w:rsidRPr="00126A27">
        <w:t>A majority of CASPERs are one-time assessment</w:t>
      </w:r>
      <w:r w:rsidR="002E30F4">
        <w:t>s</w:t>
      </w:r>
      <w:r w:rsidRPr="00126A27">
        <w:t xml:space="preserve"> related to a specific event. </w:t>
      </w:r>
      <w:r w:rsidR="009B6936" w:rsidRPr="00126A27">
        <w:t xml:space="preserve">Respondents will most likely never have to report information more than once. </w:t>
      </w:r>
      <w:r w:rsidR="005855DB" w:rsidRPr="009216A1">
        <w:t xml:space="preserve">If follow up studies are conducted in the community (under separate OMB clearances or by local organizations), efforts will be made to minimize the extent to which </w:t>
      </w:r>
      <w:r w:rsidR="00BF29C3" w:rsidRPr="009216A1">
        <w:t>the same ind</w:t>
      </w:r>
      <w:r w:rsidR="00126A27" w:rsidRPr="009216A1">
        <w:t xml:space="preserve">ividuals </w:t>
      </w:r>
      <w:r w:rsidR="005855DB" w:rsidRPr="009216A1">
        <w:t xml:space="preserve">are </w:t>
      </w:r>
      <w:r w:rsidR="00126A27" w:rsidRPr="009216A1">
        <w:t>contacted</w:t>
      </w:r>
      <w:r w:rsidR="005855DB" w:rsidRPr="009216A1">
        <w:t xml:space="preserve"> </w:t>
      </w:r>
      <w:r w:rsidR="002E30F4" w:rsidRPr="009216A1">
        <w:t>(See Section B.2 for more information on the sampling methodology)</w:t>
      </w:r>
      <w:r w:rsidR="00BF29C3" w:rsidRPr="009216A1">
        <w:t>.</w:t>
      </w:r>
      <w:r w:rsidR="00BF29C3" w:rsidRPr="00126A27">
        <w:t xml:space="preserve"> </w:t>
      </w:r>
    </w:p>
    <w:p w:rsidR="000A7409" w:rsidRDefault="000A7409" w:rsidP="00350142">
      <w:pPr>
        <w:spacing w:after="0" w:line="240" w:lineRule="auto"/>
      </w:pPr>
    </w:p>
    <w:p w:rsidR="00481971" w:rsidRDefault="002E54F0" w:rsidP="00350142">
      <w:pPr>
        <w:spacing w:after="0" w:line="240" w:lineRule="auto"/>
      </w:pPr>
      <w:r>
        <w:t>There are no legal obstacles to reduce the burden.</w:t>
      </w:r>
    </w:p>
    <w:p w:rsidR="000A7409" w:rsidRPr="00530A2D" w:rsidRDefault="000A7409" w:rsidP="00350142">
      <w:pPr>
        <w:spacing w:after="0" w:line="240" w:lineRule="auto"/>
      </w:pPr>
    </w:p>
    <w:p w:rsidR="009853AA" w:rsidRPr="009853AA" w:rsidRDefault="00C9554F" w:rsidP="00350142">
      <w:pPr>
        <w:pStyle w:val="Heading1"/>
        <w:spacing w:before="0" w:line="240" w:lineRule="auto"/>
      </w:pPr>
      <w:bookmarkStart w:id="7" w:name="_Toc403138200"/>
      <w:r w:rsidRPr="009853AA">
        <w:lastRenderedPageBreak/>
        <w:t>A.7 Special Circumstances Relating to the Guidelines of 5 CFR 1320.5</w:t>
      </w:r>
      <w:bookmarkEnd w:id="7"/>
    </w:p>
    <w:p w:rsidR="000A7409" w:rsidRDefault="000A7409" w:rsidP="00350142">
      <w:pPr>
        <w:spacing w:after="0" w:line="240" w:lineRule="auto"/>
      </w:pPr>
    </w:p>
    <w:p w:rsidR="00011949" w:rsidRPr="00011949" w:rsidRDefault="009853AA" w:rsidP="00350142">
      <w:pPr>
        <w:spacing w:after="0" w:line="240" w:lineRule="auto"/>
      </w:pPr>
      <w:r>
        <w:t>There are no special circumstances with this information collection package. This</w:t>
      </w:r>
      <w:r w:rsidR="00011949">
        <w:t xml:space="preserve"> request fully complies with the regulation 5 CFR 1320.5</w:t>
      </w:r>
      <w:r w:rsidR="009E2F4B">
        <w:t>.</w:t>
      </w:r>
    </w:p>
    <w:p w:rsidR="00481971" w:rsidRDefault="00481971" w:rsidP="00350142">
      <w:pPr>
        <w:spacing w:after="0" w:line="240" w:lineRule="auto"/>
      </w:pPr>
    </w:p>
    <w:p w:rsidR="0039576C" w:rsidRDefault="005855DB" w:rsidP="00C75259">
      <w:pPr>
        <w:spacing w:after="0" w:line="240" w:lineRule="auto"/>
        <w:rPr>
          <w:rFonts w:cstheme="minorHAnsi"/>
        </w:rPr>
      </w:pPr>
      <w:r>
        <w:rPr>
          <w:rFonts w:cstheme="minorHAnsi"/>
        </w:rPr>
        <w:t xml:space="preserve">This ICR only covers </w:t>
      </w:r>
      <w:r w:rsidR="00C75259" w:rsidRPr="00EC2B6D">
        <w:rPr>
          <w:rFonts w:cstheme="minorHAnsi"/>
        </w:rPr>
        <w:t xml:space="preserve">CASPERs are requested </w:t>
      </w:r>
      <w:proofErr w:type="gramStart"/>
      <w:r w:rsidR="00C75259" w:rsidRPr="00EC2B6D">
        <w:rPr>
          <w:rFonts w:cstheme="minorHAnsi"/>
        </w:rPr>
        <w:t xml:space="preserve">by </w:t>
      </w:r>
      <w:r w:rsidR="009079A8" w:rsidRPr="009079A8">
        <w:rPr>
          <w:rFonts w:eastAsia="Arial Unicode MS" w:cstheme="minorHAnsi"/>
          <w:color w:val="000000"/>
        </w:rPr>
        <w:t xml:space="preserve"> </w:t>
      </w:r>
      <w:r w:rsidR="009079A8">
        <w:rPr>
          <w:rFonts w:eastAsia="Arial Unicode MS" w:cstheme="minorHAnsi"/>
          <w:color w:val="000000"/>
        </w:rPr>
        <w:t>STLTs</w:t>
      </w:r>
      <w:proofErr w:type="gramEnd"/>
      <w:r w:rsidR="009079A8">
        <w:rPr>
          <w:rFonts w:eastAsia="Arial Unicode MS" w:cstheme="minorHAnsi"/>
          <w:color w:val="000000"/>
        </w:rPr>
        <w:t xml:space="preserve"> or an international health authority</w:t>
      </w:r>
      <w:r w:rsidR="00C75259" w:rsidRPr="00EC2B6D">
        <w:rPr>
          <w:rFonts w:cstheme="minorHAnsi"/>
        </w:rPr>
        <w:t xml:space="preserve"> under emergency situations (e.g., hurricane response, oil spill). </w:t>
      </w:r>
      <w:proofErr w:type="gramStart"/>
      <w:r w:rsidR="003F6A7F">
        <w:rPr>
          <w:rFonts w:cstheme="minorHAnsi"/>
        </w:rPr>
        <w:t xml:space="preserve">A </w:t>
      </w:r>
      <w:r w:rsidR="00796167">
        <w:rPr>
          <w:rFonts w:cstheme="minorHAnsi"/>
        </w:rPr>
        <w:t>strength</w:t>
      </w:r>
      <w:proofErr w:type="gramEnd"/>
      <w:r w:rsidR="00796167">
        <w:rPr>
          <w:rFonts w:cstheme="minorHAnsi"/>
        </w:rPr>
        <w:t xml:space="preserve"> of the CASPER tool is </w:t>
      </w:r>
      <w:r w:rsidR="00315827">
        <w:rPr>
          <w:rFonts w:cstheme="minorHAnsi"/>
        </w:rPr>
        <w:t>its</w:t>
      </w:r>
      <w:r w:rsidR="00796167">
        <w:rPr>
          <w:rFonts w:cstheme="minorHAnsi"/>
        </w:rPr>
        <w:t xml:space="preserve"> ability to be quickly initiated and conducted once a </w:t>
      </w:r>
      <w:r w:rsidR="003F6A7F">
        <w:rPr>
          <w:rFonts w:cstheme="minorHAnsi"/>
        </w:rPr>
        <w:t>s</w:t>
      </w:r>
      <w:r w:rsidR="00796167">
        <w:rPr>
          <w:rFonts w:cstheme="minorHAnsi"/>
        </w:rPr>
        <w:t xml:space="preserve">tate has requested CDC assistance in the field. </w:t>
      </w:r>
    </w:p>
    <w:p w:rsidR="0039576C" w:rsidRDefault="0039576C" w:rsidP="00C75259">
      <w:pPr>
        <w:spacing w:after="0" w:line="240" w:lineRule="auto"/>
        <w:rPr>
          <w:rFonts w:cstheme="minorHAnsi"/>
        </w:rPr>
      </w:pPr>
    </w:p>
    <w:p w:rsidR="0039576C" w:rsidRDefault="003708C9" w:rsidP="00C75259">
      <w:pPr>
        <w:spacing w:after="0" w:line="240" w:lineRule="auto"/>
        <w:rPr>
          <w:rFonts w:cstheme="minorHAnsi"/>
        </w:rPr>
      </w:pPr>
      <w:r>
        <w:rPr>
          <w:rFonts w:cstheme="minorHAnsi"/>
        </w:rPr>
        <w:t xml:space="preserve">Figure A.7.1 and A.7.2 </w:t>
      </w:r>
      <w:r w:rsidR="0039576C">
        <w:rPr>
          <w:rFonts w:cstheme="minorHAnsi"/>
        </w:rPr>
        <w:t xml:space="preserve">below are examples of past response timelines for disaster/emergency CASPERs. </w:t>
      </w:r>
      <w:r w:rsidR="00796167">
        <w:rPr>
          <w:rFonts w:cstheme="minorHAnsi"/>
        </w:rPr>
        <w:t>In both insta</w:t>
      </w:r>
      <w:r w:rsidR="00CA2822">
        <w:rPr>
          <w:rFonts w:cstheme="minorHAnsi"/>
        </w:rPr>
        <w:t>nces CDC teams were conducting CASPER surveys within 48-96</w:t>
      </w:r>
      <w:r w:rsidR="00796167">
        <w:rPr>
          <w:rFonts w:cstheme="minorHAnsi"/>
        </w:rPr>
        <w:t xml:space="preserve"> hours of a formal request for assistance from </w:t>
      </w:r>
      <w:r w:rsidR="003F6A7F">
        <w:rPr>
          <w:rFonts w:cstheme="minorHAnsi"/>
        </w:rPr>
        <w:t>s</w:t>
      </w:r>
      <w:r w:rsidR="00796167">
        <w:rPr>
          <w:rFonts w:cstheme="minorHAnsi"/>
        </w:rPr>
        <w:t xml:space="preserve">tates. </w:t>
      </w:r>
      <w:r w:rsidR="00CA2822">
        <w:rPr>
          <w:rFonts w:cstheme="minorHAnsi"/>
        </w:rPr>
        <w:t xml:space="preserve">Necessary changes to sampling frames and data collection instruments took place 12-24 hours before data collection began. </w:t>
      </w:r>
    </w:p>
    <w:p w:rsidR="0039576C" w:rsidRDefault="0039576C" w:rsidP="00C75259">
      <w:pPr>
        <w:spacing w:after="0" w:line="240" w:lineRule="auto"/>
        <w:rPr>
          <w:rFonts w:cstheme="minorHAnsi"/>
        </w:rPr>
      </w:pPr>
    </w:p>
    <w:p w:rsidR="0039576C" w:rsidRDefault="003708C9" w:rsidP="00C75259">
      <w:pPr>
        <w:spacing w:after="0" w:line="240" w:lineRule="auto"/>
        <w:rPr>
          <w:rFonts w:cstheme="minorHAnsi"/>
        </w:rPr>
      </w:pPr>
      <w:r>
        <w:rPr>
          <w:rFonts w:cstheme="minorHAnsi"/>
        </w:rPr>
        <w:t>Figure A.7.1</w:t>
      </w:r>
      <w:r w:rsidR="0039576C">
        <w:rPr>
          <w:rFonts w:cstheme="minorHAnsi"/>
        </w:rPr>
        <w:t>. CASPER response timeline for Hurricane Ivan, 2004</w:t>
      </w:r>
    </w:p>
    <w:p w:rsidR="0039576C" w:rsidRDefault="0039576C" w:rsidP="00C75259">
      <w:pPr>
        <w:spacing w:after="0" w:line="240" w:lineRule="auto"/>
        <w:rPr>
          <w:rFonts w:cstheme="minorHAnsi"/>
        </w:rPr>
      </w:pPr>
      <w:r w:rsidRPr="00A21FAF">
        <w:rPr>
          <w:rFonts w:cstheme="minorHAnsi"/>
          <w:noProof/>
        </w:rPr>
        <w:drawing>
          <wp:inline distT="0" distB="0" distL="0" distR="0" wp14:anchorId="7126B689" wp14:editId="7535970F">
            <wp:extent cx="4572638" cy="34294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572638" cy="3429479"/>
                    </a:xfrm>
                    <a:prstGeom prst="rect">
                      <a:avLst/>
                    </a:prstGeom>
                  </pic:spPr>
                </pic:pic>
              </a:graphicData>
            </a:graphic>
          </wp:inline>
        </w:drawing>
      </w:r>
    </w:p>
    <w:p w:rsidR="0039576C" w:rsidRDefault="0039576C" w:rsidP="00C75259">
      <w:pPr>
        <w:spacing w:after="0" w:line="240" w:lineRule="auto"/>
        <w:rPr>
          <w:rFonts w:cstheme="minorHAnsi"/>
        </w:rPr>
      </w:pPr>
    </w:p>
    <w:p w:rsidR="0039576C" w:rsidRDefault="003708C9" w:rsidP="00C75259">
      <w:pPr>
        <w:spacing w:after="0" w:line="240" w:lineRule="auto"/>
        <w:rPr>
          <w:rFonts w:cstheme="minorHAnsi"/>
        </w:rPr>
      </w:pPr>
      <w:r>
        <w:rPr>
          <w:rFonts w:cstheme="minorHAnsi"/>
        </w:rPr>
        <w:lastRenderedPageBreak/>
        <w:t>Figure A.7.2</w:t>
      </w:r>
      <w:r w:rsidR="0039576C">
        <w:rPr>
          <w:rFonts w:cstheme="minorHAnsi"/>
        </w:rPr>
        <w:t>. CASPER response timeline for Kentucky Ice Storm, 2009</w:t>
      </w:r>
      <w:r w:rsidR="0039576C" w:rsidRPr="00A21FAF">
        <w:rPr>
          <w:rFonts w:cstheme="minorHAnsi"/>
          <w:noProof/>
        </w:rPr>
        <w:drawing>
          <wp:inline distT="0" distB="0" distL="0" distR="0" wp14:anchorId="23F10CDE" wp14:editId="71876235">
            <wp:extent cx="4572638" cy="34294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572638" cy="3429479"/>
                    </a:xfrm>
                    <a:prstGeom prst="rect">
                      <a:avLst/>
                    </a:prstGeom>
                  </pic:spPr>
                </pic:pic>
              </a:graphicData>
            </a:graphic>
          </wp:inline>
        </w:drawing>
      </w:r>
    </w:p>
    <w:p w:rsidR="0039576C" w:rsidRDefault="0039576C" w:rsidP="00C75259">
      <w:pPr>
        <w:spacing w:after="0" w:line="240" w:lineRule="auto"/>
        <w:rPr>
          <w:rFonts w:cstheme="minorHAnsi"/>
        </w:rPr>
      </w:pPr>
    </w:p>
    <w:p w:rsidR="00B945F2" w:rsidRDefault="00C75259" w:rsidP="00C75259">
      <w:pPr>
        <w:spacing w:after="0" w:line="240" w:lineRule="auto"/>
      </w:pPr>
      <w:r w:rsidRPr="00EC2B6D">
        <w:rPr>
          <w:rFonts w:cstheme="minorHAnsi"/>
        </w:rPr>
        <w:t>The time critical nature of CDC</w:t>
      </w:r>
      <w:r w:rsidR="0016224B">
        <w:rPr>
          <w:rFonts w:cstheme="minorHAnsi"/>
        </w:rPr>
        <w:t>’</w:t>
      </w:r>
      <w:r w:rsidRPr="00EC2B6D">
        <w:rPr>
          <w:rFonts w:cstheme="minorHAnsi"/>
        </w:rPr>
        <w:t>s response to these situations can be addressed through</w:t>
      </w:r>
      <w:r>
        <w:rPr>
          <w:rFonts w:cstheme="minorHAnsi"/>
        </w:rPr>
        <w:t xml:space="preserve"> the use of this generic OMB submission, under which individual </w:t>
      </w:r>
      <w:r w:rsidR="008B4F20">
        <w:rPr>
          <w:rFonts w:cstheme="minorHAnsi"/>
        </w:rPr>
        <w:t>CASPER</w:t>
      </w:r>
      <w:r w:rsidR="00BF796C">
        <w:rPr>
          <w:rFonts w:cstheme="minorHAnsi"/>
        </w:rPr>
        <w:t xml:space="preserve"> Gen</w:t>
      </w:r>
      <w:r w:rsidR="00677EE8">
        <w:rPr>
          <w:rFonts w:cstheme="minorHAnsi"/>
        </w:rPr>
        <w:t xml:space="preserve"> </w:t>
      </w:r>
      <w:r w:rsidR="00BF796C">
        <w:rPr>
          <w:rFonts w:cstheme="minorHAnsi"/>
        </w:rPr>
        <w:t>IC</w:t>
      </w:r>
      <w:r w:rsidR="00677EE8">
        <w:rPr>
          <w:rFonts w:cstheme="minorHAnsi"/>
        </w:rPr>
        <w:t>R</w:t>
      </w:r>
      <w:r w:rsidR="00AF184F">
        <w:rPr>
          <w:rFonts w:cstheme="minorHAnsi"/>
        </w:rPr>
        <w:t>s</w:t>
      </w:r>
      <w:r w:rsidR="00BF796C">
        <w:rPr>
          <w:rFonts w:cstheme="minorHAnsi"/>
        </w:rPr>
        <w:t xml:space="preserve"> </w:t>
      </w:r>
      <w:r>
        <w:rPr>
          <w:rFonts w:cstheme="minorHAnsi"/>
        </w:rPr>
        <w:t>can be submitted for expedited review and approval</w:t>
      </w:r>
      <w:r w:rsidR="002727DA">
        <w:rPr>
          <w:rFonts w:cstheme="minorHAnsi"/>
        </w:rPr>
        <w:t xml:space="preserve">. </w:t>
      </w:r>
      <w:r w:rsidRPr="00EC2B6D">
        <w:rPr>
          <w:rFonts w:cstheme="minorHAnsi"/>
        </w:rPr>
        <w:t xml:space="preserve">To facilitate effective and timely response to public health events, </w:t>
      </w:r>
      <w:r>
        <w:rPr>
          <w:rFonts w:cstheme="minorHAnsi"/>
        </w:rPr>
        <w:t>CASPERs o</w:t>
      </w:r>
      <w:r>
        <w:t xml:space="preserve">ften need to be initiated within hours or days of the request. </w:t>
      </w:r>
      <w:r w:rsidR="00B945F2" w:rsidRPr="00B945F2">
        <w:t xml:space="preserve">Because of the need to rapidly obtain information to appropriately respond to the urgent public health need, data collection will usually be completed within </w:t>
      </w:r>
      <w:r w:rsidR="00B945F2">
        <w:t>180</w:t>
      </w:r>
      <w:r w:rsidR="00B945F2" w:rsidRPr="00B945F2">
        <w:t xml:space="preserve"> days. </w:t>
      </w:r>
    </w:p>
    <w:p w:rsidR="00B945F2" w:rsidRDefault="00B945F2" w:rsidP="00C75259">
      <w:pPr>
        <w:spacing w:after="0" w:line="240" w:lineRule="auto"/>
      </w:pPr>
    </w:p>
    <w:p w:rsidR="00C75259" w:rsidRDefault="00C75259" w:rsidP="00C75259">
      <w:pPr>
        <w:spacing w:after="0" w:line="240" w:lineRule="auto"/>
      </w:pPr>
      <w:r>
        <w:t xml:space="preserve">To ensure that public health data are collected in a timely manner as necessary to protect the health of the public, </w:t>
      </w:r>
      <w:r w:rsidR="005748B2">
        <w:t>CASPERs will</w:t>
      </w:r>
      <w:r>
        <w:t xml:space="preserve"> adhere to the following timeline and processes:</w:t>
      </w:r>
    </w:p>
    <w:p w:rsidR="00C75259" w:rsidRDefault="00C75259" w:rsidP="00C75259">
      <w:pPr>
        <w:pStyle w:val="ListParagraph"/>
        <w:numPr>
          <w:ilvl w:val="0"/>
          <w:numId w:val="41"/>
        </w:numPr>
        <w:spacing w:after="0" w:line="240" w:lineRule="auto"/>
        <w:ind w:hanging="360"/>
      </w:pPr>
      <w:r>
        <w:t xml:space="preserve">At the request of </w:t>
      </w:r>
      <w:r w:rsidR="00D3061D">
        <w:t xml:space="preserve">a </w:t>
      </w:r>
      <w:r w:rsidR="0099019C">
        <w:t>STLT</w:t>
      </w:r>
      <w:r w:rsidR="00D3061D" w:rsidRPr="006C549B">
        <w:rPr>
          <w:rFonts w:eastAsia="Arial Unicode MS" w:cstheme="minorHAnsi"/>
          <w:color w:val="000000"/>
          <w:u w:color="000000"/>
        </w:rPr>
        <w:t xml:space="preserve"> or international health authority</w:t>
      </w:r>
      <w:r w:rsidRPr="00692153">
        <w:t>, NCEH decides to</w:t>
      </w:r>
      <w:r>
        <w:t xml:space="preserve"> organize and deploy a team to conduct or assist with a CASPER.</w:t>
      </w:r>
    </w:p>
    <w:p w:rsidR="00FF6B4A" w:rsidRDefault="00C75259" w:rsidP="00C75259">
      <w:pPr>
        <w:pStyle w:val="ListParagraph"/>
        <w:numPr>
          <w:ilvl w:val="0"/>
          <w:numId w:val="41"/>
        </w:numPr>
        <w:spacing w:after="0" w:line="240" w:lineRule="auto"/>
        <w:ind w:hanging="360"/>
      </w:pPr>
      <w:r>
        <w:t>The OMB Desk officer is notified of the CASPER immediately via e-mail from CDC</w:t>
      </w:r>
      <w:r w:rsidR="00FF6B4A">
        <w:t>.</w:t>
      </w:r>
      <w:r>
        <w:t xml:space="preserve"> </w:t>
      </w:r>
    </w:p>
    <w:p w:rsidR="00294F96" w:rsidRDefault="00E85CE5" w:rsidP="00FF6B4A">
      <w:pPr>
        <w:pStyle w:val="ListParagraph"/>
        <w:numPr>
          <w:ilvl w:val="0"/>
          <w:numId w:val="41"/>
        </w:numPr>
        <w:spacing w:after="0" w:line="240" w:lineRule="auto"/>
        <w:ind w:hanging="360"/>
      </w:pPr>
      <w:r>
        <w:t>D</w:t>
      </w:r>
      <w:r w:rsidR="0039576C">
        <w:t>raft data collection instrument</w:t>
      </w:r>
      <w:r>
        <w:t xml:space="preserve">(s), a letter </w:t>
      </w:r>
      <w:r w:rsidRPr="00A71B4A">
        <w:rPr>
          <w:rFonts w:eastAsia="Times New Roman" w:cstheme="minorHAnsi"/>
          <w:color w:val="000000"/>
        </w:rPr>
        <w:t xml:space="preserve">of invitation from </w:t>
      </w:r>
      <w:r>
        <w:rPr>
          <w:rFonts w:eastAsia="Times New Roman" w:cstheme="minorHAnsi"/>
          <w:color w:val="000000"/>
        </w:rPr>
        <w:t>an STLT</w:t>
      </w:r>
      <w:r w:rsidRPr="00A71B4A">
        <w:rPr>
          <w:rFonts w:eastAsia="Times New Roman" w:cstheme="minorHAnsi"/>
          <w:color w:val="000000"/>
        </w:rPr>
        <w:t xml:space="preserve"> or </w:t>
      </w:r>
      <w:r>
        <w:rPr>
          <w:rFonts w:eastAsia="Times New Roman" w:cstheme="minorHAnsi"/>
          <w:color w:val="000000"/>
        </w:rPr>
        <w:t>international health authority (s</w:t>
      </w:r>
      <w:r w:rsidRPr="00A71B4A">
        <w:rPr>
          <w:rFonts w:eastAsia="Times New Roman" w:cstheme="minorHAnsi"/>
          <w:color w:val="000000"/>
        </w:rPr>
        <w:t>ensitive information in the Letter of Invitation not appropriate for public dissemination should be redacted prior to sending)</w:t>
      </w:r>
      <w:r>
        <w:rPr>
          <w:rFonts w:eastAsia="Times New Roman" w:cstheme="minorHAnsi"/>
          <w:color w:val="000000"/>
        </w:rPr>
        <w:t>,</w:t>
      </w:r>
      <w:r w:rsidR="0039576C">
        <w:t xml:space="preserve"> </w:t>
      </w:r>
      <w:r w:rsidR="00FF6B4A">
        <w:t xml:space="preserve">and the generic information collection (Gen ICR) “Request for Approval under Generic Clearance for CASPER” form (Attachment G) describing the problem and the planned response </w:t>
      </w:r>
      <w:r w:rsidR="0039576C">
        <w:t>will be submitted to</w:t>
      </w:r>
      <w:r w:rsidR="00816F42">
        <w:t xml:space="preserve"> OMB</w:t>
      </w:r>
      <w:r w:rsidR="0039576C">
        <w:t xml:space="preserve">. </w:t>
      </w:r>
    </w:p>
    <w:p w:rsidR="00294F96" w:rsidRPr="00BB0482" w:rsidRDefault="00294F96" w:rsidP="00BB0482">
      <w:pPr>
        <w:pStyle w:val="ListParagraph"/>
        <w:numPr>
          <w:ilvl w:val="0"/>
          <w:numId w:val="41"/>
        </w:numPr>
        <w:spacing w:after="0" w:line="240" w:lineRule="auto"/>
        <w:ind w:hanging="360"/>
        <w:rPr>
          <w:rFonts w:eastAsia="Times New Roman" w:cstheme="minorHAnsi"/>
          <w:color w:val="000000"/>
        </w:rPr>
      </w:pPr>
      <w:r w:rsidRPr="00BB0482">
        <w:rPr>
          <w:rFonts w:eastAsia="Times New Roman" w:cstheme="minorHAnsi"/>
          <w:color w:val="000000"/>
        </w:rPr>
        <w:t>CDC staff may deploy to the field and begin planning the CASPER and finalize the collection instrument based on the requesting organization’s CASPER objectives before the request is submitted to OMB. Once the data collection instrument has been finalized, submit the final version to OMB.</w:t>
      </w:r>
    </w:p>
    <w:p w:rsidR="00C75259" w:rsidRDefault="00C75259" w:rsidP="00C75259">
      <w:pPr>
        <w:pStyle w:val="ListParagraph"/>
        <w:numPr>
          <w:ilvl w:val="0"/>
          <w:numId w:val="41"/>
        </w:numPr>
        <w:spacing w:after="0" w:line="240" w:lineRule="auto"/>
        <w:ind w:hanging="360"/>
      </w:pPr>
      <w:r>
        <w:t xml:space="preserve">The OMB desk officer responds with approval or comments on the proposed </w:t>
      </w:r>
      <w:r w:rsidR="00E2315D">
        <w:t>CASPER</w:t>
      </w:r>
      <w:r>
        <w:t xml:space="preserve"> within </w:t>
      </w:r>
      <w:r w:rsidR="00260B24">
        <w:t xml:space="preserve">5 </w:t>
      </w:r>
      <w:r w:rsidR="00BC2322">
        <w:t xml:space="preserve">business </w:t>
      </w:r>
      <w:bookmarkStart w:id="8" w:name="_GoBack"/>
      <w:bookmarkEnd w:id="8"/>
      <w:r w:rsidR="00A7422A">
        <w:t xml:space="preserve">days </w:t>
      </w:r>
      <w:r w:rsidR="00F72685">
        <w:t>of receipt of the final data collection instrument</w:t>
      </w:r>
      <w:r w:rsidR="009079A8">
        <w:rPr>
          <w:rFonts w:eastAsia="Times New Roman" w:cstheme="minorHAnsi"/>
          <w:color w:val="000000"/>
        </w:rPr>
        <w:t>, unless the request is for a shorter time frame (i.e., 24 or 72 hours)</w:t>
      </w:r>
      <w:r w:rsidR="009079A8" w:rsidRPr="004C448C">
        <w:rPr>
          <w:rFonts w:eastAsia="Times New Roman" w:cstheme="minorHAnsi"/>
          <w:color w:val="000000"/>
        </w:rPr>
        <w:t>.</w:t>
      </w:r>
      <w:r w:rsidR="009079A8">
        <w:rPr>
          <w:rFonts w:eastAsia="Times New Roman" w:cstheme="minorHAnsi"/>
          <w:color w:val="000000"/>
        </w:rPr>
        <w:t xml:space="preserve">  </w:t>
      </w:r>
      <w:r w:rsidR="009079A8" w:rsidRPr="00685F37">
        <w:rPr>
          <w:rFonts w:eastAsia="Times New Roman" w:cstheme="minorHAnsi"/>
          <w:i/>
        </w:rPr>
        <w:t>If a 24- or 72-hour approval is requested, an explanation must be provided as to why it is needed.  Specifically, CDC must make a case as to why collection must begin within 24 to 72 hours, and it must be r</w:t>
      </w:r>
      <w:r w:rsidR="009079A8">
        <w:rPr>
          <w:rFonts w:eastAsia="Times New Roman" w:cstheme="minorHAnsi"/>
          <w:i/>
        </w:rPr>
        <w:t xml:space="preserve">elated to a public health </w:t>
      </w:r>
      <w:r w:rsidR="00E85CE5">
        <w:rPr>
          <w:rFonts w:eastAsia="Times New Roman" w:cstheme="minorHAnsi"/>
          <w:i/>
        </w:rPr>
        <w:lastRenderedPageBreak/>
        <w:t>need</w:t>
      </w:r>
      <w:r>
        <w:t xml:space="preserve">. </w:t>
      </w:r>
      <w:r w:rsidR="00E85CE5" w:rsidRPr="004C448C">
        <w:rPr>
          <w:rFonts w:eastAsia="Times New Roman" w:cstheme="minorHAnsi"/>
          <w:color w:val="000000"/>
        </w:rPr>
        <w:t>Data collection cannot begin until OMB has approved the information. OMB may provide approval and comments orally (followed by e-mail for written documentation) or e-mail directly to CDC</w:t>
      </w:r>
      <w:r w:rsidR="00E85CE5">
        <w:rPr>
          <w:rFonts w:eastAsia="Times New Roman" w:cstheme="minorHAnsi"/>
          <w:color w:val="000000"/>
        </w:rPr>
        <w:t xml:space="preserve">. </w:t>
      </w:r>
      <w:r>
        <w:t xml:space="preserve">This may occur before the </w:t>
      </w:r>
      <w:r w:rsidR="00677EE8">
        <w:t>Gen ICR</w:t>
      </w:r>
      <w:r>
        <w:t xml:space="preserve"> request is submitted and received by OMB through the official ICR tracking system</w:t>
      </w:r>
      <w:r w:rsidR="00D74601">
        <w:t xml:space="preserve">. </w:t>
      </w:r>
    </w:p>
    <w:p w:rsidR="00C75259" w:rsidRDefault="00C75259" w:rsidP="00C75259">
      <w:pPr>
        <w:pStyle w:val="ListParagraph"/>
        <w:numPr>
          <w:ilvl w:val="0"/>
          <w:numId w:val="41"/>
        </w:numPr>
        <w:spacing w:after="0" w:line="240" w:lineRule="auto"/>
        <w:ind w:hanging="360"/>
      </w:pPr>
      <w:r>
        <w:t xml:space="preserve">At the completion of the CASPER, the investigators submit the final data collection instrument(s) and associated burden using the “Burden Memo” form </w:t>
      </w:r>
      <w:r w:rsidR="008B4F20">
        <w:t xml:space="preserve">(Attachment H) </w:t>
      </w:r>
      <w:r>
        <w:t>to</w:t>
      </w:r>
      <w:r w:rsidR="00B73268">
        <w:t xml:space="preserve"> the</w:t>
      </w:r>
      <w:r>
        <w:t xml:space="preserve"> I</w:t>
      </w:r>
      <w:r w:rsidR="00B945F2">
        <w:t xml:space="preserve">nformation </w:t>
      </w:r>
      <w:r>
        <w:t>C</w:t>
      </w:r>
      <w:r w:rsidR="00B945F2">
        <w:t xml:space="preserve">ollection </w:t>
      </w:r>
      <w:r>
        <w:t>R</w:t>
      </w:r>
      <w:r w:rsidR="00B945F2">
        <w:t xml:space="preserve">equest </w:t>
      </w:r>
      <w:r w:rsidR="00B06C13">
        <w:t>Liaison</w:t>
      </w:r>
      <w:r w:rsidR="00B945F2">
        <w:t xml:space="preserve"> (ICRL)</w:t>
      </w:r>
      <w:r w:rsidR="002727DA">
        <w:t xml:space="preserve">. </w:t>
      </w:r>
    </w:p>
    <w:p w:rsidR="00C75259" w:rsidRDefault="00C75259" w:rsidP="00C75259">
      <w:pPr>
        <w:pStyle w:val="ListParagraph"/>
        <w:numPr>
          <w:ilvl w:val="0"/>
          <w:numId w:val="41"/>
        </w:numPr>
        <w:spacing w:after="0" w:line="240" w:lineRule="auto"/>
        <w:ind w:hanging="360"/>
      </w:pPr>
      <w:r>
        <w:t xml:space="preserve">CDC maintains a library of data collection instruments that includes all final data collection instruments conducted under this </w:t>
      </w:r>
      <w:r w:rsidR="00824495">
        <w:t>g</w:t>
      </w:r>
      <w:r>
        <w:t>eneric ICR</w:t>
      </w:r>
      <w:r w:rsidR="002727DA">
        <w:t xml:space="preserve">. </w:t>
      </w:r>
      <w:r>
        <w:t>This library and the updated burden numbers based on data c</w:t>
      </w:r>
      <w:r w:rsidR="00E2315D">
        <w:t>ollected via the “Burden Memo”</w:t>
      </w:r>
      <w:r w:rsidR="00B945F2">
        <w:t xml:space="preserve"> (Attachment </w:t>
      </w:r>
      <w:r w:rsidR="009308BF">
        <w:t>H</w:t>
      </w:r>
      <w:r w:rsidR="00B945F2">
        <w:t>)</w:t>
      </w:r>
      <w:r w:rsidR="00E2315D">
        <w:t xml:space="preserve"> </w:t>
      </w:r>
      <w:r>
        <w:t>submitted to OMB quarterly as a</w:t>
      </w:r>
      <w:r w:rsidR="00824495">
        <w:t xml:space="preserve"> non-substantive change to the g</w:t>
      </w:r>
      <w:r>
        <w:t>eneric ICR.</w:t>
      </w:r>
    </w:p>
    <w:p w:rsidR="00C75259" w:rsidRDefault="00C75259" w:rsidP="00C75259">
      <w:pPr>
        <w:spacing w:after="0" w:line="240" w:lineRule="auto"/>
      </w:pPr>
    </w:p>
    <w:p w:rsidR="00B945F2" w:rsidRDefault="00C75259" w:rsidP="00350142">
      <w:pPr>
        <w:spacing w:after="0" w:line="240" w:lineRule="auto"/>
      </w:pPr>
      <w:r>
        <w:t xml:space="preserve">A CDC staff person serves in the role of </w:t>
      </w:r>
      <w:r w:rsidR="00B945F2">
        <w:t xml:space="preserve">CASPER </w:t>
      </w:r>
      <w:r>
        <w:t>ICRL</w:t>
      </w:r>
      <w:r w:rsidR="002727DA">
        <w:t xml:space="preserve">. </w:t>
      </w:r>
      <w:r>
        <w:t>The ICRL oversees the clearance process for individual</w:t>
      </w:r>
      <w:r w:rsidR="00824495">
        <w:t xml:space="preserve"> </w:t>
      </w:r>
      <w:r w:rsidR="00677EE8">
        <w:t>Gen ICR</w:t>
      </w:r>
      <w:r w:rsidR="00824495">
        <w:t>s. Information about the g</w:t>
      </w:r>
      <w:r>
        <w:t xml:space="preserve">eneric ICR and how to submit a </w:t>
      </w:r>
      <w:r w:rsidR="00677EE8">
        <w:t>Gen ICR</w:t>
      </w:r>
      <w:r>
        <w:t xml:space="preserve"> is distri</w:t>
      </w:r>
      <w:r w:rsidR="00E2315D">
        <w:t>buted to CDC program officials</w:t>
      </w:r>
      <w:r w:rsidR="008B4F20">
        <w:t xml:space="preserve"> (Attachment I)</w:t>
      </w:r>
      <w:r>
        <w:t xml:space="preserve">. The ICRL maintains a library of data collection forms that may be accessed by CDC programs initiating new </w:t>
      </w:r>
      <w:r w:rsidR="00B945F2">
        <w:t>CASPERs</w:t>
      </w:r>
      <w:r>
        <w:t>. Upon the completion of a</w:t>
      </w:r>
      <w:r w:rsidR="008B4F20">
        <w:t xml:space="preserve"> CASPER</w:t>
      </w:r>
      <w:r>
        <w:t>, the ICRL places the data collection instruments into the library.</w:t>
      </w:r>
    </w:p>
    <w:p w:rsidR="00B945F2" w:rsidRDefault="00B945F2" w:rsidP="00350142">
      <w:pPr>
        <w:spacing w:after="0" w:line="240" w:lineRule="auto"/>
      </w:pPr>
    </w:p>
    <w:p w:rsidR="00C75259" w:rsidRDefault="00B945F2" w:rsidP="00350142">
      <w:pPr>
        <w:spacing w:after="0" w:line="240" w:lineRule="auto"/>
      </w:pPr>
      <w:r w:rsidRPr="00B945F2">
        <w:t xml:space="preserve">Each </w:t>
      </w:r>
      <w:r>
        <w:t>CASPER</w:t>
      </w:r>
      <w:r w:rsidRPr="00B945F2">
        <w:t xml:space="preserve"> request is closely reviewed by the ICRL. The “Request for </w:t>
      </w:r>
      <w:r>
        <w:t xml:space="preserve">CASPER” form (Attachment </w:t>
      </w:r>
      <w:r w:rsidR="00692153">
        <w:t>G</w:t>
      </w:r>
      <w:r>
        <w:t xml:space="preserve">) serves as the </w:t>
      </w:r>
      <w:r w:rsidR="00677EE8">
        <w:t>Gen ICR</w:t>
      </w:r>
      <w:r w:rsidRPr="00B945F2">
        <w:t xml:space="preserve"> package for each </w:t>
      </w:r>
      <w:r>
        <w:t>individual CASPER</w:t>
      </w:r>
      <w:r w:rsidRPr="00B945F2">
        <w:t xml:space="preserve"> investigation</w:t>
      </w:r>
      <w:r w:rsidR="003251E1">
        <w:t xml:space="preserve">. </w:t>
      </w:r>
    </w:p>
    <w:p w:rsidR="00E2315D" w:rsidRPr="00481971" w:rsidRDefault="00E2315D" w:rsidP="00350142">
      <w:pPr>
        <w:spacing w:after="0" w:line="240" w:lineRule="auto"/>
      </w:pPr>
    </w:p>
    <w:p w:rsidR="00C9554F" w:rsidRPr="002516BC" w:rsidRDefault="00C9554F" w:rsidP="00350142">
      <w:pPr>
        <w:pStyle w:val="Heading1"/>
        <w:spacing w:before="0" w:line="240" w:lineRule="auto"/>
      </w:pPr>
      <w:bookmarkStart w:id="9" w:name="_Toc403138201"/>
      <w:r w:rsidRPr="002516BC">
        <w:t>A.8 Comments in Response to the Federal Register Notice and Efforts to Consult Outside the Agency</w:t>
      </w:r>
      <w:bookmarkEnd w:id="9"/>
      <w:r w:rsidRPr="002516BC">
        <w:tab/>
      </w:r>
    </w:p>
    <w:p w:rsidR="000A7409" w:rsidRDefault="000A7409" w:rsidP="00350142">
      <w:pPr>
        <w:spacing w:after="0" w:line="240" w:lineRule="auto"/>
      </w:pPr>
    </w:p>
    <w:p w:rsidR="0033189B" w:rsidRDefault="007C0717" w:rsidP="00350142">
      <w:pPr>
        <w:spacing w:after="0" w:line="240" w:lineRule="auto"/>
      </w:pPr>
      <w:r w:rsidRPr="00692153">
        <w:rPr>
          <w:rFonts w:cstheme="minorHAnsi"/>
        </w:rPr>
        <w:t>A</w:t>
      </w:r>
      <w:r w:rsidR="002727DA" w:rsidRPr="00692153">
        <w:rPr>
          <w:rFonts w:cstheme="minorHAnsi"/>
        </w:rPr>
        <w:t xml:space="preserve">. </w:t>
      </w:r>
      <w:r w:rsidRPr="00692153">
        <w:t xml:space="preserve">The </w:t>
      </w:r>
      <w:r w:rsidR="001502E2" w:rsidRPr="00692153">
        <w:t xml:space="preserve">60-day Federal Register Notice was published in the </w:t>
      </w:r>
      <w:r w:rsidR="001502E2" w:rsidRPr="00692153">
        <w:rPr>
          <w:i/>
        </w:rPr>
        <w:t>Federal Register</w:t>
      </w:r>
      <w:r w:rsidR="001502E2" w:rsidRPr="00692153">
        <w:t xml:space="preserve"> on </w:t>
      </w:r>
      <w:r w:rsidR="0014302C">
        <w:t>April</w:t>
      </w:r>
      <w:r w:rsidR="001502E2" w:rsidRPr="00692153">
        <w:t xml:space="preserve">, </w:t>
      </w:r>
      <w:r w:rsidR="0014302C">
        <w:t>2</w:t>
      </w:r>
      <w:r w:rsidR="001502E2" w:rsidRPr="00692153">
        <w:t xml:space="preserve">, </w:t>
      </w:r>
      <w:r w:rsidR="0014302C">
        <w:t>2014</w:t>
      </w:r>
      <w:r w:rsidR="001502E2" w:rsidRPr="00692153">
        <w:t xml:space="preserve">, Vol. </w:t>
      </w:r>
      <w:r w:rsidR="0014302C">
        <w:t>79</w:t>
      </w:r>
      <w:r w:rsidR="001502E2" w:rsidRPr="00692153">
        <w:t xml:space="preserve">, No. </w:t>
      </w:r>
      <w:r w:rsidR="0014302C">
        <w:t>63</w:t>
      </w:r>
      <w:r w:rsidR="001502E2" w:rsidRPr="00692153">
        <w:t xml:space="preserve">, pp. </w:t>
      </w:r>
      <w:r w:rsidR="0014302C">
        <w:t>18553–18554</w:t>
      </w:r>
      <w:r w:rsidR="001502E2" w:rsidRPr="00692153">
        <w:t xml:space="preserve"> (See</w:t>
      </w:r>
      <w:r w:rsidR="001502E2">
        <w:t xml:space="preserve"> Attachment </w:t>
      </w:r>
      <w:r w:rsidR="002E30F4">
        <w:t>B</w:t>
      </w:r>
      <w:r w:rsidR="001502E2">
        <w:t xml:space="preserve">). </w:t>
      </w:r>
      <w:r w:rsidR="009308BF">
        <w:t>Public comments were not received.</w:t>
      </w:r>
    </w:p>
    <w:p w:rsidR="005B1361" w:rsidRDefault="005B1361" w:rsidP="00350142">
      <w:pPr>
        <w:spacing w:after="0" w:line="240" w:lineRule="auto"/>
      </w:pPr>
    </w:p>
    <w:p w:rsidR="005B1361" w:rsidRDefault="007C0717" w:rsidP="00350142">
      <w:pPr>
        <w:autoSpaceDE w:val="0"/>
        <w:autoSpaceDN w:val="0"/>
        <w:spacing w:after="0" w:line="240" w:lineRule="auto"/>
        <w:ind w:right="720"/>
        <w:rPr>
          <w:rFonts w:cstheme="minorHAnsi"/>
        </w:rPr>
      </w:pPr>
      <w:r>
        <w:rPr>
          <w:rFonts w:cstheme="minorHAnsi"/>
        </w:rPr>
        <w:t>B</w:t>
      </w:r>
      <w:r w:rsidR="002727DA">
        <w:rPr>
          <w:rFonts w:cstheme="minorHAnsi"/>
        </w:rPr>
        <w:t xml:space="preserve">. </w:t>
      </w:r>
      <w:r w:rsidR="005B1361" w:rsidRPr="005B1361">
        <w:rPr>
          <w:rFonts w:cstheme="minorHAnsi"/>
        </w:rPr>
        <w:t xml:space="preserve">CDC partners with professional </w:t>
      </w:r>
      <w:r w:rsidR="008D2647">
        <w:rPr>
          <w:rFonts w:cstheme="minorHAnsi"/>
        </w:rPr>
        <w:t>state,</w:t>
      </w:r>
      <w:r w:rsidR="0099019C">
        <w:rPr>
          <w:rFonts w:cstheme="minorHAnsi"/>
        </w:rPr>
        <w:t xml:space="preserve"> tribal,</w:t>
      </w:r>
      <w:r w:rsidR="008D2647">
        <w:rPr>
          <w:rFonts w:cstheme="minorHAnsi"/>
        </w:rPr>
        <w:t xml:space="preserve"> </w:t>
      </w:r>
      <w:r w:rsidR="00B92FB4">
        <w:rPr>
          <w:rFonts w:cstheme="minorHAnsi"/>
        </w:rPr>
        <w:t>local,</w:t>
      </w:r>
      <w:r w:rsidR="008D2647">
        <w:rPr>
          <w:rFonts w:cstheme="minorHAnsi"/>
        </w:rPr>
        <w:t xml:space="preserve"> and territorial</w:t>
      </w:r>
      <w:r w:rsidR="005B1361" w:rsidRPr="005B1361">
        <w:rPr>
          <w:rFonts w:cstheme="minorHAnsi"/>
        </w:rPr>
        <w:t xml:space="preserve"> organizations</w:t>
      </w:r>
      <w:r w:rsidR="00B92FB4">
        <w:rPr>
          <w:rFonts w:cstheme="minorHAnsi"/>
        </w:rPr>
        <w:t xml:space="preserve"> (S</w:t>
      </w:r>
      <w:r w:rsidR="0099019C">
        <w:rPr>
          <w:rFonts w:cstheme="minorHAnsi"/>
        </w:rPr>
        <w:t>TLT</w:t>
      </w:r>
      <w:r w:rsidR="00B92FB4">
        <w:rPr>
          <w:rFonts w:cstheme="minorHAnsi"/>
        </w:rPr>
        <w:t>)</w:t>
      </w:r>
      <w:r w:rsidR="005B1361" w:rsidRPr="005B1361">
        <w:rPr>
          <w:rFonts w:cstheme="minorHAnsi"/>
        </w:rPr>
        <w:t>, such as the Council for State and Territorial Epidemiologists (CSTE)</w:t>
      </w:r>
      <w:r>
        <w:rPr>
          <w:rFonts w:cstheme="minorHAnsi"/>
        </w:rPr>
        <w:t>,</w:t>
      </w:r>
      <w:r w:rsidR="005B1361" w:rsidRPr="005B1361">
        <w:rPr>
          <w:rFonts w:cstheme="minorHAnsi"/>
        </w:rPr>
        <w:t xml:space="preserve"> and national groups</w:t>
      </w:r>
      <w:r>
        <w:rPr>
          <w:rFonts w:cstheme="minorHAnsi"/>
        </w:rPr>
        <w:t>,</w:t>
      </w:r>
      <w:r w:rsidR="005B1361" w:rsidRPr="005B1361">
        <w:rPr>
          <w:rFonts w:cstheme="minorHAnsi"/>
        </w:rPr>
        <w:t xml:space="preserve"> such as the CDC Disaster Epidemiology Community of Practice</w:t>
      </w:r>
      <w:r w:rsidR="005748B2">
        <w:rPr>
          <w:rFonts w:cstheme="minorHAnsi"/>
        </w:rPr>
        <w:t xml:space="preserve">. The CDC Disaster Epidemiology Community of </w:t>
      </w:r>
      <w:r w:rsidR="009308BF">
        <w:rPr>
          <w:rFonts w:cstheme="minorHAnsi"/>
        </w:rPr>
        <w:t>P</w:t>
      </w:r>
      <w:r w:rsidR="005748B2">
        <w:rPr>
          <w:rFonts w:cstheme="minorHAnsi"/>
        </w:rPr>
        <w:t>ractice</w:t>
      </w:r>
      <w:r w:rsidR="005B1361" w:rsidRPr="005B1361">
        <w:rPr>
          <w:rFonts w:cstheme="minorHAnsi"/>
        </w:rPr>
        <w:t xml:space="preserve"> includes internal and external partners to ensure that the collection requests</w:t>
      </w:r>
      <w:r w:rsidR="00D322AC">
        <w:rPr>
          <w:rFonts w:cstheme="minorHAnsi"/>
        </w:rPr>
        <w:t xml:space="preserve"> </w:t>
      </w:r>
      <w:r w:rsidR="00DB5493">
        <w:rPr>
          <w:rFonts w:cstheme="minorHAnsi"/>
        </w:rPr>
        <w:t xml:space="preserve">under </w:t>
      </w:r>
      <w:r w:rsidR="00DB5493" w:rsidRPr="00442BDA">
        <w:rPr>
          <w:rFonts w:cstheme="minorHAnsi"/>
        </w:rPr>
        <w:t>Gen</w:t>
      </w:r>
      <w:r w:rsidR="00677EE8">
        <w:rPr>
          <w:rFonts w:cstheme="minorHAnsi"/>
        </w:rPr>
        <w:t xml:space="preserve"> ICR</w:t>
      </w:r>
      <w:r w:rsidR="00442BDA" w:rsidRPr="00442BDA">
        <w:rPr>
          <w:rFonts w:cstheme="minorHAnsi"/>
        </w:rPr>
        <w:t>s</w:t>
      </w:r>
      <w:r w:rsidR="005B1361" w:rsidRPr="00442BDA">
        <w:rPr>
          <w:rFonts w:cstheme="minorHAnsi"/>
        </w:rPr>
        <w:t xml:space="preserve"> are</w:t>
      </w:r>
      <w:r w:rsidR="005B1361" w:rsidRPr="005B1361">
        <w:rPr>
          <w:rFonts w:cstheme="minorHAnsi"/>
        </w:rPr>
        <w:t xml:space="preserve"> not in conflict with collections they have or will have in the field within the same timeframe</w:t>
      </w:r>
      <w:r w:rsidR="002727DA">
        <w:rPr>
          <w:rFonts w:cstheme="minorHAnsi"/>
        </w:rPr>
        <w:t xml:space="preserve">. </w:t>
      </w:r>
    </w:p>
    <w:p w:rsidR="005B1361" w:rsidRPr="005B1361" w:rsidRDefault="005B1361" w:rsidP="00350142">
      <w:pPr>
        <w:autoSpaceDE w:val="0"/>
        <w:autoSpaceDN w:val="0"/>
        <w:spacing w:after="0" w:line="240" w:lineRule="auto"/>
        <w:ind w:right="720"/>
        <w:rPr>
          <w:rFonts w:cstheme="minorHAnsi"/>
        </w:rPr>
      </w:pPr>
    </w:p>
    <w:p w:rsidR="005B1361" w:rsidRDefault="005B1361" w:rsidP="00350142">
      <w:pPr>
        <w:autoSpaceDE w:val="0"/>
        <w:autoSpaceDN w:val="0"/>
        <w:spacing w:after="0" w:line="240" w:lineRule="auto"/>
        <w:ind w:right="720"/>
        <w:rPr>
          <w:rFonts w:cstheme="minorHAnsi"/>
        </w:rPr>
      </w:pPr>
      <w:r w:rsidRPr="005B1361">
        <w:rPr>
          <w:rFonts w:cstheme="minorHAnsi"/>
        </w:rPr>
        <w:t>Below is</w:t>
      </w:r>
      <w:r w:rsidR="00692153">
        <w:rPr>
          <w:rFonts w:cstheme="minorHAnsi"/>
        </w:rPr>
        <w:t xml:space="preserve"> a list of individuals outside </w:t>
      </w:r>
      <w:r w:rsidR="00B06C13">
        <w:rPr>
          <w:rFonts w:cstheme="minorHAnsi"/>
        </w:rPr>
        <w:t>the NCEH</w:t>
      </w:r>
      <w:r w:rsidRPr="005B1361">
        <w:rPr>
          <w:rFonts w:cstheme="minorHAnsi"/>
        </w:rPr>
        <w:t xml:space="preserve"> who were consulted to obtain their views on the availability of data, the clarity of instructions and information, and the completeness of the material.</w:t>
      </w:r>
    </w:p>
    <w:p w:rsidR="005B1361" w:rsidRPr="005B1361" w:rsidRDefault="005B1361" w:rsidP="00350142">
      <w:pPr>
        <w:autoSpaceDE w:val="0"/>
        <w:autoSpaceDN w:val="0"/>
        <w:spacing w:after="0" w:line="240" w:lineRule="auto"/>
        <w:ind w:right="720"/>
        <w:rPr>
          <w:rFonts w:cstheme="minorHAnsi"/>
        </w:rPr>
      </w:pPr>
    </w:p>
    <w:p w:rsidR="00F32B27" w:rsidRDefault="005B1361" w:rsidP="00350142">
      <w:pPr>
        <w:spacing w:after="0" w:line="240" w:lineRule="auto"/>
        <w:rPr>
          <w:rFonts w:cstheme="minorHAnsi"/>
        </w:rPr>
      </w:pPr>
      <w:r w:rsidRPr="00546785">
        <w:rPr>
          <w:rFonts w:cstheme="minorHAnsi"/>
          <w:i/>
        </w:rPr>
        <w:t>David Zane</w:t>
      </w:r>
      <w:r w:rsidR="00F32B27">
        <w:rPr>
          <w:rFonts w:cstheme="minorHAnsi"/>
        </w:rPr>
        <w:t>, MS</w:t>
      </w:r>
    </w:p>
    <w:p w:rsidR="005B1361" w:rsidRDefault="005B1361" w:rsidP="00350142">
      <w:pPr>
        <w:spacing w:after="0" w:line="240" w:lineRule="auto"/>
        <w:rPr>
          <w:rFonts w:cstheme="minorHAnsi"/>
        </w:rPr>
      </w:pPr>
      <w:r w:rsidRPr="005B1361">
        <w:rPr>
          <w:rFonts w:cstheme="minorHAnsi"/>
        </w:rPr>
        <w:t>Epidemiologist</w:t>
      </w:r>
      <w:r w:rsidR="00F32B27">
        <w:rPr>
          <w:rFonts w:cstheme="minorHAnsi"/>
        </w:rPr>
        <w:t xml:space="preserve">, </w:t>
      </w:r>
      <w:r w:rsidRPr="005B1361">
        <w:rPr>
          <w:rFonts w:cstheme="minorHAnsi"/>
        </w:rPr>
        <w:t>Community Preparedness Section</w:t>
      </w:r>
      <w:r>
        <w:rPr>
          <w:rFonts w:cstheme="minorHAnsi"/>
        </w:rPr>
        <w:br/>
      </w:r>
      <w:r w:rsidR="00F32B27">
        <w:rPr>
          <w:rFonts w:cstheme="minorHAnsi"/>
        </w:rPr>
        <w:t>Division for Regional and</w:t>
      </w:r>
      <w:r w:rsidRPr="005B1361">
        <w:rPr>
          <w:rFonts w:cstheme="minorHAnsi"/>
        </w:rPr>
        <w:t xml:space="preserve"> Local Health Services</w:t>
      </w:r>
    </w:p>
    <w:p w:rsidR="005B1361" w:rsidRPr="005B1361" w:rsidRDefault="005B1361" w:rsidP="00350142">
      <w:pPr>
        <w:spacing w:after="0" w:line="240" w:lineRule="auto"/>
        <w:rPr>
          <w:rFonts w:cstheme="minorHAnsi"/>
        </w:rPr>
      </w:pPr>
      <w:r w:rsidRPr="005B1361">
        <w:rPr>
          <w:rFonts w:cstheme="minorHAnsi"/>
        </w:rPr>
        <w:t>Texas Department of State Health Services</w:t>
      </w:r>
    </w:p>
    <w:p w:rsidR="005B1361" w:rsidRPr="005B1361" w:rsidRDefault="005B1361" w:rsidP="00350142">
      <w:pPr>
        <w:spacing w:after="0" w:line="240" w:lineRule="auto"/>
        <w:rPr>
          <w:rFonts w:cstheme="minorHAnsi"/>
        </w:rPr>
      </w:pPr>
      <w:r w:rsidRPr="005B1361">
        <w:rPr>
          <w:rFonts w:cstheme="minorHAnsi"/>
        </w:rPr>
        <w:t>P.O. Box 149347, Room G310 (Office A21) -</w:t>
      </w:r>
      <w:r w:rsidR="002516BC" w:rsidRPr="005B1361">
        <w:rPr>
          <w:rFonts w:cstheme="minorHAnsi"/>
        </w:rPr>
        <w:t> Mail</w:t>
      </w:r>
      <w:r w:rsidRPr="005B1361">
        <w:rPr>
          <w:rFonts w:cstheme="minorHAnsi"/>
        </w:rPr>
        <w:t xml:space="preserve"> Code 1926</w:t>
      </w:r>
    </w:p>
    <w:p w:rsidR="005B1361" w:rsidRPr="005B1361" w:rsidRDefault="005B1361" w:rsidP="00350142">
      <w:pPr>
        <w:spacing w:after="0" w:line="240" w:lineRule="auto"/>
        <w:rPr>
          <w:rFonts w:cstheme="minorHAnsi"/>
        </w:rPr>
      </w:pPr>
      <w:r w:rsidRPr="005B1361">
        <w:rPr>
          <w:rFonts w:cstheme="minorHAnsi"/>
        </w:rPr>
        <w:t>Austin, TX 78714-9347</w:t>
      </w:r>
    </w:p>
    <w:p w:rsidR="002516BC" w:rsidRDefault="002516BC" w:rsidP="00350142">
      <w:pPr>
        <w:spacing w:after="0" w:line="240" w:lineRule="auto"/>
        <w:rPr>
          <w:rFonts w:cstheme="minorHAnsi"/>
        </w:rPr>
      </w:pPr>
      <w:r>
        <w:rPr>
          <w:rFonts w:cstheme="minorHAnsi"/>
        </w:rPr>
        <w:t>Phone (512) 776-6422</w:t>
      </w:r>
    </w:p>
    <w:p w:rsidR="005B1361" w:rsidRDefault="002516BC" w:rsidP="00350142">
      <w:pPr>
        <w:spacing w:after="0" w:line="240" w:lineRule="auto"/>
        <w:rPr>
          <w:rFonts w:cstheme="minorHAnsi"/>
        </w:rPr>
      </w:pPr>
      <w:r>
        <w:rPr>
          <w:rFonts w:cstheme="minorHAnsi"/>
        </w:rPr>
        <w:t>Fax</w:t>
      </w:r>
      <w:r w:rsidR="005B1361" w:rsidRPr="005B1361">
        <w:rPr>
          <w:rFonts w:cstheme="minorHAnsi"/>
        </w:rPr>
        <w:t xml:space="preserve"> </w:t>
      </w:r>
      <w:r>
        <w:rPr>
          <w:rFonts w:cstheme="minorHAnsi"/>
        </w:rPr>
        <w:t xml:space="preserve">(512) </w:t>
      </w:r>
      <w:r w:rsidR="005B1361" w:rsidRPr="005B1361">
        <w:rPr>
          <w:rFonts w:cstheme="minorHAnsi"/>
        </w:rPr>
        <w:t>776-7419</w:t>
      </w:r>
    </w:p>
    <w:p w:rsidR="00986049" w:rsidRPr="009308BF" w:rsidRDefault="00986049" w:rsidP="00B06C13">
      <w:pPr>
        <w:spacing w:after="0" w:line="240" w:lineRule="auto"/>
        <w:rPr>
          <w:rFonts w:cstheme="minorHAnsi"/>
        </w:rPr>
      </w:pPr>
      <w:r w:rsidRPr="009308BF">
        <w:rPr>
          <w:rFonts w:cstheme="minorHAnsi"/>
        </w:rPr>
        <w:t>Consulted January 2014</w:t>
      </w:r>
    </w:p>
    <w:p w:rsidR="005B1361" w:rsidRPr="005B1361" w:rsidRDefault="005B1361" w:rsidP="00350142">
      <w:pPr>
        <w:spacing w:after="0" w:line="240" w:lineRule="auto"/>
        <w:rPr>
          <w:rFonts w:cstheme="minorHAnsi"/>
        </w:rPr>
      </w:pPr>
    </w:p>
    <w:p w:rsidR="005B1361" w:rsidRPr="005B1361" w:rsidRDefault="005B1361" w:rsidP="00350142">
      <w:pPr>
        <w:spacing w:after="0" w:line="240" w:lineRule="auto"/>
        <w:rPr>
          <w:rFonts w:cstheme="minorHAnsi"/>
        </w:rPr>
      </w:pPr>
      <w:r w:rsidRPr="00546785">
        <w:rPr>
          <w:rFonts w:cstheme="minorHAnsi"/>
          <w:i/>
        </w:rPr>
        <w:lastRenderedPageBreak/>
        <w:t>Jennifer A. Horney</w:t>
      </w:r>
      <w:r w:rsidRPr="005B1361">
        <w:rPr>
          <w:rFonts w:cstheme="minorHAnsi"/>
        </w:rPr>
        <w:t>, PhD, MPH</w:t>
      </w:r>
    </w:p>
    <w:p w:rsidR="005B1361" w:rsidRPr="005B1361" w:rsidRDefault="005B1361" w:rsidP="00350142">
      <w:pPr>
        <w:spacing w:after="0" w:line="240" w:lineRule="auto"/>
        <w:rPr>
          <w:rFonts w:cstheme="minorHAnsi"/>
        </w:rPr>
      </w:pPr>
      <w:r w:rsidRPr="005B1361">
        <w:rPr>
          <w:rFonts w:cstheme="minorHAnsi"/>
        </w:rPr>
        <w:t>Research Assistant Professor, Epidemiology and Institute for the Environment</w:t>
      </w:r>
    </w:p>
    <w:p w:rsidR="005B1361" w:rsidRPr="005B1361" w:rsidRDefault="005B1361" w:rsidP="00350142">
      <w:pPr>
        <w:spacing w:after="0" w:line="240" w:lineRule="auto"/>
        <w:rPr>
          <w:rFonts w:cstheme="minorHAnsi"/>
        </w:rPr>
      </w:pPr>
      <w:r w:rsidRPr="005B1361">
        <w:rPr>
          <w:rFonts w:cstheme="minorHAnsi"/>
        </w:rPr>
        <w:t>Manager, Research and Evaluation Unit, NC Institute for Public Health</w:t>
      </w:r>
    </w:p>
    <w:p w:rsidR="005B1361" w:rsidRPr="005B1361" w:rsidRDefault="005B1361" w:rsidP="00350142">
      <w:pPr>
        <w:spacing w:after="0" w:line="240" w:lineRule="auto"/>
        <w:rPr>
          <w:rFonts w:cstheme="minorHAnsi"/>
        </w:rPr>
      </w:pPr>
      <w:r w:rsidRPr="005B1361">
        <w:rPr>
          <w:rFonts w:cstheme="minorHAnsi"/>
        </w:rPr>
        <w:t>Campus Box #8165, 400 Roberson</w:t>
      </w:r>
    </w:p>
    <w:p w:rsidR="005B1361" w:rsidRPr="005B1361" w:rsidRDefault="005B1361" w:rsidP="00350142">
      <w:pPr>
        <w:spacing w:after="0" w:line="240" w:lineRule="auto"/>
        <w:rPr>
          <w:rFonts w:cstheme="minorHAnsi"/>
        </w:rPr>
      </w:pPr>
      <w:r w:rsidRPr="005B1361">
        <w:rPr>
          <w:rFonts w:cstheme="minorHAnsi"/>
        </w:rPr>
        <w:t>University of North Carolina at Chapel Hill</w:t>
      </w:r>
    </w:p>
    <w:p w:rsidR="005B1361" w:rsidRPr="005B1361" w:rsidRDefault="005B1361" w:rsidP="00350142">
      <w:pPr>
        <w:spacing w:after="0" w:line="240" w:lineRule="auto"/>
        <w:rPr>
          <w:rFonts w:cstheme="minorHAnsi"/>
        </w:rPr>
      </w:pPr>
      <w:r w:rsidRPr="005B1361">
        <w:rPr>
          <w:rFonts w:cstheme="minorHAnsi"/>
        </w:rPr>
        <w:t>Chapel Hill, NC  27599</w:t>
      </w:r>
    </w:p>
    <w:p w:rsidR="005B1361" w:rsidRPr="005B1361" w:rsidRDefault="002516BC" w:rsidP="00350142">
      <w:pPr>
        <w:spacing w:after="0" w:line="240" w:lineRule="auto"/>
        <w:rPr>
          <w:rFonts w:cstheme="minorHAnsi"/>
        </w:rPr>
      </w:pPr>
      <w:r>
        <w:rPr>
          <w:rFonts w:cstheme="minorHAnsi"/>
        </w:rPr>
        <w:t xml:space="preserve">Phone (919) 843-5566 </w:t>
      </w:r>
    </w:p>
    <w:p w:rsidR="005B1361" w:rsidRPr="005B1361" w:rsidRDefault="002516BC" w:rsidP="00350142">
      <w:pPr>
        <w:spacing w:after="0" w:line="240" w:lineRule="auto"/>
        <w:rPr>
          <w:rFonts w:cstheme="minorHAnsi"/>
        </w:rPr>
      </w:pPr>
      <w:r>
        <w:rPr>
          <w:rFonts w:cstheme="minorHAnsi"/>
        </w:rPr>
        <w:t xml:space="preserve">Fax (919) </w:t>
      </w:r>
      <w:r w:rsidR="005B1361" w:rsidRPr="005B1361">
        <w:rPr>
          <w:rFonts w:cstheme="minorHAnsi"/>
        </w:rPr>
        <w:t>966-9</w:t>
      </w:r>
      <w:r>
        <w:rPr>
          <w:rFonts w:cstheme="minorHAnsi"/>
        </w:rPr>
        <w:t xml:space="preserve">138 </w:t>
      </w:r>
    </w:p>
    <w:p w:rsidR="00F32B27" w:rsidRPr="005B1361" w:rsidRDefault="00BC2322" w:rsidP="00350142">
      <w:pPr>
        <w:spacing w:after="0" w:line="240" w:lineRule="auto"/>
        <w:rPr>
          <w:rFonts w:cstheme="minorHAnsi"/>
        </w:rPr>
      </w:pPr>
      <w:hyperlink r:id="rId15" w:history="1">
        <w:r w:rsidR="005B1361" w:rsidRPr="005B1361">
          <w:rPr>
            <w:rStyle w:val="Hyperlink"/>
            <w:rFonts w:cstheme="minorHAnsi"/>
            <w:color w:val="auto"/>
          </w:rPr>
          <w:t>jen.horney@unc.edu</w:t>
        </w:r>
      </w:hyperlink>
    </w:p>
    <w:p w:rsidR="005B1361" w:rsidRPr="009308BF" w:rsidRDefault="00986049" w:rsidP="00B06C13">
      <w:pPr>
        <w:spacing w:after="0" w:line="240" w:lineRule="auto"/>
        <w:rPr>
          <w:rFonts w:cstheme="minorHAnsi"/>
        </w:rPr>
      </w:pPr>
      <w:r w:rsidRPr="009308BF">
        <w:rPr>
          <w:rFonts w:cstheme="minorHAnsi"/>
        </w:rPr>
        <w:t>Consulted November 2011</w:t>
      </w:r>
    </w:p>
    <w:p w:rsidR="00986049" w:rsidRPr="005B1361" w:rsidRDefault="00986049" w:rsidP="00350142">
      <w:pPr>
        <w:spacing w:after="0" w:line="240" w:lineRule="auto"/>
        <w:rPr>
          <w:rFonts w:cstheme="minorHAnsi"/>
        </w:rPr>
      </w:pPr>
    </w:p>
    <w:p w:rsidR="005B1361" w:rsidRPr="00F32B27" w:rsidRDefault="00CA4E33" w:rsidP="00350142">
      <w:pPr>
        <w:autoSpaceDE w:val="0"/>
        <w:autoSpaceDN w:val="0"/>
        <w:spacing w:after="0" w:line="240" w:lineRule="auto"/>
        <w:ind w:right="720"/>
        <w:rPr>
          <w:rFonts w:cstheme="minorHAnsi"/>
        </w:rPr>
      </w:pPr>
      <w:r>
        <w:rPr>
          <w:rFonts w:cstheme="minorHAnsi"/>
          <w:i/>
        </w:rPr>
        <w:t xml:space="preserve">Sara </w:t>
      </w:r>
      <w:proofErr w:type="spellStart"/>
      <w:r>
        <w:rPr>
          <w:rFonts w:cstheme="minorHAnsi"/>
          <w:i/>
        </w:rPr>
        <w:t>Vagi</w:t>
      </w:r>
      <w:proofErr w:type="spellEnd"/>
      <w:r>
        <w:rPr>
          <w:rFonts w:cstheme="minorHAnsi"/>
          <w:i/>
        </w:rPr>
        <w:t>, PhD</w:t>
      </w:r>
    </w:p>
    <w:p w:rsidR="00F32B27" w:rsidRDefault="00CA4E33" w:rsidP="00350142">
      <w:pPr>
        <w:autoSpaceDE w:val="0"/>
        <w:autoSpaceDN w:val="0"/>
        <w:spacing w:after="0" w:line="240" w:lineRule="auto"/>
        <w:ind w:right="720"/>
        <w:rPr>
          <w:rFonts w:cstheme="minorHAnsi"/>
        </w:rPr>
      </w:pPr>
      <w:r>
        <w:rPr>
          <w:rFonts w:cstheme="minorHAnsi"/>
        </w:rPr>
        <w:t>Health Scientist</w:t>
      </w:r>
    </w:p>
    <w:p w:rsidR="00986049" w:rsidRDefault="00CA4E33" w:rsidP="00350142">
      <w:pPr>
        <w:autoSpaceDE w:val="0"/>
        <w:autoSpaceDN w:val="0"/>
        <w:spacing w:after="0" w:line="240" w:lineRule="auto"/>
        <w:ind w:right="720"/>
        <w:rPr>
          <w:rFonts w:cstheme="minorHAnsi"/>
        </w:rPr>
      </w:pPr>
      <w:r>
        <w:rPr>
          <w:rFonts w:cstheme="minorHAnsi"/>
        </w:rPr>
        <w:t>Office of Public Health Preparedness and Response, Division of State and Local Readiness</w:t>
      </w:r>
      <w:r w:rsidR="00986049">
        <w:rPr>
          <w:rFonts w:cstheme="minorHAnsi"/>
        </w:rPr>
        <w:t xml:space="preserve"> </w:t>
      </w:r>
    </w:p>
    <w:p w:rsidR="00CA4E33" w:rsidRDefault="00CA4E33" w:rsidP="00350142">
      <w:pPr>
        <w:autoSpaceDE w:val="0"/>
        <w:autoSpaceDN w:val="0"/>
        <w:spacing w:after="0" w:line="240" w:lineRule="auto"/>
        <w:ind w:right="720"/>
        <w:rPr>
          <w:rFonts w:cstheme="minorHAnsi"/>
        </w:rPr>
      </w:pPr>
      <w:r>
        <w:rPr>
          <w:rFonts w:cstheme="minorHAnsi"/>
        </w:rPr>
        <w:t>Centers for Disease Control and Prevention</w:t>
      </w:r>
    </w:p>
    <w:p w:rsidR="00F32B27" w:rsidRDefault="00F32B27" w:rsidP="00350142">
      <w:pPr>
        <w:autoSpaceDE w:val="0"/>
        <w:autoSpaceDN w:val="0"/>
        <w:spacing w:after="0" w:line="240" w:lineRule="auto"/>
        <w:ind w:right="720"/>
        <w:rPr>
          <w:rFonts w:cstheme="minorHAnsi"/>
        </w:rPr>
      </w:pPr>
      <w:r>
        <w:rPr>
          <w:rFonts w:cstheme="minorHAnsi"/>
        </w:rPr>
        <w:t xml:space="preserve">Phone </w:t>
      </w:r>
      <w:r w:rsidR="00CA4E33">
        <w:rPr>
          <w:rFonts w:cstheme="minorHAnsi"/>
        </w:rPr>
        <w:t>(404) 639-0879</w:t>
      </w:r>
    </w:p>
    <w:p w:rsidR="00F32B27" w:rsidRDefault="00F32B27" w:rsidP="00350142">
      <w:pPr>
        <w:autoSpaceDE w:val="0"/>
        <w:autoSpaceDN w:val="0"/>
        <w:spacing w:after="0" w:line="240" w:lineRule="auto"/>
        <w:ind w:right="720"/>
        <w:rPr>
          <w:rFonts w:cstheme="minorHAnsi"/>
        </w:rPr>
      </w:pPr>
      <w:r>
        <w:rPr>
          <w:rFonts w:cstheme="minorHAnsi"/>
        </w:rPr>
        <w:t xml:space="preserve">Fax </w:t>
      </w:r>
      <w:r w:rsidR="00CA4E33">
        <w:rPr>
          <w:rFonts w:cstheme="minorHAnsi"/>
        </w:rPr>
        <w:t>(404) 553-7852</w:t>
      </w:r>
    </w:p>
    <w:p w:rsidR="00F32B27" w:rsidRPr="00F32B27" w:rsidRDefault="00986049" w:rsidP="00350142">
      <w:pPr>
        <w:autoSpaceDE w:val="0"/>
        <w:autoSpaceDN w:val="0"/>
        <w:spacing w:after="0" w:line="240" w:lineRule="auto"/>
        <w:ind w:right="720"/>
        <w:rPr>
          <w:rFonts w:cstheme="minorHAnsi"/>
          <w:u w:val="single"/>
        </w:rPr>
      </w:pPr>
      <w:r w:rsidRPr="00986049">
        <w:rPr>
          <w:rFonts w:cstheme="minorHAnsi"/>
          <w:u w:val="single"/>
        </w:rPr>
        <w:t>hgq2@cdc.gov</w:t>
      </w:r>
    </w:p>
    <w:p w:rsidR="00FF76C3" w:rsidRPr="006D2B31" w:rsidRDefault="00986049" w:rsidP="00B06C13">
      <w:pPr>
        <w:spacing w:after="0" w:line="240" w:lineRule="auto"/>
        <w:rPr>
          <w:rFonts w:cstheme="minorHAnsi"/>
        </w:rPr>
      </w:pPr>
      <w:r w:rsidRPr="009308BF">
        <w:rPr>
          <w:rFonts w:cstheme="minorHAnsi"/>
        </w:rPr>
        <w:t>Consulted Janua</w:t>
      </w:r>
      <w:r w:rsidRPr="006D2B31">
        <w:rPr>
          <w:rFonts w:cstheme="minorHAnsi"/>
        </w:rPr>
        <w:t>ry 2014</w:t>
      </w:r>
    </w:p>
    <w:p w:rsidR="00986049" w:rsidRPr="00FF76C3" w:rsidRDefault="00986049" w:rsidP="00350142">
      <w:pPr>
        <w:spacing w:after="0" w:line="240" w:lineRule="auto"/>
        <w:rPr>
          <w:rFonts w:cstheme="minorHAnsi"/>
        </w:rPr>
      </w:pPr>
    </w:p>
    <w:p w:rsidR="00C9554F" w:rsidRPr="000021F4" w:rsidRDefault="00C9554F" w:rsidP="00350142">
      <w:pPr>
        <w:pStyle w:val="Heading1"/>
        <w:spacing w:before="0" w:line="240" w:lineRule="auto"/>
      </w:pPr>
      <w:bookmarkStart w:id="10" w:name="_Toc403138202"/>
      <w:r w:rsidRPr="000021F4">
        <w:t>A.9 Explanation of Any Payment or Gift to Respondents</w:t>
      </w:r>
      <w:bookmarkEnd w:id="10"/>
      <w:r w:rsidRPr="000021F4">
        <w:tab/>
      </w:r>
    </w:p>
    <w:p w:rsidR="00F65512" w:rsidRDefault="00F65512" w:rsidP="00350142">
      <w:pPr>
        <w:spacing w:after="0" w:line="240" w:lineRule="auto"/>
      </w:pPr>
    </w:p>
    <w:p w:rsidR="00F65512" w:rsidRDefault="000021F4" w:rsidP="00350142">
      <w:pPr>
        <w:spacing w:after="0" w:line="240" w:lineRule="auto"/>
      </w:pPr>
      <w:r>
        <w:t>CDC will not provide payments or gifts to respondents.</w:t>
      </w:r>
    </w:p>
    <w:p w:rsidR="00D322AC" w:rsidRPr="00F65512" w:rsidRDefault="00D322AC" w:rsidP="00350142">
      <w:pPr>
        <w:spacing w:after="0" w:line="240" w:lineRule="auto"/>
      </w:pPr>
    </w:p>
    <w:p w:rsidR="004662F8" w:rsidRDefault="00C9554F" w:rsidP="00350142">
      <w:pPr>
        <w:pStyle w:val="Heading1"/>
        <w:spacing w:before="0" w:line="240" w:lineRule="auto"/>
      </w:pPr>
      <w:bookmarkStart w:id="11" w:name="_Toc403138203"/>
      <w:r w:rsidRPr="00435B2F">
        <w:t>A.10 Assurance of Confidentiality Provided to Respondents</w:t>
      </w:r>
      <w:bookmarkEnd w:id="11"/>
    </w:p>
    <w:p w:rsidR="001B74D3" w:rsidRDefault="001B74D3" w:rsidP="001B74D3">
      <w:pPr>
        <w:pStyle w:val="Heading2"/>
        <w:spacing w:before="0" w:line="240" w:lineRule="auto"/>
      </w:pPr>
    </w:p>
    <w:p w:rsidR="001B74D3" w:rsidRPr="00766687" w:rsidRDefault="001B74D3" w:rsidP="001B74D3">
      <w:pPr>
        <w:pStyle w:val="Heading2"/>
        <w:spacing w:before="0" w:line="240" w:lineRule="auto"/>
        <w:rPr>
          <w:color w:val="1F497D" w:themeColor="text2"/>
        </w:rPr>
      </w:pPr>
      <w:bookmarkStart w:id="12" w:name="_Toc403138204"/>
      <w:r w:rsidRPr="00766687">
        <w:rPr>
          <w:color w:val="1F497D" w:themeColor="text2"/>
        </w:rPr>
        <w:t>A.10.1. Privacy Impact Assessment Information</w:t>
      </w:r>
      <w:bookmarkEnd w:id="12"/>
      <w:r w:rsidRPr="00766687">
        <w:rPr>
          <w:color w:val="1F497D" w:themeColor="text2"/>
        </w:rPr>
        <w:tab/>
      </w:r>
    </w:p>
    <w:p w:rsidR="00862BB9" w:rsidRDefault="00862BB9" w:rsidP="00350142">
      <w:pPr>
        <w:spacing w:after="0" w:line="240" w:lineRule="auto"/>
      </w:pPr>
    </w:p>
    <w:p w:rsidR="00701D90" w:rsidRPr="008F5D10" w:rsidRDefault="00701D90" w:rsidP="00701D90">
      <w:pPr>
        <w:autoSpaceDE w:val="0"/>
        <w:autoSpaceDN w:val="0"/>
        <w:adjustRightInd w:val="0"/>
        <w:spacing w:after="0" w:line="240" w:lineRule="auto"/>
        <w:rPr>
          <w:rFonts w:cstheme="minorHAnsi"/>
          <w:u w:val="single"/>
        </w:rPr>
      </w:pPr>
      <w:r w:rsidRPr="008F5D10">
        <w:rPr>
          <w:rFonts w:cstheme="minorHAnsi"/>
          <w:u w:val="single"/>
        </w:rPr>
        <w:t>An overview of the data collection system</w:t>
      </w:r>
    </w:p>
    <w:p w:rsidR="00701D90" w:rsidRDefault="00701D90" w:rsidP="00701D90">
      <w:pPr>
        <w:autoSpaceDE w:val="0"/>
        <w:autoSpaceDN w:val="0"/>
        <w:adjustRightInd w:val="0"/>
        <w:spacing w:after="0" w:line="240" w:lineRule="auto"/>
        <w:rPr>
          <w:rFonts w:ascii="Times-Roman" w:hAnsi="Times-Roman" w:cs="Times-Roman"/>
        </w:rPr>
      </w:pPr>
    </w:p>
    <w:p w:rsidR="000D1C12" w:rsidRDefault="000D1C12" w:rsidP="000D1C12">
      <w:pPr>
        <w:spacing w:after="0" w:line="240" w:lineRule="auto"/>
      </w:pPr>
      <w:r>
        <w:t>Supporting Statement</w:t>
      </w:r>
      <w:r w:rsidR="00D36A68">
        <w:t>s A and B</w:t>
      </w:r>
      <w:r>
        <w:t xml:space="preserve"> outline CDC’s standard procedures for conducting CASPERs.</w:t>
      </w:r>
      <w:r w:rsidRPr="00EC2B6D">
        <w:t xml:space="preserve"> </w:t>
      </w:r>
      <w:r>
        <w:t xml:space="preserve">The goal during a </w:t>
      </w:r>
      <w:r w:rsidR="00FC424B">
        <w:t>standard</w:t>
      </w:r>
      <w:r>
        <w:t xml:space="preserve"> CASPER is to complete 210 interviews within the assessment area. To provide the basis for </w:t>
      </w:r>
      <w:r w:rsidR="00E94EA8">
        <w:t xml:space="preserve">sufficiently accurate </w:t>
      </w:r>
      <w:r>
        <w:t xml:space="preserve">population estimates the interviews must be conducted according to an appropriate sampling method. The two-stage cluster sampling design used in CASPER provides a representative sample of households within the sampling frame that will allow the generation of </w:t>
      </w:r>
      <w:r w:rsidR="00E94EA8">
        <w:t xml:space="preserve">sufficiently accurate </w:t>
      </w:r>
      <w:r>
        <w:t>population estimates during data analysis</w:t>
      </w:r>
      <w:r w:rsidR="00E94EA8">
        <w:t xml:space="preserve"> (see Part B)</w:t>
      </w:r>
      <w:r>
        <w:t>.</w:t>
      </w:r>
    </w:p>
    <w:p w:rsidR="000D1C12" w:rsidRDefault="000D1C12" w:rsidP="00916F9C">
      <w:pPr>
        <w:spacing w:after="0" w:line="240" w:lineRule="auto"/>
      </w:pPr>
    </w:p>
    <w:p w:rsidR="004C5760" w:rsidRDefault="00916F9C" w:rsidP="004C5760">
      <w:pPr>
        <w:spacing w:after="0" w:line="240" w:lineRule="auto"/>
      </w:pPr>
      <w:r w:rsidRPr="006200E1">
        <w:t xml:space="preserve">CASPER questionnaires gather information through </w:t>
      </w:r>
      <w:r w:rsidR="00FC424B">
        <w:t>in-person</w:t>
      </w:r>
      <w:r w:rsidRPr="006200E1">
        <w:t xml:space="preserve"> interviews with one adult </w:t>
      </w:r>
      <w:r w:rsidRPr="006200E1">
        <w:rPr>
          <w:rFonts w:cstheme="minorHAnsi"/>
        </w:rPr>
        <w:t xml:space="preserve">(≥18 years of age) </w:t>
      </w:r>
      <w:r w:rsidRPr="006200E1">
        <w:t xml:space="preserve">from </w:t>
      </w:r>
      <w:r w:rsidR="0052302A">
        <w:t>each</w:t>
      </w:r>
      <w:r w:rsidRPr="006200E1">
        <w:t xml:space="preserve"> household</w:t>
      </w:r>
      <w:r w:rsidR="0052302A">
        <w:t xml:space="preserve"> identified through the cluster sampling procedure.</w:t>
      </w:r>
      <w:r w:rsidRPr="006200E1">
        <w:t xml:space="preserve"> </w:t>
      </w:r>
      <w:r w:rsidR="00D82A08">
        <w:t>Th</w:t>
      </w:r>
      <w:r w:rsidR="0052302A">
        <w:t>e particular</w:t>
      </w:r>
      <w:r w:rsidR="00D82A08">
        <w:t xml:space="preserve"> adult</w:t>
      </w:r>
      <w:r w:rsidR="0052302A">
        <w:t xml:space="preserve"> in any given </w:t>
      </w:r>
      <w:r w:rsidR="00AF184F">
        <w:t>household would</w:t>
      </w:r>
      <w:r w:rsidR="00D82A08">
        <w:t xml:space="preserve"> be chosen </w:t>
      </w:r>
      <w:r w:rsidR="0052302A">
        <w:t>based on whether</w:t>
      </w:r>
      <w:r w:rsidR="00D82A08">
        <w:t xml:space="preserve"> they are able to communicate fluently with the interviewer, are present at the home when </w:t>
      </w:r>
      <w:r w:rsidR="00D32075">
        <w:t xml:space="preserve">he/she </w:t>
      </w:r>
      <w:r w:rsidR="00D82A08">
        <w:t xml:space="preserve">is approached, and are willing to be interviewed. </w:t>
      </w:r>
      <w:r w:rsidRPr="006200E1">
        <w:t>Questionnaire responses are recorded on a paper or electronic form by the interviewer. In general, interviews take approximately 30 minutes and consist of two-page questionnaires. The majority</w:t>
      </w:r>
      <w:r w:rsidR="00FC424B">
        <w:t xml:space="preserve"> of the time </w:t>
      </w:r>
      <w:r w:rsidRPr="006200E1">
        <w:t>information on the CASPER questionnaire is collected at the household level</w:t>
      </w:r>
      <w:r w:rsidR="0052302A">
        <w:t>, meaning that the respondent is answering questions for the household, not just for her- or himself</w:t>
      </w:r>
      <w:r w:rsidR="00AF184F">
        <w:t>.</w:t>
      </w:r>
      <w:r w:rsidRPr="006200E1">
        <w:t xml:space="preserve"> </w:t>
      </w:r>
    </w:p>
    <w:p w:rsidR="004C5760" w:rsidRDefault="004C5760" w:rsidP="004C5760">
      <w:pPr>
        <w:spacing w:after="0" w:line="240" w:lineRule="auto"/>
      </w:pPr>
    </w:p>
    <w:p w:rsidR="00C8124C" w:rsidRDefault="00C8124C" w:rsidP="004C5760">
      <w:pPr>
        <w:spacing w:after="0" w:line="240" w:lineRule="auto"/>
      </w:pPr>
    </w:p>
    <w:p w:rsidR="00C8124C" w:rsidRDefault="00C8124C" w:rsidP="004C5760">
      <w:pPr>
        <w:spacing w:after="0" w:line="240" w:lineRule="auto"/>
      </w:pPr>
    </w:p>
    <w:p w:rsidR="004C5760" w:rsidRPr="006200E1" w:rsidRDefault="004C5760" w:rsidP="004C5760">
      <w:pPr>
        <w:spacing w:after="0" w:line="240" w:lineRule="auto"/>
      </w:pPr>
      <w:r>
        <w:lastRenderedPageBreak/>
        <w:t xml:space="preserve">     </w:t>
      </w:r>
      <w:proofErr w:type="gramStart"/>
      <w:r>
        <w:t>Table A-10.1.</w:t>
      </w:r>
      <w:proofErr w:type="gramEnd"/>
      <w:r>
        <w:t xml:space="preserve"> </w:t>
      </w:r>
      <w:r w:rsidR="0052302A">
        <w:t xml:space="preserve">Household-level information that may be collected using a CASPER </w:t>
      </w:r>
      <w:r w:rsidR="00AF184F">
        <w:t>survey</w:t>
      </w:r>
    </w:p>
    <w:tbl>
      <w:tblPr>
        <w:tblStyle w:val="TableGrid"/>
        <w:tblW w:w="0" w:type="auto"/>
        <w:tblLook w:val="04A0" w:firstRow="1" w:lastRow="0" w:firstColumn="1" w:lastColumn="0" w:noHBand="0" w:noVBand="1"/>
      </w:tblPr>
      <w:tblGrid>
        <w:gridCol w:w="4788"/>
        <w:gridCol w:w="4788"/>
      </w:tblGrid>
      <w:tr w:rsidR="004C5760" w:rsidTr="00B700C4">
        <w:tc>
          <w:tcPr>
            <w:tcW w:w="4788" w:type="dxa"/>
            <w:shd w:val="clear" w:color="auto" w:fill="D9D9D9" w:themeFill="background1" w:themeFillShade="D9"/>
          </w:tcPr>
          <w:p w:rsidR="004C5760" w:rsidRPr="006849D4" w:rsidRDefault="004C5760" w:rsidP="00B700C4">
            <w:pPr>
              <w:jc w:val="center"/>
              <w:rPr>
                <w:b/>
                <w:sz w:val="24"/>
                <w:szCs w:val="24"/>
              </w:rPr>
            </w:pPr>
            <w:r w:rsidRPr="006849D4">
              <w:rPr>
                <w:b/>
                <w:sz w:val="24"/>
                <w:szCs w:val="24"/>
              </w:rPr>
              <w:t>Information Collection Categories</w:t>
            </w:r>
          </w:p>
        </w:tc>
        <w:tc>
          <w:tcPr>
            <w:tcW w:w="4788" w:type="dxa"/>
            <w:shd w:val="clear" w:color="auto" w:fill="D9D9D9" w:themeFill="background1" w:themeFillShade="D9"/>
          </w:tcPr>
          <w:p w:rsidR="004C5760" w:rsidRPr="006849D4" w:rsidRDefault="004C5760" w:rsidP="00B700C4">
            <w:pPr>
              <w:jc w:val="center"/>
              <w:rPr>
                <w:b/>
                <w:sz w:val="24"/>
                <w:szCs w:val="24"/>
              </w:rPr>
            </w:pPr>
            <w:r w:rsidRPr="006849D4">
              <w:rPr>
                <w:b/>
                <w:sz w:val="24"/>
                <w:szCs w:val="24"/>
              </w:rPr>
              <w:t>Examples of Needed Information</w:t>
            </w:r>
          </w:p>
        </w:tc>
      </w:tr>
      <w:tr w:rsidR="004C5760" w:rsidTr="00B700C4">
        <w:tc>
          <w:tcPr>
            <w:tcW w:w="4788" w:type="dxa"/>
          </w:tcPr>
          <w:p w:rsidR="004C5760" w:rsidRDefault="004C5760" w:rsidP="00286153">
            <w:r>
              <w:t>Demographic and functi</w:t>
            </w:r>
            <w:r w:rsidR="00286153">
              <w:t xml:space="preserve">onal needs (See example CASPER questions </w:t>
            </w:r>
            <w:r>
              <w:t>provided in the CASPER Toolkit, Appendix B – use of these questions is optional)</w:t>
            </w:r>
            <w:r w:rsidR="00D82A08">
              <w:t>*</w:t>
            </w:r>
          </w:p>
        </w:tc>
        <w:tc>
          <w:tcPr>
            <w:tcW w:w="4788" w:type="dxa"/>
            <w:vAlign w:val="center"/>
          </w:tcPr>
          <w:p w:rsidR="004C5760" w:rsidRDefault="004C5760" w:rsidP="00B700C4">
            <w:r>
              <w:t xml:space="preserve">Age, sex, </w:t>
            </w:r>
            <w:r w:rsidR="00D82A08">
              <w:t xml:space="preserve">race, </w:t>
            </w:r>
            <w:r>
              <w:t>ethnicity</w:t>
            </w:r>
          </w:p>
        </w:tc>
      </w:tr>
      <w:tr w:rsidR="004C5760" w:rsidTr="00B700C4">
        <w:tc>
          <w:tcPr>
            <w:tcW w:w="4788" w:type="dxa"/>
          </w:tcPr>
          <w:p w:rsidR="004C5760" w:rsidRDefault="004C5760" w:rsidP="00B700C4">
            <w:r>
              <w:t>Housing damage and repair (</w:t>
            </w:r>
            <w:r w:rsidR="00286153">
              <w:t>See example CASPER questions provided in the CASPER Toolkit, Appendix B – use of these questions is optional</w:t>
            </w:r>
            <w:r>
              <w:t>)</w:t>
            </w:r>
          </w:p>
        </w:tc>
        <w:tc>
          <w:tcPr>
            <w:tcW w:w="4788" w:type="dxa"/>
            <w:vAlign w:val="center"/>
          </w:tcPr>
          <w:p w:rsidR="004C5760" w:rsidRDefault="004C5760" w:rsidP="00B700C4">
            <w:r>
              <w:t>Home physically safe for habitation, presence of mold, presence of floodwater</w:t>
            </w:r>
          </w:p>
        </w:tc>
      </w:tr>
      <w:tr w:rsidR="004C5760" w:rsidTr="00B700C4">
        <w:tc>
          <w:tcPr>
            <w:tcW w:w="4788" w:type="dxa"/>
          </w:tcPr>
          <w:p w:rsidR="004C5760" w:rsidRDefault="004C5760" w:rsidP="00B700C4">
            <w:r>
              <w:t xml:space="preserve">General </w:t>
            </w:r>
            <w:r w:rsidR="0064794F">
              <w:t>utilities</w:t>
            </w:r>
            <w:r>
              <w:t xml:space="preserve"> (</w:t>
            </w:r>
            <w:r w:rsidR="00286153">
              <w:t>See example CASPER questions provided in the CASPER Toolkit, Appendix B – use of these questions is optional</w:t>
            </w:r>
            <w:r>
              <w:t>)</w:t>
            </w:r>
          </w:p>
        </w:tc>
        <w:tc>
          <w:tcPr>
            <w:tcW w:w="4788" w:type="dxa"/>
            <w:vAlign w:val="center"/>
          </w:tcPr>
          <w:p w:rsidR="004C5760" w:rsidRDefault="004C5760" w:rsidP="00B700C4">
            <w:r>
              <w:t>Access to running water, gas, electricity, garbage pickup</w:t>
            </w:r>
          </w:p>
        </w:tc>
      </w:tr>
      <w:tr w:rsidR="004C5760" w:rsidTr="00B700C4">
        <w:tc>
          <w:tcPr>
            <w:tcW w:w="4788" w:type="dxa"/>
          </w:tcPr>
          <w:p w:rsidR="004C5760" w:rsidRDefault="004C5760" w:rsidP="00B700C4">
            <w:r>
              <w:t>Carbon monoxide exposure (</w:t>
            </w:r>
            <w:r w:rsidR="00286153">
              <w:t>See example CASPER questions provided in the CASPER Toolkit, Appendix B – use of these questions is optional</w:t>
            </w:r>
            <w:r>
              <w:t>)</w:t>
            </w:r>
          </w:p>
        </w:tc>
        <w:tc>
          <w:tcPr>
            <w:tcW w:w="4788" w:type="dxa"/>
            <w:vAlign w:val="center"/>
          </w:tcPr>
          <w:p w:rsidR="004C5760" w:rsidRDefault="004C5760" w:rsidP="00B700C4">
            <w:r>
              <w:t>Generator use, working carbon monoxide detector</w:t>
            </w:r>
          </w:p>
        </w:tc>
      </w:tr>
      <w:tr w:rsidR="004C5760" w:rsidTr="00B700C4">
        <w:tc>
          <w:tcPr>
            <w:tcW w:w="4788" w:type="dxa"/>
          </w:tcPr>
          <w:p w:rsidR="004C5760" w:rsidRDefault="004C5760" w:rsidP="00B700C4">
            <w:r>
              <w:t>Animal safety (</w:t>
            </w:r>
            <w:r w:rsidR="00286153">
              <w:t>See example CASPER questions provided in the CASPER Toolkit, Appendix B – use of these questions is optional</w:t>
            </w:r>
            <w:r>
              <w:t>)</w:t>
            </w:r>
          </w:p>
        </w:tc>
        <w:tc>
          <w:tcPr>
            <w:tcW w:w="4788" w:type="dxa"/>
            <w:vAlign w:val="center"/>
          </w:tcPr>
          <w:p w:rsidR="004C5760" w:rsidRDefault="004C5760" w:rsidP="00B700C4">
            <w:r>
              <w:t>Exposure to mosquitoes or wild animals, animal bite</w:t>
            </w:r>
            <w:r w:rsidR="0064794F">
              <w:t>s</w:t>
            </w:r>
          </w:p>
        </w:tc>
      </w:tr>
      <w:tr w:rsidR="004C5760" w:rsidTr="00B700C4">
        <w:tc>
          <w:tcPr>
            <w:tcW w:w="4788" w:type="dxa"/>
          </w:tcPr>
          <w:p w:rsidR="004C5760" w:rsidRDefault="004C5760" w:rsidP="00B700C4">
            <w:r>
              <w:t>Supplies, relief, and emergency preparedness (</w:t>
            </w:r>
            <w:r w:rsidR="00286153">
              <w:t>See example CASPER questions provided in the CASPER Toolkit, Appendix B – use of these questions is optional</w:t>
            </w:r>
            <w:r>
              <w:t>)</w:t>
            </w:r>
          </w:p>
        </w:tc>
        <w:tc>
          <w:tcPr>
            <w:tcW w:w="4788" w:type="dxa"/>
            <w:vAlign w:val="center"/>
          </w:tcPr>
          <w:p w:rsidR="004C5760" w:rsidRDefault="004C5760" w:rsidP="00B700C4">
            <w:r>
              <w:t>Adequate drinking water, adequate food, first aid supplies</w:t>
            </w:r>
          </w:p>
        </w:tc>
      </w:tr>
      <w:tr w:rsidR="004C5760" w:rsidTr="00B700C4">
        <w:tc>
          <w:tcPr>
            <w:tcW w:w="4788" w:type="dxa"/>
          </w:tcPr>
          <w:p w:rsidR="004C5760" w:rsidRDefault="00286153" w:rsidP="00B700C4">
            <w:r>
              <w:t>Health status (See example CASPER questions provided in the CASPER Toolkit, Appendix B – use of these questions is optional</w:t>
            </w:r>
            <w:r w:rsidR="004C5760">
              <w:t>)</w:t>
            </w:r>
          </w:p>
        </w:tc>
        <w:tc>
          <w:tcPr>
            <w:tcW w:w="4788" w:type="dxa"/>
            <w:vAlign w:val="center"/>
          </w:tcPr>
          <w:p w:rsidR="004C5760" w:rsidRDefault="004C5760" w:rsidP="00B700C4">
            <w:r>
              <w:t>Physical injuries, mental or behavioral health issues, illness (e.g., fever, diarrhea, vomiting)</w:t>
            </w:r>
          </w:p>
        </w:tc>
      </w:tr>
      <w:tr w:rsidR="004C5760" w:rsidTr="00B700C4">
        <w:tc>
          <w:tcPr>
            <w:tcW w:w="4788" w:type="dxa"/>
          </w:tcPr>
          <w:p w:rsidR="004C5760" w:rsidRDefault="004C5760" w:rsidP="00B700C4">
            <w:r>
              <w:t>Medical care and prescriptions (</w:t>
            </w:r>
            <w:r w:rsidR="00286153">
              <w:t>See example CASPER questions provided in the CASPER Toolkit, Appendix B – use of these questions is optional</w:t>
            </w:r>
            <w:r>
              <w:t>)</w:t>
            </w:r>
          </w:p>
        </w:tc>
        <w:tc>
          <w:tcPr>
            <w:tcW w:w="4788" w:type="dxa"/>
            <w:vAlign w:val="center"/>
          </w:tcPr>
          <w:p w:rsidR="004C5760" w:rsidRDefault="004C5760" w:rsidP="00B700C4">
            <w:r>
              <w:t>Access to medical care, need for urgent care, access to prescription medication</w:t>
            </w:r>
          </w:p>
        </w:tc>
      </w:tr>
      <w:tr w:rsidR="004C5760" w:rsidTr="00B700C4">
        <w:tc>
          <w:tcPr>
            <w:tcW w:w="4788" w:type="dxa"/>
          </w:tcPr>
          <w:p w:rsidR="004C5760" w:rsidRDefault="004C5760" w:rsidP="00B700C4">
            <w:r>
              <w:t>Communications (</w:t>
            </w:r>
            <w:r w:rsidR="00286153">
              <w:t>See example CASPER questions provided in the CASPER Toolkit, Appendix B – use of these questions is optional</w:t>
            </w:r>
            <w:r>
              <w:t>)</w:t>
            </w:r>
          </w:p>
        </w:tc>
        <w:tc>
          <w:tcPr>
            <w:tcW w:w="4788" w:type="dxa"/>
            <w:vAlign w:val="center"/>
          </w:tcPr>
          <w:p w:rsidR="004C5760" w:rsidRDefault="004C5760" w:rsidP="00B700C4">
            <w:r>
              <w:t>Receipt of warnings, reliable sources of information, mode of communication</w:t>
            </w:r>
          </w:p>
        </w:tc>
      </w:tr>
    </w:tbl>
    <w:p w:rsidR="004C5760" w:rsidRPr="00BB0482" w:rsidRDefault="00D82A08" w:rsidP="008F5D10">
      <w:pPr>
        <w:pStyle w:val="CommentText"/>
        <w:spacing w:after="0"/>
        <w:rPr>
          <w:vertAlign w:val="superscript"/>
        </w:rPr>
      </w:pPr>
      <w:r>
        <w:t>*</w:t>
      </w:r>
      <w:r w:rsidRPr="00D82A08">
        <w:t xml:space="preserve"> </w:t>
      </w:r>
      <w:r>
        <w:t>Demographic characteristics, such as sex, age, race and ethnicity, etc., assist public health and emergency responders in understanding the makeup of the population affected. This allows for the determination of specific risk factors and social vulnerabilities and a more tailored response. For example if you found there was a large non-English speaking Hispanic population, translation of your public health communications into Spanish would be appropriate. It is very typical for any epidemiology study or assessment to collect demographics.</w:t>
      </w:r>
      <w:r w:rsidR="00BC2A35">
        <w:rPr>
          <w:vertAlign w:val="superscript"/>
        </w:rPr>
        <w:t>13</w:t>
      </w:r>
    </w:p>
    <w:p w:rsidR="00D82A08" w:rsidRDefault="00D82A08" w:rsidP="008F5D10">
      <w:pPr>
        <w:pStyle w:val="CommentText"/>
        <w:spacing w:after="0"/>
      </w:pPr>
    </w:p>
    <w:p w:rsidR="00916F9C" w:rsidRDefault="00916F9C" w:rsidP="00916F9C">
      <w:pPr>
        <w:spacing w:after="0" w:line="240" w:lineRule="auto"/>
      </w:pPr>
      <w:r>
        <w:t>While CASPER questionnaires primarily collect household</w:t>
      </w:r>
      <w:r w:rsidR="003C1E6E">
        <w:t>-</w:t>
      </w:r>
      <w:r>
        <w:t xml:space="preserve">level information, there may be instances where the questionnaires are modified to collect information on the individual level. </w:t>
      </w:r>
      <w:r w:rsidR="003C1E6E">
        <w:t>In this circumstance, the adult who is interviewed regarding household-level information is also asked individual-level questions. This adult would be chosen</w:t>
      </w:r>
      <w:r w:rsidR="00FE3779">
        <w:t xml:space="preserve"> the same way adults are chosen for household-level interviews</w:t>
      </w:r>
      <w:r w:rsidR="0052302A">
        <w:t>.</w:t>
      </w:r>
      <w:r w:rsidR="00D82A08">
        <w:t xml:space="preserve"> </w:t>
      </w:r>
      <w:r>
        <w:t>Categories of individual level information include the following:</w:t>
      </w:r>
    </w:p>
    <w:p w:rsidR="00916F9C" w:rsidRDefault="00916F9C" w:rsidP="00916F9C">
      <w:pPr>
        <w:spacing w:after="0" w:line="240" w:lineRule="auto"/>
      </w:pPr>
    </w:p>
    <w:p w:rsidR="00916F9C" w:rsidRDefault="00916F9C" w:rsidP="00916F9C">
      <w:pPr>
        <w:pStyle w:val="ListParagraph"/>
        <w:numPr>
          <w:ilvl w:val="0"/>
          <w:numId w:val="21"/>
        </w:numPr>
        <w:spacing w:after="0" w:line="240" w:lineRule="auto"/>
        <w:contextualSpacing w:val="0"/>
      </w:pPr>
      <w:r>
        <w:t>Demographics</w:t>
      </w:r>
    </w:p>
    <w:p w:rsidR="00916F9C" w:rsidRDefault="00916F9C" w:rsidP="00916F9C">
      <w:pPr>
        <w:pStyle w:val="ListParagraph"/>
        <w:numPr>
          <w:ilvl w:val="0"/>
          <w:numId w:val="21"/>
        </w:numPr>
        <w:spacing w:after="0" w:line="240" w:lineRule="auto"/>
        <w:contextualSpacing w:val="0"/>
      </w:pPr>
      <w:r>
        <w:t>Personal needs (e.g., first aid, food, water, ice, and medicine)</w:t>
      </w:r>
    </w:p>
    <w:p w:rsidR="00916F9C" w:rsidRDefault="00916F9C" w:rsidP="00916F9C">
      <w:pPr>
        <w:pStyle w:val="ListParagraph"/>
        <w:numPr>
          <w:ilvl w:val="0"/>
          <w:numId w:val="21"/>
        </w:numPr>
        <w:spacing w:after="0" w:line="240" w:lineRule="auto"/>
        <w:contextualSpacing w:val="0"/>
      </w:pPr>
      <w:r>
        <w:t xml:space="preserve">Physical and behavioral health status </w:t>
      </w:r>
    </w:p>
    <w:p w:rsidR="00916F9C" w:rsidRDefault="00916F9C" w:rsidP="00916F9C">
      <w:pPr>
        <w:pStyle w:val="ListParagraph"/>
        <w:numPr>
          <w:ilvl w:val="0"/>
          <w:numId w:val="21"/>
        </w:numPr>
        <w:spacing w:after="0" w:line="240" w:lineRule="auto"/>
        <w:contextualSpacing w:val="0"/>
      </w:pPr>
      <w:r>
        <w:t>Perception of and response to public health communications</w:t>
      </w:r>
    </w:p>
    <w:p w:rsidR="00916F9C" w:rsidRDefault="00916F9C" w:rsidP="00916F9C">
      <w:pPr>
        <w:spacing w:after="0" w:line="240" w:lineRule="auto"/>
        <w:ind w:left="720"/>
      </w:pPr>
    </w:p>
    <w:p w:rsidR="0070072B" w:rsidRPr="008F5D10" w:rsidRDefault="00916F9C" w:rsidP="008F5D10">
      <w:pPr>
        <w:spacing w:after="0" w:line="240" w:lineRule="auto"/>
      </w:pPr>
      <w:r>
        <w:lastRenderedPageBreak/>
        <w:t>See Attachment C for sample CASPER questionnaires</w:t>
      </w:r>
      <w:r w:rsidR="00D82A08">
        <w:t>. These are examples of questionnaires used for CASPERs conducted in the past.</w:t>
      </w:r>
      <w:r w:rsidR="00286153">
        <w:t xml:space="preserve"> There is a list of example questions </w:t>
      </w:r>
      <w:r w:rsidR="00D82A08">
        <w:t>in the CASPER Toolkit (</w:t>
      </w:r>
      <w:hyperlink r:id="rId16" w:history="1">
        <w:r w:rsidR="00D82A08" w:rsidRPr="001341AA">
          <w:rPr>
            <w:rStyle w:val="Hyperlink"/>
          </w:rPr>
          <w:t>http://www.cdc.gov/nceh/hsb/disaster/casper.htm</w:t>
        </w:r>
      </w:hyperlink>
      <w:r w:rsidR="00D82A08">
        <w:t xml:space="preserve">) </w:t>
      </w:r>
      <w:r w:rsidR="00286153">
        <w:t xml:space="preserve">which </w:t>
      </w:r>
      <w:r w:rsidR="00D82A08">
        <w:t>provides guidance on what questions to ask and how they can be asked.</w:t>
      </w:r>
      <w:r>
        <w:t xml:space="preserve"> </w:t>
      </w:r>
    </w:p>
    <w:p w:rsidR="0070072B" w:rsidRPr="00591539" w:rsidRDefault="0070072B" w:rsidP="00701D90">
      <w:pPr>
        <w:autoSpaceDE w:val="0"/>
        <w:autoSpaceDN w:val="0"/>
        <w:adjustRightInd w:val="0"/>
        <w:spacing w:after="0" w:line="240" w:lineRule="auto"/>
        <w:rPr>
          <w:rFonts w:ascii="Times-Roman" w:hAnsi="Times-Roman" w:cs="Times-Roman"/>
        </w:rPr>
      </w:pPr>
    </w:p>
    <w:p w:rsidR="00701D90" w:rsidRPr="008F5D10" w:rsidRDefault="00701D90" w:rsidP="00701D90">
      <w:pPr>
        <w:autoSpaceDE w:val="0"/>
        <w:autoSpaceDN w:val="0"/>
        <w:adjustRightInd w:val="0"/>
        <w:spacing w:after="0" w:line="240" w:lineRule="auto"/>
        <w:rPr>
          <w:rFonts w:cstheme="minorHAnsi"/>
          <w:u w:val="single"/>
        </w:rPr>
      </w:pPr>
      <w:r w:rsidRPr="008F5D10">
        <w:rPr>
          <w:rFonts w:cstheme="minorHAnsi"/>
          <w:u w:val="single"/>
        </w:rPr>
        <w:t>A description of the information to be collected</w:t>
      </w:r>
    </w:p>
    <w:p w:rsidR="00C71BBA" w:rsidRDefault="00C71BBA" w:rsidP="00C71BBA">
      <w:pPr>
        <w:spacing w:after="0" w:line="240" w:lineRule="auto"/>
      </w:pPr>
    </w:p>
    <w:p w:rsidR="0052302A" w:rsidRPr="008F5D10" w:rsidRDefault="0052302A" w:rsidP="00C71BBA">
      <w:pPr>
        <w:spacing w:after="0" w:line="240" w:lineRule="auto"/>
        <w:rPr>
          <w:i/>
        </w:rPr>
      </w:pPr>
      <w:r w:rsidRPr="008F5D10">
        <w:rPr>
          <w:i/>
        </w:rPr>
        <w:t>Tracking forms</w:t>
      </w:r>
    </w:p>
    <w:p w:rsidR="0052302A" w:rsidRDefault="0052302A" w:rsidP="00C71BBA">
      <w:pPr>
        <w:spacing w:after="0" w:line="240" w:lineRule="auto"/>
      </w:pPr>
    </w:p>
    <w:p w:rsidR="00561DC7" w:rsidRDefault="00561DC7" w:rsidP="00C71BBA">
      <w:pPr>
        <w:spacing w:after="0" w:line="240" w:lineRule="auto"/>
      </w:pPr>
      <w:r w:rsidRPr="00DA4E6A">
        <w:t>Tracking forms</w:t>
      </w:r>
      <w:r>
        <w:t xml:space="preserve"> are utilized by interview teams to record households</w:t>
      </w:r>
      <w:r w:rsidR="00B6411B">
        <w:t xml:space="preserve"> approached.</w:t>
      </w:r>
      <w:r>
        <w:t xml:space="preserve"> </w:t>
      </w:r>
      <w:r w:rsidR="00B6411B">
        <w:t>This form is used to document if a chosen household was successfully interviewed, needs revisited because t</w:t>
      </w:r>
      <w:r>
        <w:t>here was no one present to complete an interview</w:t>
      </w:r>
      <w:r w:rsidR="00B6411B">
        <w:t>, or was never interviewed and the reason for that [abandoned, not approachable</w:t>
      </w:r>
      <w:r>
        <w:t xml:space="preserve"> </w:t>
      </w:r>
      <w:r w:rsidR="00B6411B">
        <w:t xml:space="preserve">(aggressive dog, no trespassing sign)]. </w:t>
      </w:r>
      <w:r>
        <w:t>This information never includes a complete mailing address (e.g., house number, street name, city, state, and zip code) or GPS coordinate information. Information used to identify households for return visits is never retained by CDC or entered into any database. The tracking form</w:t>
      </w:r>
      <w:r w:rsidR="009B59A0">
        <w:t>s</w:t>
      </w:r>
      <w:r>
        <w:t xml:space="preserve"> do not contain</w:t>
      </w:r>
      <w:r w:rsidR="009B59A0">
        <w:t xml:space="preserve"> direct</w:t>
      </w:r>
      <w:r>
        <w:t xml:space="preserve"> PII</w:t>
      </w:r>
      <w:r w:rsidR="009B59A0">
        <w:t xml:space="preserve">. CASPERs are not recommended for communities with less than 800 housing units. Descriptive information of housing units is only recorded if a household must be revisited (e.g., no one answered the door after first try). In rare cases, 210 households may be a large portion of some communities thus even without direct PII, the location of a household could be identifiable; however, it is not possible to link the tracking form from a given household to that household’s questionnaire. </w:t>
      </w:r>
      <w:r w:rsidR="008C3ED9">
        <w:t xml:space="preserve">Only teams working with in a cluster will access this information, and any </w:t>
      </w:r>
      <w:r w:rsidR="009B59A0">
        <w:t>descriptive information beyond access, type of dwelling, damage, whether door was answered, and whether interview was conducted is not recorded. All tracking forms are destroyed after data collection and entry is complete</w:t>
      </w:r>
      <w:r>
        <w:t xml:space="preserve">. </w:t>
      </w:r>
      <w:r w:rsidR="00B6411B">
        <w:t>Information regarding number of households approached, number of interviews completed, and reasons for not completing an interview at a household from t</w:t>
      </w:r>
      <w:r>
        <w:t>hese forms will be entered into an Excel file on a CDC password protected computer.</w:t>
      </w:r>
    </w:p>
    <w:p w:rsidR="00561DC7" w:rsidRDefault="00561DC7" w:rsidP="00C71BBA">
      <w:pPr>
        <w:spacing w:after="0" w:line="240" w:lineRule="auto"/>
      </w:pPr>
    </w:p>
    <w:p w:rsidR="0052302A" w:rsidRPr="008F5D10" w:rsidRDefault="00AF184F" w:rsidP="00C71BBA">
      <w:pPr>
        <w:spacing w:after="0" w:line="240" w:lineRule="auto"/>
        <w:rPr>
          <w:i/>
        </w:rPr>
      </w:pPr>
      <w:r>
        <w:rPr>
          <w:i/>
        </w:rPr>
        <w:t>Referral forms</w:t>
      </w:r>
    </w:p>
    <w:p w:rsidR="0052302A" w:rsidRDefault="0052302A" w:rsidP="00C71BBA">
      <w:pPr>
        <w:spacing w:after="0" w:line="240" w:lineRule="auto"/>
      </w:pPr>
    </w:p>
    <w:p w:rsidR="00C71BBA" w:rsidRPr="00561DC7" w:rsidRDefault="00C71BBA" w:rsidP="00C71BBA">
      <w:pPr>
        <w:spacing w:after="0" w:line="240" w:lineRule="auto"/>
        <w:rPr>
          <w:rFonts w:cstheme="minorHAnsi"/>
        </w:rPr>
      </w:pPr>
      <w:r>
        <w:t xml:space="preserve">To protect privacy, PII is rarely collected. The few instances where PII may be collected are in situations where households are identified during the CASPER to have urgent, life-threatening needs. In these instances, PII is collected on separate referral </w:t>
      </w:r>
      <w:r w:rsidRPr="00F452B0">
        <w:t>forms (</w:t>
      </w:r>
      <w:r w:rsidRPr="005719BD">
        <w:t>Attachment E)</w:t>
      </w:r>
      <w:r>
        <w:t xml:space="preserve"> which are immediately transferred to a local coordinator (e.g., local public health staff). A local coordinator uses the information on the referral form to rapidly follow-up with the participant and </w:t>
      </w:r>
      <w:r w:rsidR="0052302A">
        <w:t xml:space="preserve">to </w:t>
      </w:r>
      <w:r>
        <w:t>communicate</w:t>
      </w:r>
      <w:r w:rsidR="00AF184F">
        <w:t xml:space="preserve"> </w:t>
      </w:r>
      <w:r>
        <w:t>with health service providers in the area or response agencies to address any immediate needs. The referral form and the information contained in it is never retained by the CDC or entered into any database. The forms will be given immediately to the local jurisdiction</w:t>
      </w:r>
      <w:r w:rsidR="00AF184F">
        <w:t>.</w:t>
      </w:r>
      <w:r>
        <w:t xml:space="preserve"> There is no way to link specific questionnaires to any PII that may be collected. Field teams are trained in the handling of referral forms during a training conducted in advance or the morning of the first day of data collection in the field. This training helps to ensure that interviewers properly handle and safeguard any information collected, minimizing the possibility of unauthorized access, use, or dissemination.</w:t>
      </w:r>
    </w:p>
    <w:p w:rsidR="00F75622" w:rsidRDefault="00F75622" w:rsidP="00701D90">
      <w:pPr>
        <w:autoSpaceDE w:val="0"/>
        <w:autoSpaceDN w:val="0"/>
        <w:adjustRightInd w:val="0"/>
        <w:spacing w:after="0" w:line="240" w:lineRule="auto"/>
        <w:rPr>
          <w:rFonts w:ascii="Times-Roman" w:hAnsi="Times-Roman" w:cs="Times-Roman"/>
        </w:rPr>
      </w:pPr>
    </w:p>
    <w:p w:rsidR="00701D90" w:rsidRPr="008F5D10" w:rsidRDefault="00701D90" w:rsidP="00701D90">
      <w:pPr>
        <w:autoSpaceDE w:val="0"/>
        <w:autoSpaceDN w:val="0"/>
        <w:adjustRightInd w:val="0"/>
        <w:spacing w:after="0" w:line="240" w:lineRule="auto"/>
        <w:rPr>
          <w:rFonts w:cstheme="minorHAnsi"/>
          <w:u w:val="single"/>
        </w:rPr>
      </w:pPr>
      <w:r w:rsidRPr="008F5D10">
        <w:rPr>
          <w:rFonts w:cstheme="minorHAnsi"/>
          <w:u w:val="single"/>
        </w:rPr>
        <w:t>A description of how the information will be shared and for what purpose</w:t>
      </w:r>
    </w:p>
    <w:p w:rsidR="00916F9C" w:rsidRDefault="00916F9C" w:rsidP="00701D90">
      <w:pPr>
        <w:autoSpaceDE w:val="0"/>
        <w:autoSpaceDN w:val="0"/>
        <w:adjustRightInd w:val="0"/>
        <w:spacing w:after="0" w:line="240" w:lineRule="auto"/>
        <w:rPr>
          <w:rFonts w:ascii="Times-Roman" w:hAnsi="Times-Roman" w:cs="Times-Roman"/>
        </w:rPr>
      </w:pPr>
    </w:p>
    <w:p w:rsidR="00122BA1" w:rsidRDefault="00A03321" w:rsidP="00DB391A">
      <w:pPr>
        <w:widowControl w:val="0"/>
        <w:autoSpaceDE w:val="0"/>
        <w:autoSpaceDN w:val="0"/>
        <w:adjustRightInd w:val="0"/>
        <w:spacing w:after="0" w:line="240" w:lineRule="auto"/>
      </w:pPr>
      <w:r>
        <w:t xml:space="preserve">After the data is analyzed by CDC, the results of the CASPER are shared in two main ways: a preliminary </w:t>
      </w:r>
      <w:r w:rsidR="00AE054A">
        <w:t>report</w:t>
      </w:r>
      <w:r>
        <w:t xml:space="preserve"> or presentation provided to key stakeholders within a day or two after data collection and a </w:t>
      </w:r>
      <w:r w:rsidR="00E868EF">
        <w:t xml:space="preserve">cleared </w:t>
      </w:r>
      <w:r>
        <w:t xml:space="preserve">final report that may be more widely distributed at a later time (Attachment F). Reports of CASPER </w:t>
      </w:r>
      <w:r w:rsidR="001261CF">
        <w:t>results</w:t>
      </w:r>
      <w:r>
        <w:t xml:space="preserve"> are distributed </w:t>
      </w:r>
      <w:r w:rsidR="00E94EA8">
        <w:t>by the requesting state or local</w:t>
      </w:r>
      <w:r w:rsidR="001261CF">
        <w:t xml:space="preserve">. </w:t>
      </w:r>
      <w:r>
        <w:t xml:space="preserve"> </w:t>
      </w:r>
      <w:r w:rsidR="00DB391A">
        <w:t xml:space="preserve">Politicians occasionally sit in on exit </w:t>
      </w:r>
      <w:r w:rsidR="006F0765">
        <w:t>presentation</w:t>
      </w:r>
      <w:r w:rsidR="00DB391A">
        <w:t xml:space="preserve"> that CDC </w:t>
      </w:r>
      <w:r w:rsidR="006F0765">
        <w:t>presents to</w:t>
      </w:r>
      <w:r w:rsidR="00DB391A">
        <w:t xml:space="preserve"> the state public health officials, and CDC sometimes receives </w:t>
      </w:r>
      <w:r w:rsidR="00DB391A">
        <w:lastRenderedPageBreak/>
        <w:t>information requests directly from Congress</w:t>
      </w:r>
      <w:r w:rsidR="006F0765">
        <w:t xml:space="preserve"> (e.g., progress reports on CASPERs currently being conducted and results from or questions about CASPERs previously conducted)</w:t>
      </w:r>
      <w:r w:rsidR="00DB391A">
        <w:t xml:space="preserve">. We always consider the media a potential audience. The state often releases the information publicly, </w:t>
      </w:r>
      <w:r w:rsidR="00122BA1">
        <w:t>and</w:t>
      </w:r>
      <w:r w:rsidR="00DB391A">
        <w:t xml:space="preserve"> CDC often receives questions directly from the media after the information is released</w:t>
      </w:r>
      <w:r w:rsidR="00122BA1">
        <w:t xml:space="preserve">. </w:t>
      </w:r>
    </w:p>
    <w:p w:rsidR="00122BA1" w:rsidRDefault="00122BA1" w:rsidP="00DB391A">
      <w:pPr>
        <w:widowControl w:val="0"/>
        <w:autoSpaceDE w:val="0"/>
        <w:autoSpaceDN w:val="0"/>
        <w:adjustRightInd w:val="0"/>
        <w:spacing w:after="0" w:line="240" w:lineRule="auto"/>
      </w:pPr>
    </w:p>
    <w:p w:rsidR="00122BA1" w:rsidRDefault="00A03321" w:rsidP="00DB391A">
      <w:pPr>
        <w:widowControl w:val="0"/>
        <w:autoSpaceDE w:val="0"/>
        <w:autoSpaceDN w:val="0"/>
        <w:adjustRightInd w:val="0"/>
        <w:spacing w:after="0" w:line="240" w:lineRule="auto"/>
      </w:pPr>
      <w:r>
        <w:t>Reports only present responses in aggregate form and there is no way to identify households or individuals from reported information or data sets. The</w:t>
      </w:r>
      <w:r w:rsidR="006F0765">
        <w:t xml:space="preserve"> report</w:t>
      </w:r>
      <w:r>
        <w:t xml:space="preserve"> </w:t>
      </w:r>
      <w:r w:rsidR="006F0765">
        <w:t>results</w:t>
      </w:r>
      <w:r>
        <w:t xml:space="preserve"> from CASPER questionnaires are shared in order to prompt public health action (e.g., prioritization of resources</w:t>
      </w:r>
      <w:r w:rsidR="00733BEE">
        <w:t xml:space="preserve"> or</w:t>
      </w:r>
      <w:r>
        <w:t xml:space="preserve"> public health interventions) in response to the current health status or needs of the population</w:t>
      </w:r>
      <w:r w:rsidR="00122BA1">
        <w:t xml:space="preserve"> affected by the disaster-related emergency</w:t>
      </w:r>
      <w:r>
        <w:t>.</w:t>
      </w:r>
    </w:p>
    <w:p w:rsidR="00122BA1" w:rsidRDefault="00122BA1" w:rsidP="00DB391A">
      <w:pPr>
        <w:widowControl w:val="0"/>
        <w:autoSpaceDE w:val="0"/>
        <w:autoSpaceDN w:val="0"/>
        <w:adjustRightInd w:val="0"/>
        <w:spacing w:after="0" w:line="240" w:lineRule="auto"/>
      </w:pPr>
    </w:p>
    <w:p w:rsidR="00A03321" w:rsidRDefault="00A03321" w:rsidP="00DB391A">
      <w:pPr>
        <w:widowControl w:val="0"/>
        <w:autoSpaceDE w:val="0"/>
        <w:autoSpaceDN w:val="0"/>
        <w:adjustRightInd w:val="0"/>
        <w:spacing w:after="0" w:line="240" w:lineRule="auto"/>
      </w:pPr>
      <w:r>
        <w:t xml:space="preserve">We </w:t>
      </w:r>
      <w:r w:rsidRPr="004314D7">
        <w:rPr>
          <w:color w:val="000000"/>
        </w:rPr>
        <w:t>intend to</w:t>
      </w:r>
      <w:r w:rsidR="00122BA1">
        <w:rPr>
          <w:color w:val="000000"/>
        </w:rPr>
        <w:t xml:space="preserve"> share CASPER </w:t>
      </w:r>
      <w:r w:rsidR="001261CF">
        <w:rPr>
          <w:color w:val="000000"/>
        </w:rPr>
        <w:t>results</w:t>
      </w:r>
      <w:r w:rsidR="00122BA1">
        <w:rPr>
          <w:color w:val="000000"/>
        </w:rPr>
        <w:t xml:space="preserve"> by presenting at professional conferences and by </w:t>
      </w:r>
      <w:r w:rsidRPr="004314D7">
        <w:rPr>
          <w:color w:val="000000"/>
        </w:rPr>
        <w:t>publish</w:t>
      </w:r>
      <w:r w:rsidR="00122BA1">
        <w:rPr>
          <w:color w:val="000000"/>
        </w:rPr>
        <w:t>ing manuscripts</w:t>
      </w:r>
      <w:r w:rsidR="0010667D">
        <w:rPr>
          <w:color w:val="000000"/>
        </w:rPr>
        <w:t xml:space="preserve"> </w:t>
      </w:r>
      <w:r w:rsidR="00122BA1">
        <w:rPr>
          <w:color w:val="000000"/>
        </w:rPr>
        <w:t>in</w:t>
      </w:r>
      <w:r w:rsidRPr="004314D7">
        <w:rPr>
          <w:color w:val="000000"/>
        </w:rPr>
        <w:t xml:space="preserve"> peer-reviewed journal</w:t>
      </w:r>
      <w:r w:rsidR="00122BA1">
        <w:rPr>
          <w:color w:val="000000"/>
        </w:rPr>
        <w:t>s</w:t>
      </w:r>
      <w:r w:rsidRPr="004314D7">
        <w:rPr>
          <w:color w:val="000000"/>
        </w:rPr>
        <w:t xml:space="preserve">. </w:t>
      </w:r>
      <w:r w:rsidR="00DB391A" w:rsidRPr="00DB391A">
        <w:rPr>
          <w:color w:val="000000"/>
        </w:rPr>
        <w:t xml:space="preserve">This is a common practice in public health; responses to outbreaks, isolated cases, and emergency responses are often published as they provide lessons learned and examples for others in public health. </w:t>
      </w:r>
    </w:p>
    <w:p w:rsidR="00A03321" w:rsidRDefault="00A03321" w:rsidP="00561DC7">
      <w:pPr>
        <w:spacing w:after="0" w:line="240" w:lineRule="auto"/>
        <w:rPr>
          <w:rFonts w:cstheme="minorHAnsi"/>
        </w:rPr>
      </w:pPr>
    </w:p>
    <w:p w:rsidR="00561DC7" w:rsidRPr="00286FEE" w:rsidRDefault="00561DC7" w:rsidP="00561DC7">
      <w:pPr>
        <w:spacing w:after="0" w:line="240" w:lineRule="auto"/>
      </w:pPr>
      <w:r>
        <w:rPr>
          <w:rFonts w:cstheme="minorHAnsi"/>
        </w:rPr>
        <w:t>A referral form may be used when an interview team</w:t>
      </w:r>
      <w:r w:rsidR="00122BA1">
        <w:rPr>
          <w:rFonts w:cstheme="minorHAnsi"/>
        </w:rPr>
        <w:t xml:space="preserve"> identifies</w:t>
      </w:r>
      <w:r w:rsidRPr="001574C3">
        <w:rPr>
          <w:rFonts w:cstheme="minorHAnsi"/>
        </w:rPr>
        <w:t xml:space="preserve"> households with urgent needs that present an immediate threat to life or health</w:t>
      </w:r>
      <w:r>
        <w:rPr>
          <w:rFonts w:cstheme="minorHAnsi"/>
        </w:rPr>
        <w:t>. These forms are given immediately to the local jurisdiction</w:t>
      </w:r>
      <w:r w:rsidR="00733BEE">
        <w:rPr>
          <w:rFonts w:cstheme="minorHAnsi"/>
        </w:rPr>
        <w:t>,</w:t>
      </w:r>
      <w:r>
        <w:rPr>
          <w:rFonts w:cstheme="minorHAnsi"/>
        </w:rPr>
        <w:t xml:space="preserve"> will not be entered into any CDC database</w:t>
      </w:r>
      <w:r w:rsidR="00733BEE">
        <w:rPr>
          <w:rFonts w:cstheme="minorHAnsi"/>
        </w:rPr>
        <w:t>,</w:t>
      </w:r>
      <w:r>
        <w:rPr>
          <w:rFonts w:cstheme="minorHAnsi"/>
        </w:rPr>
        <w:t xml:space="preserve"> </w:t>
      </w:r>
      <w:r>
        <w:t>and will not be in custody of CDC after collection.</w:t>
      </w:r>
      <w:r>
        <w:rPr>
          <w:rFonts w:cstheme="minorHAnsi"/>
        </w:rPr>
        <w:t xml:space="preserve"> </w:t>
      </w:r>
      <w:r>
        <w:t xml:space="preserve">Further, there is </w:t>
      </w:r>
      <w:r w:rsidR="001261CF">
        <w:t xml:space="preserve">direct identifier that </w:t>
      </w:r>
      <w:r>
        <w:t>link</w:t>
      </w:r>
      <w:r w:rsidR="001261CF">
        <w:t>s</w:t>
      </w:r>
      <w:r>
        <w:t xml:space="preserve"> either the tracking forms or referral forms back to a specific household’s questionnaire answers. </w:t>
      </w:r>
    </w:p>
    <w:p w:rsidR="00916F9C" w:rsidRPr="00916F9C" w:rsidRDefault="00916F9C" w:rsidP="00701D90">
      <w:pPr>
        <w:autoSpaceDE w:val="0"/>
        <w:autoSpaceDN w:val="0"/>
        <w:adjustRightInd w:val="0"/>
        <w:spacing w:after="0" w:line="240" w:lineRule="auto"/>
        <w:rPr>
          <w:rFonts w:ascii="Times-Roman" w:hAnsi="Times-Roman" w:cs="Times-Roman"/>
        </w:rPr>
      </w:pPr>
    </w:p>
    <w:p w:rsidR="00701D90" w:rsidRPr="008F5D10" w:rsidRDefault="00701D90" w:rsidP="00701D90">
      <w:pPr>
        <w:autoSpaceDE w:val="0"/>
        <w:autoSpaceDN w:val="0"/>
        <w:adjustRightInd w:val="0"/>
        <w:spacing w:after="0" w:line="240" w:lineRule="auto"/>
        <w:rPr>
          <w:rFonts w:cstheme="minorHAnsi"/>
          <w:u w:val="single"/>
        </w:rPr>
      </w:pPr>
      <w:r w:rsidRPr="008F5D10">
        <w:rPr>
          <w:rFonts w:cstheme="minorHAnsi"/>
          <w:u w:val="single"/>
        </w:rPr>
        <w:t>A statement detailing the impact the proposed collection will have on the respondent’s privacy</w:t>
      </w:r>
    </w:p>
    <w:p w:rsidR="0010667D" w:rsidRDefault="0010667D" w:rsidP="00701D90">
      <w:pPr>
        <w:autoSpaceDE w:val="0"/>
        <w:autoSpaceDN w:val="0"/>
        <w:adjustRightInd w:val="0"/>
        <w:spacing w:after="0" w:line="240" w:lineRule="auto"/>
        <w:rPr>
          <w:rFonts w:ascii="Times-Roman" w:hAnsi="Times-Roman" w:cs="Times-Roman"/>
          <w:u w:val="single"/>
        </w:rPr>
      </w:pPr>
    </w:p>
    <w:p w:rsidR="001261CF" w:rsidRDefault="0065067F" w:rsidP="00701D90">
      <w:pPr>
        <w:autoSpaceDE w:val="0"/>
        <w:autoSpaceDN w:val="0"/>
        <w:adjustRightInd w:val="0"/>
        <w:spacing w:after="0" w:line="240" w:lineRule="auto"/>
        <w:rPr>
          <w:rFonts w:cstheme="minorHAnsi"/>
        </w:rPr>
      </w:pPr>
      <w:r w:rsidRPr="008F5D10">
        <w:rPr>
          <w:rFonts w:cstheme="minorHAnsi"/>
        </w:rPr>
        <w:t>When a person is asked if they would like to participate in a CASPER interview, they are informed that the survey is voluntary and anonymous and that they can refuse to answer any of the questions or refuse to participate at any time. We do not gather PII</w:t>
      </w:r>
      <w:r w:rsidR="001261CF">
        <w:rPr>
          <w:rFonts w:cstheme="minorHAnsi"/>
        </w:rPr>
        <w:t>.</w:t>
      </w:r>
    </w:p>
    <w:p w:rsidR="00916F9C" w:rsidRPr="00916F9C" w:rsidRDefault="0065067F" w:rsidP="00701D90">
      <w:pPr>
        <w:autoSpaceDE w:val="0"/>
        <w:autoSpaceDN w:val="0"/>
        <w:adjustRightInd w:val="0"/>
        <w:spacing w:after="0" w:line="240" w:lineRule="auto"/>
        <w:rPr>
          <w:rFonts w:ascii="Times-Roman" w:hAnsi="Times-Roman" w:cs="Times-Roman"/>
        </w:rPr>
      </w:pPr>
      <w:r w:rsidRPr="008F5D10">
        <w:rPr>
          <w:rFonts w:cstheme="minorHAnsi"/>
        </w:rPr>
        <w:t xml:space="preserve"> </w:t>
      </w:r>
    </w:p>
    <w:p w:rsidR="00701D90" w:rsidRPr="008F5D10" w:rsidRDefault="00701D90" w:rsidP="00701D90">
      <w:pPr>
        <w:autoSpaceDE w:val="0"/>
        <w:autoSpaceDN w:val="0"/>
        <w:adjustRightInd w:val="0"/>
        <w:spacing w:after="0" w:line="240" w:lineRule="auto"/>
        <w:rPr>
          <w:rFonts w:cstheme="minorHAnsi"/>
          <w:u w:val="single"/>
        </w:rPr>
      </w:pPr>
      <w:r w:rsidRPr="008F5D10">
        <w:rPr>
          <w:rFonts w:cstheme="minorHAnsi"/>
          <w:u w:val="single"/>
        </w:rPr>
        <w:t>Whether individuals are informed that providing the inform</w:t>
      </w:r>
      <w:r w:rsidR="00916F9C" w:rsidRPr="008F5D10">
        <w:rPr>
          <w:rFonts w:cstheme="minorHAnsi"/>
          <w:u w:val="single"/>
        </w:rPr>
        <w:t>ation is voluntary or mandatory</w:t>
      </w:r>
    </w:p>
    <w:p w:rsidR="00F70BDD" w:rsidRDefault="00F70BDD" w:rsidP="00F70BDD">
      <w:pPr>
        <w:spacing w:after="0" w:line="240" w:lineRule="auto"/>
        <w:rPr>
          <w:rFonts w:cstheme="minorHAnsi"/>
        </w:rPr>
      </w:pPr>
    </w:p>
    <w:p w:rsidR="00F70BDD" w:rsidRDefault="00F70BDD" w:rsidP="00F70BDD">
      <w:pPr>
        <w:spacing w:after="0" w:line="240" w:lineRule="auto"/>
        <w:rPr>
          <w:rFonts w:cstheme="minorHAnsi"/>
        </w:rPr>
      </w:pPr>
      <w:r w:rsidRPr="00B62B55">
        <w:rPr>
          <w:rFonts w:cstheme="minorHAnsi"/>
        </w:rPr>
        <w:t xml:space="preserve">Participation in </w:t>
      </w:r>
      <w:r>
        <w:rPr>
          <w:rFonts w:cstheme="minorHAnsi"/>
        </w:rPr>
        <w:t xml:space="preserve">a </w:t>
      </w:r>
      <w:r w:rsidRPr="00B62B55">
        <w:rPr>
          <w:rFonts w:cstheme="minorHAnsi"/>
        </w:rPr>
        <w:t>CASPER</w:t>
      </w:r>
      <w:r>
        <w:rPr>
          <w:rFonts w:cstheme="minorHAnsi"/>
        </w:rPr>
        <w:t xml:space="preserve"> interview</w:t>
      </w:r>
      <w:r w:rsidRPr="00B62B55">
        <w:rPr>
          <w:rFonts w:cstheme="minorHAnsi"/>
        </w:rPr>
        <w:t xml:space="preserve"> is voluntary</w:t>
      </w:r>
      <w:r>
        <w:rPr>
          <w:rFonts w:cstheme="minorHAnsi"/>
        </w:rPr>
        <w:t>. In an introductory script, the interviewer will provide information including:</w:t>
      </w:r>
    </w:p>
    <w:p w:rsidR="00F70BDD" w:rsidRDefault="00F70BDD" w:rsidP="00F70BDD">
      <w:pPr>
        <w:spacing w:after="0" w:line="240" w:lineRule="auto"/>
        <w:rPr>
          <w:rFonts w:cstheme="minorHAnsi"/>
        </w:rPr>
      </w:pPr>
    </w:p>
    <w:p w:rsidR="00F70BDD" w:rsidRDefault="00F70BDD" w:rsidP="00F70BDD">
      <w:pPr>
        <w:pStyle w:val="ListParagraph"/>
        <w:numPr>
          <w:ilvl w:val="0"/>
          <w:numId w:val="16"/>
        </w:numPr>
        <w:spacing w:after="0" w:line="240" w:lineRule="auto"/>
        <w:contextualSpacing w:val="0"/>
        <w:rPr>
          <w:rFonts w:cstheme="minorHAnsi"/>
        </w:rPr>
      </w:pPr>
      <w:r>
        <w:rPr>
          <w:rFonts w:cstheme="minorHAnsi"/>
        </w:rPr>
        <w:t>A description of any anticipated discomfort or inconvenience to the respondent, particularly if some questions may be of a sensitive nature</w:t>
      </w:r>
      <w:r w:rsidRPr="00024721">
        <w:t xml:space="preserve"> </w:t>
      </w:r>
      <w:r>
        <w:t>(e.g., race and ethnicity, mental health, pregnancy, or disability)</w:t>
      </w:r>
      <w:r>
        <w:rPr>
          <w:rFonts w:cstheme="minorHAnsi"/>
        </w:rPr>
        <w:t>.</w:t>
      </w:r>
    </w:p>
    <w:p w:rsidR="00F70BDD" w:rsidRDefault="00F70BDD" w:rsidP="00F70BDD">
      <w:pPr>
        <w:pStyle w:val="ListParagraph"/>
        <w:numPr>
          <w:ilvl w:val="0"/>
          <w:numId w:val="16"/>
        </w:numPr>
        <w:spacing w:after="0" w:line="240" w:lineRule="auto"/>
        <w:contextualSpacing w:val="0"/>
        <w:rPr>
          <w:rFonts w:cstheme="minorHAnsi"/>
        </w:rPr>
      </w:pPr>
      <w:r>
        <w:rPr>
          <w:rFonts w:cstheme="minorHAnsi"/>
        </w:rPr>
        <w:t>An explanation that the questionnaire is anonymous and will not be linked to PII.</w:t>
      </w:r>
    </w:p>
    <w:p w:rsidR="00F70BDD" w:rsidRDefault="00F70BDD" w:rsidP="00F70BDD">
      <w:pPr>
        <w:pStyle w:val="ListParagraph"/>
        <w:numPr>
          <w:ilvl w:val="0"/>
          <w:numId w:val="16"/>
        </w:numPr>
        <w:spacing w:after="0" w:line="240" w:lineRule="auto"/>
        <w:contextualSpacing w:val="0"/>
        <w:rPr>
          <w:rFonts w:cstheme="minorHAnsi"/>
        </w:rPr>
      </w:pPr>
      <w:r>
        <w:rPr>
          <w:rFonts w:cstheme="minorHAnsi"/>
        </w:rPr>
        <w:t>A statement that taking part in the study is voluntary and that there will be no penalty or loss of benefits if household members do not wish to participate and that they can stop participating at any time with no penalty.</w:t>
      </w:r>
    </w:p>
    <w:p w:rsidR="00F70BDD" w:rsidRDefault="00F70BDD" w:rsidP="00F70BDD">
      <w:pPr>
        <w:pStyle w:val="ListParagraph"/>
        <w:numPr>
          <w:ilvl w:val="0"/>
          <w:numId w:val="16"/>
        </w:numPr>
        <w:spacing w:after="0" w:line="240" w:lineRule="auto"/>
        <w:contextualSpacing w:val="0"/>
        <w:rPr>
          <w:rFonts w:cstheme="minorHAnsi"/>
        </w:rPr>
      </w:pPr>
      <w:r>
        <w:rPr>
          <w:rFonts w:cstheme="minorHAnsi"/>
        </w:rPr>
        <w:t>Name and phone number or e-mail of the person(s) a resident can contact if s/he has any questions about the CASPER or would like to verify interview team identification.</w:t>
      </w:r>
    </w:p>
    <w:p w:rsidR="00F70BDD" w:rsidRPr="00936DA6" w:rsidRDefault="00F70BDD" w:rsidP="00F70BDD">
      <w:pPr>
        <w:pStyle w:val="ListParagraph"/>
        <w:numPr>
          <w:ilvl w:val="0"/>
          <w:numId w:val="16"/>
        </w:numPr>
        <w:spacing w:after="0" w:line="240" w:lineRule="auto"/>
        <w:contextualSpacing w:val="0"/>
        <w:rPr>
          <w:rFonts w:cstheme="minorHAnsi"/>
        </w:rPr>
      </w:pPr>
      <w:r>
        <w:rPr>
          <w:rFonts w:cstheme="minorHAnsi"/>
        </w:rPr>
        <w:t>A clear participation request or invitation that requires an explicit answer.</w:t>
      </w:r>
    </w:p>
    <w:p w:rsidR="00916F9C" w:rsidRPr="00916F9C" w:rsidRDefault="00916F9C" w:rsidP="00701D90">
      <w:pPr>
        <w:autoSpaceDE w:val="0"/>
        <w:autoSpaceDN w:val="0"/>
        <w:adjustRightInd w:val="0"/>
        <w:spacing w:after="0" w:line="240" w:lineRule="auto"/>
        <w:rPr>
          <w:rFonts w:ascii="Times-Roman" w:hAnsi="Times-Roman" w:cs="Times-Roman"/>
        </w:rPr>
      </w:pPr>
    </w:p>
    <w:p w:rsidR="00701D90" w:rsidRPr="008F5D10" w:rsidRDefault="00701D90" w:rsidP="00701D90">
      <w:pPr>
        <w:autoSpaceDE w:val="0"/>
        <w:autoSpaceDN w:val="0"/>
        <w:adjustRightInd w:val="0"/>
        <w:spacing w:after="0" w:line="240" w:lineRule="auto"/>
        <w:rPr>
          <w:rFonts w:cstheme="minorHAnsi"/>
          <w:u w:val="single"/>
        </w:rPr>
      </w:pPr>
      <w:r w:rsidRPr="008F5D10">
        <w:rPr>
          <w:rFonts w:cstheme="minorHAnsi"/>
          <w:u w:val="single"/>
        </w:rPr>
        <w:t>Opportunities to consent, if any, to sharin</w:t>
      </w:r>
      <w:r w:rsidR="00916F9C" w:rsidRPr="008F5D10">
        <w:rPr>
          <w:rFonts w:cstheme="minorHAnsi"/>
          <w:u w:val="single"/>
        </w:rPr>
        <w:t>g and submission of information</w:t>
      </w:r>
    </w:p>
    <w:p w:rsidR="00916F9C" w:rsidRDefault="00916F9C" w:rsidP="00701D90">
      <w:pPr>
        <w:autoSpaceDE w:val="0"/>
        <w:autoSpaceDN w:val="0"/>
        <w:adjustRightInd w:val="0"/>
        <w:spacing w:after="0" w:line="240" w:lineRule="auto"/>
        <w:rPr>
          <w:rFonts w:ascii="Times-Roman" w:hAnsi="Times-Roman" w:cs="Times-Roman"/>
        </w:rPr>
      </w:pPr>
    </w:p>
    <w:p w:rsidR="00560EC6" w:rsidRDefault="00560EC6" w:rsidP="00560EC6">
      <w:pPr>
        <w:spacing w:after="0" w:line="240" w:lineRule="auto"/>
      </w:pPr>
      <w:r>
        <w:rPr>
          <w:rFonts w:cstheme="minorHAnsi"/>
        </w:rPr>
        <w:t>P</w:t>
      </w:r>
      <w:r w:rsidRPr="00B62B55">
        <w:rPr>
          <w:rFonts w:cstheme="minorHAnsi"/>
        </w:rPr>
        <w:t>articipants must give explicit verbal consent</w:t>
      </w:r>
      <w:r>
        <w:rPr>
          <w:rFonts w:cstheme="minorHAnsi"/>
        </w:rPr>
        <w:t xml:space="preserve"> b</w:t>
      </w:r>
      <w:r w:rsidR="000B78CB">
        <w:rPr>
          <w:rFonts w:cstheme="minorHAnsi"/>
        </w:rPr>
        <w:t>efore a questionnaire is administer</w:t>
      </w:r>
      <w:r>
        <w:rPr>
          <w:rFonts w:cstheme="minorHAnsi"/>
        </w:rPr>
        <w:t>ed</w:t>
      </w:r>
      <w:r w:rsidRPr="00B62B55">
        <w:rPr>
          <w:rFonts w:cstheme="minorHAnsi"/>
        </w:rPr>
        <w:t>.</w:t>
      </w:r>
      <w:r>
        <w:rPr>
          <w:rFonts w:cstheme="minorHAnsi"/>
        </w:rPr>
        <w:t xml:space="preserve"> Signed consent is not required for a CASPER because obtaining signature</w:t>
      </w:r>
      <w:r w:rsidR="002627C2">
        <w:rPr>
          <w:rFonts w:cstheme="minorHAnsi"/>
        </w:rPr>
        <w:t>s leads to an increased privacy</w:t>
      </w:r>
      <w:r>
        <w:rPr>
          <w:rFonts w:cstheme="minorHAnsi"/>
        </w:rPr>
        <w:t xml:space="preserve"> risk for the </w:t>
      </w:r>
      <w:r>
        <w:rPr>
          <w:rFonts w:cstheme="minorHAnsi"/>
        </w:rPr>
        <w:lastRenderedPageBreak/>
        <w:t xml:space="preserve">participant (i.e., the signed consent will be the only record linking the participant to the questionnaire). See Attachment J for sample CASPER introduction and consent language. </w:t>
      </w:r>
    </w:p>
    <w:p w:rsidR="00560EC6" w:rsidRPr="00916F9C" w:rsidRDefault="00560EC6" w:rsidP="00701D90">
      <w:pPr>
        <w:autoSpaceDE w:val="0"/>
        <w:autoSpaceDN w:val="0"/>
        <w:adjustRightInd w:val="0"/>
        <w:spacing w:after="0" w:line="240" w:lineRule="auto"/>
        <w:rPr>
          <w:rFonts w:ascii="Times-Roman" w:hAnsi="Times-Roman" w:cs="Times-Roman"/>
        </w:rPr>
      </w:pPr>
    </w:p>
    <w:p w:rsidR="00701D90" w:rsidRPr="008F5D10" w:rsidRDefault="00701D90" w:rsidP="00701D90">
      <w:pPr>
        <w:autoSpaceDE w:val="0"/>
        <w:autoSpaceDN w:val="0"/>
        <w:adjustRightInd w:val="0"/>
        <w:spacing w:after="0" w:line="240" w:lineRule="auto"/>
        <w:rPr>
          <w:rFonts w:cstheme="minorHAnsi"/>
          <w:u w:val="single"/>
        </w:rPr>
      </w:pPr>
      <w:r w:rsidRPr="008F5D10">
        <w:rPr>
          <w:rFonts w:cstheme="minorHAnsi"/>
          <w:u w:val="single"/>
        </w:rPr>
        <w:t xml:space="preserve">How the </w:t>
      </w:r>
      <w:r w:rsidR="00916F9C" w:rsidRPr="008F5D10">
        <w:rPr>
          <w:rFonts w:cstheme="minorHAnsi"/>
          <w:u w:val="single"/>
        </w:rPr>
        <w:t>information will be secured</w:t>
      </w:r>
    </w:p>
    <w:p w:rsidR="00916F9C" w:rsidRDefault="00916F9C" w:rsidP="00701D90">
      <w:pPr>
        <w:autoSpaceDE w:val="0"/>
        <w:autoSpaceDN w:val="0"/>
        <w:adjustRightInd w:val="0"/>
        <w:spacing w:after="0" w:line="240" w:lineRule="auto"/>
        <w:rPr>
          <w:rFonts w:ascii="Times-Roman" w:hAnsi="Times-Roman" w:cs="Times-Roman"/>
        </w:rPr>
      </w:pPr>
    </w:p>
    <w:p w:rsidR="00A03321" w:rsidRDefault="007D6C40" w:rsidP="00A03321">
      <w:pPr>
        <w:widowControl w:val="0"/>
        <w:autoSpaceDE w:val="0"/>
        <w:autoSpaceDN w:val="0"/>
        <w:adjustRightInd w:val="0"/>
        <w:spacing w:after="0" w:line="240" w:lineRule="auto"/>
      </w:pPr>
      <w:r>
        <w:t xml:space="preserve">Responses to </w:t>
      </w:r>
      <w:r w:rsidR="00A03321" w:rsidRPr="00DA4E6A">
        <w:t>CASPER questionnaires</w:t>
      </w:r>
      <w:r w:rsidR="00A03321">
        <w:t xml:space="preserve"> will be entered into </w:t>
      </w:r>
      <w:r w:rsidR="00A03321" w:rsidRPr="00E07638">
        <w:t xml:space="preserve">an </w:t>
      </w:r>
      <w:proofErr w:type="spellStart"/>
      <w:r w:rsidR="00A03321" w:rsidRPr="00E07638">
        <w:t>Epi</w:t>
      </w:r>
      <w:proofErr w:type="spellEnd"/>
      <w:r w:rsidR="00A03321" w:rsidRPr="00E07638">
        <w:t xml:space="preserve"> Info database</w:t>
      </w:r>
      <w:r w:rsidR="00A03321">
        <w:t xml:space="preserve"> (data is stored in a Microsoft Access Database file) and stored on a CD</w:t>
      </w:r>
      <w:r w:rsidR="0075071F">
        <w:t>C-approved, encrypted, password-</w:t>
      </w:r>
      <w:r w:rsidR="00A03321">
        <w:t>protected computer.</w:t>
      </w:r>
      <w:r w:rsidR="00A03321" w:rsidRPr="007E5755">
        <w:rPr>
          <w:color w:val="000000"/>
        </w:rPr>
        <w:t xml:space="preserve"> </w:t>
      </w:r>
      <w:r w:rsidR="00A03321">
        <w:t>The project computers will be kept in locked offices and access to the study data will be password-protected.</w:t>
      </w:r>
      <w:r w:rsidR="00A03321" w:rsidRPr="007E5755">
        <w:rPr>
          <w:b/>
        </w:rPr>
        <w:t xml:space="preserve"> </w:t>
      </w:r>
      <w:r w:rsidR="00A03321">
        <w:t xml:space="preserve">All electronic data will be maintained by CDC. Data will not include any identifiers. Statistical data analysis and interpretation will be provided by CDC </w:t>
      </w:r>
      <w:r w:rsidR="00A03321" w:rsidRPr="004B5AF1">
        <w:t xml:space="preserve">using </w:t>
      </w:r>
      <w:proofErr w:type="spellStart"/>
      <w:r w:rsidR="00A03321" w:rsidRPr="004B5AF1">
        <w:t>Epi</w:t>
      </w:r>
      <w:proofErr w:type="spellEnd"/>
      <w:r w:rsidR="00A03321" w:rsidRPr="004B5AF1">
        <w:t xml:space="preserve"> Info or</w:t>
      </w:r>
      <w:r w:rsidR="00A03321">
        <w:t xml:space="preserve"> SAS. Hardcopies of the </w:t>
      </w:r>
      <w:r w:rsidR="0028195E">
        <w:t xml:space="preserve">recorded responses on </w:t>
      </w:r>
      <w:r w:rsidR="00A03321">
        <w:t>questionnaires will be given to the local jurisdiction and will not b</w:t>
      </w:r>
      <w:r w:rsidR="00560EC6">
        <w:t xml:space="preserve">e brought back to CDC Atlanta. </w:t>
      </w:r>
    </w:p>
    <w:p w:rsidR="00A03321" w:rsidRDefault="00A03321" w:rsidP="00A03321">
      <w:pPr>
        <w:widowControl w:val="0"/>
        <w:autoSpaceDE w:val="0"/>
        <w:autoSpaceDN w:val="0"/>
        <w:adjustRightInd w:val="0"/>
        <w:spacing w:after="0" w:line="240" w:lineRule="auto"/>
        <w:rPr>
          <w:rFonts w:cstheme="minorHAnsi"/>
        </w:rPr>
      </w:pPr>
    </w:p>
    <w:p w:rsidR="00A03321" w:rsidRDefault="00A03321" w:rsidP="00A03321">
      <w:pPr>
        <w:widowControl w:val="0"/>
        <w:autoSpaceDE w:val="0"/>
        <w:autoSpaceDN w:val="0"/>
        <w:adjustRightInd w:val="0"/>
        <w:spacing w:after="0" w:line="240" w:lineRule="auto"/>
      </w:pPr>
      <w:r w:rsidRPr="00FE5BF3">
        <w:rPr>
          <w:rFonts w:cstheme="minorHAnsi"/>
        </w:rPr>
        <w:t>All records are subject to the CDC Comprehensive Record Control Schedule (CRCS), B-371, which contains authorized disposition instructions for CDC’s administrative and program records. CDC is legally required to maintain its program-related records in accordance with disposition instructions contained in this comprehensive records control schedule. These retention periods have a direct impact on completing Freedom of Information Act requests and in applying the requirements of the Privacy Act.</w:t>
      </w:r>
    </w:p>
    <w:p w:rsidR="00A03321" w:rsidRPr="00916F9C" w:rsidRDefault="00A03321" w:rsidP="00701D90">
      <w:pPr>
        <w:autoSpaceDE w:val="0"/>
        <w:autoSpaceDN w:val="0"/>
        <w:adjustRightInd w:val="0"/>
        <w:spacing w:after="0" w:line="240" w:lineRule="auto"/>
        <w:rPr>
          <w:rFonts w:ascii="Times-Roman" w:hAnsi="Times-Roman" w:cs="Times-Roman"/>
        </w:rPr>
      </w:pPr>
    </w:p>
    <w:p w:rsidR="00701D90" w:rsidRPr="008F5D10" w:rsidRDefault="00701D90" w:rsidP="00701D90">
      <w:pPr>
        <w:spacing w:after="0" w:line="240" w:lineRule="auto"/>
        <w:rPr>
          <w:rFonts w:cstheme="minorHAnsi"/>
          <w:u w:val="single"/>
        </w:rPr>
      </w:pPr>
      <w:r w:rsidRPr="008F5D10">
        <w:rPr>
          <w:rFonts w:cstheme="minorHAnsi"/>
          <w:u w:val="single"/>
        </w:rPr>
        <w:t>Whether a system of records is being created under the Privacy Act</w:t>
      </w:r>
    </w:p>
    <w:p w:rsidR="00701D90" w:rsidRDefault="00701D90" w:rsidP="00701D90">
      <w:pPr>
        <w:spacing w:after="0" w:line="240" w:lineRule="auto"/>
        <w:rPr>
          <w:rFonts w:ascii="Times-Roman" w:hAnsi="Times-Roman" w:cs="Times-Roman"/>
        </w:rPr>
      </w:pPr>
    </w:p>
    <w:p w:rsidR="006D2B31" w:rsidRDefault="006D2B31" w:rsidP="00701D90">
      <w:pPr>
        <w:spacing w:after="0" w:line="240" w:lineRule="auto"/>
      </w:pPr>
      <w:r>
        <w:t xml:space="preserve">This submission has been reviewed by the NCEH/ATSDR PRA Coordinator who has determined that </w:t>
      </w:r>
      <w:r w:rsidR="00E6047C" w:rsidRPr="00E51B71">
        <w:t>the P</w:t>
      </w:r>
      <w:r w:rsidR="000C0FF1" w:rsidRPr="00E51B71">
        <w:t xml:space="preserve">rivacy Act </w:t>
      </w:r>
      <w:r>
        <w:t>does</w:t>
      </w:r>
      <w:r w:rsidR="000C0FF1" w:rsidRPr="00E51B71">
        <w:t xml:space="preserve"> </w:t>
      </w:r>
      <w:r w:rsidR="00ED5855">
        <w:t>not</w:t>
      </w:r>
      <w:r w:rsidR="00ED5855" w:rsidRPr="00E51B71">
        <w:t xml:space="preserve"> </w:t>
      </w:r>
      <w:r w:rsidR="00E6047C" w:rsidRPr="00E51B71">
        <w:t>appl</w:t>
      </w:r>
      <w:r>
        <w:t>y to this information collection</w:t>
      </w:r>
      <w:r w:rsidR="00E51B71">
        <w:t xml:space="preserve">. </w:t>
      </w:r>
      <w:r w:rsidR="001B74D3">
        <w:t>PII</w:t>
      </w:r>
      <w:r w:rsidR="00ED5855" w:rsidDel="006D2B31">
        <w:t xml:space="preserve"> is never stored or retained by the CDC</w:t>
      </w:r>
      <w:r w:rsidR="00253E1A">
        <w:t>, and a System of Records is not required for this generic clearance.</w:t>
      </w:r>
    </w:p>
    <w:p w:rsidR="00B26432" w:rsidRDefault="00B26432" w:rsidP="00350142">
      <w:pPr>
        <w:spacing w:after="0" w:line="240" w:lineRule="auto"/>
      </w:pPr>
    </w:p>
    <w:p w:rsidR="00822527" w:rsidRPr="00B06C13" w:rsidRDefault="00822527" w:rsidP="00350142">
      <w:pPr>
        <w:spacing w:after="0" w:line="240" w:lineRule="auto"/>
        <w:rPr>
          <w:u w:val="single"/>
        </w:rPr>
      </w:pPr>
      <w:r w:rsidRPr="00B06C13">
        <w:rPr>
          <w:u w:val="single"/>
        </w:rPr>
        <w:t>IRB Approval</w:t>
      </w:r>
    </w:p>
    <w:p w:rsidR="00822527" w:rsidRDefault="00822527" w:rsidP="00350142">
      <w:pPr>
        <w:spacing w:after="0" w:line="240" w:lineRule="auto"/>
      </w:pPr>
    </w:p>
    <w:p w:rsidR="00825F43" w:rsidRDefault="00B00957" w:rsidP="00350142">
      <w:pPr>
        <w:spacing w:after="0" w:line="240" w:lineRule="auto"/>
        <w:rPr>
          <w:i/>
        </w:rPr>
      </w:pPr>
      <w:r>
        <w:t xml:space="preserve">Disaster </w:t>
      </w:r>
      <w:r w:rsidR="00355D94">
        <w:t>CASPER</w:t>
      </w:r>
      <w:r w:rsidR="006D2B31">
        <w:t>s</w:t>
      </w:r>
      <w:r w:rsidR="00355D94">
        <w:t xml:space="preserve"> are a non-research activity</w:t>
      </w:r>
      <w:r w:rsidR="00822527">
        <w:t>, as</w:t>
      </w:r>
      <w:r w:rsidR="00A46E56">
        <w:t xml:space="preserve"> they are conducted as part of local public health </w:t>
      </w:r>
      <w:r w:rsidR="0011723D">
        <w:t xml:space="preserve">response or recovery </w:t>
      </w:r>
      <w:r w:rsidR="00A46E56">
        <w:t>activities for the purposes of informing loc</w:t>
      </w:r>
      <w:r w:rsidR="005861F4">
        <w:t>al public health action</w:t>
      </w:r>
      <w:r w:rsidR="00FE402F">
        <w:t>. All CASPER</w:t>
      </w:r>
      <w:r w:rsidR="00D21052">
        <w:t xml:space="preserve"> </w:t>
      </w:r>
      <w:r w:rsidR="00677EE8">
        <w:t>Gen ICR</w:t>
      </w:r>
      <w:r w:rsidR="00822527">
        <w:t>s</w:t>
      </w:r>
      <w:r w:rsidR="008F13FE">
        <w:t xml:space="preserve"> </w:t>
      </w:r>
      <w:r w:rsidR="00FE402F">
        <w:t xml:space="preserve">will be </w:t>
      </w:r>
      <w:r w:rsidR="007A5066">
        <w:t xml:space="preserve">submitted for </w:t>
      </w:r>
      <w:r w:rsidR="00822527">
        <w:t>a research determination</w:t>
      </w:r>
      <w:r w:rsidR="007A5066">
        <w:t xml:space="preserve"> </w:t>
      </w:r>
      <w:r w:rsidR="0011723D">
        <w:t xml:space="preserve">the determination will be made </w:t>
      </w:r>
      <w:r w:rsidR="00FE402F">
        <w:t>on a case-by-case basis.</w:t>
      </w:r>
    </w:p>
    <w:p w:rsidR="005B1361" w:rsidRPr="000D2892" w:rsidRDefault="005B1361" w:rsidP="00350142">
      <w:pPr>
        <w:spacing w:after="0" w:line="240" w:lineRule="auto"/>
      </w:pPr>
    </w:p>
    <w:p w:rsidR="00C9554F" w:rsidRDefault="00C9554F" w:rsidP="00350142">
      <w:pPr>
        <w:pStyle w:val="Heading1"/>
        <w:spacing w:before="0" w:line="240" w:lineRule="auto"/>
      </w:pPr>
      <w:bookmarkStart w:id="13" w:name="_Toc403138205"/>
      <w:r w:rsidRPr="007014D4">
        <w:t>A.11 Justification for Sensitive Questions</w:t>
      </w:r>
      <w:bookmarkEnd w:id="13"/>
      <w:r>
        <w:tab/>
      </w:r>
    </w:p>
    <w:p w:rsidR="004C7121" w:rsidRDefault="00B3397D" w:rsidP="00350142">
      <w:pPr>
        <w:spacing w:after="0" w:line="240" w:lineRule="auto"/>
      </w:pPr>
      <w:r>
        <w:t xml:space="preserve"> </w:t>
      </w:r>
    </w:p>
    <w:p w:rsidR="00C2168D" w:rsidRDefault="00121916" w:rsidP="00350142">
      <w:pPr>
        <w:spacing w:after="0" w:line="240" w:lineRule="auto"/>
      </w:pPr>
      <w:r>
        <w:t xml:space="preserve">We </w:t>
      </w:r>
      <w:r w:rsidRPr="0077074B">
        <w:t xml:space="preserve">will submit appropriate documentation within the individual </w:t>
      </w:r>
      <w:r w:rsidR="0092315A">
        <w:t>Gen ICR</w:t>
      </w:r>
      <w:r w:rsidRPr="0077074B">
        <w:t xml:space="preserve"> packages for each CASPER to OMB for approval. </w:t>
      </w:r>
      <w:r w:rsidRPr="00B06C13">
        <w:t xml:space="preserve">See Attachment </w:t>
      </w:r>
      <w:r w:rsidRPr="0077074B">
        <w:t>C for</w:t>
      </w:r>
      <w:r>
        <w:t xml:space="preserve"> examples of CASPER questionnaires.</w:t>
      </w:r>
      <w:r w:rsidR="00D842AE">
        <w:t xml:space="preserve"> </w:t>
      </w:r>
      <w:r w:rsidR="00122BA1">
        <w:t>Sometimes, i</w:t>
      </w:r>
      <w:r w:rsidR="007014D4">
        <w:t>nformation that can be considered of a s</w:t>
      </w:r>
      <w:r w:rsidR="00E71225">
        <w:t>ensitive nature</w:t>
      </w:r>
      <w:r w:rsidR="00122BA1">
        <w:t xml:space="preserve"> (e.g., race and ethnicity, mental health, </w:t>
      </w:r>
      <w:r w:rsidR="00D842AE">
        <w:t>pregnancy</w:t>
      </w:r>
      <w:r w:rsidR="00122BA1">
        <w:t>, or disability)</w:t>
      </w:r>
      <w:r w:rsidR="00D74601">
        <w:t xml:space="preserve"> </w:t>
      </w:r>
      <w:r w:rsidR="00122BA1">
        <w:t xml:space="preserve">may be </w:t>
      </w:r>
      <w:r w:rsidR="00D842AE">
        <w:t>included in</w:t>
      </w:r>
      <w:r w:rsidR="007014D4">
        <w:t xml:space="preserve"> CASPER </w:t>
      </w:r>
      <w:r w:rsidR="00D90FE5">
        <w:t>questionnaire</w:t>
      </w:r>
      <w:r w:rsidR="00E71225">
        <w:t>s</w:t>
      </w:r>
      <w:r w:rsidR="00122BA1">
        <w:t xml:space="preserve"> </w:t>
      </w:r>
      <w:r w:rsidR="00D842AE">
        <w:t>if they</w:t>
      </w:r>
      <w:r w:rsidR="007014D4">
        <w:t xml:space="preserve"> can help provide a clearer understanding of</w:t>
      </w:r>
      <w:r w:rsidR="00122BA1">
        <w:t xml:space="preserve"> what</w:t>
      </w:r>
      <w:r w:rsidR="007014D4">
        <w:t xml:space="preserve"> the population being assessed</w:t>
      </w:r>
      <w:r w:rsidR="00122BA1">
        <w:t xml:space="preserve"> needs and thus</w:t>
      </w:r>
      <w:r w:rsidR="00C2168D">
        <w:t xml:space="preserve"> help decision makers respond appropriately to the situation at hand</w:t>
      </w:r>
      <w:r w:rsidR="002727DA">
        <w:t>.</w:t>
      </w:r>
      <w:r w:rsidR="00183ED3">
        <w:rPr>
          <w:vertAlign w:val="superscript"/>
        </w:rPr>
        <w:t>15-19</w:t>
      </w:r>
      <w:r w:rsidR="006C74DF">
        <w:t xml:space="preserve"> </w:t>
      </w:r>
      <w:r w:rsidR="006C74DF" w:rsidRPr="0092315A">
        <w:t xml:space="preserve">States </w:t>
      </w:r>
      <w:r w:rsidR="00122BA1">
        <w:t>may</w:t>
      </w:r>
      <w:r w:rsidR="006C74DF" w:rsidRPr="0092315A">
        <w:t xml:space="preserve"> request that we collect information on how a disaster has impacted their communities in regard to </w:t>
      </w:r>
      <w:r w:rsidR="00122BA1">
        <w:t xml:space="preserve">specific issues, such as </w:t>
      </w:r>
      <w:r w:rsidR="006C74DF" w:rsidRPr="0092315A">
        <w:t xml:space="preserve">mental and behavioral health issues, so they can provide information and resources if they find there is a need. </w:t>
      </w:r>
      <w:r w:rsidR="0083117F">
        <w:t>Questions regarding physical health issues</w:t>
      </w:r>
      <w:r w:rsidR="00C2168D">
        <w:t>,</w:t>
      </w:r>
      <w:r w:rsidR="0083117F">
        <w:t xml:space="preserve"> such as those inquiring if any household members may be blind or deaf</w:t>
      </w:r>
      <w:r w:rsidR="00C2168D">
        <w:t>,</w:t>
      </w:r>
      <w:r w:rsidR="0083117F">
        <w:t xml:space="preserve"> can help to better understand specialized outreach or communication methods that may be needed in that community</w:t>
      </w:r>
      <w:r w:rsidR="002727DA">
        <w:t xml:space="preserve">. </w:t>
      </w:r>
    </w:p>
    <w:p w:rsidR="0041110F" w:rsidRPr="004C7121" w:rsidRDefault="0041110F" w:rsidP="00350142">
      <w:pPr>
        <w:spacing w:after="0" w:line="240" w:lineRule="auto"/>
      </w:pPr>
    </w:p>
    <w:p w:rsidR="00C9554F" w:rsidRPr="00DC7DAF" w:rsidRDefault="00C9554F" w:rsidP="00350142">
      <w:pPr>
        <w:pStyle w:val="Heading1"/>
        <w:spacing w:before="0" w:line="240" w:lineRule="auto"/>
      </w:pPr>
      <w:bookmarkStart w:id="14" w:name="_Toc403138206"/>
      <w:r w:rsidRPr="00DC7DAF">
        <w:t>A.12 Estimates of Annualized Burden Hours and Costs</w:t>
      </w:r>
      <w:bookmarkEnd w:id="14"/>
      <w:r w:rsidRPr="00DC7DAF">
        <w:tab/>
      </w:r>
    </w:p>
    <w:p w:rsidR="00A63A3D" w:rsidRPr="00A63A3D" w:rsidRDefault="00A63A3D" w:rsidP="00350142">
      <w:pPr>
        <w:spacing w:after="0" w:line="240" w:lineRule="auto"/>
        <w:rPr>
          <w:highlight w:val="cyan"/>
        </w:rPr>
      </w:pPr>
    </w:p>
    <w:p w:rsidR="00627770" w:rsidRDefault="001B32E3" w:rsidP="00350142">
      <w:pPr>
        <w:spacing w:after="0" w:line="240" w:lineRule="auto"/>
        <w:rPr>
          <w:rFonts w:cstheme="minorHAnsi"/>
        </w:rPr>
      </w:pPr>
      <w:r>
        <w:rPr>
          <w:rFonts w:cstheme="minorHAnsi"/>
        </w:rPr>
        <w:lastRenderedPageBreak/>
        <w:t>A</w:t>
      </w:r>
      <w:r w:rsidR="00D842AE">
        <w:rPr>
          <w:rFonts w:cstheme="minorHAnsi"/>
        </w:rPr>
        <w:t xml:space="preserve">.  </w:t>
      </w:r>
      <w:r w:rsidR="00627770">
        <w:rPr>
          <w:rFonts w:cstheme="minorHAnsi"/>
        </w:rPr>
        <w:t>CDC estimates that it will conduct</w:t>
      </w:r>
      <w:r w:rsidR="00EF3593">
        <w:rPr>
          <w:rFonts w:cstheme="minorHAnsi"/>
        </w:rPr>
        <w:t xml:space="preserve"> an average of</w:t>
      </w:r>
      <w:r w:rsidR="009C1315">
        <w:rPr>
          <w:rFonts w:cstheme="minorHAnsi"/>
        </w:rPr>
        <w:t xml:space="preserve"> </w:t>
      </w:r>
      <w:r w:rsidR="00750F0B">
        <w:rPr>
          <w:rFonts w:cstheme="minorHAnsi"/>
        </w:rPr>
        <w:t>6</w:t>
      </w:r>
      <w:r w:rsidR="009C1315">
        <w:rPr>
          <w:rFonts w:cstheme="minorHAnsi"/>
        </w:rPr>
        <w:t xml:space="preserve"> </w:t>
      </w:r>
      <w:r w:rsidR="00D800B6">
        <w:rPr>
          <w:rFonts w:cstheme="minorHAnsi"/>
        </w:rPr>
        <w:t xml:space="preserve">emergency </w:t>
      </w:r>
      <w:r w:rsidR="009C1315">
        <w:rPr>
          <w:rFonts w:cstheme="minorHAnsi"/>
        </w:rPr>
        <w:t>CASPERs</w:t>
      </w:r>
      <w:r w:rsidR="00627770">
        <w:rPr>
          <w:rFonts w:cstheme="minorHAnsi"/>
        </w:rPr>
        <w:t xml:space="preserve"> per year, generally </w:t>
      </w:r>
      <w:r w:rsidR="009C1315">
        <w:rPr>
          <w:rFonts w:cstheme="minorHAnsi"/>
        </w:rPr>
        <w:t>intervi</w:t>
      </w:r>
      <w:r w:rsidR="00627770">
        <w:rPr>
          <w:rFonts w:cstheme="minorHAnsi"/>
        </w:rPr>
        <w:t>ewing 210 households per CASPER. Each household interview is estimated to require 30 minutes</w:t>
      </w:r>
      <w:r w:rsidR="0077074B">
        <w:rPr>
          <w:rFonts w:cstheme="minorHAnsi"/>
        </w:rPr>
        <w:t>, which includes time</w:t>
      </w:r>
      <w:r w:rsidR="00E71225">
        <w:rPr>
          <w:rFonts w:cstheme="minorHAnsi"/>
        </w:rPr>
        <w:t xml:space="preserve"> to give an introduction, obtain consent, and administer the questionnaire</w:t>
      </w:r>
      <w:r w:rsidR="009874D9">
        <w:rPr>
          <w:rFonts w:cstheme="minorHAnsi"/>
        </w:rPr>
        <w:t xml:space="preserve">. </w:t>
      </w:r>
      <w:r w:rsidR="00627770">
        <w:rPr>
          <w:rFonts w:cstheme="minorHAnsi"/>
        </w:rPr>
        <w:t>The estimates</w:t>
      </w:r>
      <w:r w:rsidR="0077074B">
        <w:rPr>
          <w:rFonts w:cstheme="minorHAnsi"/>
        </w:rPr>
        <w:t xml:space="preserve"> in Table A-12.1 </w:t>
      </w:r>
      <w:r w:rsidR="00627770">
        <w:rPr>
          <w:rFonts w:cstheme="minorHAnsi"/>
        </w:rPr>
        <w:t>are based on previous CASPERs conducted in the past few years</w:t>
      </w:r>
      <w:r w:rsidR="0077074B">
        <w:rPr>
          <w:rFonts w:cstheme="minorHAnsi"/>
        </w:rPr>
        <w:t xml:space="preserve"> (OMB </w:t>
      </w:r>
      <w:r w:rsidR="0077074B" w:rsidRPr="001550A1">
        <w:t>No. 0920-0008; expiration 7/31/2014</w:t>
      </w:r>
      <w:r w:rsidR="0077074B">
        <w:rPr>
          <w:rFonts w:cstheme="minorHAnsi"/>
        </w:rPr>
        <w:t>)</w:t>
      </w:r>
      <w:r w:rsidR="00627770">
        <w:rPr>
          <w:rFonts w:cstheme="minorHAnsi"/>
        </w:rPr>
        <w:t xml:space="preserve">. The respondent </w:t>
      </w:r>
      <w:r w:rsidR="00E33B51">
        <w:rPr>
          <w:rFonts w:cstheme="minorHAnsi"/>
        </w:rPr>
        <w:t xml:space="preserve">universe </w:t>
      </w:r>
      <w:r w:rsidR="00627770">
        <w:rPr>
          <w:rFonts w:cstheme="minorHAnsi"/>
        </w:rPr>
        <w:t xml:space="preserve">is described </w:t>
      </w:r>
      <w:r w:rsidR="0077074B">
        <w:rPr>
          <w:rFonts w:cstheme="minorHAnsi"/>
        </w:rPr>
        <w:t xml:space="preserve">further </w:t>
      </w:r>
      <w:r w:rsidR="00627770">
        <w:rPr>
          <w:rFonts w:cstheme="minorHAnsi"/>
        </w:rPr>
        <w:t xml:space="preserve">in section B.1. The total estimated annual burden hours are </w:t>
      </w:r>
      <w:r w:rsidR="00C570FD">
        <w:rPr>
          <w:rFonts w:cstheme="minorHAnsi"/>
        </w:rPr>
        <w:t>631</w:t>
      </w:r>
      <w:r w:rsidR="0077074B">
        <w:rPr>
          <w:rFonts w:cstheme="minorHAnsi"/>
        </w:rPr>
        <w:t xml:space="preserve"> </w:t>
      </w:r>
      <w:r w:rsidR="00627770">
        <w:rPr>
          <w:rFonts w:cstheme="minorHAnsi"/>
        </w:rPr>
        <w:t>hours.</w:t>
      </w:r>
    </w:p>
    <w:p w:rsidR="009C1315" w:rsidRDefault="009C1315" w:rsidP="00350142">
      <w:pPr>
        <w:spacing w:after="0" w:line="240" w:lineRule="auto"/>
        <w:rPr>
          <w:rFonts w:cstheme="minorHAnsi"/>
        </w:rPr>
      </w:pPr>
    </w:p>
    <w:p w:rsidR="009C1315" w:rsidRPr="00B62B55" w:rsidRDefault="006F7AC5" w:rsidP="00350142">
      <w:pPr>
        <w:spacing w:after="0" w:line="240" w:lineRule="auto"/>
        <w:rPr>
          <w:rFonts w:cstheme="minorHAnsi"/>
        </w:rPr>
      </w:pPr>
      <w:r>
        <w:rPr>
          <w:rFonts w:cstheme="minorHAnsi"/>
        </w:rPr>
        <w:t xml:space="preserve">     Table </w:t>
      </w:r>
      <w:proofErr w:type="gramStart"/>
      <w:r>
        <w:rPr>
          <w:rFonts w:cstheme="minorHAnsi"/>
        </w:rPr>
        <w:t>A-</w:t>
      </w:r>
      <w:proofErr w:type="gramEnd"/>
      <w:r>
        <w:rPr>
          <w:rFonts w:cstheme="minorHAnsi"/>
        </w:rPr>
        <w:t>12.1 T</w:t>
      </w:r>
      <w:r w:rsidR="000C79D9">
        <w:rPr>
          <w:rFonts w:cstheme="minorHAnsi"/>
        </w:rPr>
        <w:t>otal Annualized Burden H</w:t>
      </w:r>
      <w:r w:rsidR="009C1315">
        <w:rPr>
          <w:rFonts w:cstheme="minorHAnsi"/>
        </w:rPr>
        <w:t xml:space="preserve">ours </w:t>
      </w:r>
      <w:r w:rsidR="009C1315" w:rsidRPr="00B62B55">
        <w:rPr>
          <w:rFonts w:cstheme="minorHAnsi"/>
        </w:rPr>
        <w:t xml:space="preserve"> </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1440"/>
        <w:gridCol w:w="1409"/>
        <w:gridCol w:w="1555"/>
        <w:gridCol w:w="1446"/>
        <w:gridCol w:w="1649"/>
      </w:tblGrid>
      <w:tr w:rsidR="009C1315" w:rsidRPr="00B62B55" w:rsidTr="0001737B">
        <w:trPr>
          <w:trHeight w:val="989"/>
        </w:trPr>
        <w:tc>
          <w:tcPr>
            <w:tcW w:w="1890" w:type="dxa"/>
            <w:tcMar>
              <w:left w:w="29" w:type="dxa"/>
              <w:right w:w="29" w:type="dxa"/>
            </w:tcMar>
            <w:vAlign w:val="center"/>
          </w:tcPr>
          <w:p w:rsidR="009C1315" w:rsidRPr="009C1315" w:rsidRDefault="009C1315" w:rsidP="00350142">
            <w:pPr>
              <w:spacing w:after="0" w:line="240" w:lineRule="auto"/>
              <w:jc w:val="center"/>
              <w:rPr>
                <w:rFonts w:cstheme="minorHAnsi"/>
                <w:b/>
              </w:rPr>
            </w:pPr>
            <w:r w:rsidRPr="009C1315">
              <w:rPr>
                <w:rFonts w:cstheme="minorHAnsi"/>
                <w:b/>
              </w:rPr>
              <w:t>Type of Respondents</w:t>
            </w:r>
          </w:p>
        </w:tc>
        <w:tc>
          <w:tcPr>
            <w:tcW w:w="1440" w:type="dxa"/>
            <w:tcMar>
              <w:left w:w="29" w:type="dxa"/>
              <w:right w:w="29" w:type="dxa"/>
            </w:tcMar>
            <w:vAlign w:val="center"/>
          </w:tcPr>
          <w:p w:rsidR="009C1315" w:rsidRPr="009C1315" w:rsidRDefault="009C1315" w:rsidP="00350142">
            <w:pPr>
              <w:spacing w:after="0" w:line="240" w:lineRule="auto"/>
              <w:jc w:val="center"/>
              <w:rPr>
                <w:rFonts w:cstheme="minorHAnsi"/>
                <w:b/>
              </w:rPr>
            </w:pPr>
            <w:r w:rsidRPr="009C1315">
              <w:rPr>
                <w:rFonts w:cstheme="minorHAnsi"/>
                <w:b/>
              </w:rPr>
              <w:t>Form Name</w:t>
            </w:r>
          </w:p>
        </w:tc>
        <w:tc>
          <w:tcPr>
            <w:tcW w:w="1409" w:type="dxa"/>
            <w:tcMar>
              <w:left w:w="29" w:type="dxa"/>
              <w:right w:w="29" w:type="dxa"/>
            </w:tcMar>
            <w:vAlign w:val="center"/>
          </w:tcPr>
          <w:p w:rsidR="009C1315" w:rsidRPr="009C1315" w:rsidRDefault="009C1315" w:rsidP="00350142">
            <w:pPr>
              <w:spacing w:after="0" w:line="240" w:lineRule="auto"/>
              <w:jc w:val="center"/>
              <w:rPr>
                <w:rFonts w:cstheme="minorHAnsi"/>
                <w:b/>
              </w:rPr>
            </w:pPr>
            <w:r w:rsidRPr="009C1315">
              <w:rPr>
                <w:rFonts w:cstheme="minorHAnsi"/>
                <w:b/>
              </w:rPr>
              <w:t>No. of Respondents</w:t>
            </w:r>
          </w:p>
        </w:tc>
        <w:tc>
          <w:tcPr>
            <w:tcW w:w="1555" w:type="dxa"/>
            <w:tcMar>
              <w:left w:w="29" w:type="dxa"/>
              <w:right w:w="29" w:type="dxa"/>
            </w:tcMar>
            <w:vAlign w:val="center"/>
          </w:tcPr>
          <w:p w:rsidR="009C1315" w:rsidRPr="009C1315" w:rsidRDefault="009C1315" w:rsidP="00350142">
            <w:pPr>
              <w:spacing w:after="0" w:line="240" w:lineRule="auto"/>
              <w:jc w:val="center"/>
              <w:rPr>
                <w:rFonts w:cstheme="minorHAnsi"/>
                <w:b/>
              </w:rPr>
            </w:pPr>
            <w:r w:rsidRPr="009C1315">
              <w:rPr>
                <w:rFonts w:cstheme="minorHAnsi"/>
                <w:b/>
              </w:rPr>
              <w:t>No. of Responses per Respondent</w:t>
            </w:r>
          </w:p>
        </w:tc>
        <w:tc>
          <w:tcPr>
            <w:tcW w:w="1446" w:type="dxa"/>
            <w:tcMar>
              <w:left w:w="29" w:type="dxa"/>
              <w:right w:w="29" w:type="dxa"/>
            </w:tcMar>
            <w:vAlign w:val="center"/>
          </w:tcPr>
          <w:p w:rsidR="00692153" w:rsidRDefault="009C1315" w:rsidP="00350142">
            <w:pPr>
              <w:spacing w:after="0" w:line="240" w:lineRule="auto"/>
              <w:jc w:val="center"/>
              <w:rPr>
                <w:rFonts w:cstheme="minorHAnsi"/>
                <w:b/>
              </w:rPr>
            </w:pPr>
            <w:r w:rsidRPr="009C1315">
              <w:rPr>
                <w:rFonts w:cstheme="minorHAnsi"/>
                <w:b/>
              </w:rPr>
              <w:t xml:space="preserve">Average Burden per Response </w:t>
            </w:r>
          </w:p>
          <w:p w:rsidR="009C1315" w:rsidRPr="009C1315" w:rsidRDefault="009C1315" w:rsidP="00350142">
            <w:pPr>
              <w:spacing w:after="0" w:line="240" w:lineRule="auto"/>
              <w:jc w:val="center"/>
              <w:rPr>
                <w:rFonts w:cstheme="minorHAnsi"/>
                <w:b/>
              </w:rPr>
            </w:pPr>
            <w:r w:rsidRPr="009C1315">
              <w:rPr>
                <w:rFonts w:cstheme="minorHAnsi"/>
                <w:b/>
              </w:rPr>
              <w:t>(in hours)</w:t>
            </w:r>
          </w:p>
        </w:tc>
        <w:tc>
          <w:tcPr>
            <w:tcW w:w="1649" w:type="dxa"/>
            <w:tcMar>
              <w:left w:w="29" w:type="dxa"/>
              <w:right w:w="29" w:type="dxa"/>
            </w:tcMar>
            <w:vAlign w:val="center"/>
          </w:tcPr>
          <w:p w:rsidR="009C1315" w:rsidRPr="009C1315" w:rsidRDefault="009C1315" w:rsidP="00350142">
            <w:pPr>
              <w:spacing w:after="0" w:line="240" w:lineRule="auto"/>
              <w:jc w:val="center"/>
              <w:rPr>
                <w:rFonts w:cstheme="minorHAnsi"/>
                <w:b/>
              </w:rPr>
            </w:pPr>
            <w:r w:rsidRPr="009C1315">
              <w:rPr>
                <w:rFonts w:cstheme="minorHAnsi"/>
                <w:b/>
              </w:rPr>
              <w:t>Total Burden</w:t>
            </w:r>
          </w:p>
          <w:p w:rsidR="009C1315" w:rsidRPr="009C1315" w:rsidRDefault="009C1315" w:rsidP="00350142">
            <w:pPr>
              <w:spacing w:after="0" w:line="240" w:lineRule="auto"/>
              <w:jc w:val="center"/>
              <w:rPr>
                <w:rFonts w:cstheme="minorHAnsi"/>
                <w:b/>
              </w:rPr>
            </w:pPr>
            <w:r w:rsidRPr="009C1315">
              <w:rPr>
                <w:rFonts w:cstheme="minorHAnsi"/>
                <w:b/>
              </w:rPr>
              <w:t>(in hours)</w:t>
            </w:r>
          </w:p>
        </w:tc>
      </w:tr>
      <w:tr w:rsidR="00E33B51" w:rsidRPr="00B62B55" w:rsidTr="0001737B">
        <w:trPr>
          <w:trHeight w:hRule="exact" w:val="829"/>
        </w:trPr>
        <w:tc>
          <w:tcPr>
            <w:tcW w:w="1890" w:type="dxa"/>
            <w:vMerge w:val="restart"/>
            <w:tcMar>
              <w:left w:w="29" w:type="dxa"/>
              <w:right w:w="29" w:type="dxa"/>
            </w:tcMar>
          </w:tcPr>
          <w:p w:rsidR="00E33B51" w:rsidRDefault="00E33B51" w:rsidP="00692153">
            <w:pPr>
              <w:spacing w:after="0" w:line="240" w:lineRule="auto"/>
              <w:jc w:val="center"/>
              <w:rPr>
                <w:rFonts w:cstheme="minorHAnsi"/>
                <w:sz w:val="20"/>
                <w:szCs w:val="20"/>
              </w:rPr>
            </w:pPr>
          </w:p>
          <w:p w:rsidR="00E33B51" w:rsidRDefault="00E33B51" w:rsidP="00692153">
            <w:pPr>
              <w:spacing w:after="0" w:line="240" w:lineRule="auto"/>
              <w:jc w:val="center"/>
              <w:rPr>
                <w:rFonts w:cstheme="minorHAnsi"/>
                <w:sz w:val="20"/>
                <w:szCs w:val="20"/>
              </w:rPr>
            </w:pPr>
          </w:p>
          <w:p w:rsidR="00E33B51" w:rsidRPr="00B62B55" w:rsidRDefault="00D123CA" w:rsidP="008F5D10">
            <w:pPr>
              <w:spacing w:after="0" w:line="240" w:lineRule="auto"/>
              <w:rPr>
                <w:rFonts w:cstheme="minorHAnsi"/>
                <w:sz w:val="20"/>
                <w:szCs w:val="20"/>
              </w:rPr>
            </w:pPr>
            <w:r>
              <w:rPr>
                <w:rFonts w:cstheme="minorHAnsi"/>
                <w:sz w:val="20"/>
                <w:szCs w:val="20"/>
              </w:rPr>
              <w:t>Households in</w:t>
            </w:r>
            <w:r w:rsidR="00E33B51">
              <w:rPr>
                <w:rFonts w:cstheme="minorHAnsi"/>
                <w:sz w:val="20"/>
                <w:szCs w:val="20"/>
              </w:rPr>
              <w:t xml:space="preserve"> the selected geographic area to be </w:t>
            </w:r>
            <w:r w:rsidR="00D90FE5">
              <w:rPr>
                <w:rFonts w:cstheme="minorHAnsi"/>
                <w:sz w:val="20"/>
                <w:szCs w:val="20"/>
              </w:rPr>
              <w:t>assessed</w:t>
            </w:r>
          </w:p>
        </w:tc>
        <w:tc>
          <w:tcPr>
            <w:tcW w:w="1440" w:type="dxa"/>
            <w:tcMar>
              <w:left w:w="29" w:type="dxa"/>
              <w:right w:w="29" w:type="dxa"/>
            </w:tcMar>
          </w:tcPr>
          <w:p w:rsidR="00E33B51" w:rsidRPr="00B62B55" w:rsidRDefault="00E33B51" w:rsidP="00692153">
            <w:pPr>
              <w:spacing w:after="0" w:line="240" w:lineRule="auto"/>
              <w:jc w:val="center"/>
              <w:rPr>
                <w:rFonts w:cstheme="minorHAnsi"/>
                <w:sz w:val="20"/>
                <w:szCs w:val="20"/>
              </w:rPr>
            </w:pPr>
            <w:r w:rsidRPr="00B62B55">
              <w:rPr>
                <w:rFonts w:cstheme="minorHAnsi"/>
                <w:sz w:val="20"/>
                <w:szCs w:val="20"/>
              </w:rPr>
              <w:t>CASPER Questionnaire</w:t>
            </w:r>
          </w:p>
        </w:tc>
        <w:tc>
          <w:tcPr>
            <w:tcW w:w="1409" w:type="dxa"/>
            <w:tcMar>
              <w:left w:w="29" w:type="dxa"/>
              <w:right w:w="29" w:type="dxa"/>
            </w:tcMar>
          </w:tcPr>
          <w:p w:rsidR="00E33B51" w:rsidRPr="001D25EE" w:rsidRDefault="00750F0B" w:rsidP="00692153">
            <w:pPr>
              <w:spacing w:after="0" w:line="240" w:lineRule="auto"/>
              <w:jc w:val="center"/>
              <w:rPr>
                <w:rFonts w:cstheme="minorHAnsi"/>
                <w:sz w:val="20"/>
                <w:szCs w:val="20"/>
              </w:rPr>
            </w:pPr>
            <w:r>
              <w:rPr>
                <w:rFonts w:cstheme="minorHAnsi"/>
                <w:sz w:val="20"/>
                <w:szCs w:val="20"/>
              </w:rPr>
              <w:t>1,260</w:t>
            </w:r>
          </w:p>
        </w:tc>
        <w:tc>
          <w:tcPr>
            <w:tcW w:w="1555" w:type="dxa"/>
            <w:tcMar>
              <w:left w:w="29" w:type="dxa"/>
              <w:right w:w="29" w:type="dxa"/>
            </w:tcMar>
          </w:tcPr>
          <w:p w:rsidR="00E33B51" w:rsidRPr="001D25EE" w:rsidRDefault="00E33B51" w:rsidP="00692153">
            <w:pPr>
              <w:spacing w:after="0" w:line="240" w:lineRule="auto"/>
              <w:jc w:val="center"/>
              <w:rPr>
                <w:rFonts w:cstheme="minorHAnsi"/>
                <w:sz w:val="20"/>
                <w:szCs w:val="20"/>
              </w:rPr>
            </w:pPr>
            <w:r w:rsidRPr="001D25EE">
              <w:rPr>
                <w:rFonts w:cstheme="minorHAnsi"/>
                <w:sz w:val="20"/>
                <w:szCs w:val="20"/>
              </w:rPr>
              <w:t>1</w:t>
            </w:r>
          </w:p>
        </w:tc>
        <w:tc>
          <w:tcPr>
            <w:tcW w:w="1446" w:type="dxa"/>
            <w:tcMar>
              <w:left w:w="29" w:type="dxa"/>
              <w:right w:w="29" w:type="dxa"/>
            </w:tcMar>
          </w:tcPr>
          <w:p w:rsidR="00E33B51" w:rsidRPr="001D25EE" w:rsidRDefault="0077074B" w:rsidP="00692153">
            <w:pPr>
              <w:spacing w:after="0" w:line="240" w:lineRule="auto"/>
              <w:jc w:val="center"/>
              <w:rPr>
                <w:rFonts w:cstheme="minorHAnsi"/>
                <w:sz w:val="20"/>
                <w:szCs w:val="20"/>
              </w:rPr>
            </w:pPr>
            <w:r>
              <w:rPr>
                <w:rFonts w:cstheme="minorHAnsi"/>
                <w:sz w:val="20"/>
                <w:szCs w:val="20"/>
              </w:rPr>
              <w:t>30/60</w:t>
            </w:r>
          </w:p>
        </w:tc>
        <w:tc>
          <w:tcPr>
            <w:tcW w:w="1649" w:type="dxa"/>
            <w:tcMar>
              <w:left w:w="29" w:type="dxa"/>
              <w:right w:w="29" w:type="dxa"/>
            </w:tcMar>
          </w:tcPr>
          <w:p w:rsidR="00750F0B" w:rsidRDefault="00750F0B" w:rsidP="00692153">
            <w:pPr>
              <w:spacing w:after="0" w:line="240" w:lineRule="auto"/>
              <w:ind w:right="151"/>
              <w:jc w:val="center"/>
              <w:rPr>
                <w:rFonts w:cstheme="minorHAnsi"/>
              </w:rPr>
            </w:pPr>
            <w:r>
              <w:rPr>
                <w:rFonts w:cstheme="minorHAnsi"/>
              </w:rPr>
              <w:t>630</w:t>
            </w:r>
          </w:p>
          <w:p w:rsidR="00750F0B" w:rsidRPr="001D25EE" w:rsidRDefault="00750F0B" w:rsidP="00692153">
            <w:pPr>
              <w:spacing w:after="0" w:line="240" w:lineRule="auto"/>
              <w:ind w:right="151"/>
              <w:jc w:val="center"/>
              <w:rPr>
                <w:rFonts w:cstheme="minorHAnsi"/>
                <w:sz w:val="20"/>
                <w:szCs w:val="20"/>
              </w:rPr>
            </w:pPr>
          </w:p>
        </w:tc>
      </w:tr>
      <w:tr w:rsidR="00E33B51" w:rsidRPr="00B62B55" w:rsidTr="0001737B">
        <w:trPr>
          <w:trHeight w:hRule="exact" w:val="829"/>
        </w:trPr>
        <w:tc>
          <w:tcPr>
            <w:tcW w:w="1890" w:type="dxa"/>
            <w:vMerge/>
            <w:tcMar>
              <w:left w:w="29" w:type="dxa"/>
              <w:right w:w="29" w:type="dxa"/>
            </w:tcMar>
          </w:tcPr>
          <w:p w:rsidR="00E33B51" w:rsidRDefault="00E33B51" w:rsidP="00692153">
            <w:pPr>
              <w:spacing w:after="0" w:line="240" w:lineRule="auto"/>
              <w:jc w:val="center"/>
              <w:rPr>
                <w:rFonts w:cstheme="minorHAnsi"/>
                <w:sz w:val="20"/>
                <w:szCs w:val="20"/>
              </w:rPr>
            </w:pPr>
          </w:p>
        </w:tc>
        <w:tc>
          <w:tcPr>
            <w:tcW w:w="1440" w:type="dxa"/>
            <w:tcMar>
              <w:left w:w="29" w:type="dxa"/>
              <w:right w:w="29" w:type="dxa"/>
            </w:tcMar>
          </w:tcPr>
          <w:p w:rsidR="00E33B51" w:rsidRPr="00B62B55" w:rsidRDefault="00E33B51" w:rsidP="00692153">
            <w:pPr>
              <w:spacing w:after="0" w:line="240" w:lineRule="auto"/>
              <w:jc w:val="center"/>
              <w:rPr>
                <w:rFonts w:cstheme="minorHAnsi"/>
                <w:sz w:val="20"/>
                <w:szCs w:val="20"/>
              </w:rPr>
            </w:pPr>
            <w:r>
              <w:rPr>
                <w:rFonts w:cstheme="minorHAnsi"/>
                <w:sz w:val="20"/>
                <w:szCs w:val="20"/>
              </w:rPr>
              <w:t>Referral Form</w:t>
            </w:r>
          </w:p>
        </w:tc>
        <w:tc>
          <w:tcPr>
            <w:tcW w:w="1409" w:type="dxa"/>
            <w:tcMar>
              <w:left w:w="29" w:type="dxa"/>
              <w:right w:w="29" w:type="dxa"/>
            </w:tcMar>
          </w:tcPr>
          <w:p w:rsidR="00E33B51" w:rsidRPr="001D25EE" w:rsidRDefault="00750F0B" w:rsidP="00692153">
            <w:pPr>
              <w:spacing w:after="0" w:line="240" w:lineRule="auto"/>
              <w:jc w:val="center"/>
              <w:rPr>
                <w:rFonts w:cstheme="minorHAnsi"/>
                <w:sz w:val="20"/>
                <w:szCs w:val="20"/>
              </w:rPr>
            </w:pPr>
            <w:r>
              <w:rPr>
                <w:rFonts w:cstheme="minorHAnsi"/>
                <w:sz w:val="20"/>
                <w:szCs w:val="20"/>
              </w:rPr>
              <w:t>24</w:t>
            </w:r>
          </w:p>
        </w:tc>
        <w:tc>
          <w:tcPr>
            <w:tcW w:w="1555" w:type="dxa"/>
            <w:tcMar>
              <w:left w:w="29" w:type="dxa"/>
              <w:right w:w="29" w:type="dxa"/>
            </w:tcMar>
          </w:tcPr>
          <w:p w:rsidR="00E33B51" w:rsidRPr="001D25EE" w:rsidRDefault="00E01E29" w:rsidP="00692153">
            <w:pPr>
              <w:spacing w:after="0" w:line="240" w:lineRule="auto"/>
              <w:jc w:val="center"/>
              <w:rPr>
                <w:rFonts w:cstheme="minorHAnsi"/>
                <w:sz w:val="20"/>
                <w:szCs w:val="20"/>
              </w:rPr>
            </w:pPr>
            <w:r>
              <w:rPr>
                <w:rFonts w:cstheme="minorHAnsi"/>
                <w:sz w:val="20"/>
                <w:szCs w:val="20"/>
              </w:rPr>
              <w:t>1</w:t>
            </w:r>
          </w:p>
        </w:tc>
        <w:tc>
          <w:tcPr>
            <w:tcW w:w="1446" w:type="dxa"/>
            <w:tcMar>
              <w:left w:w="29" w:type="dxa"/>
              <w:right w:w="29" w:type="dxa"/>
            </w:tcMar>
          </w:tcPr>
          <w:p w:rsidR="00E33B51" w:rsidRPr="001D25EE" w:rsidRDefault="0077074B" w:rsidP="00692153">
            <w:pPr>
              <w:spacing w:after="0" w:line="240" w:lineRule="auto"/>
              <w:jc w:val="center"/>
              <w:rPr>
                <w:rFonts w:cstheme="minorHAnsi"/>
                <w:sz w:val="20"/>
                <w:szCs w:val="20"/>
              </w:rPr>
            </w:pPr>
            <w:r>
              <w:rPr>
                <w:rFonts w:cstheme="minorHAnsi"/>
                <w:sz w:val="20"/>
                <w:szCs w:val="20"/>
              </w:rPr>
              <w:t>2/60</w:t>
            </w:r>
          </w:p>
        </w:tc>
        <w:tc>
          <w:tcPr>
            <w:tcW w:w="1649" w:type="dxa"/>
            <w:tcMar>
              <w:left w:w="29" w:type="dxa"/>
              <w:right w:w="29" w:type="dxa"/>
            </w:tcMar>
          </w:tcPr>
          <w:p w:rsidR="00E33B51" w:rsidRPr="001D25EE" w:rsidRDefault="00750F0B" w:rsidP="00692153">
            <w:pPr>
              <w:spacing w:after="0" w:line="240" w:lineRule="auto"/>
              <w:ind w:right="151"/>
              <w:jc w:val="center"/>
              <w:rPr>
                <w:rFonts w:cstheme="minorHAnsi"/>
              </w:rPr>
            </w:pPr>
            <w:r>
              <w:rPr>
                <w:rFonts w:cstheme="minorHAnsi"/>
              </w:rPr>
              <w:t>1</w:t>
            </w:r>
          </w:p>
        </w:tc>
      </w:tr>
      <w:tr w:rsidR="009C1315" w:rsidRPr="00B62B55" w:rsidTr="0001737B">
        <w:trPr>
          <w:trHeight w:hRule="exact" w:val="398"/>
        </w:trPr>
        <w:tc>
          <w:tcPr>
            <w:tcW w:w="7740" w:type="dxa"/>
            <w:gridSpan w:val="5"/>
            <w:tcMar>
              <w:left w:w="29" w:type="dxa"/>
              <w:right w:w="29" w:type="dxa"/>
            </w:tcMar>
          </w:tcPr>
          <w:p w:rsidR="009C1315" w:rsidRPr="008F5BA3" w:rsidRDefault="009C1315" w:rsidP="00350142">
            <w:pPr>
              <w:spacing w:after="0" w:line="240" w:lineRule="auto"/>
              <w:jc w:val="right"/>
              <w:rPr>
                <w:rFonts w:cstheme="minorHAnsi"/>
                <w:b/>
              </w:rPr>
            </w:pPr>
            <w:r w:rsidRPr="008F5BA3">
              <w:rPr>
                <w:rFonts w:cstheme="minorHAnsi"/>
                <w:b/>
              </w:rPr>
              <w:t>Total</w:t>
            </w:r>
          </w:p>
        </w:tc>
        <w:tc>
          <w:tcPr>
            <w:tcW w:w="1649" w:type="dxa"/>
            <w:tcMar>
              <w:left w:w="29" w:type="dxa"/>
              <w:right w:w="29" w:type="dxa"/>
            </w:tcMar>
          </w:tcPr>
          <w:p w:rsidR="009C1315" w:rsidRPr="001D25EE" w:rsidRDefault="00750F0B" w:rsidP="00692153">
            <w:pPr>
              <w:spacing w:after="0" w:line="240" w:lineRule="auto"/>
              <w:ind w:right="151"/>
              <w:jc w:val="center"/>
              <w:rPr>
                <w:rFonts w:cstheme="minorHAnsi"/>
              </w:rPr>
            </w:pPr>
            <w:r>
              <w:rPr>
                <w:rFonts w:cstheme="minorHAnsi"/>
              </w:rPr>
              <w:t>631</w:t>
            </w:r>
          </w:p>
        </w:tc>
      </w:tr>
    </w:tbl>
    <w:p w:rsidR="00A63A3D" w:rsidRPr="009C1315" w:rsidRDefault="00A63A3D" w:rsidP="00350142">
      <w:pPr>
        <w:spacing w:after="0" w:line="240" w:lineRule="auto"/>
        <w:rPr>
          <w:color w:val="FF0000"/>
        </w:rPr>
      </w:pPr>
    </w:p>
    <w:p w:rsidR="00C9554F" w:rsidRDefault="001B32E3" w:rsidP="00350142">
      <w:pPr>
        <w:spacing w:after="0" w:line="240" w:lineRule="auto"/>
      </w:pPr>
      <w:r>
        <w:t>B.  The</w:t>
      </w:r>
      <w:r w:rsidR="008774D7">
        <w:t xml:space="preserve"> average </w:t>
      </w:r>
      <w:r>
        <w:t xml:space="preserve">national </w:t>
      </w:r>
      <w:r w:rsidR="008774D7">
        <w:t>hourly salary is assumed for all respondents, based on the Department of Labor May 2012 National Occupational Employment and Wage Estimates for the United States</w:t>
      </w:r>
      <w:r w:rsidR="003C15A2">
        <w:t xml:space="preserve"> (</w:t>
      </w:r>
      <w:hyperlink r:id="rId17" w:anchor="00-0000" w:history="1">
        <w:r w:rsidR="003C15A2" w:rsidRPr="00BD1156">
          <w:rPr>
            <w:rStyle w:val="Hyperlink"/>
          </w:rPr>
          <w:t>http://www.bls.gov/oes/current/oes_nat.htm#00-0000</w:t>
        </w:r>
      </w:hyperlink>
      <w:r w:rsidR="003C15A2">
        <w:t>)</w:t>
      </w:r>
      <w:r w:rsidR="00580BAB">
        <w:t>.</w:t>
      </w:r>
      <w:r w:rsidR="008774D7">
        <w:t xml:space="preserve"> With the total estimated burden hours of </w:t>
      </w:r>
      <w:r w:rsidR="00750F0B">
        <w:t>631</w:t>
      </w:r>
      <w:r w:rsidR="0077074B">
        <w:t xml:space="preserve"> </w:t>
      </w:r>
      <w:r w:rsidR="008774D7">
        <w:t xml:space="preserve">hours, the overall annual cost of respondents’ </w:t>
      </w:r>
      <w:r w:rsidR="00AF24A6">
        <w:t>time</w:t>
      </w:r>
      <w:r w:rsidR="008774D7">
        <w:t xml:space="preserve"> for the proposed collection is estimated to be </w:t>
      </w:r>
      <w:r w:rsidR="00AF24A6">
        <w:t>$</w:t>
      </w:r>
      <w:r w:rsidR="00750F0B">
        <w:t>13,888</w:t>
      </w:r>
      <w:r w:rsidR="00AF24A6">
        <w:t xml:space="preserve">. There will be no costs to the respondents other than their time. </w:t>
      </w:r>
    </w:p>
    <w:p w:rsidR="000C79D9" w:rsidRPr="00580BAB" w:rsidRDefault="000C79D9" w:rsidP="00350142">
      <w:pPr>
        <w:spacing w:after="0" w:line="240" w:lineRule="auto"/>
      </w:pPr>
    </w:p>
    <w:p w:rsidR="00A63A3D" w:rsidRDefault="000C79D9" w:rsidP="000C79D9">
      <w:pPr>
        <w:spacing w:after="0" w:line="240" w:lineRule="auto"/>
      </w:pPr>
      <w:r>
        <w:t>Table A-12.2 Estimated Annualized Burden Costs</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1440"/>
        <w:gridCol w:w="1530"/>
        <w:gridCol w:w="1890"/>
        <w:gridCol w:w="2610"/>
      </w:tblGrid>
      <w:tr w:rsidR="002E7901" w:rsidRPr="00B62B55" w:rsidTr="002E7901">
        <w:trPr>
          <w:trHeight w:val="989"/>
        </w:trPr>
        <w:tc>
          <w:tcPr>
            <w:tcW w:w="1890" w:type="dxa"/>
            <w:tcMar>
              <w:left w:w="29" w:type="dxa"/>
              <w:right w:w="29" w:type="dxa"/>
            </w:tcMar>
            <w:vAlign w:val="center"/>
          </w:tcPr>
          <w:p w:rsidR="002E7901" w:rsidRPr="009C1315" w:rsidRDefault="002E7901" w:rsidP="00350142">
            <w:pPr>
              <w:spacing w:after="0" w:line="240" w:lineRule="auto"/>
              <w:jc w:val="center"/>
              <w:rPr>
                <w:rFonts w:cstheme="minorHAnsi"/>
                <w:b/>
              </w:rPr>
            </w:pPr>
            <w:r w:rsidRPr="009C1315">
              <w:rPr>
                <w:rFonts w:cstheme="minorHAnsi"/>
                <w:b/>
              </w:rPr>
              <w:t>Type of Respondents</w:t>
            </w:r>
          </w:p>
        </w:tc>
        <w:tc>
          <w:tcPr>
            <w:tcW w:w="1440" w:type="dxa"/>
            <w:tcMar>
              <w:left w:w="29" w:type="dxa"/>
              <w:right w:w="29" w:type="dxa"/>
            </w:tcMar>
            <w:vAlign w:val="center"/>
          </w:tcPr>
          <w:p w:rsidR="002E7901" w:rsidRPr="009C1315" w:rsidRDefault="002E7901" w:rsidP="00350142">
            <w:pPr>
              <w:spacing w:after="0" w:line="240" w:lineRule="auto"/>
              <w:jc w:val="center"/>
              <w:rPr>
                <w:rFonts w:cstheme="minorHAnsi"/>
                <w:b/>
              </w:rPr>
            </w:pPr>
            <w:r w:rsidRPr="009C1315">
              <w:rPr>
                <w:rFonts w:cstheme="minorHAnsi"/>
                <w:b/>
              </w:rPr>
              <w:t>Form Name</w:t>
            </w:r>
          </w:p>
        </w:tc>
        <w:tc>
          <w:tcPr>
            <w:tcW w:w="1530" w:type="dxa"/>
            <w:tcMar>
              <w:left w:w="29" w:type="dxa"/>
              <w:right w:w="29" w:type="dxa"/>
            </w:tcMar>
            <w:vAlign w:val="center"/>
          </w:tcPr>
          <w:p w:rsidR="002E7901" w:rsidRPr="009C1315" w:rsidRDefault="002E7901" w:rsidP="00350142">
            <w:pPr>
              <w:spacing w:after="0" w:line="240" w:lineRule="auto"/>
              <w:jc w:val="center"/>
              <w:rPr>
                <w:rFonts w:cstheme="minorHAnsi"/>
                <w:b/>
              </w:rPr>
            </w:pPr>
            <w:r>
              <w:rPr>
                <w:rFonts w:cstheme="minorHAnsi"/>
                <w:b/>
              </w:rPr>
              <w:t>Total Burden Hours</w:t>
            </w:r>
          </w:p>
        </w:tc>
        <w:tc>
          <w:tcPr>
            <w:tcW w:w="1890" w:type="dxa"/>
            <w:tcMar>
              <w:left w:w="29" w:type="dxa"/>
              <w:right w:w="29" w:type="dxa"/>
            </w:tcMar>
            <w:vAlign w:val="center"/>
          </w:tcPr>
          <w:p w:rsidR="002E7901" w:rsidRPr="009C1315" w:rsidRDefault="002E7901" w:rsidP="00350142">
            <w:pPr>
              <w:spacing w:after="0" w:line="240" w:lineRule="auto"/>
              <w:jc w:val="center"/>
              <w:rPr>
                <w:rFonts w:cstheme="minorHAnsi"/>
                <w:b/>
              </w:rPr>
            </w:pPr>
            <w:r>
              <w:rPr>
                <w:rFonts w:cstheme="minorHAnsi"/>
                <w:b/>
              </w:rPr>
              <w:t>Hourly Wage Rate</w:t>
            </w:r>
          </w:p>
        </w:tc>
        <w:tc>
          <w:tcPr>
            <w:tcW w:w="2610" w:type="dxa"/>
            <w:tcMar>
              <w:left w:w="29" w:type="dxa"/>
              <w:right w:w="29" w:type="dxa"/>
            </w:tcMar>
            <w:vAlign w:val="center"/>
          </w:tcPr>
          <w:p w:rsidR="002E7901" w:rsidRPr="009C1315" w:rsidRDefault="002E7901" w:rsidP="00350142">
            <w:pPr>
              <w:spacing w:after="0" w:line="240" w:lineRule="auto"/>
              <w:jc w:val="center"/>
              <w:rPr>
                <w:rFonts w:cstheme="minorHAnsi"/>
                <w:b/>
              </w:rPr>
            </w:pPr>
            <w:r>
              <w:rPr>
                <w:rFonts w:cstheme="minorHAnsi"/>
                <w:b/>
              </w:rPr>
              <w:t>Total Respondent Costs</w:t>
            </w:r>
          </w:p>
        </w:tc>
      </w:tr>
      <w:tr w:rsidR="00E33B51" w:rsidRPr="00B62B55" w:rsidTr="002E7901">
        <w:trPr>
          <w:trHeight w:hRule="exact" w:val="829"/>
        </w:trPr>
        <w:tc>
          <w:tcPr>
            <w:tcW w:w="1890" w:type="dxa"/>
            <w:vMerge w:val="restart"/>
            <w:tcMar>
              <w:left w:w="29" w:type="dxa"/>
              <w:right w:w="29" w:type="dxa"/>
            </w:tcMar>
          </w:tcPr>
          <w:p w:rsidR="00E33B51" w:rsidRDefault="00E33B51" w:rsidP="00350142">
            <w:pPr>
              <w:spacing w:after="0" w:line="240" w:lineRule="auto"/>
              <w:rPr>
                <w:rFonts w:cstheme="minorHAnsi"/>
                <w:sz w:val="20"/>
                <w:szCs w:val="20"/>
              </w:rPr>
            </w:pPr>
          </w:p>
          <w:p w:rsidR="00E33B51" w:rsidRDefault="00E33B51" w:rsidP="00350142">
            <w:pPr>
              <w:spacing w:after="0" w:line="240" w:lineRule="auto"/>
              <w:rPr>
                <w:rFonts w:cstheme="minorHAnsi"/>
                <w:sz w:val="20"/>
                <w:szCs w:val="20"/>
              </w:rPr>
            </w:pPr>
          </w:p>
          <w:p w:rsidR="00E33B51" w:rsidRPr="00B62B55" w:rsidRDefault="002026BE" w:rsidP="00945367">
            <w:pPr>
              <w:spacing w:after="0" w:line="240" w:lineRule="auto"/>
              <w:rPr>
                <w:rFonts w:cstheme="minorHAnsi"/>
                <w:sz w:val="20"/>
                <w:szCs w:val="20"/>
              </w:rPr>
            </w:pPr>
            <w:r>
              <w:rPr>
                <w:rFonts w:cstheme="minorHAnsi"/>
                <w:sz w:val="20"/>
                <w:szCs w:val="20"/>
              </w:rPr>
              <w:t>Households in</w:t>
            </w:r>
            <w:r w:rsidR="00E33B51">
              <w:rPr>
                <w:rFonts w:cstheme="minorHAnsi"/>
                <w:sz w:val="20"/>
                <w:szCs w:val="20"/>
              </w:rPr>
              <w:t xml:space="preserve"> the selected geographic area to be </w:t>
            </w:r>
            <w:r w:rsidR="00D90FE5">
              <w:rPr>
                <w:rFonts w:cstheme="minorHAnsi"/>
                <w:sz w:val="20"/>
                <w:szCs w:val="20"/>
              </w:rPr>
              <w:t>assessed</w:t>
            </w:r>
          </w:p>
        </w:tc>
        <w:tc>
          <w:tcPr>
            <w:tcW w:w="1440" w:type="dxa"/>
            <w:tcMar>
              <w:left w:w="29" w:type="dxa"/>
              <w:right w:w="29" w:type="dxa"/>
            </w:tcMar>
          </w:tcPr>
          <w:p w:rsidR="00E33B51" w:rsidRPr="00B62B55" w:rsidRDefault="00E33B51" w:rsidP="00350142">
            <w:pPr>
              <w:spacing w:after="0" w:line="240" w:lineRule="auto"/>
              <w:rPr>
                <w:rFonts w:cstheme="minorHAnsi"/>
                <w:sz w:val="20"/>
                <w:szCs w:val="20"/>
              </w:rPr>
            </w:pPr>
            <w:r w:rsidRPr="00B62B55">
              <w:rPr>
                <w:rFonts w:cstheme="minorHAnsi"/>
                <w:sz w:val="20"/>
                <w:szCs w:val="20"/>
              </w:rPr>
              <w:t>CASPER Questionnaire</w:t>
            </w:r>
          </w:p>
        </w:tc>
        <w:tc>
          <w:tcPr>
            <w:tcW w:w="1530" w:type="dxa"/>
            <w:tcMar>
              <w:left w:w="29" w:type="dxa"/>
              <w:right w:w="29" w:type="dxa"/>
            </w:tcMar>
          </w:tcPr>
          <w:p w:rsidR="00E33B51" w:rsidRPr="001D25EE" w:rsidRDefault="00750F0B" w:rsidP="00350142">
            <w:pPr>
              <w:spacing w:after="0" w:line="240" w:lineRule="auto"/>
              <w:jc w:val="right"/>
              <w:rPr>
                <w:rFonts w:cstheme="minorHAnsi"/>
                <w:sz w:val="20"/>
                <w:szCs w:val="20"/>
              </w:rPr>
            </w:pPr>
            <w:r>
              <w:rPr>
                <w:rFonts w:cstheme="minorHAnsi"/>
                <w:sz w:val="20"/>
                <w:szCs w:val="20"/>
              </w:rPr>
              <w:t>630</w:t>
            </w:r>
          </w:p>
        </w:tc>
        <w:tc>
          <w:tcPr>
            <w:tcW w:w="1890" w:type="dxa"/>
            <w:tcMar>
              <w:left w:w="29" w:type="dxa"/>
              <w:right w:w="29" w:type="dxa"/>
            </w:tcMar>
          </w:tcPr>
          <w:p w:rsidR="00E33B51" w:rsidRPr="001D25EE" w:rsidRDefault="00E33B51" w:rsidP="00350142">
            <w:pPr>
              <w:spacing w:after="0" w:line="240" w:lineRule="auto"/>
              <w:jc w:val="right"/>
              <w:rPr>
                <w:rFonts w:cstheme="minorHAnsi"/>
                <w:sz w:val="20"/>
                <w:szCs w:val="20"/>
              </w:rPr>
            </w:pPr>
            <w:r>
              <w:rPr>
                <w:rFonts w:cstheme="minorHAnsi"/>
                <w:sz w:val="20"/>
                <w:szCs w:val="20"/>
              </w:rPr>
              <w:t>$22.01</w:t>
            </w:r>
          </w:p>
        </w:tc>
        <w:tc>
          <w:tcPr>
            <w:tcW w:w="2610" w:type="dxa"/>
            <w:tcMar>
              <w:left w:w="29" w:type="dxa"/>
              <w:right w:w="29" w:type="dxa"/>
            </w:tcMar>
          </w:tcPr>
          <w:p w:rsidR="00E33B51" w:rsidRPr="001D25EE" w:rsidRDefault="00E33B51" w:rsidP="00750F0B">
            <w:pPr>
              <w:spacing w:after="0" w:line="240" w:lineRule="auto"/>
              <w:jc w:val="right"/>
              <w:rPr>
                <w:rFonts w:cstheme="minorHAnsi"/>
                <w:sz w:val="20"/>
                <w:szCs w:val="20"/>
              </w:rPr>
            </w:pPr>
            <w:r>
              <w:rPr>
                <w:rFonts w:cstheme="minorHAnsi"/>
                <w:sz w:val="20"/>
                <w:szCs w:val="20"/>
              </w:rPr>
              <w:t>$</w:t>
            </w:r>
            <w:r w:rsidR="00750F0B">
              <w:rPr>
                <w:rFonts w:cstheme="minorHAnsi"/>
                <w:sz w:val="20"/>
                <w:szCs w:val="20"/>
              </w:rPr>
              <w:t>13,866</w:t>
            </w:r>
          </w:p>
        </w:tc>
      </w:tr>
      <w:tr w:rsidR="00E33B51" w:rsidRPr="00B62B55" w:rsidTr="002E7901">
        <w:trPr>
          <w:trHeight w:hRule="exact" w:val="829"/>
        </w:trPr>
        <w:tc>
          <w:tcPr>
            <w:tcW w:w="1890" w:type="dxa"/>
            <w:vMerge/>
            <w:tcMar>
              <w:left w:w="29" w:type="dxa"/>
              <w:right w:w="29" w:type="dxa"/>
            </w:tcMar>
          </w:tcPr>
          <w:p w:rsidR="00E33B51" w:rsidRDefault="00E33B51" w:rsidP="00350142">
            <w:pPr>
              <w:spacing w:after="0" w:line="240" w:lineRule="auto"/>
              <w:rPr>
                <w:rFonts w:cstheme="minorHAnsi"/>
                <w:sz w:val="20"/>
                <w:szCs w:val="20"/>
              </w:rPr>
            </w:pPr>
          </w:p>
        </w:tc>
        <w:tc>
          <w:tcPr>
            <w:tcW w:w="1440" w:type="dxa"/>
            <w:tcMar>
              <w:left w:w="29" w:type="dxa"/>
              <w:right w:w="29" w:type="dxa"/>
            </w:tcMar>
          </w:tcPr>
          <w:p w:rsidR="00E33B51" w:rsidRPr="00B62B55" w:rsidRDefault="00E33B51" w:rsidP="00350142">
            <w:pPr>
              <w:spacing w:after="0" w:line="240" w:lineRule="auto"/>
              <w:rPr>
                <w:rFonts w:cstheme="minorHAnsi"/>
                <w:sz w:val="20"/>
                <w:szCs w:val="20"/>
              </w:rPr>
            </w:pPr>
            <w:r>
              <w:rPr>
                <w:rFonts w:cstheme="minorHAnsi"/>
                <w:sz w:val="20"/>
                <w:szCs w:val="20"/>
              </w:rPr>
              <w:t>Referral Form</w:t>
            </w:r>
          </w:p>
        </w:tc>
        <w:tc>
          <w:tcPr>
            <w:tcW w:w="1530" w:type="dxa"/>
            <w:tcMar>
              <w:left w:w="29" w:type="dxa"/>
              <w:right w:w="29" w:type="dxa"/>
            </w:tcMar>
          </w:tcPr>
          <w:p w:rsidR="00E33B51" w:rsidRDefault="00750F0B" w:rsidP="00350142">
            <w:pPr>
              <w:spacing w:after="0" w:line="240" w:lineRule="auto"/>
              <w:jc w:val="right"/>
              <w:rPr>
                <w:rFonts w:cstheme="minorHAnsi"/>
                <w:sz w:val="20"/>
                <w:szCs w:val="20"/>
              </w:rPr>
            </w:pPr>
            <w:r>
              <w:rPr>
                <w:rFonts w:cstheme="minorHAnsi"/>
                <w:sz w:val="20"/>
                <w:szCs w:val="20"/>
              </w:rPr>
              <w:t>1</w:t>
            </w:r>
          </w:p>
        </w:tc>
        <w:tc>
          <w:tcPr>
            <w:tcW w:w="1890" w:type="dxa"/>
            <w:tcMar>
              <w:left w:w="29" w:type="dxa"/>
              <w:right w:w="29" w:type="dxa"/>
            </w:tcMar>
          </w:tcPr>
          <w:p w:rsidR="00E33B51" w:rsidRDefault="00E33B51" w:rsidP="00350142">
            <w:pPr>
              <w:spacing w:after="0" w:line="240" w:lineRule="auto"/>
              <w:jc w:val="right"/>
              <w:rPr>
                <w:rFonts w:cstheme="minorHAnsi"/>
                <w:sz w:val="20"/>
                <w:szCs w:val="20"/>
              </w:rPr>
            </w:pPr>
            <w:r>
              <w:rPr>
                <w:rFonts w:cstheme="minorHAnsi"/>
                <w:sz w:val="20"/>
                <w:szCs w:val="20"/>
              </w:rPr>
              <w:t>$22.01</w:t>
            </w:r>
          </w:p>
        </w:tc>
        <w:tc>
          <w:tcPr>
            <w:tcW w:w="2610" w:type="dxa"/>
            <w:tcMar>
              <w:left w:w="29" w:type="dxa"/>
              <w:right w:w="29" w:type="dxa"/>
            </w:tcMar>
          </w:tcPr>
          <w:p w:rsidR="00E33B51" w:rsidRDefault="00AF3AD7" w:rsidP="00AF3AD7">
            <w:pPr>
              <w:spacing w:after="0" w:line="240" w:lineRule="auto"/>
              <w:jc w:val="right"/>
              <w:rPr>
                <w:rFonts w:cstheme="minorHAnsi"/>
                <w:sz w:val="20"/>
                <w:szCs w:val="20"/>
              </w:rPr>
            </w:pPr>
            <w:r>
              <w:rPr>
                <w:rFonts w:cstheme="minorHAnsi"/>
                <w:sz w:val="20"/>
                <w:szCs w:val="20"/>
              </w:rPr>
              <w:t>$</w:t>
            </w:r>
            <w:r w:rsidR="00750F0B">
              <w:rPr>
                <w:rFonts w:cstheme="minorHAnsi"/>
                <w:sz w:val="20"/>
                <w:szCs w:val="20"/>
              </w:rPr>
              <w:t>22</w:t>
            </w:r>
          </w:p>
        </w:tc>
      </w:tr>
      <w:tr w:rsidR="002E7901" w:rsidRPr="00B62B55" w:rsidTr="002E7901">
        <w:trPr>
          <w:trHeight w:hRule="exact" w:val="398"/>
        </w:trPr>
        <w:tc>
          <w:tcPr>
            <w:tcW w:w="6750" w:type="dxa"/>
            <w:gridSpan w:val="4"/>
            <w:tcMar>
              <w:left w:w="29" w:type="dxa"/>
              <w:right w:w="29" w:type="dxa"/>
            </w:tcMar>
          </w:tcPr>
          <w:p w:rsidR="002E7901" w:rsidRPr="001D25EE" w:rsidRDefault="002E7901" w:rsidP="00350142">
            <w:pPr>
              <w:spacing w:after="0" w:line="240" w:lineRule="auto"/>
              <w:jc w:val="right"/>
              <w:rPr>
                <w:rFonts w:cstheme="minorHAnsi"/>
              </w:rPr>
            </w:pPr>
            <w:r w:rsidRPr="008F5BA3">
              <w:rPr>
                <w:rFonts w:cstheme="minorHAnsi"/>
                <w:b/>
              </w:rPr>
              <w:t>Tota</w:t>
            </w:r>
            <w:r>
              <w:rPr>
                <w:rFonts w:cstheme="minorHAnsi"/>
              </w:rPr>
              <w:t>l</w:t>
            </w:r>
          </w:p>
        </w:tc>
        <w:tc>
          <w:tcPr>
            <w:tcW w:w="2610" w:type="dxa"/>
          </w:tcPr>
          <w:p w:rsidR="002E7901" w:rsidRPr="001D25EE" w:rsidRDefault="008774D7" w:rsidP="00750F0B">
            <w:pPr>
              <w:spacing w:after="0" w:line="240" w:lineRule="auto"/>
              <w:jc w:val="right"/>
              <w:rPr>
                <w:rFonts w:cstheme="minorHAnsi"/>
              </w:rPr>
            </w:pPr>
            <w:r>
              <w:rPr>
                <w:rFonts w:cstheme="minorHAnsi"/>
                <w:sz w:val="20"/>
                <w:szCs w:val="20"/>
              </w:rPr>
              <w:t>$</w:t>
            </w:r>
            <w:r w:rsidR="00750F0B">
              <w:rPr>
                <w:rFonts w:cstheme="minorHAnsi"/>
                <w:sz w:val="20"/>
                <w:szCs w:val="20"/>
              </w:rPr>
              <w:t>13,888</w:t>
            </w:r>
          </w:p>
        </w:tc>
      </w:tr>
    </w:tbl>
    <w:p w:rsidR="004C259E" w:rsidRPr="00A63A3D" w:rsidRDefault="004C259E" w:rsidP="00350142">
      <w:pPr>
        <w:spacing w:after="0" w:line="240" w:lineRule="auto"/>
      </w:pPr>
    </w:p>
    <w:p w:rsidR="00C9554F" w:rsidRPr="00DC7DAF" w:rsidRDefault="00C9554F" w:rsidP="00350142">
      <w:pPr>
        <w:pStyle w:val="Heading1"/>
        <w:spacing w:before="0" w:line="240" w:lineRule="auto"/>
      </w:pPr>
      <w:bookmarkStart w:id="15" w:name="_Toc403138207"/>
      <w:r w:rsidRPr="00DC7DAF">
        <w:t>A.13 Estimates of Other Total Annual Cost Burden to Respondents or Record Keepers</w:t>
      </w:r>
      <w:bookmarkEnd w:id="15"/>
      <w:r w:rsidRPr="00DC7DAF">
        <w:tab/>
      </w:r>
    </w:p>
    <w:p w:rsidR="004C259E" w:rsidRDefault="004C259E" w:rsidP="00350142">
      <w:pPr>
        <w:spacing w:after="0" w:line="240" w:lineRule="auto"/>
        <w:rPr>
          <w:i/>
        </w:rPr>
      </w:pPr>
    </w:p>
    <w:p w:rsidR="00492564" w:rsidRPr="00492564" w:rsidRDefault="00492564" w:rsidP="00350142">
      <w:pPr>
        <w:spacing w:after="0" w:line="240" w:lineRule="auto"/>
      </w:pPr>
      <w:r>
        <w:t xml:space="preserve">There are no </w:t>
      </w:r>
      <w:r w:rsidR="00E33B51">
        <w:t>anticipated costs to respondents other than time</w:t>
      </w:r>
      <w:r>
        <w:t xml:space="preserve">. </w:t>
      </w:r>
    </w:p>
    <w:p w:rsidR="00A63A3D" w:rsidRPr="00492564" w:rsidRDefault="00A63A3D" w:rsidP="00350142">
      <w:pPr>
        <w:spacing w:after="0" w:line="240" w:lineRule="auto"/>
      </w:pPr>
    </w:p>
    <w:p w:rsidR="005B1291" w:rsidRDefault="00C9554F" w:rsidP="00350142">
      <w:pPr>
        <w:pStyle w:val="Heading1"/>
        <w:spacing w:before="0" w:line="240" w:lineRule="auto"/>
      </w:pPr>
      <w:bookmarkStart w:id="16" w:name="_Toc403138208"/>
      <w:r w:rsidRPr="00115B7F">
        <w:t>A.14. Annualized Cost to the Federal Government</w:t>
      </w:r>
      <w:bookmarkEnd w:id="16"/>
    </w:p>
    <w:p w:rsidR="00E74161" w:rsidRDefault="00E74161" w:rsidP="00E74161">
      <w:pPr>
        <w:spacing w:after="0" w:line="240" w:lineRule="auto"/>
      </w:pPr>
    </w:p>
    <w:p w:rsidR="000B3BB5" w:rsidRDefault="00481C9F" w:rsidP="00E74161">
      <w:pPr>
        <w:spacing w:after="0" w:line="240" w:lineRule="auto"/>
      </w:pPr>
      <w:r>
        <w:lastRenderedPageBreak/>
        <w:t xml:space="preserve">There are no equipment or overhead costs. The only cost to the federal government </w:t>
      </w:r>
      <w:r w:rsidR="00A77C05">
        <w:t>is</w:t>
      </w:r>
      <w:r>
        <w:t xml:space="preserve"> the salary of CDC staff supporting the data collection activities. </w:t>
      </w:r>
      <w:r w:rsidR="002A03E4">
        <w:t xml:space="preserve">Typically up to five FTEs or EIS Officers (GS-13) participate on a CASPER. </w:t>
      </w:r>
      <w:r w:rsidR="00333BE5">
        <w:t xml:space="preserve">The estimated cost to the federal government is </w:t>
      </w:r>
      <w:r w:rsidR="00CF2094">
        <w:t>$</w:t>
      </w:r>
      <w:r w:rsidR="00A35575">
        <w:t>98,328</w:t>
      </w:r>
      <w:r w:rsidR="00CF2094">
        <w:t xml:space="preserve"> based on an average hourly rate</w:t>
      </w:r>
      <w:r w:rsidR="00A35575">
        <w:t xml:space="preserve"> of $40.97</w:t>
      </w:r>
      <w:r w:rsidR="00CF2094">
        <w:t xml:space="preserve"> for a GS-13 in Atlanta</w:t>
      </w:r>
      <w:r w:rsidR="002B0A6B">
        <w:t xml:space="preserve"> obtained from the Office of Personnel Management’s website (</w:t>
      </w:r>
      <w:hyperlink r:id="rId18" w:history="1">
        <w:r w:rsidR="002B0A6B" w:rsidRPr="00053807">
          <w:rPr>
            <w:rStyle w:val="Hyperlink"/>
          </w:rPr>
          <w:t>http://www.opm.gov/policy-data-oversight/pay-leave/salaries-wages/2013/general-schedule/atlanta-sandy-springs-gainesville-ga-al-hourlyovertime-rates-by-grade-and-step/</w:t>
        </w:r>
      </w:hyperlink>
      <w:r w:rsidR="002B0A6B">
        <w:t>)</w:t>
      </w:r>
      <w:r w:rsidR="00333BE5">
        <w:t xml:space="preserve">. </w:t>
      </w:r>
      <w:r w:rsidR="00E33B51">
        <w:t xml:space="preserve">It is expected that </w:t>
      </w:r>
      <w:r w:rsidR="007A5EA0">
        <w:t xml:space="preserve">six </w:t>
      </w:r>
      <w:r w:rsidR="00E33B51">
        <w:t xml:space="preserve">CASPERs will occur each year. </w:t>
      </w:r>
      <w:r w:rsidR="00333BE5">
        <w:t xml:space="preserve">Table A-14 below describes how this estimate was calculated. </w:t>
      </w:r>
    </w:p>
    <w:p w:rsidR="00E937E5" w:rsidRDefault="00E937E5" w:rsidP="00E74161">
      <w:pPr>
        <w:spacing w:after="0" w:line="240" w:lineRule="auto"/>
      </w:pPr>
    </w:p>
    <w:p w:rsidR="00692153" w:rsidRPr="00E937E5" w:rsidRDefault="00692153" w:rsidP="00E74161">
      <w:pPr>
        <w:spacing w:after="0" w:line="240" w:lineRule="auto"/>
      </w:pPr>
    </w:p>
    <w:p w:rsidR="005C41CB" w:rsidRPr="005C41CB" w:rsidRDefault="005C41CB" w:rsidP="00E74161">
      <w:pPr>
        <w:spacing w:after="0" w:line="240" w:lineRule="auto"/>
      </w:pPr>
      <w:r>
        <w:t>Table A-14 Estimated Annualized Cost to the Federal Government</w:t>
      </w:r>
      <w:r>
        <w:tab/>
      </w:r>
    </w:p>
    <w:tbl>
      <w:tblPr>
        <w:tblStyle w:val="TableGrid"/>
        <w:tblW w:w="0" w:type="auto"/>
        <w:tblLook w:val="04A0" w:firstRow="1" w:lastRow="0" w:firstColumn="1" w:lastColumn="0" w:noHBand="0" w:noVBand="1"/>
      </w:tblPr>
      <w:tblGrid>
        <w:gridCol w:w="1839"/>
        <w:gridCol w:w="1840"/>
        <w:gridCol w:w="1839"/>
        <w:gridCol w:w="1840"/>
        <w:gridCol w:w="1840"/>
      </w:tblGrid>
      <w:tr w:rsidR="00400F7B" w:rsidTr="00714CA5">
        <w:tc>
          <w:tcPr>
            <w:tcW w:w="1839" w:type="dxa"/>
          </w:tcPr>
          <w:p w:rsidR="00400F7B" w:rsidRPr="00E74161" w:rsidRDefault="00400F7B" w:rsidP="00E74161">
            <w:pPr>
              <w:rPr>
                <w:b/>
              </w:rPr>
            </w:pPr>
            <w:r w:rsidRPr="00E74161">
              <w:rPr>
                <w:b/>
              </w:rPr>
              <w:t>Staff or Contractor</w:t>
            </w:r>
          </w:p>
        </w:tc>
        <w:tc>
          <w:tcPr>
            <w:tcW w:w="1840" w:type="dxa"/>
          </w:tcPr>
          <w:p w:rsidR="00400F7B" w:rsidRPr="00E74161" w:rsidRDefault="00400F7B" w:rsidP="00E74161">
            <w:pPr>
              <w:rPr>
                <w:b/>
              </w:rPr>
            </w:pPr>
            <w:r>
              <w:rPr>
                <w:b/>
              </w:rPr>
              <w:t>Average Number of Staff per CASPER</w:t>
            </w:r>
          </w:p>
        </w:tc>
        <w:tc>
          <w:tcPr>
            <w:tcW w:w="1839" w:type="dxa"/>
          </w:tcPr>
          <w:p w:rsidR="00400F7B" w:rsidRPr="00E74161" w:rsidRDefault="00400F7B" w:rsidP="00E74161">
            <w:pPr>
              <w:rPr>
                <w:b/>
              </w:rPr>
            </w:pPr>
            <w:r w:rsidRPr="00E74161">
              <w:rPr>
                <w:b/>
              </w:rPr>
              <w:t>Average Hours per CASPER</w:t>
            </w:r>
          </w:p>
        </w:tc>
        <w:tc>
          <w:tcPr>
            <w:tcW w:w="1840" w:type="dxa"/>
          </w:tcPr>
          <w:p w:rsidR="00400F7B" w:rsidRPr="00E74161" w:rsidRDefault="00400F7B" w:rsidP="00E74161">
            <w:pPr>
              <w:rPr>
                <w:b/>
              </w:rPr>
            </w:pPr>
            <w:r w:rsidRPr="00E74161">
              <w:rPr>
                <w:b/>
              </w:rPr>
              <w:t>Average Hourly Rate</w:t>
            </w:r>
          </w:p>
        </w:tc>
        <w:tc>
          <w:tcPr>
            <w:tcW w:w="1840" w:type="dxa"/>
          </w:tcPr>
          <w:p w:rsidR="00400F7B" w:rsidRPr="00E74161" w:rsidRDefault="00400F7B" w:rsidP="00E74161">
            <w:pPr>
              <w:rPr>
                <w:b/>
              </w:rPr>
            </w:pPr>
            <w:r w:rsidRPr="00E74161">
              <w:rPr>
                <w:b/>
              </w:rPr>
              <w:t>Average Cost</w:t>
            </w:r>
          </w:p>
        </w:tc>
      </w:tr>
      <w:tr w:rsidR="00400F7B" w:rsidTr="00714CA5">
        <w:tc>
          <w:tcPr>
            <w:tcW w:w="1839" w:type="dxa"/>
          </w:tcPr>
          <w:p w:rsidR="00400F7B" w:rsidRDefault="00400F7B" w:rsidP="00E74161">
            <w:r>
              <w:t>FTE (GS-13)</w:t>
            </w:r>
          </w:p>
        </w:tc>
        <w:tc>
          <w:tcPr>
            <w:tcW w:w="1840" w:type="dxa"/>
          </w:tcPr>
          <w:p w:rsidR="00400F7B" w:rsidRDefault="00400F7B" w:rsidP="00E74161">
            <w:r>
              <w:t>5</w:t>
            </w:r>
          </w:p>
        </w:tc>
        <w:tc>
          <w:tcPr>
            <w:tcW w:w="1839" w:type="dxa"/>
          </w:tcPr>
          <w:p w:rsidR="00400F7B" w:rsidRDefault="00400F7B" w:rsidP="00E74161">
            <w:r>
              <w:t>32</w:t>
            </w:r>
          </w:p>
        </w:tc>
        <w:tc>
          <w:tcPr>
            <w:tcW w:w="1840" w:type="dxa"/>
          </w:tcPr>
          <w:p w:rsidR="00400F7B" w:rsidRDefault="00400F7B" w:rsidP="00E74161">
            <w:r>
              <w:t>$40.97</w:t>
            </w:r>
          </w:p>
        </w:tc>
        <w:tc>
          <w:tcPr>
            <w:tcW w:w="1840" w:type="dxa"/>
          </w:tcPr>
          <w:p w:rsidR="00400F7B" w:rsidRDefault="00400F7B" w:rsidP="00CF2094">
            <w:r>
              <w:t>$6,555</w:t>
            </w:r>
          </w:p>
        </w:tc>
      </w:tr>
      <w:tr w:rsidR="00400F7B" w:rsidTr="00714CA5">
        <w:tc>
          <w:tcPr>
            <w:tcW w:w="7358" w:type="dxa"/>
            <w:gridSpan w:val="4"/>
          </w:tcPr>
          <w:p w:rsidR="00400F7B" w:rsidRDefault="00400F7B" w:rsidP="007A5EA0">
            <w:r w:rsidRPr="00E74161">
              <w:rPr>
                <w:b/>
              </w:rPr>
              <w:t xml:space="preserve">Estimated Total Average Annual Cost of </w:t>
            </w:r>
            <w:r w:rsidR="007A5EA0">
              <w:rPr>
                <w:b/>
              </w:rPr>
              <w:t>6</w:t>
            </w:r>
            <w:r w:rsidR="00A37940">
              <w:rPr>
                <w:b/>
              </w:rPr>
              <w:t xml:space="preserve"> </w:t>
            </w:r>
            <w:r>
              <w:rPr>
                <w:b/>
              </w:rPr>
              <w:t>in-</w:t>
            </w:r>
            <w:r w:rsidRPr="00E74161">
              <w:rPr>
                <w:b/>
              </w:rPr>
              <w:t>person Information Collections</w:t>
            </w:r>
          </w:p>
        </w:tc>
        <w:tc>
          <w:tcPr>
            <w:tcW w:w="1840" w:type="dxa"/>
          </w:tcPr>
          <w:p w:rsidR="00400F7B" w:rsidRDefault="00400F7B" w:rsidP="007A5EA0">
            <w:r>
              <w:t>$</w:t>
            </w:r>
            <w:r w:rsidR="007A5EA0">
              <w:t>39,330</w:t>
            </w:r>
          </w:p>
        </w:tc>
      </w:tr>
    </w:tbl>
    <w:p w:rsidR="00A63A3D" w:rsidRPr="00A63A3D" w:rsidRDefault="00A63A3D" w:rsidP="00350142">
      <w:pPr>
        <w:spacing w:after="0" w:line="240" w:lineRule="auto"/>
      </w:pPr>
    </w:p>
    <w:p w:rsidR="00C9554F" w:rsidRDefault="00C9554F" w:rsidP="00350142">
      <w:pPr>
        <w:pStyle w:val="Heading1"/>
        <w:spacing w:before="0" w:line="240" w:lineRule="auto"/>
      </w:pPr>
      <w:bookmarkStart w:id="17" w:name="_Toc403138209"/>
      <w:r w:rsidRPr="003F7C4B">
        <w:t>A.15. Explanation for Program Changes or Adjustments</w:t>
      </w:r>
      <w:bookmarkEnd w:id="17"/>
      <w:r w:rsidRPr="003F7C4B">
        <w:tab/>
      </w:r>
    </w:p>
    <w:p w:rsidR="003F7C4B" w:rsidRDefault="003F7C4B" w:rsidP="00350142">
      <w:pPr>
        <w:spacing w:after="0" w:line="240" w:lineRule="auto"/>
      </w:pPr>
    </w:p>
    <w:p w:rsidR="003F7C4B" w:rsidRPr="003F7C4B" w:rsidRDefault="003F7C4B" w:rsidP="00350142">
      <w:pPr>
        <w:spacing w:after="0" w:line="240" w:lineRule="auto"/>
      </w:pPr>
      <w:r>
        <w:t>This is a new data collection.</w:t>
      </w:r>
    </w:p>
    <w:p w:rsidR="00A63A3D" w:rsidRPr="00A63A3D" w:rsidRDefault="00A63A3D" w:rsidP="00350142">
      <w:pPr>
        <w:spacing w:after="0" w:line="240" w:lineRule="auto"/>
        <w:rPr>
          <w:highlight w:val="yellow"/>
        </w:rPr>
      </w:pPr>
    </w:p>
    <w:p w:rsidR="00C9554F" w:rsidRDefault="00C9554F" w:rsidP="00350142">
      <w:pPr>
        <w:pStyle w:val="Heading1"/>
        <w:spacing w:before="0" w:line="240" w:lineRule="auto"/>
      </w:pPr>
      <w:bookmarkStart w:id="18" w:name="_Toc403138210"/>
      <w:r w:rsidRPr="005A36D5">
        <w:t>A.16. Plans for Tabulation and Publication and Project Time Schedule</w:t>
      </w:r>
      <w:bookmarkEnd w:id="18"/>
      <w:r>
        <w:tab/>
      </w:r>
    </w:p>
    <w:p w:rsidR="008961E0" w:rsidRDefault="008961E0" w:rsidP="00350142">
      <w:pPr>
        <w:spacing w:after="0" w:line="240" w:lineRule="auto"/>
      </w:pPr>
    </w:p>
    <w:p w:rsidR="00E74161" w:rsidRDefault="00E74161" w:rsidP="00350142">
      <w:pPr>
        <w:spacing w:after="0" w:line="240" w:lineRule="auto"/>
      </w:pPr>
      <w:r>
        <w:t>Time schedu</w:t>
      </w:r>
      <w:r w:rsidR="00CA4680">
        <w:t>les for individual CASPERs vary</w:t>
      </w:r>
      <w:r w:rsidR="004C5DAD">
        <w:t xml:space="preserve"> </w:t>
      </w:r>
      <w:r>
        <w:t>based on situation and site specific conditions.</w:t>
      </w:r>
      <w:r w:rsidR="00691F35">
        <w:t xml:space="preserve"> </w:t>
      </w:r>
      <w:r w:rsidR="00131C12">
        <w:t>Due to the urgent circumstances under which CASPER can be requested</w:t>
      </w:r>
      <w:r w:rsidR="00EA7BC8">
        <w:t>,</w:t>
      </w:r>
      <w:r w:rsidR="00131C12">
        <w:t xml:space="preserve"> it is important for CASPERs to be ready to initiate within 72 hours of a request if necessary</w:t>
      </w:r>
      <w:r w:rsidR="00714CA5">
        <w:t>, and sometimes within 24 hours of a request</w:t>
      </w:r>
      <w:r w:rsidR="00131C12">
        <w:t xml:space="preserve">. </w:t>
      </w:r>
      <w:r w:rsidR="00EA7BC8">
        <w:t xml:space="preserve">The duration of the data collection varies for each CASPER, but does not exceed 180 days. If it is determined an investigation will extend beyond 180 days, the lead investigator will submit a new </w:t>
      </w:r>
      <w:r w:rsidR="00677EE8">
        <w:t>Gen ICR</w:t>
      </w:r>
      <w:r w:rsidR="00EA7BC8">
        <w:t xml:space="preserve">. For each CASPER, the lead investigator is responsible for developing an analysis plan and conducting the data analysis. </w:t>
      </w:r>
      <w:r w:rsidR="00691F35">
        <w:t>Table A.16 represents a general schedule anticipated for most CASPERs.</w:t>
      </w:r>
      <w:r>
        <w:t xml:space="preserve"> </w:t>
      </w:r>
    </w:p>
    <w:p w:rsidR="00E74161" w:rsidRDefault="00E74161" w:rsidP="00350142">
      <w:pPr>
        <w:spacing w:after="0" w:line="240" w:lineRule="auto"/>
      </w:pPr>
    </w:p>
    <w:p w:rsidR="00350142" w:rsidRDefault="00350142" w:rsidP="00350142">
      <w:pPr>
        <w:spacing w:after="0" w:line="240" w:lineRule="auto"/>
      </w:pPr>
      <w:r>
        <w:t>Table A</w:t>
      </w:r>
      <w:r w:rsidR="00714CA5">
        <w:t>-</w:t>
      </w:r>
      <w:r>
        <w:t>16</w:t>
      </w:r>
    </w:p>
    <w:tbl>
      <w:tblPr>
        <w:tblStyle w:val="TableGrid"/>
        <w:tblW w:w="0" w:type="auto"/>
        <w:tblLook w:val="04A0" w:firstRow="1" w:lastRow="0" w:firstColumn="1" w:lastColumn="0" w:noHBand="0" w:noVBand="1"/>
      </w:tblPr>
      <w:tblGrid>
        <w:gridCol w:w="4796"/>
        <w:gridCol w:w="4780"/>
      </w:tblGrid>
      <w:tr w:rsidR="008961E0" w:rsidTr="00087B06">
        <w:tc>
          <w:tcPr>
            <w:tcW w:w="10296" w:type="dxa"/>
            <w:gridSpan w:val="2"/>
          </w:tcPr>
          <w:p w:rsidR="008961E0" w:rsidRPr="00350142" w:rsidRDefault="008961E0" w:rsidP="00350142">
            <w:pPr>
              <w:rPr>
                <w:b/>
              </w:rPr>
            </w:pPr>
            <w:r w:rsidRPr="00350142">
              <w:rPr>
                <w:b/>
              </w:rPr>
              <w:t>Project Time Schedule</w:t>
            </w:r>
          </w:p>
        </w:tc>
      </w:tr>
      <w:tr w:rsidR="008961E0" w:rsidRPr="00350142" w:rsidTr="008961E0">
        <w:tc>
          <w:tcPr>
            <w:tcW w:w="5148" w:type="dxa"/>
          </w:tcPr>
          <w:p w:rsidR="008961E0" w:rsidRPr="00350142" w:rsidRDefault="008961E0" w:rsidP="00350142">
            <w:pPr>
              <w:jc w:val="center"/>
              <w:rPr>
                <w:b/>
              </w:rPr>
            </w:pPr>
            <w:r w:rsidRPr="00350142">
              <w:rPr>
                <w:b/>
              </w:rPr>
              <w:t>Activity</w:t>
            </w:r>
          </w:p>
        </w:tc>
        <w:tc>
          <w:tcPr>
            <w:tcW w:w="5148" w:type="dxa"/>
          </w:tcPr>
          <w:p w:rsidR="008961E0" w:rsidRPr="00350142" w:rsidRDefault="008961E0" w:rsidP="00350142">
            <w:pPr>
              <w:jc w:val="center"/>
              <w:rPr>
                <w:b/>
              </w:rPr>
            </w:pPr>
            <w:r w:rsidRPr="00350142">
              <w:rPr>
                <w:b/>
              </w:rPr>
              <w:t>Time Schedule</w:t>
            </w:r>
          </w:p>
        </w:tc>
      </w:tr>
      <w:tr w:rsidR="008961E0" w:rsidTr="008961E0">
        <w:tc>
          <w:tcPr>
            <w:tcW w:w="5148" w:type="dxa"/>
          </w:tcPr>
          <w:p w:rsidR="008961E0" w:rsidRDefault="001574C3" w:rsidP="00350142">
            <w:r>
              <w:t>Data collection (field work)</w:t>
            </w:r>
          </w:p>
        </w:tc>
        <w:tc>
          <w:tcPr>
            <w:tcW w:w="5148" w:type="dxa"/>
          </w:tcPr>
          <w:p w:rsidR="008961E0" w:rsidRDefault="001574C3" w:rsidP="00350142">
            <w:r>
              <w:t>1-14 days after OMB approval</w:t>
            </w:r>
          </w:p>
        </w:tc>
      </w:tr>
      <w:tr w:rsidR="008961E0" w:rsidTr="008961E0">
        <w:tc>
          <w:tcPr>
            <w:tcW w:w="5148" w:type="dxa"/>
          </w:tcPr>
          <w:p w:rsidR="008961E0" w:rsidRDefault="001574C3" w:rsidP="00350142">
            <w:r>
              <w:t>Analyses</w:t>
            </w:r>
          </w:p>
        </w:tc>
        <w:tc>
          <w:tcPr>
            <w:tcW w:w="5148" w:type="dxa"/>
          </w:tcPr>
          <w:p w:rsidR="008961E0" w:rsidRDefault="001574C3" w:rsidP="00350142">
            <w:r>
              <w:t>1-4 weeks after OMB approval</w:t>
            </w:r>
          </w:p>
        </w:tc>
      </w:tr>
      <w:tr w:rsidR="008961E0" w:rsidTr="008961E0">
        <w:tc>
          <w:tcPr>
            <w:tcW w:w="5148" w:type="dxa"/>
          </w:tcPr>
          <w:p w:rsidR="008961E0" w:rsidRDefault="001574C3" w:rsidP="00350142">
            <w:r>
              <w:t>Reporting</w:t>
            </w:r>
          </w:p>
        </w:tc>
        <w:tc>
          <w:tcPr>
            <w:tcW w:w="5148" w:type="dxa"/>
          </w:tcPr>
          <w:p w:rsidR="008961E0" w:rsidRDefault="001574C3" w:rsidP="00350142">
            <w:r>
              <w:t>1-8 weeks after OMB approval</w:t>
            </w:r>
          </w:p>
        </w:tc>
      </w:tr>
      <w:tr w:rsidR="008961E0" w:rsidTr="008961E0">
        <w:tc>
          <w:tcPr>
            <w:tcW w:w="5148" w:type="dxa"/>
          </w:tcPr>
          <w:p w:rsidR="008961E0" w:rsidRDefault="001574C3" w:rsidP="00350142">
            <w:r>
              <w:t>Publication</w:t>
            </w:r>
          </w:p>
        </w:tc>
        <w:tc>
          <w:tcPr>
            <w:tcW w:w="5148" w:type="dxa"/>
          </w:tcPr>
          <w:p w:rsidR="008961E0" w:rsidRDefault="001574C3" w:rsidP="00350142">
            <w:r>
              <w:t>6-12 months after OMB approval</w:t>
            </w:r>
          </w:p>
        </w:tc>
      </w:tr>
    </w:tbl>
    <w:p w:rsidR="00A63A3D" w:rsidRPr="00A63A3D" w:rsidRDefault="00A63A3D" w:rsidP="00350142">
      <w:pPr>
        <w:spacing w:after="0" w:line="240" w:lineRule="auto"/>
      </w:pPr>
    </w:p>
    <w:p w:rsidR="00C9554F" w:rsidRPr="0051101E" w:rsidRDefault="00C9554F" w:rsidP="00350142">
      <w:pPr>
        <w:pStyle w:val="Heading1"/>
        <w:spacing w:before="0" w:line="240" w:lineRule="auto"/>
      </w:pPr>
      <w:bookmarkStart w:id="19" w:name="_Toc403138211"/>
      <w:r w:rsidRPr="0051101E">
        <w:t>A.17. Reason(s) Display of OMB Expiration Date is Inappropriate</w:t>
      </w:r>
      <w:bookmarkEnd w:id="19"/>
      <w:r w:rsidRPr="0051101E">
        <w:tab/>
      </w:r>
    </w:p>
    <w:p w:rsidR="00753B87" w:rsidRPr="00753B87" w:rsidRDefault="00753B87" w:rsidP="00350142">
      <w:pPr>
        <w:spacing w:after="0" w:line="240" w:lineRule="auto"/>
      </w:pPr>
    </w:p>
    <w:p w:rsidR="00753B87" w:rsidRDefault="00753CE9" w:rsidP="00350142">
      <w:pPr>
        <w:spacing w:after="0" w:line="240" w:lineRule="auto"/>
      </w:pPr>
      <w:r>
        <w:t xml:space="preserve">We are not requesting exemption from display of the OMB expiration date. </w:t>
      </w:r>
    </w:p>
    <w:p w:rsidR="00A63A3D" w:rsidRDefault="00A63A3D" w:rsidP="00350142">
      <w:pPr>
        <w:spacing w:after="0" w:line="240" w:lineRule="auto"/>
      </w:pPr>
    </w:p>
    <w:p w:rsidR="00C9554F" w:rsidRPr="004E3FBD" w:rsidRDefault="00C9554F" w:rsidP="00350142">
      <w:pPr>
        <w:pStyle w:val="Heading1"/>
        <w:spacing w:before="0" w:line="240" w:lineRule="auto"/>
      </w:pPr>
      <w:bookmarkStart w:id="20" w:name="_Toc403138212"/>
      <w:r w:rsidRPr="0051101E">
        <w:t>A.18. Exceptions to Certification for Paperwork Reduction Act Submissions</w:t>
      </w:r>
      <w:bookmarkEnd w:id="20"/>
      <w:r>
        <w:tab/>
      </w:r>
    </w:p>
    <w:p w:rsidR="00C9554F" w:rsidRDefault="00C9554F" w:rsidP="00350142">
      <w:pPr>
        <w:spacing w:after="0" w:line="240" w:lineRule="auto"/>
        <w:rPr>
          <w:sz w:val="24"/>
          <w:szCs w:val="28"/>
        </w:rPr>
      </w:pPr>
    </w:p>
    <w:p w:rsidR="00A63A3D" w:rsidRDefault="00245938" w:rsidP="00350142">
      <w:pPr>
        <w:spacing w:after="0" w:line="240" w:lineRule="auto"/>
      </w:pPr>
      <w:r w:rsidRPr="00245938">
        <w:t>There are no exceptions</w:t>
      </w:r>
      <w:r>
        <w:t xml:space="preserve"> to the certification.</w:t>
      </w:r>
    </w:p>
    <w:p w:rsidR="002A4228" w:rsidRDefault="002A4228" w:rsidP="00350142">
      <w:pPr>
        <w:spacing w:after="0" w:line="240" w:lineRule="auto"/>
      </w:pPr>
    </w:p>
    <w:p w:rsidR="00503A45" w:rsidRPr="002A4228" w:rsidRDefault="00503A45" w:rsidP="00503A45">
      <w:pPr>
        <w:pStyle w:val="Heading1"/>
      </w:pPr>
      <w:bookmarkStart w:id="21" w:name="_Toc403138213"/>
      <w:r>
        <w:lastRenderedPageBreak/>
        <w:t>References</w:t>
      </w:r>
      <w:bookmarkEnd w:id="21"/>
    </w:p>
    <w:p w:rsidR="00503A45" w:rsidRPr="002A4228" w:rsidRDefault="00503A45" w:rsidP="00503A45">
      <w:pPr>
        <w:spacing w:after="0" w:line="240" w:lineRule="auto"/>
      </w:pPr>
    </w:p>
    <w:p w:rsidR="00685FEE" w:rsidRDefault="00685FEE" w:rsidP="00685FEE">
      <w:pPr>
        <w:pStyle w:val="ListParagraph"/>
        <w:numPr>
          <w:ilvl w:val="0"/>
          <w:numId w:val="54"/>
        </w:numPr>
      </w:pPr>
      <w:r>
        <w:t xml:space="preserve">World Health Organization. Water sanitation health: environmental health in emergencies and disasters. </w:t>
      </w:r>
      <w:proofErr w:type="gramStart"/>
      <w:r>
        <w:t>WHO.;</w:t>
      </w:r>
      <w:proofErr w:type="gramEnd"/>
      <w:r>
        <w:t xml:space="preserve"> c2014 [cited 2014 October 24]. Available from: </w:t>
      </w:r>
      <w:hyperlink r:id="rId19" w:history="1">
        <w:r w:rsidRPr="002527A1">
          <w:rPr>
            <w:rStyle w:val="Hyperlink"/>
          </w:rPr>
          <w:t>http://www.who.int/water_sanitation_health/emergencies/en/</w:t>
        </w:r>
      </w:hyperlink>
    </w:p>
    <w:p w:rsidR="00685FEE" w:rsidRPr="002527A1" w:rsidRDefault="00685FEE" w:rsidP="00685FEE">
      <w:pPr>
        <w:pStyle w:val="ListParagraph"/>
        <w:numPr>
          <w:ilvl w:val="0"/>
          <w:numId w:val="54"/>
        </w:numPr>
        <w:rPr>
          <w:rStyle w:val="Hyperlink"/>
        </w:rPr>
      </w:pPr>
      <w:r w:rsidRPr="00175201">
        <w:t>Institute of Medicine (US) Roundtable on Environmental Health Sciences, Research, and Medicine. Environmental Public Health Impacts of Disasters: Hurricane Katrina: Workshop Summary. Washington (DC): Nati</w:t>
      </w:r>
      <w:r>
        <w:t>onal Academies Press (US); 2007;</w:t>
      </w:r>
      <w:r w:rsidRPr="00175201">
        <w:t xml:space="preserve"> 1, Introduction. </w:t>
      </w:r>
      <w:r>
        <w:t>[cited 2014 October 24].</w:t>
      </w:r>
      <w:r w:rsidRPr="00175201">
        <w:t xml:space="preserve">Available from: </w:t>
      </w:r>
      <w:hyperlink r:id="rId20" w:history="1">
        <w:r w:rsidRPr="00175201">
          <w:rPr>
            <w:rStyle w:val="Hyperlink"/>
          </w:rPr>
          <w:t>http://www.ncbi.nlm.nih.gov/books/NBK54245/</w:t>
        </w:r>
      </w:hyperlink>
      <w:r w:rsidRPr="002527A1">
        <w:rPr>
          <w:rStyle w:val="Hyperlink"/>
        </w:rPr>
        <w:t xml:space="preserve"> </w:t>
      </w:r>
    </w:p>
    <w:p w:rsidR="00685FEE" w:rsidRDefault="00685FEE" w:rsidP="00685FEE">
      <w:pPr>
        <w:pStyle w:val="ListParagraph"/>
        <w:numPr>
          <w:ilvl w:val="0"/>
          <w:numId w:val="54"/>
        </w:numPr>
      </w:pPr>
      <w:r>
        <w:t xml:space="preserve">Brogan D, Flagg EW, Deming M, Waldman R. Increasing the accuracy of the expanded </w:t>
      </w:r>
      <w:proofErr w:type="spellStart"/>
      <w:r>
        <w:t>programme</w:t>
      </w:r>
      <w:proofErr w:type="spellEnd"/>
      <w:r>
        <w:t xml:space="preserve"> on immunization’s cluster survey design. Annals </w:t>
      </w:r>
      <w:proofErr w:type="spellStart"/>
      <w:r>
        <w:t>Epi</w:t>
      </w:r>
      <w:proofErr w:type="spellEnd"/>
      <w:r>
        <w:t>. 1994; 4(4): 302-311.</w:t>
      </w:r>
    </w:p>
    <w:p w:rsidR="00685FEE" w:rsidRDefault="00685FEE" w:rsidP="00685FEE">
      <w:pPr>
        <w:pStyle w:val="ListParagraph"/>
        <w:numPr>
          <w:ilvl w:val="0"/>
          <w:numId w:val="54"/>
        </w:numPr>
      </w:pPr>
      <w:proofErr w:type="spellStart"/>
      <w:r>
        <w:t>Malilay</w:t>
      </w:r>
      <w:proofErr w:type="spellEnd"/>
      <w:r>
        <w:t xml:space="preserve"> J, Flanders WD, Brogan D. A modified cluster-sampling method for post-disaster rapid assessment of needs. Bull WHO. 1996; 74(4): 399-405. [</w:t>
      </w:r>
      <w:proofErr w:type="gramStart"/>
      <w:r>
        <w:t>cited</w:t>
      </w:r>
      <w:proofErr w:type="gramEnd"/>
      <w:r>
        <w:t xml:space="preserve"> 2014 October 24]. Available from: </w:t>
      </w:r>
      <w:hyperlink r:id="rId21" w:history="1">
        <w:r w:rsidRPr="008E44FE">
          <w:rPr>
            <w:rStyle w:val="Hyperlink"/>
          </w:rPr>
          <w:t>http://apps.who.int/iris/bitstream/10665/54011/1/bulletin_1996_74%284%29_399-405.pdf?ua=1</w:t>
        </w:r>
      </w:hyperlink>
      <w:r>
        <w:t xml:space="preserve"> </w:t>
      </w:r>
    </w:p>
    <w:p w:rsidR="00685FEE" w:rsidRPr="00747587" w:rsidRDefault="00685FEE" w:rsidP="00685FEE">
      <w:pPr>
        <w:pStyle w:val="ListParagraph"/>
        <w:numPr>
          <w:ilvl w:val="0"/>
          <w:numId w:val="54"/>
        </w:numPr>
      </w:pPr>
      <w:r w:rsidRPr="00747587">
        <w:t>Federal Emergency Management Association (FEMA). IS-2900 – National Disaster Recovery Framework (NDRF) Overview: Lesson 1: National Disaster Recovery Framework Introduction website. [</w:t>
      </w:r>
      <w:proofErr w:type="gramStart"/>
      <w:r w:rsidRPr="00747587">
        <w:t>cited</w:t>
      </w:r>
      <w:proofErr w:type="gramEnd"/>
      <w:r w:rsidRPr="00747587">
        <w:t xml:space="preserve"> 20</w:t>
      </w:r>
      <w:r>
        <w:t xml:space="preserve">14 December 5]. Available from: </w:t>
      </w:r>
      <w:hyperlink r:id="rId22" w:history="1">
        <w:r w:rsidRPr="00747587">
          <w:rPr>
            <w:rStyle w:val="Hyperlink"/>
          </w:rPr>
          <w:t>http://emilms.fema.gov/IS2900/NDRF01summary.htm</w:t>
        </w:r>
      </w:hyperlink>
    </w:p>
    <w:p w:rsidR="00685FEE" w:rsidRPr="00747587" w:rsidRDefault="00685FEE" w:rsidP="00685FEE">
      <w:pPr>
        <w:pStyle w:val="ListParagraph"/>
        <w:numPr>
          <w:ilvl w:val="0"/>
          <w:numId w:val="54"/>
        </w:numPr>
      </w:pPr>
      <w:r w:rsidRPr="00747587">
        <w:t xml:space="preserve">U.S. Department of Homeland Security. National Response Framework. DHS; c2008 [cited 2014 December 5]. Available from:  </w:t>
      </w:r>
      <w:hyperlink r:id="rId23" w:history="1">
        <w:r w:rsidRPr="00747587">
          <w:rPr>
            <w:rStyle w:val="Hyperlink"/>
          </w:rPr>
          <w:t>http://www.fema.gov/pdf/emergency/nrf/nrf-core.pdf</w:t>
        </w:r>
      </w:hyperlink>
    </w:p>
    <w:p w:rsidR="00685FEE" w:rsidRPr="00F109E7" w:rsidRDefault="00F109E7" w:rsidP="00685FEE">
      <w:pPr>
        <w:pStyle w:val="ListParagraph"/>
        <w:numPr>
          <w:ilvl w:val="0"/>
          <w:numId w:val="54"/>
        </w:numPr>
      </w:pPr>
      <w:r w:rsidRPr="00F109E7">
        <w:t>Centers for Disease Control and Prevention (CDC). Community needs assessment and morbidity surveillance following an earthquake – Turkey, August 1999. MMWR. 1999 December 24; 48(50)</w:t>
      </w:r>
      <w:r w:rsidR="003C7D2E">
        <w:t>: 234-36. [</w:t>
      </w:r>
      <w:proofErr w:type="gramStart"/>
      <w:r w:rsidR="003C7D2E">
        <w:t>cited</w:t>
      </w:r>
      <w:proofErr w:type="gramEnd"/>
      <w:r w:rsidR="003C7D2E">
        <w:t xml:space="preserve"> 2014 December 5</w:t>
      </w:r>
      <w:r w:rsidRPr="00F109E7">
        <w:t xml:space="preserve">]. Available from: </w:t>
      </w:r>
      <w:hyperlink r:id="rId24" w:history="1">
        <w:r w:rsidR="00685FEE" w:rsidRPr="00F109E7">
          <w:rPr>
            <w:rStyle w:val="Hyperlink"/>
          </w:rPr>
          <w:t>http://www.cdc.gov/mmwr/preview/mmwrhtml/mm4850a2.htm</w:t>
        </w:r>
      </w:hyperlink>
    </w:p>
    <w:p w:rsidR="00685FEE" w:rsidRPr="003C7D2E" w:rsidRDefault="00421B26" w:rsidP="00685FEE">
      <w:pPr>
        <w:pStyle w:val="ListParagraph"/>
        <w:numPr>
          <w:ilvl w:val="0"/>
          <w:numId w:val="54"/>
        </w:numPr>
      </w:pPr>
      <w:r w:rsidRPr="003C7D2E">
        <w:t xml:space="preserve">Daley W, </w:t>
      </w:r>
      <w:proofErr w:type="spellStart"/>
      <w:r w:rsidRPr="003C7D2E">
        <w:t>Karpati</w:t>
      </w:r>
      <w:proofErr w:type="spellEnd"/>
      <w:r w:rsidRPr="003C7D2E">
        <w:t xml:space="preserve"> A, Sheik M. Needs assessment of the displaced population following the August 1999 e</w:t>
      </w:r>
      <w:r w:rsidR="00685FEE" w:rsidRPr="003C7D2E">
        <w:t>arthquake in Turkey</w:t>
      </w:r>
      <w:r w:rsidRPr="003C7D2E">
        <w:t>. Disasters. 2001; 25(1)</w:t>
      </w:r>
      <w:r w:rsidR="003C7D2E" w:rsidRPr="003C7D2E">
        <w:t>: 67-75. [</w:t>
      </w:r>
      <w:proofErr w:type="gramStart"/>
      <w:r w:rsidR="003C7D2E" w:rsidRPr="003C7D2E">
        <w:t>cited</w:t>
      </w:r>
      <w:proofErr w:type="gramEnd"/>
      <w:r w:rsidR="003C7D2E" w:rsidRPr="003C7D2E">
        <w:t xml:space="preserve"> 2014 December 0</w:t>
      </w:r>
      <w:r w:rsidR="003C7D2E">
        <w:t>5</w:t>
      </w:r>
      <w:r w:rsidRPr="003C7D2E">
        <w:t>].</w:t>
      </w:r>
    </w:p>
    <w:p w:rsidR="00685FEE" w:rsidRPr="006A2D79" w:rsidRDefault="00685FEE" w:rsidP="00685FEE">
      <w:pPr>
        <w:pStyle w:val="ListParagraph"/>
        <w:numPr>
          <w:ilvl w:val="0"/>
          <w:numId w:val="54"/>
        </w:numPr>
        <w:rPr>
          <w:rStyle w:val="Hyperlink"/>
          <w:color w:val="auto"/>
          <w:u w:val="none"/>
        </w:rPr>
      </w:pPr>
      <w:r>
        <w:t>FEMA. IS-701.a – Multiagency coordination systems training website. [</w:t>
      </w:r>
      <w:proofErr w:type="gramStart"/>
      <w:r>
        <w:t>updated</w:t>
      </w:r>
      <w:proofErr w:type="gramEnd"/>
      <w:r>
        <w:t xml:space="preserve"> 2010 October 28; cited 2014 October 24]. Available from: </w:t>
      </w:r>
      <w:hyperlink r:id="rId25" w:history="1">
        <w:r w:rsidRPr="00C1169F">
          <w:rPr>
            <w:rStyle w:val="Hyperlink"/>
            <w:rFonts w:cs="Arial"/>
          </w:rPr>
          <w:t>https://training.fema.gov/EMIWeb/IS/is701alst.asp</w:t>
        </w:r>
      </w:hyperlink>
    </w:p>
    <w:p w:rsidR="00685FEE" w:rsidRPr="003C7D2E" w:rsidRDefault="003C7D2E" w:rsidP="00685FEE">
      <w:pPr>
        <w:pStyle w:val="ListParagraph"/>
        <w:numPr>
          <w:ilvl w:val="0"/>
          <w:numId w:val="54"/>
        </w:numPr>
        <w:rPr>
          <w:rStyle w:val="Hyperlink"/>
        </w:rPr>
      </w:pPr>
      <w:r w:rsidRPr="003C7D2E">
        <w:t>FEMA. IS-208.A: State Disaster Management, Unit 4 Damage Assessment. [</w:t>
      </w:r>
      <w:proofErr w:type="gramStart"/>
      <w:r w:rsidRPr="003C7D2E">
        <w:t>cited</w:t>
      </w:r>
      <w:proofErr w:type="gramEnd"/>
      <w:r w:rsidRPr="003C7D2E">
        <w:t xml:space="preserve"> 2014 December 5]. Available from:  </w:t>
      </w:r>
      <w:hyperlink r:id="rId26" w:history="1">
        <w:r w:rsidR="00685FEE" w:rsidRPr="003C7D2E">
          <w:rPr>
            <w:rStyle w:val="Hyperlink"/>
          </w:rPr>
          <w:t>http://training.fema.gov/emiweb/is/IS208A/05_SDM_Unit_04_508.pdf</w:t>
        </w:r>
      </w:hyperlink>
    </w:p>
    <w:p w:rsidR="00685FEE" w:rsidRPr="00172BF8" w:rsidRDefault="003C7D2E" w:rsidP="00685FEE">
      <w:pPr>
        <w:pStyle w:val="ListParagraph"/>
        <w:numPr>
          <w:ilvl w:val="0"/>
          <w:numId w:val="54"/>
        </w:numPr>
        <w:rPr>
          <w:rStyle w:val="Hyperlink"/>
        </w:rPr>
      </w:pPr>
      <w:r w:rsidRPr="00172BF8">
        <w:rPr>
          <w:rStyle w:val="Hyperlink"/>
        </w:rPr>
        <w:t xml:space="preserve">FEMA. Draft rapid needs assessment in federal disaster operations: Operations manual.  </w:t>
      </w:r>
      <w:r w:rsidR="00172BF8" w:rsidRPr="00172BF8">
        <w:rPr>
          <w:rStyle w:val="Hyperlink"/>
        </w:rPr>
        <w:t>2001 [cited 2014 December 5]. Available:  from</w:t>
      </w:r>
      <w:hyperlink r:id="rId27" w:history="1">
        <w:r w:rsidR="00685FEE" w:rsidRPr="00172BF8">
          <w:rPr>
            <w:rStyle w:val="Hyperlink"/>
          </w:rPr>
          <w:t>http://www.parkdatabase.org/files/documents/2001_Rapid-Needs-Assessment_FEMA.pdf</w:t>
        </w:r>
      </w:hyperlink>
    </w:p>
    <w:p w:rsidR="00685FEE" w:rsidRPr="00172BF8" w:rsidRDefault="00172BF8" w:rsidP="00685FEE">
      <w:pPr>
        <w:pStyle w:val="ListParagraph"/>
        <w:numPr>
          <w:ilvl w:val="0"/>
          <w:numId w:val="54"/>
        </w:numPr>
        <w:rPr>
          <w:color w:val="0000FF" w:themeColor="hyperlink"/>
          <w:u w:val="single"/>
        </w:rPr>
      </w:pPr>
      <w:r w:rsidRPr="00172BF8">
        <w:t>FEMA. Incident management assistance teams fact sheet. [</w:t>
      </w:r>
      <w:proofErr w:type="gramStart"/>
      <w:r w:rsidRPr="00172BF8">
        <w:t>updated</w:t>
      </w:r>
      <w:proofErr w:type="gramEnd"/>
      <w:r w:rsidRPr="00172BF8">
        <w:t xml:space="preserve"> 2010 October 5, cited 2014 December 5]. Available from: </w:t>
      </w:r>
      <w:hyperlink r:id="rId28" w:history="1">
        <w:r w:rsidR="00685FEE" w:rsidRPr="00172BF8">
          <w:rPr>
            <w:rStyle w:val="Hyperlink"/>
          </w:rPr>
          <w:t>http://www.fema.gov/pdf/media/factsheets/2010/imat_fact_sheet_10_05_10.pdf</w:t>
        </w:r>
      </w:hyperlink>
    </w:p>
    <w:p w:rsidR="00685FEE" w:rsidRPr="00172BF8" w:rsidRDefault="00172BF8" w:rsidP="00685FEE">
      <w:pPr>
        <w:pStyle w:val="ListParagraph"/>
        <w:numPr>
          <w:ilvl w:val="0"/>
          <w:numId w:val="54"/>
        </w:numPr>
        <w:rPr>
          <w:color w:val="0000FF" w:themeColor="hyperlink"/>
          <w:u w:val="single"/>
        </w:rPr>
      </w:pPr>
      <w:r w:rsidRPr="00172BF8">
        <w:t>CDC. Community assessment for public health emergency response (CASPER) website. [</w:t>
      </w:r>
      <w:proofErr w:type="gramStart"/>
      <w:r w:rsidRPr="00172BF8">
        <w:t>updated</w:t>
      </w:r>
      <w:proofErr w:type="gramEnd"/>
      <w:r w:rsidRPr="00172BF8">
        <w:t xml:space="preserve"> 2014 March 3; cited 2014 December 5]. Available from:  </w:t>
      </w:r>
      <w:hyperlink r:id="rId29" w:history="1">
        <w:r w:rsidR="00685FEE" w:rsidRPr="00172BF8">
          <w:rPr>
            <w:rStyle w:val="Hyperlink"/>
          </w:rPr>
          <w:t>http://www.cdc.gov/nceh/hsb/disaster/casper.htm</w:t>
        </w:r>
      </w:hyperlink>
    </w:p>
    <w:p w:rsidR="00685FEE" w:rsidRPr="00C1169F" w:rsidRDefault="00685FEE" w:rsidP="00685FEE">
      <w:pPr>
        <w:pStyle w:val="ListParagraph"/>
        <w:numPr>
          <w:ilvl w:val="0"/>
          <w:numId w:val="54"/>
        </w:numPr>
        <w:rPr>
          <w:rStyle w:val="Hyperlink"/>
          <w:color w:val="auto"/>
          <w:u w:val="none"/>
        </w:rPr>
      </w:pPr>
      <w:proofErr w:type="spellStart"/>
      <w:r>
        <w:t>Buttke</w:t>
      </w:r>
      <w:proofErr w:type="spellEnd"/>
      <w:r>
        <w:t xml:space="preserve"> D, </w:t>
      </w:r>
      <w:proofErr w:type="spellStart"/>
      <w:r>
        <w:t>Vagi</w:t>
      </w:r>
      <w:proofErr w:type="spellEnd"/>
      <w:r>
        <w:t xml:space="preserve"> S, </w:t>
      </w:r>
      <w:proofErr w:type="spellStart"/>
      <w:r>
        <w:t>Schnall</w:t>
      </w:r>
      <w:proofErr w:type="spellEnd"/>
      <w:r>
        <w:t xml:space="preserve"> A, </w:t>
      </w:r>
      <w:proofErr w:type="spellStart"/>
      <w:r>
        <w:t>Bayleyegn</w:t>
      </w:r>
      <w:proofErr w:type="spellEnd"/>
      <w:r>
        <w:t xml:space="preserve"> T, Morrison, M, Allen M, et al. Community assessment for public health emergency response (CASPER) one year following the Gulf Coast Oil Spill: Alabama </w:t>
      </w:r>
      <w:r>
        <w:lastRenderedPageBreak/>
        <w:t xml:space="preserve">and Mississippi, 2011. </w:t>
      </w:r>
      <w:proofErr w:type="spellStart"/>
      <w:r>
        <w:t>Prehosp</w:t>
      </w:r>
      <w:proofErr w:type="spellEnd"/>
      <w:r>
        <w:t xml:space="preserve"> Dis Med. 2012; 27(6): 496-502. [</w:t>
      </w:r>
      <w:proofErr w:type="gramStart"/>
      <w:r>
        <w:t>cited</w:t>
      </w:r>
      <w:proofErr w:type="gramEnd"/>
      <w:r>
        <w:t xml:space="preserve"> 2014 October 24]. Available from:  </w:t>
      </w:r>
      <w:hyperlink r:id="rId30" w:history="1">
        <w:r w:rsidRPr="0035463D">
          <w:rPr>
            <w:rStyle w:val="Hyperlink"/>
          </w:rPr>
          <w:t>http://journals.cambridge.org/download.php?file=%2FPDM%2FPDM27_06%2FS1049023X12001380a.pdf&amp;code=38a785005a70a3df74f024857fd4885c</w:t>
        </w:r>
      </w:hyperlink>
    </w:p>
    <w:p w:rsidR="00685FEE" w:rsidRPr="006A2D79" w:rsidRDefault="00685FEE" w:rsidP="00685FEE">
      <w:pPr>
        <w:pStyle w:val="ListParagraph"/>
        <w:numPr>
          <w:ilvl w:val="0"/>
          <w:numId w:val="54"/>
        </w:numPr>
        <w:rPr>
          <w:rStyle w:val="Hyperlink"/>
          <w:color w:val="auto"/>
          <w:u w:val="none"/>
        </w:rPr>
      </w:pPr>
      <w:r>
        <w:t>Centers for Disease Control and Prevention. Emergency preparedness and response: Disaster mental health primer: key principles, issues and questions website. [</w:t>
      </w:r>
      <w:proofErr w:type="gramStart"/>
      <w:r>
        <w:t>updated</w:t>
      </w:r>
      <w:proofErr w:type="gramEnd"/>
      <w:r>
        <w:t xml:space="preserve"> 2012 July 31; cited 2014 October 24]. Available from: </w:t>
      </w:r>
      <w:hyperlink r:id="rId31" w:history="1">
        <w:r w:rsidRPr="00EB6BCE">
          <w:rPr>
            <w:rStyle w:val="Hyperlink"/>
          </w:rPr>
          <w:t>http://www.bt.cdc.gov/mentalhealth/primer.asp</w:t>
        </w:r>
      </w:hyperlink>
    </w:p>
    <w:p w:rsidR="00685FEE" w:rsidRPr="006A2D79" w:rsidRDefault="00685FEE" w:rsidP="00685FEE">
      <w:pPr>
        <w:pStyle w:val="ListParagraph"/>
        <w:numPr>
          <w:ilvl w:val="0"/>
          <w:numId w:val="54"/>
        </w:numPr>
        <w:rPr>
          <w:rStyle w:val="Hyperlink"/>
          <w:color w:val="auto"/>
          <w:u w:val="none"/>
        </w:rPr>
      </w:pPr>
      <w:r>
        <w:t>Centers for Disease Control and Prevention. Mental health: Disaster and environmental mental health website. [</w:t>
      </w:r>
      <w:proofErr w:type="gramStart"/>
      <w:r>
        <w:t>updated</w:t>
      </w:r>
      <w:proofErr w:type="gramEnd"/>
      <w:r>
        <w:t xml:space="preserve"> 2013 October 1; cited 2014 October 24]. Available from: </w:t>
      </w:r>
      <w:hyperlink r:id="rId32" w:history="1">
        <w:r w:rsidRPr="00EB6BCE">
          <w:rPr>
            <w:rStyle w:val="Hyperlink"/>
          </w:rPr>
          <w:t>http://www.cdc.gov/mentalhealth/information/dis-en-health.htm</w:t>
        </w:r>
      </w:hyperlink>
    </w:p>
    <w:p w:rsidR="00685FEE" w:rsidRPr="006A2D79" w:rsidRDefault="00685FEE" w:rsidP="00685FEE">
      <w:pPr>
        <w:pStyle w:val="ListParagraph"/>
        <w:numPr>
          <w:ilvl w:val="0"/>
          <w:numId w:val="54"/>
        </w:numPr>
        <w:rPr>
          <w:rStyle w:val="Hyperlink"/>
          <w:color w:val="auto"/>
          <w:u w:val="none"/>
        </w:rPr>
      </w:pPr>
      <w:r>
        <w:t>Centers for Disease Control and Prevention. Mental health website. [</w:t>
      </w:r>
      <w:proofErr w:type="gramStart"/>
      <w:r>
        <w:t>updated</w:t>
      </w:r>
      <w:proofErr w:type="gramEnd"/>
      <w:r>
        <w:t xml:space="preserve"> 2013 October 4; cited 2014 October 24]. Available from: </w:t>
      </w:r>
      <w:hyperlink r:id="rId33" w:history="1">
        <w:r w:rsidRPr="00AB19C4">
          <w:rPr>
            <w:rStyle w:val="Hyperlink"/>
          </w:rPr>
          <w:t>http://www.cdc.gov/mentalhealth/</w:t>
        </w:r>
      </w:hyperlink>
    </w:p>
    <w:p w:rsidR="00685FEE" w:rsidRPr="008F5D10" w:rsidRDefault="00685FEE" w:rsidP="00685FEE">
      <w:pPr>
        <w:pStyle w:val="ListParagraph"/>
        <w:numPr>
          <w:ilvl w:val="0"/>
          <w:numId w:val="54"/>
        </w:numPr>
        <w:rPr>
          <w:rStyle w:val="Hyperlink"/>
          <w:color w:val="auto"/>
          <w:u w:val="none"/>
        </w:rPr>
      </w:pPr>
      <w:r>
        <w:t>Centers for Disease Control and Prevention. CDC mental health work group website. [</w:t>
      </w:r>
      <w:proofErr w:type="gramStart"/>
      <w:r>
        <w:t>updated</w:t>
      </w:r>
      <w:proofErr w:type="gramEnd"/>
      <w:r>
        <w:t xml:space="preserve"> 2013 November 13; cited 2014 October 24]. Available from: </w:t>
      </w:r>
      <w:hyperlink r:id="rId34" w:history="1">
        <w:r w:rsidRPr="00AB19C4">
          <w:rPr>
            <w:rStyle w:val="Hyperlink"/>
          </w:rPr>
          <w:t>http://www.cdc.gov/mentalhealth/workgroup.htm</w:t>
        </w:r>
      </w:hyperlink>
    </w:p>
    <w:p w:rsidR="00685FEE" w:rsidRDefault="00685FEE" w:rsidP="00685FEE">
      <w:pPr>
        <w:pStyle w:val="ListParagraph"/>
        <w:numPr>
          <w:ilvl w:val="0"/>
          <w:numId w:val="54"/>
        </w:numPr>
      </w:pPr>
      <w:proofErr w:type="spellStart"/>
      <w:r w:rsidRPr="00024721">
        <w:t>Safran</w:t>
      </w:r>
      <w:proofErr w:type="spellEnd"/>
      <w:r w:rsidRPr="00024721">
        <w:t xml:space="preserve"> MA, </w:t>
      </w:r>
      <w:proofErr w:type="spellStart"/>
      <w:r w:rsidRPr="00024721">
        <w:t>Chorba</w:t>
      </w:r>
      <w:proofErr w:type="spellEnd"/>
      <w:r w:rsidRPr="00024721">
        <w:t xml:space="preserve"> T, Schreiber M, Archer WR, Cookson ST. Evaluating mental health after the 2010 Haitian earthquake. Disaster Med Public Health Prep</w:t>
      </w:r>
      <w:r>
        <w:t>.</w:t>
      </w:r>
      <w:r w:rsidRPr="00024721">
        <w:t xml:space="preserve"> 2011</w:t>
      </w:r>
      <w:proofErr w:type="gramStart"/>
      <w:r w:rsidRPr="00024721">
        <w:t>;5:</w:t>
      </w:r>
      <w:r>
        <w:t>154</w:t>
      </w:r>
      <w:proofErr w:type="gramEnd"/>
      <w:r>
        <w:t>-157</w:t>
      </w:r>
      <w:r w:rsidRPr="00024721">
        <w:t>.</w:t>
      </w:r>
      <w:r>
        <w:t xml:space="preserve"> [</w:t>
      </w:r>
      <w:proofErr w:type="gramStart"/>
      <w:r>
        <w:t>cited</w:t>
      </w:r>
      <w:proofErr w:type="gramEnd"/>
      <w:r>
        <w:t xml:space="preserve"> 2014 October 24]. Available from: </w:t>
      </w:r>
      <w:hyperlink r:id="rId35" w:history="1">
        <w:r w:rsidR="007D5C01" w:rsidRPr="001E04B0">
          <w:rPr>
            <w:rStyle w:val="Hyperlink"/>
          </w:rPr>
          <w:t>http://journals.cambridge.org/download.php?file=%2FDMP%2FDMP5_02%2FS1935789300003396a.pdf&amp;code=9a33c0f3dea5d47128e851f47f408cbf</w:t>
        </w:r>
      </w:hyperlink>
    </w:p>
    <w:p w:rsidR="007D5C01" w:rsidRDefault="007D5C01" w:rsidP="00685FEE">
      <w:pPr>
        <w:pStyle w:val="ListParagraph"/>
        <w:numPr>
          <w:ilvl w:val="0"/>
          <w:numId w:val="54"/>
        </w:numPr>
      </w:pPr>
      <w:r>
        <w:t xml:space="preserve">Brogan D, Flagg EW, Deming M, Waldman R. Increasing the accuracy of the expanded </w:t>
      </w:r>
      <w:proofErr w:type="spellStart"/>
      <w:r>
        <w:t>programme</w:t>
      </w:r>
      <w:proofErr w:type="spellEnd"/>
      <w:r>
        <w:t xml:space="preserve"> on immunization’s cluster survey design. </w:t>
      </w:r>
      <w:r w:rsidR="00A86966">
        <w:t xml:space="preserve">AEP. 1994 July; 4(4): 302-311. </w:t>
      </w:r>
    </w:p>
    <w:p w:rsidR="0094068E" w:rsidRDefault="0094068E" w:rsidP="0094068E">
      <w:pPr>
        <w:pStyle w:val="ListParagraph"/>
        <w:numPr>
          <w:ilvl w:val="0"/>
          <w:numId w:val="54"/>
        </w:numPr>
      </w:pPr>
      <w:proofErr w:type="spellStart"/>
      <w:r w:rsidRPr="0094068E">
        <w:t>Serfling</w:t>
      </w:r>
      <w:proofErr w:type="spellEnd"/>
      <w:r w:rsidRPr="0094068E">
        <w:t xml:space="preserve">, R.E., and Sherman, I.L.: Attribute Sampling Methods for Local Health Departments With Special Reference to Immunization </w:t>
      </w:r>
      <w:proofErr w:type="gramStart"/>
      <w:r w:rsidRPr="0094068E">
        <w:t>Surveys ,</w:t>
      </w:r>
      <w:proofErr w:type="gramEnd"/>
      <w:r w:rsidRPr="0094068E">
        <w:t xml:space="preserve"> PHS publication 1230, (March) 1965. </w:t>
      </w:r>
    </w:p>
    <w:p w:rsidR="002F6BDA" w:rsidRDefault="002F6BDA" w:rsidP="0094068E">
      <w:pPr>
        <w:pStyle w:val="ListParagraph"/>
        <w:numPr>
          <w:ilvl w:val="0"/>
          <w:numId w:val="54"/>
        </w:numPr>
      </w:pPr>
      <w:r>
        <w:t xml:space="preserve">Cochran WC. Sampling Techniques. 3rd </w:t>
      </w:r>
      <w:proofErr w:type="gramStart"/>
      <w:r>
        <w:t>ed</w:t>
      </w:r>
      <w:proofErr w:type="gramEnd"/>
      <w:r>
        <w:t>. New York: Wiley; 1978: 12-15</w:t>
      </w:r>
    </w:p>
    <w:p w:rsidR="00281697" w:rsidRDefault="00281697" w:rsidP="00BB0482">
      <w:pPr>
        <w:pStyle w:val="ListParagraph"/>
        <w:numPr>
          <w:ilvl w:val="0"/>
          <w:numId w:val="54"/>
        </w:numPr>
      </w:pPr>
      <w:r>
        <w:t xml:space="preserve">Henderson RH, </w:t>
      </w:r>
      <w:proofErr w:type="spellStart"/>
      <w:r>
        <w:t>Sundaresan</w:t>
      </w:r>
      <w:proofErr w:type="spellEnd"/>
      <w:r>
        <w:t xml:space="preserve"> T. Cluster</w:t>
      </w:r>
      <w:r w:rsidR="00AD3C72">
        <w:t xml:space="preserve"> sampling </w:t>
      </w:r>
      <w:r>
        <w:t>to assess immunization coverage: a review of</w:t>
      </w:r>
      <w:r w:rsidR="00AD3C72">
        <w:t xml:space="preserve"> </w:t>
      </w:r>
      <w:r>
        <w:t>experience with a simpl</w:t>
      </w:r>
      <w:r w:rsidR="00AD3C72">
        <w:t xml:space="preserve">ified sampling method. Bulletin </w:t>
      </w:r>
      <w:r>
        <w:t>of the World Heal</w:t>
      </w:r>
      <w:r w:rsidR="00AD3C72">
        <w:t>th Organization, 1982, 60: 253-</w:t>
      </w:r>
      <w:r>
        <w:t>260.</w:t>
      </w:r>
    </w:p>
    <w:p w:rsidR="002A4228" w:rsidRPr="002A4228" w:rsidRDefault="002A4228" w:rsidP="00BB0482">
      <w:pPr>
        <w:ind w:left="360"/>
      </w:pPr>
    </w:p>
    <w:sectPr w:rsidR="002A4228" w:rsidRPr="002A4228" w:rsidSect="002A2F07">
      <w:headerReference w:type="even" r:id="rId36"/>
      <w:headerReference w:type="default" r:id="rId37"/>
      <w:footerReference w:type="default" r:id="rId38"/>
      <w:headerReference w:type="first" r:id="rId39"/>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9F1" w:rsidRDefault="002359F1" w:rsidP="00B707A8">
      <w:pPr>
        <w:spacing w:after="0" w:line="240" w:lineRule="auto"/>
      </w:pPr>
      <w:r>
        <w:separator/>
      </w:r>
    </w:p>
  </w:endnote>
  <w:endnote w:type="continuationSeparator" w:id="0">
    <w:p w:rsidR="002359F1" w:rsidRDefault="002359F1" w:rsidP="00B707A8">
      <w:pPr>
        <w:spacing w:after="0" w:line="240" w:lineRule="auto"/>
      </w:pPr>
      <w:r>
        <w:continuationSeparator/>
      </w:r>
    </w:p>
  </w:endnote>
  <w:endnote w:type="continuationNotice" w:id="1">
    <w:p w:rsidR="002359F1" w:rsidRDefault="002359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1095577"/>
      <w:docPartObj>
        <w:docPartGallery w:val="Page Numbers (Bottom of Page)"/>
        <w:docPartUnique/>
      </w:docPartObj>
    </w:sdtPr>
    <w:sdtEndPr/>
    <w:sdtContent>
      <w:sdt>
        <w:sdtPr>
          <w:id w:val="860082579"/>
          <w:docPartObj>
            <w:docPartGallery w:val="Page Numbers (Top of Page)"/>
            <w:docPartUnique/>
          </w:docPartObj>
        </w:sdtPr>
        <w:sdtEndPr/>
        <w:sdtContent>
          <w:p w:rsidR="002359F1" w:rsidRDefault="002359F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C2322">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C2322">
              <w:rPr>
                <w:b/>
                <w:bCs/>
                <w:noProof/>
              </w:rPr>
              <w:t>20</w:t>
            </w:r>
            <w:r>
              <w:rPr>
                <w:b/>
                <w:bCs/>
                <w:sz w:val="24"/>
                <w:szCs w:val="24"/>
              </w:rPr>
              <w:fldChar w:fldCharType="end"/>
            </w:r>
          </w:p>
        </w:sdtContent>
      </w:sdt>
    </w:sdtContent>
  </w:sdt>
  <w:p w:rsidR="002359F1" w:rsidRDefault="002359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9F1" w:rsidRDefault="002359F1" w:rsidP="00B707A8">
      <w:pPr>
        <w:spacing w:after="0" w:line="240" w:lineRule="auto"/>
      </w:pPr>
      <w:r>
        <w:separator/>
      </w:r>
    </w:p>
  </w:footnote>
  <w:footnote w:type="continuationSeparator" w:id="0">
    <w:p w:rsidR="002359F1" w:rsidRDefault="002359F1" w:rsidP="00B707A8">
      <w:pPr>
        <w:spacing w:after="0" w:line="240" w:lineRule="auto"/>
      </w:pPr>
      <w:r>
        <w:continuationSeparator/>
      </w:r>
    </w:p>
  </w:footnote>
  <w:footnote w:type="continuationNotice" w:id="1">
    <w:p w:rsidR="002359F1" w:rsidRDefault="002359F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9F1" w:rsidRDefault="00BC232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362499" o:spid="_x0000_s2050" type="#_x0000_t136" style="position:absolute;margin-left:0;margin-top:0;width:444.15pt;height:266.45pt;rotation:315;z-index:-251655168;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9F1" w:rsidRDefault="002359F1" w:rsidP="00B707A8">
    <w:pPr>
      <w:pStyle w:val="Header"/>
      <w:jc w:val="center"/>
    </w:pPr>
    <w:r>
      <w:t xml:space="preserve">   </w:t>
    </w:r>
    <w:r w:rsidRPr="00B707A8">
      <w:t>Community Assessment for Public Health Emergency Response (CASPER)</w:t>
    </w:r>
    <w:r>
      <w:t>:  Supporting Statement A</w:t>
    </w:r>
    <w: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9F1" w:rsidRDefault="00BC232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362498" o:spid="_x0000_s2049" type="#_x0000_t136" style="position:absolute;margin-left:0;margin-top:0;width:444.15pt;height:266.45pt;rotation:315;z-index:-251657216;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44270"/>
    <w:multiLevelType w:val="hybridMultilevel"/>
    <w:tmpl w:val="22F2E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C511C"/>
    <w:multiLevelType w:val="hybridMultilevel"/>
    <w:tmpl w:val="305A7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E223C8"/>
    <w:multiLevelType w:val="hybridMultilevel"/>
    <w:tmpl w:val="E00A9FD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nsid w:val="0E075F33"/>
    <w:multiLevelType w:val="hybridMultilevel"/>
    <w:tmpl w:val="649640C4"/>
    <w:lvl w:ilvl="0" w:tplc="300CBB7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0D07D4"/>
    <w:multiLevelType w:val="hybridMultilevel"/>
    <w:tmpl w:val="E1C85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1408D5"/>
    <w:multiLevelType w:val="hybridMultilevel"/>
    <w:tmpl w:val="1D465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A007DC"/>
    <w:multiLevelType w:val="hybridMultilevel"/>
    <w:tmpl w:val="9B662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BA01F6"/>
    <w:multiLevelType w:val="hybridMultilevel"/>
    <w:tmpl w:val="B8AC1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E61E28"/>
    <w:multiLevelType w:val="hybridMultilevel"/>
    <w:tmpl w:val="2F2E4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DA756E"/>
    <w:multiLevelType w:val="hybridMultilevel"/>
    <w:tmpl w:val="B9044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1F1AD8"/>
    <w:multiLevelType w:val="hybridMultilevel"/>
    <w:tmpl w:val="E1E4A8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245794"/>
    <w:multiLevelType w:val="hybridMultilevel"/>
    <w:tmpl w:val="1C56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912079"/>
    <w:multiLevelType w:val="hybridMultilevel"/>
    <w:tmpl w:val="EBC2E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790037"/>
    <w:multiLevelType w:val="hybridMultilevel"/>
    <w:tmpl w:val="E3780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9A2DF8"/>
    <w:multiLevelType w:val="hybridMultilevel"/>
    <w:tmpl w:val="C298BE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5DE7674"/>
    <w:multiLevelType w:val="hybridMultilevel"/>
    <w:tmpl w:val="3D4AA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476DB7"/>
    <w:multiLevelType w:val="hybridMultilevel"/>
    <w:tmpl w:val="CBA05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44530C"/>
    <w:multiLevelType w:val="hybridMultilevel"/>
    <w:tmpl w:val="457E4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981A59"/>
    <w:multiLevelType w:val="hybridMultilevel"/>
    <w:tmpl w:val="1BD078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556A2D"/>
    <w:multiLevelType w:val="hybridMultilevel"/>
    <w:tmpl w:val="10C6B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CAD24B0"/>
    <w:multiLevelType w:val="hybridMultilevel"/>
    <w:tmpl w:val="3B48A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BE59BC"/>
    <w:multiLevelType w:val="hybridMultilevel"/>
    <w:tmpl w:val="2E18C6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0032F83"/>
    <w:multiLevelType w:val="hybridMultilevel"/>
    <w:tmpl w:val="2A9CF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0793D42"/>
    <w:multiLevelType w:val="hybridMultilevel"/>
    <w:tmpl w:val="E452CB9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4">
    <w:nsid w:val="30EE5713"/>
    <w:multiLevelType w:val="hybridMultilevel"/>
    <w:tmpl w:val="92D203A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5">
    <w:nsid w:val="31567483"/>
    <w:multiLevelType w:val="hybridMultilevel"/>
    <w:tmpl w:val="4C5E3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4031202"/>
    <w:multiLevelType w:val="hybridMultilevel"/>
    <w:tmpl w:val="F0801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6D5428D"/>
    <w:multiLevelType w:val="hybridMultilevel"/>
    <w:tmpl w:val="B7C228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37020294"/>
    <w:multiLevelType w:val="hybridMultilevel"/>
    <w:tmpl w:val="5358D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92D20FC"/>
    <w:multiLevelType w:val="hybridMultilevel"/>
    <w:tmpl w:val="22126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B2B1EB8"/>
    <w:multiLevelType w:val="hybridMultilevel"/>
    <w:tmpl w:val="3F0C389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D0C3B3E"/>
    <w:multiLevelType w:val="hybridMultilevel"/>
    <w:tmpl w:val="0004D1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D564A7D"/>
    <w:multiLevelType w:val="hybridMultilevel"/>
    <w:tmpl w:val="E3D62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DDB43D1"/>
    <w:multiLevelType w:val="hybridMultilevel"/>
    <w:tmpl w:val="73645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ED23A50"/>
    <w:multiLevelType w:val="multilevel"/>
    <w:tmpl w:val="92A690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4931128"/>
    <w:multiLevelType w:val="hybridMultilevel"/>
    <w:tmpl w:val="B2CA9ABA"/>
    <w:lvl w:ilvl="0" w:tplc="4796919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4EC53EF"/>
    <w:multiLevelType w:val="hybridMultilevel"/>
    <w:tmpl w:val="52D4EB62"/>
    <w:lvl w:ilvl="0" w:tplc="58401F9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58401F92">
      <w:numFmt w:val="bullet"/>
      <w:lvlText w:val="-"/>
      <w:lvlJc w:val="left"/>
      <w:pPr>
        <w:ind w:left="2160" w:hanging="360"/>
      </w:pPr>
      <w:rPr>
        <w:rFonts w:ascii="Calibri" w:eastAsiaTheme="minorHAnsi" w:hAnsi="Calibri" w:cs="Calibri"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CCC6A41"/>
    <w:multiLevelType w:val="hybridMultilevel"/>
    <w:tmpl w:val="01045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D6A32EB"/>
    <w:multiLevelType w:val="hybridMultilevel"/>
    <w:tmpl w:val="55FE5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1992457"/>
    <w:multiLevelType w:val="hybridMultilevel"/>
    <w:tmpl w:val="C298BE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575F112A"/>
    <w:multiLevelType w:val="hybridMultilevel"/>
    <w:tmpl w:val="70DE5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BCE3274"/>
    <w:multiLevelType w:val="hybridMultilevel"/>
    <w:tmpl w:val="87788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EC31768"/>
    <w:multiLevelType w:val="hybridMultilevel"/>
    <w:tmpl w:val="4EF47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0D75B59"/>
    <w:multiLevelType w:val="hybridMultilevel"/>
    <w:tmpl w:val="80049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33A60FB"/>
    <w:multiLevelType w:val="hybridMultilevel"/>
    <w:tmpl w:val="974258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642D6BEC"/>
    <w:multiLevelType w:val="hybridMultilevel"/>
    <w:tmpl w:val="CE066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5A3790D"/>
    <w:multiLevelType w:val="hybridMultilevel"/>
    <w:tmpl w:val="DFF44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7433AB7"/>
    <w:multiLevelType w:val="hybridMultilevel"/>
    <w:tmpl w:val="C3D2E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B53263A"/>
    <w:multiLevelType w:val="hybridMultilevel"/>
    <w:tmpl w:val="6FD234A0"/>
    <w:lvl w:ilvl="0" w:tplc="A49430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B631175"/>
    <w:multiLevelType w:val="hybridMultilevel"/>
    <w:tmpl w:val="F33A8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2D17A0B"/>
    <w:multiLevelType w:val="hybridMultilevel"/>
    <w:tmpl w:val="B7A4C73C"/>
    <w:lvl w:ilvl="0" w:tplc="162A90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72D5C30"/>
    <w:multiLevelType w:val="hybridMultilevel"/>
    <w:tmpl w:val="B6988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BCC0D70"/>
    <w:multiLevelType w:val="hybridMultilevel"/>
    <w:tmpl w:val="A4C23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D917FAE"/>
    <w:multiLevelType w:val="hybridMultilevel"/>
    <w:tmpl w:val="1F8A536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4">
    <w:nsid w:val="7DA2094B"/>
    <w:multiLevelType w:val="hybridMultilevel"/>
    <w:tmpl w:val="84E4C5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8"/>
  </w:num>
  <w:num w:numId="2">
    <w:abstractNumId w:val="50"/>
  </w:num>
  <w:num w:numId="3">
    <w:abstractNumId w:val="51"/>
  </w:num>
  <w:num w:numId="4">
    <w:abstractNumId w:val="27"/>
  </w:num>
  <w:num w:numId="5">
    <w:abstractNumId w:val="6"/>
  </w:num>
  <w:num w:numId="6">
    <w:abstractNumId w:val="36"/>
  </w:num>
  <w:num w:numId="7">
    <w:abstractNumId w:val="52"/>
  </w:num>
  <w:num w:numId="8">
    <w:abstractNumId w:val="4"/>
  </w:num>
  <w:num w:numId="9">
    <w:abstractNumId w:val="8"/>
  </w:num>
  <w:num w:numId="10">
    <w:abstractNumId w:val="18"/>
  </w:num>
  <w:num w:numId="11">
    <w:abstractNumId w:val="26"/>
  </w:num>
  <w:num w:numId="12">
    <w:abstractNumId w:val="30"/>
  </w:num>
  <w:num w:numId="13">
    <w:abstractNumId w:val="53"/>
  </w:num>
  <w:num w:numId="14">
    <w:abstractNumId w:val="54"/>
  </w:num>
  <w:num w:numId="15">
    <w:abstractNumId w:val="15"/>
  </w:num>
  <w:num w:numId="16">
    <w:abstractNumId w:val="33"/>
  </w:num>
  <w:num w:numId="17">
    <w:abstractNumId w:val="37"/>
  </w:num>
  <w:num w:numId="18">
    <w:abstractNumId w:val="11"/>
  </w:num>
  <w:num w:numId="19">
    <w:abstractNumId w:val="22"/>
  </w:num>
  <w:num w:numId="20">
    <w:abstractNumId w:val="0"/>
  </w:num>
  <w:num w:numId="21">
    <w:abstractNumId w:val="38"/>
  </w:num>
  <w:num w:numId="22">
    <w:abstractNumId w:val="25"/>
  </w:num>
  <w:num w:numId="23">
    <w:abstractNumId w:val="40"/>
  </w:num>
  <w:num w:numId="24">
    <w:abstractNumId w:val="7"/>
  </w:num>
  <w:num w:numId="25">
    <w:abstractNumId w:val="10"/>
  </w:num>
  <w:num w:numId="26">
    <w:abstractNumId w:val="39"/>
  </w:num>
  <w:num w:numId="27">
    <w:abstractNumId w:val="49"/>
  </w:num>
  <w:num w:numId="28">
    <w:abstractNumId w:val="17"/>
  </w:num>
  <w:num w:numId="29">
    <w:abstractNumId w:val="24"/>
  </w:num>
  <w:num w:numId="30">
    <w:abstractNumId w:val="14"/>
  </w:num>
  <w:num w:numId="31">
    <w:abstractNumId w:val="32"/>
  </w:num>
  <w:num w:numId="32">
    <w:abstractNumId w:val="12"/>
  </w:num>
  <w:num w:numId="33">
    <w:abstractNumId w:val="23"/>
  </w:num>
  <w:num w:numId="34">
    <w:abstractNumId w:val="13"/>
  </w:num>
  <w:num w:numId="35">
    <w:abstractNumId w:val="2"/>
  </w:num>
  <w:num w:numId="36">
    <w:abstractNumId w:val="19"/>
  </w:num>
  <w:num w:numId="37">
    <w:abstractNumId w:val="41"/>
  </w:num>
  <w:num w:numId="38">
    <w:abstractNumId w:val="43"/>
  </w:num>
  <w:num w:numId="39">
    <w:abstractNumId w:val="16"/>
  </w:num>
  <w:num w:numId="40">
    <w:abstractNumId w:val="46"/>
  </w:num>
  <w:num w:numId="41">
    <w:abstractNumId w:val="48"/>
  </w:num>
  <w:num w:numId="42">
    <w:abstractNumId w:val="42"/>
  </w:num>
  <w:num w:numId="43">
    <w:abstractNumId w:val="29"/>
  </w:num>
  <w:num w:numId="44">
    <w:abstractNumId w:val="44"/>
  </w:num>
  <w:num w:numId="45">
    <w:abstractNumId w:val="35"/>
  </w:num>
  <w:num w:numId="46">
    <w:abstractNumId w:val="5"/>
  </w:num>
  <w:num w:numId="47">
    <w:abstractNumId w:val="3"/>
  </w:num>
  <w:num w:numId="48">
    <w:abstractNumId w:val="20"/>
  </w:num>
  <w:num w:numId="49">
    <w:abstractNumId w:val="1"/>
  </w:num>
  <w:num w:numId="50">
    <w:abstractNumId w:val="45"/>
  </w:num>
  <w:num w:numId="51">
    <w:abstractNumId w:val="21"/>
  </w:num>
  <w:num w:numId="52">
    <w:abstractNumId w:val="9"/>
  </w:num>
  <w:num w:numId="53">
    <w:abstractNumId w:val="31"/>
  </w:num>
  <w:num w:numId="54">
    <w:abstractNumId w:val="47"/>
  </w:num>
  <w:num w:numId="55">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7A8"/>
    <w:rsid w:val="00000855"/>
    <w:rsid w:val="000021F4"/>
    <w:rsid w:val="000022D3"/>
    <w:rsid w:val="00003972"/>
    <w:rsid w:val="00004D97"/>
    <w:rsid w:val="00004F72"/>
    <w:rsid w:val="000070F0"/>
    <w:rsid w:val="00007AF0"/>
    <w:rsid w:val="00007B23"/>
    <w:rsid w:val="0001147A"/>
    <w:rsid w:val="000115E5"/>
    <w:rsid w:val="00011949"/>
    <w:rsid w:val="00012D29"/>
    <w:rsid w:val="000135BF"/>
    <w:rsid w:val="00013E43"/>
    <w:rsid w:val="000161B8"/>
    <w:rsid w:val="0001737B"/>
    <w:rsid w:val="000237B6"/>
    <w:rsid w:val="0002387E"/>
    <w:rsid w:val="00023A45"/>
    <w:rsid w:val="00024721"/>
    <w:rsid w:val="00025580"/>
    <w:rsid w:val="0003470D"/>
    <w:rsid w:val="000418AC"/>
    <w:rsid w:val="00041A5B"/>
    <w:rsid w:val="00042182"/>
    <w:rsid w:val="000442E9"/>
    <w:rsid w:val="00046998"/>
    <w:rsid w:val="00047047"/>
    <w:rsid w:val="00052E51"/>
    <w:rsid w:val="00053AE3"/>
    <w:rsid w:val="00055106"/>
    <w:rsid w:val="00055875"/>
    <w:rsid w:val="00056A7D"/>
    <w:rsid w:val="00057F73"/>
    <w:rsid w:val="000604C0"/>
    <w:rsid w:val="00061418"/>
    <w:rsid w:val="0006190A"/>
    <w:rsid w:val="000622CE"/>
    <w:rsid w:val="000631C7"/>
    <w:rsid w:val="00063C22"/>
    <w:rsid w:val="00065A19"/>
    <w:rsid w:val="0006653D"/>
    <w:rsid w:val="00072A9A"/>
    <w:rsid w:val="00073F91"/>
    <w:rsid w:val="00074A1E"/>
    <w:rsid w:val="00074E71"/>
    <w:rsid w:val="00076276"/>
    <w:rsid w:val="00077493"/>
    <w:rsid w:val="0008198E"/>
    <w:rsid w:val="00085AF8"/>
    <w:rsid w:val="00087B06"/>
    <w:rsid w:val="00092677"/>
    <w:rsid w:val="00092C98"/>
    <w:rsid w:val="00092D3C"/>
    <w:rsid w:val="000938F2"/>
    <w:rsid w:val="00095851"/>
    <w:rsid w:val="00097DF1"/>
    <w:rsid w:val="000A070C"/>
    <w:rsid w:val="000A075A"/>
    <w:rsid w:val="000A0AE5"/>
    <w:rsid w:val="000A4B71"/>
    <w:rsid w:val="000A7409"/>
    <w:rsid w:val="000B233F"/>
    <w:rsid w:val="000B3BB5"/>
    <w:rsid w:val="000B58D0"/>
    <w:rsid w:val="000B5E1C"/>
    <w:rsid w:val="000B78CB"/>
    <w:rsid w:val="000C03AD"/>
    <w:rsid w:val="000C064B"/>
    <w:rsid w:val="000C0FF1"/>
    <w:rsid w:val="000C179A"/>
    <w:rsid w:val="000C3319"/>
    <w:rsid w:val="000C61A8"/>
    <w:rsid w:val="000C79D9"/>
    <w:rsid w:val="000D1BE6"/>
    <w:rsid w:val="000D1C12"/>
    <w:rsid w:val="000D2892"/>
    <w:rsid w:val="000D3B90"/>
    <w:rsid w:val="000D4947"/>
    <w:rsid w:val="000D7B3D"/>
    <w:rsid w:val="000E3ACD"/>
    <w:rsid w:val="000E3EBD"/>
    <w:rsid w:val="000E6A4C"/>
    <w:rsid w:val="000F1584"/>
    <w:rsid w:val="000F4B4F"/>
    <w:rsid w:val="000F4E0F"/>
    <w:rsid w:val="00105686"/>
    <w:rsid w:val="0010667D"/>
    <w:rsid w:val="00110A09"/>
    <w:rsid w:val="00111A7C"/>
    <w:rsid w:val="00112391"/>
    <w:rsid w:val="00113A22"/>
    <w:rsid w:val="001141FB"/>
    <w:rsid w:val="00114892"/>
    <w:rsid w:val="0011555E"/>
    <w:rsid w:val="00115B7F"/>
    <w:rsid w:val="0011723D"/>
    <w:rsid w:val="001173A3"/>
    <w:rsid w:val="001177B2"/>
    <w:rsid w:val="00120B71"/>
    <w:rsid w:val="00121916"/>
    <w:rsid w:val="00122BA1"/>
    <w:rsid w:val="001248ED"/>
    <w:rsid w:val="00124DAB"/>
    <w:rsid w:val="00125279"/>
    <w:rsid w:val="00125FDE"/>
    <w:rsid w:val="001261CF"/>
    <w:rsid w:val="00126A27"/>
    <w:rsid w:val="00127019"/>
    <w:rsid w:val="00131836"/>
    <w:rsid w:val="00131C12"/>
    <w:rsid w:val="00132022"/>
    <w:rsid w:val="0013358A"/>
    <w:rsid w:val="0013410E"/>
    <w:rsid w:val="0013417B"/>
    <w:rsid w:val="00134D42"/>
    <w:rsid w:val="00136191"/>
    <w:rsid w:val="00136535"/>
    <w:rsid w:val="00136967"/>
    <w:rsid w:val="0014302C"/>
    <w:rsid w:val="00145EFB"/>
    <w:rsid w:val="00146463"/>
    <w:rsid w:val="001473EC"/>
    <w:rsid w:val="001502E2"/>
    <w:rsid w:val="00150A50"/>
    <w:rsid w:val="001532DB"/>
    <w:rsid w:val="001550A1"/>
    <w:rsid w:val="00155536"/>
    <w:rsid w:val="001574C3"/>
    <w:rsid w:val="00160E3D"/>
    <w:rsid w:val="00161241"/>
    <w:rsid w:val="0016224B"/>
    <w:rsid w:val="0016543A"/>
    <w:rsid w:val="00167D18"/>
    <w:rsid w:val="001703BC"/>
    <w:rsid w:val="001705CA"/>
    <w:rsid w:val="00171BC8"/>
    <w:rsid w:val="001720E0"/>
    <w:rsid w:val="00172BF8"/>
    <w:rsid w:val="00174AF7"/>
    <w:rsid w:val="001757F5"/>
    <w:rsid w:val="001779B8"/>
    <w:rsid w:val="00182DB8"/>
    <w:rsid w:val="0018330E"/>
    <w:rsid w:val="00183ED3"/>
    <w:rsid w:val="00184B6A"/>
    <w:rsid w:val="00185521"/>
    <w:rsid w:val="00185CF2"/>
    <w:rsid w:val="00191C68"/>
    <w:rsid w:val="00192D3F"/>
    <w:rsid w:val="00193923"/>
    <w:rsid w:val="001961E3"/>
    <w:rsid w:val="0019707C"/>
    <w:rsid w:val="0019737D"/>
    <w:rsid w:val="00197D78"/>
    <w:rsid w:val="001A2909"/>
    <w:rsid w:val="001A439A"/>
    <w:rsid w:val="001A5C47"/>
    <w:rsid w:val="001A652D"/>
    <w:rsid w:val="001A668C"/>
    <w:rsid w:val="001A694F"/>
    <w:rsid w:val="001B05C3"/>
    <w:rsid w:val="001B271B"/>
    <w:rsid w:val="001B32E3"/>
    <w:rsid w:val="001B3B0D"/>
    <w:rsid w:val="001B4429"/>
    <w:rsid w:val="001B47E8"/>
    <w:rsid w:val="001B74D3"/>
    <w:rsid w:val="001C0B79"/>
    <w:rsid w:val="001C1230"/>
    <w:rsid w:val="001C1D21"/>
    <w:rsid w:val="001C21B5"/>
    <w:rsid w:val="001C5285"/>
    <w:rsid w:val="001C6355"/>
    <w:rsid w:val="001D2C9E"/>
    <w:rsid w:val="001D51CD"/>
    <w:rsid w:val="001D526F"/>
    <w:rsid w:val="001E0E66"/>
    <w:rsid w:val="001E1B79"/>
    <w:rsid w:val="001E229B"/>
    <w:rsid w:val="001F003A"/>
    <w:rsid w:val="001F318B"/>
    <w:rsid w:val="001F6372"/>
    <w:rsid w:val="002026BE"/>
    <w:rsid w:val="00203E26"/>
    <w:rsid w:val="00206722"/>
    <w:rsid w:val="00206AFD"/>
    <w:rsid w:val="002077A1"/>
    <w:rsid w:val="002112CD"/>
    <w:rsid w:val="00213CC0"/>
    <w:rsid w:val="00222018"/>
    <w:rsid w:val="00224BAB"/>
    <w:rsid w:val="00227776"/>
    <w:rsid w:val="00230F3B"/>
    <w:rsid w:val="00232CF7"/>
    <w:rsid w:val="00233687"/>
    <w:rsid w:val="002359F1"/>
    <w:rsid w:val="00242D76"/>
    <w:rsid w:val="00243253"/>
    <w:rsid w:val="00244A2B"/>
    <w:rsid w:val="00244D99"/>
    <w:rsid w:val="00245938"/>
    <w:rsid w:val="002478A4"/>
    <w:rsid w:val="002516BC"/>
    <w:rsid w:val="00252C33"/>
    <w:rsid w:val="00253E1A"/>
    <w:rsid w:val="00254A4C"/>
    <w:rsid w:val="0026011B"/>
    <w:rsid w:val="00260B24"/>
    <w:rsid w:val="002627C2"/>
    <w:rsid w:val="00265E13"/>
    <w:rsid w:val="0027091B"/>
    <w:rsid w:val="002727DA"/>
    <w:rsid w:val="00274E82"/>
    <w:rsid w:val="0027589E"/>
    <w:rsid w:val="002779D3"/>
    <w:rsid w:val="00281697"/>
    <w:rsid w:val="0028195E"/>
    <w:rsid w:val="00282197"/>
    <w:rsid w:val="00285C29"/>
    <w:rsid w:val="00286153"/>
    <w:rsid w:val="00286FEA"/>
    <w:rsid w:val="00290412"/>
    <w:rsid w:val="00290811"/>
    <w:rsid w:val="00291C15"/>
    <w:rsid w:val="00294D30"/>
    <w:rsid w:val="00294F96"/>
    <w:rsid w:val="002A03E4"/>
    <w:rsid w:val="002A049C"/>
    <w:rsid w:val="002A0A81"/>
    <w:rsid w:val="002A18FD"/>
    <w:rsid w:val="002A1FC0"/>
    <w:rsid w:val="002A2F07"/>
    <w:rsid w:val="002A4228"/>
    <w:rsid w:val="002A512E"/>
    <w:rsid w:val="002B0A6B"/>
    <w:rsid w:val="002B6A2E"/>
    <w:rsid w:val="002C52B9"/>
    <w:rsid w:val="002C699C"/>
    <w:rsid w:val="002D0EC4"/>
    <w:rsid w:val="002D4B34"/>
    <w:rsid w:val="002E1D16"/>
    <w:rsid w:val="002E30F4"/>
    <w:rsid w:val="002E3915"/>
    <w:rsid w:val="002E54F0"/>
    <w:rsid w:val="002E78B1"/>
    <w:rsid w:val="002E7901"/>
    <w:rsid w:val="002E79E6"/>
    <w:rsid w:val="002F0791"/>
    <w:rsid w:val="002F38A3"/>
    <w:rsid w:val="002F4868"/>
    <w:rsid w:val="002F4F44"/>
    <w:rsid w:val="002F6BDA"/>
    <w:rsid w:val="00300A86"/>
    <w:rsid w:val="003017C6"/>
    <w:rsid w:val="00305A69"/>
    <w:rsid w:val="00315827"/>
    <w:rsid w:val="00316C5E"/>
    <w:rsid w:val="0032018D"/>
    <w:rsid w:val="00320DD0"/>
    <w:rsid w:val="00322E49"/>
    <w:rsid w:val="003251E1"/>
    <w:rsid w:val="00326AE4"/>
    <w:rsid w:val="003273EE"/>
    <w:rsid w:val="0032776B"/>
    <w:rsid w:val="00330679"/>
    <w:rsid w:val="0033189B"/>
    <w:rsid w:val="00332E69"/>
    <w:rsid w:val="003331F9"/>
    <w:rsid w:val="0033389F"/>
    <w:rsid w:val="00333BE5"/>
    <w:rsid w:val="00333FB2"/>
    <w:rsid w:val="0033453F"/>
    <w:rsid w:val="00334743"/>
    <w:rsid w:val="003363F0"/>
    <w:rsid w:val="0034317A"/>
    <w:rsid w:val="0034422C"/>
    <w:rsid w:val="0034717E"/>
    <w:rsid w:val="00350142"/>
    <w:rsid w:val="00350ABB"/>
    <w:rsid w:val="00352539"/>
    <w:rsid w:val="00352E48"/>
    <w:rsid w:val="00355D94"/>
    <w:rsid w:val="00361DED"/>
    <w:rsid w:val="0036357B"/>
    <w:rsid w:val="00363FCD"/>
    <w:rsid w:val="00365008"/>
    <w:rsid w:val="003708C9"/>
    <w:rsid w:val="00382FEF"/>
    <w:rsid w:val="003830AB"/>
    <w:rsid w:val="003849B5"/>
    <w:rsid w:val="00391BA7"/>
    <w:rsid w:val="0039576C"/>
    <w:rsid w:val="003A0BE3"/>
    <w:rsid w:val="003A105B"/>
    <w:rsid w:val="003A3939"/>
    <w:rsid w:val="003A44B6"/>
    <w:rsid w:val="003A4B91"/>
    <w:rsid w:val="003A4CD0"/>
    <w:rsid w:val="003A799D"/>
    <w:rsid w:val="003B1C8F"/>
    <w:rsid w:val="003B1CCB"/>
    <w:rsid w:val="003B2E5C"/>
    <w:rsid w:val="003B7196"/>
    <w:rsid w:val="003B7C2F"/>
    <w:rsid w:val="003C15A2"/>
    <w:rsid w:val="003C1E6E"/>
    <w:rsid w:val="003C7D2E"/>
    <w:rsid w:val="003C7E3F"/>
    <w:rsid w:val="003D1B4B"/>
    <w:rsid w:val="003D3404"/>
    <w:rsid w:val="003D7921"/>
    <w:rsid w:val="003E66C4"/>
    <w:rsid w:val="003F26C6"/>
    <w:rsid w:val="003F3093"/>
    <w:rsid w:val="003F340D"/>
    <w:rsid w:val="003F3ABD"/>
    <w:rsid w:val="003F6A7F"/>
    <w:rsid w:val="003F7C4B"/>
    <w:rsid w:val="003F7E27"/>
    <w:rsid w:val="00400110"/>
    <w:rsid w:val="00400F7B"/>
    <w:rsid w:val="004018BB"/>
    <w:rsid w:val="00401A47"/>
    <w:rsid w:val="00402B07"/>
    <w:rsid w:val="00405BE4"/>
    <w:rsid w:val="004064F8"/>
    <w:rsid w:val="00406649"/>
    <w:rsid w:val="0041110F"/>
    <w:rsid w:val="00412ABE"/>
    <w:rsid w:val="00414D64"/>
    <w:rsid w:val="00416EE6"/>
    <w:rsid w:val="004211F5"/>
    <w:rsid w:val="00421B26"/>
    <w:rsid w:val="0042725C"/>
    <w:rsid w:val="00427BEE"/>
    <w:rsid w:val="00435790"/>
    <w:rsid w:val="00435B2F"/>
    <w:rsid w:val="004363DA"/>
    <w:rsid w:val="0044057E"/>
    <w:rsid w:val="0044290D"/>
    <w:rsid w:val="00442BDA"/>
    <w:rsid w:val="00447D89"/>
    <w:rsid w:val="004507D7"/>
    <w:rsid w:val="00450DB0"/>
    <w:rsid w:val="00451A7C"/>
    <w:rsid w:val="0045249A"/>
    <w:rsid w:val="00463188"/>
    <w:rsid w:val="0046369D"/>
    <w:rsid w:val="00464407"/>
    <w:rsid w:val="004662F8"/>
    <w:rsid w:val="00466F70"/>
    <w:rsid w:val="004712AB"/>
    <w:rsid w:val="00471771"/>
    <w:rsid w:val="004732FC"/>
    <w:rsid w:val="00476A2C"/>
    <w:rsid w:val="00476E28"/>
    <w:rsid w:val="00480229"/>
    <w:rsid w:val="00481971"/>
    <w:rsid w:val="00481C9F"/>
    <w:rsid w:val="00485041"/>
    <w:rsid w:val="00485953"/>
    <w:rsid w:val="00485B05"/>
    <w:rsid w:val="00490C9C"/>
    <w:rsid w:val="00492270"/>
    <w:rsid w:val="00492564"/>
    <w:rsid w:val="0049406B"/>
    <w:rsid w:val="00495D54"/>
    <w:rsid w:val="00497786"/>
    <w:rsid w:val="004A116B"/>
    <w:rsid w:val="004A44C3"/>
    <w:rsid w:val="004A4647"/>
    <w:rsid w:val="004A5D93"/>
    <w:rsid w:val="004A61A9"/>
    <w:rsid w:val="004B0548"/>
    <w:rsid w:val="004B1744"/>
    <w:rsid w:val="004B1F78"/>
    <w:rsid w:val="004B2591"/>
    <w:rsid w:val="004B5AF1"/>
    <w:rsid w:val="004C0E6E"/>
    <w:rsid w:val="004C2294"/>
    <w:rsid w:val="004C259E"/>
    <w:rsid w:val="004C2E68"/>
    <w:rsid w:val="004C5760"/>
    <w:rsid w:val="004C5DAD"/>
    <w:rsid w:val="004C6CA0"/>
    <w:rsid w:val="004C7121"/>
    <w:rsid w:val="004D1233"/>
    <w:rsid w:val="004D2DDE"/>
    <w:rsid w:val="004D52C7"/>
    <w:rsid w:val="004D6257"/>
    <w:rsid w:val="004D6DF4"/>
    <w:rsid w:val="004E1F6B"/>
    <w:rsid w:val="004E3092"/>
    <w:rsid w:val="004E3FBD"/>
    <w:rsid w:val="004F218A"/>
    <w:rsid w:val="004F5F00"/>
    <w:rsid w:val="004F68E4"/>
    <w:rsid w:val="00500E0A"/>
    <w:rsid w:val="00501BE5"/>
    <w:rsid w:val="00503A45"/>
    <w:rsid w:val="00507EEF"/>
    <w:rsid w:val="0051101E"/>
    <w:rsid w:val="00512E59"/>
    <w:rsid w:val="00513B6B"/>
    <w:rsid w:val="00520779"/>
    <w:rsid w:val="0052168F"/>
    <w:rsid w:val="0052302A"/>
    <w:rsid w:val="005257D1"/>
    <w:rsid w:val="00526498"/>
    <w:rsid w:val="00530A2D"/>
    <w:rsid w:val="005319E5"/>
    <w:rsid w:val="00532873"/>
    <w:rsid w:val="00536621"/>
    <w:rsid w:val="00536AD5"/>
    <w:rsid w:val="00546785"/>
    <w:rsid w:val="005505CB"/>
    <w:rsid w:val="00550C19"/>
    <w:rsid w:val="00551C34"/>
    <w:rsid w:val="0055295A"/>
    <w:rsid w:val="005555D7"/>
    <w:rsid w:val="00556B57"/>
    <w:rsid w:val="00557230"/>
    <w:rsid w:val="005577FF"/>
    <w:rsid w:val="00560554"/>
    <w:rsid w:val="00560567"/>
    <w:rsid w:val="00560EC6"/>
    <w:rsid w:val="00561DC7"/>
    <w:rsid w:val="0056236A"/>
    <w:rsid w:val="00562D14"/>
    <w:rsid w:val="00567A9E"/>
    <w:rsid w:val="00567CF0"/>
    <w:rsid w:val="00567D8D"/>
    <w:rsid w:val="00567DAD"/>
    <w:rsid w:val="005716C0"/>
    <w:rsid w:val="005719BD"/>
    <w:rsid w:val="005747D8"/>
    <w:rsid w:val="005748B2"/>
    <w:rsid w:val="00576914"/>
    <w:rsid w:val="00576DC2"/>
    <w:rsid w:val="005802A6"/>
    <w:rsid w:val="00580BAB"/>
    <w:rsid w:val="005811E8"/>
    <w:rsid w:val="00581C1A"/>
    <w:rsid w:val="005855DB"/>
    <w:rsid w:val="005861F4"/>
    <w:rsid w:val="00587D07"/>
    <w:rsid w:val="00591539"/>
    <w:rsid w:val="0059207F"/>
    <w:rsid w:val="0059245C"/>
    <w:rsid w:val="00596F3F"/>
    <w:rsid w:val="005A1325"/>
    <w:rsid w:val="005A36D5"/>
    <w:rsid w:val="005A3DD5"/>
    <w:rsid w:val="005A4D5C"/>
    <w:rsid w:val="005A783C"/>
    <w:rsid w:val="005A7EF0"/>
    <w:rsid w:val="005B106F"/>
    <w:rsid w:val="005B1291"/>
    <w:rsid w:val="005B1361"/>
    <w:rsid w:val="005B359D"/>
    <w:rsid w:val="005B620A"/>
    <w:rsid w:val="005B66C4"/>
    <w:rsid w:val="005C0F9F"/>
    <w:rsid w:val="005C2658"/>
    <w:rsid w:val="005C3FAC"/>
    <w:rsid w:val="005C41CB"/>
    <w:rsid w:val="005C4251"/>
    <w:rsid w:val="005C4AA9"/>
    <w:rsid w:val="005D2034"/>
    <w:rsid w:val="005D4149"/>
    <w:rsid w:val="005E08DA"/>
    <w:rsid w:val="005E195F"/>
    <w:rsid w:val="005E23E6"/>
    <w:rsid w:val="005E3E83"/>
    <w:rsid w:val="005F069C"/>
    <w:rsid w:val="005F4DF5"/>
    <w:rsid w:val="005F61D3"/>
    <w:rsid w:val="006062FB"/>
    <w:rsid w:val="00607710"/>
    <w:rsid w:val="00611750"/>
    <w:rsid w:val="006200E1"/>
    <w:rsid w:val="006240F0"/>
    <w:rsid w:val="00624755"/>
    <w:rsid w:val="00625708"/>
    <w:rsid w:val="006270FD"/>
    <w:rsid w:val="00627770"/>
    <w:rsid w:val="00630E6C"/>
    <w:rsid w:val="0063547F"/>
    <w:rsid w:val="00636AF6"/>
    <w:rsid w:val="006371E3"/>
    <w:rsid w:val="006374FB"/>
    <w:rsid w:val="00640DE5"/>
    <w:rsid w:val="0064116D"/>
    <w:rsid w:val="0064794F"/>
    <w:rsid w:val="0065067F"/>
    <w:rsid w:val="00650D11"/>
    <w:rsid w:val="00651614"/>
    <w:rsid w:val="00653840"/>
    <w:rsid w:val="00657F37"/>
    <w:rsid w:val="006648CE"/>
    <w:rsid w:val="006724D7"/>
    <w:rsid w:val="006731A9"/>
    <w:rsid w:val="0067541F"/>
    <w:rsid w:val="00677EE8"/>
    <w:rsid w:val="006803AA"/>
    <w:rsid w:val="00680B74"/>
    <w:rsid w:val="006816C1"/>
    <w:rsid w:val="00683A71"/>
    <w:rsid w:val="0068581C"/>
    <w:rsid w:val="00685FEE"/>
    <w:rsid w:val="0068640A"/>
    <w:rsid w:val="006864B1"/>
    <w:rsid w:val="006870CB"/>
    <w:rsid w:val="00687D60"/>
    <w:rsid w:val="006900C1"/>
    <w:rsid w:val="00691F35"/>
    <w:rsid w:val="00692153"/>
    <w:rsid w:val="00692BE7"/>
    <w:rsid w:val="00695C05"/>
    <w:rsid w:val="006A1159"/>
    <w:rsid w:val="006A3CFD"/>
    <w:rsid w:val="006A3E39"/>
    <w:rsid w:val="006A4544"/>
    <w:rsid w:val="006A46D2"/>
    <w:rsid w:val="006A4752"/>
    <w:rsid w:val="006A534C"/>
    <w:rsid w:val="006B0B2F"/>
    <w:rsid w:val="006B4403"/>
    <w:rsid w:val="006B4F0D"/>
    <w:rsid w:val="006B52E1"/>
    <w:rsid w:val="006B5DA8"/>
    <w:rsid w:val="006C2FD4"/>
    <w:rsid w:val="006C3109"/>
    <w:rsid w:val="006C5176"/>
    <w:rsid w:val="006C6E0D"/>
    <w:rsid w:val="006C74DF"/>
    <w:rsid w:val="006D1E60"/>
    <w:rsid w:val="006D2B31"/>
    <w:rsid w:val="006D355D"/>
    <w:rsid w:val="006D39EB"/>
    <w:rsid w:val="006D5AE8"/>
    <w:rsid w:val="006D5EC1"/>
    <w:rsid w:val="006D6767"/>
    <w:rsid w:val="006E06A1"/>
    <w:rsid w:val="006E3D5C"/>
    <w:rsid w:val="006E51D4"/>
    <w:rsid w:val="006E697B"/>
    <w:rsid w:val="006E70D4"/>
    <w:rsid w:val="006F0765"/>
    <w:rsid w:val="006F259A"/>
    <w:rsid w:val="006F4BC4"/>
    <w:rsid w:val="006F544C"/>
    <w:rsid w:val="006F6DB4"/>
    <w:rsid w:val="006F7AC5"/>
    <w:rsid w:val="00700606"/>
    <w:rsid w:val="0070072B"/>
    <w:rsid w:val="007014D4"/>
    <w:rsid w:val="00701D90"/>
    <w:rsid w:val="007037D1"/>
    <w:rsid w:val="00703A67"/>
    <w:rsid w:val="00706A6F"/>
    <w:rsid w:val="00706AD7"/>
    <w:rsid w:val="007126CC"/>
    <w:rsid w:val="00714601"/>
    <w:rsid w:val="00714CA5"/>
    <w:rsid w:val="007201A9"/>
    <w:rsid w:val="00725249"/>
    <w:rsid w:val="00726C17"/>
    <w:rsid w:val="00730EAA"/>
    <w:rsid w:val="00732086"/>
    <w:rsid w:val="00733BEE"/>
    <w:rsid w:val="00737B14"/>
    <w:rsid w:val="007422A2"/>
    <w:rsid w:val="00743A20"/>
    <w:rsid w:val="007462E4"/>
    <w:rsid w:val="007467B9"/>
    <w:rsid w:val="007472DA"/>
    <w:rsid w:val="00750594"/>
    <w:rsid w:val="0075071F"/>
    <w:rsid w:val="00750960"/>
    <w:rsid w:val="00750F0B"/>
    <w:rsid w:val="00751027"/>
    <w:rsid w:val="00753B87"/>
    <w:rsid w:val="00753CE9"/>
    <w:rsid w:val="0076107E"/>
    <w:rsid w:val="00763CBF"/>
    <w:rsid w:val="00764335"/>
    <w:rsid w:val="00764559"/>
    <w:rsid w:val="00765918"/>
    <w:rsid w:val="00765F1E"/>
    <w:rsid w:val="00766687"/>
    <w:rsid w:val="00766873"/>
    <w:rsid w:val="0077074B"/>
    <w:rsid w:val="0077281E"/>
    <w:rsid w:val="007735A2"/>
    <w:rsid w:val="00773A27"/>
    <w:rsid w:val="00773AF8"/>
    <w:rsid w:val="00776CD5"/>
    <w:rsid w:val="00777C10"/>
    <w:rsid w:val="007836C7"/>
    <w:rsid w:val="00783E13"/>
    <w:rsid w:val="00787856"/>
    <w:rsid w:val="00787C1A"/>
    <w:rsid w:val="00790FB3"/>
    <w:rsid w:val="00794703"/>
    <w:rsid w:val="0079510C"/>
    <w:rsid w:val="00796167"/>
    <w:rsid w:val="00796565"/>
    <w:rsid w:val="0079759C"/>
    <w:rsid w:val="007977AF"/>
    <w:rsid w:val="007A20EA"/>
    <w:rsid w:val="007A38F1"/>
    <w:rsid w:val="007A5066"/>
    <w:rsid w:val="007A5EA0"/>
    <w:rsid w:val="007B50A5"/>
    <w:rsid w:val="007C0717"/>
    <w:rsid w:val="007C3865"/>
    <w:rsid w:val="007C4835"/>
    <w:rsid w:val="007C5CA0"/>
    <w:rsid w:val="007D11DF"/>
    <w:rsid w:val="007D1214"/>
    <w:rsid w:val="007D2465"/>
    <w:rsid w:val="007D5126"/>
    <w:rsid w:val="007D5C01"/>
    <w:rsid w:val="007D6C40"/>
    <w:rsid w:val="007E32B7"/>
    <w:rsid w:val="007F0E0C"/>
    <w:rsid w:val="007F1E8F"/>
    <w:rsid w:val="007F21E6"/>
    <w:rsid w:val="007F28F3"/>
    <w:rsid w:val="007F31D6"/>
    <w:rsid w:val="00803E7A"/>
    <w:rsid w:val="00806F3C"/>
    <w:rsid w:val="008132BF"/>
    <w:rsid w:val="00814273"/>
    <w:rsid w:val="00814A6B"/>
    <w:rsid w:val="00816506"/>
    <w:rsid w:val="00816F42"/>
    <w:rsid w:val="00822527"/>
    <w:rsid w:val="008228A8"/>
    <w:rsid w:val="00824495"/>
    <w:rsid w:val="00825F43"/>
    <w:rsid w:val="008302E4"/>
    <w:rsid w:val="0083117F"/>
    <w:rsid w:val="0083129E"/>
    <w:rsid w:val="0083367B"/>
    <w:rsid w:val="0083466D"/>
    <w:rsid w:val="008349A4"/>
    <w:rsid w:val="00837BE3"/>
    <w:rsid w:val="00840EB5"/>
    <w:rsid w:val="00845999"/>
    <w:rsid w:val="00845C2C"/>
    <w:rsid w:val="00845C7A"/>
    <w:rsid w:val="0085290D"/>
    <w:rsid w:val="00852BB6"/>
    <w:rsid w:val="0085467F"/>
    <w:rsid w:val="008549B1"/>
    <w:rsid w:val="0086143F"/>
    <w:rsid w:val="00862BB9"/>
    <w:rsid w:val="0086433E"/>
    <w:rsid w:val="00867AC3"/>
    <w:rsid w:val="008736BF"/>
    <w:rsid w:val="008774D7"/>
    <w:rsid w:val="0088063C"/>
    <w:rsid w:val="00882679"/>
    <w:rsid w:val="0088494F"/>
    <w:rsid w:val="00885A26"/>
    <w:rsid w:val="00887D19"/>
    <w:rsid w:val="00887F03"/>
    <w:rsid w:val="008923F3"/>
    <w:rsid w:val="00893E3B"/>
    <w:rsid w:val="008961E0"/>
    <w:rsid w:val="0089664B"/>
    <w:rsid w:val="00897B31"/>
    <w:rsid w:val="008A2A9F"/>
    <w:rsid w:val="008A3DBD"/>
    <w:rsid w:val="008A5097"/>
    <w:rsid w:val="008B26A8"/>
    <w:rsid w:val="008B3CDA"/>
    <w:rsid w:val="008B3F0D"/>
    <w:rsid w:val="008B41B7"/>
    <w:rsid w:val="008B4F20"/>
    <w:rsid w:val="008B558C"/>
    <w:rsid w:val="008B7129"/>
    <w:rsid w:val="008C047B"/>
    <w:rsid w:val="008C3ED9"/>
    <w:rsid w:val="008C3FC1"/>
    <w:rsid w:val="008C58C7"/>
    <w:rsid w:val="008D05AF"/>
    <w:rsid w:val="008D2647"/>
    <w:rsid w:val="008D3144"/>
    <w:rsid w:val="008D4000"/>
    <w:rsid w:val="008E19E8"/>
    <w:rsid w:val="008E2E46"/>
    <w:rsid w:val="008E65A2"/>
    <w:rsid w:val="008F0155"/>
    <w:rsid w:val="008F13FE"/>
    <w:rsid w:val="008F17EB"/>
    <w:rsid w:val="008F30C0"/>
    <w:rsid w:val="008F566D"/>
    <w:rsid w:val="008F5BA3"/>
    <w:rsid w:val="008F5D10"/>
    <w:rsid w:val="008F6C18"/>
    <w:rsid w:val="008F6EAD"/>
    <w:rsid w:val="008F71D1"/>
    <w:rsid w:val="0090131A"/>
    <w:rsid w:val="00901EFC"/>
    <w:rsid w:val="00902945"/>
    <w:rsid w:val="009063D4"/>
    <w:rsid w:val="009079A8"/>
    <w:rsid w:val="00916F9C"/>
    <w:rsid w:val="009206C6"/>
    <w:rsid w:val="009216A1"/>
    <w:rsid w:val="0092315A"/>
    <w:rsid w:val="0092378B"/>
    <w:rsid w:val="009308BF"/>
    <w:rsid w:val="009337BB"/>
    <w:rsid w:val="00934D39"/>
    <w:rsid w:val="009353B5"/>
    <w:rsid w:val="00936DA6"/>
    <w:rsid w:val="0094068E"/>
    <w:rsid w:val="00942CD4"/>
    <w:rsid w:val="00945367"/>
    <w:rsid w:val="0094745F"/>
    <w:rsid w:val="00947FCD"/>
    <w:rsid w:val="00952C1D"/>
    <w:rsid w:val="00953A95"/>
    <w:rsid w:val="00953E90"/>
    <w:rsid w:val="009540B4"/>
    <w:rsid w:val="0095682B"/>
    <w:rsid w:val="0095740A"/>
    <w:rsid w:val="0096071C"/>
    <w:rsid w:val="009608AE"/>
    <w:rsid w:val="00960A59"/>
    <w:rsid w:val="009661B8"/>
    <w:rsid w:val="009668C6"/>
    <w:rsid w:val="00972776"/>
    <w:rsid w:val="00973E26"/>
    <w:rsid w:val="0098419B"/>
    <w:rsid w:val="009853AA"/>
    <w:rsid w:val="00986049"/>
    <w:rsid w:val="009865D2"/>
    <w:rsid w:val="009874D9"/>
    <w:rsid w:val="0099019C"/>
    <w:rsid w:val="0099780A"/>
    <w:rsid w:val="009A2211"/>
    <w:rsid w:val="009A28D1"/>
    <w:rsid w:val="009A6BF2"/>
    <w:rsid w:val="009A78B4"/>
    <w:rsid w:val="009B3360"/>
    <w:rsid w:val="009B3925"/>
    <w:rsid w:val="009B4083"/>
    <w:rsid w:val="009B59A0"/>
    <w:rsid w:val="009B6936"/>
    <w:rsid w:val="009B7447"/>
    <w:rsid w:val="009C008A"/>
    <w:rsid w:val="009C1315"/>
    <w:rsid w:val="009C3439"/>
    <w:rsid w:val="009C5A56"/>
    <w:rsid w:val="009D03A0"/>
    <w:rsid w:val="009E076E"/>
    <w:rsid w:val="009E096F"/>
    <w:rsid w:val="009E2F4B"/>
    <w:rsid w:val="009E562A"/>
    <w:rsid w:val="009E5DF8"/>
    <w:rsid w:val="009E601E"/>
    <w:rsid w:val="009E7F2E"/>
    <w:rsid w:val="009F5039"/>
    <w:rsid w:val="009F56C5"/>
    <w:rsid w:val="009F7201"/>
    <w:rsid w:val="009F749C"/>
    <w:rsid w:val="00A0275B"/>
    <w:rsid w:val="00A02B6A"/>
    <w:rsid w:val="00A03321"/>
    <w:rsid w:val="00A050A8"/>
    <w:rsid w:val="00A05901"/>
    <w:rsid w:val="00A060B8"/>
    <w:rsid w:val="00A11DF6"/>
    <w:rsid w:val="00A13694"/>
    <w:rsid w:val="00A13891"/>
    <w:rsid w:val="00A21C97"/>
    <w:rsid w:val="00A21FAF"/>
    <w:rsid w:val="00A2292F"/>
    <w:rsid w:val="00A250BB"/>
    <w:rsid w:val="00A30D2B"/>
    <w:rsid w:val="00A32177"/>
    <w:rsid w:val="00A334BE"/>
    <w:rsid w:val="00A35575"/>
    <w:rsid w:val="00A37940"/>
    <w:rsid w:val="00A37A96"/>
    <w:rsid w:val="00A44661"/>
    <w:rsid w:val="00A463CD"/>
    <w:rsid w:val="00A46B49"/>
    <w:rsid w:val="00A46E56"/>
    <w:rsid w:val="00A53F70"/>
    <w:rsid w:val="00A54F76"/>
    <w:rsid w:val="00A56548"/>
    <w:rsid w:val="00A60156"/>
    <w:rsid w:val="00A619D6"/>
    <w:rsid w:val="00A63A3D"/>
    <w:rsid w:val="00A66940"/>
    <w:rsid w:val="00A7422A"/>
    <w:rsid w:val="00A74967"/>
    <w:rsid w:val="00A754B5"/>
    <w:rsid w:val="00A77C05"/>
    <w:rsid w:val="00A812A7"/>
    <w:rsid w:val="00A86966"/>
    <w:rsid w:val="00A90405"/>
    <w:rsid w:val="00A92DF8"/>
    <w:rsid w:val="00AA0824"/>
    <w:rsid w:val="00AA177D"/>
    <w:rsid w:val="00AA2B29"/>
    <w:rsid w:val="00AA5A91"/>
    <w:rsid w:val="00AB38EB"/>
    <w:rsid w:val="00AB516E"/>
    <w:rsid w:val="00AB5B64"/>
    <w:rsid w:val="00AB7897"/>
    <w:rsid w:val="00AC1C71"/>
    <w:rsid w:val="00AC2EAE"/>
    <w:rsid w:val="00AC3311"/>
    <w:rsid w:val="00AC5655"/>
    <w:rsid w:val="00AD090D"/>
    <w:rsid w:val="00AD20B5"/>
    <w:rsid w:val="00AD3C72"/>
    <w:rsid w:val="00AD3F13"/>
    <w:rsid w:val="00AD5669"/>
    <w:rsid w:val="00AD5F6E"/>
    <w:rsid w:val="00AE0477"/>
    <w:rsid w:val="00AE054A"/>
    <w:rsid w:val="00AE510B"/>
    <w:rsid w:val="00AE51C0"/>
    <w:rsid w:val="00AF034B"/>
    <w:rsid w:val="00AF08CF"/>
    <w:rsid w:val="00AF184F"/>
    <w:rsid w:val="00AF24A6"/>
    <w:rsid w:val="00AF3AD7"/>
    <w:rsid w:val="00AF6BE8"/>
    <w:rsid w:val="00AF77C3"/>
    <w:rsid w:val="00B00957"/>
    <w:rsid w:val="00B06896"/>
    <w:rsid w:val="00B06C13"/>
    <w:rsid w:val="00B06E1F"/>
    <w:rsid w:val="00B10577"/>
    <w:rsid w:val="00B10882"/>
    <w:rsid w:val="00B14148"/>
    <w:rsid w:val="00B1578C"/>
    <w:rsid w:val="00B17A81"/>
    <w:rsid w:val="00B21D84"/>
    <w:rsid w:val="00B21F13"/>
    <w:rsid w:val="00B22C34"/>
    <w:rsid w:val="00B22E92"/>
    <w:rsid w:val="00B255A3"/>
    <w:rsid w:val="00B262D8"/>
    <w:rsid w:val="00B26432"/>
    <w:rsid w:val="00B305BF"/>
    <w:rsid w:val="00B3397D"/>
    <w:rsid w:val="00B33BF1"/>
    <w:rsid w:val="00B403B7"/>
    <w:rsid w:val="00B415A6"/>
    <w:rsid w:val="00B43DF3"/>
    <w:rsid w:val="00B44302"/>
    <w:rsid w:val="00B45D78"/>
    <w:rsid w:val="00B47094"/>
    <w:rsid w:val="00B506F2"/>
    <w:rsid w:val="00B52C4A"/>
    <w:rsid w:val="00B5368A"/>
    <w:rsid w:val="00B569FD"/>
    <w:rsid w:val="00B56BD6"/>
    <w:rsid w:val="00B60F08"/>
    <w:rsid w:val="00B6411B"/>
    <w:rsid w:val="00B66958"/>
    <w:rsid w:val="00B700C4"/>
    <w:rsid w:val="00B707A8"/>
    <w:rsid w:val="00B7219A"/>
    <w:rsid w:val="00B729B4"/>
    <w:rsid w:val="00B73268"/>
    <w:rsid w:val="00B75E75"/>
    <w:rsid w:val="00B76A43"/>
    <w:rsid w:val="00B8185F"/>
    <w:rsid w:val="00B84708"/>
    <w:rsid w:val="00B87D78"/>
    <w:rsid w:val="00B92FB4"/>
    <w:rsid w:val="00B92FD1"/>
    <w:rsid w:val="00B945F2"/>
    <w:rsid w:val="00B94FC5"/>
    <w:rsid w:val="00B95194"/>
    <w:rsid w:val="00BA0A63"/>
    <w:rsid w:val="00BA5415"/>
    <w:rsid w:val="00BA710F"/>
    <w:rsid w:val="00BB0482"/>
    <w:rsid w:val="00BB0682"/>
    <w:rsid w:val="00BB38C3"/>
    <w:rsid w:val="00BB73B7"/>
    <w:rsid w:val="00BC0B05"/>
    <w:rsid w:val="00BC1970"/>
    <w:rsid w:val="00BC2322"/>
    <w:rsid w:val="00BC2A35"/>
    <w:rsid w:val="00BC4D7C"/>
    <w:rsid w:val="00BC79AF"/>
    <w:rsid w:val="00BD0332"/>
    <w:rsid w:val="00BD27EC"/>
    <w:rsid w:val="00BD7F44"/>
    <w:rsid w:val="00BE2116"/>
    <w:rsid w:val="00BE672D"/>
    <w:rsid w:val="00BE7725"/>
    <w:rsid w:val="00BF29C3"/>
    <w:rsid w:val="00BF3D1F"/>
    <w:rsid w:val="00BF5754"/>
    <w:rsid w:val="00BF796C"/>
    <w:rsid w:val="00C004F5"/>
    <w:rsid w:val="00C04628"/>
    <w:rsid w:val="00C057C3"/>
    <w:rsid w:val="00C05954"/>
    <w:rsid w:val="00C06268"/>
    <w:rsid w:val="00C0710B"/>
    <w:rsid w:val="00C077D7"/>
    <w:rsid w:val="00C0791B"/>
    <w:rsid w:val="00C113AA"/>
    <w:rsid w:val="00C1278E"/>
    <w:rsid w:val="00C13442"/>
    <w:rsid w:val="00C14DB7"/>
    <w:rsid w:val="00C17FE2"/>
    <w:rsid w:val="00C2168D"/>
    <w:rsid w:val="00C26AB3"/>
    <w:rsid w:val="00C27887"/>
    <w:rsid w:val="00C308F2"/>
    <w:rsid w:val="00C40253"/>
    <w:rsid w:val="00C404EB"/>
    <w:rsid w:val="00C418B7"/>
    <w:rsid w:val="00C46DD3"/>
    <w:rsid w:val="00C5134B"/>
    <w:rsid w:val="00C52DBE"/>
    <w:rsid w:val="00C5316C"/>
    <w:rsid w:val="00C53FBC"/>
    <w:rsid w:val="00C570FD"/>
    <w:rsid w:val="00C57789"/>
    <w:rsid w:val="00C639A2"/>
    <w:rsid w:val="00C650C2"/>
    <w:rsid w:val="00C6796A"/>
    <w:rsid w:val="00C71BBA"/>
    <w:rsid w:val="00C75259"/>
    <w:rsid w:val="00C76F91"/>
    <w:rsid w:val="00C77343"/>
    <w:rsid w:val="00C802AC"/>
    <w:rsid w:val="00C8124C"/>
    <w:rsid w:val="00C830C8"/>
    <w:rsid w:val="00C847FE"/>
    <w:rsid w:val="00C84C1E"/>
    <w:rsid w:val="00C86D43"/>
    <w:rsid w:val="00C874DB"/>
    <w:rsid w:val="00C90DEF"/>
    <w:rsid w:val="00C91019"/>
    <w:rsid w:val="00C9554F"/>
    <w:rsid w:val="00C96B6F"/>
    <w:rsid w:val="00CA1496"/>
    <w:rsid w:val="00CA2822"/>
    <w:rsid w:val="00CA3DC7"/>
    <w:rsid w:val="00CA4680"/>
    <w:rsid w:val="00CA4E33"/>
    <w:rsid w:val="00CA5872"/>
    <w:rsid w:val="00CB1DC1"/>
    <w:rsid w:val="00CB3565"/>
    <w:rsid w:val="00CB4348"/>
    <w:rsid w:val="00CB7D7C"/>
    <w:rsid w:val="00CC2146"/>
    <w:rsid w:val="00CC2D89"/>
    <w:rsid w:val="00CC58FD"/>
    <w:rsid w:val="00CC5B2F"/>
    <w:rsid w:val="00CC7592"/>
    <w:rsid w:val="00CD0071"/>
    <w:rsid w:val="00CD07AD"/>
    <w:rsid w:val="00CD18FA"/>
    <w:rsid w:val="00CD1E77"/>
    <w:rsid w:val="00CD363D"/>
    <w:rsid w:val="00CD4849"/>
    <w:rsid w:val="00CE2D22"/>
    <w:rsid w:val="00CE3EC0"/>
    <w:rsid w:val="00CF030B"/>
    <w:rsid w:val="00CF2094"/>
    <w:rsid w:val="00CF438F"/>
    <w:rsid w:val="00CF448C"/>
    <w:rsid w:val="00CF45E1"/>
    <w:rsid w:val="00CF6900"/>
    <w:rsid w:val="00D032D6"/>
    <w:rsid w:val="00D04769"/>
    <w:rsid w:val="00D04B7E"/>
    <w:rsid w:val="00D0799A"/>
    <w:rsid w:val="00D10E0C"/>
    <w:rsid w:val="00D123CA"/>
    <w:rsid w:val="00D2092E"/>
    <w:rsid w:val="00D21052"/>
    <w:rsid w:val="00D21C6C"/>
    <w:rsid w:val="00D21E04"/>
    <w:rsid w:val="00D23FBF"/>
    <w:rsid w:val="00D254D7"/>
    <w:rsid w:val="00D2687C"/>
    <w:rsid w:val="00D3061D"/>
    <w:rsid w:val="00D30C7F"/>
    <w:rsid w:val="00D32075"/>
    <w:rsid w:val="00D322AC"/>
    <w:rsid w:val="00D335BA"/>
    <w:rsid w:val="00D367A7"/>
    <w:rsid w:val="00D36A68"/>
    <w:rsid w:val="00D36EA9"/>
    <w:rsid w:val="00D37B6A"/>
    <w:rsid w:val="00D424DC"/>
    <w:rsid w:val="00D45D96"/>
    <w:rsid w:val="00D46FC0"/>
    <w:rsid w:val="00D473D9"/>
    <w:rsid w:val="00D51177"/>
    <w:rsid w:val="00D53B2B"/>
    <w:rsid w:val="00D5635D"/>
    <w:rsid w:val="00D56ADE"/>
    <w:rsid w:val="00D56BBB"/>
    <w:rsid w:val="00D6200B"/>
    <w:rsid w:val="00D640B0"/>
    <w:rsid w:val="00D64DE3"/>
    <w:rsid w:val="00D65E4E"/>
    <w:rsid w:val="00D70DE7"/>
    <w:rsid w:val="00D71036"/>
    <w:rsid w:val="00D72765"/>
    <w:rsid w:val="00D7295D"/>
    <w:rsid w:val="00D74601"/>
    <w:rsid w:val="00D74763"/>
    <w:rsid w:val="00D800B6"/>
    <w:rsid w:val="00D804A6"/>
    <w:rsid w:val="00D8079B"/>
    <w:rsid w:val="00D81914"/>
    <w:rsid w:val="00D81A6F"/>
    <w:rsid w:val="00D82A08"/>
    <w:rsid w:val="00D84057"/>
    <w:rsid w:val="00D842A2"/>
    <w:rsid w:val="00D842AE"/>
    <w:rsid w:val="00D84484"/>
    <w:rsid w:val="00D84687"/>
    <w:rsid w:val="00D8602C"/>
    <w:rsid w:val="00D86538"/>
    <w:rsid w:val="00D90D9C"/>
    <w:rsid w:val="00D90FE5"/>
    <w:rsid w:val="00D91B8C"/>
    <w:rsid w:val="00D92A74"/>
    <w:rsid w:val="00D940BB"/>
    <w:rsid w:val="00D96EA4"/>
    <w:rsid w:val="00D97189"/>
    <w:rsid w:val="00DA2A19"/>
    <w:rsid w:val="00DA4B25"/>
    <w:rsid w:val="00DA4E6A"/>
    <w:rsid w:val="00DA67AC"/>
    <w:rsid w:val="00DA69B8"/>
    <w:rsid w:val="00DA6EDF"/>
    <w:rsid w:val="00DB027B"/>
    <w:rsid w:val="00DB0D12"/>
    <w:rsid w:val="00DB32EE"/>
    <w:rsid w:val="00DB391A"/>
    <w:rsid w:val="00DB4521"/>
    <w:rsid w:val="00DB5493"/>
    <w:rsid w:val="00DB586F"/>
    <w:rsid w:val="00DB589B"/>
    <w:rsid w:val="00DB5BE9"/>
    <w:rsid w:val="00DB60BB"/>
    <w:rsid w:val="00DB69D7"/>
    <w:rsid w:val="00DB757A"/>
    <w:rsid w:val="00DC05FB"/>
    <w:rsid w:val="00DC3218"/>
    <w:rsid w:val="00DC56F2"/>
    <w:rsid w:val="00DC7DAF"/>
    <w:rsid w:val="00DD134A"/>
    <w:rsid w:val="00DD40AC"/>
    <w:rsid w:val="00DD4B24"/>
    <w:rsid w:val="00DD5ED4"/>
    <w:rsid w:val="00DD732B"/>
    <w:rsid w:val="00DD7B85"/>
    <w:rsid w:val="00DE2512"/>
    <w:rsid w:val="00DE401A"/>
    <w:rsid w:val="00DF1C30"/>
    <w:rsid w:val="00DF2406"/>
    <w:rsid w:val="00DF3014"/>
    <w:rsid w:val="00E00AA1"/>
    <w:rsid w:val="00E019B8"/>
    <w:rsid w:val="00E01E29"/>
    <w:rsid w:val="00E02CEE"/>
    <w:rsid w:val="00E04D89"/>
    <w:rsid w:val="00E0505C"/>
    <w:rsid w:val="00E0579A"/>
    <w:rsid w:val="00E07638"/>
    <w:rsid w:val="00E11C7D"/>
    <w:rsid w:val="00E12967"/>
    <w:rsid w:val="00E143BA"/>
    <w:rsid w:val="00E15680"/>
    <w:rsid w:val="00E15799"/>
    <w:rsid w:val="00E15F3D"/>
    <w:rsid w:val="00E229A7"/>
    <w:rsid w:val="00E2315D"/>
    <w:rsid w:val="00E2328B"/>
    <w:rsid w:val="00E248F8"/>
    <w:rsid w:val="00E268C0"/>
    <w:rsid w:val="00E33B51"/>
    <w:rsid w:val="00E37589"/>
    <w:rsid w:val="00E41B8B"/>
    <w:rsid w:val="00E51B71"/>
    <w:rsid w:val="00E52469"/>
    <w:rsid w:val="00E57882"/>
    <w:rsid w:val="00E6047C"/>
    <w:rsid w:val="00E634FA"/>
    <w:rsid w:val="00E636E6"/>
    <w:rsid w:val="00E657B7"/>
    <w:rsid w:val="00E65DEE"/>
    <w:rsid w:val="00E666C1"/>
    <w:rsid w:val="00E676A0"/>
    <w:rsid w:val="00E71225"/>
    <w:rsid w:val="00E715D6"/>
    <w:rsid w:val="00E71A20"/>
    <w:rsid w:val="00E73996"/>
    <w:rsid w:val="00E74161"/>
    <w:rsid w:val="00E810B4"/>
    <w:rsid w:val="00E81A45"/>
    <w:rsid w:val="00E85CE5"/>
    <w:rsid w:val="00E868EF"/>
    <w:rsid w:val="00E8720E"/>
    <w:rsid w:val="00E906CD"/>
    <w:rsid w:val="00E937E5"/>
    <w:rsid w:val="00E94EA8"/>
    <w:rsid w:val="00E94FB6"/>
    <w:rsid w:val="00EA2139"/>
    <w:rsid w:val="00EA3997"/>
    <w:rsid w:val="00EA5579"/>
    <w:rsid w:val="00EA557D"/>
    <w:rsid w:val="00EA7BC8"/>
    <w:rsid w:val="00EB2EF4"/>
    <w:rsid w:val="00EB2F0B"/>
    <w:rsid w:val="00EB3480"/>
    <w:rsid w:val="00EB4DE8"/>
    <w:rsid w:val="00EB5C9E"/>
    <w:rsid w:val="00EB6BCE"/>
    <w:rsid w:val="00EB7175"/>
    <w:rsid w:val="00EC18C0"/>
    <w:rsid w:val="00EC18D9"/>
    <w:rsid w:val="00EC1922"/>
    <w:rsid w:val="00EC1C82"/>
    <w:rsid w:val="00EC2B6D"/>
    <w:rsid w:val="00EC341B"/>
    <w:rsid w:val="00ED1A71"/>
    <w:rsid w:val="00ED345C"/>
    <w:rsid w:val="00ED5855"/>
    <w:rsid w:val="00ED61B7"/>
    <w:rsid w:val="00ED6FB5"/>
    <w:rsid w:val="00EE2277"/>
    <w:rsid w:val="00EE47F2"/>
    <w:rsid w:val="00EE48F9"/>
    <w:rsid w:val="00EE5F83"/>
    <w:rsid w:val="00EE7B6D"/>
    <w:rsid w:val="00EF30C5"/>
    <w:rsid w:val="00EF3593"/>
    <w:rsid w:val="00EF383B"/>
    <w:rsid w:val="00EF60A0"/>
    <w:rsid w:val="00EF6AE3"/>
    <w:rsid w:val="00F01DDF"/>
    <w:rsid w:val="00F037A3"/>
    <w:rsid w:val="00F0720E"/>
    <w:rsid w:val="00F109E7"/>
    <w:rsid w:val="00F10F75"/>
    <w:rsid w:val="00F11923"/>
    <w:rsid w:val="00F11FE1"/>
    <w:rsid w:val="00F127C7"/>
    <w:rsid w:val="00F1541E"/>
    <w:rsid w:val="00F20F07"/>
    <w:rsid w:val="00F2471E"/>
    <w:rsid w:val="00F24E33"/>
    <w:rsid w:val="00F27C56"/>
    <w:rsid w:val="00F31A61"/>
    <w:rsid w:val="00F32B27"/>
    <w:rsid w:val="00F3370F"/>
    <w:rsid w:val="00F33A82"/>
    <w:rsid w:val="00F36E01"/>
    <w:rsid w:val="00F37F77"/>
    <w:rsid w:val="00F452B0"/>
    <w:rsid w:val="00F51A0D"/>
    <w:rsid w:val="00F522DB"/>
    <w:rsid w:val="00F5308E"/>
    <w:rsid w:val="00F5380A"/>
    <w:rsid w:val="00F542E4"/>
    <w:rsid w:val="00F56CB0"/>
    <w:rsid w:val="00F62DEA"/>
    <w:rsid w:val="00F63C3F"/>
    <w:rsid w:val="00F65512"/>
    <w:rsid w:val="00F70BDD"/>
    <w:rsid w:val="00F725A7"/>
    <w:rsid w:val="00F72685"/>
    <w:rsid w:val="00F7504E"/>
    <w:rsid w:val="00F75622"/>
    <w:rsid w:val="00F77350"/>
    <w:rsid w:val="00F77AE9"/>
    <w:rsid w:val="00F80A5A"/>
    <w:rsid w:val="00F82F72"/>
    <w:rsid w:val="00F855FC"/>
    <w:rsid w:val="00F91242"/>
    <w:rsid w:val="00F919A3"/>
    <w:rsid w:val="00F92522"/>
    <w:rsid w:val="00F943BF"/>
    <w:rsid w:val="00FA5055"/>
    <w:rsid w:val="00FA726A"/>
    <w:rsid w:val="00FA7A74"/>
    <w:rsid w:val="00FB1AF3"/>
    <w:rsid w:val="00FB23D1"/>
    <w:rsid w:val="00FB3B51"/>
    <w:rsid w:val="00FB534A"/>
    <w:rsid w:val="00FC424B"/>
    <w:rsid w:val="00FC6EFF"/>
    <w:rsid w:val="00FD03AF"/>
    <w:rsid w:val="00FD5CB8"/>
    <w:rsid w:val="00FD7524"/>
    <w:rsid w:val="00FD7AFA"/>
    <w:rsid w:val="00FE2A1B"/>
    <w:rsid w:val="00FE3779"/>
    <w:rsid w:val="00FE402F"/>
    <w:rsid w:val="00FE582D"/>
    <w:rsid w:val="00FE75E2"/>
    <w:rsid w:val="00FF02B7"/>
    <w:rsid w:val="00FF2A5B"/>
    <w:rsid w:val="00FF2FFF"/>
    <w:rsid w:val="00FF4422"/>
    <w:rsid w:val="00FF6B4A"/>
    <w:rsid w:val="00FF6C3A"/>
    <w:rsid w:val="00FF75B7"/>
    <w:rsid w:val="00FF7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955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9554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07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7A8"/>
  </w:style>
  <w:style w:type="paragraph" w:styleId="Footer">
    <w:name w:val="footer"/>
    <w:basedOn w:val="Normal"/>
    <w:link w:val="FooterChar"/>
    <w:uiPriority w:val="99"/>
    <w:unhideWhenUsed/>
    <w:rsid w:val="00B707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7A8"/>
  </w:style>
  <w:style w:type="paragraph" w:styleId="BalloonText">
    <w:name w:val="Balloon Text"/>
    <w:basedOn w:val="Normal"/>
    <w:link w:val="BalloonTextChar"/>
    <w:uiPriority w:val="99"/>
    <w:semiHidden/>
    <w:unhideWhenUsed/>
    <w:rsid w:val="00B707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7A8"/>
    <w:rPr>
      <w:rFonts w:ascii="Tahoma" w:hAnsi="Tahoma" w:cs="Tahoma"/>
      <w:sz w:val="16"/>
      <w:szCs w:val="16"/>
    </w:rPr>
  </w:style>
  <w:style w:type="character" w:customStyle="1" w:styleId="Heading1Char">
    <w:name w:val="Heading 1 Char"/>
    <w:basedOn w:val="DefaultParagraphFont"/>
    <w:link w:val="Heading1"/>
    <w:uiPriority w:val="9"/>
    <w:rsid w:val="00C9554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9554F"/>
    <w:pPr>
      <w:outlineLvl w:val="9"/>
    </w:pPr>
    <w:rPr>
      <w:lang w:eastAsia="ja-JP"/>
    </w:rPr>
  </w:style>
  <w:style w:type="character" w:customStyle="1" w:styleId="Heading2Char">
    <w:name w:val="Heading 2 Char"/>
    <w:basedOn w:val="DefaultParagraphFont"/>
    <w:link w:val="Heading2"/>
    <w:uiPriority w:val="9"/>
    <w:rsid w:val="00C9554F"/>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C9554F"/>
    <w:pPr>
      <w:spacing w:after="100"/>
    </w:pPr>
  </w:style>
  <w:style w:type="paragraph" w:styleId="TOC2">
    <w:name w:val="toc 2"/>
    <w:basedOn w:val="Normal"/>
    <w:next w:val="Normal"/>
    <w:autoRedefine/>
    <w:uiPriority w:val="39"/>
    <w:unhideWhenUsed/>
    <w:rsid w:val="00C9554F"/>
    <w:pPr>
      <w:spacing w:after="100"/>
      <w:ind w:left="220"/>
    </w:pPr>
  </w:style>
  <w:style w:type="character" w:styleId="Hyperlink">
    <w:name w:val="Hyperlink"/>
    <w:basedOn w:val="DefaultParagraphFont"/>
    <w:uiPriority w:val="99"/>
    <w:unhideWhenUsed/>
    <w:rsid w:val="00C9554F"/>
    <w:rPr>
      <w:color w:val="0000FF" w:themeColor="hyperlink"/>
      <w:u w:val="single"/>
    </w:rPr>
  </w:style>
  <w:style w:type="paragraph" w:styleId="ListParagraph">
    <w:name w:val="List Paragraph"/>
    <w:basedOn w:val="Normal"/>
    <w:uiPriority w:val="34"/>
    <w:qFormat/>
    <w:rsid w:val="00C9554F"/>
    <w:pPr>
      <w:ind w:left="720"/>
      <w:contextualSpacing/>
    </w:pPr>
  </w:style>
  <w:style w:type="paragraph" w:styleId="NoSpacing">
    <w:name w:val="No Spacing"/>
    <w:uiPriority w:val="1"/>
    <w:qFormat/>
    <w:rsid w:val="00077493"/>
    <w:pPr>
      <w:spacing w:after="0" w:line="240" w:lineRule="auto"/>
    </w:pPr>
  </w:style>
  <w:style w:type="character" w:styleId="CommentReference">
    <w:name w:val="annotation reference"/>
    <w:basedOn w:val="DefaultParagraphFont"/>
    <w:uiPriority w:val="99"/>
    <w:semiHidden/>
    <w:unhideWhenUsed/>
    <w:rsid w:val="00197D78"/>
    <w:rPr>
      <w:sz w:val="16"/>
      <w:szCs w:val="16"/>
    </w:rPr>
  </w:style>
  <w:style w:type="paragraph" w:styleId="CommentText">
    <w:name w:val="annotation text"/>
    <w:basedOn w:val="Normal"/>
    <w:link w:val="CommentTextChar"/>
    <w:uiPriority w:val="99"/>
    <w:unhideWhenUsed/>
    <w:rsid w:val="00197D78"/>
    <w:pPr>
      <w:spacing w:line="240" w:lineRule="auto"/>
    </w:pPr>
    <w:rPr>
      <w:sz w:val="20"/>
      <w:szCs w:val="20"/>
    </w:rPr>
  </w:style>
  <w:style w:type="character" w:customStyle="1" w:styleId="CommentTextChar">
    <w:name w:val="Comment Text Char"/>
    <w:basedOn w:val="DefaultParagraphFont"/>
    <w:link w:val="CommentText"/>
    <w:uiPriority w:val="99"/>
    <w:rsid w:val="00197D78"/>
    <w:rPr>
      <w:sz w:val="20"/>
      <w:szCs w:val="20"/>
    </w:rPr>
  </w:style>
  <w:style w:type="paragraph" w:styleId="CommentSubject">
    <w:name w:val="annotation subject"/>
    <w:basedOn w:val="CommentText"/>
    <w:next w:val="CommentText"/>
    <w:link w:val="CommentSubjectChar"/>
    <w:uiPriority w:val="99"/>
    <w:semiHidden/>
    <w:unhideWhenUsed/>
    <w:rsid w:val="00197D78"/>
    <w:rPr>
      <w:b/>
      <w:bCs/>
    </w:rPr>
  </w:style>
  <w:style w:type="character" w:customStyle="1" w:styleId="CommentSubjectChar">
    <w:name w:val="Comment Subject Char"/>
    <w:basedOn w:val="CommentTextChar"/>
    <w:link w:val="CommentSubject"/>
    <w:uiPriority w:val="99"/>
    <w:semiHidden/>
    <w:rsid w:val="00197D78"/>
    <w:rPr>
      <w:b/>
      <w:bCs/>
      <w:sz w:val="20"/>
      <w:szCs w:val="20"/>
    </w:rPr>
  </w:style>
  <w:style w:type="character" w:styleId="FollowedHyperlink">
    <w:name w:val="FollowedHyperlink"/>
    <w:basedOn w:val="DefaultParagraphFont"/>
    <w:uiPriority w:val="99"/>
    <w:semiHidden/>
    <w:unhideWhenUsed/>
    <w:rsid w:val="00B305BF"/>
    <w:rPr>
      <w:color w:val="800080" w:themeColor="followedHyperlink"/>
      <w:u w:val="single"/>
    </w:rPr>
  </w:style>
  <w:style w:type="table" w:styleId="TableGrid">
    <w:name w:val="Table Grid"/>
    <w:basedOn w:val="TableNormal"/>
    <w:uiPriority w:val="59"/>
    <w:rsid w:val="00EC1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31C7"/>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0631C7"/>
    <w:rPr>
      <w:color w:val="auto"/>
    </w:rPr>
  </w:style>
  <w:style w:type="paragraph" w:styleId="Revision">
    <w:name w:val="Revision"/>
    <w:hidden/>
    <w:uiPriority w:val="99"/>
    <w:semiHidden/>
    <w:rsid w:val="009853AA"/>
    <w:pPr>
      <w:spacing w:after="0" w:line="240" w:lineRule="auto"/>
    </w:pPr>
  </w:style>
  <w:style w:type="paragraph" w:styleId="FootnoteText">
    <w:name w:val="footnote text"/>
    <w:basedOn w:val="Normal"/>
    <w:link w:val="FootnoteTextChar"/>
    <w:uiPriority w:val="99"/>
    <w:semiHidden/>
    <w:unhideWhenUsed/>
    <w:rsid w:val="00EC2B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2B6D"/>
    <w:rPr>
      <w:sz w:val="20"/>
      <w:szCs w:val="20"/>
    </w:rPr>
  </w:style>
  <w:style w:type="character" w:styleId="FootnoteReference">
    <w:name w:val="footnote reference"/>
    <w:basedOn w:val="DefaultParagraphFont"/>
    <w:uiPriority w:val="99"/>
    <w:semiHidden/>
    <w:unhideWhenUsed/>
    <w:rsid w:val="00EC2B6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955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9554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07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7A8"/>
  </w:style>
  <w:style w:type="paragraph" w:styleId="Footer">
    <w:name w:val="footer"/>
    <w:basedOn w:val="Normal"/>
    <w:link w:val="FooterChar"/>
    <w:uiPriority w:val="99"/>
    <w:unhideWhenUsed/>
    <w:rsid w:val="00B707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7A8"/>
  </w:style>
  <w:style w:type="paragraph" w:styleId="BalloonText">
    <w:name w:val="Balloon Text"/>
    <w:basedOn w:val="Normal"/>
    <w:link w:val="BalloonTextChar"/>
    <w:uiPriority w:val="99"/>
    <w:semiHidden/>
    <w:unhideWhenUsed/>
    <w:rsid w:val="00B707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7A8"/>
    <w:rPr>
      <w:rFonts w:ascii="Tahoma" w:hAnsi="Tahoma" w:cs="Tahoma"/>
      <w:sz w:val="16"/>
      <w:szCs w:val="16"/>
    </w:rPr>
  </w:style>
  <w:style w:type="character" w:customStyle="1" w:styleId="Heading1Char">
    <w:name w:val="Heading 1 Char"/>
    <w:basedOn w:val="DefaultParagraphFont"/>
    <w:link w:val="Heading1"/>
    <w:uiPriority w:val="9"/>
    <w:rsid w:val="00C9554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9554F"/>
    <w:pPr>
      <w:outlineLvl w:val="9"/>
    </w:pPr>
    <w:rPr>
      <w:lang w:eastAsia="ja-JP"/>
    </w:rPr>
  </w:style>
  <w:style w:type="character" w:customStyle="1" w:styleId="Heading2Char">
    <w:name w:val="Heading 2 Char"/>
    <w:basedOn w:val="DefaultParagraphFont"/>
    <w:link w:val="Heading2"/>
    <w:uiPriority w:val="9"/>
    <w:rsid w:val="00C9554F"/>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C9554F"/>
    <w:pPr>
      <w:spacing w:after="100"/>
    </w:pPr>
  </w:style>
  <w:style w:type="paragraph" w:styleId="TOC2">
    <w:name w:val="toc 2"/>
    <w:basedOn w:val="Normal"/>
    <w:next w:val="Normal"/>
    <w:autoRedefine/>
    <w:uiPriority w:val="39"/>
    <w:unhideWhenUsed/>
    <w:rsid w:val="00C9554F"/>
    <w:pPr>
      <w:spacing w:after="100"/>
      <w:ind w:left="220"/>
    </w:pPr>
  </w:style>
  <w:style w:type="character" w:styleId="Hyperlink">
    <w:name w:val="Hyperlink"/>
    <w:basedOn w:val="DefaultParagraphFont"/>
    <w:uiPriority w:val="99"/>
    <w:unhideWhenUsed/>
    <w:rsid w:val="00C9554F"/>
    <w:rPr>
      <w:color w:val="0000FF" w:themeColor="hyperlink"/>
      <w:u w:val="single"/>
    </w:rPr>
  </w:style>
  <w:style w:type="paragraph" w:styleId="ListParagraph">
    <w:name w:val="List Paragraph"/>
    <w:basedOn w:val="Normal"/>
    <w:uiPriority w:val="34"/>
    <w:qFormat/>
    <w:rsid w:val="00C9554F"/>
    <w:pPr>
      <w:ind w:left="720"/>
      <w:contextualSpacing/>
    </w:pPr>
  </w:style>
  <w:style w:type="paragraph" w:styleId="NoSpacing">
    <w:name w:val="No Spacing"/>
    <w:uiPriority w:val="1"/>
    <w:qFormat/>
    <w:rsid w:val="00077493"/>
    <w:pPr>
      <w:spacing w:after="0" w:line="240" w:lineRule="auto"/>
    </w:pPr>
  </w:style>
  <w:style w:type="character" w:styleId="CommentReference">
    <w:name w:val="annotation reference"/>
    <w:basedOn w:val="DefaultParagraphFont"/>
    <w:uiPriority w:val="99"/>
    <w:semiHidden/>
    <w:unhideWhenUsed/>
    <w:rsid w:val="00197D78"/>
    <w:rPr>
      <w:sz w:val="16"/>
      <w:szCs w:val="16"/>
    </w:rPr>
  </w:style>
  <w:style w:type="paragraph" w:styleId="CommentText">
    <w:name w:val="annotation text"/>
    <w:basedOn w:val="Normal"/>
    <w:link w:val="CommentTextChar"/>
    <w:uiPriority w:val="99"/>
    <w:unhideWhenUsed/>
    <w:rsid w:val="00197D78"/>
    <w:pPr>
      <w:spacing w:line="240" w:lineRule="auto"/>
    </w:pPr>
    <w:rPr>
      <w:sz w:val="20"/>
      <w:szCs w:val="20"/>
    </w:rPr>
  </w:style>
  <w:style w:type="character" w:customStyle="1" w:styleId="CommentTextChar">
    <w:name w:val="Comment Text Char"/>
    <w:basedOn w:val="DefaultParagraphFont"/>
    <w:link w:val="CommentText"/>
    <w:uiPriority w:val="99"/>
    <w:rsid w:val="00197D78"/>
    <w:rPr>
      <w:sz w:val="20"/>
      <w:szCs w:val="20"/>
    </w:rPr>
  </w:style>
  <w:style w:type="paragraph" w:styleId="CommentSubject">
    <w:name w:val="annotation subject"/>
    <w:basedOn w:val="CommentText"/>
    <w:next w:val="CommentText"/>
    <w:link w:val="CommentSubjectChar"/>
    <w:uiPriority w:val="99"/>
    <w:semiHidden/>
    <w:unhideWhenUsed/>
    <w:rsid w:val="00197D78"/>
    <w:rPr>
      <w:b/>
      <w:bCs/>
    </w:rPr>
  </w:style>
  <w:style w:type="character" w:customStyle="1" w:styleId="CommentSubjectChar">
    <w:name w:val="Comment Subject Char"/>
    <w:basedOn w:val="CommentTextChar"/>
    <w:link w:val="CommentSubject"/>
    <w:uiPriority w:val="99"/>
    <w:semiHidden/>
    <w:rsid w:val="00197D78"/>
    <w:rPr>
      <w:b/>
      <w:bCs/>
      <w:sz w:val="20"/>
      <w:szCs w:val="20"/>
    </w:rPr>
  </w:style>
  <w:style w:type="character" w:styleId="FollowedHyperlink">
    <w:name w:val="FollowedHyperlink"/>
    <w:basedOn w:val="DefaultParagraphFont"/>
    <w:uiPriority w:val="99"/>
    <w:semiHidden/>
    <w:unhideWhenUsed/>
    <w:rsid w:val="00B305BF"/>
    <w:rPr>
      <w:color w:val="800080" w:themeColor="followedHyperlink"/>
      <w:u w:val="single"/>
    </w:rPr>
  </w:style>
  <w:style w:type="table" w:styleId="TableGrid">
    <w:name w:val="Table Grid"/>
    <w:basedOn w:val="TableNormal"/>
    <w:uiPriority w:val="59"/>
    <w:rsid w:val="00EC1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31C7"/>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0631C7"/>
    <w:rPr>
      <w:color w:val="auto"/>
    </w:rPr>
  </w:style>
  <w:style w:type="paragraph" w:styleId="Revision">
    <w:name w:val="Revision"/>
    <w:hidden/>
    <w:uiPriority w:val="99"/>
    <w:semiHidden/>
    <w:rsid w:val="009853AA"/>
    <w:pPr>
      <w:spacing w:after="0" w:line="240" w:lineRule="auto"/>
    </w:pPr>
  </w:style>
  <w:style w:type="paragraph" w:styleId="FootnoteText">
    <w:name w:val="footnote text"/>
    <w:basedOn w:val="Normal"/>
    <w:link w:val="FootnoteTextChar"/>
    <w:uiPriority w:val="99"/>
    <w:semiHidden/>
    <w:unhideWhenUsed/>
    <w:rsid w:val="00EC2B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2B6D"/>
    <w:rPr>
      <w:sz w:val="20"/>
      <w:szCs w:val="20"/>
    </w:rPr>
  </w:style>
  <w:style w:type="character" w:styleId="FootnoteReference">
    <w:name w:val="footnote reference"/>
    <w:basedOn w:val="DefaultParagraphFont"/>
    <w:uiPriority w:val="99"/>
    <w:semiHidden/>
    <w:unhideWhenUsed/>
    <w:rsid w:val="00EC2B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25047">
      <w:bodyDiv w:val="1"/>
      <w:marLeft w:val="0"/>
      <w:marRight w:val="0"/>
      <w:marTop w:val="0"/>
      <w:marBottom w:val="0"/>
      <w:divBdr>
        <w:top w:val="none" w:sz="0" w:space="0" w:color="auto"/>
        <w:left w:val="none" w:sz="0" w:space="0" w:color="auto"/>
        <w:bottom w:val="none" w:sz="0" w:space="0" w:color="auto"/>
        <w:right w:val="none" w:sz="0" w:space="0" w:color="auto"/>
      </w:divBdr>
    </w:div>
    <w:div w:id="102120061">
      <w:bodyDiv w:val="1"/>
      <w:marLeft w:val="0"/>
      <w:marRight w:val="0"/>
      <w:marTop w:val="0"/>
      <w:marBottom w:val="0"/>
      <w:divBdr>
        <w:top w:val="none" w:sz="0" w:space="0" w:color="auto"/>
        <w:left w:val="none" w:sz="0" w:space="0" w:color="auto"/>
        <w:bottom w:val="none" w:sz="0" w:space="0" w:color="auto"/>
        <w:right w:val="none" w:sz="0" w:space="0" w:color="auto"/>
      </w:divBdr>
    </w:div>
    <w:div w:id="154152220">
      <w:bodyDiv w:val="1"/>
      <w:marLeft w:val="0"/>
      <w:marRight w:val="0"/>
      <w:marTop w:val="0"/>
      <w:marBottom w:val="0"/>
      <w:divBdr>
        <w:top w:val="none" w:sz="0" w:space="0" w:color="auto"/>
        <w:left w:val="none" w:sz="0" w:space="0" w:color="auto"/>
        <w:bottom w:val="none" w:sz="0" w:space="0" w:color="auto"/>
        <w:right w:val="none" w:sz="0" w:space="0" w:color="auto"/>
      </w:divBdr>
    </w:div>
    <w:div w:id="266085139">
      <w:bodyDiv w:val="1"/>
      <w:marLeft w:val="0"/>
      <w:marRight w:val="0"/>
      <w:marTop w:val="0"/>
      <w:marBottom w:val="0"/>
      <w:divBdr>
        <w:top w:val="none" w:sz="0" w:space="0" w:color="auto"/>
        <w:left w:val="none" w:sz="0" w:space="0" w:color="auto"/>
        <w:bottom w:val="none" w:sz="0" w:space="0" w:color="auto"/>
        <w:right w:val="none" w:sz="0" w:space="0" w:color="auto"/>
      </w:divBdr>
    </w:div>
    <w:div w:id="473840982">
      <w:bodyDiv w:val="1"/>
      <w:marLeft w:val="0"/>
      <w:marRight w:val="0"/>
      <w:marTop w:val="0"/>
      <w:marBottom w:val="0"/>
      <w:divBdr>
        <w:top w:val="none" w:sz="0" w:space="0" w:color="auto"/>
        <w:left w:val="none" w:sz="0" w:space="0" w:color="auto"/>
        <w:bottom w:val="none" w:sz="0" w:space="0" w:color="auto"/>
        <w:right w:val="none" w:sz="0" w:space="0" w:color="auto"/>
      </w:divBdr>
    </w:div>
    <w:div w:id="587933527">
      <w:bodyDiv w:val="1"/>
      <w:marLeft w:val="0"/>
      <w:marRight w:val="0"/>
      <w:marTop w:val="0"/>
      <w:marBottom w:val="0"/>
      <w:divBdr>
        <w:top w:val="none" w:sz="0" w:space="0" w:color="auto"/>
        <w:left w:val="none" w:sz="0" w:space="0" w:color="auto"/>
        <w:bottom w:val="none" w:sz="0" w:space="0" w:color="auto"/>
        <w:right w:val="none" w:sz="0" w:space="0" w:color="auto"/>
      </w:divBdr>
    </w:div>
    <w:div w:id="984429420">
      <w:bodyDiv w:val="1"/>
      <w:marLeft w:val="0"/>
      <w:marRight w:val="0"/>
      <w:marTop w:val="0"/>
      <w:marBottom w:val="0"/>
      <w:divBdr>
        <w:top w:val="none" w:sz="0" w:space="0" w:color="auto"/>
        <w:left w:val="none" w:sz="0" w:space="0" w:color="auto"/>
        <w:bottom w:val="none" w:sz="0" w:space="0" w:color="auto"/>
        <w:right w:val="none" w:sz="0" w:space="0" w:color="auto"/>
      </w:divBdr>
    </w:div>
    <w:div w:id="1077049097">
      <w:bodyDiv w:val="1"/>
      <w:marLeft w:val="0"/>
      <w:marRight w:val="0"/>
      <w:marTop w:val="0"/>
      <w:marBottom w:val="0"/>
      <w:divBdr>
        <w:top w:val="none" w:sz="0" w:space="0" w:color="auto"/>
        <w:left w:val="none" w:sz="0" w:space="0" w:color="auto"/>
        <w:bottom w:val="none" w:sz="0" w:space="0" w:color="auto"/>
        <w:right w:val="none" w:sz="0" w:space="0" w:color="auto"/>
      </w:divBdr>
    </w:div>
    <w:div w:id="1324235983">
      <w:bodyDiv w:val="1"/>
      <w:marLeft w:val="0"/>
      <w:marRight w:val="0"/>
      <w:marTop w:val="0"/>
      <w:marBottom w:val="0"/>
      <w:divBdr>
        <w:top w:val="none" w:sz="0" w:space="0" w:color="auto"/>
        <w:left w:val="none" w:sz="0" w:space="0" w:color="auto"/>
        <w:bottom w:val="none" w:sz="0" w:space="0" w:color="auto"/>
        <w:right w:val="none" w:sz="0" w:space="0" w:color="auto"/>
      </w:divBdr>
    </w:div>
    <w:div w:id="1415588165">
      <w:bodyDiv w:val="1"/>
      <w:marLeft w:val="0"/>
      <w:marRight w:val="0"/>
      <w:marTop w:val="0"/>
      <w:marBottom w:val="0"/>
      <w:divBdr>
        <w:top w:val="none" w:sz="0" w:space="0" w:color="auto"/>
        <w:left w:val="none" w:sz="0" w:space="0" w:color="auto"/>
        <w:bottom w:val="none" w:sz="0" w:space="0" w:color="auto"/>
        <w:right w:val="none" w:sz="0" w:space="0" w:color="auto"/>
      </w:divBdr>
    </w:div>
    <w:div w:id="1416896537">
      <w:bodyDiv w:val="1"/>
      <w:marLeft w:val="0"/>
      <w:marRight w:val="0"/>
      <w:marTop w:val="0"/>
      <w:marBottom w:val="0"/>
      <w:divBdr>
        <w:top w:val="none" w:sz="0" w:space="0" w:color="auto"/>
        <w:left w:val="none" w:sz="0" w:space="0" w:color="auto"/>
        <w:bottom w:val="none" w:sz="0" w:space="0" w:color="auto"/>
        <w:right w:val="none" w:sz="0" w:space="0" w:color="auto"/>
      </w:divBdr>
    </w:div>
    <w:div w:id="1534033264">
      <w:bodyDiv w:val="1"/>
      <w:marLeft w:val="0"/>
      <w:marRight w:val="0"/>
      <w:marTop w:val="0"/>
      <w:marBottom w:val="0"/>
      <w:divBdr>
        <w:top w:val="none" w:sz="0" w:space="0" w:color="auto"/>
        <w:left w:val="none" w:sz="0" w:space="0" w:color="auto"/>
        <w:bottom w:val="none" w:sz="0" w:space="0" w:color="auto"/>
        <w:right w:val="none" w:sz="0" w:space="0" w:color="auto"/>
      </w:divBdr>
    </w:div>
    <w:div w:id="1591040892">
      <w:bodyDiv w:val="1"/>
      <w:marLeft w:val="0"/>
      <w:marRight w:val="0"/>
      <w:marTop w:val="0"/>
      <w:marBottom w:val="0"/>
      <w:divBdr>
        <w:top w:val="none" w:sz="0" w:space="0" w:color="auto"/>
        <w:left w:val="none" w:sz="0" w:space="0" w:color="auto"/>
        <w:bottom w:val="none" w:sz="0" w:space="0" w:color="auto"/>
        <w:right w:val="none" w:sz="0" w:space="0" w:color="auto"/>
      </w:divBdr>
      <w:divsChild>
        <w:div w:id="1775636890">
          <w:marLeft w:val="0"/>
          <w:marRight w:val="0"/>
          <w:marTop w:val="0"/>
          <w:marBottom w:val="0"/>
          <w:divBdr>
            <w:top w:val="none" w:sz="0" w:space="0" w:color="auto"/>
            <w:left w:val="none" w:sz="0" w:space="0" w:color="auto"/>
            <w:bottom w:val="none" w:sz="0" w:space="0" w:color="auto"/>
            <w:right w:val="none" w:sz="0" w:space="0" w:color="auto"/>
          </w:divBdr>
          <w:divsChild>
            <w:div w:id="1794715430">
              <w:marLeft w:val="0"/>
              <w:marRight w:val="0"/>
              <w:marTop w:val="0"/>
              <w:marBottom w:val="0"/>
              <w:divBdr>
                <w:top w:val="none" w:sz="0" w:space="0" w:color="auto"/>
                <w:left w:val="none" w:sz="0" w:space="0" w:color="auto"/>
                <w:bottom w:val="none" w:sz="0" w:space="0" w:color="auto"/>
                <w:right w:val="none" w:sz="0" w:space="0" w:color="auto"/>
              </w:divBdr>
              <w:divsChild>
                <w:div w:id="2016610794">
                  <w:marLeft w:val="0"/>
                  <w:marRight w:val="0"/>
                  <w:marTop w:val="0"/>
                  <w:marBottom w:val="0"/>
                  <w:divBdr>
                    <w:top w:val="none" w:sz="0" w:space="0" w:color="auto"/>
                    <w:left w:val="none" w:sz="0" w:space="0" w:color="auto"/>
                    <w:bottom w:val="none" w:sz="0" w:space="0" w:color="auto"/>
                    <w:right w:val="none" w:sz="0" w:space="0" w:color="auto"/>
                  </w:divBdr>
                  <w:divsChild>
                    <w:div w:id="446391917">
                      <w:marLeft w:val="0"/>
                      <w:marRight w:val="0"/>
                      <w:marTop w:val="0"/>
                      <w:marBottom w:val="0"/>
                      <w:divBdr>
                        <w:top w:val="none" w:sz="0" w:space="0" w:color="auto"/>
                        <w:left w:val="none" w:sz="0" w:space="0" w:color="auto"/>
                        <w:bottom w:val="none" w:sz="0" w:space="0" w:color="auto"/>
                        <w:right w:val="none" w:sz="0" w:space="0" w:color="auto"/>
                      </w:divBdr>
                      <w:divsChild>
                        <w:div w:id="76052292">
                          <w:marLeft w:val="0"/>
                          <w:marRight w:val="0"/>
                          <w:marTop w:val="0"/>
                          <w:marBottom w:val="120"/>
                          <w:divBdr>
                            <w:top w:val="none" w:sz="0" w:space="0" w:color="auto"/>
                            <w:left w:val="none" w:sz="0" w:space="0" w:color="auto"/>
                            <w:bottom w:val="none" w:sz="0" w:space="0" w:color="auto"/>
                            <w:right w:val="none" w:sz="0" w:space="0" w:color="auto"/>
                          </w:divBdr>
                          <w:divsChild>
                            <w:div w:id="101164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758979">
      <w:bodyDiv w:val="1"/>
      <w:marLeft w:val="0"/>
      <w:marRight w:val="0"/>
      <w:marTop w:val="0"/>
      <w:marBottom w:val="0"/>
      <w:divBdr>
        <w:top w:val="none" w:sz="0" w:space="0" w:color="auto"/>
        <w:left w:val="none" w:sz="0" w:space="0" w:color="auto"/>
        <w:bottom w:val="none" w:sz="0" w:space="0" w:color="auto"/>
        <w:right w:val="none" w:sz="0" w:space="0" w:color="auto"/>
      </w:divBdr>
    </w:div>
    <w:div w:id="1845391240">
      <w:bodyDiv w:val="1"/>
      <w:marLeft w:val="0"/>
      <w:marRight w:val="0"/>
      <w:marTop w:val="0"/>
      <w:marBottom w:val="0"/>
      <w:divBdr>
        <w:top w:val="none" w:sz="0" w:space="0" w:color="auto"/>
        <w:left w:val="none" w:sz="0" w:space="0" w:color="auto"/>
        <w:bottom w:val="none" w:sz="0" w:space="0" w:color="auto"/>
        <w:right w:val="none" w:sz="0" w:space="0" w:color="auto"/>
      </w:divBdr>
    </w:div>
    <w:div w:id="191419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www.opm.gov/policy-data-oversight/pay-leave/salaries-wages/2013/general-schedule/atlanta-sandy-springs-gainesville-ga-al-hourlyovertime-rates-by-grade-and-step/" TargetMode="External"/><Relationship Id="rId26" Type="http://schemas.openxmlformats.org/officeDocument/2006/relationships/hyperlink" Target="http://training.fema.gov/emiweb/is/IS208A/05_SDM_Unit_04_508.pdf"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apps.who.int/iris/bitstream/10665/54011/1/bulletin_1996_74%284%29_399-405.pdf?ua=1" TargetMode="External"/><Relationship Id="rId34" Type="http://schemas.openxmlformats.org/officeDocument/2006/relationships/hyperlink" Target="http://www.cdc.gov/mentalhealth/workgroup.htm" TargetMode="External"/><Relationship Id="rId7" Type="http://schemas.openxmlformats.org/officeDocument/2006/relationships/footnotes" Target="footnotes.xml"/><Relationship Id="rId12" Type="http://schemas.openxmlformats.org/officeDocument/2006/relationships/hyperlink" Target="http://wwwn.cdc.gov/epiinfo/" TargetMode="External"/><Relationship Id="rId17" Type="http://schemas.openxmlformats.org/officeDocument/2006/relationships/hyperlink" Target="http://www.bls.gov/oes/current/oes_nat.htm" TargetMode="External"/><Relationship Id="rId25" Type="http://schemas.openxmlformats.org/officeDocument/2006/relationships/hyperlink" Target="https://training.fema.gov/EMIWeb/IS/is701alst.asp" TargetMode="External"/><Relationship Id="rId33" Type="http://schemas.openxmlformats.org/officeDocument/2006/relationships/hyperlink" Target="http://www.cdc.gov/mentalhealth/"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dc.gov/nceh/hsb/disaster/casper.htm" TargetMode="External"/><Relationship Id="rId20" Type="http://schemas.openxmlformats.org/officeDocument/2006/relationships/hyperlink" Target="http://www.ncbi.nlm.nih.gov/books/NBK54245/%20" TargetMode="External"/><Relationship Id="rId29" Type="http://schemas.openxmlformats.org/officeDocument/2006/relationships/hyperlink" Target="http://www.cdc.gov/nceh/hsb/disaster/casper.ht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raining.fema.gov/EMIWeb/IS/ICSResource/assets/reviewMaterials.pdf" TargetMode="External"/><Relationship Id="rId24" Type="http://schemas.openxmlformats.org/officeDocument/2006/relationships/hyperlink" Target="http://www.cdc.gov/mmwr/preview/mmwrhtml/mm4850a2.htm" TargetMode="External"/><Relationship Id="rId32" Type="http://schemas.openxmlformats.org/officeDocument/2006/relationships/hyperlink" Target="http://www.cdc.gov/mentalhealth/information/dis-en-health.htm" TargetMode="External"/><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jen.horney@unc.edu" TargetMode="External"/><Relationship Id="rId23" Type="http://schemas.openxmlformats.org/officeDocument/2006/relationships/hyperlink" Target="http://www.fema.gov/pdf/emergency/nrf/nrf-core.pdf" TargetMode="External"/><Relationship Id="rId28" Type="http://schemas.openxmlformats.org/officeDocument/2006/relationships/hyperlink" Target="http://www.fema.gov/pdf/media/factsheets/2010/imat_fact_sheet_10_05_10.pdf" TargetMode="External"/><Relationship Id="rId36"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www.who.int/water_sanitation_health/emergencies/en/" TargetMode="External"/><Relationship Id="rId31" Type="http://schemas.openxmlformats.org/officeDocument/2006/relationships/hyperlink" Target="http://www.bt.cdc.gov/mentalhealth/primer.asp" TargetMode="External"/><Relationship Id="rId4" Type="http://schemas.microsoft.com/office/2007/relationships/stylesWithEffects" Target="stylesWithEffects.xml"/><Relationship Id="rId9" Type="http://schemas.openxmlformats.org/officeDocument/2006/relationships/hyperlink" Target="http://www.cdc.gov/nceh/hsb/disaster/casper.htm" TargetMode="External"/><Relationship Id="rId14" Type="http://schemas.openxmlformats.org/officeDocument/2006/relationships/image" Target="media/image3.png"/><Relationship Id="rId22" Type="http://schemas.openxmlformats.org/officeDocument/2006/relationships/hyperlink" Target="http://emilms.fema.gov/IS2900/NDRF01summary.htm" TargetMode="External"/><Relationship Id="rId27" Type="http://schemas.openxmlformats.org/officeDocument/2006/relationships/hyperlink" Target="http://www.parkdatabase.org/files/documents/2001_Rapid-Needs-Assessment_FEMA.pdf" TargetMode="External"/><Relationship Id="rId30" Type="http://schemas.openxmlformats.org/officeDocument/2006/relationships/hyperlink" Target="http://journals.cambridge.org/download.php?file=%2FPDM%2FPDM27_06%2FS1049023X12001380a.pdf&amp;code=38a785005a70a3df74f024857fd4885c" TargetMode="External"/><Relationship Id="rId35" Type="http://schemas.openxmlformats.org/officeDocument/2006/relationships/hyperlink" Target="http://journals.cambridge.org/download.php?file=%2FDMP%2FDMP5_02%2FS1935789300003396a.pdf&amp;code=9a33c0f3dea5d47128e851f47f408cb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7F91A-9F0F-4BC7-97B3-641CD9FD8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20</Pages>
  <Words>7907</Words>
  <Characters>45070</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52872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5</cp:revision>
  <cp:lastPrinted>2014-09-16T17:35:00Z</cp:lastPrinted>
  <dcterms:created xsi:type="dcterms:W3CDTF">2014-12-09T15:39:00Z</dcterms:created>
  <dcterms:modified xsi:type="dcterms:W3CDTF">2014-12-10T19:32:00Z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