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ACAED" w14:textId="77777777" w:rsidR="00A67C05" w:rsidRPr="00A67C05" w:rsidRDefault="00A67C05" w:rsidP="00A67C05">
      <w:pPr>
        <w:keepNext/>
        <w:keepLines/>
        <w:jc w:val="center"/>
        <w:outlineLvl w:val="6"/>
        <w:rPr>
          <w:rFonts w:asciiTheme="majorHAnsi" w:eastAsiaTheme="majorEastAsia" w:hAnsiTheme="majorHAnsi" w:cstheme="majorBidi"/>
          <w:i/>
          <w:iCs/>
          <w:color w:val="404040" w:themeColor="text1" w:themeTint="BF"/>
          <w:sz w:val="28"/>
          <w:szCs w:val="28"/>
        </w:rPr>
      </w:pPr>
      <w:bookmarkStart w:id="0" w:name="_GoBack"/>
      <w:bookmarkEnd w:id="0"/>
      <w:r w:rsidRPr="00A67C05">
        <w:rPr>
          <w:rFonts w:eastAsiaTheme="majorEastAsia"/>
          <w:b/>
          <w:i/>
          <w:iCs/>
          <w:color w:val="404040" w:themeColor="text1" w:themeTint="BF"/>
          <w:sz w:val="28"/>
          <w:szCs w:val="28"/>
        </w:rPr>
        <w:t xml:space="preserve">SUPPORTING STATEMENT:  </w:t>
      </w:r>
      <w:r w:rsidR="00595271">
        <w:rPr>
          <w:rFonts w:asciiTheme="majorHAnsi" w:eastAsiaTheme="majorEastAsia" w:hAnsiTheme="majorHAnsi" w:cstheme="majorBidi"/>
          <w:i/>
          <w:iCs/>
          <w:color w:val="404040" w:themeColor="text1" w:themeTint="BF"/>
          <w:sz w:val="28"/>
          <w:szCs w:val="28"/>
        </w:rPr>
        <w:t>PART B</w:t>
      </w:r>
    </w:p>
    <w:p w14:paraId="0FE7B2D4" w14:textId="77777777" w:rsidR="00A67C05" w:rsidRPr="00A67C05" w:rsidRDefault="00A67C05" w:rsidP="00A67C05">
      <w:pPr>
        <w:keepNext/>
        <w:keepLines/>
        <w:jc w:val="center"/>
        <w:outlineLvl w:val="6"/>
        <w:rPr>
          <w:rFonts w:asciiTheme="majorHAnsi" w:eastAsiaTheme="majorEastAsia" w:hAnsiTheme="majorHAnsi" w:cstheme="majorBidi"/>
          <w:i/>
          <w:iCs/>
          <w:color w:val="404040" w:themeColor="text1" w:themeTint="BF"/>
          <w:sz w:val="28"/>
          <w:szCs w:val="28"/>
        </w:rPr>
      </w:pPr>
    </w:p>
    <w:p w14:paraId="46C4227E" w14:textId="77777777" w:rsidR="00A67C05" w:rsidRPr="00A67C05" w:rsidRDefault="00A67C05" w:rsidP="00A67C05">
      <w:pPr>
        <w:jc w:val="center"/>
      </w:pPr>
    </w:p>
    <w:p w14:paraId="6D6C0D71" w14:textId="77777777" w:rsidR="00A67C05" w:rsidRPr="00A67C05" w:rsidRDefault="00A67C05" w:rsidP="00A67C05">
      <w:pPr>
        <w:autoSpaceDE w:val="0"/>
        <w:autoSpaceDN w:val="0"/>
        <w:adjustRightInd w:val="0"/>
        <w:ind w:left="720"/>
        <w:jc w:val="center"/>
        <w:rPr>
          <w:b/>
        </w:rPr>
      </w:pPr>
      <w:r w:rsidRPr="00A67C05">
        <w:rPr>
          <w:b/>
        </w:rPr>
        <w:t>Test Predictability of Falls Screening Tools</w:t>
      </w:r>
    </w:p>
    <w:p w14:paraId="654CA7CD" w14:textId="3C6C8546" w:rsidR="00A67C05" w:rsidRPr="00A67C05" w:rsidRDefault="00A67C05" w:rsidP="00A67C05">
      <w:pPr>
        <w:jc w:val="center"/>
        <w:rPr>
          <w:b/>
        </w:rPr>
      </w:pPr>
      <w:r w:rsidRPr="00A67C05">
        <w:rPr>
          <w:b/>
        </w:rPr>
        <w:t>OMB# 0920-XXXX</w:t>
      </w:r>
    </w:p>
    <w:p w14:paraId="48CE5823" w14:textId="77777777" w:rsidR="00A67C05" w:rsidRPr="00A67C05" w:rsidRDefault="00A67C05" w:rsidP="00A67C05">
      <w:pPr>
        <w:jc w:val="center"/>
        <w:rPr>
          <w:b/>
        </w:rPr>
      </w:pPr>
    </w:p>
    <w:p w14:paraId="2F180970" w14:textId="77777777" w:rsidR="00A67C05" w:rsidRPr="00A67C05" w:rsidRDefault="00A67C05" w:rsidP="00A67C05">
      <w:pPr>
        <w:jc w:val="center"/>
      </w:pPr>
    </w:p>
    <w:p w14:paraId="482ED58B" w14:textId="7498F31A" w:rsidR="00CF48C2" w:rsidRDefault="00CF48C2" w:rsidP="00CF48C2">
      <w:pPr>
        <w:jc w:val="center"/>
        <w:rPr>
          <w:b/>
        </w:rPr>
      </w:pPr>
      <w:r w:rsidRPr="00F9677C">
        <w:rPr>
          <w:b/>
        </w:rPr>
        <w:t>Date:</w:t>
      </w:r>
      <w:r w:rsidR="00C90DD4">
        <w:rPr>
          <w:b/>
        </w:rPr>
        <w:t xml:space="preserve"> </w:t>
      </w:r>
      <w:r w:rsidR="00BA3000">
        <w:rPr>
          <w:b/>
        </w:rPr>
        <w:t>March 6, 2018</w:t>
      </w:r>
    </w:p>
    <w:p w14:paraId="47C316C1" w14:textId="77777777" w:rsidR="00A67C05" w:rsidRPr="00A67C05" w:rsidRDefault="00A67C05" w:rsidP="00A67C05">
      <w:pPr>
        <w:jc w:val="center"/>
      </w:pPr>
      <w:r w:rsidRPr="00A67C05">
        <w:t xml:space="preserve"> </w:t>
      </w:r>
    </w:p>
    <w:p w14:paraId="224CBB1D" w14:textId="77777777" w:rsidR="00A67C05" w:rsidRPr="00A67C05" w:rsidRDefault="00A67C05" w:rsidP="00A67C05">
      <w:pPr>
        <w:jc w:val="center"/>
      </w:pPr>
    </w:p>
    <w:p w14:paraId="74B30892" w14:textId="77777777" w:rsidR="00A67C05" w:rsidRPr="00A67C05" w:rsidRDefault="00A67C05" w:rsidP="00A67C05">
      <w:pPr>
        <w:jc w:val="center"/>
      </w:pPr>
    </w:p>
    <w:p w14:paraId="135CBC5B" w14:textId="77777777" w:rsidR="00A67C05" w:rsidRPr="00A67C05" w:rsidRDefault="00A67C05" w:rsidP="00A67C05">
      <w:pPr>
        <w:jc w:val="center"/>
      </w:pPr>
    </w:p>
    <w:p w14:paraId="67B2B783" w14:textId="77777777" w:rsidR="00A67C05" w:rsidRPr="00A67C05" w:rsidRDefault="00A67C05" w:rsidP="00A67C05">
      <w:pPr>
        <w:jc w:val="center"/>
      </w:pPr>
    </w:p>
    <w:p w14:paraId="4E370F3B" w14:textId="77777777" w:rsidR="00A67C05" w:rsidRPr="00A67C05" w:rsidRDefault="00A67C05" w:rsidP="00A67C05">
      <w:pPr>
        <w:jc w:val="center"/>
      </w:pPr>
    </w:p>
    <w:p w14:paraId="315020D4" w14:textId="77777777" w:rsidR="00A67C05" w:rsidRPr="00A67C05" w:rsidRDefault="00A67C05" w:rsidP="00A67C05">
      <w:pPr>
        <w:spacing w:after="0" w:line="240" w:lineRule="auto"/>
        <w:jc w:val="center"/>
      </w:pPr>
    </w:p>
    <w:p w14:paraId="6A08290C" w14:textId="77777777" w:rsidR="00A67C05" w:rsidRPr="00A67C05" w:rsidRDefault="00A67C05" w:rsidP="00A67C05">
      <w:pPr>
        <w:spacing w:after="0" w:line="240" w:lineRule="auto"/>
        <w:jc w:val="center"/>
        <w:rPr>
          <w:b/>
        </w:rPr>
      </w:pPr>
      <w:r w:rsidRPr="00A67C05">
        <w:rPr>
          <w:b/>
        </w:rPr>
        <w:t>Point of Contact for OMB:</w:t>
      </w:r>
    </w:p>
    <w:p w14:paraId="561BAEDD" w14:textId="77777777" w:rsidR="00A67C05" w:rsidRPr="00A67C05" w:rsidRDefault="00461BAF" w:rsidP="00A67C05">
      <w:pPr>
        <w:spacing w:after="0" w:line="240" w:lineRule="auto"/>
        <w:jc w:val="center"/>
        <w:rPr>
          <w:b/>
        </w:rPr>
      </w:pPr>
      <w:r>
        <w:rPr>
          <w:b/>
        </w:rPr>
        <w:t>Elizabeth Burns</w:t>
      </w:r>
    </w:p>
    <w:p w14:paraId="7F1037A3" w14:textId="77777777" w:rsidR="00A67C05" w:rsidRPr="00A67C05" w:rsidRDefault="00A67C05" w:rsidP="00A67C05">
      <w:pPr>
        <w:spacing w:after="0" w:line="240" w:lineRule="auto"/>
        <w:jc w:val="center"/>
        <w:rPr>
          <w:rFonts w:ascii="Times New Roman" w:eastAsia="Times New Roman" w:hAnsi="Times New Roman" w:cs="Times New Roman"/>
          <w:noProof/>
          <w:sz w:val="24"/>
          <w:szCs w:val="24"/>
        </w:rPr>
      </w:pPr>
      <w:bookmarkStart w:id="1" w:name="_MailAutoSig"/>
      <w:r w:rsidRPr="00A67C05">
        <w:rPr>
          <w:rFonts w:ascii="Times New Roman" w:eastAsia="Times New Roman" w:hAnsi="Times New Roman" w:cs="Times New Roman"/>
          <w:noProof/>
          <w:sz w:val="24"/>
          <w:szCs w:val="24"/>
        </w:rPr>
        <w:t>Centers for Disease Control and Prevention</w:t>
      </w:r>
    </w:p>
    <w:p w14:paraId="2C3362E0" w14:textId="77777777" w:rsidR="00A67C05" w:rsidRPr="00A67C05" w:rsidRDefault="00A67C05" w:rsidP="00A67C05">
      <w:pPr>
        <w:spacing w:after="0" w:line="240" w:lineRule="auto"/>
        <w:jc w:val="center"/>
        <w:rPr>
          <w:rFonts w:ascii="Times New Roman" w:eastAsia="Times New Roman" w:hAnsi="Times New Roman" w:cs="Times New Roman"/>
          <w:noProof/>
          <w:sz w:val="24"/>
          <w:szCs w:val="24"/>
        </w:rPr>
      </w:pPr>
      <w:r w:rsidRPr="00A67C05">
        <w:rPr>
          <w:rFonts w:ascii="Times New Roman" w:eastAsia="Times New Roman" w:hAnsi="Times New Roman" w:cs="Times New Roman"/>
          <w:noProof/>
          <w:sz w:val="24"/>
          <w:szCs w:val="24"/>
        </w:rPr>
        <w:t>National Center for Injury Prevention and Control</w:t>
      </w:r>
    </w:p>
    <w:p w14:paraId="4A64EC30" w14:textId="77777777" w:rsidR="00A67C05" w:rsidRPr="00A67C05" w:rsidRDefault="00A67C05" w:rsidP="00A67C05">
      <w:pPr>
        <w:spacing w:after="0" w:line="240" w:lineRule="auto"/>
        <w:jc w:val="center"/>
        <w:rPr>
          <w:rFonts w:ascii="Times New Roman" w:eastAsia="Times New Roman" w:hAnsi="Times New Roman" w:cs="Times New Roman"/>
          <w:noProof/>
          <w:sz w:val="24"/>
          <w:szCs w:val="24"/>
        </w:rPr>
      </w:pPr>
      <w:r w:rsidRPr="00A67C05">
        <w:rPr>
          <w:rFonts w:ascii="Times New Roman" w:eastAsia="Times New Roman" w:hAnsi="Times New Roman" w:cs="Times New Roman"/>
          <w:noProof/>
          <w:sz w:val="24"/>
          <w:szCs w:val="24"/>
        </w:rPr>
        <w:t>4770 Buford Highway NE  MS F-64</w:t>
      </w:r>
    </w:p>
    <w:p w14:paraId="1CC5CBDA" w14:textId="77777777" w:rsidR="00A67C05" w:rsidRPr="00A67C05" w:rsidRDefault="00A67C05" w:rsidP="00A67C05">
      <w:pPr>
        <w:spacing w:after="0" w:line="240" w:lineRule="auto"/>
        <w:jc w:val="center"/>
        <w:rPr>
          <w:rFonts w:ascii="Times New Roman" w:eastAsia="Times New Roman" w:hAnsi="Times New Roman" w:cs="Times New Roman"/>
          <w:noProof/>
          <w:sz w:val="24"/>
          <w:szCs w:val="24"/>
        </w:rPr>
      </w:pPr>
      <w:r w:rsidRPr="00A67C05">
        <w:rPr>
          <w:rFonts w:ascii="Times New Roman" w:eastAsia="Times New Roman" w:hAnsi="Times New Roman" w:cs="Times New Roman"/>
          <w:noProof/>
          <w:sz w:val="24"/>
          <w:szCs w:val="24"/>
        </w:rPr>
        <w:t>Atlanta, GA 30341-3724</w:t>
      </w:r>
    </w:p>
    <w:p w14:paraId="6B2A1893" w14:textId="77777777" w:rsidR="00A67C05" w:rsidRPr="00A67C05" w:rsidRDefault="00A67C05" w:rsidP="00A67C05">
      <w:pPr>
        <w:spacing w:after="0" w:line="240" w:lineRule="auto"/>
        <w:jc w:val="center"/>
        <w:rPr>
          <w:rFonts w:ascii="Times New Roman" w:eastAsia="Times New Roman" w:hAnsi="Times New Roman" w:cs="Times New Roman"/>
          <w:noProof/>
          <w:sz w:val="24"/>
          <w:szCs w:val="24"/>
        </w:rPr>
      </w:pPr>
      <w:r w:rsidRPr="00A67C05">
        <w:rPr>
          <w:rFonts w:ascii="Times New Roman" w:eastAsia="Times New Roman" w:hAnsi="Times New Roman" w:cs="Times New Roman"/>
          <w:noProof/>
          <w:sz w:val="24"/>
          <w:szCs w:val="24"/>
        </w:rPr>
        <w:t>Phone: 770.488.</w:t>
      </w:r>
      <w:r w:rsidR="00461BAF">
        <w:rPr>
          <w:rFonts w:ascii="Times New Roman" w:eastAsia="Times New Roman" w:hAnsi="Times New Roman" w:cs="Times New Roman"/>
          <w:noProof/>
          <w:sz w:val="24"/>
          <w:szCs w:val="24"/>
        </w:rPr>
        <w:t>3661</w:t>
      </w:r>
    </w:p>
    <w:p w14:paraId="48FDA9F3" w14:textId="77777777" w:rsidR="00A67C05" w:rsidRPr="00A67C05" w:rsidRDefault="00A67C05" w:rsidP="00A67C05">
      <w:pPr>
        <w:spacing w:after="0" w:line="240" w:lineRule="auto"/>
        <w:jc w:val="center"/>
        <w:rPr>
          <w:rFonts w:ascii="Times New Roman" w:eastAsia="Times New Roman" w:hAnsi="Times New Roman" w:cs="Times New Roman"/>
          <w:noProof/>
          <w:sz w:val="24"/>
          <w:szCs w:val="24"/>
        </w:rPr>
      </w:pPr>
      <w:r w:rsidRPr="00A67C05">
        <w:rPr>
          <w:rFonts w:ascii="Times New Roman" w:eastAsia="Times New Roman" w:hAnsi="Times New Roman" w:cs="Times New Roman"/>
          <w:noProof/>
          <w:sz w:val="24"/>
          <w:szCs w:val="24"/>
        </w:rPr>
        <w:t xml:space="preserve">Email: </w:t>
      </w:r>
      <w:hyperlink r:id="rId10" w:history="1">
        <w:r w:rsidR="00461BAF" w:rsidRPr="00EC2142">
          <w:rPr>
            <w:rStyle w:val="Hyperlink"/>
            <w:rFonts w:ascii="Times New Roman" w:eastAsia="Times New Roman" w:hAnsi="Times New Roman" w:cs="Times New Roman"/>
            <w:noProof/>
            <w:sz w:val="24"/>
            <w:szCs w:val="24"/>
          </w:rPr>
          <w:t>ync7@cdc.gov</w:t>
        </w:r>
      </w:hyperlink>
    </w:p>
    <w:bookmarkEnd w:id="1"/>
    <w:p w14:paraId="466DB481" w14:textId="77777777" w:rsidR="00A67C05" w:rsidRPr="00100E5B" w:rsidRDefault="00A67C05" w:rsidP="00A67C05">
      <w:pPr>
        <w:spacing w:after="0" w:line="240" w:lineRule="auto"/>
        <w:jc w:val="center"/>
      </w:pPr>
    </w:p>
    <w:p w14:paraId="79B2A1E9" w14:textId="77777777" w:rsidR="00A67C05" w:rsidRPr="00A67C05" w:rsidRDefault="00A67C05" w:rsidP="00A67C05">
      <w:pPr>
        <w:spacing w:after="0" w:line="240" w:lineRule="auto"/>
        <w:jc w:val="center"/>
        <w:rPr>
          <w:rFonts w:ascii="Calibri" w:eastAsia="Times New Roman" w:hAnsi="Calibri" w:cs="Times New Roman"/>
          <w:color w:val="000000"/>
        </w:rPr>
      </w:pPr>
      <w:r w:rsidRPr="00100E5B">
        <w:rPr>
          <w:rFonts w:ascii="Times New Roman" w:eastAsia="Times New Roman" w:hAnsi="Times New Roman" w:cs="Times New Roman"/>
          <w:sz w:val="24"/>
          <w:szCs w:val="24"/>
        </w:rPr>
        <w:t xml:space="preserve"> </w:t>
      </w:r>
    </w:p>
    <w:p w14:paraId="54FA5ACF" w14:textId="77777777" w:rsidR="00A67C05" w:rsidRPr="00100E5B" w:rsidRDefault="00A67C05" w:rsidP="00A67C05">
      <w:pPr>
        <w:spacing w:after="0" w:line="240" w:lineRule="auto"/>
        <w:jc w:val="center"/>
      </w:pPr>
    </w:p>
    <w:p w14:paraId="237A9815" w14:textId="77777777" w:rsidR="00A67C05" w:rsidRPr="00A67C05" w:rsidRDefault="00A67C05" w:rsidP="00A67C05">
      <w:pPr>
        <w:keepNext/>
        <w:keepLines/>
        <w:spacing w:before="40" w:after="0"/>
        <w:outlineLvl w:val="1"/>
        <w:rPr>
          <w:rFonts w:asciiTheme="majorHAnsi" w:eastAsiaTheme="majorEastAsia" w:hAnsiTheme="majorHAnsi" w:cstheme="majorBidi"/>
          <w:color w:val="2E74B5" w:themeColor="accent1" w:themeShade="BF"/>
          <w:sz w:val="26"/>
          <w:szCs w:val="26"/>
        </w:rPr>
      </w:pPr>
      <w:r w:rsidRPr="00A67C05">
        <w:rPr>
          <w:rFonts w:asciiTheme="majorHAnsi" w:eastAsiaTheme="majorEastAsia" w:hAnsiTheme="majorHAnsi" w:cstheme="majorBidi"/>
          <w:color w:val="2E74B5" w:themeColor="accent1" w:themeShade="BF"/>
          <w:sz w:val="26"/>
          <w:szCs w:val="26"/>
        </w:rPr>
        <w:br w:type="page"/>
      </w:r>
    </w:p>
    <w:sdt>
      <w:sdtPr>
        <w:rPr>
          <w:b/>
        </w:rPr>
        <w:id w:val="-985470652"/>
        <w:docPartObj>
          <w:docPartGallery w:val="Table of Contents"/>
          <w:docPartUnique/>
        </w:docPartObj>
      </w:sdtPr>
      <w:sdtEndPr>
        <w:rPr>
          <w:bCs/>
          <w:noProof/>
        </w:rPr>
      </w:sdtEndPr>
      <w:sdtContent>
        <w:p w14:paraId="31293226" w14:textId="77777777" w:rsidR="00B211D1" w:rsidRDefault="006534F2" w:rsidP="002515BA">
          <w:pPr>
            <w:rPr>
              <w:noProof/>
            </w:rPr>
          </w:pPr>
          <w:r w:rsidRPr="002515BA">
            <w:rPr>
              <w:rStyle w:val="Heading1Char"/>
            </w:rPr>
            <w:t>Table of Contents</w:t>
          </w:r>
          <w:r>
            <w:fldChar w:fldCharType="begin"/>
          </w:r>
          <w:r>
            <w:instrText xml:space="preserve"> TOC \o "1-3" \h \z \u </w:instrText>
          </w:r>
          <w:r>
            <w:fldChar w:fldCharType="separate"/>
          </w:r>
        </w:p>
        <w:p w14:paraId="1475B173" w14:textId="3105D5D3" w:rsidR="00B211D1" w:rsidRDefault="00B54D87">
          <w:pPr>
            <w:pStyle w:val="TOC1"/>
            <w:rPr>
              <w:rFonts w:eastAsiaTheme="minorEastAsia"/>
              <w:noProof/>
            </w:rPr>
          </w:pPr>
          <w:hyperlink w:anchor="_Toc480370973" w:history="1">
            <w:r w:rsidR="00B211D1" w:rsidRPr="000A43A8">
              <w:rPr>
                <w:rStyle w:val="Hyperlink"/>
                <w:b/>
                <w:noProof/>
              </w:rPr>
              <w:t>Collection of Information Employing Statistical Methods</w:t>
            </w:r>
            <w:r w:rsidR="00B211D1">
              <w:rPr>
                <w:noProof/>
                <w:webHidden/>
              </w:rPr>
              <w:tab/>
            </w:r>
            <w:r w:rsidR="00B211D1">
              <w:rPr>
                <w:noProof/>
                <w:webHidden/>
              </w:rPr>
              <w:fldChar w:fldCharType="begin"/>
            </w:r>
            <w:r w:rsidR="00B211D1">
              <w:rPr>
                <w:noProof/>
                <w:webHidden/>
              </w:rPr>
              <w:instrText xml:space="preserve"> PAGEREF _Toc480370973 \h </w:instrText>
            </w:r>
            <w:r w:rsidR="00B211D1">
              <w:rPr>
                <w:noProof/>
                <w:webHidden/>
              </w:rPr>
            </w:r>
            <w:r w:rsidR="00B211D1">
              <w:rPr>
                <w:noProof/>
                <w:webHidden/>
              </w:rPr>
              <w:fldChar w:fldCharType="separate"/>
            </w:r>
            <w:r w:rsidR="00BA3000">
              <w:rPr>
                <w:noProof/>
                <w:webHidden/>
              </w:rPr>
              <w:t>3</w:t>
            </w:r>
            <w:r w:rsidR="00B211D1">
              <w:rPr>
                <w:noProof/>
                <w:webHidden/>
              </w:rPr>
              <w:fldChar w:fldCharType="end"/>
            </w:r>
          </w:hyperlink>
        </w:p>
        <w:p w14:paraId="022553DC" w14:textId="1EF4E872" w:rsidR="00B211D1" w:rsidRDefault="00B54D87">
          <w:pPr>
            <w:pStyle w:val="TOC2"/>
            <w:tabs>
              <w:tab w:val="right" w:leader="dot" w:pos="9350"/>
            </w:tabs>
            <w:rPr>
              <w:rFonts w:eastAsiaTheme="minorEastAsia"/>
              <w:noProof/>
            </w:rPr>
          </w:pPr>
          <w:hyperlink w:anchor="_Toc480370974" w:history="1">
            <w:r w:rsidR="00B211D1" w:rsidRPr="000A43A8">
              <w:rPr>
                <w:rStyle w:val="Hyperlink"/>
                <w:b/>
                <w:noProof/>
              </w:rPr>
              <w:t>B1. Respondent Universe and Sampling Methods</w:t>
            </w:r>
            <w:r w:rsidR="00B211D1">
              <w:rPr>
                <w:noProof/>
                <w:webHidden/>
              </w:rPr>
              <w:tab/>
            </w:r>
            <w:r w:rsidR="00B211D1">
              <w:rPr>
                <w:noProof/>
                <w:webHidden/>
              </w:rPr>
              <w:fldChar w:fldCharType="begin"/>
            </w:r>
            <w:r w:rsidR="00B211D1">
              <w:rPr>
                <w:noProof/>
                <w:webHidden/>
              </w:rPr>
              <w:instrText xml:space="preserve"> PAGEREF _Toc480370974 \h </w:instrText>
            </w:r>
            <w:r w:rsidR="00B211D1">
              <w:rPr>
                <w:noProof/>
                <w:webHidden/>
              </w:rPr>
            </w:r>
            <w:r w:rsidR="00B211D1">
              <w:rPr>
                <w:noProof/>
                <w:webHidden/>
              </w:rPr>
              <w:fldChar w:fldCharType="separate"/>
            </w:r>
            <w:r w:rsidR="00BA3000">
              <w:rPr>
                <w:noProof/>
                <w:webHidden/>
              </w:rPr>
              <w:t>3</w:t>
            </w:r>
            <w:r w:rsidR="00B211D1">
              <w:rPr>
                <w:noProof/>
                <w:webHidden/>
              </w:rPr>
              <w:fldChar w:fldCharType="end"/>
            </w:r>
          </w:hyperlink>
        </w:p>
        <w:p w14:paraId="6D0ED28C" w14:textId="1670D5EF" w:rsidR="00B211D1" w:rsidRDefault="00B54D87">
          <w:pPr>
            <w:pStyle w:val="TOC2"/>
            <w:tabs>
              <w:tab w:val="right" w:leader="dot" w:pos="9350"/>
            </w:tabs>
            <w:rPr>
              <w:rFonts w:eastAsiaTheme="minorEastAsia"/>
              <w:noProof/>
            </w:rPr>
          </w:pPr>
          <w:hyperlink w:anchor="_Toc480370975" w:history="1">
            <w:r w:rsidR="00B211D1" w:rsidRPr="000A43A8">
              <w:rPr>
                <w:rStyle w:val="Hyperlink"/>
                <w:b/>
                <w:noProof/>
              </w:rPr>
              <w:t>B2. Procedures for the Collection of Information</w:t>
            </w:r>
            <w:r w:rsidR="00B211D1">
              <w:rPr>
                <w:noProof/>
                <w:webHidden/>
              </w:rPr>
              <w:tab/>
            </w:r>
            <w:r w:rsidR="00B211D1">
              <w:rPr>
                <w:noProof/>
                <w:webHidden/>
              </w:rPr>
              <w:fldChar w:fldCharType="begin"/>
            </w:r>
            <w:r w:rsidR="00B211D1">
              <w:rPr>
                <w:noProof/>
                <w:webHidden/>
              </w:rPr>
              <w:instrText xml:space="preserve"> PAGEREF _Toc480370975 \h </w:instrText>
            </w:r>
            <w:r w:rsidR="00B211D1">
              <w:rPr>
                <w:noProof/>
                <w:webHidden/>
              </w:rPr>
            </w:r>
            <w:r w:rsidR="00B211D1">
              <w:rPr>
                <w:noProof/>
                <w:webHidden/>
              </w:rPr>
              <w:fldChar w:fldCharType="separate"/>
            </w:r>
            <w:r w:rsidR="00BA3000">
              <w:rPr>
                <w:noProof/>
                <w:webHidden/>
              </w:rPr>
              <w:t>6</w:t>
            </w:r>
            <w:r w:rsidR="00B211D1">
              <w:rPr>
                <w:noProof/>
                <w:webHidden/>
              </w:rPr>
              <w:fldChar w:fldCharType="end"/>
            </w:r>
          </w:hyperlink>
        </w:p>
        <w:p w14:paraId="6CB02478" w14:textId="09E73185" w:rsidR="00B211D1" w:rsidRDefault="00B54D87">
          <w:pPr>
            <w:pStyle w:val="TOC2"/>
            <w:tabs>
              <w:tab w:val="right" w:leader="dot" w:pos="9350"/>
            </w:tabs>
            <w:rPr>
              <w:rFonts w:eastAsiaTheme="minorEastAsia"/>
              <w:noProof/>
            </w:rPr>
          </w:pPr>
          <w:hyperlink w:anchor="_Toc480370976" w:history="1">
            <w:r w:rsidR="00B211D1" w:rsidRPr="000A43A8">
              <w:rPr>
                <w:rStyle w:val="Hyperlink"/>
                <w:b/>
                <w:noProof/>
              </w:rPr>
              <w:t>B3. Methods to Maximize Response Rates and Deal with Nonresponse</w:t>
            </w:r>
            <w:r w:rsidR="00B211D1">
              <w:rPr>
                <w:noProof/>
                <w:webHidden/>
              </w:rPr>
              <w:tab/>
            </w:r>
            <w:r w:rsidR="00B211D1">
              <w:rPr>
                <w:noProof/>
                <w:webHidden/>
              </w:rPr>
              <w:fldChar w:fldCharType="begin"/>
            </w:r>
            <w:r w:rsidR="00B211D1">
              <w:rPr>
                <w:noProof/>
                <w:webHidden/>
              </w:rPr>
              <w:instrText xml:space="preserve"> PAGEREF _Toc480370976 \h </w:instrText>
            </w:r>
            <w:r w:rsidR="00B211D1">
              <w:rPr>
                <w:noProof/>
                <w:webHidden/>
              </w:rPr>
            </w:r>
            <w:r w:rsidR="00B211D1">
              <w:rPr>
                <w:noProof/>
                <w:webHidden/>
              </w:rPr>
              <w:fldChar w:fldCharType="separate"/>
            </w:r>
            <w:r w:rsidR="00BA3000">
              <w:rPr>
                <w:noProof/>
                <w:webHidden/>
              </w:rPr>
              <w:t>8</w:t>
            </w:r>
            <w:r w:rsidR="00B211D1">
              <w:rPr>
                <w:noProof/>
                <w:webHidden/>
              </w:rPr>
              <w:fldChar w:fldCharType="end"/>
            </w:r>
          </w:hyperlink>
        </w:p>
        <w:p w14:paraId="3C73F7D2" w14:textId="50AE70B8" w:rsidR="00B211D1" w:rsidRDefault="00B54D87">
          <w:pPr>
            <w:pStyle w:val="TOC2"/>
            <w:tabs>
              <w:tab w:val="right" w:leader="dot" w:pos="9350"/>
            </w:tabs>
            <w:rPr>
              <w:rFonts w:eastAsiaTheme="minorEastAsia"/>
              <w:noProof/>
            </w:rPr>
          </w:pPr>
          <w:hyperlink w:anchor="_Toc480370977" w:history="1">
            <w:r w:rsidR="00B211D1" w:rsidRPr="000A43A8">
              <w:rPr>
                <w:rStyle w:val="Hyperlink"/>
                <w:b/>
                <w:noProof/>
              </w:rPr>
              <w:t>B4. Test of Procedures or Methods to be Undertaken</w:t>
            </w:r>
            <w:r w:rsidR="00B211D1">
              <w:rPr>
                <w:noProof/>
                <w:webHidden/>
              </w:rPr>
              <w:tab/>
            </w:r>
            <w:r w:rsidR="00B211D1">
              <w:rPr>
                <w:noProof/>
                <w:webHidden/>
              </w:rPr>
              <w:fldChar w:fldCharType="begin"/>
            </w:r>
            <w:r w:rsidR="00B211D1">
              <w:rPr>
                <w:noProof/>
                <w:webHidden/>
              </w:rPr>
              <w:instrText xml:space="preserve"> PAGEREF _Toc480370977 \h </w:instrText>
            </w:r>
            <w:r w:rsidR="00B211D1">
              <w:rPr>
                <w:noProof/>
                <w:webHidden/>
              </w:rPr>
            </w:r>
            <w:r w:rsidR="00B211D1">
              <w:rPr>
                <w:noProof/>
                <w:webHidden/>
              </w:rPr>
              <w:fldChar w:fldCharType="separate"/>
            </w:r>
            <w:r w:rsidR="00BA3000">
              <w:rPr>
                <w:noProof/>
                <w:webHidden/>
              </w:rPr>
              <w:t>9</w:t>
            </w:r>
            <w:r w:rsidR="00B211D1">
              <w:rPr>
                <w:noProof/>
                <w:webHidden/>
              </w:rPr>
              <w:fldChar w:fldCharType="end"/>
            </w:r>
          </w:hyperlink>
        </w:p>
        <w:p w14:paraId="47F7003E" w14:textId="2CBA21C2" w:rsidR="00B211D1" w:rsidRDefault="00B54D87">
          <w:pPr>
            <w:pStyle w:val="TOC2"/>
            <w:tabs>
              <w:tab w:val="right" w:leader="dot" w:pos="9350"/>
            </w:tabs>
            <w:rPr>
              <w:rFonts w:eastAsiaTheme="minorEastAsia"/>
              <w:noProof/>
            </w:rPr>
          </w:pPr>
          <w:hyperlink w:anchor="_Toc480370978" w:history="1">
            <w:r w:rsidR="00B211D1" w:rsidRPr="000A43A8">
              <w:rPr>
                <w:rStyle w:val="Hyperlink"/>
                <w:b/>
                <w:noProof/>
              </w:rPr>
              <w:t>B5. Individuals Consulted on Statistical Aspects and Individuals Collecting and/or Analyzing Data</w:t>
            </w:r>
            <w:r w:rsidR="00B211D1">
              <w:rPr>
                <w:noProof/>
                <w:webHidden/>
              </w:rPr>
              <w:tab/>
            </w:r>
            <w:r w:rsidR="00B211D1">
              <w:rPr>
                <w:noProof/>
                <w:webHidden/>
              </w:rPr>
              <w:fldChar w:fldCharType="begin"/>
            </w:r>
            <w:r w:rsidR="00B211D1">
              <w:rPr>
                <w:noProof/>
                <w:webHidden/>
              </w:rPr>
              <w:instrText xml:space="preserve"> PAGEREF _Toc480370978 \h </w:instrText>
            </w:r>
            <w:r w:rsidR="00B211D1">
              <w:rPr>
                <w:noProof/>
                <w:webHidden/>
              </w:rPr>
            </w:r>
            <w:r w:rsidR="00B211D1">
              <w:rPr>
                <w:noProof/>
                <w:webHidden/>
              </w:rPr>
              <w:fldChar w:fldCharType="separate"/>
            </w:r>
            <w:r w:rsidR="00BA3000">
              <w:rPr>
                <w:noProof/>
                <w:webHidden/>
              </w:rPr>
              <w:t>11</w:t>
            </w:r>
            <w:r w:rsidR="00B211D1">
              <w:rPr>
                <w:noProof/>
                <w:webHidden/>
              </w:rPr>
              <w:fldChar w:fldCharType="end"/>
            </w:r>
          </w:hyperlink>
        </w:p>
        <w:p w14:paraId="69D112E7" w14:textId="77777777" w:rsidR="000C600B" w:rsidRDefault="006534F2" w:rsidP="00CF48C2">
          <w:r>
            <w:rPr>
              <w:b/>
              <w:bCs/>
              <w:noProof/>
            </w:rPr>
            <w:fldChar w:fldCharType="end"/>
          </w:r>
        </w:p>
      </w:sdtContent>
    </w:sdt>
    <w:p w14:paraId="14CF1398" w14:textId="77777777" w:rsidR="00CF48C2" w:rsidRPr="00C946F9" w:rsidRDefault="00CF48C2" w:rsidP="00CF48C2">
      <w:pPr>
        <w:pStyle w:val="NoSpacing"/>
        <w:rPr>
          <w:b/>
        </w:rPr>
      </w:pPr>
      <w:r w:rsidRPr="00024447">
        <w:rPr>
          <w:b/>
        </w:rPr>
        <w:t>Attachments</w:t>
      </w:r>
      <w:r w:rsidRPr="00C946F9" w:rsidDel="00C71B0C">
        <w:rPr>
          <w:b/>
        </w:rPr>
        <w:t xml:space="preserve"> </w:t>
      </w:r>
    </w:p>
    <w:p w14:paraId="672F625E" w14:textId="77777777" w:rsidR="00CF48C2" w:rsidRDefault="00CF48C2" w:rsidP="00CF48C2">
      <w:pPr>
        <w:pStyle w:val="NoSpacing"/>
      </w:pPr>
      <w:r>
        <w:t xml:space="preserve">A-1. </w:t>
      </w:r>
      <w:r w:rsidRPr="001C5D55">
        <w:t xml:space="preserve">Public Health Service Act (PHSA) </w:t>
      </w:r>
      <w:r w:rsidRPr="001C5D55">
        <w:rPr>
          <w:color w:val="000000" w:themeColor="text1"/>
        </w:rPr>
        <w:t>42 U.S.C</w:t>
      </w:r>
      <w:r w:rsidDel="000A6083">
        <w:t xml:space="preserve"> </w:t>
      </w:r>
    </w:p>
    <w:p w14:paraId="1FDD9A2D" w14:textId="77777777" w:rsidR="00CF48C2" w:rsidRDefault="00CF48C2" w:rsidP="00CF48C2">
      <w:pPr>
        <w:pStyle w:val="NoSpacing"/>
      </w:pPr>
      <w:r>
        <w:t xml:space="preserve">A-2. </w:t>
      </w:r>
      <w:r w:rsidRPr="00AF70BD">
        <w:t>AmeriSpeak Technical Overview</w:t>
      </w:r>
    </w:p>
    <w:p w14:paraId="137064A7" w14:textId="77777777" w:rsidR="00CF48C2" w:rsidRDefault="00461BAF" w:rsidP="00CF48C2">
      <w:pPr>
        <w:pStyle w:val="NoSpacing"/>
      </w:pPr>
      <w:r>
        <w:t>A-3</w:t>
      </w:r>
      <w:r w:rsidR="00CF48C2">
        <w:t>. 60-Day Federal Register Notice</w:t>
      </w:r>
    </w:p>
    <w:p w14:paraId="59D205E6" w14:textId="77777777" w:rsidR="00CF48C2" w:rsidRDefault="00461BAF" w:rsidP="00CF48C2">
      <w:pPr>
        <w:pStyle w:val="NoSpacing"/>
      </w:pPr>
      <w:r>
        <w:t>A-4</w:t>
      </w:r>
      <w:r w:rsidR="00CF48C2">
        <w:t>. Public Comment</w:t>
      </w:r>
    </w:p>
    <w:p w14:paraId="69394156" w14:textId="77777777" w:rsidR="00CF48C2" w:rsidRDefault="00CF48C2" w:rsidP="00CF48C2">
      <w:pPr>
        <w:pStyle w:val="NoSpacing"/>
      </w:pPr>
      <w:r>
        <w:t>A-5. Subject Matter Experts (SMEs)</w:t>
      </w:r>
    </w:p>
    <w:p w14:paraId="548C78F3" w14:textId="77777777" w:rsidR="00CF48C2" w:rsidRDefault="00CF48C2" w:rsidP="00CF48C2">
      <w:pPr>
        <w:pStyle w:val="NoSpacing"/>
      </w:pPr>
      <w:r>
        <w:t>A-6. Privacy Impact Assessment (PIA)</w:t>
      </w:r>
    </w:p>
    <w:p w14:paraId="2C08F405" w14:textId="77777777" w:rsidR="00CF48C2" w:rsidRDefault="00CF48C2" w:rsidP="00CF48C2">
      <w:pPr>
        <w:pStyle w:val="NoSpacing"/>
      </w:pPr>
      <w:r>
        <w:t>A-7. Documentation for AmeriSpeak Panel for IRBs</w:t>
      </w:r>
    </w:p>
    <w:p w14:paraId="6E863350" w14:textId="77777777" w:rsidR="00CF48C2" w:rsidRDefault="00CF48C2" w:rsidP="00CF48C2">
      <w:pPr>
        <w:pStyle w:val="NoSpacing"/>
      </w:pPr>
      <w:r>
        <w:t xml:space="preserve">A-8. </w:t>
      </w:r>
      <w:r w:rsidRPr="00514659">
        <w:t>AmeriSpeak Standard Profile Variables with Values</w:t>
      </w:r>
    </w:p>
    <w:p w14:paraId="2D6B798D" w14:textId="77777777" w:rsidR="00CF48C2" w:rsidRDefault="00CF48C2" w:rsidP="00CF48C2">
      <w:pPr>
        <w:pStyle w:val="NoSpacing"/>
        <w:tabs>
          <w:tab w:val="left" w:pos="3585"/>
        </w:tabs>
      </w:pPr>
      <w:r>
        <w:t>A-9. AmeriSpeak Privacy Statement</w:t>
      </w:r>
      <w:r>
        <w:tab/>
      </w:r>
    </w:p>
    <w:p w14:paraId="0F22E8DF" w14:textId="77777777" w:rsidR="00CF48C2" w:rsidRDefault="00CF48C2" w:rsidP="00CF48C2">
      <w:pPr>
        <w:pStyle w:val="NoSpacing"/>
        <w:tabs>
          <w:tab w:val="left" w:pos="3585"/>
        </w:tabs>
      </w:pPr>
      <w:r>
        <w:t>A-10. IRB Protocol</w:t>
      </w:r>
    </w:p>
    <w:p w14:paraId="494C73E6" w14:textId="77777777" w:rsidR="00CF48C2" w:rsidRDefault="00CF48C2" w:rsidP="00CF48C2">
      <w:pPr>
        <w:pStyle w:val="NoSpacing"/>
        <w:tabs>
          <w:tab w:val="left" w:pos="3585"/>
        </w:tabs>
      </w:pPr>
      <w:r>
        <w:t>A-11. IRB Approval Letter</w:t>
      </w:r>
    </w:p>
    <w:p w14:paraId="150723F0" w14:textId="77777777" w:rsidR="00CF48C2" w:rsidRDefault="00CF48C2" w:rsidP="00CF48C2">
      <w:pPr>
        <w:pStyle w:val="NoSpacing"/>
      </w:pPr>
      <w:r>
        <w:t>B-1. Sample Prenotification Postcard</w:t>
      </w:r>
    </w:p>
    <w:p w14:paraId="4DFA5872" w14:textId="77777777" w:rsidR="00CF48C2" w:rsidRDefault="00CF48C2" w:rsidP="00CF48C2">
      <w:pPr>
        <w:pStyle w:val="NoSpacing"/>
      </w:pPr>
      <w:r>
        <w:t>B-2. Sample Prenotification Email</w:t>
      </w:r>
    </w:p>
    <w:p w14:paraId="181FF857" w14:textId="77777777" w:rsidR="00CF48C2" w:rsidRDefault="00CF48C2" w:rsidP="00CF48C2">
      <w:pPr>
        <w:pStyle w:val="NoSpacing"/>
      </w:pPr>
      <w:r>
        <w:t>B-3. Falls Diary</w:t>
      </w:r>
    </w:p>
    <w:p w14:paraId="1D86DCCD" w14:textId="77777777" w:rsidR="00CF48C2" w:rsidRDefault="00CF48C2" w:rsidP="00CF48C2">
      <w:pPr>
        <w:pStyle w:val="NoSpacing"/>
      </w:pPr>
      <w:r>
        <w:t>B-4. Cover Letter for Monthly Survey &amp; Diary – Mail Version</w:t>
      </w:r>
    </w:p>
    <w:p w14:paraId="59D16AFB" w14:textId="77777777" w:rsidR="00CF48C2" w:rsidRDefault="00CF48C2" w:rsidP="00CF48C2">
      <w:pPr>
        <w:pStyle w:val="NoSpacing"/>
      </w:pPr>
      <w:r>
        <w:t>B-5. Cover Letter for Monthly Survey &amp; Diary – Email Version</w:t>
      </w:r>
    </w:p>
    <w:p w14:paraId="5201F61A" w14:textId="77777777" w:rsidR="00CF48C2" w:rsidRDefault="00CF48C2" w:rsidP="00CF48C2">
      <w:pPr>
        <w:pStyle w:val="NoSpacing"/>
      </w:pPr>
      <w:r>
        <w:t>B-6. Proxy Survey Protocol</w:t>
      </w:r>
    </w:p>
    <w:p w14:paraId="304B11E6" w14:textId="77777777" w:rsidR="00CF48C2" w:rsidRDefault="00CF48C2" w:rsidP="00CF48C2">
      <w:pPr>
        <w:pStyle w:val="NoSpacing"/>
      </w:pPr>
      <w:r>
        <w:t>B-7. Baseline Survey – Web Mode</w:t>
      </w:r>
    </w:p>
    <w:p w14:paraId="4AFA5ED9" w14:textId="77777777" w:rsidR="00CF48C2" w:rsidRDefault="00CF48C2" w:rsidP="00CF48C2">
      <w:pPr>
        <w:pStyle w:val="NoSpacing"/>
      </w:pPr>
      <w:r>
        <w:t>B-8. Baseline Survey – Telephone Mode</w:t>
      </w:r>
    </w:p>
    <w:p w14:paraId="021590D0" w14:textId="77777777" w:rsidR="00CF48C2" w:rsidRDefault="00CF48C2" w:rsidP="00CF48C2">
      <w:pPr>
        <w:pStyle w:val="NoSpacing"/>
      </w:pPr>
      <w:r>
        <w:t>B-9. Monthly Update Survey – Web Mode</w:t>
      </w:r>
    </w:p>
    <w:p w14:paraId="10613735" w14:textId="77777777" w:rsidR="00CF48C2" w:rsidRDefault="00CF48C2" w:rsidP="00CF48C2">
      <w:pPr>
        <w:pStyle w:val="NoSpacing"/>
      </w:pPr>
      <w:r>
        <w:t>B-10. Monthly Update Survey – Telephone Mode</w:t>
      </w:r>
    </w:p>
    <w:p w14:paraId="7C8FB635" w14:textId="77777777" w:rsidR="00CF48C2" w:rsidRDefault="00CF48C2" w:rsidP="00CF48C2">
      <w:pPr>
        <w:pStyle w:val="NoSpacing"/>
      </w:pPr>
      <w:r>
        <w:t>B-11. Final Survey – Web Mode</w:t>
      </w:r>
    </w:p>
    <w:p w14:paraId="304E0AD0" w14:textId="77777777" w:rsidR="00CF48C2" w:rsidRDefault="00CF48C2" w:rsidP="00CF48C2">
      <w:pPr>
        <w:pStyle w:val="NoSpacing"/>
      </w:pPr>
      <w:r>
        <w:t>B-12. Final Survey – Telephone Mode</w:t>
      </w:r>
    </w:p>
    <w:p w14:paraId="3D019545" w14:textId="77777777" w:rsidR="00CF48C2" w:rsidRDefault="00CF48C2" w:rsidP="00CF48C2">
      <w:pPr>
        <w:pStyle w:val="NoSpacing"/>
      </w:pPr>
      <w:r>
        <w:t>B-13. Proxy Survey – Web Mode</w:t>
      </w:r>
    </w:p>
    <w:p w14:paraId="00C84B64" w14:textId="77777777" w:rsidR="00CF48C2" w:rsidRDefault="00CF48C2" w:rsidP="00CF48C2">
      <w:pPr>
        <w:pStyle w:val="NoSpacing"/>
      </w:pPr>
      <w:r>
        <w:t>B-14. Proxy Survey – Telephone Mode</w:t>
      </w:r>
    </w:p>
    <w:p w14:paraId="1F00EE35" w14:textId="77777777" w:rsidR="00F24D2F" w:rsidRDefault="00F24D2F" w:rsidP="000C600B"/>
    <w:p w14:paraId="01BF278C" w14:textId="77777777" w:rsidR="00F24D2F" w:rsidRDefault="00F24D2F" w:rsidP="000C600B"/>
    <w:p w14:paraId="1D5CDEFF" w14:textId="77777777" w:rsidR="00F24D2F" w:rsidRDefault="00F24D2F" w:rsidP="000C600B"/>
    <w:p w14:paraId="0EE39028" w14:textId="77777777" w:rsidR="00F24D2F" w:rsidRDefault="00F24D2F" w:rsidP="000C600B"/>
    <w:p w14:paraId="4B1E0125" w14:textId="77777777" w:rsidR="00F24D2F" w:rsidRDefault="00F24D2F" w:rsidP="000C600B"/>
    <w:p w14:paraId="591EC9E2" w14:textId="77777777" w:rsidR="000C600B" w:rsidRPr="006534F2" w:rsidRDefault="000C600B" w:rsidP="00946881">
      <w:pPr>
        <w:pStyle w:val="Heading1"/>
        <w:rPr>
          <w:b/>
          <w:color w:val="auto"/>
        </w:rPr>
      </w:pPr>
      <w:bookmarkStart w:id="2" w:name="_Toc480370973"/>
      <w:r w:rsidRPr="006534F2">
        <w:rPr>
          <w:b/>
          <w:color w:val="auto"/>
        </w:rPr>
        <w:lastRenderedPageBreak/>
        <w:t>Collection of Information Employing Statistical Methods</w:t>
      </w:r>
      <w:bookmarkEnd w:id="2"/>
    </w:p>
    <w:p w14:paraId="0D33D8BE" w14:textId="77777777" w:rsidR="000C600B" w:rsidRPr="006534F2" w:rsidRDefault="000C600B" w:rsidP="006534F2">
      <w:pPr>
        <w:pStyle w:val="Heading2"/>
        <w:rPr>
          <w:b/>
          <w:color w:val="auto"/>
        </w:rPr>
      </w:pPr>
      <w:bookmarkStart w:id="3" w:name="_Toc480370974"/>
      <w:r w:rsidRPr="006534F2">
        <w:rPr>
          <w:b/>
          <w:color w:val="auto"/>
        </w:rPr>
        <w:t>B1. Respondent Universe and Sampling Methods</w:t>
      </w:r>
      <w:bookmarkEnd w:id="3"/>
    </w:p>
    <w:p w14:paraId="1847C979" w14:textId="77777777" w:rsidR="00ED1073" w:rsidRDefault="00ED1073" w:rsidP="00ED1073"/>
    <w:p w14:paraId="7B662289" w14:textId="35C58D31" w:rsidR="00ED1073" w:rsidRDefault="00ED1073" w:rsidP="00ED1073">
      <w:r>
        <w:t xml:space="preserve">The </w:t>
      </w:r>
      <w:r w:rsidRPr="001717D5">
        <w:t xml:space="preserve">longitudinal </w:t>
      </w:r>
      <w:r>
        <w:rPr>
          <w:i/>
          <w:iCs/>
        </w:rPr>
        <w:t xml:space="preserve">Test Predictability of Falls Screening Tools </w:t>
      </w:r>
      <w:r>
        <w:rPr>
          <w:iCs/>
        </w:rPr>
        <w:t>project</w:t>
      </w:r>
      <w:r>
        <w:t xml:space="preserve"> will use </w:t>
      </w:r>
      <w:r w:rsidRPr="001717D5">
        <w:t xml:space="preserve">NORC’s AmeriSpeak® Panel </w:t>
      </w:r>
      <w:r>
        <w:t>to identify a community living sample of adults 65 and older</w:t>
      </w:r>
      <w:r w:rsidRPr="001717D5">
        <w:rPr>
          <w:i/>
          <w:iCs/>
        </w:rPr>
        <w:t>.</w:t>
      </w:r>
      <w:r>
        <w:rPr>
          <w:i/>
          <w:iCs/>
        </w:rPr>
        <w:t xml:space="preserve"> </w:t>
      </w:r>
      <w:r w:rsidRPr="001717D5">
        <w:rPr>
          <w:i/>
          <w:iCs/>
        </w:rPr>
        <w:t xml:space="preserve"> </w:t>
      </w:r>
      <w:r w:rsidRPr="001717D5">
        <w:t xml:space="preserve">AmeriSpeak </w:t>
      </w:r>
      <w:r>
        <w:t xml:space="preserve">panel </w:t>
      </w:r>
      <w:r w:rsidRPr="001717D5">
        <w:t xml:space="preserve">is </w:t>
      </w:r>
      <w:r>
        <w:t xml:space="preserve">designed to approximate a </w:t>
      </w:r>
      <w:r w:rsidRPr="001717D5">
        <w:t>represe</w:t>
      </w:r>
      <w:r>
        <w:t>ntative sample of the US</w:t>
      </w:r>
      <w:r w:rsidRPr="001717D5">
        <w:t xml:space="preserve"> population </w:t>
      </w:r>
      <w:r>
        <w:t>(see Attachment A-2)</w:t>
      </w:r>
      <w:r w:rsidRPr="001717D5">
        <w:t xml:space="preserve">. </w:t>
      </w:r>
      <w:r>
        <w:t xml:space="preserve"> Below we discuss the likelihood that the data from this study will yield a representative study, however, it is not necessary that the sample used in this study is strictly representative. For the purposes of this test, it is only necessary that it is sufficiently varied with respect to the characteristics that might predict it wide-spread </w:t>
      </w:r>
      <w:r w:rsidRPr="00BA3000">
        <w:t>applicability. CDC/NORC will not use this data to draw conclusions about the likelihood of falls among</w:t>
      </w:r>
      <w:r w:rsidR="006E37EA" w:rsidRPr="00BA3000">
        <w:t xml:space="preserve"> community living adults over 65.</w:t>
      </w:r>
      <w:r w:rsidR="006E37EA">
        <w:t xml:space="preserve"> </w:t>
      </w:r>
      <w:r>
        <w:t xml:space="preserve"> </w:t>
      </w:r>
    </w:p>
    <w:p w14:paraId="5765E745" w14:textId="77777777" w:rsidR="00ED1073" w:rsidRDefault="00ED1073" w:rsidP="00DC40B5">
      <w:pPr>
        <w:rPr>
          <w:b/>
        </w:rPr>
      </w:pPr>
    </w:p>
    <w:p w14:paraId="62CC4888" w14:textId="4C32A49E" w:rsidR="00DC40B5" w:rsidRPr="00F009FC" w:rsidRDefault="00DC40B5" w:rsidP="00DC40B5">
      <w:r w:rsidRPr="008025BA">
        <w:rPr>
          <w:b/>
        </w:rPr>
        <w:t>Exhibit 1.</w:t>
      </w:r>
      <w:r w:rsidRPr="008025BA">
        <w:rPr>
          <w:rFonts w:ascii="Arial" w:hAnsi="Arial" w:cs="Arial"/>
          <w:b/>
          <w:bCs/>
          <w:color w:val="000000"/>
          <w:sz w:val="21"/>
          <w:szCs w:val="21"/>
        </w:rPr>
        <w:t xml:space="preserve"> </w:t>
      </w:r>
      <w:r>
        <w:t>Sampling Universe</w:t>
      </w:r>
      <w:r w:rsidR="00D700DA">
        <w:t>, Sampling Frame Creation and Baseline Survey Sample Size</w:t>
      </w:r>
    </w:p>
    <w:tbl>
      <w:tblPr>
        <w:tblStyle w:val="TableGrid"/>
        <w:tblW w:w="0" w:type="auto"/>
        <w:tblLook w:val="04A0" w:firstRow="1" w:lastRow="0" w:firstColumn="1" w:lastColumn="0" w:noHBand="0" w:noVBand="1"/>
      </w:tblPr>
      <w:tblGrid>
        <w:gridCol w:w="3325"/>
        <w:gridCol w:w="2790"/>
      </w:tblGrid>
      <w:tr w:rsidR="00D700DA" w14:paraId="22AA83ED" w14:textId="77777777" w:rsidTr="00FD3E70">
        <w:tc>
          <w:tcPr>
            <w:tcW w:w="3325" w:type="dxa"/>
          </w:tcPr>
          <w:p w14:paraId="607B5067" w14:textId="6DCA12FD" w:rsidR="00D700DA" w:rsidRDefault="00D700DA" w:rsidP="001717D5">
            <w:pPr>
              <w:rPr>
                <w:rFonts w:ascii="Arial" w:hAnsi="Arial" w:cs="Arial"/>
                <w:b/>
                <w:sz w:val="20"/>
              </w:rPr>
            </w:pPr>
            <w:r>
              <w:rPr>
                <w:rFonts w:ascii="Arial" w:hAnsi="Arial" w:cs="Arial"/>
                <w:b/>
                <w:sz w:val="20"/>
              </w:rPr>
              <w:t>Universe of Older Adults 65 and Older</w:t>
            </w:r>
          </w:p>
        </w:tc>
        <w:tc>
          <w:tcPr>
            <w:tcW w:w="2790" w:type="dxa"/>
          </w:tcPr>
          <w:p w14:paraId="75C85D26" w14:textId="75D14D14" w:rsidR="00D700DA" w:rsidRPr="00D700DA" w:rsidRDefault="00D700DA" w:rsidP="001717D5">
            <w:pPr>
              <w:rPr>
                <w:rFonts w:ascii="Arial" w:hAnsi="Arial" w:cs="Arial"/>
                <w:sz w:val="20"/>
              </w:rPr>
            </w:pPr>
            <w:r>
              <w:rPr>
                <w:rStyle w:val="Strong"/>
                <w:color w:val="767676"/>
                <w:lang w:val="en"/>
              </w:rPr>
              <w:t>49.2 million households</w:t>
            </w:r>
          </w:p>
        </w:tc>
      </w:tr>
      <w:tr w:rsidR="00DC40B5" w14:paraId="1E03D269" w14:textId="77777777" w:rsidTr="00FD3E70">
        <w:tc>
          <w:tcPr>
            <w:tcW w:w="3325" w:type="dxa"/>
          </w:tcPr>
          <w:p w14:paraId="52076F88" w14:textId="0BBF706A" w:rsidR="00DC40B5" w:rsidRPr="00FD3E70" w:rsidRDefault="00D700DA" w:rsidP="001717D5">
            <w:pPr>
              <w:rPr>
                <w:rFonts w:ascii="Arial" w:hAnsi="Arial" w:cs="Arial"/>
                <w:b/>
                <w:sz w:val="20"/>
              </w:rPr>
            </w:pPr>
            <w:r>
              <w:rPr>
                <w:rFonts w:ascii="Arial" w:hAnsi="Arial" w:cs="Arial"/>
                <w:b/>
                <w:sz w:val="20"/>
              </w:rPr>
              <w:t xml:space="preserve">NORC’s National </w:t>
            </w:r>
            <w:r w:rsidR="0030190B" w:rsidRPr="00FD3E70">
              <w:rPr>
                <w:rFonts w:ascii="Arial" w:hAnsi="Arial" w:cs="Arial"/>
                <w:b/>
                <w:sz w:val="20"/>
              </w:rPr>
              <w:t>Sampling Frame</w:t>
            </w:r>
          </w:p>
        </w:tc>
        <w:tc>
          <w:tcPr>
            <w:tcW w:w="2790" w:type="dxa"/>
          </w:tcPr>
          <w:p w14:paraId="024EA45A" w14:textId="77777777" w:rsidR="00DC40B5" w:rsidRPr="00FD3E70" w:rsidRDefault="0030190B" w:rsidP="001717D5">
            <w:pPr>
              <w:rPr>
                <w:rFonts w:ascii="Arial" w:hAnsi="Arial" w:cs="Arial"/>
                <w:sz w:val="20"/>
              </w:rPr>
            </w:pPr>
            <w:r w:rsidRPr="00FD3E70">
              <w:rPr>
                <w:rFonts w:ascii="Arial" w:hAnsi="Arial" w:cs="Arial"/>
                <w:sz w:val="20"/>
              </w:rPr>
              <w:t>3 million households</w:t>
            </w:r>
          </w:p>
        </w:tc>
      </w:tr>
      <w:tr w:rsidR="00DC40B5" w14:paraId="13DC6F49" w14:textId="77777777" w:rsidTr="00FD3E70">
        <w:tc>
          <w:tcPr>
            <w:tcW w:w="3325" w:type="dxa"/>
          </w:tcPr>
          <w:p w14:paraId="13ABC517" w14:textId="77777777" w:rsidR="00DC40B5" w:rsidRPr="00FD3E70" w:rsidRDefault="0030190B" w:rsidP="00BC229A">
            <w:pPr>
              <w:ind w:left="720"/>
              <w:rPr>
                <w:rFonts w:ascii="Arial" w:hAnsi="Arial" w:cs="Arial"/>
                <w:b/>
                <w:sz w:val="20"/>
              </w:rPr>
            </w:pPr>
            <w:r w:rsidRPr="00FD3E70">
              <w:rPr>
                <w:rFonts w:ascii="Arial" w:hAnsi="Arial" w:cs="Arial"/>
                <w:b/>
                <w:sz w:val="20"/>
              </w:rPr>
              <w:t>Older Adult Households</w:t>
            </w:r>
          </w:p>
        </w:tc>
        <w:tc>
          <w:tcPr>
            <w:tcW w:w="2790" w:type="dxa"/>
          </w:tcPr>
          <w:p w14:paraId="3FB4BDA6" w14:textId="77777777" w:rsidR="00DC40B5" w:rsidRPr="00FD3E70" w:rsidRDefault="0030190B" w:rsidP="0030190B">
            <w:pPr>
              <w:rPr>
                <w:rFonts w:ascii="Arial" w:hAnsi="Arial" w:cs="Arial"/>
                <w:sz w:val="20"/>
              </w:rPr>
            </w:pPr>
            <w:r w:rsidRPr="00FD3E70">
              <w:rPr>
                <w:rFonts w:ascii="Arial" w:hAnsi="Arial" w:cs="Arial"/>
                <w:sz w:val="20"/>
              </w:rPr>
              <w:t>20,000 households</w:t>
            </w:r>
          </w:p>
        </w:tc>
      </w:tr>
      <w:tr w:rsidR="00DC40B5" w14:paraId="70B9D42B" w14:textId="77777777" w:rsidTr="00FD3E70">
        <w:tc>
          <w:tcPr>
            <w:tcW w:w="3325" w:type="dxa"/>
          </w:tcPr>
          <w:p w14:paraId="0AA5FF2B" w14:textId="715EB86C" w:rsidR="00DC40B5" w:rsidRPr="00FD3E70" w:rsidRDefault="0030190B" w:rsidP="00BC229A">
            <w:pPr>
              <w:ind w:left="720"/>
              <w:rPr>
                <w:rFonts w:ascii="Arial" w:hAnsi="Arial" w:cs="Arial"/>
                <w:b/>
                <w:sz w:val="20"/>
              </w:rPr>
            </w:pPr>
            <w:r w:rsidRPr="00FD3E70">
              <w:rPr>
                <w:rFonts w:ascii="Arial" w:hAnsi="Arial" w:cs="Arial"/>
                <w:b/>
                <w:sz w:val="20"/>
              </w:rPr>
              <w:t xml:space="preserve">Older Adults </w:t>
            </w:r>
            <w:r w:rsidR="00D54AA7">
              <w:rPr>
                <w:rFonts w:ascii="Arial" w:hAnsi="Arial" w:cs="Arial"/>
                <w:b/>
                <w:sz w:val="20"/>
              </w:rPr>
              <w:t xml:space="preserve">Recruited </w:t>
            </w:r>
            <w:r w:rsidRPr="00FD3E70">
              <w:rPr>
                <w:rFonts w:ascii="Arial" w:hAnsi="Arial" w:cs="Arial"/>
                <w:b/>
                <w:sz w:val="20"/>
              </w:rPr>
              <w:t>in</w:t>
            </w:r>
            <w:r w:rsidR="00D54AA7">
              <w:rPr>
                <w:rFonts w:ascii="Arial" w:hAnsi="Arial" w:cs="Arial"/>
                <w:b/>
                <w:sz w:val="20"/>
              </w:rPr>
              <w:t>to</w:t>
            </w:r>
            <w:r w:rsidRPr="00FD3E70">
              <w:rPr>
                <w:rFonts w:ascii="Arial" w:hAnsi="Arial" w:cs="Arial"/>
                <w:b/>
                <w:sz w:val="20"/>
              </w:rPr>
              <w:t xml:space="preserve"> AmeriSpeak Panel</w:t>
            </w:r>
          </w:p>
        </w:tc>
        <w:tc>
          <w:tcPr>
            <w:tcW w:w="2790" w:type="dxa"/>
          </w:tcPr>
          <w:p w14:paraId="1D3AB837" w14:textId="77777777" w:rsidR="00DC40B5" w:rsidRPr="00FD3E70" w:rsidRDefault="0030190B" w:rsidP="001717D5">
            <w:pPr>
              <w:rPr>
                <w:rFonts w:ascii="Arial" w:hAnsi="Arial" w:cs="Arial"/>
                <w:sz w:val="20"/>
              </w:rPr>
            </w:pPr>
            <w:r w:rsidRPr="00FD3E70">
              <w:rPr>
                <w:rFonts w:ascii="Arial" w:hAnsi="Arial" w:cs="Arial"/>
                <w:sz w:val="20"/>
              </w:rPr>
              <w:t>6,245</w:t>
            </w:r>
          </w:p>
        </w:tc>
      </w:tr>
      <w:tr w:rsidR="00DC40B5" w14:paraId="0E443FC1" w14:textId="77777777" w:rsidTr="00FD3E70">
        <w:tc>
          <w:tcPr>
            <w:tcW w:w="3325" w:type="dxa"/>
          </w:tcPr>
          <w:p w14:paraId="240D6CAF" w14:textId="4DE2231B" w:rsidR="00DC40B5" w:rsidRPr="00FD3E70" w:rsidRDefault="00D54AA7" w:rsidP="00BC229A">
            <w:pPr>
              <w:ind w:left="1440"/>
              <w:rPr>
                <w:rFonts w:ascii="Arial" w:hAnsi="Arial" w:cs="Arial"/>
                <w:b/>
                <w:sz w:val="20"/>
              </w:rPr>
            </w:pPr>
            <w:r>
              <w:rPr>
                <w:rFonts w:ascii="Arial" w:hAnsi="Arial" w:cs="Arial"/>
                <w:b/>
                <w:sz w:val="20"/>
              </w:rPr>
              <w:t>Survey Invitations Issued</w:t>
            </w:r>
          </w:p>
        </w:tc>
        <w:tc>
          <w:tcPr>
            <w:tcW w:w="2790" w:type="dxa"/>
          </w:tcPr>
          <w:p w14:paraId="320F412E" w14:textId="77777777" w:rsidR="00DC40B5" w:rsidRPr="00FD3E70" w:rsidRDefault="0030190B" w:rsidP="001717D5">
            <w:pPr>
              <w:rPr>
                <w:rFonts w:ascii="Arial" w:hAnsi="Arial" w:cs="Arial"/>
                <w:sz w:val="20"/>
              </w:rPr>
            </w:pPr>
            <w:r w:rsidRPr="00FD3E70">
              <w:rPr>
                <w:rFonts w:ascii="Arial" w:hAnsi="Arial" w:cs="Arial"/>
                <w:sz w:val="20"/>
              </w:rPr>
              <w:t>2,925</w:t>
            </w:r>
          </w:p>
        </w:tc>
      </w:tr>
      <w:tr w:rsidR="0030190B" w14:paraId="4EA7F247" w14:textId="77777777" w:rsidTr="00FD3E70">
        <w:tc>
          <w:tcPr>
            <w:tcW w:w="3325" w:type="dxa"/>
          </w:tcPr>
          <w:p w14:paraId="6B4E91DF" w14:textId="77777777" w:rsidR="0030190B" w:rsidRPr="00FD3E70" w:rsidRDefault="0030190B" w:rsidP="00BC229A">
            <w:pPr>
              <w:ind w:left="1440"/>
              <w:rPr>
                <w:rFonts w:ascii="Arial" w:hAnsi="Arial" w:cs="Arial"/>
                <w:b/>
                <w:sz w:val="20"/>
              </w:rPr>
            </w:pPr>
            <w:r w:rsidRPr="00FD3E70">
              <w:rPr>
                <w:rFonts w:ascii="Arial" w:hAnsi="Arial" w:cs="Arial"/>
                <w:b/>
                <w:sz w:val="20"/>
              </w:rPr>
              <w:t>Baseline Survey Respondents</w:t>
            </w:r>
          </w:p>
        </w:tc>
        <w:tc>
          <w:tcPr>
            <w:tcW w:w="2790" w:type="dxa"/>
          </w:tcPr>
          <w:p w14:paraId="403F1225" w14:textId="77777777" w:rsidR="0030190B" w:rsidRPr="00FD3E70" w:rsidRDefault="0030190B" w:rsidP="001717D5">
            <w:pPr>
              <w:rPr>
                <w:rFonts w:ascii="Arial" w:hAnsi="Arial" w:cs="Arial"/>
                <w:sz w:val="20"/>
              </w:rPr>
            </w:pPr>
            <w:r w:rsidRPr="00FD3E70">
              <w:rPr>
                <w:rFonts w:ascii="Arial" w:hAnsi="Arial" w:cs="Arial"/>
                <w:sz w:val="20"/>
              </w:rPr>
              <w:t>1,900</w:t>
            </w:r>
          </w:p>
        </w:tc>
      </w:tr>
    </w:tbl>
    <w:p w14:paraId="1C0669A8" w14:textId="77777777" w:rsidR="00FD3E70" w:rsidRDefault="00FD3E70" w:rsidP="001717D5"/>
    <w:p w14:paraId="3D102008" w14:textId="704F7F8C" w:rsidR="001717D5" w:rsidRDefault="00FC4721" w:rsidP="001717D5">
      <w:r>
        <w:t xml:space="preserve">NORC’s </w:t>
      </w:r>
      <w:r w:rsidR="001717D5" w:rsidRPr="001717D5">
        <w:t xml:space="preserve">National Frame </w:t>
      </w:r>
      <w:r w:rsidR="006E37EA">
        <w:t>begins with an</w:t>
      </w:r>
      <w:r w:rsidR="001717D5" w:rsidRPr="001717D5">
        <w:t xml:space="preserve"> area probability sample constructed using a two-stage probability sample design.</w:t>
      </w:r>
      <w:r w:rsidR="001717D5" w:rsidRPr="001717D5">
        <w:rPr>
          <w:rStyle w:val="FootnoteReference"/>
        </w:rPr>
        <w:footnoteReference w:id="2"/>
      </w:r>
      <w:r w:rsidR="00DC40B5" w:rsidRPr="00DC40B5">
        <w:rPr>
          <w:vertAlign w:val="superscript"/>
        </w:rPr>
        <w:t>,</w:t>
      </w:r>
      <w:r w:rsidR="00DA7D57" w:rsidRPr="00DC40B5">
        <w:rPr>
          <w:vertAlign w:val="superscript"/>
        </w:rPr>
        <w:t xml:space="preserve">2 </w:t>
      </w:r>
      <w:r w:rsidR="00DA7D57" w:rsidRPr="001717D5">
        <w:t>NORC’s</w:t>
      </w:r>
      <w:r w:rsidRPr="001717D5">
        <w:rPr>
          <w:rFonts w:cs="Arial"/>
        </w:rPr>
        <w:t xml:space="preserve"> </w:t>
      </w:r>
      <w:r w:rsidR="001717D5" w:rsidRPr="001717D5">
        <w:rPr>
          <w:rFonts w:cs="Arial"/>
        </w:rPr>
        <w:t>National Frame contains almost 3 million households, including over 80,000 rural households not available from the US Postal Service Delivery Sequence File (USPS DSF) but identified by direct listing by field staff. The sample includes households in all 50 states and the District of Columbia. </w:t>
      </w:r>
      <w:r w:rsidR="001717D5" w:rsidRPr="001717D5">
        <w:t xml:space="preserve">The AmeriSpeak sample panel is recruited from </w:t>
      </w:r>
      <w:r>
        <w:t xml:space="preserve">NORC’s </w:t>
      </w:r>
      <w:r w:rsidR="001717D5" w:rsidRPr="001717D5">
        <w:t>National Frame</w:t>
      </w:r>
      <w:r w:rsidR="000E0844">
        <w:t xml:space="preserve"> of addresses using probability-</w:t>
      </w:r>
      <w:r w:rsidR="001717D5" w:rsidRPr="001717D5">
        <w:t>based sampling in conjunction with mail, telephone, and in-person contacts using face-to-fa</w:t>
      </w:r>
      <w:r w:rsidR="009A4037">
        <w:t xml:space="preserve">ce recruitment. </w:t>
      </w:r>
      <w:r w:rsidR="001717D5" w:rsidRPr="001717D5">
        <w:t xml:space="preserve">The </w:t>
      </w:r>
      <w:r w:rsidR="00A722DF">
        <w:t>American Association of Public Opinion Research (</w:t>
      </w:r>
      <w:r w:rsidR="001717D5" w:rsidRPr="001717D5">
        <w:t>AAPOR</w:t>
      </w:r>
      <w:r w:rsidR="00A722DF">
        <w:t>)</w:t>
      </w:r>
      <w:r w:rsidR="001717D5" w:rsidRPr="001717D5">
        <w:t xml:space="preserve"> weighted response </w:t>
      </w:r>
      <w:r w:rsidR="00AB2F02">
        <w:t xml:space="preserve">rate RR3 </w:t>
      </w:r>
      <w:r w:rsidR="001717D5" w:rsidRPr="001717D5">
        <w:t>for the 2014-201</w:t>
      </w:r>
      <w:r w:rsidR="00AB2F02">
        <w:t>6</w:t>
      </w:r>
      <w:r w:rsidR="001717D5" w:rsidRPr="001717D5">
        <w:t xml:space="preserve"> panel recruitment </w:t>
      </w:r>
      <w:r w:rsidR="00AB2F02">
        <w:t>is</w:t>
      </w:r>
      <w:r w:rsidR="00AB2F02" w:rsidRPr="001717D5">
        <w:t xml:space="preserve"> </w:t>
      </w:r>
      <w:r w:rsidR="00AB2F02">
        <w:t>34</w:t>
      </w:r>
      <w:r w:rsidR="001717D5" w:rsidRPr="001717D5">
        <w:t>%</w:t>
      </w:r>
      <w:r w:rsidR="003A5702">
        <w:t>.</w:t>
      </w:r>
      <w:r w:rsidR="001717D5" w:rsidRPr="001717D5">
        <w:t xml:space="preserve"> Once panel households are recruited, rigorous methods are employed</w:t>
      </w:r>
      <w:r w:rsidR="00DC40B5">
        <w:rPr>
          <w:rStyle w:val="FootnoteReference"/>
        </w:rPr>
        <w:footnoteReference w:id="3"/>
      </w:r>
      <w:r w:rsidR="001717D5" w:rsidRPr="001717D5">
        <w:t xml:space="preserve"> to maximize survey response rates and maintai</w:t>
      </w:r>
      <w:r w:rsidR="000E0844">
        <w:t xml:space="preserve">n cooperation of participants. </w:t>
      </w:r>
      <w:r w:rsidR="00AB2F02">
        <w:t>NORC has formally documented the response rate calculation.</w:t>
      </w:r>
      <w:r w:rsidR="00AB2F02">
        <w:rPr>
          <w:rStyle w:val="FootnoteReference"/>
        </w:rPr>
        <w:footnoteReference w:id="4"/>
      </w:r>
      <w:r w:rsidR="00AB2F02">
        <w:t xml:space="preserve"> </w:t>
      </w:r>
      <w:r w:rsidR="001717D5" w:rsidRPr="001717D5">
        <w:t xml:space="preserve">In addition, </w:t>
      </w:r>
      <w:r w:rsidR="000E0844">
        <w:t xml:space="preserve">an </w:t>
      </w:r>
      <w:r w:rsidR="001717D5" w:rsidRPr="001717D5">
        <w:t xml:space="preserve">address-based sample from the USPS delivery sequence file is used in four states where the NORC National Frame </w:t>
      </w:r>
      <w:r w:rsidR="000E0844">
        <w:t xml:space="preserve">has inadequate sample </w:t>
      </w:r>
      <w:r w:rsidR="00D54AA7">
        <w:t>size</w:t>
      </w:r>
      <w:r w:rsidR="000E0844">
        <w:t>.</w:t>
      </w:r>
      <w:r w:rsidR="001717D5" w:rsidRPr="001717D5">
        <w:t xml:space="preserve"> Importantly, basic demographic infor</w:t>
      </w:r>
      <w:r w:rsidR="000E0844">
        <w:t>mation such as age, gender,</w:t>
      </w:r>
      <w:r w:rsidR="001717D5" w:rsidRPr="001717D5">
        <w:t xml:space="preserve"> and </w:t>
      </w:r>
      <w:r w:rsidR="000E0844">
        <w:t>race/</w:t>
      </w:r>
      <w:r w:rsidR="001717D5" w:rsidRPr="001717D5">
        <w:t xml:space="preserve">ethnicity are collected for all </w:t>
      </w:r>
      <w:r w:rsidR="00E6059F">
        <w:t>AmeriSpeak P</w:t>
      </w:r>
      <w:r w:rsidR="001717D5" w:rsidRPr="001717D5">
        <w:t>anel members</w:t>
      </w:r>
      <w:r w:rsidR="000E0844">
        <w:t>,</w:t>
      </w:r>
      <w:r w:rsidR="001717D5" w:rsidRPr="001717D5">
        <w:t xml:space="preserve"> which allows use of oversampling for targeted populations in specific studies.</w:t>
      </w:r>
    </w:p>
    <w:p w14:paraId="2EA9B01E" w14:textId="12888BEB" w:rsidR="00DB26EB" w:rsidRDefault="00555B17" w:rsidP="001717D5">
      <w:r w:rsidRPr="00555B17">
        <w:t>Samples selected for any subgroup among adults 18+ years of age are selected using unbiased sampling methods and sample design weights are calculated using the specific sample design for a study in conjunction with the probability b</w:t>
      </w:r>
      <w:r>
        <w:t xml:space="preserve">ased AmeriSpeak panel weights. </w:t>
      </w:r>
      <w:r w:rsidRPr="00555B17">
        <w:t xml:space="preserve">Thus, for example, </w:t>
      </w:r>
      <w:r>
        <w:t xml:space="preserve">after OMB approval </w:t>
      </w:r>
      <w:r w:rsidRPr="00555B17">
        <w:t xml:space="preserve">an unbiased stratified sampling method will be used to select a representative sample of </w:t>
      </w:r>
      <w:r>
        <w:t xml:space="preserve">community-dwelling </w:t>
      </w:r>
      <w:r w:rsidRPr="00555B17">
        <w:t>adults 65+ years of a</w:t>
      </w:r>
      <w:r>
        <w:t>ge from the 20,000-household AmeriSpeak panel. </w:t>
      </w:r>
      <w:r w:rsidRPr="00555B17">
        <w:t>The stratified sample of 65+ year old adults will be selected using 24 demographic sampling strata to account for expected differential completion rates by demographic subg</w:t>
      </w:r>
      <w:r w:rsidR="006323FC">
        <w:t>r</w:t>
      </w:r>
      <w:r w:rsidRPr="00555B17">
        <w:t>oups so that the set of panel members with a completed interview for a study is a proportionate sample of the 65+ years adult populati</w:t>
      </w:r>
      <w:r>
        <w:t>on. </w:t>
      </w:r>
      <w:r w:rsidRPr="00555B17">
        <w:t>In addition, if a household has one more than one active 65+ year old adult panel member, only one adult in the household is r</w:t>
      </w:r>
      <w:r>
        <w:t xml:space="preserve">andomly selected for the study. </w:t>
      </w:r>
      <w:r w:rsidR="00DB26EB">
        <w:t>To ensure we reach 1,900 participants in the baseline survey, we will contact 2,925 members of the AmeriSpeak Panel. Historically, about 65% of AmeriSpeak panelists 65 and older agree to participate in a study</w:t>
      </w:r>
      <w:r w:rsidR="00012ECD">
        <w:t>, which equals 1901 respondents</w:t>
      </w:r>
      <w:r w:rsidR="00DB26EB">
        <w:t xml:space="preserve">. </w:t>
      </w:r>
    </w:p>
    <w:p w14:paraId="796F2119" w14:textId="77777777" w:rsidR="00F63ADE" w:rsidRPr="006323FC" w:rsidRDefault="00F63ADE" w:rsidP="00F63ADE">
      <w:r w:rsidRPr="006323FC">
        <w:t>The table below provides distributions of unweighted and weighted estimates (using the final panel weights) from the full AmeriSpeak panel for the panel sample who are aged 65 and older.  The Falls Survey sample will be selected as a subsample from the full AmeriSpeak panel. To maintain representativeness of the target population, various stages of sample design and weighting adjustments are required to derive the final survey weights of the Falls Survey sample.  The Falls Survey sample weights will reflect the following design features from both the AmeriSpeak Panel and application of weighting adjustments to maintain representatives of the target population of people 65+ in the population: (a) probability of selection of the housing unit in the Panel, (b) adjustments for unknown eligibility of the housing unit in the Panel, (c) nonresponse associated with Panel recruitment, (d) Panel attrition, (e) nonresponse from eligible adults in households where at least one adult was recruited, (f) probability of selection of the Falls Survey sample from the Panel, (g) nonresponse associated with the selected sample for the Falls Survey, and (h) a raking ratio adjustment of Falls Survey respondents to external population control totals (from the Current Population Survey) for the population age 65+ by age-group, sex, Census Division, Education, Race/Hispanic ethnicity, Housing tenure, and Household phone status.</w:t>
      </w:r>
    </w:p>
    <w:p w14:paraId="3755B996" w14:textId="77777777" w:rsidR="00F63ADE" w:rsidRDefault="00F63ADE" w:rsidP="00F63ADE">
      <w:pPr>
        <w:rPr>
          <w:color w:val="1F497D"/>
        </w:rPr>
      </w:pPr>
    </w:p>
    <w:p w14:paraId="6EBD92EB" w14:textId="77777777" w:rsidR="00F63ADE" w:rsidRDefault="00F63ADE" w:rsidP="00F63ADE">
      <w:pPr>
        <w:rPr>
          <w:color w:val="1F497D"/>
        </w:rPr>
      </w:pPr>
    </w:p>
    <w:p w14:paraId="777999BF" w14:textId="77777777" w:rsidR="00976F86" w:rsidRDefault="00976F86" w:rsidP="00AF152A">
      <w:pPr>
        <w:pStyle w:val="NoSpacing"/>
        <w:rPr>
          <w:b/>
        </w:rPr>
      </w:pPr>
    </w:p>
    <w:p w14:paraId="7E7CCEA0" w14:textId="288E55AD" w:rsidR="00AF152A" w:rsidRPr="000C600B" w:rsidRDefault="00AF152A" w:rsidP="00AF152A">
      <w:pPr>
        <w:pStyle w:val="NoSpacing"/>
        <w:rPr>
          <w:rFonts w:cs="Times New Roman"/>
        </w:rPr>
      </w:pPr>
      <w:r w:rsidRPr="008025BA">
        <w:rPr>
          <w:b/>
        </w:rPr>
        <w:t xml:space="preserve">Exhibit </w:t>
      </w:r>
      <w:r>
        <w:rPr>
          <w:b/>
        </w:rPr>
        <w:t>2</w:t>
      </w:r>
      <w:r w:rsidRPr="008025BA">
        <w:rPr>
          <w:b/>
        </w:rPr>
        <w:t>.</w:t>
      </w:r>
      <w:r>
        <w:rPr>
          <w:b/>
        </w:rPr>
        <w:t xml:space="preserve"> </w:t>
      </w:r>
      <w:r>
        <w:t xml:space="preserve">Distribution of survey sample </w:t>
      </w:r>
      <w:r w:rsidRPr="006323FC">
        <w:t>selected</w:t>
      </w:r>
    </w:p>
    <w:tbl>
      <w:tblPr>
        <w:tblpPr w:leftFromText="180" w:rightFromText="180" w:vertAnchor="text" w:horzAnchor="margin" w:tblpXSpec="center" w:tblpY="177"/>
        <w:tblW w:w="10678" w:type="dxa"/>
        <w:tblCellMar>
          <w:left w:w="0" w:type="dxa"/>
          <w:right w:w="0" w:type="dxa"/>
        </w:tblCellMar>
        <w:tblLook w:val="04A0" w:firstRow="1" w:lastRow="0" w:firstColumn="1" w:lastColumn="0" w:noHBand="0" w:noVBand="1"/>
      </w:tblPr>
      <w:tblGrid>
        <w:gridCol w:w="3410"/>
        <w:gridCol w:w="2070"/>
        <w:gridCol w:w="270"/>
        <w:gridCol w:w="1350"/>
        <w:gridCol w:w="1918"/>
        <w:gridCol w:w="1660"/>
      </w:tblGrid>
      <w:tr w:rsidR="00976F86" w14:paraId="3A319186" w14:textId="77777777" w:rsidTr="00976F86">
        <w:trPr>
          <w:trHeight w:val="340"/>
        </w:trPr>
        <w:tc>
          <w:tcPr>
            <w:tcW w:w="34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44C3808" w14:textId="77777777" w:rsidR="00976F86" w:rsidRDefault="00976F86" w:rsidP="00976F86">
            <w:pPr>
              <w:rPr>
                <w:color w:val="1F497D"/>
              </w:rPr>
            </w:pPr>
          </w:p>
        </w:tc>
        <w:tc>
          <w:tcPr>
            <w:tcW w:w="20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B0E31DE" w14:textId="77777777" w:rsidR="00976F86" w:rsidRDefault="00976F86" w:rsidP="00976F86">
            <w:pPr>
              <w:rPr>
                <w:rFonts w:ascii="Times New Roman" w:eastAsia="Times New Roman" w:hAnsi="Times New Roman"/>
                <w:sz w:val="20"/>
                <w:szCs w:val="20"/>
              </w:rPr>
            </w:pPr>
          </w:p>
        </w:tc>
        <w:tc>
          <w:tcPr>
            <w:tcW w:w="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9BFCDE" w14:textId="77777777" w:rsidR="00976F86" w:rsidRDefault="00976F86" w:rsidP="00976F86">
            <w:pPr>
              <w:rPr>
                <w:rFonts w:ascii="Times New Roman" w:eastAsia="Times New Roman" w:hAnsi="Times New Roman"/>
                <w:sz w:val="20"/>
                <w:szCs w:val="20"/>
              </w:rPr>
            </w:pPr>
          </w:p>
        </w:tc>
        <w:tc>
          <w:tcPr>
            <w:tcW w:w="4928"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D40CE26" w14:textId="77777777" w:rsidR="00976F86" w:rsidRDefault="00976F86" w:rsidP="00976F86">
            <w:pPr>
              <w:jc w:val="center"/>
              <w:rPr>
                <w:rFonts w:ascii="Calibri" w:hAnsi="Calibri"/>
                <w:b/>
                <w:bCs/>
                <w:color w:val="000000"/>
              </w:rPr>
            </w:pPr>
            <w:r>
              <w:rPr>
                <w:b/>
                <w:bCs/>
                <w:color w:val="000000"/>
              </w:rPr>
              <w:t>AmeriSpeak Panel</w:t>
            </w:r>
          </w:p>
        </w:tc>
      </w:tr>
      <w:tr w:rsidR="00976F86" w14:paraId="7A4CC9DE" w14:textId="77777777" w:rsidTr="00976F86">
        <w:trPr>
          <w:trHeight w:val="592"/>
        </w:trPr>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A89620" w14:textId="77777777" w:rsidR="00976F86" w:rsidRDefault="00976F86" w:rsidP="00976F86">
            <w:pPr>
              <w:rPr>
                <w:b/>
                <w:bCs/>
                <w:color w:val="000000"/>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4184D" w14:textId="77777777" w:rsidR="00976F86" w:rsidRDefault="00976F86" w:rsidP="00976F86">
            <w:pPr>
              <w:rPr>
                <w:rFonts w:ascii="Times New Roman" w:eastAsia="Times New Roman" w:hAnsi="Times New Roman"/>
                <w:sz w:val="20"/>
                <w:szCs w:val="20"/>
              </w:rPr>
            </w:pPr>
          </w:p>
        </w:tc>
        <w:tc>
          <w:tcPr>
            <w:tcW w:w="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75112C" w14:textId="77777777" w:rsidR="00976F86" w:rsidRDefault="00976F86" w:rsidP="00976F86">
            <w:pPr>
              <w:rPr>
                <w:rFonts w:ascii="Times New Roman" w:eastAsia="Times New Roman" w:hAnsi="Times New Roman"/>
                <w:sz w:val="20"/>
                <w:szCs w:val="20"/>
              </w:rPr>
            </w:pPr>
          </w:p>
        </w:tc>
        <w:tc>
          <w:tcPr>
            <w:tcW w:w="32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209E9A" w14:textId="77777777" w:rsidR="00976F86" w:rsidRDefault="00976F86" w:rsidP="00976F86">
            <w:pPr>
              <w:jc w:val="center"/>
              <w:rPr>
                <w:rFonts w:ascii="Calibri" w:hAnsi="Calibri"/>
                <w:b/>
                <w:bCs/>
                <w:color w:val="000000"/>
              </w:rPr>
            </w:pPr>
            <w:r>
              <w:rPr>
                <w:b/>
                <w:bCs/>
                <w:color w:val="000000"/>
              </w:rPr>
              <w:t>(# of adults 65+ in panel, n = 4,788)</w:t>
            </w: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7136B7" w14:textId="77777777" w:rsidR="00976F86" w:rsidRDefault="00976F86" w:rsidP="00976F86">
            <w:pPr>
              <w:rPr>
                <w:b/>
                <w:bCs/>
                <w:color w:val="000000"/>
              </w:rPr>
            </w:pPr>
          </w:p>
        </w:tc>
      </w:tr>
      <w:tr w:rsidR="00976F86" w14:paraId="361DDE8E" w14:textId="77777777" w:rsidTr="00976F86">
        <w:trPr>
          <w:trHeight w:val="934"/>
        </w:trPr>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E93D1C" w14:textId="77777777" w:rsidR="00976F86" w:rsidRDefault="00976F86" w:rsidP="00976F86">
            <w:pPr>
              <w:jc w:val="center"/>
              <w:rPr>
                <w:rFonts w:ascii="Calibri" w:hAnsi="Calibri"/>
                <w:b/>
                <w:bCs/>
                <w:color w:val="000000"/>
              </w:rPr>
            </w:pPr>
            <w:r>
              <w:rPr>
                <w:b/>
                <w:bCs/>
                <w:color w:val="000000"/>
              </w:rPr>
              <w:t>Age</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DA57EE" w14:textId="77777777" w:rsidR="00976F86" w:rsidRDefault="00976F86" w:rsidP="00976F86">
            <w:pPr>
              <w:jc w:val="center"/>
              <w:rPr>
                <w:b/>
                <w:bCs/>
                <w:color w:val="000000"/>
              </w:rPr>
            </w:pPr>
            <w:r>
              <w:rPr>
                <w:b/>
                <w:bCs/>
                <w:color w:val="000000"/>
              </w:rPr>
              <w:t>Benchmark (from March 2017 CPS*)</w:t>
            </w:r>
          </w:p>
        </w:tc>
        <w:tc>
          <w:tcPr>
            <w:tcW w:w="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6C0992" w14:textId="77777777" w:rsidR="00976F86" w:rsidRDefault="00976F86" w:rsidP="00976F86">
            <w:pPr>
              <w:rPr>
                <w:b/>
                <w:bCs/>
                <w:color w:val="000000"/>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B80427" w14:textId="77777777" w:rsidR="00976F86" w:rsidRDefault="00976F86" w:rsidP="00976F86">
            <w:pPr>
              <w:jc w:val="center"/>
              <w:rPr>
                <w:rFonts w:ascii="Calibri" w:hAnsi="Calibri"/>
                <w:b/>
                <w:bCs/>
                <w:color w:val="000000"/>
              </w:rPr>
            </w:pPr>
            <w:r>
              <w:rPr>
                <w:b/>
                <w:bCs/>
                <w:color w:val="000000"/>
              </w:rPr>
              <w:t>Unweighted %</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84050A" w14:textId="77777777" w:rsidR="00976F86" w:rsidRDefault="00976F86" w:rsidP="00976F86">
            <w:pPr>
              <w:jc w:val="center"/>
              <w:rPr>
                <w:b/>
                <w:bCs/>
                <w:color w:val="000000"/>
              </w:rPr>
            </w:pPr>
            <w:r>
              <w:rPr>
                <w:b/>
                <w:bCs/>
                <w:color w:val="000000"/>
              </w:rPr>
              <w:t>Weighted % (using final panel weight)</w:t>
            </w: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2254D" w14:textId="77777777" w:rsidR="00976F86" w:rsidRDefault="00976F86" w:rsidP="00976F86">
            <w:pPr>
              <w:jc w:val="center"/>
              <w:rPr>
                <w:b/>
                <w:bCs/>
                <w:color w:val="000000"/>
              </w:rPr>
            </w:pPr>
            <w:r>
              <w:rPr>
                <w:b/>
                <w:bCs/>
                <w:color w:val="000000"/>
              </w:rPr>
              <w:t>Error = Weighted - Benchmark</w:t>
            </w:r>
          </w:p>
        </w:tc>
      </w:tr>
      <w:tr w:rsidR="00976F86" w14:paraId="5504A279" w14:textId="77777777" w:rsidTr="00976F86">
        <w:trPr>
          <w:trHeight w:val="30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2EFB06C" w14:textId="77777777" w:rsidR="00976F86" w:rsidRDefault="00976F86" w:rsidP="00976F86">
            <w:pPr>
              <w:jc w:val="right"/>
              <w:rPr>
                <w:color w:val="000000"/>
              </w:rPr>
            </w:pPr>
            <w:r>
              <w:rPr>
                <w:color w:val="000000"/>
              </w:rPr>
              <w:t>65-69</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4FF9F9" w14:textId="77777777" w:rsidR="00976F86" w:rsidRDefault="00976F86" w:rsidP="00976F86">
            <w:pPr>
              <w:jc w:val="right"/>
              <w:rPr>
                <w:color w:val="000000"/>
              </w:rPr>
            </w:pPr>
            <w:r>
              <w:rPr>
                <w:color w:val="000000"/>
              </w:rPr>
              <w:t>34.0</w:t>
            </w:r>
          </w:p>
        </w:tc>
        <w:tc>
          <w:tcPr>
            <w:tcW w:w="2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7359E07" w14:textId="77777777" w:rsidR="00976F86" w:rsidRDefault="00976F86" w:rsidP="00976F86">
            <w:pPr>
              <w:rPr>
                <w:color w:val="000000"/>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EFC1A7B" w14:textId="77777777" w:rsidR="00976F86" w:rsidRDefault="00976F86" w:rsidP="00976F86">
            <w:pPr>
              <w:jc w:val="right"/>
              <w:rPr>
                <w:rFonts w:ascii="Calibri" w:hAnsi="Calibri"/>
                <w:color w:val="000000"/>
              </w:rPr>
            </w:pPr>
            <w:r>
              <w:rPr>
                <w:color w:val="000000"/>
              </w:rPr>
              <w:t>38.5</w:t>
            </w:r>
          </w:p>
        </w:tc>
        <w:tc>
          <w:tcPr>
            <w:tcW w:w="1918" w:type="dxa"/>
            <w:tcBorders>
              <w:top w:val="nil"/>
              <w:left w:val="nil"/>
              <w:bottom w:val="single" w:sz="8" w:space="0" w:color="auto"/>
              <w:right w:val="single" w:sz="8" w:space="0" w:color="auto"/>
            </w:tcBorders>
            <w:tcMar>
              <w:top w:w="0" w:type="dxa"/>
              <w:left w:w="108" w:type="dxa"/>
              <w:bottom w:w="0" w:type="dxa"/>
              <w:right w:w="108" w:type="dxa"/>
            </w:tcMar>
            <w:hideMark/>
          </w:tcPr>
          <w:p w14:paraId="1890B368" w14:textId="77777777" w:rsidR="00976F86" w:rsidRDefault="00976F86" w:rsidP="00976F86">
            <w:pPr>
              <w:jc w:val="right"/>
              <w:rPr>
                <w:color w:val="000000"/>
              </w:rPr>
            </w:pPr>
            <w:r>
              <w:rPr>
                <w:color w:val="000000"/>
              </w:rPr>
              <w:t>37.1</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3F64A4" w14:textId="77777777" w:rsidR="00976F86" w:rsidRDefault="00976F86" w:rsidP="00976F86">
            <w:pPr>
              <w:jc w:val="right"/>
              <w:rPr>
                <w:color w:val="000000"/>
              </w:rPr>
            </w:pPr>
            <w:r>
              <w:rPr>
                <w:color w:val="000000"/>
              </w:rPr>
              <w:t>3.1</w:t>
            </w:r>
          </w:p>
        </w:tc>
      </w:tr>
      <w:tr w:rsidR="00976F86" w14:paraId="5DDC5338" w14:textId="77777777" w:rsidTr="00976F86">
        <w:trPr>
          <w:trHeight w:val="30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D9CCF5" w14:textId="77777777" w:rsidR="00976F86" w:rsidRDefault="00976F86" w:rsidP="00976F86">
            <w:pPr>
              <w:jc w:val="right"/>
              <w:rPr>
                <w:color w:val="000000"/>
              </w:rPr>
            </w:pPr>
            <w:r>
              <w:rPr>
                <w:color w:val="000000"/>
              </w:rPr>
              <w:t>70-74</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98AB0C" w14:textId="77777777" w:rsidR="00976F86" w:rsidRDefault="00976F86" w:rsidP="00976F86">
            <w:pPr>
              <w:jc w:val="right"/>
              <w:rPr>
                <w:color w:val="000000"/>
              </w:rPr>
            </w:pPr>
            <w:r>
              <w:rPr>
                <w:color w:val="000000"/>
              </w:rPr>
              <w:t>25.3</w:t>
            </w:r>
          </w:p>
        </w:tc>
        <w:tc>
          <w:tcPr>
            <w:tcW w:w="2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6E6AF3E" w14:textId="77777777" w:rsidR="00976F86" w:rsidRDefault="00976F86" w:rsidP="00976F86">
            <w:pPr>
              <w:rPr>
                <w:color w:val="000000"/>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ADDCD17" w14:textId="77777777" w:rsidR="00976F86" w:rsidRDefault="00976F86" w:rsidP="00976F86">
            <w:pPr>
              <w:jc w:val="right"/>
              <w:rPr>
                <w:rFonts w:ascii="Calibri" w:hAnsi="Calibri"/>
                <w:color w:val="000000"/>
              </w:rPr>
            </w:pPr>
            <w:r>
              <w:rPr>
                <w:color w:val="000000"/>
              </w:rPr>
              <w:t>28.3</w:t>
            </w:r>
          </w:p>
        </w:tc>
        <w:tc>
          <w:tcPr>
            <w:tcW w:w="1918" w:type="dxa"/>
            <w:tcBorders>
              <w:top w:val="nil"/>
              <w:left w:val="nil"/>
              <w:bottom w:val="single" w:sz="8" w:space="0" w:color="auto"/>
              <w:right w:val="single" w:sz="8" w:space="0" w:color="auto"/>
            </w:tcBorders>
            <w:tcMar>
              <w:top w:w="0" w:type="dxa"/>
              <w:left w:w="108" w:type="dxa"/>
              <w:bottom w:w="0" w:type="dxa"/>
              <w:right w:w="108" w:type="dxa"/>
            </w:tcMar>
            <w:hideMark/>
          </w:tcPr>
          <w:p w14:paraId="5A11D6F4" w14:textId="77777777" w:rsidR="00976F86" w:rsidRDefault="00976F86" w:rsidP="00976F86">
            <w:pPr>
              <w:jc w:val="right"/>
              <w:rPr>
                <w:color w:val="000000"/>
              </w:rPr>
            </w:pPr>
            <w:r>
              <w:rPr>
                <w:color w:val="000000"/>
              </w:rPr>
              <w:t>29.8</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70222F" w14:textId="77777777" w:rsidR="00976F86" w:rsidRDefault="00976F86" w:rsidP="00976F86">
            <w:pPr>
              <w:jc w:val="right"/>
              <w:rPr>
                <w:color w:val="000000"/>
              </w:rPr>
            </w:pPr>
            <w:r>
              <w:rPr>
                <w:color w:val="000000"/>
              </w:rPr>
              <w:t>4.5</w:t>
            </w:r>
          </w:p>
        </w:tc>
      </w:tr>
      <w:tr w:rsidR="00976F86" w14:paraId="5F2D1B12" w14:textId="77777777" w:rsidTr="00976F86">
        <w:trPr>
          <w:trHeight w:val="30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7165C8" w14:textId="77777777" w:rsidR="00976F86" w:rsidRDefault="00976F86" w:rsidP="00976F86">
            <w:pPr>
              <w:jc w:val="right"/>
              <w:rPr>
                <w:color w:val="000000"/>
              </w:rPr>
            </w:pPr>
            <w:r>
              <w:rPr>
                <w:color w:val="000000"/>
              </w:rPr>
              <w:t>75-79</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15A8CB6" w14:textId="77777777" w:rsidR="00976F86" w:rsidRDefault="00976F86" w:rsidP="00976F86">
            <w:pPr>
              <w:jc w:val="right"/>
              <w:rPr>
                <w:color w:val="000000"/>
              </w:rPr>
            </w:pPr>
            <w:r>
              <w:rPr>
                <w:color w:val="000000"/>
              </w:rPr>
              <w:t>17.3</w:t>
            </w:r>
          </w:p>
        </w:tc>
        <w:tc>
          <w:tcPr>
            <w:tcW w:w="2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9D500E6" w14:textId="77777777" w:rsidR="00976F86" w:rsidRDefault="00976F86" w:rsidP="00976F86">
            <w:pPr>
              <w:rPr>
                <w:color w:val="000000"/>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B906F24" w14:textId="77777777" w:rsidR="00976F86" w:rsidRDefault="00976F86" w:rsidP="00976F86">
            <w:pPr>
              <w:jc w:val="right"/>
              <w:rPr>
                <w:rFonts w:ascii="Calibri" w:hAnsi="Calibri"/>
                <w:color w:val="000000"/>
              </w:rPr>
            </w:pPr>
            <w:r>
              <w:rPr>
                <w:color w:val="000000"/>
              </w:rPr>
              <w:t>16.2</w:t>
            </w:r>
          </w:p>
        </w:tc>
        <w:tc>
          <w:tcPr>
            <w:tcW w:w="1918" w:type="dxa"/>
            <w:tcBorders>
              <w:top w:val="nil"/>
              <w:left w:val="nil"/>
              <w:bottom w:val="single" w:sz="8" w:space="0" w:color="auto"/>
              <w:right w:val="single" w:sz="8" w:space="0" w:color="auto"/>
            </w:tcBorders>
            <w:tcMar>
              <w:top w:w="0" w:type="dxa"/>
              <w:left w:w="108" w:type="dxa"/>
              <w:bottom w:w="0" w:type="dxa"/>
              <w:right w:w="108" w:type="dxa"/>
            </w:tcMar>
            <w:hideMark/>
          </w:tcPr>
          <w:p w14:paraId="5F048E05" w14:textId="77777777" w:rsidR="00976F86" w:rsidRDefault="00976F86" w:rsidP="00976F86">
            <w:pPr>
              <w:jc w:val="right"/>
              <w:rPr>
                <w:color w:val="000000"/>
              </w:rPr>
            </w:pPr>
            <w:r>
              <w:rPr>
                <w:color w:val="000000"/>
              </w:rPr>
              <w:t>15.6</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C93CC4" w14:textId="77777777" w:rsidR="00976F86" w:rsidRDefault="00976F86" w:rsidP="00976F86">
            <w:pPr>
              <w:jc w:val="right"/>
              <w:rPr>
                <w:color w:val="000000"/>
              </w:rPr>
            </w:pPr>
            <w:r>
              <w:rPr>
                <w:color w:val="000000"/>
              </w:rPr>
              <w:t>-1.7</w:t>
            </w:r>
          </w:p>
        </w:tc>
      </w:tr>
      <w:tr w:rsidR="00976F86" w14:paraId="1049341C" w14:textId="77777777" w:rsidTr="00976F86">
        <w:trPr>
          <w:trHeight w:val="30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7462A5" w14:textId="77777777" w:rsidR="00976F86" w:rsidRDefault="00976F86" w:rsidP="00976F86">
            <w:pPr>
              <w:jc w:val="right"/>
              <w:rPr>
                <w:color w:val="000000"/>
              </w:rPr>
            </w:pPr>
            <w:r>
              <w:rPr>
                <w:color w:val="000000"/>
              </w:rPr>
              <w:t>80-84</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BF93D5D" w14:textId="77777777" w:rsidR="00976F86" w:rsidRDefault="00976F86" w:rsidP="00976F86">
            <w:pPr>
              <w:jc w:val="right"/>
              <w:rPr>
                <w:color w:val="000000"/>
              </w:rPr>
            </w:pPr>
            <w:r>
              <w:rPr>
                <w:color w:val="000000"/>
              </w:rPr>
              <w:t>11.5</w:t>
            </w:r>
          </w:p>
        </w:tc>
        <w:tc>
          <w:tcPr>
            <w:tcW w:w="2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3B4086D" w14:textId="77777777" w:rsidR="00976F86" w:rsidRDefault="00976F86" w:rsidP="00976F86">
            <w:pPr>
              <w:rPr>
                <w:color w:val="000000"/>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CB43050" w14:textId="77777777" w:rsidR="00976F86" w:rsidRDefault="00976F86" w:rsidP="00976F86">
            <w:pPr>
              <w:jc w:val="right"/>
              <w:rPr>
                <w:rFonts w:ascii="Calibri" w:hAnsi="Calibri"/>
                <w:color w:val="000000"/>
              </w:rPr>
            </w:pPr>
            <w:r>
              <w:rPr>
                <w:color w:val="000000"/>
              </w:rPr>
              <w:t>9.8</w:t>
            </w:r>
          </w:p>
        </w:tc>
        <w:tc>
          <w:tcPr>
            <w:tcW w:w="1918" w:type="dxa"/>
            <w:tcBorders>
              <w:top w:val="nil"/>
              <w:left w:val="nil"/>
              <w:bottom w:val="single" w:sz="8" w:space="0" w:color="auto"/>
              <w:right w:val="single" w:sz="8" w:space="0" w:color="auto"/>
            </w:tcBorders>
            <w:tcMar>
              <w:top w:w="0" w:type="dxa"/>
              <w:left w:w="108" w:type="dxa"/>
              <w:bottom w:w="0" w:type="dxa"/>
              <w:right w:w="108" w:type="dxa"/>
            </w:tcMar>
            <w:hideMark/>
          </w:tcPr>
          <w:p w14:paraId="67AE4A6C" w14:textId="77777777" w:rsidR="00976F86" w:rsidRDefault="00976F86" w:rsidP="00976F86">
            <w:pPr>
              <w:jc w:val="right"/>
              <w:rPr>
                <w:color w:val="000000"/>
              </w:rPr>
            </w:pPr>
            <w:r>
              <w:rPr>
                <w:color w:val="000000"/>
              </w:rPr>
              <w:t>10.2</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69F783" w14:textId="77777777" w:rsidR="00976F86" w:rsidRDefault="00976F86" w:rsidP="00976F86">
            <w:pPr>
              <w:jc w:val="right"/>
              <w:rPr>
                <w:color w:val="000000"/>
              </w:rPr>
            </w:pPr>
            <w:r>
              <w:rPr>
                <w:color w:val="000000"/>
              </w:rPr>
              <w:t>-1.3</w:t>
            </w:r>
          </w:p>
        </w:tc>
      </w:tr>
      <w:tr w:rsidR="00976F86" w14:paraId="05D7A5D1" w14:textId="77777777" w:rsidTr="00976F86">
        <w:trPr>
          <w:trHeight w:val="30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60CFA4" w14:textId="77777777" w:rsidR="00976F86" w:rsidRDefault="00976F86" w:rsidP="00976F86">
            <w:pPr>
              <w:jc w:val="right"/>
              <w:rPr>
                <w:color w:val="000000"/>
              </w:rPr>
            </w:pPr>
            <w:r>
              <w:rPr>
                <w:color w:val="000000"/>
              </w:rPr>
              <w:t>85+</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40AACA2" w14:textId="77777777" w:rsidR="00976F86" w:rsidRDefault="00976F86" w:rsidP="00976F86">
            <w:pPr>
              <w:jc w:val="right"/>
              <w:rPr>
                <w:color w:val="000000"/>
              </w:rPr>
            </w:pPr>
            <w:r>
              <w:rPr>
                <w:color w:val="000000"/>
              </w:rPr>
              <w:t>11.9</w:t>
            </w:r>
          </w:p>
        </w:tc>
        <w:tc>
          <w:tcPr>
            <w:tcW w:w="2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88D8576" w14:textId="77777777" w:rsidR="00976F86" w:rsidRDefault="00976F86" w:rsidP="00976F86">
            <w:pPr>
              <w:rPr>
                <w:color w:val="000000"/>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845EC10" w14:textId="77777777" w:rsidR="00976F86" w:rsidRDefault="00976F86" w:rsidP="00976F86">
            <w:pPr>
              <w:jc w:val="right"/>
              <w:rPr>
                <w:rFonts w:ascii="Calibri" w:hAnsi="Calibri"/>
                <w:color w:val="000000"/>
              </w:rPr>
            </w:pPr>
            <w:r>
              <w:rPr>
                <w:color w:val="000000"/>
              </w:rPr>
              <w:t>7.2</w:t>
            </w:r>
          </w:p>
        </w:tc>
        <w:tc>
          <w:tcPr>
            <w:tcW w:w="1918" w:type="dxa"/>
            <w:tcBorders>
              <w:top w:val="nil"/>
              <w:left w:val="nil"/>
              <w:bottom w:val="single" w:sz="8" w:space="0" w:color="auto"/>
              <w:right w:val="single" w:sz="8" w:space="0" w:color="auto"/>
            </w:tcBorders>
            <w:tcMar>
              <w:top w:w="0" w:type="dxa"/>
              <w:left w:w="108" w:type="dxa"/>
              <w:bottom w:w="0" w:type="dxa"/>
              <w:right w:w="108" w:type="dxa"/>
            </w:tcMar>
            <w:hideMark/>
          </w:tcPr>
          <w:p w14:paraId="5D7E06BD" w14:textId="77777777" w:rsidR="00976F86" w:rsidRDefault="00976F86" w:rsidP="00976F86">
            <w:pPr>
              <w:jc w:val="right"/>
              <w:rPr>
                <w:color w:val="000000"/>
              </w:rPr>
            </w:pPr>
            <w:r>
              <w:rPr>
                <w:color w:val="000000"/>
              </w:rPr>
              <w:t>7.3</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D57433" w14:textId="77777777" w:rsidR="00976F86" w:rsidRDefault="00976F86" w:rsidP="00976F86">
            <w:pPr>
              <w:jc w:val="right"/>
              <w:rPr>
                <w:color w:val="000000"/>
              </w:rPr>
            </w:pPr>
            <w:r>
              <w:rPr>
                <w:color w:val="000000"/>
              </w:rPr>
              <w:t>-4.6</w:t>
            </w:r>
          </w:p>
        </w:tc>
      </w:tr>
      <w:tr w:rsidR="00976F86" w14:paraId="198C9395" w14:textId="77777777" w:rsidTr="00976F86">
        <w:trPr>
          <w:trHeight w:val="30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00FBDF" w14:textId="77777777" w:rsidR="00976F86" w:rsidRDefault="00976F86" w:rsidP="00976F86">
            <w:pPr>
              <w:rPr>
                <w:color w:val="000000"/>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9CB75A6" w14:textId="77777777" w:rsidR="00976F86" w:rsidRDefault="00976F86" w:rsidP="00976F86">
            <w:pPr>
              <w:rPr>
                <w:rFonts w:ascii="Times New Roman" w:eastAsia="Times New Roman" w:hAnsi="Times New Roman"/>
                <w:sz w:val="20"/>
                <w:szCs w:val="20"/>
              </w:rPr>
            </w:pPr>
          </w:p>
        </w:tc>
        <w:tc>
          <w:tcPr>
            <w:tcW w:w="2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D6D40C4" w14:textId="77777777" w:rsidR="00976F86" w:rsidRDefault="00976F86" w:rsidP="00976F86">
            <w:pPr>
              <w:rPr>
                <w:rFonts w:ascii="Times New Roman" w:eastAsia="Times New Roman" w:hAnsi="Times New Roman"/>
                <w:sz w:val="20"/>
                <w:szCs w:val="20"/>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5A626A" w14:textId="77777777" w:rsidR="00976F86" w:rsidRDefault="00976F86" w:rsidP="00976F86">
            <w:pPr>
              <w:rPr>
                <w:rFonts w:ascii="Times New Roman" w:eastAsia="Times New Roman" w:hAnsi="Times New Roman"/>
                <w:sz w:val="20"/>
                <w:szCs w:val="20"/>
              </w:rPr>
            </w:pPr>
          </w:p>
        </w:tc>
        <w:tc>
          <w:tcPr>
            <w:tcW w:w="19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7E53B9" w14:textId="77777777" w:rsidR="00976F86" w:rsidRDefault="00976F86" w:rsidP="00976F86">
            <w:pPr>
              <w:rPr>
                <w:rFonts w:ascii="Times New Roman" w:eastAsia="Times New Roman" w:hAnsi="Times New Roman"/>
                <w:sz w:val="20"/>
                <w:szCs w:val="20"/>
              </w:rPr>
            </w:pP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5ECA88" w14:textId="77777777" w:rsidR="00976F86" w:rsidRDefault="00976F86" w:rsidP="00976F86">
            <w:pPr>
              <w:rPr>
                <w:rFonts w:ascii="Times New Roman" w:eastAsia="Times New Roman" w:hAnsi="Times New Roman"/>
                <w:sz w:val="20"/>
                <w:szCs w:val="20"/>
              </w:rPr>
            </w:pPr>
          </w:p>
        </w:tc>
      </w:tr>
      <w:tr w:rsidR="00976F86" w14:paraId="3A99617E" w14:textId="77777777" w:rsidTr="00976F86">
        <w:trPr>
          <w:trHeight w:val="30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067C3E" w14:textId="77777777" w:rsidR="00976F86" w:rsidRDefault="00976F86" w:rsidP="00976F86">
            <w:pPr>
              <w:jc w:val="center"/>
              <w:rPr>
                <w:rFonts w:ascii="Calibri" w:hAnsi="Calibri"/>
                <w:b/>
                <w:bCs/>
                <w:color w:val="000000"/>
              </w:rPr>
            </w:pPr>
            <w:r>
              <w:rPr>
                <w:b/>
                <w:bCs/>
                <w:color w:val="000000"/>
              </w:rPr>
              <w:t>Race</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D92A72" w14:textId="77777777" w:rsidR="00976F86" w:rsidRDefault="00976F86" w:rsidP="00976F86">
            <w:pPr>
              <w:rPr>
                <w:b/>
                <w:bCs/>
                <w:color w:val="000000"/>
              </w:rPr>
            </w:pPr>
          </w:p>
        </w:tc>
        <w:tc>
          <w:tcPr>
            <w:tcW w:w="2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3E1BAD" w14:textId="77777777" w:rsidR="00976F86" w:rsidRDefault="00976F86" w:rsidP="00976F86">
            <w:pPr>
              <w:rPr>
                <w:rFonts w:ascii="Times New Roman" w:eastAsia="Times New Roman" w:hAnsi="Times New Roman"/>
                <w:sz w:val="20"/>
                <w:szCs w:val="20"/>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B88187" w14:textId="77777777" w:rsidR="00976F86" w:rsidRDefault="00976F86" w:rsidP="00976F86">
            <w:pPr>
              <w:rPr>
                <w:rFonts w:ascii="Times New Roman" w:eastAsia="Times New Roman" w:hAnsi="Times New Roman"/>
                <w:sz w:val="20"/>
                <w:szCs w:val="20"/>
              </w:rPr>
            </w:pPr>
          </w:p>
        </w:tc>
        <w:tc>
          <w:tcPr>
            <w:tcW w:w="19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4E1566" w14:textId="77777777" w:rsidR="00976F86" w:rsidRDefault="00976F86" w:rsidP="00976F86">
            <w:pPr>
              <w:rPr>
                <w:rFonts w:ascii="Times New Roman" w:eastAsia="Times New Roman" w:hAnsi="Times New Roman"/>
                <w:sz w:val="20"/>
                <w:szCs w:val="20"/>
              </w:rPr>
            </w:pP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97BF79" w14:textId="77777777" w:rsidR="00976F86" w:rsidRDefault="00976F86" w:rsidP="00976F86">
            <w:pPr>
              <w:rPr>
                <w:rFonts w:ascii="Times New Roman" w:eastAsia="Times New Roman" w:hAnsi="Times New Roman"/>
                <w:sz w:val="20"/>
                <w:szCs w:val="20"/>
              </w:rPr>
            </w:pPr>
          </w:p>
        </w:tc>
      </w:tr>
      <w:tr w:rsidR="00976F86" w14:paraId="0B438323" w14:textId="77777777" w:rsidTr="00976F86">
        <w:trPr>
          <w:trHeight w:val="30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3E0521" w14:textId="77777777" w:rsidR="00976F86" w:rsidRDefault="00976F86" w:rsidP="00976F86">
            <w:pPr>
              <w:jc w:val="right"/>
              <w:rPr>
                <w:rFonts w:ascii="Calibri" w:hAnsi="Calibri"/>
                <w:color w:val="000000"/>
              </w:rPr>
            </w:pPr>
            <w:r>
              <w:rPr>
                <w:color w:val="000000"/>
              </w:rPr>
              <w:t>NH-White</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B577B1C" w14:textId="77777777" w:rsidR="00976F86" w:rsidRDefault="00976F86" w:rsidP="00976F86">
            <w:pPr>
              <w:jc w:val="right"/>
              <w:rPr>
                <w:color w:val="000000"/>
              </w:rPr>
            </w:pPr>
            <w:r>
              <w:rPr>
                <w:color w:val="000000"/>
              </w:rPr>
              <w:t>77.0</w:t>
            </w:r>
          </w:p>
        </w:tc>
        <w:tc>
          <w:tcPr>
            <w:tcW w:w="2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61ABCE2" w14:textId="77777777" w:rsidR="00976F86" w:rsidRDefault="00976F86" w:rsidP="00976F86">
            <w:pPr>
              <w:rPr>
                <w:color w:val="000000"/>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ACD1086" w14:textId="77777777" w:rsidR="00976F86" w:rsidRDefault="00976F86" w:rsidP="00976F86">
            <w:pPr>
              <w:jc w:val="right"/>
              <w:rPr>
                <w:rFonts w:ascii="Calibri" w:hAnsi="Calibri"/>
                <w:color w:val="000000"/>
              </w:rPr>
            </w:pPr>
            <w:r>
              <w:rPr>
                <w:color w:val="000000"/>
              </w:rPr>
              <w:t>64.6</w:t>
            </w:r>
          </w:p>
        </w:tc>
        <w:tc>
          <w:tcPr>
            <w:tcW w:w="1918" w:type="dxa"/>
            <w:tcBorders>
              <w:top w:val="nil"/>
              <w:left w:val="nil"/>
              <w:bottom w:val="single" w:sz="8" w:space="0" w:color="auto"/>
              <w:right w:val="single" w:sz="8" w:space="0" w:color="auto"/>
            </w:tcBorders>
            <w:tcMar>
              <w:top w:w="0" w:type="dxa"/>
              <w:left w:w="108" w:type="dxa"/>
              <w:bottom w:w="0" w:type="dxa"/>
              <w:right w:w="108" w:type="dxa"/>
            </w:tcMar>
            <w:hideMark/>
          </w:tcPr>
          <w:p w14:paraId="27FFF093" w14:textId="77777777" w:rsidR="00976F86" w:rsidRDefault="00976F86" w:rsidP="00976F86">
            <w:pPr>
              <w:jc w:val="right"/>
              <w:rPr>
                <w:color w:val="000000"/>
              </w:rPr>
            </w:pPr>
            <w:r>
              <w:rPr>
                <w:color w:val="000000"/>
              </w:rPr>
              <w:t>78.5</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BCEFAD" w14:textId="77777777" w:rsidR="00976F86" w:rsidRDefault="00976F86" w:rsidP="00976F86">
            <w:pPr>
              <w:jc w:val="right"/>
              <w:rPr>
                <w:color w:val="000000"/>
              </w:rPr>
            </w:pPr>
            <w:r>
              <w:rPr>
                <w:color w:val="000000"/>
              </w:rPr>
              <w:t>1.5</w:t>
            </w:r>
          </w:p>
        </w:tc>
      </w:tr>
      <w:tr w:rsidR="00976F86" w14:paraId="697AC6FD" w14:textId="77777777" w:rsidTr="00976F86">
        <w:trPr>
          <w:trHeight w:val="30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0A8D8A" w14:textId="77777777" w:rsidR="00976F86" w:rsidRDefault="00976F86" w:rsidP="00976F86">
            <w:pPr>
              <w:jc w:val="right"/>
              <w:rPr>
                <w:color w:val="000000"/>
              </w:rPr>
            </w:pPr>
            <w:r>
              <w:rPr>
                <w:color w:val="000000"/>
              </w:rPr>
              <w:t>NH-Black</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7E4A6FA" w14:textId="77777777" w:rsidR="00976F86" w:rsidRDefault="00976F86" w:rsidP="00976F86">
            <w:pPr>
              <w:jc w:val="right"/>
              <w:rPr>
                <w:color w:val="000000"/>
              </w:rPr>
            </w:pPr>
            <w:r>
              <w:rPr>
                <w:color w:val="000000"/>
              </w:rPr>
              <w:t>8.9</w:t>
            </w:r>
          </w:p>
        </w:tc>
        <w:tc>
          <w:tcPr>
            <w:tcW w:w="2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9E66F01" w14:textId="77777777" w:rsidR="00976F86" w:rsidRDefault="00976F86" w:rsidP="00976F86">
            <w:pPr>
              <w:rPr>
                <w:color w:val="000000"/>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83D5D51" w14:textId="77777777" w:rsidR="00976F86" w:rsidRDefault="00976F86" w:rsidP="00976F86">
            <w:pPr>
              <w:jc w:val="right"/>
              <w:rPr>
                <w:rFonts w:ascii="Calibri" w:hAnsi="Calibri"/>
                <w:color w:val="000000"/>
              </w:rPr>
            </w:pPr>
            <w:r>
              <w:rPr>
                <w:color w:val="000000"/>
              </w:rPr>
              <w:t>13.4</w:t>
            </w:r>
          </w:p>
        </w:tc>
        <w:tc>
          <w:tcPr>
            <w:tcW w:w="1918" w:type="dxa"/>
            <w:tcBorders>
              <w:top w:val="nil"/>
              <w:left w:val="nil"/>
              <w:bottom w:val="single" w:sz="8" w:space="0" w:color="auto"/>
              <w:right w:val="single" w:sz="8" w:space="0" w:color="auto"/>
            </w:tcBorders>
            <w:tcMar>
              <w:top w:w="0" w:type="dxa"/>
              <w:left w:w="108" w:type="dxa"/>
              <w:bottom w:w="0" w:type="dxa"/>
              <w:right w:w="108" w:type="dxa"/>
            </w:tcMar>
            <w:hideMark/>
          </w:tcPr>
          <w:p w14:paraId="7531D21A" w14:textId="77777777" w:rsidR="00976F86" w:rsidRDefault="00976F86" w:rsidP="00976F86">
            <w:pPr>
              <w:jc w:val="right"/>
              <w:rPr>
                <w:color w:val="000000"/>
              </w:rPr>
            </w:pPr>
            <w:r>
              <w:rPr>
                <w:color w:val="000000"/>
              </w:rPr>
              <w:t>8.1</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561BF2" w14:textId="77777777" w:rsidR="00976F86" w:rsidRDefault="00976F86" w:rsidP="00976F86">
            <w:pPr>
              <w:jc w:val="right"/>
              <w:rPr>
                <w:color w:val="000000"/>
              </w:rPr>
            </w:pPr>
            <w:r>
              <w:rPr>
                <w:color w:val="000000"/>
              </w:rPr>
              <w:t>-0.8</w:t>
            </w:r>
          </w:p>
        </w:tc>
      </w:tr>
      <w:tr w:rsidR="00976F86" w14:paraId="72B8B6FE" w14:textId="77777777" w:rsidTr="00976F86">
        <w:trPr>
          <w:trHeight w:val="30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30BAF8" w14:textId="77777777" w:rsidR="00976F86" w:rsidRDefault="00976F86" w:rsidP="00976F86">
            <w:pPr>
              <w:jc w:val="right"/>
              <w:rPr>
                <w:color w:val="000000"/>
              </w:rPr>
            </w:pPr>
            <w:r>
              <w:rPr>
                <w:color w:val="000000"/>
              </w:rPr>
              <w:t>Hispanic</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6817484" w14:textId="77777777" w:rsidR="00976F86" w:rsidRDefault="00976F86" w:rsidP="00976F86">
            <w:pPr>
              <w:jc w:val="right"/>
              <w:rPr>
                <w:color w:val="000000"/>
              </w:rPr>
            </w:pPr>
            <w:r>
              <w:rPr>
                <w:color w:val="000000"/>
              </w:rPr>
              <w:t>8.2</w:t>
            </w:r>
          </w:p>
        </w:tc>
        <w:tc>
          <w:tcPr>
            <w:tcW w:w="2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5FBD2D" w14:textId="77777777" w:rsidR="00976F86" w:rsidRDefault="00976F86" w:rsidP="00976F86">
            <w:pPr>
              <w:rPr>
                <w:color w:val="000000"/>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6E93D4B" w14:textId="77777777" w:rsidR="00976F86" w:rsidRDefault="00976F86" w:rsidP="00976F86">
            <w:pPr>
              <w:jc w:val="right"/>
              <w:rPr>
                <w:rFonts w:ascii="Calibri" w:hAnsi="Calibri"/>
                <w:color w:val="000000"/>
              </w:rPr>
            </w:pPr>
            <w:r>
              <w:rPr>
                <w:color w:val="000000"/>
              </w:rPr>
              <w:t>15.8</w:t>
            </w:r>
          </w:p>
        </w:tc>
        <w:tc>
          <w:tcPr>
            <w:tcW w:w="1918" w:type="dxa"/>
            <w:tcBorders>
              <w:top w:val="nil"/>
              <w:left w:val="nil"/>
              <w:bottom w:val="single" w:sz="8" w:space="0" w:color="auto"/>
              <w:right w:val="single" w:sz="8" w:space="0" w:color="auto"/>
            </w:tcBorders>
            <w:tcMar>
              <w:top w:w="0" w:type="dxa"/>
              <w:left w:w="108" w:type="dxa"/>
              <w:bottom w:w="0" w:type="dxa"/>
              <w:right w:w="108" w:type="dxa"/>
            </w:tcMar>
            <w:hideMark/>
          </w:tcPr>
          <w:p w14:paraId="2CE126D6" w14:textId="77777777" w:rsidR="00976F86" w:rsidRDefault="00976F86" w:rsidP="00976F86">
            <w:pPr>
              <w:jc w:val="right"/>
              <w:rPr>
                <w:color w:val="000000"/>
              </w:rPr>
            </w:pPr>
            <w:r>
              <w:rPr>
                <w:color w:val="000000"/>
              </w:rPr>
              <w:t>7.3</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9BA93F" w14:textId="77777777" w:rsidR="00976F86" w:rsidRDefault="00976F86" w:rsidP="00976F86">
            <w:pPr>
              <w:jc w:val="right"/>
              <w:rPr>
                <w:color w:val="000000"/>
              </w:rPr>
            </w:pPr>
            <w:r>
              <w:rPr>
                <w:color w:val="000000"/>
              </w:rPr>
              <w:t>-0.9</w:t>
            </w:r>
          </w:p>
        </w:tc>
      </w:tr>
      <w:tr w:rsidR="00976F86" w14:paraId="21A7C61D" w14:textId="77777777" w:rsidTr="00976F86">
        <w:trPr>
          <w:trHeight w:val="30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5117B3" w14:textId="77777777" w:rsidR="00976F86" w:rsidRDefault="00976F86" w:rsidP="00976F86">
            <w:pPr>
              <w:jc w:val="right"/>
              <w:rPr>
                <w:color w:val="000000"/>
              </w:rPr>
            </w:pPr>
            <w:r>
              <w:rPr>
                <w:color w:val="000000"/>
              </w:rPr>
              <w:t>NH-Asian/Pacific Islander</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906F762" w14:textId="77777777" w:rsidR="00976F86" w:rsidRDefault="00976F86" w:rsidP="00976F86">
            <w:pPr>
              <w:jc w:val="right"/>
              <w:rPr>
                <w:color w:val="000000"/>
              </w:rPr>
            </w:pPr>
            <w:r>
              <w:rPr>
                <w:color w:val="000000"/>
              </w:rPr>
              <w:t>4.6</w:t>
            </w:r>
          </w:p>
        </w:tc>
        <w:tc>
          <w:tcPr>
            <w:tcW w:w="2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B4D3DC6" w14:textId="77777777" w:rsidR="00976F86" w:rsidRDefault="00976F86" w:rsidP="00976F86">
            <w:pPr>
              <w:rPr>
                <w:color w:val="000000"/>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D47A03B" w14:textId="77777777" w:rsidR="00976F86" w:rsidRDefault="00976F86" w:rsidP="00976F86">
            <w:pPr>
              <w:jc w:val="right"/>
              <w:rPr>
                <w:rFonts w:ascii="Calibri" w:hAnsi="Calibri"/>
                <w:color w:val="000000"/>
              </w:rPr>
            </w:pPr>
            <w:r>
              <w:rPr>
                <w:color w:val="000000"/>
              </w:rPr>
              <w:t>1.4</w:t>
            </w:r>
          </w:p>
        </w:tc>
        <w:tc>
          <w:tcPr>
            <w:tcW w:w="1918" w:type="dxa"/>
            <w:tcBorders>
              <w:top w:val="nil"/>
              <w:left w:val="nil"/>
              <w:bottom w:val="single" w:sz="8" w:space="0" w:color="auto"/>
              <w:right w:val="single" w:sz="8" w:space="0" w:color="auto"/>
            </w:tcBorders>
            <w:tcMar>
              <w:top w:w="0" w:type="dxa"/>
              <w:left w:w="108" w:type="dxa"/>
              <w:bottom w:w="0" w:type="dxa"/>
              <w:right w:w="108" w:type="dxa"/>
            </w:tcMar>
            <w:hideMark/>
          </w:tcPr>
          <w:p w14:paraId="4FDAE654" w14:textId="77777777" w:rsidR="00976F86" w:rsidRDefault="00976F86" w:rsidP="00976F86">
            <w:pPr>
              <w:jc w:val="right"/>
              <w:rPr>
                <w:color w:val="000000"/>
              </w:rPr>
            </w:pPr>
            <w:r>
              <w:rPr>
                <w:color w:val="000000"/>
              </w:rPr>
              <w:t>1.4</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C2F7C3" w14:textId="77777777" w:rsidR="00976F86" w:rsidRDefault="00976F86" w:rsidP="00976F86">
            <w:pPr>
              <w:jc w:val="right"/>
              <w:rPr>
                <w:color w:val="000000"/>
              </w:rPr>
            </w:pPr>
            <w:r>
              <w:rPr>
                <w:color w:val="000000"/>
              </w:rPr>
              <w:t>-3.2</w:t>
            </w:r>
          </w:p>
        </w:tc>
      </w:tr>
      <w:tr w:rsidR="00976F86" w14:paraId="6E903F89" w14:textId="77777777" w:rsidTr="00976F86">
        <w:trPr>
          <w:trHeight w:val="30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680AF2" w14:textId="77777777" w:rsidR="00976F86" w:rsidRDefault="00976F86" w:rsidP="00976F86">
            <w:pPr>
              <w:jc w:val="right"/>
              <w:rPr>
                <w:color w:val="000000"/>
              </w:rPr>
            </w:pPr>
            <w:r>
              <w:rPr>
                <w:color w:val="000000"/>
              </w:rPr>
              <w:t>NH-All Other</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E78B988" w14:textId="77777777" w:rsidR="00976F86" w:rsidRDefault="00976F86" w:rsidP="00976F86">
            <w:pPr>
              <w:jc w:val="right"/>
              <w:rPr>
                <w:color w:val="000000"/>
              </w:rPr>
            </w:pPr>
            <w:r>
              <w:rPr>
                <w:color w:val="000000"/>
              </w:rPr>
              <w:t>1.3</w:t>
            </w:r>
          </w:p>
        </w:tc>
        <w:tc>
          <w:tcPr>
            <w:tcW w:w="2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8728B84" w14:textId="77777777" w:rsidR="00976F86" w:rsidRDefault="00976F86" w:rsidP="00976F86">
            <w:pPr>
              <w:rPr>
                <w:color w:val="000000"/>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D5F438F" w14:textId="77777777" w:rsidR="00976F86" w:rsidRDefault="00976F86" w:rsidP="00976F86">
            <w:pPr>
              <w:jc w:val="right"/>
              <w:rPr>
                <w:rFonts w:ascii="Calibri" w:hAnsi="Calibri"/>
                <w:color w:val="000000"/>
              </w:rPr>
            </w:pPr>
            <w:r>
              <w:rPr>
                <w:color w:val="000000"/>
              </w:rPr>
              <w:t>4.8</w:t>
            </w:r>
          </w:p>
        </w:tc>
        <w:tc>
          <w:tcPr>
            <w:tcW w:w="1918" w:type="dxa"/>
            <w:tcBorders>
              <w:top w:val="nil"/>
              <w:left w:val="nil"/>
              <w:bottom w:val="single" w:sz="8" w:space="0" w:color="auto"/>
              <w:right w:val="single" w:sz="8" w:space="0" w:color="auto"/>
            </w:tcBorders>
            <w:tcMar>
              <w:top w:w="0" w:type="dxa"/>
              <w:left w:w="108" w:type="dxa"/>
              <w:bottom w:w="0" w:type="dxa"/>
              <w:right w:w="108" w:type="dxa"/>
            </w:tcMar>
            <w:hideMark/>
          </w:tcPr>
          <w:p w14:paraId="2AAFA17D" w14:textId="77777777" w:rsidR="00976F86" w:rsidRDefault="00976F86" w:rsidP="00976F86">
            <w:pPr>
              <w:jc w:val="right"/>
              <w:rPr>
                <w:color w:val="000000"/>
              </w:rPr>
            </w:pPr>
            <w:r>
              <w:rPr>
                <w:color w:val="000000"/>
              </w:rPr>
              <w:t>4.7</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D2F866" w14:textId="77777777" w:rsidR="00976F86" w:rsidRDefault="00976F86" w:rsidP="00976F86">
            <w:pPr>
              <w:jc w:val="right"/>
              <w:rPr>
                <w:color w:val="000000"/>
              </w:rPr>
            </w:pPr>
            <w:r>
              <w:rPr>
                <w:color w:val="000000"/>
              </w:rPr>
              <w:t>3.4</w:t>
            </w:r>
          </w:p>
        </w:tc>
      </w:tr>
      <w:tr w:rsidR="00976F86" w14:paraId="3B3D8E6D" w14:textId="77777777" w:rsidTr="00976F86">
        <w:trPr>
          <w:trHeight w:val="30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E26CD9" w14:textId="77777777" w:rsidR="00976F86" w:rsidRDefault="00976F86" w:rsidP="00976F86">
            <w:pPr>
              <w:rPr>
                <w:color w:val="000000"/>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F7680E5" w14:textId="77777777" w:rsidR="00976F86" w:rsidRDefault="00976F86" w:rsidP="00976F86">
            <w:pPr>
              <w:rPr>
                <w:rFonts w:ascii="Times New Roman" w:eastAsia="Times New Roman" w:hAnsi="Times New Roman"/>
                <w:sz w:val="20"/>
                <w:szCs w:val="20"/>
              </w:rPr>
            </w:pPr>
          </w:p>
        </w:tc>
        <w:tc>
          <w:tcPr>
            <w:tcW w:w="2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3BB6A5" w14:textId="77777777" w:rsidR="00976F86" w:rsidRDefault="00976F86" w:rsidP="00976F86">
            <w:pPr>
              <w:rPr>
                <w:rFonts w:ascii="Times New Roman" w:eastAsia="Times New Roman" w:hAnsi="Times New Roman"/>
                <w:sz w:val="20"/>
                <w:szCs w:val="20"/>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DAAF88" w14:textId="77777777" w:rsidR="00976F86" w:rsidRDefault="00976F86" w:rsidP="00976F86">
            <w:pPr>
              <w:rPr>
                <w:rFonts w:ascii="Times New Roman" w:eastAsia="Times New Roman" w:hAnsi="Times New Roman"/>
                <w:sz w:val="20"/>
                <w:szCs w:val="20"/>
              </w:rPr>
            </w:pPr>
          </w:p>
        </w:tc>
        <w:tc>
          <w:tcPr>
            <w:tcW w:w="19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8CDB35" w14:textId="77777777" w:rsidR="00976F86" w:rsidRDefault="00976F86" w:rsidP="00976F86">
            <w:pPr>
              <w:rPr>
                <w:rFonts w:ascii="Times New Roman" w:eastAsia="Times New Roman" w:hAnsi="Times New Roman"/>
                <w:sz w:val="20"/>
                <w:szCs w:val="20"/>
              </w:rPr>
            </w:pP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C26230" w14:textId="77777777" w:rsidR="00976F86" w:rsidRDefault="00976F86" w:rsidP="00976F86">
            <w:pPr>
              <w:rPr>
                <w:rFonts w:ascii="Times New Roman" w:eastAsia="Times New Roman" w:hAnsi="Times New Roman"/>
                <w:sz w:val="20"/>
                <w:szCs w:val="20"/>
              </w:rPr>
            </w:pPr>
          </w:p>
        </w:tc>
      </w:tr>
      <w:tr w:rsidR="00976F86" w14:paraId="50D29FAF" w14:textId="77777777" w:rsidTr="00976F86">
        <w:trPr>
          <w:trHeight w:val="30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8DADE9" w14:textId="77777777" w:rsidR="00976F86" w:rsidRDefault="00976F86" w:rsidP="00976F86">
            <w:pPr>
              <w:jc w:val="center"/>
              <w:rPr>
                <w:rFonts w:ascii="Calibri" w:hAnsi="Calibri"/>
                <w:b/>
                <w:bCs/>
                <w:color w:val="000000"/>
              </w:rPr>
            </w:pPr>
            <w:r>
              <w:rPr>
                <w:b/>
                <w:bCs/>
                <w:color w:val="000000"/>
              </w:rPr>
              <w:t>Gender</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D5593F8" w14:textId="77777777" w:rsidR="00976F86" w:rsidRDefault="00976F86" w:rsidP="00976F86">
            <w:pPr>
              <w:rPr>
                <w:b/>
                <w:bCs/>
                <w:color w:val="000000"/>
              </w:rPr>
            </w:pPr>
          </w:p>
        </w:tc>
        <w:tc>
          <w:tcPr>
            <w:tcW w:w="2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71A6025" w14:textId="77777777" w:rsidR="00976F86" w:rsidRDefault="00976F86" w:rsidP="00976F86">
            <w:pPr>
              <w:rPr>
                <w:rFonts w:ascii="Times New Roman" w:eastAsia="Times New Roman" w:hAnsi="Times New Roman"/>
                <w:sz w:val="20"/>
                <w:szCs w:val="20"/>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E7371E" w14:textId="77777777" w:rsidR="00976F86" w:rsidRDefault="00976F86" w:rsidP="00976F86">
            <w:pPr>
              <w:rPr>
                <w:rFonts w:ascii="Times New Roman" w:eastAsia="Times New Roman" w:hAnsi="Times New Roman"/>
                <w:sz w:val="20"/>
                <w:szCs w:val="20"/>
              </w:rPr>
            </w:pPr>
          </w:p>
        </w:tc>
        <w:tc>
          <w:tcPr>
            <w:tcW w:w="19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3A6546" w14:textId="77777777" w:rsidR="00976F86" w:rsidRDefault="00976F86" w:rsidP="00976F86">
            <w:pPr>
              <w:rPr>
                <w:rFonts w:ascii="Times New Roman" w:eastAsia="Times New Roman" w:hAnsi="Times New Roman"/>
                <w:sz w:val="20"/>
                <w:szCs w:val="20"/>
              </w:rPr>
            </w:pP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4BED12" w14:textId="77777777" w:rsidR="00976F86" w:rsidRDefault="00976F86" w:rsidP="00976F86">
            <w:pPr>
              <w:rPr>
                <w:rFonts w:ascii="Times New Roman" w:eastAsia="Times New Roman" w:hAnsi="Times New Roman"/>
                <w:sz w:val="20"/>
                <w:szCs w:val="20"/>
              </w:rPr>
            </w:pPr>
          </w:p>
        </w:tc>
      </w:tr>
      <w:tr w:rsidR="00976F86" w14:paraId="6D195748" w14:textId="77777777" w:rsidTr="00976F86">
        <w:trPr>
          <w:trHeight w:val="30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44D5BD" w14:textId="77777777" w:rsidR="00976F86" w:rsidRDefault="00976F86" w:rsidP="00976F86">
            <w:pPr>
              <w:jc w:val="right"/>
              <w:rPr>
                <w:rFonts w:ascii="Calibri" w:hAnsi="Calibri"/>
                <w:color w:val="000000"/>
              </w:rPr>
            </w:pPr>
            <w:r>
              <w:rPr>
                <w:color w:val="000000"/>
              </w:rPr>
              <w:t>Male</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C89358" w14:textId="77777777" w:rsidR="00976F86" w:rsidRDefault="00976F86" w:rsidP="00976F86">
            <w:pPr>
              <w:jc w:val="right"/>
              <w:rPr>
                <w:color w:val="000000"/>
              </w:rPr>
            </w:pPr>
            <w:r>
              <w:rPr>
                <w:color w:val="000000"/>
              </w:rPr>
              <w:t>45.0</w:t>
            </w:r>
          </w:p>
        </w:tc>
        <w:tc>
          <w:tcPr>
            <w:tcW w:w="2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C96F15" w14:textId="77777777" w:rsidR="00976F86" w:rsidRDefault="00976F86" w:rsidP="00976F86">
            <w:pPr>
              <w:rPr>
                <w:color w:val="000000"/>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9B769D8" w14:textId="77777777" w:rsidR="00976F86" w:rsidRDefault="00976F86" w:rsidP="00976F86">
            <w:pPr>
              <w:jc w:val="right"/>
              <w:rPr>
                <w:rFonts w:ascii="Calibri" w:hAnsi="Calibri"/>
                <w:color w:val="000000"/>
              </w:rPr>
            </w:pPr>
            <w:r>
              <w:rPr>
                <w:color w:val="000000"/>
              </w:rPr>
              <w:t>44.3</w:t>
            </w:r>
          </w:p>
        </w:tc>
        <w:tc>
          <w:tcPr>
            <w:tcW w:w="1918" w:type="dxa"/>
            <w:tcBorders>
              <w:top w:val="nil"/>
              <w:left w:val="nil"/>
              <w:bottom w:val="single" w:sz="8" w:space="0" w:color="auto"/>
              <w:right w:val="single" w:sz="8" w:space="0" w:color="auto"/>
            </w:tcBorders>
            <w:tcMar>
              <w:top w:w="0" w:type="dxa"/>
              <w:left w:w="108" w:type="dxa"/>
              <w:bottom w:w="0" w:type="dxa"/>
              <w:right w:w="108" w:type="dxa"/>
            </w:tcMar>
            <w:hideMark/>
          </w:tcPr>
          <w:p w14:paraId="6C646EEA" w14:textId="77777777" w:rsidR="00976F86" w:rsidRDefault="00976F86" w:rsidP="00976F86">
            <w:pPr>
              <w:jc w:val="right"/>
              <w:rPr>
                <w:color w:val="000000"/>
              </w:rPr>
            </w:pPr>
            <w:r>
              <w:rPr>
                <w:color w:val="000000"/>
              </w:rPr>
              <w:t>49.8</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FFF2FA" w14:textId="77777777" w:rsidR="00976F86" w:rsidRDefault="00976F86" w:rsidP="00976F86">
            <w:pPr>
              <w:jc w:val="right"/>
              <w:rPr>
                <w:color w:val="000000"/>
              </w:rPr>
            </w:pPr>
            <w:r>
              <w:rPr>
                <w:color w:val="000000"/>
              </w:rPr>
              <w:t>4.8</w:t>
            </w:r>
          </w:p>
        </w:tc>
      </w:tr>
      <w:tr w:rsidR="00976F86" w14:paraId="763C53D3" w14:textId="77777777" w:rsidTr="00976F86">
        <w:trPr>
          <w:trHeight w:val="30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3645AB" w14:textId="77777777" w:rsidR="00976F86" w:rsidRDefault="00976F86" w:rsidP="00976F86">
            <w:pPr>
              <w:jc w:val="right"/>
              <w:rPr>
                <w:color w:val="000000"/>
              </w:rPr>
            </w:pPr>
            <w:r>
              <w:rPr>
                <w:color w:val="000000"/>
              </w:rPr>
              <w:t>Female</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D1B62CD" w14:textId="77777777" w:rsidR="00976F86" w:rsidRDefault="00976F86" w:rsidP="00976F86">
            <w:pPr>
              <w:jc w:val="right"/>
              <w:rPr>
                <w:color w:val="000000"/>
              </w:rPr>
            </w:pPr>
            <w:r>
              <w:rPr>
                <w:color w:val="000000"/>
              </w:rPr>
              <w:t>55.0</w:t>
            </w:r>
          </w:p>
        </w:tc>
        <w:tc>
          <w:tcPr>
            <w:tcW w:w="2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EAA165C" w14:textId="77777777" w:rsidR="00976F86" w:rsidRDefault="00976F86" w:rsidP="00976F86">
            <w:pPr>
              <w:rPr>
                <w:color w:val="000000"/>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E289F03" w14:textId="77777777" w:rsidR="00976F86" w:rsidRDefault="00976F86" w:rsidP="00976F86">
            <w:pPr>
              <w:jc w:val="right"/>
              <w:rPr>
                <w:rFonts w:ascii="Calibri" w:hAnsi="Calibri"/>
                <w:color w:val="000000"/>
              </w:rPr>
            </w:pPr>
            <w:r>
              <w:rPr>
                <w:color w:val="000000"/>
              </w:rPr>
              <w:t>55.7</w:t>
            </w:r>
          </w:p>
        </w:tc>
        <w:tc>
          <w:tcPr>
            <w:tcW w:w="1918" w:type="dxa"/>
            <w:tcBorders>
              <w:top w:val="nil"/>
              <w:left w:val="nil"/>
              <w:bottom w:val="single" w:sz="8" w:space="0" w:color="auto"/>
              <w:right w:val="single" w:sz="8" w:space="0" w:color="auto"/>
            </w:tcBorders>
            <w:tcMar>
              <w:top w:w="0" w:type="dxa"/>
              <w:left w:w="108" w:type="dxa"/>
              <w:bottom w:w="0" w:type="dxa"/>
              <w:right w:w="108" w:type="dxa"/>
            </w:tcMar>
            <w:hideMark/>
          </w:tcPr>
          <w:p w14:paraId="37691CE4" w14:textId="77777777" w:rsidR="00976F86" w:rsidRDefault="00976F86" w:rsidP="00976F86">
            <w:pPr>
              <w:jc w:val="right"/>
              <w:rPr>
                <w:color w:val="000000"/>
              </w:rPr>
            </w:pPr>
            <w:r>
              <w:rPr>
                <w:color w:val="000000"/>
              </w:rPr>
              <w:t>50.2</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8638C2" w14:textId="77777777" w:rsidR="00976F86" w:rsidRDefault="00976F86" w:rsidP="00976F86">
            <w:pPr>
              <w:jc w:val="right"/>
              <w:rPr>
                <w:color w:val="000000"/>
              </w:rPr>
            </w:pPr>
            <w:r>
              <w:rPr>
                <w:color w:val="000000"/>
              </w:rPr>
              <w:t>-4.8</w:t>
            </w:r>
          </w:p>
        </w:tc>
      </w:tr>
      <w:tr w:rsidR="00976F86" w14:paraId="43B1C435" w14:textId="77777777" w:rsidTr="00976F86">
        <w:trPr>
          <w:trHeight w:val="30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68AE55" w14:textId="77777777" w:rsidR="00976F86" w:rsidRDefault="00976F86" w:rsidP="00976F86">
            <w:pPr>
              <w:rPr>
                <w:color w:val="000000"/>
              </w:rPr>
            </w:pP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F49CE9" w14:textId="77777777" w:rsidR="00976F86" w:rsidRDefault="00976F86" w:rsidP="00976F86">
            <w:pPr>
              <w:rPr>
                <w:rFonts w:ascii="Times New Roman" w:eastAsia="Times New Roman" w:hAnsi="Times New Roman"/>
                <w:sz w:val="20"/>
                <w:szCs w:val="20"/>
              </w:rPr>
            </w:pPr>
          </w:p>
        </w:tc>
        <w:tc>
          <w:tcPr>
            <w:tcW w:w="2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349308" w14:textId="77777777" w:rsidR="00976F86" w:rsidRDefault="00976F86" w:rsidP="00976F86">
            <w:pPr>
              <w:rPr>
                <w:rFonts w:ascii="Times New Roman" w:eastAsia="Times New Roman" w:hAnsi="Times New Roman"/>
                <w:sz w:val="20"/>
                <w:szCs w:val="20"/>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F93B19" w14:textId="77777777" w:rsidR="00976F86" w:rsidRDefault="00976F86" w:rsidP="00976F86">
            <w:pPr>
              <w:rPr>
                <w:rFonts w:ascii="Times New Roman" w:eastAsia="Times New Roman" w:hAnsi="Times New Roman"/>
                <w:sz w:val="20"/>
                <w:szCs w:val="20"/>
              </w:rPr>
            </w:pPr>
          </w:p>
        </w:tc>
        <w:tc>
          <w:tcPr>
            <w:tcW w:w="19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5D19D5" w14:textId="77777777" w:rsidR="00976F86" w:rsidRDefault="00976F86" w:rsidP="00976F86">
            <w:pPr>
              <w:rPr>
                <w:rFonts w:ascii="Times New Roman" w:eastAsia="Times New Roman" w:hAnsi="Times New Roman"/>
                <w:sz w:val="20"/>
                <w:szCs w:val="20"/>
              </w:rPr>
            </w:pP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B4C9E2" w14:textId="77777777" w:rsidR="00976F86" w:rsidRDefault="00976F86" w:rsidP="00976F86">
            <w:pPr>
              <w:rPr>
                <w:rFonts w:ascii="Times New Roman" w:eastAsia="Times New Roman" w:hAnsi="Times New Roman"/>
                <w:sz w:val="20"/>
                <w:szCs w:val="20"/>
              </w:rPr>
            </w:pPr>
          </w:p>
        </w:tc>
      </w:tr>
      <w:tr w:rsidR="00976F86" w14:paraId="434391B7" w14:textId="77777777" w:rsidTr="00976F86">
        <w:trPr>
          <w:trHeight w:val="30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C10EAE" w14:textId="77777777" w:rsidR="00976F86" w:rsidRDefault="00976F86" w:rsidP="00976F86">
            <w:pPr>
              <w:jc w:val="center"/>
              <w:rPr>
                <w:rFonts w:ascii="Calibri" w:hAnsi="Calibri"/>
                <w:b/>
                <w:bCs/>
                <w:color w:val="000000"/>
              </w:rPr>
            </w:pPr>
            <w:r>
              <w:rPr>
                <w:b/>
                <w:bCs/>
                <w:color w:val="000000"/>
              </w:rPr>
              <w:t>Region</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5CF27E" w14:textId="77777777" w:rsidR="00976F86" w:rsidRDefault="00976F86" w:rsidP="00976F86">
            <w:pPr>
              <w:rPr>
                <w:b/>
                <w:bCs/>
                <w:color w:val="000000"/>
              </w:rPr>
            </w:pPr>
          </w:p>
        </w:tc>
        <w:tc>
          <w:tcPr>
            <w:tcW w:w="2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CF97FA" w14:textId="77777777" w:rsidR="00976F86" w:rsidRDefault="00976F86" w:rsidP="00976F86">
            <w:pPr>
              <w:rPr>
                <w:rFonts w:ascii="Times New Roman" w:eastAsia="Times New Roman" w:hAnsi="Times New Roman"/>
                <w:sz w:val="20"/>
                <w:szCs w:val="20"/>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06213F" w14:textId="77777777" w:rsidR="00976F86" w:rsidRDefault="00976F86" w:rsidP="00976F86">
            <w:pPr>
              <w:rPr>
                <w:rFonts w:ascii="Times New Roman" w:eastAsia="Times New Roman" w:hAnsi="Times New Roman"/>
                <w:sz w:val="20"/>
                <w:szCs w:val="20"/>
              </w:rPr>
            </w:pPr>
          </w:p>
        </w:tc>
        <w:tc>
          <w:tcPr>
            <w:tcW w:w="19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36360C" w14:textId="77777777" w:rsidR="00976F86" w:rsidRDefault="00976F86" w:rsidP="00976F86">
            <w:pPr>
              <w:rPr>
                <w:rFonts w:ascii="Times New Roman" w:eastAsia="Times New Roman" w:hAnsi="Times New Roman"/>
                <w:sz w:val="20"/>
                <w:szCs w:val="20"/>
              </w:rPr>
            </w:pP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C41AC4" w14:textId="77777777" w:rsidR="00976F86" w:rsidRDefault="00976F86" w:rsidP="00976F86">
            <w:pPr>
              <w:rPr>
                <w:rFonts w:ascii="Times New Roman" w:eastAsia="Times New Roman" w:hAnsi="Times New Roman"/>
                <w:sz w:val="20"/>
                <w:szCs w:val="20"/>
              </w:rPr>
            </w:pPr>
          </w:p>
        </w:tc>
      </w:tr>
      <w:tr w:rsidR="00976F86" w14:paraId="6E134A4C" w14:textId="77777777" w:rsidTr="00976F86">
        <w:trPr>
          <w:trHeight w:val="30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3A0262" w14:textId="77777777" w:rsidR="00976F86" w:rsidRDefault="00976F86" w:rsidP="00976F86">
            <w:pPr>
              <w:jc w:val="right"/>
              <w:rPr>
                <w:rFonts w:ascii="Calibri" w:hAnsi="Calibri"/>
                <w:color w:val="000000"/>
              </w:rPr>
            </w:pPr>
            <w:r>
              <w:rPr>
                <w:color w:val="000000"/>
              </w:rPr>
              <w:t>Northeast</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7A2877" w14:textId="77777777" w:rsidR="00976F86" w:rsidRDefault="00976F86" w:rsidP="00976F86">
            <w:pPr>
              <w:jc w:val="right"/>
              <w:rPr>
                <w:color w:val="000000"/>
              </w:rPr>
            </w:pPr>
            <w:r>
              <w:rPr>
                <w:color w:val="000000"/>
              </w:rPr>
              <w:t>18.6</w:t>
            </w:r>
          </w:p>
        </w:tc>
        <w:tc>
          <w:tcPr>
            <w:tcW w:w="2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6F4648" w14:textId="77777777" w:rsidR="00976F86" w:rsidRDefault="00976F86" w:rsidP="00976F86">
            <w:pPr>
              <w:rPr>
                <w:color w:val="000000"/>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E804F4" w14:textId="77777777" w:rsidR="00976F86" w:rsidRDefault="00976F86" w:rsidP="00976F86">
            <w:pPr>
              <w:jc w:val="right"/>
              <w:rPr>
                <w:rFonts w:ascii="Calibri" w:hAnsi="Calibri"/>
                <w:color w:val="000000"/>
              </w:rPr>
            </w:pPr>
            <w:r>
              <w:rPr>
                <w:color w:val="000000"/>
              </w:rPr>
              <w:t>16.4</w:t>
            </w:r>
          </w:p>
        </w:tc>
        <w:tc>
          <w:tcPr>
            <w:tcW w:w="19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130BD0" w14:textId="77777777" w:rsidR="00976F86" w:rsidRDefault="00976F86" w:rsidP="00976F86">
            <w:pPr>
              <w:jc w:val="right"/>
              <w:rPr>
                <w:color w:val="000000"/>
              </w:rPr>
            </w:pPr>
            <w:r>
              <w:rPr>
                <w:color w:val="000000"/>
              </w:rPr>
              <w:t>17.9</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B8F81D" w14:textId="77777777" w:rsidR="00976F86" w:rsidRDefault="00976F86" w:rsidP="00976F86">
            <w:pPr>
              <w:jc w:val="right"/>
              <w:rPr>
                <w:color w:val="000000"/>
              </w:rPr>
            </w:pPr>
            <w:r>
              <w:rPr>
                <w:color w:val="000000"/>
              </w:rPr>
              <w:t>-0.7</w:t>
            </w:r>
          </w:p>
        </w:tc>
      </w:tr>
      <w:tr w:rsidR="00976F86" w14:paraId="6CBCA4D5" w14:textId="77777777" w:rsidTr="00976F86">
        <w:trPr>
          <w:trHeight w:val="30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1636AC" w14:textId="77777777" w:rsidR="00976F86" w:rsidRDefault="00976F86" w:rsidP="00976F86">
            <w:pPr>
              <w:jc w:val="right"/>
              <w:rPr>
                <w:color w:val="000000"/>
              </w:rPr>
            </w:pPr>
            <w:r>
              <w:rPr>
                <w:color w:val="000000"/>
              </w:rPr>
              <w:t>Midwest</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3C686E" w14:textId="77777777" w:rsidR="00976F86" w:rsidRDefault="00976F86" w:rsidP="00976F86">
            <w:pPr>
              <w:jc w:val="right"/>
              <w:rPr>
                <w:color w:val="000000"/>
              </w:rPr>
            </w:pPr>
            <w:r>
              <w:rPr>
                <w:color w:val="000000"/>
              </w:rPr>
              <w:t>21.5</w:t>
            </w:r>
          </w:p>
        </w:tc>
        <w:tc>
          <w:tcPr>
            <w:tcW w:w="2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7F3F38" w14:textId="77777777" w:rsidR="00976F86" w:rsidRDefault="00976F86" w:rsidP="00976F86">
            <w:pPr>
              <w:rPr>
                <w:color w:val="000000"/>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A9198B" w14:textId="77777777" w:rsidR="00976F86" w:rsidRDefault="00976F86" w:rsidP="00976F86">
            <w:pPr>
              <w:jc w:val="right"/>
              <w:rPr>
                <w:rFonts w:ascii="Calibri" w:hAnsi="Calibri"/>
                <w:color w:val="000000"/>
              </w:rPr>
            </w:pPr>
            <w:r>
              <w:rPr>
                <w:color w:val="000000"/>
              </w:rPr>
              <w:t>22.2</w:t>
            </w:r>
          </w:p>
        </w:tc>
        <w:tc>
          <w:tcPr>
            <w:tcW w:w="19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45A6F1" w14:textId="77777777" w:rsidR="00976F86" w:rsidRDefault="00976F86" w:rsidP="00976F86">
            <w:pPr>
              <w:jc w:val="right"/>
              <w:rPr>
                <w:color w:val="000000"/>
              </w:rPr>
            </w:pPr>
            <w:r>
              <w:rPr>
                <w:color w:val="000000"/>
              </w:rPr>
              <w:t>22.0</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221CEE" w14:textId="77777777" w:rsidR="00976F86" w:rsidRDefault="00976F86" w:rsidP="00976F86">
            <w:pPr>
              <w:jc w:val="right"/>
              <w:rPr>
                <w:color w:val="000000"/>
              </w:rPr>
            </w:pPr>
            <w:r>
              <w:rPr>
                <w:color w:val="000000"/>
              </w:rPr>
              <w:t>0.5</w:t>
            </w:r>
          </w:p>
        </w:tc>
      </w:tr>
      <w:tr w:rsidR="00976F86" w14:paraId="675A5064" w14:textId="77777777" w:rsidTr="00976F86">
        <w:trPr>
          <w:trHeight w:val="30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0C7F6F" w14:textId="77777777" w:rsidR="00976F86" w:rsidRDefault="00976F86" w:rsidP="00976F86">
            <w:pPr>
              <w:jc w:val="right"/>
              <w:rPr>
                <w:color w:val="000000"/>
              </w:rPr>
            </w:pPr>
            <w:r>
              <w:rPr>
                <w:color w:val="000000"/>
              </w:rPr>
              <w:t xml:space="preserve">South </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818923" w14:textId="77777777" w:rsidR="00976F86" w:rsidRDefault="00976F86" w:rsidP="00976F86">
            <w:pPr>
              <w:jc w:val="right"/>
              <w:rPr>
                <w:color w:val="000000"/>
              </w:rPr>
            </w:pPr>
            <w:r>
              <w:rPr>
                <w:color w:val="000000"/>
              </w:rPr>
              <w:t>37.3</w:t>
            </w:r>
          </w:p>
        </w:tc>
        <w:tc>
          <w:tcPr>
            <w:tcW w:w="2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76C5F3" w14:textId="77777777" w:rsidR="00976F86" w:rsidRDefault="00976F86" w:rsidP="00976F86">
            <w:pPr>
              <w:rPr>
                <w:color w:val="000000"/>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94EAFF" w14:textId="77777777" w:rsidR="00976F86" w:rsidRDefault="00976F86" w:rsidP="00976F86">
            <w:pPr>
              <w:jc w:val="right"/>
              <w:rPr>
                <w:rFonts w:ascii="Calibri" w:hAnsi="Calibri"/>
                <w:color w:val="000000"/>
              </w:rPr>
            </w:pPr>
            <w:r>
              <w:rPr>
                <w:color w:val="000000"/>
              </w:rPr>
              <w:t>40.1</w:t>
            </w:r>
          </w:p>
        </w:tc>
        <w:tc>
          <w:tcPr>
            <w:tcW w:w="19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080BCF" w14:textId="77777777" w:rsidR="00976F86" w:rsidRDefault="00976F86" w:rsidP="00976F86">
            <w:pPr>
              <w:jc w:val="right"/>
              <w:rPr>
                <w:color w:val="000000"/>
              </w:rPr>
            </w:pPr>
            <w:r>
              <w:rPr>
                <w:color w:val="000000"/>
              </w:rPr>
              <w:t>38.2</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B9CF82" w14:textId="77777777" w:rsidR="00976F86" w:rsidRDefault="00976F86" w:rsidP="00976F86">
            <w:pPr>
              <w:jc w:val="right"/>
              <w:rPr>
                <w:color w:val="000000"/>
              </w:rPr>
            </w:pPr>
            <w:r>
              <w:rPr>
                <w:color w:val="000000"/>
              </w:rPr>
              <w:t>0.9</w:t>
            </w:r>
          </w:p>
        </w:tc>
      </w:tr>
      <w:tr w:rsidR="00976F86" w14:paraId="2B5BB3F0" w14:textId="77777777" w:rsidTr="00976F86">
        <w:trPr>
          <w:trHeight w:val="30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CB05F1" w14:textId="77777777" w:rsidR="00976F86" w:rsidRDefault="00976F86" w:rsidP="00976F86">
            <w:pPr>
              <w:jc w:val="right"/>
              <w:rPr>
                <w:color w:val="000000"/>
              </w:rPr>
            </w:pPr>
            <w:r>
              <w:rPr>
                <w:color w:val="000000"/>
              </w:rPr>
              <w:t>West</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AF9A76" w14:textId="77777777" w:rsidR="00976F86" w:rsidRDefault="00976F86" w:rsidP="00976F86">
            <w:pPr>
              <w:jc w:val="right"/>
              <w:rPr>
                <w:color w:val="000000"/>
              </w:rPr>
            </w:pPr>
            <w:r>
              <w:rPr>
                <w:color w:val="000000"/>
              </w:rPr>
              <w:t>22.6</w:t>
            </w:r>
          </w:p>
        </w:tc>
        <w:tc>
          <w:tcPr>
            <w:tcW w:w="2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C56546" w14:textId="77777777" w:rsidR="00976F86" w:rsidRDefault="00976F86" w:rsidP="00976F86">
            <w:pPr>
              <w:rPr>
                <w:color w:val="000000"/>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CB2869" w14:textId="77777777" w:rsidR="00976F86" w:rsidRDefault="00976F86" w:rsidP="00976F86">
            <w:pPr>
              <w:jc w:val="right"/>
              <w:rPr>
                <w:rFonts w:ascii="Calibri" w:hAnsi="Calibri"/>
                <w:color w:val="000000"/>
              </w:rPr>
            </w:pPr>
            <w:r>
              <w:rPr>
                <w:color w:val="000000"/>
              </w:rPr>
              <w:t>21.2</w:t>
            </w:r>
          </w:p>
        </w:tc>
        <w:tc>
          <w:tcPr>
            <w:tcW w:w="19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DA3942" w14:textId="77777777" w:rsidR="00976F86" w:rsidRDefault="00976F86" w:rsidP="00976F86">
            <w:pPr>
              <w:jc w:val="right"/>
              <w:rPr>
                <w:color w:val="000000"/>
              </w:rPr>
            </w:pPr>
            <w:r>
              <w:rPr>
                <w:color w:val="000000"/>
              </w:rPr>
              <w:t>21.9</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D36F25" w14:textId="77777777" w:rsidR="00976F86" w:rsidRDefault="00976F86" w:rsidP="00976F86">
            <w:pPr>
              <w:jc w:val="right"/>
              <w:rPr>
                <w:color w:val="000000"/>
              </w:rPr>
            </w:pPr>
            <w:r>
              <w:rPr>
                <w:color w:val="000000"/>
              </w:rPr>
              <w:t>-0.7</w:t>
            </w:r>
          </w:p>
        </w:tc>
      </w:tr>
    </w:tbl>
    <w:p w14:paraId="761911BD" w14:textId="77777777" w:rsidR="00F63ADE" w:rsidRDefault="00F63ADE" w:rsidP="00F63ADE">
      <w:r>
        <w:t>*Current Population survey</w:t>
      </w:r>
    </w:p>
    <w:p w14:paraId="3ED6473D" w14:textId="0ED64822" w:rsidR="001717D5" w:rsidRPr="001717D5" w:rsidRDefault="001717D5" w:rsidP="001717D5">
      <w:r w:rsidRPr="001717D5">
        <w:t xml:space="preserve">The baseline interview collects information on the </w:t>
      </w:r>
      <w:r w:rsidR="005D0EB5">
        <w:t xml:space="preserve">existing screeners and questions in addition to the Stay Independent Checklist that are currently used in clinical practice to identify risk factors for falls </w:t>
      </w:r>
      <w:r w:rsidR="00516F67">
        <w:t xml:space="preserve"> such as comorbidities, current medications, and activities of daily living</w:t>
      </w:r>
      <w:r w:rsidRPr="001717D5">
        <w:t xml:space="preserve">. After </w:t>
      </w:r>
      <w:r w:rsidR="000E0844">
        <w:t>the baseline collection, follow-</w:t>
      </w:r>
      <w:r w:rsidRPr="001717D5">
        <w:t xml:space="preserve">up surveys are conducted </w:t>
      </w:r>
      <w:r w:rsidR="000E0844">
        <w:t>once each month for 1</w:t>
      </w:r>
      <w:r w:rsidR="00F20A1B">
        <w:t>1</w:t>
      </w:r>
      <w:r w:rsidR="000E0844">
        <w:t xml:space="preserve"> months</w:t>
      </w:r>
      <w:r w:rsidRPr="001717D5">
        <w:t xml:space="preserve"> with the same sample of older adults to assess the incidence of falls. A final survey will be conducted with the sample </w:t>
      </w:r>
      <w:r w:rsidR="000E0844">
        <w:t>12 months post-</w:t>
      </w:r>
      <w:r w:rsidRPr="001717D5">
        <w:t>baseline collection t</w:t>
      </w:r>
      <w:r w:rsidR="00516F67">
        <w:t xml:space="preserve">o </w:t>
      </w:r>
      <w:r w:rsidR="008C79E8">
        <w:t xml:space="preserve">again </w:t>
      </w:r>
      <w:r w:rsidRPr="001717D5">
        <w:t xml:space="preserve">ask the </w:t>
      </w:r>
      <w:r w:rsidR="0073541F">
        <w:t xml:space="preserve">baseline </w:t>
      </w:r>
      <w:r w:rsidR="006323FC">
        <w:t>interview</w:t>
      </w:r>
      <w:r w:rsidR="0073541F">
        <w:t xml:space="preserve"> </w:t>
      </w:r>
      <w:r w:rsidR="008C79E8">
        <w:t xml:space="preserve">questions </w:t>
      </w:r>
      <w:r w:rsidR="00516F67">
        <w:t>and collect the final month of falls data</w:t>
      </w:r>
      <w:r w:rsidRPr="001717D5">
        <w:t xml:space="preserve">. We will conduct interviews with the </w:t>
      </w:r>
      <w:r w:rsidR="00A722DF" w:rsidRPr="00E94B72">
        <w:rPr>
          <w:i/>
        </w:rPr>
        <w:t>Test Predictability of Falls Screening Tools</w:t>
      </w:r>
      <w:r w:rsidRPr="001717D5">
        <w:rPr>
          <w:i/>
          <w:iCs/>
        </w:rPr>
        <w:t xml:space="preserve"> </w:t>
      </w:r>
      <w:r w:rsidRPr="001717D5">
        <w:t xml:space="preserve">sample by internet or by phone, depending on respondents’ preferred mode of participation. We estimate obtaining a minimum of 1,520 completed final interviews with the original completed baseline interviews from the sample of older adults selected from the AmeriSpeak Panel. Additional information on the sampling and recruitment of the AmeriSpeak Panel can be found in the </w:t>
      </w:r>
      <w:r w:rsidRPr="001717D5">
        <w:rPr>
          <w:i/>
        </w:rPr>
        <w:t xml:space="preserve">Technical Overview of the AmeriSpeak Panel NORC’s Probability-Based Research Panel </w:t>
      </w:r>
      <w:r w:rsidRPr="001717D5">
        <w:t>(</w:t>
      </w:r>
      <w:r w:rsidR="00980A25">
        <w:t>Att.</w:t>
      </w:r>
      <w:r w:rsidR="00681D69" w:rsidRPr="001717D5">
        <w:t xml:space="preserve"> </w:t>
      </w:r>
      <w:r w:rsidR="00AD5CC5">
        <w:t>A</w:t>
      </w:r>
      <w:r w:rsidRPr="001717D5">
        <w:t>-</w:t>
      </w:r>
      <w:r w:rsidR="00CF48C2">
        <w:t>2)</w:t>
      </w:r>
      <w:r w:rsidRPr="001717D5">
        <w:t xml:space="preserve">. </w:t>
      </w:r>
    </w:p>
    <w:p w14:paraId="3D77CEEB" w14:textId="77777777" w:rsidR="000C600B" w:rsidRPr="006534F2" w:rsidRDefault="000C600B" w:rsidP="006534F2">
      <w:pPr>
        <w:pStyle w:val="Heading2"/>
        <w:rPr>
          <w:b/>
          <w:color w:val="auto"/>
        </w:rPr>
      </w:pPr>
      <w:bookmarkStart w:id="4" w:name="_Toc480370975"/>
      <w:r w:rsidRPr="006534F2">
        <w:rPr>
          <w:b/>
          <w:color w:val="auto"/>
        </w:rPr>
        <w:t>B2. Procedures for the Collection of Information</w:t>
      </w:r>
      <w:bookmarkEnd w:id="4"/>
    </w:p>
    <w:p w14:paraId="3849EC75" w14:textId="77777777" w:rsidR="007271C8" w:rsidRPr="007271C8" w:rsidRDefault="007271C8" w:rsidP="00ED27DF">
      <w:r>
        <w:t xml:space="preserve">Participants will </w:t>
      </w:r>
      <w:r w:rsidR="003E6214">
        <w:t>initially be</w:t>
      </w:r>
      <w:r>
        <w:t xml:space="preserve"> contacted </w:t>
      </w:r>
      <w:r w:rsidR="003E6214">
        <w:t>via</w:t>
      </w:r>
      <w:r>
        <w:t xml:space="preserve"> advance </w:t>
      </w:r>
      <w:r w:rsidR="0070226E">
        <w:t>postcard</w:t>
      </w:r>
      <w:r>
        <w:t xml:space="preserve"> through the mail (for those who prefer telephone administration) or through the internet (for those who prefer web administration</w:t>
      </w:r>
      <w:r w:rsidR="003E6214">
        <w:t>)</w:t>
      </w:r>
      <w:r>
        <w:t>. Since participants have already consented to participate in the</w:t>
      </w:r>
      <w:r w:rsidR="00516F67">
        <w:t xml:space="preserve"> AmeriSpeak</w:t>
      </w:r>
      <w:r w:rsidR="00E6059F">
        <w:t xml:space="preserve"> P</w:t>
      </w:r>
      <w:r>
        <w:t xml:space="preserve">anel, the </w:t>
      </w:r>
      <w:r w:rsidR="00980A25">
        <w:t xml:space="preserve">postcard </w:t>
      </w:r>
      <w:r>
        <w:t>will ask</w:t>
      </w:r>
      <w:r w:rsidR="003E6214">
        <w:t xml:space="preserve"> about</w:t>
      </w:r>
      <w:r>
        <w:t xml:space="preserve"> their interest in participating in a new survey designed to understand factor</w:t>
      </w:r>
      <w:r w:rsidR="003E6214">
        <w:t>s</w:t>
      </w:r>
      <w:r>
        <w:t xml:space="preserve"> that predict falls. </w:t>
      </w:r>
      <w:r w:rsidR="0070226E">
        <w:t>An e</w:t>
      </w:r>
      <w:r>
        <w:t xml:space="preserve">xample of </w:t>
      </w:r>
      <w:r w:rsidR="002A725F">
        <w:t>the</w:t>
      </w:r>
      <w:r w:rsidR="00D32E2B">
        <w:t xml:space="preserve"> pre</w:t>
      </w:r>
      <w:r w:rsidR="00100E5B">
        <w:t>-</w:t>
      </w:r>
      <w:r w:rsidR="00D32E2B">
        <w:t>notification</w:t>
      </w:r>
      <w:r w:rsidR="000600DB">
        <w:t xml:space="preserve"> </w:t>
      </w:r>
      <w:r w:rsidR="0070226E">
        <w:t>postcard</w:t>
      </w:r>
      <w:r>
        <w:t xml:space="preserve"> can be found in </w:t>
      </w:r>
      <w:r w:rsidR="00D32E2B">
        <w:t>Attachment</w:t>
      </w:r>
      <w:r>
        <w:t xml:space="preserve"> </w:t>
      </w:r>
      <w:r w:rsidR="00F51BA5">
        <w:t>B-</w:t>
      </w:r>
      <w:r w:rsidR="00AD5CC5">
        <w:t>1</w:t>
      </w:r>
      <w:r>
        <w:t xml:space="preserve">. </w:t>
      </w:r>
    </w:p>
    <w:p w14:paraId="07010B3D" w14:textId="78B655DE" w:rsidR="00ED27DF" w:rsidRPr="00821AF9" w:rsidRDefault="00271136" w:rsidP="00ED27DF">
      <w:pPr>
        <w:rPr>
          <w:i/>
          <w:iCs/>
        </w:rPr>
      </w:pPr>
      <w:r>
        <w:rPr>
          <w:b/>
          <w:i/>
        </w:rPr>
        <w:t xml:space="preserve">Baseline survey. </w:t>
      </w:r>
      <w:r w:rsidR="00265DBB" w:rsidRPr="009C3A93">
        <w:t xml:space="preserve">The </w:t>
      </w:r>
      <w:r w:rsidR="003D2F29">
        <w:t>baseline</w:t>
      </w:r>
      <w:r w:rsidR="003D2F29" w:rsidRPr="009C3A93">
        <w:t xml:space="preserve"> </w:t>
      </w:r>
      <w:r w:rsidR="003D2F29">
        <w:t>survey</w:t>
      </w:r>
      <w:r w:rsidR="00CF48C2">
        <w:t xml:space="preserve">, </w:t>
      </w:r>
      <w:r w:rsidR="002A725F">
        <w:t>conducted via web</w:t>
      </w:r>
      <w:r w:rsidR="00CF48C2">
        <w:t xml:space="preserve"> (Att. B-7) </w:t>
      </w:r>
      <w:r w:rsidR="002A725F">
        <w:t>and telephone</w:t>
      </w:r>
      <w:r w:rsidR="00CF48C2">
        <w:t xml:space="preserve"> (Att. B-8)</w:t>
      </w:r>
      <w:r w:rsidR="000600DB">
        <w:t xml:space="preserve"> </w:t>
      </w:r>
      <w:r w:rsidR="00265DBB" w:rsidRPr="009C3A93">
        <w:t xml:space="preserve">will collect complementary data relevant </w:t>
      </w:r>
      <w:r w:rsidR="006C78CF">
        <w:t>for identifying</w:t>
      </w:r>
      <w:r w:rsidR="00265DBB" w:rsidRPr="009C3A93">
        <w:t xml:space="preserve"> risk </w:t>
      </w:r>
      <w:r w:rsidR="006C78CF">
        <w:t xml:space="preserve">factors </w:t>
      </w:r>
      <w:r w:rsidR="00265DBB" w:rsidRPr="009C3A93">
        <w:t>for fall</w:t>
      </w:r>
      <w:r w:rsidR="006C78CF">
        <w:t>s</w:t>
      </w:r>
      <w:r w:rsidR="00265DBB" w:rsidRPr="009C3A93">
        <w:t xml:space="preserve">. </w:t>
      </w:r>
      <w:r w:rsidR="00265DBB">
        <w:t>R</w:t>
      </w:r>
      <w:r w:rsidR="00265DBB" w:rsidRPr="009C3A93">
        <w:t xml:space="preserve">espondents will be asked to report on current medications, including prescription and non-prescription medications. </w:t>
      </w:r>
      <w:r w:rsidR="00821AF9">
        <w:t>Respondents will also report on thei</w:t>
      </w:r>
      <w:r w:rsidR="00265DBB" w:rsidRPr="009C3A93">
        <w:t xml:space="preserve">r medical history, including any acute or chronic medical conditions that </w:t>
      </w:r>
      <w:r w:rsidR="0073541F">
        <w:t>are</w:t>
      </w:r>
      <w:r w:rsidR="0073541F" w:rsidRPr="009C3A93">
        <w:t xml:space="preserve"> </w:t>
      </w:r>
      <w:r w:rsidR="0073541F">
        <w:t>risk factors for falls</w:t>
      </w:r>
      <w:r w:rsidR="00265DBB" w:rsidRPr="009C3A93">
        <w:t xml:space="preserve">. Osteoporosis, urinary incontinence, cardiovascular disease, and decreased physical function or endurance are among the conditions </w:t>
      </w:r>
      <w:r w:rsidR="0073541F">
        <w:t>which are risk factors for falls</w:t>
      </w:r>
      <w:r w:rsidR="00265DBB" w:rsidRPr="009C3A93">
        <w:t xml:space="preserve">. Additionally, the </w:t>
      </w:r>
      <w:r w:rsidR="003D2F29">
        <w:t>survey</w:t>
      </w:r>
      <w:r w:rsidR="003D2F29" w:rsidRPr="009C3A93">
        <w:t xml:space="preserve"> </w:t>
      </w:r>
      <w:r w:rsidR="00265DBB" w:rsidRPr="009C3A93">
        <w:t xml:space="preserve">will query respondents on fall prevention activities, offered either in a clinical or community setting, in which they have engaged during the past year. </w:t>
      </w:r>
      <w:r w:rsidR="00265DBB">
        <w:t>D</w:t>
      </w:r>
      <w:r w:rsidR="00265DBB" w:rsidRPr="009C3A93">
        <w:t>emographic information</w:t>
      </w:r>
      <w:r w:rsidR="00265DBB">
        <w:t xml:space="preserve"> that</w:t>
      </w:r>
      <w:r w:rsidR="00265DBB" w:rsidRPr="009C3A93">
        <w:t xml:space="preserve"> AmeriSpeak members provide as part of their profile survey</w:t>
      </w:r>
      <w:r w:rsidR="00265DBB">
        <w:t xml:space="preserve"> will be utilized as well</w:t>
      </w:r>
      <w:r w:rsidR="00821AF9">
        <w:t>,</w:t>
      </w:r>
      <w:r w:rsidR="00265DBB">
        <w:t xml:space="preserve"> including age, gender, race, and geographic area</w:t>
      </w:r>
      <w:r w:rsidR="00ED27DF" w:rsidRPr="009C3A93">
        <w:t xml:space="preserve">. </w:t>
      </w:r>
      <w:r w:rsidR="00ED27DF">
        <w:t xml:space="preserve"> </w:t>
      </w:r>
    </w:p>
    <w:p w14:paraId="4E18E89E" w14:textId="7CEC2A3E" w:rsidR="00D97B56" w:rsidRPr="009C3A93" w:rsidRDefault="00F20A1B" w:rsidP="00ED27DF">
      <w:r w:rsidRPr="00271136">
        <w:rPr>
          <w:b/>
          <w:i/>
        </w:rPr>
        <w:t xml:space="preserve">Eleven </w:t>
      </w:r>
      <w:r w:rsidR="00ED27DF" w:rsidRPr="00271136">
        <w:rPr>
          <w:b/>
          <w:i/>
        </w:rPr>
        <w:t>monthly update surveys</w:t>
      </w:r>
      <w:r w:rsidR="00ED27DF" w:rsidRPr="00271136">
        <w:rPr>
          <w:b/>
        </w:rPr>
        <w:t>.</w:t>
      </w:r>
      <w:r w:rsidR="00ED27DF" w:rsidRPr="009C3A93">
        <w:t xml:space="preserve"> NORC will administer a brief </w:t>
      </w:r>
      <w:r w:rsidR="00AD5CC5">
        <w:t>monthly update</w:t>
      </w:r>
      <w:r w:rsidR="00CF48C2">
        <w:t xml:space="preserve"> survey</w:t>
      </w:r>
      <w:r w:rsidR="00ED27DF">
        <w:t xml:space="preserve"> </w:t>
      </w:r>
      <w:r w:rsidR="00ED27DF" w:rsidRPr="009C3A93">
        <w:t xml:space="preserve">via web </w:t>
      </w:r>
      <w:r w:rsidR="00CF48C2">
        <w:t xml:space="preserve">(Att. B-9) </w:t>
      </w:r>
      <w:r w:rsidR="00821AF9">
        <w:t xml:space="preserve">and </w:t>
      </w:r>
      <w:r w:rsidR="00ED27DF" w:rsidRPr="009C3A93">
        <w:t xml:space="preserve">telephone </w:t>
      </w:r>
      <w:r w:rsidR="00CF48C2">
        <w:t xml:space="preserve">(Att. B-10) </w:t>
      </w:r>
      <w:r w:rsidR="00ED27DF" w:rsidRPr="009C3A93">
        <w:t xml:space="preserve">every month to respondents who participated in the baseline </w:t>
      </w:r>
      <w:r w:rsidR="00ED27DF">
        <w:rPr>
          <w:iCs/>
        </w:rPr>
        <w:t>s</w:t>
      </w:r>
      <w:r w:rsidR="00ED27DF" w:rsidRPr="00110CC0">
        <w:rPr>
          <w:iCs/>
        </w:rPr>
        <w:t>urvey</w:t>
      </w:r>
      <w:r w:rsidR="00ED27DF" w:rsidRPr="009C3A93">
        <w:t>. Following up monthly will diminish recall bias</w:t>
      </w:r>
      <w:r w:rsidR="004337EF">
        <w:t xml:space="preserve"> and reduce sample loss</w:t>
      </w:r>
      <w:r w:rsidR="00ED27DF" w:rsidRPr="009C3A93">
        <w:t xml:space="preserve">. </w:t>
      </w:r>
      <w:r w:rsidR="00265DBB">
        <w:t xml:space="preserve">This </w:t>
      </w:r>
      <w:r w:rsidR="00ED27DF" w:rsidRPr="009C3A93">
        <w:t xml:space="preserve">brief monthly </w:t>
      </w:r>
      <w:r w:rsidR="00E01AA5">
        <w:t xml:space="preserve">update </w:t>
      </w:r>
      <w:r w:rsidR="00ED27DF" w:rsidRPr="009C3A93">
        <w:t>survey wi</w:t>
      </w:r>
      <w:r w:rsidR="004337EF">
        <w:t xml:space="preserve">ll have </w:t>
      </w:r>
      <w:r w:rsidR="00265DBB">
        <w:t xml:space="preserve">a limited set of </w:t>
      </w:r>
      <w:r w:rsidR="00ED27DF" w:rsidRPr="009C3A93">
        <w:t>questions to capture recent falls (injury producing</w:t>
      </w:r>
      <w:r w:rsidR="00ED27DF">
        <w:t xml:space="preserve"> </w:t>
      </w:r>
      <w:r w:rsidR="00ED27DF" w:rsidRPr="009C3A93">
        <w:t>falls and non-injury producing falls)</w:t>
      </w:r>
      <w:r w:rsidR="003E6214">
        <w:t xml:space="preserve"> and changes in health status</w:t>
      </w:r>
      <w:r w:rsidR="00ED27DF" w:rsidRPr="009C3A93">
        <w:t xml:space="preserve">. </w:t>
      </w:r>
      <w:r w:rsidR="00061041">
        <w:t>AmeriSpeak panelists are regularly contacted to ensure their contact information is kept up to date.</w:t>
      </w:r>
      <w:r w:rsidR="00482D61">
        <w:t xml:space="preserve"> A proxy, identified by the respondent at the baseline survey, will be contacted to complete the monthly update survey if the respondent is unavailable</w:t>
      </w:r>
      <w:r w:rsidR="001322CF">
        <w:t>. More details about the proxy survey can be found in section B3</w:t>
      </w:r>
      <w:r w:rsidR="00482D61">
        <w:t xml:space="preserve">.  </w:t>
      </w:r>
    </w:p>
    <w:p w14:paraId="2CA0DDDA" w14:textId="2EE57E97" w:rsidR="00ED27DF" w:rsidRDefault="00ED27DF" w:rsidP="00ED27DF">
      <w:r w:rsidRPr="00271136">
        <w:rPr>
          <w:b/>
          <w:bCs/>
          <w:i/>
        </w:rPr>
        <w:t>Final Survey</w:t>
      </w:r>
      <w:r w:rsidRPr="00271136">
        <w:rPr>
          <w:b/>
          <w:bCs/>
        </w:rPr>
        <w:t>.</w:t>
      </w:r>
      <w:r w:rsidR="004D55B5">
        <w:rPr>
          <w:b/>
          <w:bCs/>
        </w:rPr>
        <w:t xml:space="preserve"> </w:t>
      </w:r>
      <w:r w:rsidR="004D55B5">
        <w:rPr>
          <w:bCs/>
        </w:rPr>
        <w:t>Upon completion of the last monthly update survey</w:t>
      </w:r>
      <w:r w:rsidRPr="009C3A93">
        <w:t xml:space="preserve">, NORC will field the final </w:t>
      </w:r>
      <w:r w:rsidR="00482D61">
        <w:t xml:space="preserve">survey </w:t>
      </w:r>
      <w:r w:rsidRPr="009C3A93">
        <w:t xml:space="preserve">with the sample. The final </w:t>
      </w:r>
      <w:r w:rsidR="003D2F29">
        <w:t>survey</w:t>
      </w:r>
      <w:r w:rsidR="003D2F29" w:rsidRPr="009C3A93">
        <w:t xml:space="preserve"> </w:t>
      </w:r>
      <w:r w:rsidRPr="009C3A93">
        <w:t xml:space="preserve">will also be conducted online </w:t>
      </w:r>
      <w:r w:rsidR="00CF48C2">
        <w:t xml:space="preserve">(Att. B-11) </w:t>
      </w:r>
      <w:r w:rsidR="004337EF">
        <w:t>and</w:t>
      </w:r>
      <w:r w:rsidRPr="009C3A93">
        <w:t xml:space="preserve"> by telephone </w:t>
      </w:r>
      <w:r w:rsidR="00CF48C2">
        <w:t xml:space="preserve">(Att. B-12) </w:t>
      </w:r>
      <w:r w:rsidRPr="009C3A93">
        <w:t xml:space="preserve">and will capture </w:t>
      </w:r>
      <w:r w:rsidR="007D7CBC">
        <w:t xml:space="preserve">a lot of </w:t>
      </w:r>
      <w:r w:rsidRPr="009C3A93">
        <w:t>the same information as the baseline survey</w:t>
      </w:r>
      <w:r w:rsidR="007D7CBC">
        <w:t xml:space="preserve"> </w:t>
      </w:r>
      <w:r w:rsidR="00482D61">
        <w:t>including</w:t>
      </w:r>
      <w:r w:rsidR="00C9474B">
        <w:t xml:space="preserve"> </w:t>
      </w:r>
      <w:r w:rsidR="00482D61">
        <w:t xml:space="preserve">existing screeners and questions in addition to the Stay Independent Checklist that are currently used in clinical practice to identify risk factors for falls such as </w:t>
      </w:r>
      <w:r w:rsidR="007D7CBC">
        <w:t>comorbid</w:t>
      </w:r>
      <w:r w:rsidR="00C9474B">
        <w:t xml:space="preserve">ities, current medications, </w:t>
      </w:r>
      <w:r w:rsidR="007D7CBC">
        <w:t>activities of daily living</w:t>
      </w:r>
      <w:r w:rsidR="00C9474B">
        <w:t>, and fall prevention activities</w:t>
      </w:r>
      <w:r w:rsidRPr="009C3A93">
        <w:t xml:space="preserve">. </w:t>
      </w:r>
      <w:r w:rsidR="00C9474B">
        <w:t xml:space="preserve">However, the baseline survey collects this information for the year prior to study participation whereas the final survey collects this information for </w:t>
      </w:r>
      <w:r w:rsidR="002A725F">
        <w:t xml:space="preserve">the final </w:t>
      </w:r>
      <w:r w:rsidR="00C9474B">
        <w:t xml:space="preserve">month of </w:t>
      </w:r>
      <w:r w:rsidR="00482D61">
        <w:t>study participation</w:t>
      </w:r>
      <w:r w:rsidR="00C9474B">
        <w:t xml:space="preserve">. </w:t>
      </w:r>
      <w:r w:rsidRPr="009C3A93">
        <w:t xml:space="preserve">In conjunction with </w:t>
      </w:r>
      <w:r w:rsidR="0033781B">
        <w:t>the repeated monthly monitoring of falls transpiring</w:t>
      </w:r>
      <w:r w:rsidRPr="009C3A93">
        <w:t xml:space="preserve"> </w:t>
      </w:r>
      <w:r w:rsidR="0033781B">
        <w:t>over the course of</w:t>
      </w:r>
      <w:r w:rsidR="0033781B" w:rsidRPr="009C3A93">
        <w:t xml:space="preserve"> </w:t>
      </w:r>
      <w:r w:rsidRPr="009C3A93">
        <w:t xml:space="preserve">the year, the </w:t>
      </w:r>
      <w:r w:rsidR="003D2F29">
        <w:t>baseline</w:t>
      </w:r>
      <w:r w:rsidR="003D2F29" w:rsidRPr="009C3A93">
        <w:t xml:space="preserve"> </w:t>
      </w:r>
      <w:r w:rsidRPr="009C3A93">
        <w:t xml:space="preserve">and final </w:t>
      </w:r>
      <w:r w:rsidR="003D2F29">
        <w:t>survey</w:t>
      </w:r>
      <w:r w:rsidR="003D2F29" w:rsidRPr="009C3A93">
        <w:t xml:space="preserve"> </w:t>
      </w:r>
      <w:r w:rsidRPr="009C3A93">
        <w:t>data will be used to determine cohort changes in responses as well as changes in risk</w:t>
      </w:r>
      <w:r w:rsidR="00482D61">
        <w:t xml:space="preserve"> factors for</w:t>
      </w:r>
      <w:r w:rsidRPr="009C3A93">
        <w:t xml:space="preserve"> falls over time</w:t>
      </w:r>
      <w:r w:rsidR="00265DBB">
        <w:t xml:space="preserve"> </w:t>
      </w:r>
      <w:r w:rsidR="003E6214">
        <w:t>and</w:t>
      </w:r>
      <w:r w:rsidR="00265DBB">
        <w:t xml:space="preserve"> changes in health status and medications</w:t>
      </w:r>
      <w:r w:rsidRPr="009C3A93">
        <w:t>.</w:t>
      </w:r>
    </w:p>
    <w:p w14:paraId="326BAF9D" w14:textId="77777777" w:rsidR="002B1358" w:rsidRPr="00CD2CBB" w:rsidRDefault="002B1358" w:rsidP="002B1358">
      <w:r w:rsidRPr="00CD2CBB">
        <w:t xml:space="preserve">We use the following assumptions for our sample design: </w:t>
      </w:r>
    </w:p>
    <w:p w14:paraId="683CF572" w14:textId="77777777" w:rsidR="002B1358" w:rsidRDefault="002B1358" w:rsidP="002B1358">
      <w:pPr>
        <w:pStyle w:val="ListParagraph"/>
        <w:numPr>
          <w:ilvl w:val="0"/>
          <w:numId w:val="10"/>
        </w:numPr>
      </w:pPr>
      <w:r w:rsidRPr="00CD2CBB">
        <w:t>T</w:t>
      </w:r>
      <w:r>
        <w:t>he</w:t>
      </w:r>
      <w:r w:rsidR="00FC0823">
        <w:t xml:space="preserve"> percentage of </w:t>
      </w:r>
      <w:r w:rsidR="0031364F">
        <w:t xml:space="preserve">older </w:t>
      </w:r>
      <w:r w:rsidR="00FC0823">
        <w:t>adults reporting</w:t>
      </w:r>
      <w:r>
        <w:t xml:space="preserve"> a fall over one </w:t>
      </w:r>
      <w:r w:rsidRPr="00CD2CBB">
        <w:t xml:space="preserve">year is </w:t>
      </w:r>
      <w:r w:rsidR="0031364F">
        <w:t xml:space="preserve">expected to be approximately </w:t>
      </w:r>
      <w:r>
        <w:t>29</w:t>
      </w:r>
      <w:r w:rsidRPr="00CD2CBB">
        <w:t>%</w:t>
      </w:r>
      <w:r>
        <w:t>,</w:t>
      </w:r>
      <w:r>
        <w:rPr>
          <w:rStyle w:val="FootnoteReference"/>
        </w:rPr>
        <w:footnoteReference w:id="5"/>
      </w:r>
      <w:r w:rsidRPr="00D64467">
        <w:rPr>
          <w:vertAlign w:val="superscript"/>
        </w:rPr>
        <w:t>,</w:t>
      </w:r>
      <w:r>
        <w:rPr>
          <w:rStyle w:val="FootnoteReference"/>
        </w:rPr>
        <w:footnoteReference w:id="6"/>
      </w:r>
      <w:r w:rsidRPr="00CD2CBB">
        <w:t xml:space="preserve"> </w:t>
      </w:r>
      <w:r w:rsidR="0031364F">
        <w:t>and</w:t>
      </w:r>
      <w:r w:rsidRPr="00CD2CBB">
        <w:t xml:space="preserve"> will be measured </w:t>
      </w:r>
      <w:r w:rsidR="0031364F">
        <w:t xml:space="preserve">by the </w:t>
      </w:r>
      <w:r w:rsidRPr="00CD2CBB">
        <w:t xml:space="preserve">responses to the </w:t>
      </w:r>
      <w:r w:rsidR="0031364F">
        <w:t xml:space="preserve">monthly </w:t>
      </w:r>
      <w:r w:rsidR="00E01AA5">
        <w:t xml:space="preserve">update </w:t>
      </w:r>
      <w:r w:rsidR="0031364F">
        <w:t>surveys and</w:t>
      </w:r>
      <w:r w:rsidRPr="00CD2CBB">
        <w:t xml:space="preserve"> the </w:t>
      </w:r>
      <w:r>
        <w:t>final</w:t>
      </w:r>
      <w:r w:rsidRPr="00CD2CBB">
        <w:t xml:space="preserve"> survey of the same sample of older adults. </w:t>
      </w:r>
    </w:p>
    <w:p w14:paraId="05A10756" w14:textId="0D71EEDB" w:rsidR="00E71D21" w:rsidRPr="00861EAB" w:rsidRDefault="00482D61" w:rsidP="00E71D21">
      <w:pPr>
        <w:pStyle w:val="ListParagraph"/>
        <w:numPr>
          <w:ilvl w:val="0"/>
          <w:numId w:val="10"/>
        </w:numPr>
      </w:pPr>
      <w:r>
        <w:t>Q</w:t>
      </w:r>
      <w:r w:rsidR="002B1358" w:rsidRPr="00F009FC">
        <w:t>uestions in the</w:t>
      </w:r>
      <w:r w:rsidR="002B1358">
        <w:t xml:space="preserve"> baseline</w:t>
      </w:r>
      <w:r w:rsidR="002B1358" w:rsidRPr="00F009FC">
        <w:t xml:space="preserve"> </w:t>
      </w:r>
      <w:r w:rsidR="002B1358" w:rsidRPr="00E71D21">
        <w:rPr>
          <w:i/>
          <w:iCs/>
        </w:rPr>
        <w:t xml:space="preserve">Test Predictability of Falls Screening Tools </w:t>
      </w:r>
      <w:r w:rsidR="002B1358" w:rsidRPr="00E71D21">
        <w:rPr>
          <w:iCs/>
        </w:rPr>
        <w:t>survey</w:t>
      </w:r>
      <w:r w:rsidR="002B1358" w:rsidRPr="00E71D21">
        <w:rPr>
          <w:i/>
          <w:iCs/>
        </w:rPr>
        <w:t xml:space="preserve"> </w:t>
      </w:r>
      <w:r w:rsidR="002B1358" w:rsidRPr="00F009FC">
        <w:t>with a higher sensitivity derived from the literature on the falls history (</w:t>
      </w:r>
      <w:r w:rsidR="002B1358">
        <w:t>0</w:t>
      </w:r>
      <w:r w:rsidR="002B1358" w:rsidRPr="00F009FC">
        <w:t xml:space="preserve">.50 sensitivity and </w:t>
      </w:r>
      <w:r w:rsidR="002B1358">
        <w:t>0</w:t>
      </w:r>
      <w:r w:rsidR="002B1358" w:rsidRPr="00F009FC">
        <w:t>.80</w:t>
      </w:r>
      <w:r w:rsidR="002B1358">
        <w:t xml:space="preserve"> specificity</w:t>
      </w:r>
      <w:r w:rsidR="002B1358" w:rsidRPr="00F009FC">
        <w:t>)</w:t>
      </w:r>
      <w:r w:rsidR="002B1358">
        <w:t xml:space="preserve"> will be identified</w:t>
      </w:r>
      <w:r w:rsidR="002B1358" w:rsidRPr="00F009FC">
        <w:t>.</w:t>
      </w:r>
      <w:r w:rsidR="002B1358">
        <w:rPr>
          <w:rStyle w:val="FootnoteReference"/>
        </w:rPr>
        <w:footnoteReference w:id="7"/>
      </w:r>
      <w:r w:rsidR="002B1358" w:rsidRPr="00E71D21">
        <w:rPr>
          <w:vertAlign w:val="superscript"/>
        </w:rPr>
        <w:t xml:space="preserve">  </w:t>
      </w:r>
    </w:p>
    <w:p w14:paraId="0DA31775" w14:textId="744CC998" w:rsidR="00E71D21" w:rsidRDefault="002B1358" w:rsidP="00E71D21">
      <w:pPr>
        <w:pStyle w:val="ListParagraph"/>
        <w:numPr>
          <w:ilvl w:val="0"/>
          <w:numId w:val="10"/>
        </w:numPr>
        <w:rPr>
          <w:rFonts w:cs="Times New Roman"/>
        </w:rPr>
      </w:pPr>
      <w:r>
        <w:t>W</w:t>
      </w:r>
      <w:r w:rsidRPr="00F009FC">
        <w:t xml:space="preserve">e assume a parsimonious </w:t>
      </w:r>
      <w:r w:rsidR="0033781B">
        <w:t>sub</w:t>
      </w:r>
      <w:r w:rsidRPr="00F009FC">
        <w:t xml:space="preserve">set of questions administered in the baseline </w:t>
      </w:r>
      <w:r w:rsidRPr="00E71D21">
        <w:rPr>
          <w:i/>
          <w:iCs/>
        </w:rPr>
        <w:t xml:space="preserve">Test Predictability of Falls Screening Tools survey </w:t>
      </w:r>
      <w:r w:rsidRPr="00F009FC">
        <w:t xml:space="preserve">will positively predict a fall occurring within a one-year period with a sensitivity of approximately </w:t>
      </w:r>
      <w:r>
        <w:t>0</w:t>
      </w:r>
      <w:r w:rsidRPr="00F009FC">
        <w:t xml:space="preserve">.75 and a specificity of </w:t>
      </w:r>
      <w:r>
        <w:t>0</w:t>
      </w:r>
      <w:r w:rsidRPr="00F009FC">
        <w:t xml:space="preserve">.80. We expect a higher sensitivity </w:t>
      </w:r>
      <w:r w:rsidR="0033781B">
        <w:t>when this subset</w:t>
      </w:r>
      <w:r w:rsidRPr="00F009FC">
        <w:t xml:space="preserve"> is combined with other questions</w:t>
      </w:r>
      <w:r w:rsidR="0033781B">
        <w:t xml:space="preserve"> identifying risk factors for falls</w:t>
      </w:r>
      <w:r w:rsidRPr="00F009FC">
        <w:t xml:space="preserve">. </w:t>
      </w:r>
    </w:p>
    <w:p w14:paraId="44C7933C" w14:textId="77777777" w:rsidR="002B1358" w:rsidRPr="00E71D21" w:rsidRDefault="002B1358" w:rsidP="00991001">
      <w:pPr>
        <w:rPr>
          <w:rFonts w:cs="Times New Roman"/>
        </w:rPr>
      </w:pPr>
      <w:r w:rsidRPr="00E71D21">
        <w:rPr>
          <w:rFonts w:cs="Times New Roman"/>
        </w:rPr>
        <w:t xml:space="preserve">Exhibit </w:t>
      </w:r>
      <w:r w:rsidR="00DC40B5" w:rsidRPr="00E71D21">
        <w:rPr>
          <w:rFonts w:cs="Times New Roman"/>
        </w:rPr>
        <w:t>2</w:t>
      </w:r>
      <w:r w:rsidRPr="00E71D21">
        <w:rPr>
          <w:rFonts w:cs="Times New Roman"/>
        </w:rPr>
        <w:t xml:space="preserve"> summarizes the resulting sample distribution for at least one reported fall under our assumptions with a sample size of 1,520 completed interviews at the final survey. We expect to detect an effect size of approximately 3.6 percentage points with 80% power between the falls screening questions and the incidence of falls for the population of adults 65 and older.</w:t>
      </w:r>
    </w:p>
    <w:p w14:paraId="37683353" w14:textId="7121DB24" w:rsidR="002B1358" w:rsidRPr="00F009FC" w:rsidRDefault="002B1358" w:rsidP="002B1358">
      <w:r w:rsidRPr="008025BA">
        <w:rPr>
          <w:b/>
        </w:rPr>
        <w:t xml:space="preserve">Exhibit </w:t>
      </w:r>
      <w:r w:rsidR="00AF152A">
        <w:rPr>
          <w:b/>
        </w:rPr>
        <w:t>3</w:t>
      </w:r>
      <w:r w:rsidRPr="008025BA">
        <w:rPr>
          <w:b/>
        </w:rPr>
        <w:t>.</w:t>
      </w:r>
      <w:r w:rsidRPr="008025BA">
        <w:rPr>
          <w:rFonts w:ascii="Arial" w:hAnsi="Arial" w:cs="Arial"/>
          <w:b/>
          <w:bCs/>
          <w:color w:val="000000"/>
          <w:sz w:val="21"/>
          <w:szCs w:val="21"/>
        </w:rPr>
        <w:t xml:space="preserve"> </w:t>
      </w:r>
      <w:r w:rsidRPr="008025BA">
        <w:t>Sam</w:t>
      </w:r>
      <w:r w:rsidRPr="0076463C">
        <w:t xml:space="preserve">ple Distribution for Successful </w:t>
      </w:r>
      <w:r>
        <w:t xml:space="preserve">Screening of </w:t>
      </w:r>
      <w:r w:rsidRPr="008025BA">
        <w:t>Fall</w:t>
      </w:r>
      <w:r>
        <w:t>s</w:t>
      </w:r>
      <w:r w:rsidRPr="00F009FC">
        <w:t xml:space="preserve"> </w:t>
      </w:r>
    </w:p>
    <w:tbl>
      <w:tblPr>
        <w:tblStyle w:val="TableGrid"/>
        <w:tblW w:w="0" w:type="auto"/>
        <w:jc w:val="center"/>
        <w:tblLayout w:type="fixed"/>
        <w:tblLook w:val="04A0" w:firstRow="1" w:lastRow="0" w:firstColumn="1" w:lastColumn="0" w:noHBand="0" w:noVBand="1"/>
      </w:tblPr>
      <w:tblGrid>
        <w:gridCol w:w="1975"/>
        <w:gridCol w:w="1485"/>
        <w:gridCol w:w="1485"/>
        <w:gridCol w:w="1260"/>
      </w:tblGrid>
      <w:tr w:rsidR="002B1358" w:rsidRPr="00F938B6" w14:paraId="52A3FE0E" w14:textId="77777777" w:rsidTr="000E47C5">
        <w:trPr>
          <w:jc w:val="center"/>
        </w:trPr>
        <w:tc>
          <w:tcPr>
            <w:tcW w:w="1975" w:type="dxa"/>
            <w:vMerge w:val="restart"/>
            <w:shd w:val="clear" w:color="auto" w:fill="E7E6E6" w:themeFill="background2"/>
          </w:tcPr>
          <w:p w14:paraId="3385B86A" w14:textId="77777777" w:rsidR="002B1358" w:rsidRPr="00F938B6" w:rsidRDefault="002B1358" w:rsidP="000E47C5">
            <w:pPr>
              <w:pStyle w:val="NoSpacing"/>
              <w:rPr>
                <w:rFonts w:ascii="Arial" w:hAnsi="Arial" w:cs="Arial"/>
                <w:sz w:val="18"/>
              </w:rPr>
            </w:pPr>
          </w:p>
        </w:tc>
        <w:tc>
          <w:tcPr>
            <w:tcW w:w="2970" w:type="dxa"/>
            <w:gridSpan w:val="2"/>
            <w:shd w:val="clear" w:color="auto" w:fill="E7E6E6" w:themeFill="background2"/>
            <w:vAlign w:val="center"/>
          </w:tcPr>
          <w:p w14:paraId="2C009C5E" w14:textId="77777777" w:rsidR="002B1358" w:rsidRPr="00F938B6" w:rsidRDefault="002B1358" w:rsidP="000E47C5">
            <w:pPr>
              <w:pStyle w:val="NoSpacing"/>
              <w:jc w:val="center"/>
              <w:rPr>
                <w:rFonts w:ascii="Arial" w:hAnsi="Arial" w:cs="Arial"/>
                <w:b/>
                <w:sz w:val="18"/>
              </w:rPr>
            </w:pPr>
            <w:r w:rsidRPr="00F938B6">
              <w:rPr>
                <w:rFonts w:ascii="Arial" w:hAnsi="Arial" w:cs="Arial"/>
                <w:b/>
                <w:sz w:val="18"/>
              </w:rPr>
              <w:t>Condition – Fall</w:t>
            </w:r>
          </w:p>
        </w:tc>
        <w:tc>
          <w:tcPr>
            <w:tcW w:w="1260" w:type="dxa"/>
            <w:vMerge w:val="restart"/>
            <w:shd w:val="clear" w:color="auto" w:fill="E7E6E6" w:themeFill="background2"/>
            <w:vAlign w:val="center"/>
          </w:tcPr>
          <w:p w14:paraId="2E7B7E2B" w14:textId="77777777" w:rsidR="002B1358" w:rsidRPr="00F938B6" w:rsidRDefault="002B1358" w:rsidP="000E47C5">
            <w:pPr>
              <w:pStyle w:val="NoSpacing"/>
              <w:jc w:val="center"/>
              <w:rPr>
                <w:rFonts w:ascii="Arial" w:hAnsi="Arial" w:cs="Arial"/>
                <w:b/>
                <w:sz w:val="18"/>
              </w:rPr>
            </w:pPr>
            <w:r w:rsidRPr="00F938B6">
              <w:rPr>
                <w:rFonts w:ascii="Arial" w:hAnsi="Arial" w:cs="Arial"/>
                <w:b/>
                <w:sz w:val="18"/>
              </w:rPr>
              <w:t>Totals</w:t>
            </w:r>
          </w:p>
        </w:tc>
      </w:tr>
      <w:tr w:rsidR="002B1358" w:rsidRPr="00F938B6" w14:paraId="4D5DEA42" w14:textId="77777777" w:rsidTr="000E47C5">
        <w:trPr>
          <w:jc w:val="center"/>
        </w:trPr>
        <w:tc>
          <w:tcPr>
            <w:tcW w:w="1975" w:type="dxa"/>
            <w:vMerge/>
            <w:shd w:val="clear" w:color="auto" w:fill="E7E6E6" w:themeFill="background2"/>
          </w:tcPr>
          <w:p w14:paraId="78562F08" w14:textId="77777777" w:rsidR="002B1358" w:rsidRPr="00F938B6" w:rsidRDefault="002B1358" w:rsidP="000E47C5">
            <w:pPr>
              <w:pStyle w:val="NoSpacing"/>
              <w:rPr>
                <w:rFonts w:ascii="Arial" w:hAnsi="Arial" w:cs="Arial"/>
                <w:sz w:val="18"/>
              </w:rPr>
            </w:pPr>
          </w:p>
        </w:tc>
        <w:tc>
          <w:tcPr>
            <w:tcW w:w="1485" w:type="dxa"/>
            <w:shd w:val="clear" w:color="auto" w:fill="E7E6E6" w:themeFill="background2"/>
            <w:vAlign w:val="center"/>
          </w:tcPr>
          <w:p w14:paraId="1D573ED8" w14:textId="77777777" w:rsidR="002B1358" w:rsidRPr="00F938B6" w:rsidRDefault="002B1358" w:rsidP="000E47C5">
            <w:pPr>
              <w:pStyle w:val="NoSpacing"/>
              <w:jc w:val="center"/>
              <w:rPr>
                <w:rFonts w:ascii="Arial" w:hAnsi="Arial" w:cs="Arial"/>
                <w:b/>
                <w:sz w:val="18"/>
              </w:rPr>
            </w:pPr>
            <w:r w:rsidRPr="00F938B6">
              <w:rPr>
                <w:rFonts w:ascii="Arial" w:hAnsi="Arial" w:cs="Arial"/>
                <w:b/>
                <w:sz w:val="18"/>
              </w:rPr>
              <w:t>Absent</w:t>
            </w:r>
          </w:p>
        </w:tc>
        <w:tc>
          <w:tcPr>
            <w:tcW w:w="1485" w:type="dxa"/>
            <w:shd w:val="clear" w:color="auto" w:fill="E7E6E6" w:themeFill="background2"/>
            <w:vAlign w:val="center"/>
          </w:tcPr>
          <w:p w14:paraId="37129E8A" w14:textId="77777777" w:rsidR="002B1358" w:rsidRPr="00F938B6" w:rsidRDefault="002B1358" w:rsidP="000E47C5">
            <w:pPr>
              <w:pStyle w:val="NoSpacing"/>
              <w:jc w:val="center"/>
              <w:rPr>
                <w:rFonts w:ascii="Arial" w:hAnsi="Arial" w:cs="Arial"/>
                <w:b/>
                <w:sz w:val="18"/>
              </w:rPr>
            </w:pPr>
            <w:r w:rsidRPr="00F938B6">
              <w:rPr>
                <w:rFonts w:ascii="Arial" w:hAnsi="Arial" w:cs="Arial"/>
                <w:b/>
                <w:sz w:val="18"/>
              </w:rPr>
              <w:t>Present</w:t>
            </w:r>
          </w:p>
        </w:tc>
        <w:tc>
          <w:tcPr>
            <w:tcW w:w="1260" w:type="dxa"/>
            <w:vMerge/>
            <w:shd w:val="clear" w:color="auto" w:fill="E7E6E6" w:themeFill="background2"/>
          </w:tcPr>
          <w:p w14:paraId="6058E534" w14:textId="77777777" w:rsidR="002B1358" w:rsidRPr="00F938B6" w:rsidRDefault="002B1358" w:rsidP="000E47C5">
            <w:pPr>
              <w:pStyle w:val="NoSpacing"/>
              <w:rPr>
                <w:rFonts w:ascii="Arial" w:hAnsi="Arial" w:cs="Arial"/>
                <w:sz w:val="18"/>
              </w:rPr>
            </w:pPr>
          </w:p>
        </w:tc>
      </w:tr>
      <w:tr w:rsidR="002B1358" w:rsidRPr="00F938B6" w14:paraId="23BDD1E1" w14:textId="77777777" w:rsidTr="000E47C5">
        <w:trPr>
          <w:jc w:val="center"/>
        </w:trPr>
        <w:tc>
          <w:tcPr>
            <w:tcW w:w="1975" w:type="dxa"/>
            <w:shd w:val="clear" w:color="auto" w:fill="auto"/>
          </w:tcPr>
          <w:p w14:paraId="26F0D52C" w14:textId="77777777" w:rsidR="002B1358" w:rsidRPr="00F938B6" w:rsidRDefault="002B1358" w:rsidP="000E47C5">
            <w:pPr>
              <w:pStyle w:val="NoSpacing"/>
              <w:rPr>
                <w:rFonts w:ascii="Arial" w:hAnsi="Arial" w:cs="Arial"/>
                <w:sz w:val="18"/>
              </w:rPr>
            </w:pPr>
            <w:r w:rsidRPr="00F938B6">
              <w:rPr>
                <w:rFonts w:ascii="Arial" w:hAnsi="Arial" w:cs="Arial"/>
                <w:sz w:val="18"/>
              </w:rPr>
              <w:t>Screener Positive</w:t>
            </w:r>
          </w:p>
        </w:tc>
        <w:tc>
          <w:tcPr>
            <w:tcW w:w="1485" w:type="dxa"/>
            <w:shd w:val="clear" w:color="auto" w:fill="auto"/>
            <w:vAlign w:val="bottom"/>
          </w:tcPr>
          <w:p w14:paraId="002EC1BE" w14:textId="77777777" w:rsidR="002B1358" w:rsidRPr="00F938B6" w:rsidRDefault="002B1358" w:rsidP="000E47C5">
            <w:pPr>
              <w:pStyle w:val="NoSpacing"/>
              <w:jc w:val="center"/>
              <w:rPr>
                <w:rFonts w:ascii="Arial" w:hAnsi="Arial" w:cs="Arial"/>
                <w:sz w:val="18"/>
                <w:szCs w:val="18"/>
              </w:rPr>
            </w:pPr>
            <w:r>
              <w:rPr>
                <w:rFonts w:ascii="Arial" w:hAnsi="Arial" w:cs="Arial"/>
                <w:sz w:val="18"/>
                <w:szCs w:val="18"/>
              </w:rPr>
              <w:t>216</w:t>
            </w:r>
          </w:p>
        </w:tc>
        <w:tc>
          <w:tcPr>
            <w:tcW w:w="1485" w:type="dxa"/>
            <w:shd w:val="clear" w:color="auto" w:fill="auto"/>
            <w:vAlign w:val="bottom"/>
          </w:tcPr>
          <w:p w14:paraId="1CCB57D0" w14:textId="77777777" w:rsidR="002B1358" w:rsidRPr="00F938B6" w:rsidRDefault="002B1358" w:rsidP="000E47C5">
            <w:pPr>
              <w:pStyle w:val="NoSpacing"/>
              <w:jc w:val="center"/>
              <w:rPr>
                <w:rFonts w:ascii="Arial" w:hAnsi="Arial" w:cs="Arial"/>
                <w:sz w:val="18"/>
                <w:szCs w:val="18"/>
              </w:rPr>
            </w:pPr>
            <w:r>
              <w:rPr>
                <w:rFonts w:ascii="Arial" w:hAnsi="Arial" w:cs="Arial"/>
                <w:sz w:val="18"/>
                <w:szCs w:val="18"/>
              </w:rPr>
              <w:t>331</w:t>
            </w:r>
          </w:p>
        </w:tc>
        <w:tc>
          <w:tcPr>
            <w:tcW w:w="1260" w:type="dxa"/>
            <w:shd w:val="clear" w:color="auto" w:fill="auto"/>
            <w:vAlign w:val="bottom"/>
          </w:tcPr>
          <w:p w14:paraId="3FF48C79" w14:textId="77777777" w:rsidR="002B1358" w:rsidRPr="00F938B6" w:rsidRDefault="002B1358" w:rsidP="000E47C5">
            <w:pPr>
              <w:pStyle w:val="NoSpacing"/>
              <w:jc w:val="center"/>
              <w:rPr>
                <w:rFonts w:ascii="Arial" w:hAnsi="Arial" w:cs="Arial"/>
                <w:sz w:val="18"/>
                <w:szCs w:val="18"/>
              </w:rPr>
            </w:pPr>
            <w:r>
              <w:rPr>
                <w:rFonts w:ascii="Arial" w:hAnsi="Arial" w:cs="Arial"/>
                <w:sz w:val="18"/>
                <w:szCs w:val="18"/>
              </w:rPr>
              <w:t>547</w:t>
            </w:r>
          </w:p>
        </w:tc>
      </w:tr>
      <w:tr w:rsidR="002B1358" w:rsidRPr="00F938B6" w14:paraId="7FAFE740" w14:textId="77777777" w:rsidTr="000E47C5">
        <w:trPr>
          <w:jc w:val="center"/>
        </w:trPr>
        <w:tc>
          <w:tcPr>
            <w:tcW w:w="1975" w:type="dxa"/>
            <w:shd w:val="clear" w:color="auto" w:fill="auto"/>
          </w:tcPr>
          <w:p w14:paraId="442968FF" w14:textId="77777777" w:rsidR="002B1358" w:rsidRPr="00F938B6" w:rsidRDefault="002B1358" w:rsidP="000E47C5">
            <w:pPr>
              <w:pStyle w:val="NoSpacing"/>
              <w:rPr>
                <w:rFonts w:ascii="Arial" w:hAnsi="Arial" w:cs="Arial"/>
                <w:sz w:val="18"/>
              </w:rPr>
            </w:pPr>
            <w:r w:rsidRPr="00F938B6">
              <w:rPr>
                <w:rFonts w:ascii="Arial" w:hAnsi="Arial" w:cs="Arial"/>
                <w:sz w:val="18"/>
              </w:rPr>
              <w:t>Screener Negative</w:t>
            </w:r>
          </w:p>
        </w:tc>
        <w:tc>
          <w:tcPr>
            <w:tcW w:w="1485" w:type="dxa"/>
            <w:shd w:val="clear" w:color="auto" w:fill="auto"/>
            <w:vAlign w:val="bottom"/>
          </w:tcPr>
          <w:p w14:paraId="03ADEAB0" w14:textId="77777777" w:rsidR="002B1358" w:rsidRPr="00F938B6" w:rsidRDefault="002B1358" w:rsidP="000E47C5">
            <w:pPr>
              <w:pStyle w:val="NoSpacing"/>
              <w:jc w:val="center"/>
              <w:rPr>
                <w:rFonts w:ascii="Arial" w:hAnsi="Arial" w:cs="Arial"/>
                <w:sz w:val="18"/>
                <w:szCs w:val="18"/>
              </w:rPr>
            </w:pPr>
            <w:r w:rsidRPr="00F938B6">
              <w:rPr>
                <w:rFonts w:ascii="Arial" w:hAnsi="Arial" w:cs="Arial"/>
                <w:color w:val="000000"/>
                <w:sz w:val="18"/>
                <w:szCs w:val="18"/>
              </w:rPr>
              <w:t>8</w:t>
            </w:r>
            <w:r>
              <w:rPr>
                <w:rFonts w:ascii="Arial" w:hAnsi="Arial" w:cs="Arial"/>
                <w:color w:val="000000"/>
                <w:sz w:val="18"/>
                <w:szCs w:val="18"/>
              </w:rPr>
              <w:t>63</w:t>
            </w:r>
          </w:p>
        </w:tc>
        <w:tc>
          <w:tcPr>
            <w:tcW w:w="1485" w:type="dxa"/>
            <w:shd w:val="clear" w:color="auto" w:fill="auto"/>
            <w:vAlign w:val="bottom"/>
          </w:tcPr>
          <w:p w14:paraId="42111291" w14:textId="77777777" w:rsidR="002B1358" w:rsidRPr="00F938B6" w:rsidRDefault="002B1358" w:rsidP="000E47C5">
            <w:pPr>
              <w:pStyle w:val="NoSpacing"/>
              <w:jc w:val="center"/>
              <w:rPr>
                <w:rFonts w:ascii="Arial" w:hAnsi="Arial" w:cs="Arial"/>
                <w:sz w:val="18"/>
                <w:szCs w:val="18"/>
              </w:rPr>
            </w:pPr>
            <w:r w:rsidRPr="00F938B6">
              <w:rPr>
                <w:rFonts w:ascii="Arial" w:hAnsi="Arial" w:cs="Arial"/>
                <w:color w:val="000000"/>
                <w:sz w:val="18"/>
                <w:szCs w:val="18"/>
              </w:rPr>
              <w:t>1</w:t>
            </w:r>
            <w:r>
              <w:rPr>
                <w:rFonts w:ascii="Arial" w:hAnsi="Arial" w:cs="Arial"/>
                <w:color w:val="000000"/>
                <w:sz w:val="18"/>
                <w:szCs w:val="18"/>
              </w:rPr>
              <w:t>10</w:t>
            </w:r>
          </w:p>
        </w:tc>
        <w:tc>
          <w:tcPr>
            <w:tcW w:w="1260" w:type="dxa"/>
            <w:shd w:val="clear" w:color="auto" w:fill="auto"/>
            <w:vAlign w:val="bottom"/>
          </w:tcPr>
          <w:p w14:paraId="24021A19" w14:textId="77777777" w:rsidR="002B1358" w:rsidRPr="00F938B6" w:rsidRDefault="002B1358" w:rsidP="000E47C5">
            <w:pPr>
              <w:pStyle w:val="NoSpacing"/>
              <w:jc w:val="center"/>
              <w:rPr>
                <w:rFonts w:ascii="Arial" w:hAnsi="Arial" w:cs="Arial"/>
                <w:sz w:val="18"/>
                <w:szCs w:val="18"/>
              </w:rPr>
            </w:pPr>
            <w:r w:rsidRPr="00F938B6">
              <w:rPr>
                <w:rFonts w:ascii="Arial" w:hAnsi="Arial" w:cs="Arial"/>
                <w:color w:val="000000"/>
                <w:sz w:val="18"/>
                <w:szCs w:val="18"/>
              </w:rPr>
              <w:t>9</w:t>
            </w:r>
            <w:r>
              <w:rPr>
                <w:rFonts w:ascii="Arial" w:hAnsi="Arial" w:cs="Arial"/>
                <w:color w:val="000000"/>
                <w:sz w:val="18"/>
                <w:szCs w:val="18"/>
              </w:rPr>
              <w:t>73</w:t>
            </w:r>
          </w:p>
        </w:tc>
      </w:tr>
      <w:tr w:rsidR="002B1358" w:rsidRPr="00F938B6" w14:paraId="1C379A6E" w14:textId="77777777" w:rsidTr="000E47C5">
        <w:trPr>
          <w:jc w:val="center"/>
        </w:trPr>
        <w:tc>
          <w:tcPr>
            <w:tcW w:w="1975" w:type="dxa"/>
            <w:shd w:val="clear" w:color="auto" w:fill="auto"/>
          </w:tcPr>
          <w:p w14:paraId="1A478EF8" w14:textId="77777777" w:rsidR="002B1358" w:rsidRPr="00F938B6" w:rsidRDefault="002B1358" w:rsidP="000E47C5">
            <w:pPr>
              <w:pStyle w:val="NoSpacing"/>
              <w:rPr>
                <w:rFonts w:ascii="Arial" w:hAnsi="Arial" w:cs="Arial"/>
                <w:sz w:val="18"/>
              </w:rPr>
            </w:pPr>
            <w:r w:rsidRPr="00F938B6">
              <w:rPr>
                <w:rFonts w:ascii="Arial" w:hAnsi="Arial" w:cs="Arial"/>
                <w:sz w:val="18"/>
              </w:rPr>
              <w:t>Totals</w:t>
            </w:r>
          </w:p>
        </w:tc>
        <w:tc>
          <w:tcPr>
            <w:tcW w:w="1485" w:type="dxa"/>
            <w:shd w:val="clear" w:color="auto" w:fill="auto"/>
            <w:vAlign w:val="bottom"/>
          </w:tcPr>
          <w:p w14:paraId="4644785D" w14:textId="77777777" w:rsidR="002B1358" w:rsidRPr="00F938B6" w:rsidRDefault="002B1358" w:rsidP="000E47C5">
            <w:pPr>
              <w:pStyle w:val="NoSpacing"/>
              <w:jc w:val="center"/>
              <w:rPr>
                <w:rFonts w:ascii="Arial" w:hAnsi="Arial" w:cs="Arial"/>
                <w:sz w:val="18"/>
                <w:szCs w:val="18"/>
              </w:rPr>
            </w:pPr>
            <w:r w:rsidRPr="00F938B6">
              <w:rPr>
                <w:rFonts w:ascii="Arial" w:hAnsi="Arial" w:cs="Arial"/>
                <w:color w:val="000000"/>
                <w:sz w:val="18"/>
                <w:szCs w:val="18"/>
              </w:rPr>
              <w:t>10</w:t>
            </w:r>
            <w:r>
              <w:rPr>
                <w:rFonts w:ascii="Arial" w:hAnsi="Arial" w:cs="Arial"/>
                <w:color w:val="000000"/>
                <w:sz w:val="18"/>
                <w:szCs w:val="18"/>
              </w:rPr>
              <w:t>79</w:t>
            </w:r>
          </w:p>
        </w:tc>
        <w:tc>
          <w:tcPr>
            <w:tcW w:w="1485" w:type="dxa"/>
            <w:shd w:val="clear" w:color="auto" w:fill="auto"/>
            <w:vAlign w:val="bottom"/>
          </w:tcPr>
          <w:p w14:paraId="4BCA716F" w14:textId="77777777" w:rsidR="002B1358" w:rsidRPr="00F938B6" w:rsidRDefault="002B1358" w:rsidP="000E47C5">
            <w:pPr>
              <w:pStyle w:val="NoSpacing"/>
              <w:jc w:val="center"/>
              <w:rPr>
                <w:rFonts w:ascii="Arial" w:hAnsi="Arial" w:cs="Arial"/>
                <w:sz w:val="18"/>
                <w:szCs w:val="18"/>
              </w:rPr>
            </w:pPr>
            <w:r>
              <w:rPr>
                <w:rFonts w:ascii="Arial" w:hAnsi="Arial" w:cs="Arial"/>
                <w:sz w:val="18"/>
                <w:szCs w:val="18"/>
              </w:rPr>
              <w:t>441</w:t>
            </w:r>
          </w:p>
        </w:tc>
        <w:tc>
          <w:tcPr>
            <w:tcW w:w="1260" w:type="dxa"/>
            <w:shd w:val="clear" w:color="auto" w:fill="auto"/>
            <w:vAlign w:val="bottom"/>
          </w:tcPr>
          <w:p w14:paraId="306E8D83" w14:textId="77777777" w:rsidR="002B1358" w:rsidRPr="00F938B6" w:rsidRDefault="002B1358" w:rsidP="000E47C5">
            <w:pPr>
              <w:pStyle w:val="NoSpacing"/>
              <w:jc w:val="center"/>
              <w:rPr>
                <w:rFonts w:ascii="Arial" w:hAnsi="Arial" w:cs="Arial"/>
                <w:sz w:val="18"/>
                <w:szCs w:val="18"/>
              </w:rPr>
            </w:pPr>
            <w:r w:rsidRPr="00F938B6">
              <w:rPr>
                <w:rFonts w:ascii="Arial" w:hAnsi="Arial" w:cs="Arial"/>
                <w:color w:val="000000"/>
                <w:sz w:val="18"/>
                <w:szCs w:val="18"/>
              </w:rPr>
              <w:t>1520</w:t>
            </w:r>
          </w:p>
        </w:tc>
      </w:tr>
    </w:tbl>
    <w:p w14:paraId="1C2C3E83" w14:textId="77777777" w:rsidR="002B1358" w:rsidRDefault="002B1358" w:rsidP="002B1358"/>
    <w:p w14:paraId="6866E52E" w14:textId="77777777" w:rsidR="002B1358" w:rsidRDefault="002B1358" w:rsidP="002B1358">
      <w:pPr>
        <w:pStyle w:val="NoSpacing"/>
        <w:rPr>
          <w:rFonts w:cs="Times New Roman"/>
        </w:rPr>
      </w:pPr>
      <w:r w:rsidRPr="000C600B">
        <w:rPr>
          <w:rFonts w:cs="Times New Roman"/>
        </w:rPr>
        <w:t xml:space="preserve">Exhibit </w:t>
      </w:r>
      <w:r w:rsidR="00DC40B5">
        <w:rPr>
          <w:rFonts w:cs="Times New Roman"/>
        </w:rPr>
        <w:t>3</w:t>
      </w:r>
      <w:r w:rsidRPr="000C600B">
        <w:rPr>
          <w:rFonts w:cs="Times New Roman"/>
        </w:rPr>
        <w:t xml:space="preserve"> summarizes estimates of population prevalence, sensitivity, specificity, 95% confidence intervals for each estimate, and likelihood ratios for the observed total sample. Taking into account the estimated weighting effect of 1.2 for the sample, the 95% confidence interval for an estimate of 0.75 sensitivity is [0.7</w:t>
      </w:r>
      <w:r>
        <w:rPr>
          <w:rFonts w:cs="Times New Roman"/>
        </w:rPr>
        <w:t>0</w:t>
      </w:r>
      <w:r w:rsidRPr="000C600B">
        <w:rPr>
          <w:rFonts w:cs="Times New Roman"/>
        </w:rPr>
        <w:t xml:space="preserve">, 0.79] and the confidence interval for an estimate of </w:t>
      </w:r>
      <w:r>
        <w:rPr>
          <w:rFonts w:cs="Times New Roman"/>
        </w:rPr>
        <w:t>0</w:t>
      </w:r>
      <w:r w:rsidRPr="000C600B">
        <w:rPr>
          <w:rFonts w:cs="Times New Roman"/>
        </w:rPr>
        <w:t>.80 specificity is [0.7</w:t>
      </w:r>
      <w:r>
        <w:rPr>
          <w:rFonts w:cs="Times New Roman"/>
        </w:rPr>
        <w:t>7</w:t>
      </w:r>
      <w:r w:rsidRPr="000C600B">
        <w:rPr>
          <w:rFonts w:cs="Times New Roman"/>
        </w:rPr>
        <w:t>, 0.83].</w:t>
      </w:r>
    </w:p>
    <w:p w14:paraId="4E72FB63" w14:textId="77777777" w:rsidR="002B1358" w:rsidRDefault="002B1358" w:rsidP="002B1358">
      <w:pPr>
        <w:pStyle w:val="NoSpacing"/>
        <w:rPr>
          <w:rFonts w:cs="Times New Roman"/>
        </w:rPr>
      </w:pPr>
    </w:p>
    <w:p w14:paraId="2C22F176" w14:textId="3AE0E18D" w:rsidR="002B1358" w:rsidRPr="000C600B" w:rsidRDefault="002B1358" w:rsidP="002B1358">
      <w:pPr>
        <w:pStyle w:val="NoSpacing"/>
        <w:rPr>
          <w:rFonts w:cs="Times New Roman"/>
        </w:rPr>
      </w:pPr>
      <w:r w:rsidRPr="008025BA">
        <w:rPr>
          <w:b/>
        </w:rPr>
        <w:t xml:space="preserve">Exhibit </w:t>
      </w:r>
      <w:r w:rsidR="00AF152A">
        <w:rPr>
          <w:b/>
        </w:rPr>
        <w:t>4</w:t>
      </w:r>
      <w:r w:rsidRPr="008025BA">
        <w:rPr>
          <w:b/>
        </w:rPr>
        <w:t>.</w:t>
      </w:r>
      <w:r>
        <w:rPr>
          <w:b/>
        </w:rPr>
        <w:t xml:space="preserve"> </w:t>
      </w:r>
      <w:r w:rsidRPr="000C600B">
        <w:t>Estimates of Population Prevalence, Sensitivity, Specificity, and Likelihood Ratios for Total Sample</w:t>
      </w:r>
    </w:p>
    <w:p w14:paraId="5396164E" w14:textId="77777777" w:rsidR="002B1358" w:rsidRPr="00F938B6" w:rsidRDefault="002B1358" w:rsidP="002B1358">
      <w:pPr>
        <w:pStyle w:val="NoSpacing"/>
        <w:rPr>
          <w:rFonts w:ascii="Arial" w:hAnsi="Arial" w:cs="Arial"/>
        </w:rPr>
      </w:pPr>
    </w:p>
    <w:tbl>
      <w:tblPr>
        <w:tblStyle w:val="TableGrid"/>
        <w:tblW w:w="0" w:type="auto"/>
        <w:jc w:val="center"/>
        <w:tblCellMar>
          <w:left w:w="115" w:type="dxa"/>
          <w:right w:w="115" w:type="dxa"/>
        </w:tblCellMar>
        <w:tblLook w:val="04A0" w:firstRow="1" w:lastRow="0" w:firstColumn="1" w:lastColumn="0" w:noHBand="0" w:noVBand="1"/>
      </w:tblPr>
      <w:tblGrid>
        <w:gridCol w:w="1525"/>
        <w:gridCol w:w="1996"/>
        <w:gridCol w:w="1874"/>
        <w:gridCol w:w="1620"/>
      </w:tblGrid>
      <w:tr w:rsidR="002B1358" w:rsidRPr="00F938B6" w14:paraId="7EBE956A" w14:textId="77777777" w:rsidTr="000E47C5">
        <w:trPr>
          <w:cantSplit/>
          <w:jc w:val="center"/>
        </w:trPr>
        <w:tc>
          <w:tcPr>
            <w:tcW w:w="1525" w:type="dxa"/>
            <w:vMerge w:val="restart"/>
            <w:shd w:val="clear" w:color="auto" w:fill="E7E6E6" w:themeFill="background2"/>
          </w:tcPr>
          <w:p w14:paraId="3FE29164" w14:textId="77777777" w:rsidR="002B1358" w:rsidRPr="00F938B6" w:rsidRDefault="002B1358" w:rsidP="000E47C5">
            <w:pPr>
              <w:pStyle w:val="NoSpacing"/>
              <w:rPr>
                <w:rFonts w:ascii="Arial" w:hAnsi="Arial" w:cs="Arial"/>
                <w:sz w:val="18"/>
              </w:rPr>
            </w:pPr>
          </w:p>
        </w:tc>
        <w:tc>
          <w:tcPr>
            <w:tcW w:w="1996" w:type="dxa"/>
            <w:vMerge w:val="restart"/>
            <w:shd w:val="clear" w:color="auto" w:fill="E7E6E6" w:themeFill="background2"/>
            <w:vAlign w:val="center"/>
          </w:tcPr>
          <w:p w14:paraId="71F0881C" w14:textId="77777777" w:rsidR="002B1358" w:rsidRPr="00F938B6" w:rsidRDefault="002B1358" w:rsidP="000E47C5">
            <w:pPr>
              <w:pStyle w:val="NoSpacing"/>
              <w:jc w:val="center"/>
              <w:rPr>
                <w:rFonts w:ascii="Arial" w:hAnsi="Arial" w:cs="Arial"/>
                <w:b/>
                <w:sz w:val="18"/>
              </w:rPr>
            </w:pPr>
            <w:r w:rsidRPr="00F938B6">
              <w:rPr>
                <w:rFonts w:ascii="Arial" w:hAnsi="Arial" w:cs="Arial"/>
                <w:b/>
                <w:sz w:val="18"/>
              </w:rPr>
              <w:t>Estimated Value</w:t>
            </w:r>
          </w:p>
        </w:tc>
        <w:tc>
          <w:tcPr>
            <w:tcW w:w="3494" w:type="dxa"/>
            <w:gridSpan w:val="2"/>
            <w:shd w:val="clear" w:color="auto" w:fill="E7E6E6" w:themeFill="background2"/>
            <w:vAlign w:val="center"/>
          </w:tcPr>
          <w:p w14:paraId="33A291C2" w14:textId="77777777" w:rsidR="002B1358" w:rsidRPr="00F938B6" w:rsidRDefault="002B1358" w:rsidP="000E47C5">
            <w:pPr>
              <w:pStyle w:val="NoSpacing"/>
              <w:jc w:val="center"/>
              <w:rPr>
                <w:rFonts w:ascii="Arial" w:hAnsi="Arial" w:cs="Arial"/>
                <w:b/>
                <w:sz w:val="18"/>
              </w:rPr>
            </w:pPr>
            <w:r w:rsidRPr="00F938B6">
              <w:rPr>
                <w:rFonts w:ascii="Arial" w:hAnsi="Arial" w:cs="Arial"/>
                <w:b/>
                <w:sz w:val="18"/>
              </w:rPr>
              <w:t>95% Confidence Interval</w:t>
            </w:r>
          </w:p>
        </w:tc>
      </w:tr>
      <w:tr w:rsidR="002B1358" w:rsidRPr="00F938B6" w14:paraId="328ED428" w14:textId="77777777" w:rsidTr="000E47C5">
        <w:trPr>
          <w:cantSplit/>
          <w:jc w:val="center"/>
        </w:trPr>
        <w:tc>
          <w:tcPr>
            <w:tcW w:w="1525" w:type="dxa"/>
            <w:vMerge/>
            <w:shd w:val="clear" w:color="auto" w:fill="E7E6E6" w:themeFill="background2"/>
          </w:tcPr>
          <w:p w14:paraId="707710D2" w14:textId="77777777" w:rsidR="002B1358" w:rsidRPr="00F938B6" w:rsidRDefault="002B1358" w:rsidP="000E47C5">
            <w:pPr>
              <w:pStyle w:val="NoSpacing"/>
              <w:rPr>
                <w:rFonts w:ascii="Arial" w:hAnsi="Arial" w:cs="Arial"/>
                <w:sz w:val="18"/>
              </w:rPr>
            </w:pPr>
          </w:p>
        </w:tc>
        <w:tc>
          <w:tcPr>
            <w:tcW w:w="1996" w:type="dxa"/>
            <w:vMerge/>
            <w:shd w:val="clear" w:color="auto" w:fill="E7E6E6" w:themeFill="background2"/>
            <w:vAlign w:val="center"/>
          </w:tcPr>
          <w:p w14:paraId="22CD384F" w14:textId="77777777" w:rsidR="002B1358" w:rsidRPr="00F938B6" w:rsidRDefault="002B1358" w:rsidP="000E47C5">
            <w:pPr>
              <w:pStyle w:val="NoSpacing"/>
              <w:jc w:val="center"/>
              <w:rPr>
                <w:rFonts w:ascii="Arial" w:hAnsi="Arial" w:cs="Arial"/>
                <w:b/>
                <w:sz w:val="18"/>
              </w:rPr>
            </w:pPr>
          </w:p>
        </w:tc>
        <w:tc>
          <w:tcPr>
            <w:tcW w:w="1874" w:type="dxa"/>
            <w:shd w:val="clear" w:color="auto" w:fill="E7E6E6" w:themeFill="background2"/>
            <w:vAlign w:val="center"/>
          </w:tcPr>
          <w:p w14:paraId="35F5F775" w14:textId="77777777" w:rsidR="002B1358" w:rsidRPr="00F938B6" w:rsidRDefault="002B1358" w:rsidP="000E47C5">
            <w:pPr>
              <w:pStyle w:val="NoSpacing"/>
              <w:jc w:val="center"/>
              <w:rPr>
                <w:rFonts w:ascii="Arial" w:hAnsi="Arial" w:cs="Arial"/>
                <w:b/>
                <w:sz w:val="18"/>
              </w:rPr>
            </w:pPr>
            <w:r w:rsidRPr="00F938B6">
              <w:rPr>
                <w:rFonts w:ascii="Arial" w:hAnsi="Arial" w:cs="Arial"/>
                <w:b/>
                <w:sz w:val="18"/>
              </w:rPr>
              <w:t>Lower Limit</w:t>
            </w:r>
          </w:p>
        </w:tc>
        <w:tc>
          <w:tcPr>
            <w:tcW w:w="1620" w:type="dxa"/>
            <w:shd w:val="clear" w:color="auto" w:fill="E7E6E6" w:themeFill="background2"/>
            <w:vAlign w:val="center"/>
          </w:tcPr>
          <w:p w14:paraId="3823054B" w14:textId="77777777" w:rsidR="002B1358" w:rsidRPr="00F938B6" w:rsidRDefault="002B1358" w:rsidP="000E47C5">
            <w:pPr>
              <w:pStyle w:val="NoSpacing"/>
              <w:jc w:val="center"/>
              <w:rPr>
                <w:rFonts w:ascii="Arial" w:hAnsi="Arial" w:cs="Arial"/>
                <w:b/>
                <w:sz w:val="18"/>
              </w:rPr>
            </w:pPr>
            <w:r w:rsidRPr="00F938B6">
              <w:rPr>
                <w:rFonts w:ascii="Arial" w:hAnsi="Arial" w:cs="Arial"/>
                <w:b/>
                <w:sz w:val="18"/>
              </w:rPr>
              <w:t>Upper Limit</w:t>
            </w:r>
          </w:p>
        </w:tc>
      </w:tr>
      <w:tr w:rsidR="002B1358" w:rsidRPr="00F938B6" w14:paraId="38CB7442" w14:textId="77777777" w:rsidTr="000E47C5">
        <w:trPr>
          <w:cantSplit/>
          <w:jc w:val="center"/>
        </w:trPr>
        <w:tc>
          <w:tcPr>
            <w:tcW w:w="1525" w:type="dxa"/>
            <w:shd w:val="clear" w:color="auto" w:fill="auto"/>
          </w:tcPr>
          <w:p w14:paraId="2C6DC811" w14:textId="77777777" w:rsidR="002B1358" w:rsidRPr="00F938B6" w:rsidRDefault="002B1358" w:rsidP="000E47C5">
            <w:pPr>
              <w:pStyle w:val="NoSpacing"/>
              <w:rPr>
                <w:rFonts w:ascii="Arial" w:hAnsi="Arial" w:cs="Arial"/>
                <w:sz w:val="18"/>
              </w:rPr>
            </w:pPr>
            <w:r w:rsidRPr="00F938B6">
              <w:rPr>
                <w:rFonts w:ascii="Arial" w:hAnsi="Arial" w:cs="Arial"/>
                <w:sz w:val="18"/>
              </w:rPr>
              <w:t>Prevalence</w:t>
            </w:r>
          </w:p>
        </w:tc>
        <w:tc>
          <w:tcPr>
            <w:tcW w:w="1996" w:type="dxa"/>
            <w:shd w:val="clear" w:color="auto" w:fill="auto"/>
            <w:vAlign w:val="center"/>
          </w:tcPr>
          <w:p w14:paraId="0AA0FD3C" w14:textId="77777777" w:rsidR="002B1358" w:rsidRPr="00F938B6" w:rsidRDefault="002B1358" w:rsidP="000E47C5">
            <w:pPr>
              <w:pStyle w:val="NoSpacing"/>
              <w:jc w:val="center"/>
              <w:rPr>
                <w:rFonts w:ascii="Arial" w:hAnsi="Arial" w:cs="Arial"/>
                <w:sz w:val="18"/>
              </w:rPr>
            </w:pPr>
            <w:r w:rsidRPr="00F938B6">
              <w:rPr>
                <w:rFonts w:ascii="Arial" w:hAnsi="Arial" w:cs="Arial"/>
                <w:sz w:val="18"/>
              </w:rPr>
              <w:t>0.</w:t>
            </w:r>
            <w:r>
              <w:rPr>
                <w:rFonts w:ascii="Arial" w:hAnsi="Arial" w:cs="Arial"/>
                <w:sz w:val="18"/>
              </w:rPr>
              <w:t>29</w:t>
            </w:r>
          </w:p>
        </w:tc>
        <w:tc>
          <w:tcPr>
            <w:tcW w:w="1874" w:type="dxa"/>
            <w:shd w:val="clear" w:color="auto" w:fill="auto"/>
            <w:vAlign w:val="center"/>
          </w:tcPr>
          <w:p w14:paraId="5D1F9E18" w14:textId="77777777" w:rsidR="002B1358" w:rsidRPr="00F938B6" w:rsidRDefault="002B1358" w:rsidP="000E47C5">
            <w:pPr>
              <w:pStyle w:val="NoSpacing"/>
              <w:jc w:val="center"/>
              <w:rPr>
                <w:rFonts w:ascii="Arial" w:hAnsi="Arial" w:cs="Arial"/>
                <w:sz w:val="18"/>
              </w:rPr>
            </w:pPr>
            <w:r w:rsidRPr="00F938B6">
              <w:rPr>
                <w:rFonts w:ascii="Arial" w:hAnsi="Arial" w:cs="Arial"/>
                <w:sz w:val="18"/>
              </w:rPr>
              <w:t>0.</w:t>
            </w:r>
            <w:r>
              <w:rPr>
                <w:rFonts w:ascii="Arial" w:hAnsi="Arial" w:cs="Arial"/>
                <w:sz w:val="18"/>
              </w:rPr>
              <w:t>27</w:t>
            </w:r>
          </w:p>
        </w:tc>
        <w:tc>
          <w:tcPr>
            <w:tcW w:w="1620" w:type="dxa"/>
            <w:shd w:val="clear" w:color="auto" w:fill="auto"/>
            <w:vAlign w:val="center"/>
          </w:tcPr>
          <w:p w14:paraId="2100DA82" w14:textId="77777777" w:rsidR="002B1358" w:rsidRPr="00F938B6" w:rsidRDefault="002B1358" w:rsidP="000E47C5">
            <w:pPr>
              <w:pStyle w:val="NoSpacing"/>
              <w:jc w:val="center"/>
              <w:rPr>
                <w:rFonts w:ascii="Arial" w:hAnsi="Arial" w:cs="Arial"/>
                <w:sz w:val="18"/>
              </w:rPr>
            </w:pPr>
            <w:r w:rsidRPr="00F938B6">
              <w:rPr>
                <w:rFonts w:ascii="Arial" w:hAnsi="Arial" w:cs="Arial"/>
                <w:sz w:val="18"/>
              </w:rPr>
              <w:t>0.3</w:t>
            </w:r>
            <w:r>
              <w:rPr>
                <w:rFonts w:ascii="Arial" w:hAnsi="Arial" w:cs="Arial"/>
                <w:sz w:val="18"/>
              </w:rPr>
              <w:t>2</w:t>
            </w:r>
          </w:p>
        </w:tc>
      </w:tr>
      <w:tr w:rsidR="002B1358" w:rsidRPr="00F938B6" w14:paraId="67CFB601" w14:textId="77777777" w:rsidTr="000E47C5">
        <w:trPr>
          <w:cantSplit/>
          <w:jc w:val="center"/>
        </w:trPr>
        <w:tc>
          <w:tcPr>
            <w:tcW w:w="1525" w:type="dxa"/>
            <w:shd w:val="clear" w:color="auto" w:fill="auto"/>
          </w:tcPr>
          <w:p w14:paraId="7037E94E" w14:textId="77777777" w:rsidR="002B1358" w:rsidRPr="00F938B6" w:rsidRDefault="002B1358" w:rsidP="000E47C5">
            <w:pPr>
              <w:pStyle w:val="NoSpacing"/>
              <w:rPr>
                <w:rFonts w:ascii="Arial" w:hAnsi="Arial" w:cs="Arial"/>
                <w:sz w:val="18"/>
              </w:rPr>
            </w:pPr>
            <w:r w:rsidRPr="00F938B6">
              <w:rPr>
                <w:rFonts w:ascii="Arial" w:hAnsi="Arial" w:cs="Arial"/>
                <w:sz w:val="18"/>
              </w:rPr>
              <w:t>Sensitivity</w:t>
            </w:r>
          </w:p>
        </w:tc>
        <w:tc>
          <w:tcPr>
            <w:tcW w:w="1996" w:type="dxa"/>
            <w:shd w:val="clear" w:color="auto" w:fill="auto"/>
            <w:vAlign w:val="center"/>
          </w:tcPr>
          <w:p w14:paraId="2BFE53AB" w14:textId="77777777" w:rsidR="002B1358" w:rsidRPr="00F938B6" w:rsidRDefault="002B1358" w:rsidP="000E47C5">
            <w:pPr>
              <w:pStyle w:val="NoSpacing"/>
              <w:jc w:val="center"/>
              <w:rPr>
                <w:rFonts w:ascii="Arial" w:hAnsi="Arial" w:cs="Arial"/>
                <w:sz w:val="18"/>
              </w:rPr>
            </w:pPr>
            <w:r w:rsidRPr="00F938B6">
              <w:rPr>
                <w:rFonts w:ascii="Arial" w:hAnsi="Arial" w:cs="Arial"/>
                <w:sz w:val="18"/>
              </w:rPr>
              <w:t>0.75</w:t>
            </w:r>
          </w:p>
        </w:tc>
        <w:tc>
          <w:tcPr>
            <w:tcW w:w="1874" w:type="dxa"/>
            <w:shd w:val="clear" w:color="auto" w:fill="auto"/>
            <w:vAlign w:val="center"/>
          </w:tcPr>
          <w:p w14:paraId="56DC8430" w14:textId="77777777" w:rsidR="002B1358" w:rsidRPr="00F938B6" w:rsidRDefault="002B1358" w:rsidP="000E47C5">
            <w:pPr>
              <w:pStyle w:val="NoSpacing"/>
              <w:jc w:val="center"/>
              <w:rPr>
                <w:rFonts w:ascii="Arial" w:hAnsi="Arial" w:cs="Arial"/>
                <w:sz w:val="18"/>
              </w:rPr>
            </w:pPr>
            <w:r w:rsidRPr="00F938B6">
              <w:rPr>
                <w:rFonts w:ascii="Arial" w:hAnsi="Arial" w:cs="Arial"/>
                <w:sz w:val="18"/>
              </w:rPr>
              <w:t>0.7</w:t>
            </w:r>
            <w:r>
              <w:rPr>
                <w:rFonts w:ascii="Arial" w:hAnsi="Arial" w:cs="Arial"/>
                <w:sz w:val="18"/>
              </w:rPr>
              <w:t>0</w:t>
            </w:r>
          </w:p>
        </w:tc>
        <w:tc>
          <w:tcPr>
            <w:tcW w:w="1620" w:type="dxa"/>
            <w:shd w:val="clear" w:color="auto" w:fill="auto"/>
            <w:vAlign w:val="center"/>
          </w:tcPr>
          <w:p w14:paraId="64C800B3" w14:textId="77777777" w:rsidR="002B1358" w:rsidRPr="00F938B6" w:rsidRDefault="002B1358" w:rsidP="000E47C5">
            <w:pPr>
              <w:pStyle w:val="NoSpacing"/>
              <w:jc w:val="center"/>
              <w:rPr>
                <w:rFonts w:ascii="Arial" w:hAnsi="Arial" w:cs="Arial"/>
                <w:sz w:val="18"/>
              </w:rPr>
            </w:pPr>
            <w:r w:rsidRPr="00F938B6">
              <w:rPr>
                <w:rFonts w:ascii="Arial" w:hAnsi="Arial" w:cs="Arial"/>
                <w:sz w:val="18"/>
              </w:rPr>
              <w:t>0.79</w:t>
            </w:r>
          </w:p>
        </w:tc>
      </w:tr>
      <w:tr w:rsidR="002B1358" w:rsidRPr="00F938B6" w14:paraId="5931E91D" w14:textId="77777777" w:rsidTr="000E47C5">
        <w:trPr>
          <w:cantSplit/>
          <w:jc w:val="center"/>
        </w:trPr>
        <w:tc>
          <w:tcPr>
            <w:tcW w:w="1525" w:type="dxa"/>
            <w:shd w:val="clear" w:color="auto" w:fill="auto"/>
          </w:tcPr>
          <w:p w14:paraId="2686428B" w14:textId="77777777" w:rsidR="002B1358" w:rsidRPr="00F938B6" w:rsidRDefault="002B1358" w:rsidP="000E47C5">
            <w:pPr>
              <w:pStyle w:val="NoSpacing"/>
              <w:rPr>
                <w:rFonts w:ascii="Arial" w:hAnsi="Arial" w:cs="Arial"/>
                <w:sz w:val="18"/>
              </w:rPr>
            </w:pPr>
            <w:r w:rsidRPr="00F938B6">
              <w:rPr>
                <w:rFonts w:ascii="Arial" w:hAnsi="Arial" w:cs="Arial"/>
                <w:sz w:val="18"/>
              </w:rPr>
              <w:t>Specificity</w:t>
            </w:r>
          </w:p>
        </w:tc>
        <w:tc>
          <w:tcPr>
            <w:tcW w:w="1996" w:type="dxa"/>
            <w:shd w:val="clear" w:color="auto" w:fill="auto"/>
            <w:vAlign w:val="center"/>
          </w:tcPr>
          <w:p w14:paraId="07B3A3D8" w14:textId="77777777" w:rsidR="002B1358" w:rsidRPr="00F938B6" w:rsidRDefault="002B1358" w:rsidP="000E47C5">
            <w:pPr>
              <w:pStyle w:val="NoSpacing"/>
              <w:jc w:val="center"/>
              <w:rPr>
                <w:rFonts w:ascii="Arial" w:hAnsi="Arial" w:cs="Arial"/>
                <w:sz w:val="18"/>
              </w:rPr>
            </w:pPr>
            <w:r w:rsidRPr="00F938B6">
              <w:rPr>
                <w:rFonts w:ascii="Arial" w:hAnsi="Arial" w:cs="Arial"/>
                <w:sz w:val="18"/>
              </w:rPr>
              <w:t>0.80</w:t>
            </w:r>
          </w:p>
        </w:tc>
        <w:tc>
          <w:tcPr>
            <w:tcW w:w="1874" w:type="dxa"/>
            <w:shd w:val="clear" w:color="auto" w:fill="auto"/>
            <w:vAlign w:val="center"/>
          </w:tcPr>
          <w:p w14:paraId="11A144AD" w14:textId="77777777" w:rsidR="002B1358" w:rsidRPr="00F938B6" w:rsidRDefault="002B1358" w:rsidP="000E47C5">
            <w:pPr>
              <w:pStyle w:val="NoSpacing"/>
              <w:jc w:val="center"/>
              <w:rPr>
                <w:rFonts w:ascii="Arial" w:hAnsi="Arial" w:cs="Arial"/>
                <w:sz w:val="18"/>
              </w:rPr>
            </w:pPr>
            <w:r w:rsidRPr="00F938B6">
              <w:rPr>
                <w:rFonts w:ascii="Arial" w:hAnsi="Arial" w:cs="Arial"/>
                <w:sz w:val="18"/>
              </w:rPr>
              <w:t>0.7</w:t>
            </w:r>
            <w:r>
              <w:rPr>
                <w:rFonts w:ascii="Arial" w:hAnsi="Arial" w:cs="Arial"/>
                <w:sz w:val="18"/>
              </w:rPr>
              <w:t>7</w:t>
            </w:r>
          </w:p>
        </w:tc>
        <w:tc>
          <w:tcPr>
            <w:tcW w:w="1620" w:type="dxa"/>
            <w:shd w:val="clear" w:color="auto" w:fill="auto"/>
            <w:vAlign w:val="center"/>
          </w:tcPr>
          <w:p w14:paraId="72D464F4" w14:textId="77777777" w:rsidR="002B1358" w:rsidRPr="00F938B6" w:rsidRDefault="002B1358" w:rsidP="000E47C5">
            <w:pPr>
              <w:pStyle w:val="NoSpacing"/>
              <w:jc w:val="center"/>
              <w:rPr>
                <w:rFonts w:ascii="Arial" w:hAnsi="Arial" w:cs="Arial"/>
                <w:sz w:val="18"/>
              </w:rPr>
            </w:pPr>
            <w:r w:rsidRPr="00F938B6">
              <w:rPr>
                <w:rFonts w:ascii="Arial" w:hAnsi="Arial" w:cs="Arial"/>
                <w:sz w:val="18"/>
              </w:rPr>
              <w:t>0.83</w:t>
            </w:r>
          </w:p>
        </w:tc>
      </w:tr>
      <w:tr w:rsidR="002B1358" w:rsidRPr="00F938B6" w14:paraId="36CA463C" w14:textId="77777777" w:rsidTr="000E47C5">
        <w:trPr>
          <w:cantSplit/>
          <w:jc w:val="center"/>
        </w:trPr>
        <w:tc>
          <w:tcPr>
            <w:tcW w:w="7015" w:type="dxa"/>
            <w:gridSpan w:val="4"/>
            <w:shd w:val="clear" w:color="auto" w:fill="auto"/>
            <w:vAlign w:val="center"/>
          </w:tcPr>
          <w:p w14:paraId="6AC8DCC4" w14:textId="77777777" w:rsidR="002B1358" w:rsidRPr="00F938B6" w:rsidRDefault="002B1358" w:rsidP="000E47C5">
            <w:pPr>
              <w:pStyle w:val="NoSpacing"/>
              <w:jc w:val="center"/>
              <w:rPr>
                <w:rFonts w:ascii="Arial" w:hAnsi="Arial" w:cs="Arial"/>
                <w:sz w:val="18"/>
              </w:rPr>
            </w:pPr>
          </w:p>
        </w:tc>
      </w:tr>
      <w:tr w:rsidR="002B1358" w:rsidRPr="00F938B6" w14:paraId="5865CA7A" w14:textId="77777777" w:rsidTr="000E47C5">
        <w:trPr>
          <w:cantSplit/>
          <w:jc w:val="center"/>
        </w:trPr>
        <w:tc>
          <w:tcPr>
            <w:tcW w:w="1525" w:type="dxa"/>
            <w:shd w:val="clear" w:color="auto" w:fill="auto"/>
          </w:tcPr>
          <w:p w14:paraId="08F54F88" w14:textId="77777777" w:rsidR="002B1358" w:rsidRPr="00F938B6" w:rsidRDefault="002B1358" w:rsidP="000E47C5">
            <w:pPr>
              <w:pStyle w:val="NoSpacing"/>
              <w:rPr>
                <w:rFonts w:ascii="Arial" w:hAnsi="Arial" w:cs="Arial"/>
                <w:sz w:val="18"/>
              </w:rPr>
            </w:pPr>
            <w:r w:rsidRPr="00F938B6">
              <w:rPr>
                <w:rFonts w:ascii="Arial" w:hAnsi="Arial" w:cs="Arial"/>
                <w:sz w:val="18"/>
              </w:rPr>
              <w:t>Positive [C]</w:t>
            </w:r>
          </w:p>
        </w:tc>
        <w:tc>
          <w:tcPr>
            <w:tcW w:w="1996" w:type="dxa"/>
            <w:shd w:val="clear" w:color="auto" w:fill="auto"/>
            <w:vAlign w:val="center"/>
          </w:tcPr>
          <w:p w14:paraId="45F8BED1" w14:textId="77777777" w:rsidR="002B1358" w:rsidRPr="00F938B6" w:rsidRDefault="002B1358" w:rsidP="000E47C5">
            <w:pPr>
              <w:pStyle w:val="NoSpacing"/>
              <w:jc w:val="center"/>
              <w:rPr>
                <w:rFonts w:ascii="Arial" w:hAnsi="Arial" w:cs="Arial"/>
                <w:sz w:val="18"/>
              </w:rPr>
            </w:pPr>
            <w:r>
              <w:rPr>
                <w:rFonts w:ascii="Arial" w:hAnsi="Arial" w:cs="Arial"/>
                <w:sz w:val="18"/>
              </w:rPr>
              <w:t>3.75</w:t>
            </w:r>
          </w:p>
        </w:tc>
        <w:tc>
          <w:tcPr>
            <w:tcW w:w="1874" w:type="dxa"/>
            <w:shd w:val="clear" w:color="auto" w:fill="auto"/>
            <w:vAlign w:val="center"/>
          </w:tcPr>
          <w:p w14:paraId="72BD2A6B" w14:textId="77777777" w:rsidR="002B1358" w:rsidRPr="00F938B6" w:rsidRDefault="002B1358" w:rsidP="000E47C5">
            <w:pPr>
              <w:pStyle w:val="NoSpacing"/>
              <w:jc w:val="center"/>
              <w:rPr>
                <w:rFonts w:ascii="Arial" w:hAnsi="Arial" w:cs="Arial"/>
                <w:sz w:val="18"/>
              </w:rPr>
            </w:pPr>
            <w:r>
              <w:rPr>
                <w:rFonts w:ascii="Arial" w:hAnsi="Arial" w:cs="Arial"/>
                <w:sz w:val="18"/>
              </w:rPr>
              <w:t>3.25</w:t>
            </w:r>
          </w:p>
        </w:tc>
        <w:tc>
          <w:tcPr>
            <w:tcW w:w="1620" w:type="dxa"/>
            <w:shd w:val="clear" w:color="auto" w:fill="auto"/>
            <w:vAlign w:val="center"/>
          </w:tcPr>
          <w:p w14:paraId="5E114A8C" w14:textId="77777777" w:rsidR="002B1358" w:rsidRPr="00F938B6" w:rsidRDefault="002B1358" w:rsidP="000E47C5">
            <w:pPr>
              <w:pStyle w:val="NoSpacing"/>
              <w:jc w:val="center"/>
              <w:rPr>
                <w:rFonts w:ascii="Arial" w:hAnsi="Arial" w:cs="Arial"/>
                <w:sz w:val="18"/>
              </w:rPr>
            </w:pPr>
            <w:r>
              <w:rPr>
                <w:rFonts w:ascii="Arial" w:hAnsi="Arial" w:cs="Arial"/>
                <w:sz w:val="18"/>
              </w:rPr>
              <w:t>4.32</w:t>
            </w:r>
          </w:p>
        </w:tc>
      </w:tr>
      <w:tr w:rsidR="002B1358" w:rsidRPr="00F938B6" w14:paraId="2FD08C05" w14:textId="77777777" w:rsidTr="000E47C5">
        <w:trPr>
          <w:cantSplit/>
          <w:jc w:val="center"/>
        </w:trPr>
        <w:tc>
          <w:tcPr>
            <w:tcW w:w="1525" w:type="dxa"/>
            <w:shd w:val="clear" w:color="auto" w:fill="auto"/>
          </w:tcPr>
          <w:p w14:paraId="5415A08E" w14:textId="77777777" w:rsidR="002B1358" w:rsidRPr="00F938B6" w:rsidRDefault="002B1358" w:rsidP="000E47C5">
            <w:pPr>
              <w:pStyle w:val="NoSpacing"/>
              <w:rPr>
                <w:rFonts w:ascii="Arial" w:hAnsi="Arial" w:cs="Arial"/>
                <w:sz w:val="18"/>
              </w:rPr>
            </w:pPr>
            <w:r w:rsidRPr="00F938B6">
              <w:rPr>
                <w:rFonts w:ascii="Arial" w:hAnsi="Arial" w:cs="Arial"/>
                <w:sz w:val="18"/>
              </w:rPr>
              <w:t>Negative [C]</w:t>
            </w:r>
          </w:p>
        </w:tc>
        <w:tc>
          <w:tcPr>
            <w:tcW w:w="1996" w:type="dxa"/>
            <w:shd w:val="clear" w:color="auto" w:fill="auto"/>
            <w:vAlign w:val="center"/>
          </w:tcPr>
          <w:p w14:paraId="5CBD598D" w14:textId="77777777" w:rsidR="002B1358" w:rsidRPr="00F938B6" w:rsidRDefault="002B1358" w:rsidP="000E47C5">
            <w:pPr>
              <w:pStyle w:val="NoSpacing"/>
              <w:jc w:val="center"/>
              <w:rPr>
                <w:rFonts w:ascii="Arial" w:hAnsi="Arial" w:cs="Arial"/>
                <w:sz w:val="18"/>
              </w:rPr>
            </w:pPr>
            <w:r w:rsidRPr="00F938B6">
              <w:rPr>
                <w:rFonts w:ascii="Arial" w:hAnsi="Arial" w:cs="Arial"/>
                <w:sz w:val="18"/>
              </w:rPr>
              <w:t>0.31</w:t>
            </w:r>
          </w:p>
        </w:tc>
        <w:tc>
          <w:tcPr>
            <w:tcW w:w="1874" w:type="dxa"/>
            <w:shd w:val="clear" w:color="auto" w:fill="auto"/>
            <w:vAlign w:val="center"/>
          </w:tcPr>
          <w:p w14:paraId="67215AA0" w14:textId="77777777" w:rsidR="002B1358" w:rsidRPr="00F938B6" w:rsidRDefault="002B1358" w:rsidP="000E47C5">
            <w:pPr>
              <w:pStyle w:val="NoSpacing"/>
              <w:jc w:val="center"/>
              <w:rPr>
                <w:rFonts w:ascii="Arial" w:hAnsi="Arial" w:cs="Arial"/>
                <w:sz w:val="18"/>
              </w:rPr>
            </w:pPr>
            <w:r w:rsidRPr="00F938B6">
              <w:rPr>
                <w:rFonts w:ascii="Arial" w:hAnsi="Arial" w:cs="Arial"/>
                <w:sz w:val="18"/>
              </w:rPr>
              <w:t>0.26</w:t>
            </w:r>
          </w:p>
        </w:tc>
        <w:tc>
          <w:tcPr>
            <w:tcW w:w="1620" w:type="dxa"/>
            <w:shd w:val="clear" w:color="auto" w:fill="auto"/>
            <w:vAlign w:val="center"/>
          </w:tcPr>
          <w:p w14:paraId="059E9541" w14:textId="77777777" w:rsidR="002B1358" w:rsidRPr="00F938B6" w:rsidRDefault="002B1358" w:rsidP="000E47C5">
            <w:pPr>
              <w:pStyle w:val="NoSpacing"/>
              <w:jc w:val="center"/>
              <w:rPr>
                <w:rFonts w:ascii="Arial" w:hAnsi="Arial" w:cs="Arial"/>
                <w:sz w:val="18"/>
              </w:rPr>
            </w:pPr>
            <w:r>
              <w:rPr>
                <w:rFonts w:ascii="Arial" w:hAnsi="Arial" w:cs="Arial"/>
                <w:sz w:val="18"/>
              </w:rPr>
              <w:t>0.37</w:t>
            </w:r>
          </w:p>
        </w:tc>
      </w:tr>
      <w:tr w:rsidR="002B1358" w:rsidRPr="00F938B6" w14:paraId="0702ECE1" w14:textId="77777777" w:rsidTr="000E47C5">
        <w:trPr>
          <w:cantSplit/>
          <w:jc w:val="center"/>
        </w:trPr>
        <w:tc>
          <w:tcPr>
            <w:tcW w:w="1525" w:type="dxa"/>
            <w:shd w:val="clear" w:color="auto" w:fill="auto"/>
          </w:tcPr>
          <w:p w14:paraId="6E987880" w14:textId="77777777" w:rsidR="002B1358" w:rsidRPr="00F938B6" w:rsidRDefault="002B1358" w:rsidP="000E47C5">
            <w:pPr>
              <w:pStyle w:val="NoSpacing"/>
              <w:rPr>
                <w:rFonts w:ascii="Arial" w:hAnsi="Arial" w:cs="Arial"/>
                <w:sz w:val="18"/>
              </w:rPr>
            </w:pPr>
            <w:r w:rsidRPr="00F938B6">
              <w:rPr>
                <w:rFonts w:ascii="Arial" w:hAnsi="Arial" w:cs="Arial"/>
                <w:sz w:val="18"/>
              </w:rPr>
              <w:t>Positive [W]</w:t>
            </w:r>
          </w:p>
        </w:tc>
        <w:tc>
          <w:tcPr>
            <w:tcW w:w="1996" w:type="dxa"/>
            <w:shd w:val="clear" w:color="auto" w:fill="auto"/>
            <w:vAlign w:val="center"/>
          </w:tcPr>
          <w:p w14:paraId="6A53BAC9" w14:textId="77777777" w:rsidR="002B1358" w:rsidRPr="00F938B6" w:rsidRDefault="002B1358" w:rsidP="000E47C5">
            <w:pPr>
              <w:pStyle w:val="NoSpacing"/>
              <w:jc w:val="center"/>
              <w:rPr>
                <w:rFonts w:ascii="Arial" w:hAnsi="Arial" w:cs="Arial"/>
                <w:sz w:val="18"/>
              </w:rPr>
            </w:pPr>
            <w:r>
              <w:rPr>
                <w:rFonts w:ascii="Arial" w:hAnsi="Arial" w:cs="Arial"/>
                <w:sz w:val="18"/>
              </w:rPr>
              <w:t>1.53</w:t>
            </w:r>
          </w:p>
        </w:tc>
        <w:tc>
          <w:tcPr>
            <w:tcW w:w="1874" w:type="dxa"/>
            <w:shd w:val="clear" w:color="auto" w:fill="auto"/>
            <w:vAlign w:val="center"/>
          </w:tcPr>
          <w:p w14:paraId="2931ADA1" w14:textId="77777777" w:rsidR="002B1358" w:rsidRPr="00F938B6" w:rsidRDefault="002B1358" w:rsidP="000E47C5">
            <w:pPr>
              <w:pStyle w:val="NoSpacing"/>
              <w:jc w:val="center"/>
              <w:rPr>
                <w:rFonts w:ascii="Arial" w:hAnsi="Arial" w:cs="Arial"/>
                <w:sz w:val="18"/>
              </w:rPr>
            </w:pPr>
            <w:r>
              <w:rPr>
                <w:rFonts w:ascii="Arial" w:hAnsi="Arial" w:cs="Arial"/>
                <w:sz w:val="18"/>
              </w:rPr>
              <w:t>1.34</w:t>
            </w:r>
          </w:p>
        </w:tc>
        <w:tc>
          <w:tcPr>
            <w:tcW w:w="1620" w:type="dxa"/>
            <w:shd w:val="clear" w:color="auto" w:fill="auto"/>
            <w:vAlign w:val="center"/>
          </w:tcPr>
          <w:p w14:paraId="71DEAF95" w14:textId="77777777" w:rsidR="002B1358" w:rsidRPr="00F938B6" w:rsidRDefault="002B1358" w:rsidP="000E47C5">
            <w:pPr>
              <w:pStyle w:val="NoSpacing"/>
              <w:jc w:val="center"/>
              <w:rPr>
                <w:rFonts w:ascii="Arial" w:hAnsi="Arial" w:cs="Arial"/>
                <w:sz w:val="18"/>
              </w:rPr>
            </w:pPr>
            <w:r>
              <w:rPr>
                <w:rFonts w:ascii="Arial" w:hAnsi="Arial" w:cs="Arial"/>
                <w:sz w:val="18"/>
              </w:rPr>
              <w:t>1.76</w:t>
            </w:r>
          </w:p>
        </w:tc>
      </w:tr>
      <w:tr w:rsidR="002B1358" w:rsidRPr="00F938B6" w14:paraId="41E4B924" w14:textId="77777777" w:rsidTr="000E47C5">
        <w:trPr>
          <w:cantSplit/>
          <w:jc w:val="center"/>
        </w:trPr>
        <w:tc>
          <w:tcPr>
            <w:tcW w:w="1525" w:type="dxa"/>
            <w:shd w:val="clear" w:color="auto" w:fill="auto"/>
          </w:tcPr>
          <w:p w14:paraId="1646300F" w14:textId="77777777" w:rsidR="002B1358" w:rsidRPr="00F938B6" w:rsidRDefault="002B1358" w:rsidP="000E47C5">
            <w:pPr>
              <w:pStyle w:val="NoSpacing"/>
              <w:rPr>
                <w:rFonts w:ascii="Arial" w:hAnsi="Arial" w:cs="Arial"/>
                <w:sz w:val="18"/>
              </w:rPr>
            </w:pPr>
            <w:r w:rsidRPr="00F938B6">
              <w:rPr>
                <w:rFonts w:ascii="Arial" w:hAnsi="Arial" w:cs="Arial"/>
                <w:sz w:val="18"/>
              </w:rPr>
              <w:t>Negative [W]</w:t>
            </w:r>
          </w:p>
        </w:tc>
        <w:tc>
          <w:tcPr>
            <w:tcW w:w="1996" w:type="dxa"/>
            <w:shd w:val="clear" w:color="auto" w:fill="auto"/>
            <w:vAlign w:val="center"/>
          </w:tcPr>
          <w:p w14:paraId="1DAE6B65" w14:textId="77777777" w:rsidR="002B1358" w:rsidRPr="00F938B6" w:rsidRDefault="002B1358" w:rsidP="000E47C5">
            <w:pPr>
              <w:pStyle w:val="NoSpacing"/>
              <w:jc w:val="center"/>
              <w:rPr>
                <w:rFonts w:ascii="Arial" w:hAnsi="Arial" w:cs="Arial"/>
                <w:sz w:val="18"/>
              </w:rPr>
            </w:pPr>
            <w:r>
              <w:rPr>
                <w:rFonts w:ascii="Arial" w:hAnsi="Arial" w:cs="Arial"/>
                <w:sz w:val="18"/>
              </w:rPr>
              <w:t>0.13</w:t>
            </w:r>
          </w:p>
        </w:tc>
        <w:tc>
          <w:tcPr>
            <w:tcW w:w="1874" w:type="dxa"/>
            <w:shd w:val="clear" w:color="auto" w:fill="auto"/>
            <w:vAlign w:val="center"/>
          </w:tcPr>
          <w:p w14:paraId="475AC128" w14:textId="77777777" w:rsidR="002B1358" w:rsidRPr="00F938B6" w:rsidRDefault="002B1358" w:rsidP="000E47C5">
            <w:pPr>
              <w:pStyle w:val="NoSpacing"/>
              <w:jc w:val="center"/>
              <w:rPr>
                <w:rFonts w:ascii="Arial" w:hAnsi="Arial" w:cs="Arial"/>
                <w:sz w:val="18"/>
              </w:rPr>
            </w:pPr>
            <w:r>
              <w:rPr>
                <w:rFonts w:ascii="Arial" w:hAnsi="Arial" w:cs="Arial"/>
                <w:sz w:val="18"/>
              </w:rPr>
              <w:t>0.11</w:t>
            </w:r>
          </w:p>
        </w:tc>
        <w:tc>
          <w:tcPr>
            <w:tcW w:w="1620" w:type="dxa"/>
            <w:shd w:val="clear" w:color="auto" w:fill="auto"/>
            <w:vAlign w:val="center"/>
          </w:tcPr>
          <w:p w14:paraId="7FB0EF99" w14:textId="77777777" w:rsidR="002B1358" w:rsidRPr="00F938B6" w:rsidRDefault="002B1358" w:rsidP="000E47C5">
            <w:pPr>
              <w:pStyle w:val="NoSpacing"/>
              <w:jc w:val="center"/>
              <w:rPr>
                <w:rFonts w:ascii="Arial" w:hAnsi="Arial" w:cs="Arial"/>
                <w:sz w:val="18"/>
              </w:rPr>
            </w:pPr>
            <w:r>
              <w:rPr>
                <w:rFonts w:ascii="Arial" w:hAnsi="Arial" w:cs="Arial"/>
                <w:sz w:val="18"/>
              </w:rPr>
              <w:t>0.16</w:t>
            </w:r>
          </w:p>
        </w:tc>
      </w:tr>
    </w:tbl>
    <w:p w14:paraId="7E9F7DF4" w14:textId="77777777" w:rsidR="002B1358" w:rsidRPr="00F938B6" w:rsidRDefault="002B1358" w:rsidP="002B1358">
      <w:pPr>
        <w:pStyle w:val="NoSpacing"/>
        <w:jc w:val="center"/>
        <w:rPr>
          <w:rFonts w:ascii="Arial" w:hAnsi="Arial" w:cs="Arial"/>
          <w:sz w:val="18"/>
        </w:rPr>
      </w:pPr>
      <w:r w:rsidRPr="00F938B6">
        <w:rPr>
          <w:rFonts w:ascii="Arial" w:hAnsi="Arial" w:cs="Arial"/>
          <w:sz w:val="18"/>
        </w:rPr>
        <w:t>Likelihood Ratios: [C] = conventional, [W] = weighted by prevalence</w:t>
      </w:r>
    </w:p>
    <w:p w14:paraId="47AFFEB7" w14:textId="77777777" w:rsidR="000C600B" w:rsidRDefault="00991001" w:rsidP="000C600B">
      <w:r>
        <w:br/>
      </w:r>
      <w:r w:rsidR="000C600B" w:rsidRPr="00C05B12">
        <w:t xml:space="preserve">Panelists may participate </w:t>
      </w:r>
      <w:r w:rsidR="000C600B">
        <w:t xml:space="preserve">in </w:t>
      </w:r>
      <w:r w:rsidR="003E6214">
        <w:t xml:space="preserve">AmeriSpeak Panel studies </w:t>
      </w:r>
      <w:r w:rsidR="000C600B" w:rsidRPr="00C05B12">
        <w:t>online (</w:t>
      </w:r>
      <w:r w:rsidR="003E6214">
        <w:t>via computer, tablet, or smartphone</w:t>
      </w:r>
      <w:r w:rsidR="000C600B" w:rsidRPr="00C05B12">
        <w:t xml:space="preserve">) or by </w:t>
      </w:r>
      <w:r w:rsidR="0066399E">
        <w:t>computer-assisted telephone interviewing (</w:t>
      </w:r>
      <w:r w:rsidR="000C600B" w:rsidRPr="00C05B12">
        <w:t>CATI</w:t>
      </w:r>
      <w:r w:rsidR="0066399E">
        <w:t>) modes. CATI</w:t>
      </w:r>
      <w:r w:rsidR="000C600B" w:rsidRPr="00C05B12">
        <w:t xml:space="preserve"> mode respondents represe</w:t>
      </w:r>
      <w:r w:rsidR="00E6059F">
        <w:t>nt a population currently under</w:t>
      </w:r>
      <w:r w:rsidR="000C600B" w:rsidRPr="00C05B12">
        <w:t>represented in web panels</w:t>
      </w:r>
      <w:r w:rsidR="0066399E">
        <w:t>, which</w:t>
      </w:r>
      <w:r w:rsidR="000C600B" w:rsidRPr="00C05B12">
        <w:t xml:space="preserve"> exclude </w:t>
      </w:r>
      <w:r w:rsidR="003E6214">
        <w:t>non-internet households or “net-</w:t>
      </w:r>
      <w:r w:rsidR="000C600B" w:rsidRPr="00C05B12">
        <w:t>averse” persons. For studies</w:t>
      </w:r>
      <w:r w:rsidR="00D64467">
        <w:t xml:space="preserve"> focused on older adults</w:t>
      </w:r>
      <w:r w:rsidR="00E6059F">
        <w:t xml:space="preserve"> from the AmeriSpeak P</w:t>
      </w:r>
      <w:r w:rsidR="0066399E">
        <w:t>anel</w:t>
      </w:r>
      <w:r w:rsidR="000C600B" w:rsidRPr="00C05B12">
        <w:t xml:space="preserve">, approximately </w:t>
      </w:r>
      <w:r w:rsidR="00D64467">
        <w:t>4</w:t>
      </w:r>
      <w:r w:rsidR="00D64467" w:rsidRPr="00C05B12">
        <w:t>0</w:t>
      </w:r>
      <w:r w:rsidR="000C600B" w:rsidRPr="00C05B12">
        <w:t>% of the completed interview</w:t>
      </w:r>
      <w:r w:rsidR="003E6214">
        <w:t>s are completed through</w:t>
      </w:r>
      <w:r w:rsidR="000C600B" w:rsidRPr="00C05B12">
        <w:t xml:space="preserve"> the telephone mode.</w:t>
      </w:r>
    </w:p>
    <w:p w14:paraId="45CB7CBC" w14:textId="77777777" w:rsidR="00265DBB" w:rsidRDefault="00265DBB" w:rsidP="000C600B">
      <w:r>
        <w:t>Data collection materials including all questionnaires are included as Appendi</w:t>
      </w:r>
      <w:r w:rsidR="00F51BA5">
        <w:t>ces</w:t>
      </w:r>
      <w:r>
        <w:t xml:space="preserve"> </w:t>
      </w:r>
      <w:r w:rsidR="00F51BA5">
        <w:t>B-2 through B-4.</w:t>
      </w:r>
    </w:p>
    <w:p w14:paraId="2A7D125D" w14:textId="77777777" w:rsidR="000C600B" w:rsidRPr="006534F2" w:rsidRDefault="000C600B" w:rsidP="006534F2">
      <w:pPr>
        <w:pStyle w:val="Heading2"/>
        <w:rPr>
          <w:b/>
          <w:color w:val="auto"/>
        </w:rPr>
      </w:pPr>
      <w:bookmarkStart w:id="5" w:name="_Toc480370976"/>
      <w:r w:rsidRPr="006534F2">
        <w:rPr>
          <w:b/>
          <w:color w:val="auto"/>
        </w:rPr>
        <w:t>B3. Methods to Maximiz</w:t>
      </w:r>
      <w:r w:rsidR="006F49B1" w:rsidRPr="006534F2">
        <w:rPr>
          <w:b/>
          <w:color w:val="auto"/>
        </w:rPr>
        <w:t>e Response Rates and Deal with N</w:t>
      </w:r>
      <w:r w:rsidRPr="006534F2">
        <w:rPr>
          <w:b/>
          <w:color w:val="auto"/>
        </w:rPr>
        <w:t>onresponse</w:t>
      </w:r>
      <w:bookmarkEnd w:id="5"/>
    </w:p>
    <w:p w14:paraId="1B363A00" w14:textId="77777777" w:rsidR="00191235" w:rsidRDefault="00191235" w:rsidP="00191235">
      <w:pPr>
        <w:pStyle w:val="NoSpacing"/>
        <w:spacing w:after="240"/>
      </w:pPr>
      <w:r>
        <w:t xml:space="preserve">Participants in the </w:t>
      </w:r>
      <w:r w:rsidRPr="00525CDE">
        <w:rPr>
          <w:i/>
        </w:rPr>
        <w:t>Test Predictability of Falls Screening Tools</w:t>
      </w:r>
      <w:r>
        <w:t xml:space="preserve"> project are registered with AmeriSpeak, and will be offered survey choice “points” to redeem for prizes which are commonly provided to survey panel respondents who complete online surveys. The points will not be sent to respondents from CDC, but instead will be provided by the online panel provider to respondents who complete the survey. This is part of the business model of the online panel provider. </w:t>
      </w:r>
    </w:p>
    <w:p w14:paraId="0A5BDF08" w14:textId="77777777" w:rsidR="001717D5" w:rsidRPr="00A7679B" w:rsidRDefault="001717D5" w:rsidP="001717D5">
      <w:r>
        <w:t>All panel-based rese</w:t>
      </w:r>
      <w:r w:rsidR="003E6214">
        <w:t xml:space="preserve">arch organizations – </w:t>
      </w:r>
      <w:r>
        <w:t>whether probability-based such a</w:t>
      </w:r>
      <w:r w:rsidR="003E6214">
        <w:t xml:space="preserve">s AmeriSpeak or non-probability – </w:t>
      </w:r>
      <w:r>
        <w:t>motivate panel members to continue participating in the surveys throug</w:t>
      </w:r>
      <w:r w:rsidR="003E6214">
        <w:t xml:space="preserve">h an internal rewards program. </w:t>
      </w:r>
      <w:r w:rsidR="001C172B">
        <w:t xml:space="preserve">Relatively small amounts </w:t>
      </w:r>
      <w:r w:rsidR="00347F9F">
        <w:t xml:space="preserve">of points </w:t>
      </w:r>
      <w:r w:rsidR="00C50DE3">
        <w:t>are used for AmeriSpeak Panel surveys</w:t>
      </w:r>
      <w:r w:rsidR="001C172B">
        <w:t xml:space="preserve"> based on an understanding of what would keep the participants engaged and </w:t>
      </w:r>
      <w:r w:rsidR="00F76BD2">
        <w:t xml:space="preserve">motivated </w:t>
      </w:r>
      <w:r w:rsidR="006B4A3B">
        <w:t xml:space="preserve">to </w:t>
      </w:r>
      <w:r w:rsidR="00C50DE3">
        <w:t>obtain maximum retention of panelists and survey participation</w:t>
      </w:r>
      <w:r w:rsidR="001C172B">
        <w:t xml:space="preserve">. </w:t>
      </w:r>
      <w:r>
        <w:t>For the</w:t>
      </w:r>
      <w:r w:rsidRPr="00525CDE">
        <w:t xml:space="preserve"> </w:t>
      </w:r>
      <w:r w:rsidRPr="00525CDE">
        <w:rPr>
          <w:i/>
        </w:rPr>
        <w:t>Test Predictability of Falls Screening Tools</w:t>
      </w:r>
      <w:r w:rsidR="003E6214">
        <w:t xml:space="preserve"> </w:t>
      </w:r>
      <w:r w:rsidR="002E4A86">
        <w:t>project</w:t>
      </w:r>
      <w:r w:rsidR="003E6214">
        <w:t>,</w:t>
      </w:r>
      <w:r>
        <w:t xml:space="preserve"> point</w:t>
      </w:r>
      <w:r w:rsidR="00191235">
        <w:t>s</w:t>
      </w:r>
      <w:r w:rsidR="002515BA">
        <w:t xml:space="preserve"> </w:t>
      </w:r>
      <w:r>
        <w:t xml:space="preserve">worth $5, $2, and $10 will be awarded to panelists for completing the baseline survey, each monthly </w:t>
      </w:r>
      <w:r w:rsidR="00E01AA5">
        <w:t xml:space="preserve">update </w:t>
      </w:r>
      <w:r>
        <w:t>survey, and the final survey, respectively. Panelists who complete all 1</w:t>
      </w:r>
      <w:r w:rsidR="00F20A1B">
        <w:t>1</w:t>
      </w:r>
      <w:r>
        <w:t xml:space="preserve"> monthly </w:t>
      </w:r>
      <w:r w:rsidR="00E01AA5">
        <w:t xml:space="preserve">update </w:t>
      </w:r>
      <w:r>
        <w:t>surveys will receive bonus point</w:t>
      </w:r>
      <w:r w:rsidR="00347F9F">
        <w:t>s</w:t>
      </w:r>
      <w:r>
        <w:t xml:space="preserve"> worth $10. Therefore, the greatest total amount of </w:t>
      </w:r>
      <w:r w:rsidR="00347F9F">
        <w:t xml:space="preserve">points </w:t>
      </w:r>
      <w:r>
        <w:t>a panelist will be able to receive for participation will be worth $4</w:t>
      </w:r>
      <w:r w:rsidR="00E71D21">
        <w:t>7</w:t>
      </w:r>
      <w:r w:rsidR="00E53B92">
        <w:t xml:space="preserve"> (which averages to $3.62 per completed survey)</w:t>
      </w:r>
      <w:r>
        <w:t xml:space="preserve">.    </w:t>
      </w:r>
    </w:p>
    <w:p w14:paraId="0187DEE5" w14:textId="40DEC767" w:rsidR="001717D5" w:rsidRDefault="001717D5" w:rsidP="001717D5">
      <w:r w:rsidRPr="002B691B">
        <w:t xml:space="preserve">Panelists who do not respond to the initial survey invitation within three weeks will receive a reminder </w:t>
      </w:r>
      <w:r>
        <w:t>email</w:t>
      </w:r>
      <w:r w:rsidRPr="002B691B">
        <w:t xml:space="preserve"> emphasizing the importance of their participation </w:t>
      </w:r>
      <w:r w:rsidR="002E4A86">
        <w:t>in</w:t>
      </w:r>
      <w:r w:rsidR="002E4A86" w:rsidRPr="002B691B">
        <w:t xml:space="preserve"> </w:t>
      </w:r>
      <w:r w:rsidRPr="002B691B">
        <w:t xml:space="preserve">the </w:t>
      </w:r>
      <w:r w:rsidR="002E4A86">
        <w:t>project</w:t>
      </w:r>
      <w:r w:rsidRPr="002B691B">
        <w:t xml:space="preserve">. </w:t>
      </w:r>
      <w:r>
        <w:t>Participants will also receive email reminders before monthly</w:t>
      </w:r>
      <w:r w:rsidR="002E4A86">
        <w:t xml:space="preserve"> update</w:t>
      </w:r>
      <w:r>
        <w:t xml:space="preserve"> survey data collection. </w:t>
      </w:r>
      <w:r w:rsidRPr="002B691B">
        <w:t xml:space="preserve">Telephone panelists will receive multiple follow-up call attempts at strategic times over the course of the </w:t>
      </w:r>
      <w:r>
        <w:t xml:space="preserve">survey </w:t>
      </w:r>
      <w:r w:rsidRPr="002B691B">
        <w:t>recruitment period</w:t>
      </w:r>
      <w:r>
        <w:t>.</w:t>
      </w:r>
      <w:r w:rsidR="004B03FD">
        <w:t xml:space="preserve"> </w:t>
      </w:r>
      <w:r>
        <w:t xml:space="preserve">Panelists who miss a month of data collection will remain in the survey and </w:t>
      </w:r>
      <w:r w:rsidR="004B03FD">
        <w:t xml:space="preserve">can return to any prior month to complete that survey at any time. All panelists will be asked to complete the final survey regardless of the number of monthly surveys they or their proxy have completed. </w:t>
      </w:r>
      <w:r w:rsidR="00EE462F">
        <w:t xml:space="preserve">We will also provide a falls </w:t>
      </w:r>
      <w:r w:rsidR="004B03FD">
        <w:t>calendar and log</w:t>
      </w:r>
      <w:r w:rsidR="00EE462F">
        <w:t xml:space="preserve"> for all participants to record falls activity between data collection</w:t>
      </w:r>
      <w:r w:rsidR="004B03FD">
        <w:t xml:space="preserve"> periods</w:t>
      </w:r>
      <w:r w:rsidR="00EE462F">
        <w:t xml:space="preserve">. A template for the falls </w:t>
      </w:r>
      <w:r w:rsidR="007C2543">
        <w:t>diary</w:t>
      </w:r>
      <w:r w:rsidR="00EE462F">
        <w:t xml:space="preserve"> is include</w:t>
      </w:r>
      <w:r w:rsidR="00F966D7">
        <w:t>d</w:t>
      </w:r>
      <w:r w:rsidR="00EE462F">
        <w:t xml:space="preserve"> in </w:t>
      </w:r>
      <w:r w:rsidR="00D32E2B">
        <w:t>Attachment</w:t>
      </w:r>
      <w:r w:rsidR="00681D69">
        <w:t xml:space="preserve"> B-</w:t>
      </w:r>
      <w:r w:rsidR="00CF48C2">
        <w:t>3</w:t>
      </w:r>
      <w:r w:rsidR="00EE462F">
        <w:t>.</w:t>
      </w:r>
      <w:r w:rsidR="00D97B56">
        <w:t xml:space="preserve"> A sample cover letter that will accompany the mailing of the </w:t>
      </w:r>
      <w:r w:rsidR="006C3006">
        <w:t xml:space="preserve">diary </w:t>
      </w:r>
      <w:r w:rsidR="00D97B56">
        <w:t xml:space="preserve">is included in </w:t>
      </w:r>
      <w:r w:rsidR="00D32E2B">
        <w:t>Attachment</w:t>
      </w:r>
      <w:r w:rsidR="00CF48C2">
        <w:t xml:space="preserve"> B-4, with the corresponding email in Attachment B-5.</w:t>
      </w:r>
      <w:r w:rsidR="00D97B56">
        <w:t xml:space="preserve"> </w:t>
      </w:r>
    </w:p>
    <w:p w14:paraId="547EB861" w14:textId="078FBF15" w:rsidR="001717D5" w:rsidRDefault="001717D5" w:rsidP="001717D5">
      <w:r w:rsidRPr="002533C6">
        <w:t>One of the follow-up challenges is that one out of five falls causes a serious injury such as a broken bone or a head injury, and more than 700,000 patients are hospitalized annually because of a fall injury.</w:t>
      </w:r>
      <w:r>
        <w:rPr>
          <w:rStyle w:val="FootnoteReference"/>
        </w:rPr>
        <w:footnoteReference w:id="8"/>
      </w:r>
      <w:r w:rsidRPr="002533C6">
        <w:t xml:space="preserve"> </w:t>
      </w:r>
      <w:r>
        <w:t xml:space="preserve"> </w:t>
      </w:r>
      <w:r w:rsidRPr="002533C6">
        <w:t xml:space="preserve">Respondents who fall and are hospitalized will not be able to respond to </w:t>
      </w:r>
      <w:r w:rsidR="002E4A86">
        <w:t>every</w:t>
      </w:r>
      <w:r w:rsidR="002E4A86" w:rsidRPr="002533C6">
        <w:t xml:space="preserve"> </w:t>
      </w:r>
      <w:r w:rsidR="002E4A86">
        <w:t>monthly update</w:t>
      </w:r>
      <w:r w:rsidRPr="002533C6">
        <w:t xml:space="preserve"> </w:t>
      </w:r>
      <w:r w:rsidR="00A722DF">
        <w:rPr>
          <w:i/>
          <w:iCs/>
        </w:rPr>
        <w:t>Test Predictability of Falls Screening Tools</w:t>
      </w:r>
      <w:r w:rsidR="002E4A86">
        <w:rPr>
          <w:i/>
          <w:iCs/>
        </w:rPr>
        <w:t xml:space="preserve"> </w:t>
      </w:r>
      <w:r w:rsidR="002E4A86" w:rsidRPr="00FF5FA8">
        <w:rPr>
          <w:iCs/>
        </w:rPr>
        <w:t>survey</w:t>
      </w:r>
      <w:r w:rsidRPr="002533C6">
        <w:t xml:space="preserve">. To minimize the risk of missing these important data, NORC will collect in the baseline survey </w:t>
      </w:r>
      <w:r>
        <w:t xml:space="preserve">contact information </w:t>
      </w:r>
      <w:r w:rsidRPr="002533C6">
        <w:t xml:space="preserve">for </w:t>
      </w:r>
      <w:r>
        <w:t>a person</w:t>
      </w:r>
      <w:r w:rsidRPr="002533C6">
        <w:t xml:space="preserve"> who</w:t>
      </w:r>
      <w:r>
        <w:t xml:space="preserve"> can serve as a proxy respondent i</w:t>
      </w:r>
      <w:r w:rsidR="002E4A86">
        <w:t>f</w:t>
      </w:r>
      <w:r>
        <w:t xml:space="preserve"> the survey respondent cannot be reached</w:t>
      </w:r>
      <w:r w:rsidRPr="002533C6">
        <w:t xml:space="preserve">. If a respondent fails to respond to all </w:t>
      </w:r>
      <w:r w:rsidRPr="00660076">
        <w:t>follow-up attempts</w:t>
      </w:r>
      <w:r w:rsidR="00F1574D">
        <w:t xml:space="preserve"> within two weeks</w:t>
      </w:r>
      <w:r w:rsidRPr="00660076">
        <w:t xml:space="preserve">, a short proxy </w:t>
      </w:r>
      <w:r w:rsidR="001B62B0">
        <w:t>survey</w:t>
      </w:r>
      <w:r w:rsidR="001B62B0" w:rsidRPr="00660076">
        <w:t xml:space="preserve"> </w:t>
      </w:r>
      <w:r w:rsidRPr="002533C6">
        <w:t>will be conducted with the alternative contact to determine the reason for the non-response (e.g., surv</w:t>
      </w:r>
      <w:r w:rsidR="003E6214">
        <w:t>ey attrition, health issues, or</w:t>
      </w:r>
      <w:r w:rsidRPr="002533C6">
        <w:t xml:space="preserve"> mortality)</w:t>
      </w:r>
      <w:r w:rsidR="00F1574D">
        <w:t xml:space="preserve"> and to collect any information about the panelist’s falls that the proxy can answer</w:t>
      </w:r>
      <w:r w:rsidRPr="002533C6">
        <w:t xml:space="preserve"> </w:t>
      </w:r>
      <w:r w:rsidR="00CF48C2">
        <w:t>(See Attachment B-6 for the protocol for conducting proxy surveys)</w:t>
      </w:r>
      <w:r w:rsidR="006C3006">
        <w:t>.</w:t>
      </w:r>
      <w:r w:rsidR="00CF48C2">
        <w:t xml:space="preserve"> </w:t>
      </w:r>
      <w:r w:rsidR="00EE462F">
        <w:t xml:space="preserve">A short proxy </w:t>
      </w:r>
      <w:r w:rsidR="001B62B0">
        <w:t xml:space="preserve">survey </w:t>
      </w:r>
      <w:r w:rsidR="00EE462F">
        <w:t xml:space="preserve">is included in </w:t>
      </w:r>
      <w:r w:rsidR="00D32E2B">
        <w:t>Attachment</w:t>
      </w:r>
      <w:r w:rsidR="00CF48C2">
        <w:t>s</w:t>
      </w:r>
      <w:r w:rsidR="00053645">
        <w:t xml:space="preserve"> </w:t>
      </w:r>
      <w:r w:rsidR="00EE462F">
        <w:t>B-</w:t>
      </w:r>
      <w:r w:rsidR="00CF48C2">
        <w:t>13 and B-14</w:t>
      </w:r>
      <w:r w:rsidR="00EE462F">
        <w:t>.</w:t>
      </w:r>
    </w:p>
    <w:p w14:paraId="1C743C21" w14:textId="29250E89" w:rsidR="001717D5" w:rsidRDefault="001717D5" w:rsidP="001717D5">
      <w:r>
        <w:t>As it is known ahead of time that the response rate for the survey will be</w:t>
      </w:r>
      <w:r w:rsidR="00E6059F">
        <w:t xml:space="preserve"> less than 80% (the AmeriSpeak P</w:t>
      </w:r>
      <w:r w:rsidR="003E6214">
        <w:t>anel recruitment rate is 3</w:t>
      </w:r>
      <w:r w:rsidR="00E53B92">
        <w:t>4</w:t>
      </w:r>
      <w:r w:rsidR="003E6214">
        <w:t xml:space="preserve">% based on the </w:t>
      </w:r>
      <w:r>
        <w:t>2014-201</w:t>
      </w:r>
      <w:r w:rsidR="00E53B92">
        <w:t>6</w:t>
      </w:r>
      <w:r>
        <w:t xml:space="preserve"> AAPOR RR3 weighted</w:t>
      </w:r>
      <w:r w:rsidR="003E6214">
        <w:t xml:space="preserve"> rate)</w:t>
      </w:r>
      <w:r>
        <w:t xml:space="preserve">, the response rate for the </w:t>
      </w:r>
      <w:r w:rsidR="002E4A86">
        <w:t xml:space="preserve">baseline </w:t>
      </w:r>
      <w:r w:rsidR="003E6214">
        <w:t xml:space="preserve">survey is expected to be approximately 65%, and approximately </w:t>
      </w:r>
      <w:r>
        <w:t xml:space="preserve">80% of </w:t>
      </w:r>
      <w:r w:rsidR="002E4A86">
        <w:t xml:space="preserve">baseline </w:t>
      </w:r>
      <w:r>
        <w:t>survey responders are expected to al</w:t>
      </w:r>
      <w:r w:rsidR="00CA5B55">
        <w:t>so respond to the final survey.</w:t>
      </w:r>
      <w:r>
        <w:t xml:space="preserve"> NORC will calculate and report unit and item non</w:t>
      </w:r>
      <w:r w:rsidR="00CA5B55">
        <w:t>-</w:t>
      </w:r>
      <w:r>
        <w:t>response rates and carry out a non</w:t>
      </w:r>
      <w:r w:rsidR="00CA5B55">
        <w:t>-</w:t>
      </w:r>
      <w:r>
        <w:t>response bias analysis following the guidelines in Standard 3.2 of the OMB Standards and Guidelines for Statistical Surveys.</w:t>
      </w:r>
      <w:r>
        <w:rPr>
          <w:rStyle w:val="FootnoteReference"/>
        </w:rPr>
        <w:footnoteReference w:id="9"/>
      </w:r>
      <w:r w:rsidR="00CA5B55">
        <w:t xml:space="preserve"> </w:t>
      </w:r>
      <w:r>
        <w:t xml:space="preserve">NORC will assess and measure non-response bias by evaluating the </w:t>
      </w:r>
      <w:r w:rsidRPr="00BA3000">
        <w:t xml:space="preserve">demographic </w:t>
      </w:r>
      <w:r w:rsidR="003A5702" w:rsidRPr="00BA3000">
        <w:t xml:space="preserve">and geographic </w:t>
      </w:r>
      <w:r w:rsidRPr="00BA3000">
        <w:t>representativeness of the baseline and final survey participants compared to t</w:t>
      </w:r>
      <w:r w:rsidR="00CA5B55" w:rsidRPr="00BA3000">
        <w:t xml:space="preserve">he </w:t>
      </w:r>
      <w:r w:rsidR="00FD13A6" w:rsidRPr="00BA3000">
        <w:t>Current Population Survey (</w:t>
      </w:r>
      <w:r w:rsidR="00CA5B55" w:rsidRPr="00BA3000">
        <w:t>CPS</w:t>
      </w:r>
      <w:r w:rsidR="00FD13A6" w:rsidRPr="00BA3000">
        <w:t>)</w:t>
      </w:r>
      <w:r w:rsidR="00CA5B55" w:rsidRPr="00BA3000">
        <w:t xml:space="preserve"> population</w:t>
      </w:r>
      <w:r w:rsidR="00CA5B55">
        <w:t xml:space="preserve"> benchmarks. </w:t>
      </w:r>
      <w:r>
        <w:t>The sample composition of the baseline and final survey participants will also be compared to evaluate whether any within-study attrition is contributing to non-response bias.</w:t>
      </w:r>
    </w:p>
    <w:p w14:paraId="32338998" w14:textId="77777777" w:rsidR="000C600B" w:rsidRPr="006534F2" w:rsidRDefault="000C600B" w:rsidP="006534F2">
      <w:pPr>
        <w:pStyle w:val="Heading2"/>
        <w:rPr>
          <w:b/>
          <w:color w:val="auto"/>
        </w:rPr>
      </w:pPr>
      <w:bookmarkStart w:id="6" w:name="_Toc480370977"/>
      <w:r w:rsidRPr="006534F2">
        <w:rPr>
          <w:b/>
          <w:color w:val="auto"/>
        </w:rPr>
        <w:t>B4. Test of Procedures or Methods to be Undertaken</w:t>
      </w:r>
      <w:bookmarkEnd w:id="6"/>
    </w:p>
    <w:p w14:paraId="7E324A42" w14:textId="30A24F4A" w:rsidR="000C600B" w:rsidRDefault="000C600B" w:rsidP="000C600B">
      <w:r>
        <w:t xml:space="preserve">Whenever possible, the </w:t>
      </w:r>
      <w:r w:rsidRPr="005C4AAA">
        <w:rPr>
          <w:i/>
        </w:rPr>
        <w:t>Test Predictability of Falls Screening Tools</w:t>
      </w:r>
      <w:r>
        <w:t xml:space="preserve"> project relies on </w:t>
      </w:r>
      <w:r w:rsidR="00145817">
        <w:t xml:space="preserve">questions and </w:t>
      </w:r>
      <w:r>
        <w:t>measures that have been previously developed and tested, with their validity and reliability demonstrated in co</w:t>
      </w:r>
      <w:r w:rsidR="00793C40">
        <w:t>mmunity</w:t>
      </w:r>
      <w:r w:rsidR="00CA5B55">
        <w:t>-</w:t>
      </w:r>
      <w:r w:rsidR="00793C40">
        <w:t>dwelling older adults.</w:t>
      </w:r>
      <w:r w:rsidR="00D64467">
        <w:t xml:space="preserve"> </w:t>
      </w:r>
      <w:r w:rsidR="00DB26EB">
        <w:t xml:space="preserve">Cognitive testing of the </w:t>
      </w:r>
      <w:r w:rsidR="006C3006">
        <w:t xml:space="preserve">baseline </w:t>
      </w:r>
      <w:r w:rsidR="00DB26EB">
        <w:t>survey was conducted</w:t>
      </w:r>
      <w:r w:rsidR="00D64467">
        <w:t xml:space="preserve"> on eight individuals to test the length of the survey as well as general comprehension. </w:t>
      </w:r>
      <w:r w:rsidR="00DB26EB">
        <w:t xml:space="preserve">Cognitive </w:t>
      </w:r>
      <w:r w:rsidR="000C7D3E">
        <w:t>test data will be reviewed for inconsistent responses that might signal problems of comprehension, recall, or repo</w:t>
      </w:r>
      <w:r w:rsidR="00793C40">
        <w:t xml:space="preserve">rting in the survey questions. </w:t>
      </w:r>
      <w:r w:rsidR="000C7D3E">
        <w:t xml:space="preserve">These findings will thereby be used to identify potential improvements to the survey prior to beginning of the actual data collection. </w:t>
      </w:r>
      <w:r w:rsidR="00D64467">
        <w:t>AmeriSpeak also uses a “soft launch”</w:t>
      </w:r>
      <w:r w:rsidR="000C7D3E">
        <w:t xml:space="preserve"> </w:t>
      </w:r>
      <w:r w:rsidR="00D64467">
        <w:t xml:space="preserve">during the initial field of the </w:t>
      </w:r>
      <w:r w:rsidR="006C3006">
        <w:t xml:space="preserve">baseline </w:t>
      </w:r>
      <w:r w:rsidR="00D64467">
        <w:t xml:space="preserve">survey. In the first few days, the </w:t>
      </w:r>
      <w:r w:rsidR="006C3006">
        <w:t xml:space="preserve">baseline </w:t>
      </w:r>
      <w:r w:rsidR="00D64467">
        <w:t>survey is only released to 10% of the sample</w:t>
      </w:r>
      <w:r w:rsidR="00810B95">
        <w:t xml:space="preserve">. All </w:t>
      </w:r>
      <w:r w:rsidR="006C3006">
        <w:t xml:space="preserve">baseline </w:t>
      </w:r>
      <w:r w:rsidR="00810B95">
        <w:t xml:space="preserve">survey data is inspected by NORC staff and respondent </w:t>
      </w:r>
      <w:r w:rsidR="00D64467">
        <w:t>feedback is solicited to ensure there are no technical issues to address before releasing to the full sample.</w:t>
      </w:r>
    </w:p>
    <w:p w14:paraId="6A57AF19" w14:textId="54AD9C34" w:rsidR="004D55B5" w:rsidRPr="004D55B5" w:rsidRDefault="004D55B5" w:rsidP="004D55B5">
      <w:r w:rsidRPr="004D55B5">
        <w:t>Exploratory factor analysis and confirmatory factor analysis (CFA) will be used to demonstrate which survey items have the greatest likelihood of predicting future falls while controlling for key demographic factors and prior history of fall risk</w:t>
      </w:r>
      <w:r w:rsidR="006C3006">
        <w:t xml:space="preserve"> factors</w:t>
      </w:r>
      <w:r w:rsidRPr="004D55B5">
        <w:t>.</w:t>
      </w:r>
      <w:r w:rsidRPr="004D55B5">
        <w:rPr>
          <w:rStyle w:val="FootnoteReference"/>
        </w:rPr>
        <w:footnoteReference w:id="10"/>
      </w:r>
      <w:r w:rsidRPr="004D55B5">
        <w:rPr>
          <w:vertAlign w:val="superscript"/>
        </w:rPr>
        <w:t>,</w:t>
      </w:r>
      <w:r w:rsidRPr="004D55B5">
        <w:rPr>
          <w:rStyle w:val="FootnoteReference"/>
        </w:rPr>
        <w:footnoteReference w:id="11"/>
      </w:r>
      <w:r w:rsidRPr="004D55B5">
        <w:rPr>
          <w:vertAlign w:val="superscript"/>
        </w:rPr>
        <w:t>,</w:t>
      </w:r>
      <w:r w:rsidRPr="004D55B5">
        <w:rPr>
          <w:rStyle w:val="FootnoteReference"/>
        </w:rPr>
        <w:footnoteReference w:id="12"/>
      </w:r>
      <w:r w:rsidRPr="004D55B5">
        <w:rPr>
          <w:sz w:val="14"/>
          <w:szCs w:val="14"/>
        </w:rPr>
        <w:t xml:space="preserve"> </w:t>
      </w:r>
      <w:r w:rsidRPr="004D55B5">
        <w:t xml:space="preserve">To narrow down the larger list of survey items, item response theory (IRT) will be used to understand the key individual survey </w:t>
      </w:r>
      <w:r w:rsidR="006C3006">
        <w:t>questions</w:t>
      </w:r>
      <w:r w:rsidR="006C3006" w:rsidRPr="004D55B5">
        <w:t xml:space="preserve"> </w:t>
      </w:r>
      <w:r w:rsidRPr="004D55B5">
        <w:t xml:space="preserve">and groupings of survey </w:t>
      </w:r>
      <w:r w:rsidR="006C3006">
        <w:t>questions</w:t>
      </w:r>
      <w:r w:rsidR="006C3006" w:rsidRPr="004D55B5">
        <w:t xml:space="preserve"> </w:t>
      </w:r>
      <w:r w:rsidRPr="004D55B5">
        <w:t>that are most predictive of reported falls.</w:t>
      </w:r>
      <w:r w:rsidRPr="004D55B5">
        <w:rPr>
          <w:rStyle w:val="FootnoteReference"/>
        </w:rPr>
        <w:footnoteReference w:id="13"/>
      </w:r>
      <w:r w:rsidRPr="004D55B5">
        <w:rPr>
          <w:vertAlign w:val="superscript"/>
        </w:rPr>
        <w:t>,</w:t>
      </w:r>
      <w:r w:rsidRPr="004D55B5">
        <w:rPr>
          <w:rStyle w:val="FootnoteReference"/>
        </w:rPr>
        <w:footnoteReference w:id="14"/>
      </w:r>
      <w:r w:rsidRPr="004D55B5">
        <w:rPr>
          <w:sz w:val="14"/>
          <w:szCs w:val="14"/>
        </w:rPr>
        <w:t xml:space="preserve"> </w:t>
      </w:r>
      <w:r w:rsidRPr="004D55B5">
        <w:t xml:space="preserve">IRT encompasses any model relating the probability of an examinee’s response to a </w:t>
      </w:r>
      <w:r w:rsidR="006C3006">
        <w:t>question</w:t>
      </w:r>
      <w:r w:rsidRPr="004D55B5">
        <w:t xml:space="preserve"> to an underlying ability.</w:t>
      </w:r>
      <w:r w:rsidRPr="004D55B5">
        <w:rPr>
          <w:rStyle w:val="FootnoteReference"/>
        </w:rPr>
        <w:footnoteReference w:id="15"/>
      </w:r>
      <w:r w:rsidRPr="004D55B5">
        <w:t xml:space="preserve"> To describe the impact of different modifiers, IRT will be used to test the importance of </w:t>
      </w:r>
      <w:r w:rsidR="006C3006">
        <w:t>question</w:t>
      </w:r>
      <w:r w:rsidR="006C3006" w:rsidRPr="004D55B5">
        <w:t xml:space="preserve"> </w:t>
      </w:r>
      <w:r w:rsidRPr="004D55B5">
        <w:t>responses for different modifiers of interest (e.g., environmental risk, physical activity) to understand whether predictive power varies by demographic or other risk category.</w:t>
      </w:r>
      <w:r w:rsidRPr="004D55B5">
        <w:rPr>
          <w:rStyle w:val="FootnoteReference"/>
        </w:rPr>
        <w:footnoteReference w:id="16"/>
      </w:r>
      <w:r w:rsidRPr="004D55B5">
        <w:rPr>
          <w:vertAlign w:val="superscript"/>
        </w:rPr>
        <w:t>,</w:t>
      </w:r>
      <w:r w:rsidRPr="004D55B5">
        <w:rPr>
          <w:rStyle w:val="FootnoteReference"/>
        </w:rPr>
        <w:footnoteReference w:id="17"/>
      </w:r>
      <w:r w:rsidRPr="004D55B5">
        <w:rPr>
          <w:sz w:val="14"/>
          <w:szCs w:val="14"/>
        </w:rPr>
        <w:t xml:space="preserve"> </w:t>
      </w:r>
      <w:r w:rsidRPr="004D55B5">
        <w:t>We will then evaluate the sensitivity and specificity of the factors identified in CFA to describe how modifying factors are related to actual falls and fall severity.</w:t>
      </w:r>
    </w:p>
    <w:p w14:paraId="40E54C4A" w14:textId="77777777" w:rsidR="004D55B5" w:rsidRPr="004D55B5" w:rsidRDefault="004D55B5" w:rsidP="004D55B5">
      <w:r w:rsidRPr="004D55B5">
        <w:t xml:space="preserve">Descriptive statistics will be conducted at each of the 13 points of data collection. These statistics will include frequencies and percentages for categorical data as well as means, medians, and modes for continuous data. The primary purpose of these analyses is to clean the data and to look for trends and outliers.  </w:t>
      </w:r>
    </w:p>
    <w:p w14:paraId="37AC968A" w14:textId="234E560D" w:rsidR="004D55B5" w:rsidRPr="004D55B5" w:rsidRDefault="004D55B5" w:rsidP="004D55B5">
      <w:r w:rsidRPr="004D55B5">
        <w:t xml:space="preserve">Next, univariate analyses will be conducted </w:t>
      </w:r>
      <w:r w:rsidR="00CF48C2">
        <w:t>after the 6-m</w:t>
      </w:r>
      <w:r>
        <w:t xml:space="preserve">onth </w:t>
      </w:r>
      <w:r w:rsidR="00CF48C2">
        <w:t>follow-up survey</w:t>
      </w:r>
      <w:r>
        <w:t xml:space="preserve"> is complete and after the Final Survey is complete</w:t>
      </w:r>
      <w:r w:rsidRPr="004D55B5">
        <w:t xml:space="preserve"> to determine which of the independent variables (demographics, fall history, medical history, etc.) are related to the dependent variables (falling) with statistical significance. The dependent variable is whether participants did (fallers) or did not (non-fallers) experience a fall, or experienced a medically treated fall (medically treated fallers), during the </w:t>
      </w:r>
      <w:r w:rsidRPr="004D55B5">
        <w:rPr>
          <w:i/>
        </w:rPr>
        <w:t>Test Predictability of Falls Screening Tools</w:t>
      </w:r>
      <w:r w:rsidRPr="004D55B5">
        <w:t xml:space="preserve"> project</w:t>
      </w:r>
      <w:r w:rsidRPr="004D55B5" w:rsidDel="003D55C9">
        <w:t xml:space="preserve"> </w:t>
      </w:r>
      <w:r w:rsidRPr="004D55B5">
        <w:t xml:space="preserve">period. A two-sample t-test will be conducted to determine whether there is a significant difference in age between those participants who experience a fall during the project period (fallers) and those who do not (non-fallers). T-tests of this nature will be conducted for all continuous independent variables in the dataset. Chi-square tests will be used to determine whether between-group differences exist for all dichotomous independent variables such as gender. Categorical independent variables with more than two categories, such as race and geographic area, will be analyzed using the ANOVA statistic. Finally, Spearman’s Rho correlations will be used to determine the relationships between the scores on screeners </w:t>
      </w:r>
      <w:r w:rsidR="006C3006">
        <w:t xml:space="preserve">identifying risk factors for falls </w:t>
      </w:r>
      <w:r w:rsidRPr="004D55B5">
        <w:t>and whether or not participants experienced a fall. These analyses will be repeated to compare non-fallers and medically treated fallers.</w:t>
      </w:r>
    </w:p>
    <w:p w14:paraId="7317F5EF" w14:textId="57F85CEF" w:rsidR="004D55B5" w:rsidRPr="004D55B5" w:rsidRDefault="004D55B5" w:rsidP="004D55B5">
      <w:r w:rsidRPr="004D55B5">
        <w:t xml:space="preserve">Multivariate analyses will also be conducted </w:t>
      </w:r>
      <w:r w:rsidR="00CF48C2">
        <w:t xml:space="preserve">after the 6-month follow-up survey </w:t>
      </w:r>
      <w:r>
        <w:t>is complete and after the Final Survey is complete</w:t>
      </w:r>
      <w:r w:rsidRPr="004D55B5">
        <w:t xml:space="preserve">. Logistic regression models will be built in order to determine which of the independent variables, found to be significantly related to the dependent variable in the univariate analyses, significantly contribute to fall status. In building logistic regression models we will be able to control for key subgroups </w:t>
      </w:r>
      <w:r w:rsidR="006C3006">
        <w:t>with more</w:t>
      </w:r>
      <w:r w:rsidRPr="004D55B5">
        <w:t xml:space="preserve"> risk </w:t>
      </w:r>
      <w:r w:rsidR="006C3006">
        <w:t xml:space="preserve">factors </w:t>
      </w:r>
      <w:r w:rsidRPr="004D55B5">
        <w:t xml:space="preserve">for falls, such as women and persons with prior history of falls, thereby identifying what other individual items have the greatest likelihood of predicting future falls. Two sets of models will be built at each point (6 and 12 months) to compare fallers with non-fallers and to compare medically treated fallers with non-fallers. These models will also incorporate a time variable so that the length of time between the preceding interview and the occurrence of a fall can be examined in relation to the individual items while controlling for covariates such as the characteristics of key subgroups </w:t>
      </w:r>
      <w:r w:rsidR="006C3006">
        <w:t>with more risk factors</w:t>
      </w:r>
      <w:r w:rsidRPr="004D55B5">
        <w:t xml:space="preserve"> for falls already mentioned.</w:t>
      </w:r>
    </w:p>
    <w:p w14:paraId="7942CECD" w14:textId="77777777" w:rsidR="004D55B5" w:rsidRDefault="004D55B5" w:rsidP="004D55B5">
      <w:r w:rsidRPr="004D55B5">
        <w:t>Other types of multivariate models may be utilized as well. For example, a discriminant function analysis of the 6- and 12-month data together could indicate which items best predict whether a participant belongs in the non-faller, non-medically treated faller, or medically treated faller group.</w:t>
      </w:r>
    </w:p>
    <w:p w14:paraId="13048DC7" w14:textId="77777777" w:rsidR="000C600B" w:rsidRPr="006534F2" w:rsidRDefault="000C600B" w:rsidP="006534F2">
      <w:pPr>
        <w:pStyle w:val="Heading2"/>
        <w:rPr>
          <w:b/>
          <w:color w:val="auto"/>
        </w:rPr>
      </w:pPr>
      <w:bookmarkStart w:id="7" w:name="_Toc480370978"/>
      <w:r w:rsidRPr="006534F2">
        <w:rPr>
          <w:b/>
          <w:color w:val="auto"/>
        </w:rPr>
        <w:t>B5. Individuals Consulted on Statistical Aspects and Individuals Collecting and/or Analyzing Data</w:t>
      </w:r>
      <w:bookmarkEnd w:id="7"/>
    </w:p>
    <w:p w14:paraId="30BFD626" w14:textId="77777777" w:rsidR="00765CB8" w:rsidRDefault="00765CB8" w:rsidP="000C600B">
      <w:pPr>
        <w:rPr>
          <w:bCs/>
        </w:rPr>
      </w:pPr>
      <w:r w:rsidRPr="00765CB8">
        <w:rPr>
          <w:bCs/>
        </w:rPr>
        <w:t xml:space="preserve">NORC is the contractor collecting and analyzing the data for the survey. </w:t>
      </w:r>
      <w:r w:rsidR="004A0593">
        <w:rPr>
          <w:bCs/>
        </w:rPr>
        <w:t>The following individuals have reviewed technical and statistical aspects of procedures that will be used to implement the survey.</w:t>
      </w:r>
    </w:p>
    <w:p w14:paraId="4A8734E3" w14:textId="77777777" w:rsidR="00FD5183" w:rsidRDefault="00FD5183" w:rsidP="00FD5183">
      <w:r w:rsidRPr="00265A34">
        <w:rPr>
          <w:b/>
          <w:color w:val="333333"/>
          <w:shd w:val="clear" w:color="auto" w:fill="FFFFFF"/>
        </w:rPr>
        <w:t>Kennon R. Copeland, PhD,</w:t>
      </w:r>
      <w:r w:rsidR="00F24D2F">
        <w:rPr>
          <w:b/>
          <w:color w:val="333333"/>
          <w:shd w:val="clear" w:color="auto" w:fill="FFFFFF"/>
        </w:rPr>
        <w:t xml:space="preserve"> (</w:t>
      </w:r>
      <w:r w:rsidR="00F24D2F" w:rsidRPr="00F24D2F">
        <w:rPr>
          <w:b/>
          <w:color w:val="333333"/>
          <w:shd w:val="clear" w:color="auto" w:fill="FFFFFF"/>
        </w:rPr>
        <w:t>301</w:t>
      </w:r>
      <w:r w:rsidR="00F24D2F">
        <w:rPr>
          <w:b/>
          <w:color w:val="333333"/>
          <w:shd w:val="clear" w:color="auto" w:fill="FFFFFF"/>
        </w:rPr>
        <w:t>-</w:t>
      </w:r>
      <w:r w:rsidR="00F24D2F" w:rsidRPr="00F24D2F">
        <w:rPr>
          <w:b/>
          <w:color w:val="333333"/>
          <w:shd w:val="clear" w:color="auto" w:fill="FFFFFF"/>
        </w:rPr>
        <w:t>634-9432</w:t>
      </w:r>
      <w:r w:rsidR="00F24D2F">
        <w:rPr>
          <w:b/>
          <w:color w:val="333333"/>
          <w:shd w:val="clear" w:color="auto" w:fill="FFFFFF"/>
        </w:rPr>
        <w:t>)</w:t>
      </w:r>
      <w:r>
        <w:rPr>
          <w:color w:val="333333"/>
          <w:shd w:val="clear" w:color="auto" w:fill="FFFFFF"/>
        </w:rPr>
        <w:t xml:space="preserve"> is Senior Vice President and Director of Statistics and Methodology for NORC</w:t>
      </w:r>
      <w:r w:rsidR="00CA5B55">
        <w:rPr>
          <w:color w:val="333333"/>
          <w:shd w:val="clear" w:color="auto" w:fill="FFFFFF"/>
        </w:rPr>
        <w:t xml:space="preserve"> at the University of Chicago. </w:t>
      </w:r>
      <w:r>
        <w:rPr>
          <w:color w:val="333333"/>
          <w:shd w:val="clear" w:color="auto" w:fill="FFFFFF"/>
        </w:rPr>
        <w:t>In addition, Copeland has a Senior Advisory</w:t>
      </w:r>
      <w:r w:rsidR="00CA5B55">
        <w:rPr>
          <w:color w:val="333333"/>
          <w:shd w:val="clear" w:color="auto" w:fill="FFFFFF"/>
        </w:rPr>
        <w:t xml:space="preserve"> role on the AmeriSpeak Panel. </w:t>
      </w:r>
      <w:r>
        <w:rPr>
          <w:color w:val="333333"/>
          <w:shd w:val="clear" w:color="auto" w:fill="FFFFFF"/>
        </w:rPr>
        <w:t>Copeland has more than 35 years of experience in sample design, weighting methods, and error measurement methods for large-scale household, establishment, and healthcare surveys.</w:t>
      </w:r>
      <w:r>
        <w:t xml:space="preserve"> At NORC</w:t>
      </w:r>
      <w:r w:rsidR="00CA5B55">
        <w:t>,</w:t>
      </w:r>
      <w:r>
        <w:t xml:space="preserve"> he </w:t>
      </w:r>
      <w:r w:rsidR="00CA5B55">
        <w:t>is responsible</w:t>
      </w:r>
      <w:r>
        <w:t xml:space="preserve"> for sample design and estimation methodology for government and public interest surveys. For 17 years prior to joining NORC, Copeland was at IMS Health, where his la</w:t>
      </w:r>
      <w:r w:rsidR="00CA5B55">
        <w:t>st position was Senior Director for</w:t>
      </w:r>
      <w:r>
        <w:t xml:space="preserve"> Statistical Services. While at IMS, he developed and implemented survey methodologies for the physician, hospital, pharmacy, and clinic segments of the health</w:t>
      </w:r>
      <w:r w:rsidR="00CA5B55">
        <w:t xml:space="preserve"> </w:t>
      </w:r>
      <w:r>
        <w:t xml:space="preserve">care market, designed and conducted studies of physician treatment patterns, and developed and implemented studies of pharmaceutical </w:t>
      </w:r>
      <w:r w:rsidR="00CA5B55">
        <w:t>pricing. Copeland earned his Ph</w:t>
      </w:r>
      <w:r>
        <w:t>D in Survey Methodology from the U</w:t>
      </w:r>
      <w:r w:rsidR="00CA5B55">
        <w:t>niversity of Maryland and his M</w:t>
      </w:r>
      <w:r>
        <w:t xml:space="preserve">S in Statistics from the University of Kentucky.   </w:t>
      </w:r>
    </w:p>
    <w:p w14:paraId="4004D470" w14:textId="77777777" w:rsidR="004D34E7" w:rsidRDefault="000A6E98" w:rsidP="000C600B">
      <w:r w:rsidRPr="000A6E98">
        <w:rPr>
          <w:b/>
          <w:bCs/>
        </w:rPr>
        <w:t xml:space="preserve">Vicki J. Pineau, MS, </w:t>
      </w:r>
      <w:r w:rsidR="002C4F49">
        <w:rPr>
          <w:b/>
          <w:bCs/>
        </w:rPr>
        <w:t xml:space="preserve">(404-240-8401) </w:t>
      </w:r>
      <w:r w:rsidRPr="000A6E98">
        <w:t xml:space="preserve">will lead the sample design task and is a Senior Statistician at NORC. Pineau is a sampling statistician and veteran survey research methodologist with over </w:t>
      </w:r>
      <w:r w:rsidR="00CA5B55">
        <w:t>28</w:t>
      </w:r>
      <w:r w:rsidRPr="000A6E98">
        <w:t xml:space="preserve"> years of experience in survey and sam</w:t>
      </w:r>
      <w:r w:rsidR="00CA5B55">
        <w:t xml:space="preserve">ple design covering a myriad </w:t>
      </w:r>
      <w:r w:rsidRPr="000A6E98">
        <w:t xml:space="preserve">government and public interest surveys and censuses in </w:t>
      </w:r>
      <w:r w:rsidR="00CA5B55">
        <w:t>vaccines and i</w:t>
      </w:r>
      <w:r w:rsidRPr="000A6E98">
        <w:t>mmunizations, health policy, income, labor force, poverty, program participation and agriculture. Pineau's expertise includes: sample designs for rare populations and general population samples; dual frame designs for landline and cellular telephone number samples; panel sample design and sample selection; address-based and Internet</w:t>
      </w:r>
      <w:r w:rsidR="00CA5B55">
        <w:t xml:space="preserve"> sampling</w:t>
      </w:r>
      <w:r w:rsidRPr="000A6E98">
        <w:t>; application of complex multi-stage weighting methods and nonresponse bias and non</w:t>
      </w:r>
      <w:r w:rsidR="00CA5B55">
        <w:t>-</w:t>
      </w:r>
      <w:r w:rsidRPr="000A6E98">
        <w:t xml:space="preserve">coverage bias assessment and adjustment. Pineau has a MS in Mathematics from the University of South Carolina. </w:t>
      </w:r>
    </w:p>
    <w:p w14:paraId="14569CB7" w14:textId="77777777" w:rsidR="004A0593" w:rsidRPr="000A6E98" w:rsidRDefault="004A0593" w:rsidP="004A0593">
      <w:r w:rsidRPr="000A6E98">
        <w:rPr>
          <w:b/>
          <w:bCs/>
        </w:rPr>
        <w:t>Stephanie Jwo, MA,</w:t>
      </w:r>
      <w:r>
        <w:rPr>
          <w:b/>
          <w:bCs/>
        </w:rPr>
        <w:t xml:space="preserve"> (312-230-3082)</w:t>
      </w:r>
      <w:r w:rsidRPr="000A6E98">
        <w:rPr>
          <w:b/>
          <w:bCs/>
        </w:rPr>
        <w:t xml:space="preserve"> </w:t>
      </w:r>
      <w:r w:rsidRPr="000A6E98">
        <w:t xml:space="preserve">is the Web Survey Manager for AmeriSpeak and will lead the data collection task. She is responsible for developing client services’ standard operating procedures for the AmeriSpeak team, including standards for questionnaire programming and review, and data collection and management. Jwo also trains and manages the AmeriSpeak Client Services team on all standard operating procedures for conducting studies using NORC’s AmeriSpeak Panel. Prior to joining NORC, she managed over 200 projects for the Government &amp; Academic group at GfK (formerly Knowledge Networks). Jwo is an expert in conducting health surveys (e.g., smoking cessation, sexual health) and surveys with a variety of age groups, including parent-teen dyad surveys, longitudinal studies, and Hispanic/Spanish-language studies for web panels. Jwo earned an MA in Experimental Psychology </w:t>
      </w:r>
      <w:r w:rsidR="00CA5B55">
        <w:t>from San Jose State University.</w:t>
      </w:r>
    </w:p>
    <w:p w14:paraId="59C6CBA8" w14:textId="77777777" w:rsidR="004D34E7" w:rsidRDefault="004D34E7" w:rsidP="00265A34">
      <w:pPr>
        <w:pStyle w:val="ListParagraph"/>
        <w:ind w:left="0"/>
      </w:pPr>
    </w:p>
    <w:sectPr w:rsidR="004D34E7">
      <w:footerReference w:type="default" r:id="rId1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33131" w14:textId="77777777" w:rsidR="00421D55" w:rsidRDefault="00421D55" w:rsidP="008A2AD6">
      <w:pPr>
        <w:spacing w:after="0" w:line="240" w:lineRule="auto"/>
      </w:pPr>
      <w:r>
        <w:separator/>
      </w:r>
    </w:p>
  </w:endnote>
  <w:endnote w:type="continuationSeparator" w:id="0">
    <w:p w14:paraId="6F3D3734" w14:textId="77777777" w:rsidR="00421D55" w:rsidRDefault="00421D55" w:rsidP="008A2AD6">
      <w:pPr>
        <w:spacing w:after="0" w:line="240" w:lineRule="auto"/>
      </w:pPr>
      <w:r>
        <w:continuationSeparator/>
      </w:r>
    </w:p>
  </w:endnote>
  <w:endnote w:type="continuationNotice" w:id="1">
    <w:p w14:paraId="159CE43C" w14:textId="77777777" w:rsidR="00421D55" w:rsidRDefault="00421D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210631"/>
      <w:docPartObj>
        <w:docPartGallery w:val="Page Numbers (Bottom of Page)"/>
        <w:docPartUnique/>
      </w:docPartObj>
    </w:sdtPr>
    <w:sdtEndPr>
      <w:rPr>
        <w:noProof/>
      </w:rPr>
    </w:sdtEndPr>
    <w:sdtContent>
      <w:p w14:paraId="069CCE7B" w14:textId="128DDA10" w:rsidR="000C600B" w:rsidRDefault="000C600B">
        <w:pPr>
          <w:pStyle w:val="Footer"/>
          <w:jc w:val="right"/>
        </w:pPr>
        <w:r>
          <w:fldChar w:fldCharType="begin"/>
        </w:r>
        <w:r>
          <w:instrText xml:space="preserve"> PAGE   \* MERGEFORMAT </w:instrText>
        </w:r>
        <w:r>
          <w:fldChar w:fldCharType="separate"/>
        </w:r>
        <w:r w:rsidR="00B54D87">
          <w:rPr>
            <w:noProof/>
          </w:rPr>
          <w:t>1</w:t>
        </w:r>
        <w:r>
          <w:rPr>
            <w:noProof/>
          </w:rPr>
          <w:fldChar w:fldCharType="end"/>
        </w:r>
      </w:p>
    </w:sdtContent>
  </w:sdt>
  <w:p w14:paraId="48A9FEC1" w14:textId="77777777" w:rsidR="000C600B" w:rsidRDefault="000C60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A66C1" w14:textId="77777777" w:rsidR="00421D55" w:rsidRDefault="00421D55" w:rsidP="008A2AD6">
      <w:pPr>
        <w:spacing w:after="0" w:line="240" w:lineRule="auto"/>
      </w:pPr>
      <w:r>
        <w:separator/>
      </w:r>
    </w:p>
  </w:footnote>
  <w:footnote w:type="continuationSeparator" w:id="0">
    <w:p w14:paraId="38D96C09" w14:textId="77777777" w:rsidR="00421D55" w:rsidRDefault="00421D55" w:rsidP="008A2AD6">
      <w:pPr>
        <w:spacing w:after="0" w:line="240" w:lineRule="auto"/>
      </w:pPr>
      <w:r>
        <w:continuationSeparator/>
      </w:r>
    </w:p>
  </w:footnote>
  <w:footnote w:type="continuationNotice" w:id="1">
    <w:p w14:paraId="425DA376" w14:textId="77777777" w:rsidR="00421D55" w:rsidRDefault="00421D55">
      <w:pPr>
        <w:spacing w:after="0" w:line="240" w:lineRule="auto"/>
      </w:pPr>
    </w:p>
  </w:footnote>
  <w:footnote w:id="2">
    <w:p w14:paraId="2365AE3F" w14:textId="77777777" w:rsidR="001717D5" w:rsidRPr="00DC40B5" w:rsidRDefault="001717D5" w:rsidP="001717D5">
      <w:pPr>
        <w:pStyle w:val="FootnoteText"/>
      </w:pPr>
      <w:r w:rsidRPr="00DC40B5">
        <w:rPr>
          <w:rStyle w:val="FootnoteReference"/>
        </w:rPr>
        <w:footnoteRef/>
      </w:r>
      <w:r w:rsidRPr="00DC40B5">
        <w:t xml:space="preserve"> </w:t>
      </w:r>
      <w:r w:rsidR="001C4C0E">
        <w:t xml:space="preserve">NORC at the University of Chicago: 2010 National Sample Frame. Available at: </w:t>
      </w:r>
      <w:hyperlink r:id="rId1" w:history="1">
        <w:r w:rsidR="001C4C0E" w:rsidRPr="00BA2C48">
          <w:rPr>
            <w:rStyle w:val="Hyperlink"/>
          </w:rPr>
          <w:t>http://www.norc.org/Research/Projects/Pages/2010-national-sample-frame.aspx</w:t>
        </w:r>
      </w:hyperlink>
    </w:p>
  </w:footnote>
  <w:footnote w:id="3">
    <w:p w14:paraId="0EDA6FA5" w14:textId="77777777" w:rsidR="00EC37F2" w:rsidRPr="00EC37F2" w:rsidRDefault="00DC40B5" w:rsidP="00EC37F2">
      <w:pPr>
        <w:pStyle w:val="Default"/>
        <w:rPr>
          <w:rFonts w:asciiTheme="minorHAnsi" w:hAnsiTheme="minorHAnsi"/>
          <w:sz w:val="20"/>
          <w:szCs w:val="20"/>
        </w:rPr>
      </w:pPr>
      <w:r w:rsidRPr="00DC40B5">
        <w:rPr>
          <w:rStyle w:val="FootnoteReference"/>
          <w:rFonts w:asciiTheme="minorHAnsi" w:hAnsiTheme="minorHAnsi"/>
          <w:sz w:val="20"/>
          <w:szCs w:val="20"/>
        </w:rPr>
        <w:footnoteRef/>
      </w:r>
      <w:r w:rsidRPr="00DC40B5">
        <w:rPr>
          <w:rFonts w:asciiTheme="minorHAnsi" w:hAnsiTheme="minorHAnsi"/>
          <w:sz w:val="20"/>
          <w:szCs w:val="20"/>
        </w:rPr>
        <w:t xml:space="preserve"> </w:t>
      </w:r>
      <w:r w:rsidR="00EC37F2" w:rsidRPr="00EC37F2">
        <w:rPr>
          <w:rFonts w:asciiTheme="minorHAnsi" w:hAnsiTheme="minorHAnsi"/>
          <w:sz w:val="20"/>
          <w:szCs w:val="20"/>
        </w:rPr>
        <w:t xml:space="preserve">Panelists are invited to participate in AmeriSpeak surveys through email invitations to web-preference panelists and calls to phone-preference panelists. Respondents are credited </w:t>
      </w:r>
      <w:r w:rsidR="00347F9F">
        <w:rPr>
          <w:rFonts w:asciiTheme="minorHAnsi" w:hAnsiTheme="minorHAnsi"/>
          <w:sz w:val="20"/>
          <w:szCs w:val="20"/>
        </w:rPr>
        <w:t>points</w:t>
      </w:r>
      <w:r w:rsidR="00D73F81">
        <w:rPr>
          <w:rFonts w:asciiTheme="minorHAnsi" w:hAnsiTheme="minorHAnsi"/>
          <w:sz w:val="20"/>
          <w:szCs w:val="20"/>
        </w:rPr>
        <w:t xml:space="preserve"> </w:t>
      </w:r>
      <w:r w:rsidR="00EC37F2" w:rsidRPr="00EC37F2">
        <w:rPr>
          <w:rFonts w:asciiTheme="minorHAnsi" w:hAnsiTheme="minorHAnsi"/>
          <w:sz w:val="20"/>
          <w:szCs w:val="20"/>
        </w:rPr>
        <w:t>for their participation in surveys that can be redeemed for cash or physical goods. NORC encourages invited panelists who have not completed a survey to respond through email reminders to web-preference panelists and phone calls to phone-preference panelists.</w:t>
      </w:r>
    </w:p>
    <w:p w14:paraId="6CF9CEBA" w14:textId="77777777" w:rsidR="00EC37F2" w:rsidRPr="00EC37F2" w:rsidRDefault="00EC37F2" w:rsidP="00EC37F2">
      <w:pPr>
        <w:pStyle w:val="Default"/>
        <w:rPr>
          <w:rFonts w:asciiTheme="minorHAnsi" w:hAnsiTheme="minorHAnsi"/>
          <w:sz w:val="20"/>
          <w:szCs w:val="20"/>
        </w:rPr>
      </w:pPr>
    </w:p>
    <w:p w14:paraId="467CA1D7" w14:textId="77777777" w:rsidR="00EC37F2" w:rsidRPr="00EC37F2" w:rsidRDefault="00EC37F2" w:rsidP="00EC37F2">
      <w:pPr>
        <w:pStyle w:val="Default"/>
        <w:rPr>
          <w:rFonts w:asciiTheme="minorHAnsi" w:hAnsiTheme="minorHAnsi"/>
          <w:sz w:val="20"/>
          <w:szCs w:val="20"/>
        </w:rPr>
      </w:pPr>
      <w:r w:rsidRPr="00EC37F2">
        <w:rPr>
          <w:rFonts w:asciiTheme="minorHAnsi" w:hAnsiTheme="minorHAnsi"/>
          <w:sz w:val="20"/>
          <w:szCs w:val="20"/>
        </w:rPr>
        <w:t>NORC maintains strict rules to limit respondent burden and reduce the risk of panel fatigue. On average, AmeriSpeak panel members typically participate in AmeriSpeak web-based or phone-based studies two to three times a month.</w:t>
      </w:r>
    </w:p>
    <w:p w14:paraId="3659A114" w14:textId="77777777" w:rsidR="00EC37F2" w:rsidRPr="00EC37F2" w:rsidRDefault="00EC37F2" w:rsidP="00EC37F2">
      <w:pPr>
        <w:pStyle w:val="Default"/>
        <w:rPr>
          <w:rFonts w:asciiTheme="minorHAnsi" w:hAnsiTheme="minorHAnsi"/>
          <w:sz w:val="20"/>
          <w:szCs w:val="20"/>
        </w:rPr>
      </w:pPr>
    </w:p>
    <w:p w14:paraId="27854C4A" w14:textId="77777777" w:rsidR="00DC40B5" w:rsidRPr="00DC40B5" w:rsidRDefault="00EC37F2" w:rsidP="00EC37F2">
      <w:pPr>
        <w:pStyle w:val="Default"/>
        <w:rPr>
          <w:sz w:val="20"/>
          <w:szCs w:val="20"/>
        </w:rPr>
      </w:pPr>
      <w:r w:rsidRPr="00EC37F2">
        <w:rPr>
          <w:rFonts w:asciiTheme="minorHAnsi" w:hAnsiTheme="minorHAnsi"/>
          <w:sz w:val="20"/>
          <w:szCs w:val="20"/>
        </w:rPr>
        <w:t>Because the risk of panel attrition increases with the fielding of poorly constructed survey questionnaires, the AmeriSpeak team works with NORC clients to create surveys that provide an appropriate user experience for AmeriSpeak panelists. AmeriSpeak will not field surveys that in our professional opinion will result in a poor user experience for our panelists and in panel attrition.</w:t>
      </w:r>
    </w:p>
  </w:footnote>
  <w:footnote w:id="4">
    <w:p w14:paraId="3FCC8C6C" w14:textId="77777777" w:rsidR="00AB2F02" w:rsidRDefault="00AB2F02">
      <w:pPr>
        <w:pStyle w:val="FootnoteText"/>
      </w:pPr>
      <w:r>
        <w:rPr>
          <w:rStyle w:val="FootnoteReference"/>
        </w:rPr>
        <w:footnoteRef/>
      </w:r>
      <w:r>
        <w:t xml:space="preserve"> </w:t>
      </w:r>
      <w:r w:rsidR="001C4C0E">
        <w:t xml:space="preserve">Montgomery, R., Dennis, J.M., &amp; Ganesh, N. (2016). </w:t>
      </w:r>
      <w:r>
        <w:t>Response Rate Calculation Methodology for Recruitment of a Two-Phase Probability-Based Panel: The Case of AmeriSpeak</w:t>
      </w:r>
      <w:r w:rsidR="001C4C0E">
        <w:t>.</w:t>
      </w:r>
      <w:r>
        <w:t xml:space="preserve"> </w:t>
      </w:r>
      <w:r w:rsidR="001C4C0E">
        <w:t>NORC at the University of Chicago: AmeriSpeak Research. Available</w:t>
      </w:r>
      <w:r>
        <w:t xml:space="preserve"> at</w:t>
      </w:r>
      <w:r w:rsidR="001C4C0E">
        <w:t xml:space="preserve">: </w:t>
      </w:r>
      <w:hyperlink r:id="rId2" w:history="1">
        <w:r w:rsidR="001C4C0E" w:rsidRPr="00BA2C48">
          <w:rPr>
            <w:rStyle w:val="Hyperlink"/>
          </w:rPr>
          <w:t>http://d3qi0qp55mx5f5.cloudfront.net/amerispeak/i/research/WhitePaper_ResponseRateCalculation_AmeriSpeak_2016.pdf</w:t>
        </w:r>
      </w:hyperlink>
      <w:r w:rsidR="001C4C0E">
        <w:t xml:space="preserve"> </w:t>
      </w:r>
    </w:p>
  </w:footnote>
  <w:footnote w:id="5">
    <w:p w14:paraId="2533E766" w14:textId="77777777" w:rsidR="002B1358" w:rsidRDefault="002B1358" w:rsidP="002B1358">
      <w:pPr>
        <w:pStyle w:val="FootnoteText"/>
      </w:pPr>
      <w:r>
        <w:rPr>
          <w:rStyle w:val="FootnoteReference"/>
        </w:rPr>
        <w:footnoteRef/>
      </w:r>
      <w:r>
        <w:t xml:space="preserve"> </w:t>
      </w:r>
      <w:r w:rsidR="001C4C0E">
        <w:t xml:space="preserve">Bergen, G., Stevens, M.R., Burns, E.R. (2016). Fall and Fall Injuries Among Adults Aged ≥ 65 Years – United States, 2014. </w:t>
      </w:r>
      <w:r w:rsidR="001C4C0E">
        <w:rPr>
          <w:i/>
        </w:rPr>
        <w:t xml:space="preserve">Morbidity and Mortality Weekly Report, </w:t>
      </w:r>
      <w:r w:rsidR="001C4C0E">
        <w:t xml:space="preserve">Centers for Disease Control and Prevention. Available at: </w:t>
      </w:r>
      <w:hyperlink r:id="rId3" w:history="1">
        <w:r w:rsidR="001C4C0E" w:rsidRPr="00060660">
          <w:rPr>
            <w:rStyle w:val="Hyperlink"/>
          </w:rPr>
          <w:t>https://www.cdc.gov/mmwr/volumes/65/wr/mm6537a2.htm?s_cid=mm6537a2_e</w:t>
        </w:r>
      </w:hyperlink>
      <w:r w:rsidR="001C4C0E">
        <w:rPr>
          <w:rStyle w:val="Hyperlink"/>
        </w:rPr>
        <w:t xml:space="preserve"> </w:t>
      </w:r>
    </w:p>
  </w:footnote>
  <w:footnote w:id="6">
    <w:p w14:paraId="5340F790" w14:textId="77777777" w:rsidR="002B1358" w:rsidRDefault="002B1358" w:rsidP="002B1358">
      <w:pPr>
        <w:pStyle w:val="FootnoteText"/>
      </w:pPr>
      <w:r>
        <w:rPr>
          <w:rStyle w:val="FootnoteReference"/>
        </w:rPr>
        <w:footnoteRef/>
      </w:r>
      <w:r>
        <w:t xml:space="preserve"> </w:t>
      </w:r>
      <w:r w:rsidR="001C4C0E">
        <w:t xml:space="preserve">Centers for Disease Control and Prevention. “Important Facts about Falls.” (2016). Available at: </w:t>
      </w:r>
      <w:hyperlink r:id="rId4" w:history="1">
        <w:r w:rsidR="001C4C0E" w:rsidRPr="00BA2C48">
          <w:rPr>
            <w:rStyle w:val="Hyperlink"/>
          </w:rPr>
          <w:t>http://www.cdc.gov/HomeandRecreationalSafety/Falls/adultfalls.html</w:t>
        </w:r>
      </w:hyperlink>
      <w:r w:rsidR="001C4C0E">
        <w:t xml:space="preserve"> </w:t>
      </w:r>
    </w:p>
  </w:footnote>
  <w:footnote w:id="7">
    <w:p w14:paraId="7E664266" w14:textId="77777777" w:rsidR="002B1358" w:rsidRDefault="002B1358" w:rsidP="002B1358">
      <w:pPr>
        <w:pStyle w:val="FootnoteText"/>
      </w:pPr>
      <w:r>
        <w:rPr>
          <w:rStyle w:val="FootnoteReference"/>
        </w:rPr>
        <w:footnoteRef/>
      </w:r>
      <w:r>
        <w:t xml:space="preserve"> </w:t>
      </w:r>
      <w:r w:rsidRPr="009B766F">
        <w:t>Thurman</w:t>
      </w:r>
      <w:r w:rsidR="001C4C0E">
        <w:t>,</w:t>
      </w:r>
      <w:r w:rsidRPr="009B766F">
        <w:t xml:space="preserve"> D</w:t>
      </w:r>
      <w:r w:rsidR="001C4C0E">
        <w:t>.</w:t>
      </w:r>
      <w:r w:rsidRPr="009B766F">
        <w:t>J</w:t>
      </w:r>
      <w:r w:rsidR="001C4C0E">
        <w:t>.</w:t>
      </w:r>
      <w:r w:rsidRPr="009B766F">
        <w:t>, Stevens</w:t>
      </w:r>
      <w:r w:rsidR="001C4C0E">
        <w:t>,</w:t>
      </w:r>
      <w:r w:rsidRPr="009B766F">
        <w:t xml:space="preserve"> J</w:t>
      </w:r>
      <w:r w:rsidR="001C4C0E">
        <w:t>.</w:t>
      </w:r>
      <w:r w:rsidRPr="009B766F">
        <w:t>A</w:t>
      </w:r>
      <w:r w:rsidR="001C4C0E">
        <w:t>.</w:t>
      </w:r>
      <w:r w:rsidRPr="009B766F">
        <w:t>, Rao</w:t>
      </w:r>
      <w:r w:rsidR="001C4C0E">
        <w:t>,</w:t>
      </w:r>
      <w:r w:rsidRPr="009B766F">
        <w:t xml:space="preserve"> J</w:t>
      </w:r>
      <w:r w:rsidR="001C4C0E">
        <w:t>.</w:t>
      </w:r>
      <w:r w:rsidRPr="009B766F">
        <w:t>K.</w:t>
      </w:r>
      <w:r w:rsidR="001C4C0E">
        <w:t xml:space="preserve"> (2008).</w:t>
      </w:r>
      <w:r w:rsidRPr="009B766F">
        <w:t xml:space="preserve"> Practice Parameter: Assessing patients in a neurology practice for risk of falls (an evidence-based review)</w:t>
      </w:r>
      <w:r w:rsidR="001C4C0E">
        <w:t>.</w:t>
      </w:r>
      <w:r w:rsidRPr="009B766F">
        <w:t xml:space="preserve"> Report of the Quality Standards Subcommittee of the American Academy of Neurology. </w:t>
      </w:r>
      <w:r w:rsidRPr="00271136">
        <w:t>Neurology</w:t>
      </w:r>
      <w:r w:rsidRPr="009B766F">
        <w:t>. 2008 Feb 5;70(6):473-9.</w:t>
      </w:r>
    </w:p>
  </w:footnote>
  <w:footnote w:id="8">
    <w:p w14:paraId="340E4342" w14:textId="77777777" w:rsidR="001717D5" w:rsidRDefault="001717D5" w:rsidP="001C4C0E">
      <w:pPr>
        <w:pStyle w:val="FootnoteText"/>
      </w:pPr>
      <w:r>
        <w:rPr>
          <w:rStyle w:val="FootnoteReference"/>
        </w:rPr>
        <w:footnoteRef/>
      </w:r>
      <w:r>
        <w:t xml:space="preserve"> </w:t>
      </w:r>
      <w:r w:rsidR="001C4C0E">
        <w:t xml:space="preserve">Centers for Disease Control and Prevention. “Important Facts about Falls.” (2016). Available at: </w:t>
      </w:r>
      <w:hyperlink r:id="rId5" w:history="1">
        <w:r w:rsidR="001C4C0E" w:rsidRPr="00BA2C48">
          <w:rPr>
            <w:rStyle w:val="Hyperlink"/>
          </w:rPr>
          <w:t>http://www.cdc.gov/HomeandRecreationalSafety/Falls/adultfalls.html</w:t>
        </w:r>
      </w:hyperlink>
      <w:r w:rsidR="001C4C0E">
        <w:t xml:space="preserve"> </w:t>
      </w:r>
    </w:p>
  </w:footnote>
  <w:footnote w:id="9">
    <w:p w14:paraId="22370CBA" w14:textId="77777777" w:rsidR="001717D5" w:rsidRDefault="001717D5" w:rsidP="001717D5">
      <w:pPr>
        <w:pStyle w:val="FootnoteText"/>
      </w:pPr>
      <w:r>
        <w:rPr>
          <w:rStyle w:val="FootnoteReference"/>
        </w:rPr>
        <w:footnoteRef/>
      </w:r>
      <w:r>
        <w:t xml:space="preserve"> Office of Management and Budget</w:t>
      </w:r>
      <w:r w:rsidR="001C4C0E">
        <w:t>.</w:t>
      </w:r>
      <w:r>
        <w:t xml:space="preserve"> (2006). </w:t>
      </w:r>
      <w:r w:rsidR="001C4C0E">
        <w:t xml:space="preserve">Office of Management and Budget Standards and Guidelines for Statistical Surveys. Available at: </w:t>
      </w:r>
      <w:hyperlink r:id="rId6" w:history="1">
        <w:r w:rsidRPr="008773E7">
          <w:rPr>
            <w:rStyle w:val="Hyperlink"/>
          </w:rPr>
          <w:t>https://www.whitehouse.gov/sites/default/files/omb/inforeg/statpolicy/standards_stat_surveys.pdf</w:t>
        </w:r>
      </w:hyperlink>
    </w:p>
  </w:footnote>
  <w:footnote w:id="10">
    <w:p w14:paraId="34EFF591" w14:textId="77777777" w:rsidR="004D55B5" w:rsidRDefault="004D55B5" w:rsidP="004D55B5">
      <w:pPr>
        <w:pStyle w:val="FootnoteText"/>
      </w:pPr>
      <w:r>
        <w:rPr>
          <w:rStyle w:val="FootnoteReference"/>
        </w:rPr>
        <w:footnoteRef/>
      </w:r>
      <w:r>
        <w:t xml:space="preserve"> </w:t>
      </w:r>
      <w:r w:rsidRPr="008A2AD6">
        <w:t>Fabrigar L</w:t>
      </w:r>
      <w:r>
        <w:t>.</w:t>
      </w:r>
      <w:r w:rsidRPr="008A2AD6">
        <w:t>R</w:t>
      </w:r>
      <w:r>
        <w:t>.</w:t>
      </w:r>
      <w:r w:rsidRPr="008A2AD6">
        <w:t>, Wegener D</w:t>
      </w:r>
      <w:r>
        <w:t>.</w:t>
      </w:r>
      <w:r w:rsidRPr="008A2AD6">
        <w:t>T</w:t>
      </w:r>
      <w:r>
        <w:t>.</w:t>
      </w:r>
      <w:r w:rsidRPr="008A2AD6">
        <w:t>, MacCallum R</w:t>
      </w:r>
      <w:r>
        <w:t>.</w:t>
      </w:r>
      <w:r w:rsidRPr="008A2AD6">
        <w:t>C</w:t>
      </w:r>
      <w:r>
        <w:t>.</w:t>
      </w:r>
      <w:r w:rsidRPr="008A2AD6">
        <w:t xml:space="preserve">, </w:t>
      </w:r>
      <w:r>
        <w:t xml:space="preserve">&amp; </w:t>
      </w:r>
      <w:r w:rsidRPr="008A2AD6">
        <w:t>Strahan E</w:t>
      </w:r>
      <w:r>
        <w:t>.</w:t>
      </w:r>
      <w:r w:rsidRPr="008A2AD6">
        <w:t>J.</w:t>
      </w:r>
      <w:r>
        <w:t xml:space="preserve"> (1999).</w:t>
      </w:r>
      <w:r w:rsidRPr="008A2AD6">
        <w:t xml:space="preserve"> Evaluating the use of exploratory factor analysis in psychological research. </w:t>
      </w:r>
      <w:r w:rsidRPr="00A37169">
        <w:rPr>
          <w:i/>
        </w:rPr>
        <w:t>Psychological Methods</w:t>
      </w:r>
      <w:r w:rsidRPr="008A2AD6">
        <w:t>.4(3):272.</w:t>
      </w:r>
    </w:p>
  </w:footnote>
  <w:footnote w:id="11">
    <w:p w14:paraId="74AC85C7" w14:textId="77777777" w:rsidR="004D55B5" w:rsidRDefault="004D55B5" w:rsidP="004D55B5">
      <w:pPr>
        <w:pStyle w:val="FootnoteText"/>
      </w:pPr>
      <w:r>
        <w:rPr>
          <w:rStyle w:val="FootnoteReference"/>
        </w:rPr>
        <w:footnoteRef/>
      </w:r>
      <w:r>
        <w:t xml:space="preserve"> </w:t>
      </w:r>
      <w:r w:rsidRPr="008A2AD6">
        <w:t>Harrington</w:t>
      </w:r>
      <w:r>
        <w:t>,</w:t>
      </w:r>
      <w:r w:rsidRPr="008A2AD6">
        <w:t xml:space="preserve"> D.</w:t>
      </w:r>
      <w:r>
        <w:t xml:space="preserve"> (2008).</w:t>
      </w:r>
      <w:r w:rsidRPr="008A2AD6">
        <w:t xml:space="preserve"> </w:t>
      </w:r>
      <w:r w:rsidRPr="00A37169">
        <w:rPr>
          <w:i/>
        </w:rPr>
        <w:t>Confirmatory factor analysis</w:t>
      </w:r>
      <w:r w:rsidRPr="008A2AD6">
        <w:t>. Oxford University Press.</w:t>
      </w:r>
    </w:p>
  </w:footnote>
  <w:footnote w:id="12">
    <w:p w14:paraId="199515C9" w14:textId="77777777" w:rsidR="004D55B5" w:rsidRPr="009B766F" w:rsidRDefault="004D55B5" w:rsidP="004D55B5">
      <w:pPr>
        <w:pStyle w:val="FootnoteText"/>
      </w:pPr>
      <w:r>
        <w:rPr>
          <w:rStyle w:val="FootnoteReference"/>
        </w:rPr>
        <w:footnoteRef/>
      </w:r>
      <w:r>
        <w:t xml:space="preserve"> </w:t>
      </w:r>
      <w:r w:rsidRPr="0020400D">
        <w:t>Thompson</w:t>
      </w:r>
      <w:r>
        <w:t>,</w:t>
      </w:r>
      <w:r w:rsidRPr="0020400D">
        <w:t xml:space="preserve"> B. </w:t>
      </w:r>
      <w:r>
        <w:t xml:space="preserve">(2004). </w:t>
      </w:r>
      <w:r w:rsidRPr="00A37169">
        <w:rPr>
          <w:i/>
        </w:rPr>
        <w:t>Exploratory and confirmatory factor analysis: Understanding concepts and applications</w:t>
      </w:r>
      <w:r w:rsidRPr="0020400D">
        <w:t>. American Psychological Association.</w:t>
      </w:r>
    </w:p>
  </w:footnote>
  <w:footnote w:id="13">
    <w:p w14:paraId="0771887B" w14:textId="77777777" w:rsidR="004D55B5" w:rsidRDefault="004D55B5" w:rsidP="004D55B5">
      <w:pPr>
        <w:pStyle w:val="FootnoteText"/>
      </w:pPr>
      <w:r>
        <w:rPr>
          <w:rStyle w:val="FootnoteReference"/>
        </w:rPr>
        <w:footnoteRef/>
      </w:r>
      <w:r>
        <w:t xml:space="preserve"> </w:t>
      </w:r>
      <w:r w:rsidRPr="0020400D">
        <w:t>Embretson S</w:t>
      </w:r>
      <w:r>
        <w:t>.</w:t>
      </w:r>
      <w:r w:rsidRPr="0020400D">
        <w:t>E</w:t>
      </w:r>
      <w:r>
        <w:t>. &amp;</w:t>
      </w:r>
      <w:r w:rsidRPr="0020400D">
        <w:t xml:space="preserve"> Reise S</w:t>
      </w:r>
      <w:r>
        <w:t>.</w:t>
      </w:r>
      <w:r w:rsidRPr="0020400D">
        <w:t>P.</w:t>
      </w:r>
      <w:r>
        <w:t xml:space="preserve"> (2013).</w:t>
      </w:r>
      <w:r w:rsidRPr="0020400D">
        <w:t xml:space="preserve"> </w:t>
      </w:r>
      <w:r w:rsidRPr="00A37169">
        <w:rPr>
          <w:i/>
        </w:rPr>
        <w:t>Item response theory</w:t>
      </w:r>
      <w:r w:rsidRPr="0020400D">
        <w:t>. Psychology Press.</w:t>
      </w:r>
    </w:p>
  </w:footnote>
  <w:footnote w:id="14">
    <w:p w14:paraId="298D7C99" w14:textId="77777777" w:rsidR="004D55B5" w:rsidRDefault="004D55B5" w:rsidP="004D55B5">
      <w:pPr>
        <w:pStyle w:val="FootnoteText"/>
      </w:pPr>
      <w:r>
        <w:rPr>
          <w:rStyle w:val="FootnoteReference"/>
        </w:rPr>
        <w:footnoteRef/>
      </w:r>
      <w:r>
        <w:t xml:space="preserve"> </w:t>
      </w:r>
      <w:r w:rsidRPr="0020400D">
        <w:t>Klotzbuecher</w:t>
      </w:r>
      <w:r>
        <w:t>,</w:t>
      </w:r>
      <w:r w:rsidRPr="0020400D">
        <w:t xml:space="preserve"> C</w:t>
      </w:r>
      <w:r>
        <w:t>.</w:t>
      </w:r>
      <w:r w:rsidRPr="0020400D">
        <w:t>M</w:t>
      </w:r>
      <w:r>
        <w:t>.</w:t>
      </w:r>
      <w:r w:rsidRPr="0020400D">
        <w:t>, Ross</w:t>
      </w:r>
      <w:r>
        <w:t>,</w:t>
      </w:r>
      <w:r w:rsidRPr="0020400D">
        <w:t xml:space="preserve"> P</w:t>
      </w:r>
      <w:r>
        <w:t>.</w:t>
      </w:r>
      <w:r w:rsidRPr="0020400D">
        <w:t>D</w:t>
      </w:r>
      <w:r>
        <w:t>.</w:t>
      </w:r>
      <w:r w:rsidRPr="0020400D">
        <w:t>, Landsman</w:t>
      </w:r>
      <w:r>
        <w:t>,</w:t>
      </w:r>
      <w:r w:rsidRPr="0020400D">
        <w:t xml:space="preserve"> P</w:t>
      </w:r>
      <w:r>
        <w:t>.</w:t>
      </w:r>
      <w:r w:rsidRPr="0020400D">
        <w:t>B</w:t>
      </w:r>
      <w:r>
        <w:t>.</w:t>
      </w:r>
      <w:r w:rsidRPr="0020400D">
        <w:t>, Abbott</w:t>
      </w:r>
      <w:r>
        <w:t>,</w:t>
      </w:r>
      <w:r w:rsidRPr="0020400D">
        <w:t xml:space="preserve"> T</w:t>
      </w:r>
      <w:r>
        <w:t>.</w:t>
      </w:r>
      <w:r w:rsidRPr="0020400D">
        <w:t>A</w:t>
      </w:r>
      <w:r>
        <w:t>.</w:t>
      </w:r>
      <w:r w:rsidRPr="0020400D">
        <w:t xml:space="preserve">, </w:t>
      </w:r>
      <w:r>
        <w:t xml:space="preserve">&amp; </w:t>
      </w:r>
      <w:r w:rsidRPr="0020400D">
        <w:t>Berger</w:t>
      </w:r>
      <w:r>
        <w:t>,</w:t>
      </w:r>
      <w:r w:rsidRPr="0020400D">
        <w:t xml:space="preserve"> M. </w:t>
      </w:r>
      <w:r>
        <w:t xml:space="preserve">(2000). </w:t>
      </w:r>
      <w:r w:rsidRPr="0020400D">
        <w:t xml:space="preserve">Patients with prior fractures have an increased risk of future fractures: a summary of the literature and statistical synthesis. </w:t>
      </w:r>
      <w:r w:rsidRPr="00A37169">
        <w:rPr>
          <w:i/>
        </w:rPr>
        <w:t>Journal of Bone and Mineral Research</w:t>
      </w:r>
      <w:r w:rsidRPr="0020400D">
        <w:t>. 1;15(4):721-39.</w:t>
      </w:r>
    </w:p>
  </w:footnote>
  <w:footnote w:id="15">
    <w:p w14:paraId="33F1CFFA" w14:textId="77777777" w:rsidR="004D55B5" w:rsidRDefault="004D55B5" w:rsidP="004D55B5">
      <w:pPr>
        <w:pStyle w:val="FootnoteText"/>
      </w:pPr>
      <w:r>
        <w:rPr>
          <w:rStyle w:val="FootnoteReference"/>
        </w:rPr>
        <w:footnoteRef/>
      </w:r>
      <w:r>
        <w:t xml:space="preserve"> </w:t>
      </w:r>
      <w:r w:rsidRPr="0020400D">
        <w:t>Van der Linden, W. J.</w:t>
      </w:r>
      <w:r>
        <w:t xml:space="preserve"> &amp;</w:t>
      </w:r>
      <w:r w:rsidRPr="0020400D">
        <w:t xml:space="preserve"> Hambleton, R. K. (eds.) (1997). Handbook of Modern Item Response Theory. New York: Springer Verlag.</w:t>
      </w:r>
    </w:p>
  </w:footnote>
  <w:footnote w:id="16">
    <w:p w14:paraId="5EC46DDB" w14:textId="77777777" w:rsidR="004D55B5" w:rsidRDefault="004D55B5" w:rsidP="004D55B5">
      <w:pPr>
        <w:pStyle w:val="FootnoteText"/>
      </w:pPr>
      <w:r>
        <w:rPr>
          <w:rStyle w:val="FootnoteReference"/>
        </w:rPr>
        <w:footnoteRef/>
      </w:r>
      <w:r w:rsidRPr="00100E5B">
        <w:t xml:space="preserve"> Gregg, E.W., Pereira, M.A., &amp; Caspersen, C.J.. (2000). </w:t>
      </w:r>
      <w:r w:rsidRPr="0020400D">
        <w:t xml:space="preserve">Physical activity, falls, and fractures among older adults: a review of the epidemiologic evidence. </w:t>
      </w:r>
      <w:r w:rsidRPr="00A37169">
        <w:rPr>
          <w:i/>
        </w:rPr>
        <w:t>Journal of the American Geriatrics Society</w:t>
      </w:r>
      <w:r w:rsidRPr="0020400D">
        <w:t>. 48(8):883-93.</w:t>
      </w:r>
    </w:p>
  </w:footnote>
  <w:footnote w:id="17">
    <w:p w14:paraId="30B741B4" w14:textId="77777777" w:rsidR="004D55B5" w:rsidRDefault="004D55B5" w:rsidP="004D55B5">
      <w:pPr>
        <w:pStyle w:val="FootnoteText"/>
      </w:pPr>
      <w:r>
        <w:rPr>
          <w:rStyle w:val="FootnoteReference"/>
        </w:rPr>
        <w:footnoteRef/>
      </w:r>
      <w:r>
        <w:t xml:space="preserve"> </w:t>
      </w:r>
      <w:r w:rsidRPr="0020400D">
        <w:t>Barnett</w:t>
      </w:r>
      <w:r>
        <w:t>,</w:t>
      </w:r>
      <w:r w:rsidRPr="0020400D">
        <w:t xml:space="preserve"> A</w:t>
      </w:r>
      <w:r>
        <w:t>.</w:t>
      </w:r>
      <w:r w:rsidRPr="0020400D">
        <w:t>, Smith</w:t>
      </w:r>
      <w:r>
        <w:t>,</w:t>
      </w:r>
      <w:r w:rsidRPr="0020400D">
        <w:t xml:space="preserve"> B</w:t>
      </w:r>
      <w:r>
        <w:t>.</w:t>
      </w:r>
      <w:r w:rsidRPr="0020400D">
        <w:t>, Lord</w:t>
      </w:r>
      <w:r>
        <w:t>,</w:t>
      </w:r>
      <w:r w:rsidRPr="0020400D">
        <w:t xml:space="preserve"> S</w:t>
      </w:r>
      <w:r>
        <w:t>.</w:t>
      </w:r>
      <w:r w:rsidRPr="0020400D">
        <w:t>R</w:t>
      </w:r>
      <w:r>
        <w:t>.</w:t>
      </w:r>
      <w:r w:rsidRPr="0020400D">
        <w:t>, Williams</w:t>
      </w:r>
      <w:r>
        <w:t>,</w:t>
      </w:r>
      <w:r w:rsidRPr="0020400D">
        <w:t xml:space="preserve"> M</w:t>
      </w:r>
      <w:r>
        <w:t>.</w:t>
      </w:r>
      <w:r w:rsidRPr="0020400D">
        <w:t>, Baumand</w:t>
      </w:r>
      <w:r>
        <w:t>,</w:t>
      </w:r>
      <w:r w:rsidRPr="0020400D">
        <w:t xml:space="preserve"> A.</w:t>
      </w:r>
      <w:r>
        <w:t xml:space="preserve"> (2003).</w:t>
      </w:r>
      <w:r w:rsidRPr="0020400D">
        <w:t xml:space="preserve"> Community‐based group exercise improves balance and reduces falls in at‐risk older people: a randomised controlled trial. </w:t>
      </w:r>
      <w:r w:rsidRPr="00A37169">
        <w:rPr>
          <w:i/>
        </w:rPr>
        <w:t>Age and Ageing</w:t>
      </w:r>
      <w:r w:rsidRPr="0020400D">
        <w:t>. 32(4):407-14.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3A5"/>
    <w:multiLevelType w:val="hybridMultilevel"/>
    <w:tmpl w:val="8570797C"/>
    <w:lvl w:ilvl="0" w:tplc="E33AD3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F421FC"/>
    <w:multiLevelType w:val="hybridMultilevel"/>
    <w:tmpl w:val="E9FA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363174"/>
    <w:multiLevelType w:val="hybridMultilevel"/>
    <w:tmpl w:val="D7708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6229AF"/>
    <w:multiLevelType w:val="hybridMultilevel"/>
    <w:tmpl w:val="4AA03528"/>
    <w:lvl w:ilvl="0" w:tplc="04090015">
      <w:start w:val="1"/>
      <w:numFmt w:val="upperLetter"/>
      <w:lvlText w:val="%1."/>
      <w:lvlJc w:val="left"/>
      <w:pPr>
        <w:ind w:left="16200" w:hanging="360"/>
      </w:pPr>
      <w:rPr>
        <w:rFonts w:hint="default"/>
      </w:rPr>
    </w:lvl>
    <w:lvl w:ilvl="1" w:tplc="04090019" w:tentative="1">
      <w:start w:val="1"/>
      <w:numFmt w:val="lowerLetter"/>
      <w:lvlText w:val="%2."/>
      <w:lvlJc w:val="left"/>
      <w:pPr>
        <w:ind w:left="16920" w:hanging="360"/>
      </w:pPr>
    </w:lvl>
    <w:lvl w:ilvl="2" w:tplc="0409001B" w:tentative="1">
      <w:start w:val="1"/>
      <w:numFmt w:val="lowerRoman"/>
      <w:lvlText w:val="%3."/>
      <w:lvlJc w:val="right"/>
      <w:pPr>
        <w:ind w:left="17640" w:hanging="180"/>
      </w:pPr>
    </w:lvl>
    <w:lvl w:ilvl="3" w:tplc="0409000F" w:tentative="1">
      <w:start w:val="1"/>
      <w:numFmt w:val="decimal"/>
      <w:lvlText w:val="%4."/>
      <w:lvlJc w:val="left"/>
      <w:pPr>
        <w:ind w:left="18360" w:hanging="360"/>
      </w:pPr>
    </w:lvl>
    <w:lvl w:ilvl="4" w:tplc="04090019" w:tentative="1">
      <w:start w:val="1"/>
      <w:numFmt w:val="lowerLetter"/>
      <w:lvlText w:val="%5."/>
      <w:lvlJc w:val="left"/>
      <w:pPr>
        <w:ind w:left="19080" w:hanging="360"/>
      </w:pPr>
    </w:lvl>
    <w:lvl w:ilvl="5" w:tplc="0409001B" w:tentative="1">
      <w:start w:val="1"/>
      <w:numFmt w:val="lowerRoman"/>
      <w:lvlText w:val="%6."/>
      <w:lvlJc w:val="right"/>
      <w:pPr>
        <w:ind w:left="19800" w:hanging="180"/>
      </w:pPr>
    </w:lvl>
    <w:lvl w:ilvl="6" w:tplc="0409000F" w:tentative="1">
      <w:start w:val="1"/>
      <w:numFmt w:val="decimal"/>
      <w:lvlText w:val="%7."/>
      <w:lvlJc w:val="left"/>
      <w:pPr>
        <w:ind w:left="20520" w:hanging="360"/>
      </w:pPr>
    </w:lvl>
    <w:lvl w:ilvl="7" w:tplc="04090019" w:tentative="1">
      <w:start w:val="1"/>
      <w:numFmt w:val="lowerLetter"/>
      <w:lvlText w:val="%8."/>
      <w:lvlJc w:val="left"/>
      <w:pPr>
        <w:ind w:left="21240" w:hanging="360"/>
      </w:pPr>
    </w:lvl>
    <w:lvl w:ilvl="8" w:tplc="0409001B" w:tentative="1">
      <w:start w:val="1"/>
      <w:numFmt w:val="lowerRoman"/>
      <w:lvlText w:val="%9."/>
      <w:lvlJc w:val="right"/>
      <w:pPr>
        <w:ind w:left="21960" w:hanging="180"/>
      </w:pPr>
    </w:lvl>
  </w:abstractNum>
  <w:abstractNum w:abstractNumId="4">
    <w:nsid w:val="4AE878E7"/>
    <w:multiLevelType w:val="hybridMultilevel"/>
    <w:tmpl w:val="7C962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F15525"/>
    <w:multiLevelType w:val="hybridMultilevel"/>
    <w:tmpl w:val="66E6E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377E88"/>
    <w:multiLevelType w:val="hybridMultilevel"/>
    <w:tmpl w:val="41862282"/>
    <w:lvl w:ilvl="0" w:tplc="215E8DD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07B13A2"/>
    <w:multiLevelType w:val="hybridMultilevel"/>
    <w:tmpl w:val="05E46C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FAC72DF"/>
    <w:multiLevelType w:val="hybridMultilevel"/>
    <w:tmpl w:val="3668B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6319ED"/>
    <w:multiLevelType w:val="hybridMultilevel"/>
    <w:tmpl w:val="868AC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9"/>
  </w:num>
  <w:num w:numId="4">
    <w:abstractNumId w:val="4"/>
  </w:num>
  <w:num w:numId="5">
    <w:abstractNumId w:val="8"/>
  </w:num>
  <w:num w:numId="6">
    <w:abstractNumId w:val="0"/>
  </w:num>
  <w:num w:numId="7">
    <w:abstractNumId w:val="3"/>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6F"/>
    <w:rsid w:val="00003E57"/>
    <w:rsid w:val="00005B86"/>
    <w:rsid w:val="000127A9"/>
    <w:rsid w:val="00012CEB"/>
    <w:rsid w:val="00012ECD"/>
    <w:rsid w:val="00020F40"/>
    <w:rsid w:val="00024203"/>
    <w:rsid w:val="00027EF6"/>
    <w:rsid w:val="00035B0F"/>
    <w:rsid w:val="00041D13"/>
    <w:rsid w:val="0004494F"/>
    <w:rsid w:val="00045B33"/>
    <w:rsid w:val="00053645"/>
    <w:rsid w:val="00054514"/>
    <w:rsid w:val="000600DB"/>
    <w:rsid w:val="00061041"/>
    <w:rsid w:val="000618D2"/>
    <w:rsid w:val="000677AA"/>
    <w:rsid w:val="00095C8A"/>
    <w:rsid w:val="000A6E98"/>
    <w:rsid w:val="000B0B1E"/>
    <w:rsid w:val="000B1255"/>
    <w:rsid w:val="000B6E8A"/>
    <w:rsid w:val="000C600B"/>
    <w:rsid w:val="000C7D3E"/>
    <w:rsid w:val="000D10E0"/>
    <w:rsid w:val="000D549E"/>
    <w:rsid w:val="000E0844"/>
    <w:rsid w:val="000E52A1"/>
    <w:rsid w:val="000F15B6"/>
    <w:rsid w:val="00100E5B"/>
    <w:rsid w:val="0010107F"/>
    <w:rsid w:val="00110CC0"/>
    <w:rsid w:val="00111294"/>
    <w:rsid w:val="00115319"/>
    <w:rsid w:val="0012224A"/>
    <w:rsid w:val="001310A9"/>
    <w:rsid w:val="001322CF"/>
    <w:rsid w:val="0013765F"/>
    <w:rsid w:val="0014463A"/>
    <w:rsid w:val="001452C1"/>
    <w:rsid w:val="00145817"/>
    <w:rsid w:val="0015496F"/>
    <w:rsid w:val="001717D5"/>
    <w:rsid w:val="0017795F"/>
    <w:rsid w:val="0018623A"/>
    <w:rsid w:val="001901A3"/>
    <w:rsid w:val="00191235"/>
    <w:rsid w:val="00192FCA"/>
    <w:rsid w:val="001931BC"/>
    <w:rsid w:val="0019678B"/>
    <w:rsid w:val="001B62B0"/>
    <w:rsid w:val="001C172B"/>
    <w:rsid w:val="001C4C0E"/>
    <w:rsid w:val="001D0BC1"/>
    <w:rsid w:val="001E39EB"/>
    <w:rsid w:val="001F5652"/>
    <w:rsid w:val="0020400D"/>
    <w:rsid w:val="00212932"/>
    <w:rsid w:val="00216388"/>
    <w:rsid w:val="00217CED"/>
    <w:rsid w:val="00221095"/>
    <w:rsid w:val="00221F1C"/>
    <w:rsid w:val="00230C20"/>
    <w:rsid w:val="0023354A"/>
    <w:rsid w:val="00234FB1"/>
    <w:rsid w:val="002515BA"/>
    <w:rsid w:val="00252C64"/>
    <w:rsid w:val="00252CC3"/>
    <w:rsid w:val="002533C6"/>
    <w:rsid w:val="002601AD"/>
    <w:rsid w:val="00261607"/>
    <w:rsid w:val="00265A34"/>
    <w:rsid w:val="00265DBB"/>
    <w:rsid w:val="00271136"/>
    <w:rsid w:val="00274337"/>
    <w:rsid w:val="0027670D"/>
    <w:rsid w:val="00281608"/>
    <w:rsid w:val="00286F83"/>
    <w:rsid w:val="00287853"/>
    <w:rsid w:val="00287B3B"/>
    <w:rsid w:val="00294CE5"/>
    <w:rsid w:val="002A5889"/>
    <w:rsid w:val="002A67B6"/>
    <w:rsid w:val="002A6892"/>
    <w:rsid w:val="002A725F"/>
    <w:rsid w:val="002B1358"/>
    <w:rsid w:val="002B46E3"/>
    <w:rsid w:val="002B691B"/>
    <w:rsid w:val="002C0EE6"/>
    <w:rsid w:val="002C2977"/>
    <w:rsid w:val="002C43E9"/>
    <w:rsid w:val="002C4F49"/>
    <w:rsid w:val="002C7505"/>
    <w:rsid w:val="002D71D0"/>
    <w:rsid w:val="002E0FF3"/>
    <w:rsid w:val="002E12C0"/>
    <w:rsid w:val="002E29E3"/>
    <w:rsid w:val="002E3F38"/>
    <w:rsid w:val="002E4A86"/>
    <w:rsid w:val="0030190B"/>
    <w:rsid w:val="00302421"/>
    <w:rsid w:val="003026D5"/>
    <w:rsid w:val="00303DE4"/>
    <w:rsid w:val="00311231"/>
    <w:rsid w:val="003119F7"/>
    <w:rsid w:val="0031364F"/>
    <w:rsid w:val="00326E5D"/>
    <w:rsid w:val="0033781B"/>
    <w:rsid w:val="00343264"/>
    <w:rsid w:val="0034745E"/>
    <w:rsid w:val="00347F9F"/>
    <w:rsid w:val="00355FDB"/>
    <w:rsid w:val="00364F5E"/>
    <w:rsid w:val="00375F62"/>
    <w:rsid w:val="00382946"/>
    <w:rsid w:val="00385CCD"/>
    <w:rsid w:val="003A1A3D"/>
    <w:rsid w:val="003A1E1C"/>
    <w:rsid w:val="003A5702"/>
    <w:rsid w:val="003A6437"/>
    <w:rsid w:val="003A71B6"/>
    <w:rsid w:val="003C17E6"/>
    <w:rsid w:val="003C3314"/>
    <w:rsid w:val="003D2F29"/>
    <w:rsid w:val="003E6214"/>
    <w:rsid w:val="003E7C34"/>
    <w:rsid w:val="00400234"/>
    <w:rsid w:val="0040224D"/>
    <w:rsid w:val="00421D55"/>
    <w:rsid w:val="004337EF"/>
    <w:rsid w:val="00434DAB"/>
    <w:rsid w:val="00435CD0"/>
    <w:rsid w:val="00443114"/>
    <w:rsid w:val="004439ED"/>
    <w:rsid w:val="0045425C"/>
    <w:rsid w:val="00454992"/>
    <w:rsid w:val="00461BAF"/>
    <w:rsid w:val="00463CDD"/>
    <w:rsid w:val="00467016"/>
    <w:rsid w:val="00474A1C"/>
    <w:rsid w:val="00480A88"/>
    <w:rsid w:val="00482D61"/>
    <w:rsid w:val="004848AC"/>
    <w:rsid w:val="00486640"/>
    <w:rsid w:val="00495398"/>
    <w:rsid w:val="00495BE6"/>
    <w:rsid w:val="00495EAE"/>
    <w:rsid w:val="00496534"/>
    <w:rsid w:val="0049732D"/>
    <w:rsid w:val="004A0593"/>
    <w:rsid w:val="004A2770"/>
    <w:rsid w:val="004A4539"/>
    <w:rsid w:val="004A49EA"/>
    <w:rsid w:val="004A59C2"/>
    <w:rsid w:val="004B03FD"/>
    <w:rsid w:val="004B0B6A"/>
    <w:rsid w:val="004B5F6B"/>
    <w:rsid w:val="004B731B"/>
    <w:rsid w:val="004C085C"/>
    <w:rsid w:val="004C2CAD"/>
    <w:rsid w:val="004C6D6D"/>
    <w:rsid w:val="004D0B9B"/>
    <w:rsid w:val="004D34E7"/>
    <w:rsid w:val="004D55B5"/>
    <w:rsid w:val="004E3477"/>
    <w:rsid w:val="004E7BA1"/>
    <w:rsid w:val="004F4370"/>
    <w:rsid w:val="0050272C"/>
    <w:rsid w:val="0050529A"/>
    <w:rsid w:val="00516F67"/>
    <w:rsid w:val="00520DBF"/>
    <w:rsid w:val="00525CDE"/>
    <w:rsid w:val="00551E36"/>
    <w:rsid w:val="00555B17"/>
    <w:rsid w:val="00562F70"/>
    <w:rsid w:val="00583C1C"/>
    <w:rsid w:val="00586B65"/>
    <w:rsid w:val="00587C4F"/>
    <w:rsid w:val="00595271"/>
    <w:rsid w:val="005A6220"/>
    <w:rsid w:val="005B1029"/>
    <w:rsid w:val="005B26A4"/>
    <w:rsid w:val="005B5086"/>
    <w:rsid w:val="005B5FE2"/>
    <w:rsid w:val="005B6380"/>
    <w:rsid w:val="005C4AAA"/>
    <w:rsid w:val="005C6A8B"/>
    <w:rsid w:val="005D0EB5"/>
    <w:rsid w:val="005E4B34"/>
    <w:rsid w:val="005F3161"/>
    <w:rsid w:val="005F7B10"/>
    <w:rsid w:val="00603261"/>
    <w:rsid w:val="00604460"/>
    <w:rsid w:val="00625027"/>
    <w:rsid w:val="006323FC"/>
    <w:rsid w:val="00637EF2"/>
    <w:rsid w:val="0064168D"/>
    <w:rsid w:val="0064608C"/>
    <w:rsid w:val="00646113"/>
    <w:rsid w:val="006478C4"/>
    <w:rsid w:val="006534F2"/>
    <w:rsid w:val="00657441"/>
    <w:rsid w:val="00660076"/>
    <w:rsid w:val="006632E8"/>
    <w:rsid w:val="0066399E"/>
    <w:rsid w:val="00680ACA"/>
    <w:rsid w:val="00681D69"/>
    <w:rsid w:val="0069312C"/>
    <w:rsid w:val="00697E74"/>
    <w:rsid w:val="006A0490"/>
    <w:rsid w:val="006A140E"/>
    <w:rsid w:val="006B084C"/>
    <w:rsid w:val="006B2104"/>
    <w:rsid w:val="006B3350"/>
    <w:rsid w:val="006B387E"/>
    <w:rsid w:val="006B4A3B"/>
    <w:rsid w:val="006C3006"/>
    <w:rsid w:val="006C4225"/>
    <w:rsid w:val="006C78CF"/>
    <w:rsid w:val="006C799F"/>
    <w:rsid w:val="006D1BA6"/>
    <w:rsid w:val="006E1005"/>
    <w:rsid w:val="006E37EA"/>
    <w:rsid w:val="006E6B3B"/>
    <w:rsid w:val="006F0A30"/>
    <w:rsid w:val="006F1059"/>
    <w:rsid w:val="006F49B1"/>
    <w:rsid w:val="006F54EC"/>
    <w:rsid w:val="00700004"/>
    <w:rsid w:val="0070226E"/>
    <w:rsid w:val="007220F0"/>
    <w:rsid w:val="00726BAE"/>
    <w:rsid w:val="007271C8"/>
    <w:rsid w:val="007341A3"/>
    <w:rsid w:val="0073541F"/>
    <w:rsid w:val="007538B1"/>
    <w:rsid w:val="00755AB2"/>
    <w:rsid w:val="007603D1"/>
    <w:rsid w:val="0076463C"/>
    <w:rsid w:val="00765CB8"/>
    <w:rsid w:val="00766155"/>
    <w:rsid w:val="00773E00"/>
    <w:rsid w:val="007751E8"/>
    <w:rsid w:val="007775DB"/>
    <w:rsid w:val="00785EB6"/>
    <w:rsid w:val="007870F8"/>
    <w:rsid w:val="007907BD"/>
    <w:rsid w:val="0079150D"/>
    <w:rsid w:val="00792761"/>
    <w:rsid w:val="00792B31"/>
    <w:rsid w:val="00793C40"/>
    <w:rsid w:val="007941D3"/>
    <w:rsid w:val="00795C70"/>
    <w:rsid w:val="007A6011"/>
    <w:rsid w:val="007B2A56"/>
    <w:rsid w:val="007B79AC"/>
    <w:rsid w:val="007C1AAE"/>
    <w:rsid w:val="007C2543"/>
    <w:rsid w:val="007C4F15"/>
    <w:rsid w:val="007D538E"/>
    <w:rsid w:val="007D6BCB"/>
    <w:rsid w:val="007D7CBC"/>
    <w:rsid w:val="007F2782"/>
    <w:rsid w:val="007F505B"/>
    <w:rsid w:val="007F596D"/>
    <w:rsid w:val="00801A44"/>
    <w:rsid w:val="008025BA"/>
    <w:rsid w:val="00806581"/>
    <w:rsid w:val="00810B95"/>
    <w:rsid w:val="00815C72"/>
    <w:rsid w:val="00821AF9"/>
    <w:rsid w:val="00823FB8"/>
    <w:rsid w:val="008253C9"/>
    <w:rsid w:val="00830D64"/>
    <w:rsid w:val="00834FB8"/>
    <w:rsid w:val="00835DB2"/>
    <w:rsid w:val="00840DB7"/>
    <w:rsid w:val="008557A9"/>
    <w:rsid w:val="00861EAB"/>
    <w:rsid w:val="00872234"/>
    <w:rsid w:val="008722B1"/>
    <w:rsid w:val="0087589D"/>
    <w:rsid w:val="00877AFA"/>
    <w:rsid w:val="0088274F"/>
    <w:rsid w:val="00886E85"/>
    <w:rsid w:val="00895CC7"/>
    <w:rsid w:val="00896370"/>
    <w:rsid w:val="008A267F"/>
    <w:rsid w:val="008A2AD6"/>
    <w:rsid w:val="008B2365"/>
    <w:rsid w:val="008B74DC"/>
    <w:rsid w:val="008C79E8"/>
    <w:rsid w:val="008D192B"/>
    <w:rsid w:val="008D528C"/>
    <w:rsid w:val="008D6A30"/>
    <w:rsid w:val="008E46BF"/>
    <w:rsid w:val="008E759D"/>
    <w:rsid w:val="008F1279"/>
    <w:rsid w:val="008F53BB"/>
    <w:rsid w:val="00904CC5"/>
    <w:rsid w:val="00911708"/>
    <w:rsid w:val="00911A56"/>
    <w:rsid w:val="009158D8"/>
    <w:rsid w:val="009169CA"/>
    <w:rsid w:val="009213EF"/>
    <w:rsid w:val="00922F44"/>
    <w:rsid w:val="00932431"/>
    <w:rsid w:val="00946881"/>
    <w:rsid w:val="00953335"/>
    <w:rsid w:val="00953744"/>
    <w:rsid w:val="0095614D"/>
    <w:rsid w:val="00957C0A"/>
    <w:rsid w:val="00976F86"/>
    <w:rsid w:val="00980A25"/>
    <w:rsid w:val="00984838"/>
    <w:rsid w:val="0098520A"/>
    <w:rsid w:val="00991001"/>
    <w:rsid w:val="009968D1"/>
    <w:rsid w:val="009A2E58"/>
    <w:rsid w:val="009A4037"/>
    <w:rsid w:val="009A40FD"/>
    <w:rsid w:val="009A6684"/>
    <w:rsid w:val="009B585C"/>
    <w:rsid w:val="009B766F"/>
    <w:rsid w:val="009C3A93"/>
    <w:rsid w:val="009E5AD7"/>
    <w:rsid w:val="009E779A"/>
    <w:rsid w:val="009F2271"/>
    <w:rsid w:val="009F41D9"/>
    <w:rsid w:val="00A035BE"/>
    <w:rsid w:val="00A071EE"/>
    <w:rsid w:val="00A1118C"/>
    <w:rsid w:val="00A2010C"/>
    <w:rsid w:val="00A37B29"/>
    <w:rsid w:val="00A4416C"/>
    <w:rsid w:val="00A54C98"/>
    <w:rsid w:val="00A5709A"/>
    <w:rsid w:val="00A661AB"/>
    <w:rsid w:val="00A66A91"/>
    <w:rsid w:val="00A67820"/>
    <w:rsid w:val="00A67C05"/>
    <w:rsid w:val="00A722DF"/>
    <w:rsid w:val="00A724A2"/>
    <w:rsid w:val="00A7679B"/>
    <w:rsid w:val="00A9035D"/>
    <w:rsid w:val="00A97918"/>
    <w:rsid w:val="00AA3107"/>
    <w:rsid w:val="00AA35D0"/>
    <w:rsid w:val="00AB2F02"/>
    <w:rsid w:val="00AB7B1C"/>
    <w:rsid w:val="00AD2A4F"/>
    <w:rsid w:val="00AD5CC5"/>
    <w:rsid w:val="00AD61C6"/>
    <w:rsid w:val="00AD68D8"/>
    <w:rsid w:val="00AE15EE"/>
    <w:rsid w:val="00AE1985"/>
    <w:rsid w:val="00AE78CA"/>
    <w:rsid w:val="00AF152A"/>
    <w:rsid w:val="00B0420C"/>
    <w:rsid w:val="00B07D8E"/>
    <w:rsid w:val="00B1078B"/>
    <w:rsid w:val="00B12C33"/>
    <w:rsid w:val="00B150D8"/>
    <w:rsid w:val="00B15ABC"/>
    <w:rsid w:val="00B16C14"/>
    <w:rsid w:val="00B211D1"/>
    <w:rsid w:val="00B213A6"/>
    <w:rsid w:val="00B274D8"/>
    <w:rsid w:val="00B27C5A"/>
    <w:rsid w:val="00B358B5"/>
    <w:rsid w:val="00B43C6C"/>
    <w:rsid w:val="00B46685"/>
    <w:rsid w:val="00B524AB"/>
    <w:rsid w:val="00B54D87"/>
    <w:rsid w:val="00B5574D"/>
    <w:rsid w:val="00B63831"/>
    <w:rsid w:val="00B66FA5"/>
    <w:rsid w:val="00B77EB5"/>
    <w:rsid w:val="00B8510D"/>
    <w:rsid w:val="00B875BE"/>
    <w:rsid w:val="00B9018D"/>
    <w:rsid w:val="00B91CE4"/>
    <w:rsid w:val="00B9265C"/>
    <w:rsid w:val="00BA3000"/>
    <w:rsid w:val="00BB3F29"/>
    <w:rsid w:val="00BC204A"/>
    <w:rsid w:val="00BC229A"/>
    <w:rsid w:val="00BC2525"/>
    <w:rsid w:val="00BD1195"/>
    <w:rsid w:val="00BF10AB"/>
    <w:rsid w:val="00BF2434"/>
    <w:rsid w:val="00C00C7A"/>
    <w:rsid w:val="00C05B12"/>
    <w:rsid w:val="00C2300E"/>
    <w:rsid w:val="00C239E8"/>
    <w:rsid w:val="00C43296"/>
    <w:rsid w:val="00C433DF"/>
    <w:rsid w:val="00C50DE3"/>
    <w:rsid w:val="00C531BE"/>
    <w:rsid w:val="00C60FB3"/>
    <w:rsid w:val="00C6286F"/>
    <w:rsid w:val="00C72D72"/>
    <w:rsid w:val="00C7716A"/>
    <w:rsid w:val="00C77CCC"/>
    <w:rsid w:val="00C84200"/>
    <w:rsid w:val="00C9057B"/>
    <w:rsid w:val="00C90DD4"/>
    <w:rsid w:val="00C9474B"/>
    <w:rsid w:val="00C94D52"/>
    <w:rsid w:val="00C9580E"/>
    <w:rsid w:val="00CA040F"/>
    <w:rsid w:val="00CA2CCA"/>
    <w:rsid w:val="00CA5B55"/>
    <w:rsid w:val="00CB6706"/>
    <w:rsid w:val="00CB6CCD"/>
    <w:rsid w:val="00CC7886"/>
    <w:rsid w:val="00CD2CBB"/>
    <w:rsid w:val="00CD6983"/>
    <w:rsid w:val="00CE4675"/>
    <w:rsid w:val="00CE658B"/>
    <w:rsid w:val="00CF0DD6"/>
    <w:rsid w:val="00CF48C2"/>
    <w:rsid w:val="00CF5E94"/>
    <w:rsid w:val="00D0080C"/>
    <w:rsid w:val="00D0139D"/>
    <w:rsid w:val="00D0745B"/>
    <w:rsid w:val="00D12234"/>
    <w:rsid w:val="00D154E6"/>
    <w:rsid w:val="00D159D5"/>
    <w:rsid w:val="00D220C1"/>
    <w:rsid w:val="00D22DEF"/>
    <w:rsid w:val="00D232B3"/>
    <w:rsid w:val="00D30E64"/>
    <w:rsid w:val="00D32E2B"/>
    <w:rsid w:val="00D34AE1"/>
    <w:rsid w:val="00D41A16"/>
    <w:rsid w:val="00D46093"/>
    <w:rsid w:val="00D460AF"/>
    <w:rsid w:val="00D54AA7"/>
    <w:rsid w:val="00D64467"/>
    <w:rsid w:val="00D66BE0"/>
    <w:rsid w:val="00D700DA"/>
    <w:rsid w:val="00D73F81"/>
    <w:rsid w:val="00D74A78"/>
    <w:rsid w:val="00D763CC"/>
    <w:rsid w:val="00D77D2A"/>
    <w:rsid w:val="00D97B56"/>
    <w:rsid w:val="00DA370F"/>
    <w:rsid w:val="00DA7D57"/>
    <w:rsid w:val="00DB26EB"/>
    <w:rsid w:val="00DB4E74"/>
    <w:rsid w:val="00DB5587"/>
    <w:rsid w:val="00DC1A81"/>
    <w:rsid w:val="00DC40B5"/>
    <w:rsid w:val="00DD04C9"/>
    <w:rsid w:val="00DE20BD"/>
    <w:rsid w:val="00DF16C7"/>
    <w:rsid w:val="00DF526E"/>
    <w:rsid w:val="00E01AA5"/>
    <w:rsid w:val="00E02225"/>
    <w:rsid w:val="00E03630"/>
    <w:rsid w:val="00E03CB5"/>
    <w:rsid w:val="00E051BC"/>
    <w:rsid w:val="00E059A0"/>
    <w:rsid w:val="00E05B97"/>
    <w:rsid w:val="00E10098"/>
    <w:rsid w:val="00E15A29"/>
    <w:rsid w:val="00E163F9"/>
    <w:rsid w:val="00E21ED1"/>
    <w:rsid w:val="00E221BA"/>
    <w:rsid w:val="00E23D8D"/>
    <w:rsid w:val="00E24298"/>
    <w:rsid w:val="00E309F3"/>
    <w:rsid w:val="00E465C5"/>
    <w:rsid w:val="00E47AC3"/>
    <w:rsid w:val="00E53B92"/>
    <w:rsid w:val="00E57696"/>
    <w:rsid w:val="00E6059F"/>
    <w:rsid w:val="00E607E3"/>
    <w:rsid w:val="00E6383D"/>
    <w:rsid w:val="00E65E50"/>
    <w:rsid w:val="00E67F9B"/>
    <w:rsid w:val="00E71D21"/>
    <w:rsid w:val="00E75F7B"/>
    <w:rsid w:val="00E7635F"/>
    <w:rsid w:val="00E8380D"/>
    <w:rsid w:val="00E84C32"/>
    <w:rsid w:val="00E86589"/>
    <w:rsid w:val="00E91FAA"/>
    <w:rsid w:val="00E94408"/>
    <w:rsid w:val="00E95BC6"/>
    <w:rsid w:val="00EB663C"/>
    <w:rsid w:val="00EC37F2"/>
    <w:rsid w:val="00EC3ECB"/>
    <w:rsid w:val="00EC593A"/>
    <w:rsid w:val="00EC6ABF"/>
    <w:rsid w:val="00ED0A89"/>
    <w:rsid w:val="00ED1073"/>
    <w:rsid w:val="00ED27DF"/>
    <w:rsid w:val="00ED28D0"/>
    <w:rsid w:val="00EE462F"/>
    <w:rsid w:val="00EF4F1E"/>
    <w:rsid w:val="00EF76FD"/>
    <w:rsid w:val="00F009FC"/>
    <w:rsid w:val="00F04E3C"/>
    <w:rsid w:val="00F11B5F"/>
    <w:rsid w:val="00F11DFD"/>
    <w:rsid w:val="00F1574D"/>
    <w:rsid w:val="00F20A1B"/>
    <w:rsid w:val="00F24952"/>
    <w:rsid w:val="00F24D2F"/>
    <w:rsid w:val="00F46E41"/>
    <w:rsid w:val="00F51BA5"/>
    <w:rsid w:val="00F53D4C"/>
    <w:rsid w:val="00F63ADE"/>
    <w:rsid w:val="00F66C0E"/>
    <w:rsid w:val="00F67970"/>
    <w:rsid w:val="00F747B9"/>
    <w:rsid w:val="00F76BD2"/>
    <w:rsid w:val="00F83FE5"/>
    <w:rsid w:val="00F9074F"/>
    <w:rsid w:val="00F929A3"/>
    <w:rsid w:val="00F966D7"/>
    <w:rsid w:val="00FB0503"/>
    <w:rsid w:val="00FB1B13"/>
    <w:rsid w:val="00FB3887"/>
    <w:rsid w:val="00FC0823"/>
    <w:rsid w:val="00FC1691"/>
    <w:rsid w:val="00FC4721"/>
    <w:rsid w:val="00FC50A7"/>
    <w:rsid w:val="00FC767D"/>
    <w:rsid w:val="00FD13A6"/>
    <w:rsid w:val="00FD3E70"/>
    <w:rsid w:val="00FD5183"/>
    <w:rsid w:val="00FE394F"/>
    <w:rsid w:val="00FE5FC0"/>
    <w:rsid w:val="00FF5FA8"/>
    <w:rsid w:val="00FF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87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34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34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4E7"/>
    <w:pPr>
      <w:ind w:left="720"/>
      <w:contextualSpacing/>
    </w:pPr>
  </w:style>
  <w:style w:type="character" w:styleId="CommentReference">
    <w:name w:val="annotation reference"/>
    <w:basedOn w:val="DefaultParagraphFont"/>
    <w:uiPriority w:val="99"/>
    <w:semiHidden/>
    <w:unhideWhenUsed/>
    <w:rsid w:val="00D763CC"/>
    <w:rPr>
      <w:sz w:val="16"/>
      <w:szCs w:val="16"/>
    </w:rPr>
  </w:style>
  <w:style w:type="paragraph" w:styleId="CommentText">
    <w:name w:val="annotation text"/>
    <w:basedOn w:val="Normal"/>
    <w:link w:val="CommentTextChar"/>
    <w:uiPriority w:val="99"/>
    <w:semiHidden/>
    <w:unhideWhenUsed/>
    <w:rsid w:val="00D763CC"/>
    <w:pPr>
      <w:spacing w:line="240" w:lineRule="auto"/>
    </w:pPr>
    <w:rPr>
      <w:sz w:val="20"/>
      <w:szCs w:val="20"/>
    </w:rPr>
  </w:style>
  <w:style w:type="character" w:customStyle="1" w:styleId="CommentTextChar">
    <w:name w:val="Comment Text Char"/>
    <w:basedOn w:val="DefaultParagraphFont"/>
    <w:link w:val="CommentText"/>
    <w:uiPriority w:val="99"/>
    <w:semiHidden/>
    <w:rsid w:val="00D763CC"/>
    <w:rPr>
      <w:sz w:val="20"/>
      <w:szCs w:val="20"/>
    </w:rPr>
  </w:style>
  <w:style w:type="paragraph" w:styleId="CommentSubject">
    <w:name w:val="annotation subject"/>
    <w:basedOn w:val="CommentText"/>
    <w:next w:val="CommentText"/>
    <w:link w:val="CommentSubjectChar"/>
    <w:uiPriority w:val="99"/>
    <w:semiHidden/>
    <w:unhideWhenUsed/>
    <w:rsid w:val="00D763CC"/>
    <w:rPr>
      <w:b/>
      <w:bCs/>
    </w:rPr>
  </w:style>
  <w:style w:type="character" w:customStyle="1" w:styleId="CommentSubjectChar">
    <w:name w:val="Comment Subject Char"/>
    <w:basedOn w:val="CommentTextChar"/>
    <w:link w:val="CommentSubject"/>
    <w:uiPriority w:val="99"/>
    <w:semiHidden/>
    <w:rsid w:val="00D763CC"/>
    <w:rPr>
      <w:b/>
      <w:bCs/>
      <w:sz w:val="20"/>
      <w:szCs w:val="20"/>
    </w:rPr>
  </w:style>
  <w:style w:type="paragraph" w:styleId="BalloonText">
    <w:name w:val="Balloon Text"/>
    <w:basedOn w:val="Normal"/>
    <w:link w:val="BalloonTextChar"/>
    <w:uiPriority w:val="99"/>
    <w:semiHidden/>
    <w:unhideWhenUsed/>
    <w:rsid w:val="00D76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3CC"/>
    <w:rPr>
      <w:rFonts w:ascii="Segoe UI" w:hAnsi="Segoe UI" w:cs="Segoe UI"/>
      <w:sz w:val="18"/>
      <w:szCs w:val="18"/>
    </w:rPr>
  </w:style>
  <w:style w:type="paragraph" w:styleId="BodyText2">
    <w:name w:val="Body Text 2"/>
    <w:basedOn w:val="Normal"/>
    <w:link w:val="BodyText2Char"/>
    <w:rsid w:val="00C43296"/>
    <w:pPr>
      <w:spacing w:after="0" w:line="240" w:lineRule="auto"/>
      <w:jc w:val="both"/>
    </w:pPr>
    <w:rPr>
      <w:rFonts w:ascii="Arial" w:eastAsia="Times New Roman" w:hAnsi="Arial" w:cs="Arial"/>
      <w:sz w:val="24"/>
      <w:szCs w:val="20"/>
    </w:rPr>
  </w:style>
  <w:style w:type="character" w:customStyle="1" w:styleId="BodyText2Char">
    <w:name w:val="Body Text 2 Char"/>
    <w:basedOn w:val="DefaultParagraphFont"/>
    <w:link w:val="BodyText2"/>
    <w:rsid w:val="00C43296"/>
    <w:rPr>
      <w:rFonts w:ascii="Arial" w:eastAsia="Times New Roman" w:hAnsi="Arial" w:cs="Arial"/>
      <w:sz w:val="24"/>
      <w:szCs w:val="20"/>
    </w:rPr>
  </w:style>
  <w:style w:type="paragraph" w:styleId="EndnoteText">
    <w:name w:val="endnote text"/>
    <w:basedOn w:val="Normal"/>
    <w:link w:val="EndnoteTextChar"/>
    <w:uiPriority w:val="99"/>
    <w:unhideWhenUsed/>
    <w:rsid w:val="008A2AD6"/>
    <w:pPr>
      <w:spacing w:after="0" w:line="240" w:lineRule="auto"/>
    </w:pPr>
    <w:rPr>
      <w:sz w:val="20"/>
      <w:szCs w:val="20"/>
    </w:rPr>
  </w:style>
  <w:style w:type="character" w:customStyle="1" w:styleId="EndnoteTextChar">
    <w:name w:val="Endnote Text Char"/>
    <w:basedOn w:val="DefaultParagraphFont"/>
    <w:link w:val="EndnoteText"/>
    <w:uiPriority w:val="99"/>
    <w:rsid w:val="008A2AD6"/>
    <w:rPr>
      <w:sz w:val="20"/>
      <w:szCs w:val="20"/>
    </w:rPr>
  </w:style>
  <w:style w:type="character" w:styleId="EndnoteReference">
    <w:name w:val="endnote reference"/>
    <w:basedOn w:val="DefaultParagraphFont"/>
    <w:uiPriority w:val="99"/>
    <w:semiHidden/>
    <w:unhideWhenUsed/>
    <w:rsid w:val="008A2AD6"/>
    <w:rPr>
      <w:vertAlign w:val="superscript"/>
    </w:rPr>
  </w:style>
  <w:style w:type="paragraph" w:styleId="FootnoteText">
    <w:name w:val="footnote text"/>
    <w:basedOn w:val="Normal"/>
    <w:link w:val="FootnoteTextChar"/>
    <w:uiPriority w:val="99"/>
    <w:unhideWhenUsed/>
    <w:rsid w:val="000618D2"/>
    <w:pPr>
      <w:spacing w:after="0" w:line="240" w:lineRule="auto"/>
    </w:pPr>
    <w:rPr>
      <w:sz w:val="20"/>
      <w:szCs w:val="20"/>
    </w:rPr>
  </w:style>
  <w:style w:type="character" w:customStyle="1" w:styleId="FootnoteTextChar">
    <w:name w:val="Footnote Text Char"/>
    <w:basedOn w:val="DefaultParagraphFont"/>
    <w:link w:val="FootnoteText"/>
    <w:uiPriority w:val="99"/>
    <w:rsid w:val="000618D2"/>
    <w:rPr>
      <w:sz w:val="20"/>
      <w:szCs w:val="20"/>
    </w:rPr>
  </w:style>
  <w:style w:type="character" w:styleId="FootnoteReference">
    <w:name w:val="footnote reference"/>
    <w:basedOn w:val="DefaultParagraphFont"/>
    <w:uiPriority w:val="99"/>
    <w:semiHidden/>
    <w:unhideWhenUsed/>
    <w:rsid w:val="000618D2"/>
    <w:rPr>
      <w:vertAlign w:val="superscript"/>
    </w:rPr>
  </w:style>
  <w:style w:type="table" w:styleId="TableGrid">
    <w:name w:val="Table Grid"/>
    <w:basedOn w:val="TableNormal"/>
    <w:uiPriority w:val="39"/>
    <w:rsid w:val="00637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085C"/>
    <w:rPr>
      <w:color w:val="0563C1" w:themeColor="hyperlink"/>
      <w:u w:val="single"/>
    </w:rPr>
  </w:style>
  <w:style w:type="paragraph" w:customStyle="1" w:styleId="Default">
    <w:name w:val="Default"/>
    <w:rsid w:val="008025B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0C600B"/>
    <w:pPr>
      <w:spacing w:after="0" w:line="240" w:lineRule="auto"/>
    </w:pPr>
  </w:style>
  <w:style w:type="paragraph" w:styleId="Header">
    <w:name w:val="header"/>
    <w:basedOn w:val="Normal"/>
    <w:link w:val="HeaderChar"/>
    <w:uiPriority w:val="99"/>
    <w:unhideWhenUsed/>
    <w:rsid w:val="000C6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00B"/>
  </w:style>
  <w:style w:type="paragraph" w:styleId="Footer">
    <w:name w:val="footer"/>
    <w:basedOn w:val="Normal"/>
    <w:link w:val="FooterChar"/>
    <w:uiPriority w:val="99"/>
    <w:unhideWhenUsed/>
    <w:rsid w:val="000C6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00B"/>
  </w:style>
  <w:style w:type="character" w:styleId="FollowedHyperlink">
    <w:name w:val="FollowedHyperlink"/>
    <w:basedOn w:val="DefaultParagraphFont"/>
    <w:uiPriority w:val="99"/>
    <w:semiHidden/>
    <w:unhideWhenUsed/>
    <w:rsid w:val="00FE5FC0"/>
    <w:rPr>
      <w:color w:val="954F72" w:themeColor="followedHyperlink"/>
      <w:u w:val="single"/>
    </w:rPr>
  </w:style>
  <w:style w:type="paragraph" w:styleId="Revision">
    <w:name w:val="Revision"/>
    <w:hidden/>
    <w:uiPriority w:val="99"/>
    <w:semiHidden/>
    <w:rsid w:val="00FE5FC0"/>
    <w:pPr>
      <w:spacing w:after="0" w:line="240" w:lineRule="auto"/>
    </w:pPr>
  </w:style>
  <w:style w:type="character" w:customStyle="1" w:styleId="Heading1Char">
    <w:name w:val="Heading 1 Char"/>
    <w:basedOn w:val="DefaultParagraphFont"/>
    <w:link w:val="Heading1"/>
    <w:uiPriority w:val="9"/>
    <w:rsid w:val="006534F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534F2"/>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6534F2"/>
    <w:pPr>
      <w:outlineLvl w:val="9"/>
    </w:pPr>
  </w:style>
  <w:style w:type="paragraph" w:styleId="TOC1">
    <w:name w:val="toc 1"/>
    <w:basedOn w:val="Normal"/>
    <w:next w:val="Normal"/>
    <w:autoRedefine/>
    <w:uiPriority w:val="39"/>
    <w:unhideWhenUsed/>
    <w:rsid w:val="006534F2"/>
    <w:pPr>
      <w:tabs>
        <w:tab w:val="left" w:pos="440"/>
        <w:tab w:val="right" w:leader="dot" w:pos="9350"/>
      </w:tabs>
      <w:spacing w:after="100"/>
      <w:ind w:left="90"/>
    </w:pPr>
  </w:style>
  <w:style w:type="paragraph" w:styleId="TOC2">
    <w:name w:val="toc 2"/>
    <w:basedOn w:val="Normal"/>
    <w:next w:val="Normal"/>
    <w:autoRedefine/>
    <w:uiPriority w:val="39"/>
    <w:unhideWhenUsed/>
    <w:rsid w:val="006534F2"/>
    <w:pPr>
      <w:spacing w:after="100"/>
      <w:ind w:left="220"/>
    </w:pPr>
  </w:style>
  <w:style w:type="paragraph" w:styleId="BodyText">
    <w:name w:val="Body Text"/>
    <w:basedOn w:val="Normal"/>
    <w:link w:val="BodyTextChar"/>
    <w:uiPriority w:val="99"/>
    <w:semiHidden/>
    <w:unhideWhenUsed/>
    <w:rsid w:val="00586B65"/>
    <w:pPr>
      <w:spacing w:after="120"/>
    </w:pPr>
  </w:style>
  <w:style w:type="character" w:customStyle="1" w:styleId="BodyTextChar">
    <w:name w:val="Body Text Char"/>
    <w:basedOn w:val="DefaultParagraphFont"/>
    <w:link w:val="BodyText"/>
    <w:uiPriority w:val="99"/>
    <w:semiHidden/>
    <w:rsid w:val="00586B65"/>
  </w:style>
  <w:style w:type="character" w:customStyle="1" w:styleId="NORCCaption-Color">
    <w:name w:val="NORC Caption - Color"/>
    <w:qFormat/>
    <w:rsid w:val="003119F7"/>
    <w:rPr>
      <w:rFonts w:ascii="Arial" w:hAnsi="Arial"/>
      <w:b/>
      <w:color w:val="8AB3A4"/>
      <w:sz w:val="22"/>
    </w:rPr>
  </w:style>
  <w:style w:type="paragraph" w:styleId="NormalWeb">
    <w:name w:val="Normal (Web)"/>
    <w:basedOn w:val="Normal"/>
    <w:uiPriority w:val="99"/>
    <w:unhideWhenUsed/>
    <w:rsid w:val="001C4C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00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34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34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4E7"/>
    <w:pPr>
      <w:ind w:left="720"/>
      <w:contextualSpacing/>
    </w:pPr>
  </w:style>
  <w:style w:type="character" w:styleId="CommentReference">
    <w:name w:val="annotation reference"/>
    <w:basedOn w:val="DefaultParagraphFont"/>
    <w:uiPriority w:val="99"/>
    <w:semiHidden/>
    <w:unhideWhenUsed/>
    <w:rsid w:val="00D763CC"/>
    <w:rPr>
      <w:sz w:val="16"/>
      <w:szCs w:val="16"/>
    </w:rPr>
  </w:style>
  <w:style w:type="paragraph" w:styleId="CommentText">
    <w:name w:val="annotation text"/>
    <w:basedOn w:val="Normal"/>
    <w:link w:val="CommentTextChar"/>
    <w:uiPriority w:val="99"/>
    <w:semiHidden/>
    <w:unhideWhenUsed/>
    <w:rsid w:val="00D763CC"/>
    <w:pPr>
      <w:spacing w:line="240" w:lineRule="auto"/>
    </w:pPr>
    <w:rPr>
      <w:sz w:val="20"/>
      <w:szCs w:val="20"/>
    </w:rPr>
  </w:style>
  <w:style w:type="character" w:customStyle="1" w:styleId="CommentTextChar">
    <w:name w:val="Comment Text Char"/>
    <w:basedOn w:val="DefaultParagraphFont"/>
    <w:link w:val="CommentText"/>
    <w:uiPriority w:val="99"/>
    <w:semiHidden/>
    <w:rsid w:val="00D763CC"/>
    <w:rPr>
      <w:sz w:val="20"/>
      <w:szCs w:val="20"/>
    </w:rPr>
  </w:style>
  <w:style w:type="paragraph" w:styleId="CommentSubject">
    <w:name w:val="annotation subject"/>
    <w:basedOn w:val="CommentText"/>
    <w:next w:val="CommentText"/>
    <w:link w:val="CommentSubjectChar"/>
    <w:uiPriority w:val="99"/>
    <w:semiHidden/>
    <w:unhideWhenUsed/>
    <w:rsid w:val="00D763CC"/>
    <w:rPr>
      <w:b/>
      <w:bCs/>
    </w:rPr>
  </w:style>
  <w:style w:type="character" w:customStyle="1" w:styleId="CommentSubjectChar">
    <w:name w:val="Comment Subject Char"/>
    <w:basedOn w:val="CommentTextChar"/>
    <w:link w:val="CommentSubject"/>
    <w:uiPriority w:val="99"/>
    <w:semiHidden/>
    <w:rsid w:val="00D763CC"/>
    <w:rPr>
      <w:b/>
      <w:bCs/>
      <w:sz w:val="20"/>
      <w:szCs w:val="20"/>
    </w:rPr>
  </w:style>
  <w:style w:type="paragraph" w:styleId="BalloonText">
    <w:name w:val="Balloon Text"/>
    <w:basedOn w:val="Normal"/>
    <w:link w:val="BalloonTextChar"/>
    <w:uiPriority w:val="99"/>
    <w:semiHidden/>
    <w:unhideWhenUsed/>
    <w:rsid w:val="00D76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3CC"/>
    <w:rPr>
      <w:rFonts w:ascii="Segoe UI" w:hAnsi="Segoe UI" w:cs="Segoe UI"/>
      <w:sz w:val="18"/>
      <w:szCs w:val="18"/>
    </w:rPr>
  </w:style>
  <w:style w:type="paragraph" w:styleId="BodyText2">
    <w:name w:val="Body Text 2"/>
    <w:basedOn w:val="Normal"/>
    <w:link w:val="BodyText2Char"/>
    <w:rsid w:val="00C43296"/>
    <w:pPr>
      <w:spacing w:after="0" w:line="240" w:lineRule="auto"/>
      <w:jc w:val="both"/>
    </w:pPr>
    <w:rPr>
      <w:rFonts w:ascii="Arial" w:eastAsia="Times New Roman" w:hAnsi="Arial" w:cs="Arial"/>
      <w:sz w:val="24"/>
      <w:szCs w:val="20"/>
    </w:rPr>
  </w:style>
  <w:style w:type="character" w:customStyle="1" w:styleId="BodyText2Char">
    <w:name w:val="Body Text 2 Char"/>
    <w:basedOn w:val="DefaultParagraphFont"/>
    <w:link w:val="BodyText2"/>
    <w:rsid w:val="00C43296"/>
    <w:rPr>
      <w:rFonts w:ascii="Arial" w:eastAsia="Times New Roman" w:hAnsi="Arial" w:cs="Arial"/>
      <w:sz w:val="24"/>
      <w:szCs w:val="20"/>
    </w:rPr>
  </w:style>
  <w:style w:type="paragraph" w:styleId="EndnoteText">
    <w:name w:val="endnote text"/>
    <w:basedOn w:val="Normal"/>
    <w:link w:val="EndnoteTextChar"/>
    <w:uiPriority w:val="99"/>
    <w:unhideWhenUsed/>
    <w:rsid w:val="008A2AD6"/>
    <w:pPr>
      <w:spacing w:after="0" w:line="240" w:lineRule="auto"/>
    </w:pPr>
    <w:rPr>
      <w:sz w:val="20"/>
      <w:szCs w:val="20"/>
    </w:rPr>
  </w:style>
  <w:style w:type="character" w:customStyle="1" w:styleId="EndnoteTextChar">
    <w:name w:val="Endnote Text Char"/>
    <w:basedOn w:val="DefaultParagraphFont"/>
    <w:link w:val="EndnoteText"/>
    <w:uiPriority w:val="99"/>
    <w:rsid w:val="008A2AD6"/>
    <w:rPr>
      <w:sz w:val="20"/>
      <w:szCs w:val="20"/>
    </w:rPr>
  </w:style>
  <w:style w:type="character" w:styleId="EndnoteReference">
    <w:name w:val="endnote reference"/>
    <w:basedOn w:val="DefaultParagraphFont"/>
    <w:uiPriority w:val="99"/>
    <w:semiHidden/>
    <w:unhideWhenUsed/>
    <w:rsid w:val="008A2AD6"/>
    <w:rPr>
      <w:vertAlign w:val="superscript"/>
    </w:rPr>
  </w:style>
  <w:style w:type="paragraph" w:styleId="FootnoteText">
    <w:name w:val="footnote text"/>
    <w:basedOn w:val="Normal"/>
    <w:link w:val="FootnoteTextChar"/>
    <w:uiPriority w:val="99"/>
    <w:unhideWhenUsed/>
    <w:rsid w:val="000618D2"/>
    <w:pPr>
      <w:spacing w:after="0" w:line="240" w:lineRule="auto"/>
    </w:pPr>
    <w:rPr>
      <w:sz w:val="20"/>
      <w:szCs w:val="20"/>
    </w:rPr>
  </w:style>
  <w:style w:type="character" w:customStyle="1" w:styleId="FootnoteTextChar">
    <w:name w:val="Footnote Text Char"/>
    <w:basedOn w:val="DefaultParagraphFont"/>
    <w:link w:val="FootnoteText"/>
    <w:uiPriority w:val="99"/>
    <w:rsid w:val="000618D2"/>
    <w:rPr>
      <w:sz w:val="20"/>
      <w:szCs w:val="20"/>
    </w:rPr>
  </w:style>
  <w:style w:type="character" w:styleId="FootnoteReference">
    <w:name w:val="footnote reference"/>
    <w:basedOn w:val="DefaultParagraphFont"/>
    <w:uiPriority w:val="99"/>
    <w:semiHidden/>
    <w:unhideWhenUsed/>
    <w:rsid w:val="000618D2"/>
    <w:rPr>
      <w:vertAlign w:val="superscript"/>
    </w:rPr>
  </w:style>
  <w:style w:type="table" w:styleId="TableGrid">
    <w:name w:val="Table Grid"/>
    <w:basedOn w:val="TableNormal"/>
    <w:uiPriority w:val="39"/>
    <w:rsid w:val="00637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085C"/>
    <w:rPr>
      <w:color w:val="0563C1" w:themeColor="hyperlink"/>
      <w:u w:val="single"/>
    </w:rPr>
  </w:style>
  <w:style w:type="paragraph" w:customStyle="1" w:styleId="Default">
    <w:name w:val="Default"/>
    <w:rsid w:val="008025B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0C600B"/>
    <w:pPr>
      <w:spacing w:after="0" w:line="240" w:lineRule="auto"/>
    </w:pPr>
  </w:style>
  <w:style w:type="paragraph" w:styleId="Header">
    <w:name w:val="header"/>
    <w:basedOn w:val="Normal"/>
    <w:link w:val="HeaderChar"/>
    <w:uiPriority w:val="99"/>
    <w:unhideWhenUsed/>
    <w:rsid w:val="000C6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00B"/>
  </w:style>
  <w:style w:type="paragraph" w:styleId="Footer">
    <w:name w:val="footer"/>
    <w:basedOn w:val="Normal"/>
    <w:link w:val="FooterChar"/>
    <w:uiPriority w:val="99"/>
    <w:unhideWhenUsed/>
    <w:rsid w:val="000C6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00B"/>
  </w:style>
  <w:style w:type="character" w:styleId="FollowedHyperlink">
    <w:name w:val="FollowedHyperlink"/>
    <w:basedOn w:val="DefaultParagraphFont"/>
    <w:uiPriority w:val="99"/>
    <w:semiHidden/>
    <w:unhideWhenUsed/>
    <w:rsid w:val="00FE5FC0"/>
    <w:rPr>
      <w:color w:val="954F72" w:themeColor="followedHyperlink"/>
      <w:u w:val="single"/>
    </w:rPr>
  </w:style>
  <w:style w:type="paragraph" w:styleId="Revision">
    <w:name w:val="Revision"/>
    <w:hidden/>
    <w:uiPriority w:val="99"/>
    <w:semiHidden/>
    <w:rsid w:val="00FE5FC0"/>
    <w:pPr>
      <w:spacing w:after="0" w:line="240" w:lineRule="auto"/>
    </w:pPr>
  </w:style>
  <w:style w:type="character" w:customStyle="1" w:styleId="Heading1Char">
    <w:name w:val="Heading 1 Char"/>
    <w:basedOn w:val="DefaultParagraphFont"/>
    <w:link w:val="Heading1"/>
    <w:uiPriority w:val="9"/>
    <w:rsid w:val="006534F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534F2"/>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6534F2"/>
    <w:pPr>
      <w:outlineLvl w:val="9"/>
    </w:pPr>
  </w:style>
  <w:style w:type="paragraph" w:styleId="TOC1">
    <w:name w:val="toc 1"/>
    <w:basedOn w:val="Normal"/>
    <w:next w:val="Normal"/>
    <w:autoRedefine/>
    <w:uiPriority w:val="39"/>
    <w:unhideWhenUsed/>
    <w:rsid w:val="006534F2"/>
    <w:pPr>
      <w:tabs>
        <w:tab w:val="left" w:pos="440"/>
        <w:tab w:val="right" w:leader="dot" w:pos="9350"/>
      </w:tabs>
      <w:spacing w:after="100"/>
      <w:ind w:left="90"/>
    </w:pPr>
  </w:style>
  <w:style w:type="paragraph" w:styleId="TOC2">
    <w:name w:val="toc 2"/>
    <w:basedOn w:val="Normal"/>
    <w:next w:val="Normal"/>
    <w:autoRedefine/>
    <w:uiPriority w:val="39"/>
    <w:unhideWhenUsed/>
    <w:rsid w:val="006534F2"/>
    <w:pPr>
      <w:spacing w:after="100"/>
      <w:ind w:left="220"/>
    </w:pPr>
  </w:style>
  <w:style w:type="paragraph" w:styleId="BodyText">
    <w:name w:val="Body Text"/>
    <w:basedOn w:val="Normal"/>
    <w:link w:val="BodyTextChar"/>
    <w:uiPriority w:val="99"/>
    <w:semiHidden/>
    <w:unhideWhenUsed/>
    <w:rsid w:val="00586B65"/>
    <w:pPr>
      <w:spacing w:after="120"/>
    </w:pPr>
  </w:style>
  <w:style w:type="character" w:customStyle="1" w:styleId="BodyTextChar">
    <w:name w:val="Body Text Char"/>
    <w:basedOn w:val="DefaultParagraphFont"/>
    <w:link w:val="BodyText"/>
    <w:uiPriority w:val="99"/>
    <w:semiHidden/>
    <w:rsid w:val="00586B65"/>
  </w:style>
  <w:style w:type="character" w:customStyle="1" w:styleId="NORCCaption-Color">
    <w:name w:val="NORC Caption - Color"/>
    <w:qFormat/>
    <w:rsid w:val="003119F7"/>
    <w:rPr>
      <w:rFonts w:ascii="Arial" w:hAnsi="Arial"/>
      <w:b/>
      <w:color w:val="8AB3A4"/>
      <w:sz w:val="22"/>
    </w:rPr>
  </w:style>
  <w:style w:type="paragraph" w:styleId="NormalWeb">
    <w:name w:val="Normal (Web)"/>
    <w:basedOn w:val="Normal"/>
    <w:uiPriority w:val="99"/>
    <w:unhideWhenUsed/>
    <w:rsid w:val="001C4C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00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69946">
      <w:bodyDiv w:val="1"/>
      <w:marLeft w:val="0"/>
      <w:marRight w:val="0"/>
      <w:marTop w:val="0"/>
      <w:marBottom w:val="0"/>
      <w:divBdr>
        <w:top w:val="none" w:sz="0" w:space="0" w:color="auto"/>
        <w:left w:val="none" w:sz="0" w:space="0" w:color="auto"/>
        <w:bottom w:val="none" w:sz="0" w:space="0" w:color="auto"/>
        <w:right w:val="none" w:sz="0" w:space="0" w:color="auto"/>
      </w:divBdr>
    </w:div>
    <w:div w:id="675956288">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677656110">
      <w:bodyDiv w:val="1"/>
      <w:marLeft w:val="0"/>
      <w:marRight w:val="0"/>
      <w:marTop w:val="0"/>
      <w:marBottom w:val="0"/>
      <w:divBdr>
        <w:top w:val="none" w:sz="0" w:space="0" w:color="auto"/>
        <w:left w:val="none" w:sz="0" w:space="0" w:color="auto"/>
        <w:bottom w:val="none" w:sz="0" w:space="0" w:color="auto"/>
        <w:right w:val="none" w:sz="0" w:space="0" w:color="auto"/>
      </w:divBdr>
    </w:div>
    <w:div w:id="1721243182">
      <w:bodyDiv w:val="1"/>
      <w:marLeft w:val="0"/>
      <w:marRight w:val="0"/>
      <w:marTop w:val="0"/>
      <w:marBottom w:val="0"/>
      <w:divBdr>
        <w:top w:val="none" w:sz="0" w:space="0" w:color="auto"/>
        <w:left w:val="none" w:sz="0" w:space="0" w:color="auto"/>
        <w:bottom w:val="none" w:sz="0" w:space="0" w:color="auto"/>
        <w:right w:val="none" w:sz="0" w:space="0" w:color="auto"/>
      </w:divBdr>
    </w:div>
    <w:div w:id="1744066518">
      <w:bodyDiv w:val="1"/>
      <w:marLeft w:val="0"/>
      <w:marRight w:val="0"/>
      <w:marTop w:val="0"/>
      <w:marBottom w:val="0"/>
      <w:divBdr>
        <w:top w:val="none" w:sz="0" w:space="0" w:color="auto"/>
        <w:left w:val="none" w:sz="0" w:space="0" w:color="auto"/>
        <w:bottom w:val="none" w:sz="0" w:space="0" w:color="auto"/>
        <w:right w:val="none" w:sz="0" w:space="0" w:color="auto"/>
      </w:divBdr>
    </w:div>
    <w:div w:id="1822579793">
      <w:bodyDiv w:val="1"/>
      <w:marLeft w:val="0"/>
      <w:marRight w:val="0"/>
      <w:marTop w:val="0"/>
      <w:marBottom w:val="0"/>
      <w:divBdr>
        <w:top w:val="none" w:sz="0" w:space="0" w:color="auto"/>
        <w:left w:val="none" w:sz="0" w:space="0" w:color="auto"/>
        <w:bottom w:val="none" w:sz="0" w:space="0" w:color="auto"/>
        <w:right w:val="none" w:sz="0" w:space="0" w:color="auto"/>
      </w:divBdr>
    </w:div>
    <w:div w:id="1838157055">
      <w:bodyDiv w:val="1"/>
      <w:marLeft w:val="0"/>
      <w:marRight w:val="0"/>
      <w:marTop w:val="0"/>
      <w:marBottom w:val="0"/>
      <w:divBdr>
        <w:top w:val="none" w:sz="0" w:space="0" w:color="auto"/>
        <w:left w:val="none" w:sz="0" w:space="0" w:color="auto"/>
        <w:bottom w:val="none" w:sz="0" w:space="0" w:color="auto"/>
        <w:right w:val="none" w:sz="0" w:space="0" w:color="auto"/>
      </w:divBdr>
    </w:div>
    <w:div w:id="1842040706">
      <w:bodyDiv w:val="1"/>
      <w:marLeft w:val="0"/>
      <w:marRight w:val="0"/>
      <w:marTop w:val="0"/>
      <w:marBottom w:val="0"/>
      <w:divBdr>
        <w:top w:val="none" w:sz="0" w:space="0" w:color="auto"/>
        <w:left w:val="none" w:sz="0" w:space="0" w:color="auto"/>
        <w:bottom w:val="none" w:sz="0" w:space="0" w:color="auto"/>
        <w:right w:val="none" w:sz="0" w:space="0" w:color="auto"/>
      </w:divBdr>
    </w:div>
    <w:div w:id="20164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ync7@cdc.gov" TargetMode="Externa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cdc.gov/mmwr/volumes/65/wr/mm6537a2.htm?s_cid=mm6537a2_e" TargetMode="External"/><Relationship Id="rId2" Type="http://schemas.openxmlformats.org/officeDocument/2006/relationships/hyperlink" Target="http://d3qi0qp55mx5f5.cloudfront.net/amerispeak/i/research/WhitePaper_ResponseRateCalculation_AmeriSpeak_2016.pdf" TargetMode="External"/><Relationship Id="rId1" Type="http://schemas.openxmlformats.org/officeDocument/2006/relationships/hyperlink" Target="http://www.norc.org/Research/Projects/Pages/2010-national-sample-frame.aspx" TargetMode="External"/><Relationship Id="rId6" Type="http://schemas.openxmlformats.org/officeDocument/2006/relationships/hyperlink" Target="https://www.whitehouse.gov/sites/default/files/omb/inforeg/statpolicy/standards_stat_surveys.pdf" TargetMode="External"/><Relationship Id="rId5" Type="http://schemas.openxmlformats.org/officeDocument/2006/relationships/hyperlink" Target="http://www.cdc.gov/HomeandRecreationalSafety/Falls/adultfalls.html" TargetMode="External"/><Relationship Id="rId4" Type="http://schemas.openxmlformats.org/officeDocument/2006/relationships/hyperlink" Target="http://www.cdc.gov/HomeandRecreationalSafety/Falls/adultfal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DB3F202-13A2-441C-896B-44C604CE8052}">
  <ds:schemaRefs>
    <ds:schemaRef ds:uri="http://schemas.openxmlformats.org/officeDocument/2006/bibliography"/>
  </ds:schemaRefs>
</ds:datastoreItem>
</file>

<file path=customXml/itemProps2.xml><?xml version="1.0" encoding="utf-8"?>
<ds:datastoreItem xmlns:ds="http://schemas.openxmlformats.org/officeDocument/2006/customXml" ds:itemID="{7F82F7BA-2343-49E8-BB33-F00104079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4228</Words>
  <Characters>24104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28276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Sood</dc:creator>
  <cp:keywords/>
  <dc:description/>
  <cp:lastModifiedBy>SYSTEM</cp:lastModifiedBy>
  <cp:revision>2</cp:revision>
  <cp:lastPrinted>2018-03-06T20:21:00Z</cp:lastPrinted>
  <dcterms:created xsi:type="dcterms:W3CDTF">2018-03-06T20:42:00Z</dcterms:created>
  <dcterms:modified xsi:type="dcterms:W3CDTF">2018-03-06T20:42:00Z</dcterms:modified>
</cp:coreProperties>
</file>