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061" w:rsidRDefault="007B6061" w:rsidP="007B6061">
      <w:pPr>
        <w:shd w:val="clear" w:color="auto" w:fill="FFFFFF"/>
        <w:spacing w:before="200" w:after="100" w:line="240" w:lineRule="auto"/>
        <w:outlineLvl w:val="1"/>
        <w:rPr>
          <w:rFonts w:ascii="Arial" w:eastAsia="Times New Roman" w:hAnsi="Arial" w:cs="Arial"/>
          <w:b/>
          <w:bCs/>
          <w:color w:val="000000"/>
          <w:sz w:val="20"/>
          <w:szCs w:val="20"/>
        </w:rPr>
      </w:pPr>
      <w:bookmarkStart w:id="0" w:name="_GoBack"/>
      <w:bookmarkEnd w:id="0"/>
      <w:r w:rsidRPr="007B6061">
        <w:rPr>
          <w:rFonts w:ascii="Arial" w:eastAsia="Times New Roman" w:hAnsi="Arial" w:cs="Arial"/>
          <w:b/>
          <w:bCs/>
          <w:color w:val="000000"/>
          <w:sz w:val="20"/>
          <w:szCs w:val="20"/>
        </w:rPr>
        <w:t>Appendix A to Subpart R of Part 1926—Guidelines for Establishing the Components of a Site-specific Erection Plan: Non-mandatory Guidelines for Complying With §1926.752(</w:t>
      </w:r>
      <w:r w:rsidRPr="007B6061">
        <w:rPr>
          <w:rFonts w:ascii="Arial" w:eastAsia="Times New Roman" w:hAnsi="Arial" w:cs="Arial"/>
          <w:color w:val="000000"/>
          <w:sz w:val="20"/>
          <w:szCs w:val="20"/>
        </w:rPr>
        <w:t>e</w:t>
      </w:r>
      <w:r w:rsidRPr="007B6061">
        <w:rPr>
          <w:rFonts w:ascii="Arial" w:eastAsia="Times New Roman" w:hAnsi="Arial" w:cs="Arial"/>
          <w:b/>
          <w:bCs/>
          <w:color w:val="000000"/>
          <w:sz w:val="20"/>
          <w:szCs w:val="20"/>
        </w:rPr>
        <w:t>)</w:t>
      </w:r>
    </w:p>
    <w:p w:rsidR="007B6061" w:rsidRDefault="007B6061" w:rsidP="007B6061">
      <w:pPr>
        <w:shd w:val="clear" w:color="auto" w:fill="FFFFFF"/>
        <w:spacing w:before="200" w:after="100" w:line="240" w:lineRule="auto"/>
        <w:outlineLvl w:val="1"/>
        <w:rPr>
          <w:rFonts w:ascii="Arial" w:eastAsia="Times New Roman" w:hAnsi="Arial" w:cs="Arial"/>
          <w:b/>
          <w:bCs/>
          <w:color w:val="000000"/>
          <w:sz w:val="20"/>
          <w:szCs w:val="20"/>
        </w:rPr>
      </w:pPr>
      <w:r w:rsidRPr="007B6061">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67521B0E" wp14:editId="53E4E5BD">
                <wp:simplePos x="0" y="0"/>
                <wp:positionH relativeFrom="column">
                  <wp:posOffset>42863</wp:posOffset>
                </wp:positionH>
                <wp:positionV relativeFrom="paragraph">
                  <wp:posOffset>112713</wp:posOffset>
                </wp:positionV>
                <wp:extent cx="6158865" cy="2243137"/>
                <wp:effectExtent l="0" t="0" r="13335" b="241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2243137"/>
                        </a:xfrm>
                        <a:prstGeom prst="rect">
                          <a:avLst/>
                        </a:prstGeom>
                        <a:solidFill>
                          <a:srgbClr val="FFFFFF"/>
                        </a:solidFill>
                        <a:ln w="9525">
                          <a:solidFill>
                            <a:srgbClr val="000000"/>
                          </a:solidFill>
                          <a:miter lim="800000"/>
                          <a:headEnd/>
                          <a:tailEnd/>
                        </a:ln>
                      </wps:spPr>
                      <wps:txbx>
                        <w:txbxContent>
                          <w:p w:rsidR="007B6061" w:rsidRDefault="007B6061" w:rsidP="007B6061">
                            <w:pPr>
                              <w:jc w:val="center"/>
                              <w:rPr>
                                <w:b/>
                                <w:bCs/>
                                <w:sz w:val="16"/>
                                <w:szCs w:val="16"/>
                              </w:rPr>
                            </w:pPr>
                            <w:r>
                              <w:rPr>
                                <w:b/>
                                <w:bCs/>
                                <w:sz w:val="16"/>
                                <w:szCs w:val="16"/>
                              </w:rPr>
                              <w:t>PAPERWORK REDUCTION ACT STATEMENT</w:t>
                            </w:r>
                          </w:p>
                          <w:p w:rsidR="007B6061" w:rsidRDefault="007B6061" w:rsidP="007B6061">
                            <w:pPr>
                              <w:rPr>
                                <w:rFonts w:eastAsia="Times New Roman" w:cs="Tahoma"/>
                                <w:color w:val="000000"/>
                                <w:sz w:val="16"/>
                                <w:szCs w:val="16"/>
                              </w:rPr>
                            </w:pPr>
                            <w:r>
                              <w:rPr>
                                <w:rFonts w:eastAsia="Times New Roman" w:cs="Tahoma"/>
                                <w:color w:val="000000"/>
                                <w:sz w:val="16"/>
                                <w:szCs w:val="16"/>
                              </w:rPr>
                              <w:t xml:space="preserve">Under the steel erection standard, these non-mandatory guidelines assist employers who elect to develop a site-specific erection plan.  (29 CFR 1926.752(e)).  According to the Paperwork Reduction Act, an Agency may not conduct or sponsor, and no persons are required to respond to, a collection of information unless such collection displays a valid OMB control number.  Use of these guidelines is optional.  The guidelines </w:t>
                            </w:r>
                            <w:r w:rsidR="009757C9">
                              <w:rPr>
                                <w:rFonts w:eastAsia="Times New Roman" w:cs="Tahoma"/>
                                <w:sz w:val="16"/>
                                <w:szCs w:val="16"/>
                              </w:rPr>
                              <w:t>assist</w:t>
                            </w:r>
                            <w:r>
                              <w:rPr>
                                <w:rFonts w:eastAsia="Times New Roman" w:cs="Tahoma"/>
                                <w:sz w:val="16"/>
                                <w:szCs w:val="16"/>
                              </w:rPr>
                              <w:t xml:space="preserve"> employers to ensure compliant documentation</w:t>
                            </w:r>
                            <w:r w:rsidR="00B358B2" w:rsidRPr="00B358B2">
                              <w:t xml:space="preserve"> </w:t>
                            </w:r>
                            <w:r w:rsidR="00B358B2" w:rsidRPr="00B358B2">
                              <w:rPr>
                                <w:rFonts w:eastAsia="Times New Roman" w:cs="Tahoma"/>
                                <w:sz w:val="16"/>
                                <w:szCs w:val="16"/>
                              </w:rPr>
                              <w:t>where employers elect, based on site specific conditions, not to comply with § 1926.753(c)(5), § 1926.757(a)(4) or § 1926.757(e)(4)</w:t>
                            </w:r>
                            <w:r>
                              <w:rPr>
                                <w:rFonts w:eastAsia="Times New Roman" w:cs="Tahoma"/>
                                <w:sz w:val="16"/>
                                <w:szCs w:val="16"/>
                              </w:rPr>
                              <w:t xml:space="preserve">.  OSHA estimates employer burden for the completion of this collection of information is </w:t>
                            </w:r>
                            <w:r w:rsidR="009757C9">
                              <w:rPr>
                                <w:rFonts w:eastAsia="Times New Roman" w:cs="Tahoma"/>
                                <w:sz w:val="16"/>
                                <w:szCs w:val="16"/>
                              </w:rPr>
                              <w:t>76 minutes (1.16</w:t>
                            </w:r>
                            <w:r>
                              <w:rPr>
                                <w:rFonts w:eastAsia="Times New Roman" w:cs="Tahoma"/>
                                <w:sz w:val="16"/>
                                <w:szCs w:val="16"/>
                              </w:rPr>
                              <w:t xml:space="preserve"> hours)</w:t>
                            </w:r>
                            <w:r>
                              <w:rPr>
                                <w:rFonts w:eastAsia="Times New Roman" w:cs="Tahoma"/>
                                <w:color w:val="000000"/>
                                <w:sz w:val="16"/>
                                <w:szCs w:val="16"/>
                              </w:rPr>
                              <w:t xml:space="preserve">.  This estimate includes the time for reviewing instructions, searching existing data sources, gathering and maintaining the data needed, and, completing and reviewing the collection of information.  The time estimate includes </w:t>
                            </w:r>
                            <w:r>
                              <w:rPr>
                                <w:rFonts w:eastAsia="Times New Roman" w:cs="Tahoma"/>
                                <w:sz w:val="16"/>
                                <w:szCs w:val="16"/>
                              </w:rPr>
                              <w:t>e</w:t>
                            </w:r>
                            <w:r>
                              <w:rPr>
                                <w:rFonts w:eastAsia="Times New Roman" w:cs="Tahoma"/>
                                <w:color w:val="000000"/>
                                <w:sz w:val="16"/>
                                <w:szCs w:val="16"/>
                              </w:rPr>
                              <w:t xml:space="preserve">mployer time for </w:t>
                            </w:r>
                            <w:r w:rsidR="00B358B2">
                              <w:rPr>
                                <w:rFonts w:eastAsia="Times New Roman" w:cs="Tahoma"/>
                                <w:color w:val="000000"/>
                                <w:sz w:val="16"/>
                                <w:szCs w:val="16"/>
                              </w:rPr>
                              <w:t>development of the site-specific plan</w:t>
                            </w:r>
                            <w:r w:rsidR="0004012A">
                              <w:rPr>
                                <w:rFonts w:eastAsia="Times New Roman" w:cs="Tahoma"/>
                                <w:color w:val="000000"/>
                                <w:sz w:val="16"/>
                                <w:szCs w:val="16"/>
                              </w:rPr>
                              <w:t xml:space="preserve"> and its components</w:t>
                            </w:r>
                            <w:r>
                              <w:rPr>
                                <w:rFonts w:eastAsia="Times New Roman" w:cs="Tahoma"/>
                                <w:color w:val="000000"/>
                                <w:sz w:val="16"/>
                                <w:szCs w:val="16"/>
                              </w:rPr>
                              <w:t xml:space="preserve">.  Send comments regarding this burden estimate or any other aspect of this collection of information, including suggestions for reducing this burden to </w:t>
                            </w:r>
                            <w:hyperlink r:id="rId5" w:history="1">
                              <w:r>
                                <w:rPr>
                                  <w:rStyle w:val="Hyperlink"/>
                                  <w:rFonts w:eastAsia="Times New Roman" w:cs="Tahoma"/>
                                  <w:sz w:val="16"/>
                                  <w:szCs w:val="16"/>
                                </w:rPr>
                                <w:t>OSHAPRA@dol.gov</w:t>
                              </w:r>
                            </w:hyperlink>
                            <w:r>
                              <w:rPr>
                                <w:rFonts w:eastAsia="Times New Roman" w:cs="Tahoma"/>
                                <w:color w:val="000000"/>
                                <w:sz w:val="16"/>
                                <w:szCs w:val="16"/>
                              </w:rPr>
                              <w:t xml:space="preserve"> or to OSHA’s Directorate of</w:t>
                            </w:r>
                            <w:r w:rsidR="0004012A">
                              <w:rPr>
                                <w:rFonts w:eastAsia="Times New Roman" w:cs="Tahoma"/>
                                <w:color w:val="000000"/>
                                <w:sz w:val="16"/>
                                <w:szCs w:val="16"/>
                              </w:rPr>
                              <w:t xml:space="preserve"> Standards and Guidance</w:t>
                            </w:r>
                            <w:r>
                              <w:rPr>
                                <w:rFonts w:eastAsia="Times New Roman" w:cs="Tahoma"/>
                                <w:color w:val="000000"/>
                                <w:sz w:val="16"/>
                                <w:szCs w:val="16"/>
                              </w:rPr>
                              <w:t>, Department of Labor, Room N-</w:t>
                            </w:r>
                            <w:r w:rsidR="0004012A">
                              <w:rPr>
                                <w:rFonts w:eastAsia="Times New Roman" w:cs="Tahoma"/>
                                <w:color w:val="000000"/>
                                <w:sz w:val="16"/>
                                <w:szCs w:val="16"/>
                              </w:rPr>
                              <w:t>3</w:t>
                            </w:r>
                            <w:r w:rsidR="00B358B2">
                              <w:rPr>
                                <w:rFonts w:eastAsia="Times New Roman" w:cs="Tahoma"/>
                                <w:color w:val="000000"/>
                                <w:sz w:val="16"/>
                                <w:szCs w:val="16"/>
                              </w:rPr>
                              <w:t>7</w:t>
                            </w:r>
                            <w:r w:rsidR="0004012A">
                              <w:rPr>
                                <w:rFonts w:eastAsia="Times New Roman" w:cs="Tahoma"/>
                                <w:color w:val="000000"/>
                                <w:sz w:val="16"/>
                                <w:szCs w:val="16"/>
                              </w:rPr>
                              <w:t>18</w:t>
                            </w:r>
                            <w:r>
                              <w:rPr>
                                <w:rFonts w:eastAsia="Times New Roman" w:cs="Tahoma"/>
                                <w:color w:val="000000"/>
                                <w:sz w:val="16"/>
                                <w:szCs w:val="16"/>
                              </w:rPr>
                              <w:t xml:space="preserve">, 200 Constitution Ave., NW, Washington, DC; 20210; Attn: Paperwork Reduction Act Comment. (This address is for comments regarding this form only; </w:t>
                            </w:r>
                            <w:r>
                              <w:rPr>
                                <w:rFonts w:eastAsia="Times New Roman" w:cs="Tahoma"/>
                                <w:b/>
                                <w:color w:val="000000"/>
                                <w:sz w:val="16"/>
                                <w:szCs w:val="16"/>
                              </w:rPr>
                              <w:t>DO NOT SEND ANY COMPLETED SAMPLE FORM TO THIS OFFICE</w:t>
                            </w:r>
                            <w:r>
                              <w:rPr>
                                <w:rFonts w:eastAsia="Times New Roman" w:cs="Tahoma"/>
                                <w:color w:val="000000"/>
                                <w:sz w:val="16"/>
                                <w:szCs w:val="16"/>
                              </w:rPr>
                              <w:t xml:space="preserve">.)  </w:t>
                            </w:r>
                          </w:p>
                          <w:p w:rsidR="007B6061" w:rsidRDefault="009757C9" w:rsidP="007B6061">
                            <w:pPr>
                              <w:ind w:firstLine="720"/>
                              <w:jc w:val="center"/>
                              <w:rPr>
                                <w:rFonts w:eastAsia="Times New Roman" w:cs="Tahoma"/>
                                <w:color w:val="000000"/>
                                <w:sz w:val="16"/>
                                <w:szCs w:val="16"/>
                              </w:rPr>
                            </w:pPr>
                            <w:r>
                              <w:rPr>
                                <w:rFonts w:eastAsia="Times New Roman" w:cs="Tahoma"/>
                                <w:i/>
                                <w:iCs/>
                                <w:color w:val="000000"/>
                                <w:sz w:val="16"/>
                                <w:szCs w:val="16"/>
                              </w:rPr>
                              <w:t>OMB Approval# 1218-0241</w:t>
                            </w:r>
                            <w:r w:rsidR="007B6061">
                              <w:rPr>
                                <w:rFonts w:eastAsia="Times New Roman" w:cs="Tahoma"/>
                                <w:i/>
                                <w:iCs/>
                                <w:color w:val="000000"/>
                                <w:sz w:val="16"/>
                                <w:szCs w:val="16"/>
                              </w:rPr>
                              <w:t>; Expires: 00-00-0000</w:t>
                            </w:r>
                          </w:p>
                          <w:p w:rsidR="007B6061" w:rsidRDefault="007B6061" w:rsidP="007B6061">
                            <w:pPr>
                              <w:ind w:firstLine="720"/>
                              <w:rPr>
                                <w:rFonts w:ascii="Times New Roman" w:eastAsia="Times New Roman" w:hAnsi="Times New Roman" w:cs="Times New Roman"/>
                                <w:sz w:val="20"/>
                                <w:szCs w:val="20"/>
                              </w:rPr>
                            </w:pPr>
                          </w:p>
                          <w:p w:rsidR="007B6061" w:rsidRDefault="007B6061" w:rsidP="007B6061">
                            <w:pPr>
                              <w:rPr>
                                <w:rFonts w:ascii="Calibri" w:eastAsia="Calibri" w:hAnsi="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pt;margin-top:8.9pt;width:484.95pt;height:17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B4KwIAAFEEAAAOAAAAZHJzL2Uyb0RvYy54bWysVNtu2zAMfR+wfxD0vjh2kzQ14hRdugwD&#10;ugvQ7gNkWbaFyaImKbGzrx8lu1l2exnmB4EUqUPykPTmdugUOQrrJOiCprM5JUJzqKRuCvr5af9q&#10;TYnzTFdMgRYFPQlHb7cvX2x6k4sMWlCVsARBtMt7U9DWe5MnieOt6JibgREajTXYjnlUbZNUlvWI&#10;3qkkm89XSQ+2Mha4cA5v70cj3Ub8uhbcf6xrJzxRBcXcfDxtPMtwJtsNyxvLTCv5lAb7hyw6JjUG&#10;PUPdM8/IwcrfoDrJLTio/YxDl0BdSy5iDVhNOv+lmseWGRFrQXKcOdPk/h8s/3D8ZImsCrqgRLMO&#10;W/QkBk9ew0CywE5vXI5Ojwbd/IDX2OVYqTMPwL84omHXMt2IO2uhbwWrMLs0vEwuno44LoCU/Xuo&#10;MAw7eIhAQ227QB2SQRAdu3Q6dyakwvFylS7X69WSEo62LFtcpVfXMQbLn58b6/xbAR0JQkEttj7C&#10;s+OD8yEdlj+7hGgOlKz2Uqmo2KbcKUuODMdkH78J/Sc3pUlf0JtlthwZ+CvEPH5/guikx3lXsivo&#10;+uzE8sDbG13FafRMqlHGlJWeiAzcjSz6oRymxpRQnZBSC+Nc4x6i0IL9RkmPM11Q9/XArKBEvdPY&#10;lpt0sQhLEJXF8jpDxV5ayksL0xyhCuopGcWdHxfnYKxsWow0DoKGO2xlLSPJoedjVlPeOLeR+2nH&#10;wmJc6tHrx59g+x0AAP//AwBQSwMEFAAGAAgAAAAhANzz4nneAAAACAEAAA8AAABkcnMvZG93bnJl&#10;di54bWxMj0FPwzAMhe9I/IfISFwQS8dQu5WmE0ICwQ0G2q5Z47UViVOSrCv/HnOCk/X8rPc+V+vJ&#10;WTFiiL0nBfNZBgKp8aanVsHH++P1EkRMmoy2nlDBN0ZY1+dnlS6NP9EbjpvUCg6hWGoFXUpDKWVs&#10;OnQ6zvyAxN7BB6cTy9BKE/SJw52VN1mWS6d74oZOD/jQYfO5OToFy9vncRdfFq/bJj/YVboqxqev&#10;oNTlxXR/ByLhlP6O4Ref0aFmpr0/konCKsgZPPG64Mn2qsgLEHsFi2Kegawr+f+B+gcAAP//AwBQ&#10;SwECLQAUAAYACAAAACEAtoM4kv4AAADhAQAAEwAAAAAAAAAAAAAAAAAAAAAAW0NvbnRlbnRfVHlw&#10;ZXNdLnhtbFBLAQItABQABgAIAAAAIQA4/SH/1gAAAJQBAAALAAAAAAAAAAAAAAAAAC8BAABfcmVs&#10;cy8ucmVsc1BLAQItABQABgAIAAAAIQChzzB4KwIAAFEEAAAOAAAAAAAAAAAAAAAAAC4CAABkcnMv&#10;ZTJvRG9jLnhtbFBLAQItABQABgAIAAAAIQDc8+J53gAAAAgBAAAPAAAAAAAAAAAAAAAAAIUEAABk&#10;cnMvZG93bnJldi54bWxQSwUGAAAAAAQABADzAAAAkAUAAAAA&#10;">
                <v:textbox>
                  <w:txbxContent>
                    <w:p w:rsidR="007B6061" w:rsidRDefault="007B6061" w:rsidP="007B6061">
                      <w:pPr>
                        <w:jc w:val="center"/>
                        <w:rPr>
                          <w:b/>
                          <w:bCs/>
                          <w:sz w:val="16"/>
                          <w:szCs w:val="16"/>
                        </w:rPr>
                      </w:pPr>
                      <w:r>
                        <w:rPr>
                          <w:b/>
                          <w:bCs/>
                          <w:sz w:val="16"/>
                          <w:szCs w:val="16"/>
                        </w:rPr>
                        <w:t>PAPERWORK REDUCTION ACT STATEMENT</w:t>
                      </w:r>
                    </w:p>
                    <w:p w:rsidR="007B6061" w:rsidRDefault="007B6061" w:rsidP="007B6061">
                      <w:pPr>
                        <w:rPr>
                          <w:rFonts w:eastAsia="Times New Roman" w:cs="Tahoma"/>
                          <w:color w:val="000000"/>
                          <w:sz w:val="16"/>
                          <w:szCs w:val="16"/>
                        </w:rPr>
                      </w:pPr>
                      <w:r>
                        <w:rPr>
                          <w:rFonts w:eastAsia="Times New Roman" w:cs="Tahoma"/>
                          <w:color w:val="000000"/>
                          <w:sz w:val="16"/>
                          <w:szCs w:val="16"/>
                        </w:rPr>
                        <w:t xml:space="preserve">Under the steel erection standard, these non-mandatory guidelines assist employers who elect to develop a site-specific erection plan.  (29 CFR 1926.752(e)).  According to the Paperwork Reduction Act, an Agency may not conduct or sponsor, and no persons are required to respond to, a collection of information unless such collection displays a valid OMB control number.  Use of these guidelines is optional.  The guidelines </w:t>
                      </w:r>
                      <w:r w:rsidR="009757C9">
                        <w:rPr>
                          <w:rFonts w:eastAsia="Times New Roman" w:cs="Tahoma"/>
                          <w:sz w:val="16"/>
                          <w:szCs w:val="16"/>
                        </w:rPr>
                        <w:t>assist</w:t>
                      </w:r>
                      <w:r>
                        <w:rPr>
                          <w:rFonts w:eastAsia="Times New Roman" w:cs="Tahoma"/>
                          <w:sz w:val="16"/>
                          <w:szCs w:val="16"/>
                        </w:rPr>
                        <w:t xml:space="preserve"> employers to ensure compliant documentation</w:t>
                      </w:r>
                      <w:r w:rsidR="00B358B2" w:rsidRPr="00B358B2">
                        <w:t xml:space="preserve"> </w:t>
                      </w:r>
                      <w:r w:rsidR="00B358B2" w:rsidRPr="00B358B2">
                        <w:rPr>
                          <w:rFonts w:eastAsia="Times New Roman" w:cs="Tahoma"/>
                          <w:sz w:val="16"/>
                          <w:szCs w:val="16"/>
                        </w:rPr>
                        <w:t>where employers elect, based on site specific conditions, not to comply with § 1926.753(c)(5), § 1926.757(a)(4) or § 1926.757(e)(4)</w:t>
                      </w:r>
                      <w:r>
                        <w:rPr>
                          <w:rFonts w:eastAsia="Times New Roman" w:cs="Tahoma"/>
                          <w:sz w:val="16"/>
                          <w:szCs w:val="16"/>
                        </w:rPr>
                        <w:t xml:space="preserve">.  OSHA estimates employer burden for the completion of this collection of information is </w:t>
                      </w:r>
                      <w:r w:rsidR="009757C9">
                        <w:rPr>
                          <w:rFonts w:eastAsia="Times New Roman" w:cs="Tahoma"/>
                          <w:sz w:val="16"/>
                          <w:szCs w:val="16"/>
                        </w:rPr>
                        <w:t>76 minutes (1.16</w:t>
                      </w:r>
                      <w:r>
                        <w:rPr>
                          <w:rFonts w:eastAsia="Times New Roman" w:cs="Tahoma"/>
                          <w:sz w:val="16"/>
                          <w:szCs w:val="16"/>
                        </w:rPr>
                        <w:t xml:space="preserve"> hours)</w:t>
                      </w:r>
                      <w:r>
                        <w:rPr>
                          <w:rFonts w:eastAsia="Times New Roman" w:cs="Tahoma"/>
                          <w:color w:val="000000"/>
                          <w:sz w:val="16"/>
                          <w:szCs w:val="16"/>
                        </w:rPr>
                        <w:t xml:space="preserve">.  This estimate includes the time for reviewing instructions, searching existing data sources, gathering and maintaining the data needed, and, completing and reviewing the collection of information.  The time estimate includes </w:t>
                      </w:r>
                      <w:r>
                        <w:rPr>
                          <w:rFonts w:eastAsia="Times New Roman" w:cs="Tahoma"/>
                          <w:sz w:val="16"/>
                          <w:szCs w:val="16"/>
                        </w:rPr>
                        <w:t>e</w:t>
                      </w:r>
                      <w:r>
                        <w:rPr>
                          <w:rFonts w:eastAsia="Times New Roman" w:cs="Tahoma"/>
                          <w:color w:val="000000"/>
                          <w:sz w:val="16"/>
                          <w:szCs w:val="16"/>
                        </w:rPr>
                        <w:t xml:space="preserve">mployer time for </w:t>
                      </w:r>
                      <w:r w:rsidR="00B358B2">
                        <w:rPr>
                          <w:rFonts w:eastAsia="Times New Roman" w:cs="Tahoma"/>
                          <w:color w:val="000000"/>
                          <w:sz w:val="16"/>
                          <w:szCs w:val="16"/>
                        </w:rPr>
                        <w:t>development of the site-specific plan</w:t>
                      </w:r>
                      <w:r w:rsidR="0004012A">
                        <w:rPr>
                          <w:rFonts w:eastAsia="Times New Roman" w:cs="Tahoma"/>
                          <w:color w:val="000000"/>
                          <w:sz w:val="16"/>
                          <w:szCs w:val="16"/>
                        </w:rPr>
                        <w:t xml:space="preserve"> and its components</w:t>
                      </w:r>
                      <w:r>
                        <w:rPr>
                          <w:rFonts w:eastAsia="Times New Roman" w:cs="Tahoma"/>
                          <w:color w:val="000000"/>
                          <w:sz w:val="16"/>
                          <w:szCs w:val="16"/>
                        </w:rPr>
                        <w:t xml:space="preserve">.  Send comments regarding this burden estimate or any other aspect of this collection of information, including suggestions for reducing this burden to </w:t>
                      </w:r>
                      <w:hyperlink r:id="rId6" w:history="1">
                        <w:r>
                          <w:rPr>
                            <w:rStyle w:val="Hyperlink"/>
                            <w:rFonts w:eastAsia="Times New Roman" w:cs="Tahoma"/>
                            <w:sz w:val="16"/>
                            <w:szCs w:val="16"/>
                          </w:rPr>
                          <w:t>OSHAPRA@dol.gov</w:t>
                        </w:r>
                      </w:hyperlink>
                      <w:r>
                        <w:rPr>
                          <w:rFonts w:eastAsia="Times New Roman" w:cs="Tahoma"/>
                          <w:color w:val="000000"/>
                          <w:sz w:val="16"/>
                          <w:szCs w:val="16"/>
                        </w:rPr>
                        <w:t xml:space="preserve"> or to OSHA’s Directorate of</w:t>
                      </w:r>
                      <w:r w:rsidR="0004012A">
                        <w:rPr>
                          <w:rFonts w:eastAsia="Times New Roman" w:cs="Tahoma"/>
                          <w:color w:val="000000"/>
                          <w:sz w:val="16"/>
                          <w:szCs w:val="16"/>
                        </w:rPr>
                        <w:t xml:space="preserve"> Standards and Guidance</w:t>
                      </w:r>
                      <w:r>
                        <w:rPr>
                          <w:rFonts w:eastAsia="Times New Roman" w:cs="Tahoma"/>
                          <w:color w:val="000000"/>
                          <w:sz w:val="16"/>
                          <w:szCs w:val="16"/>
                        </w:rPr>
                        <w:t>, Department of Labor, Room N-</w:t>
                      </w:r>
                      <w:r w:rsidR="0004012A">
                        <w:rPr>
                          <w:rFonts w:eastAsia="Times New Roman" w:cs="Tahoma"/>
                          <w:color w:val="000000"/>
                          <w:sz w:val="16"/>
                          <w:szCs w:val="16"/>
                        </w:rPr>
                        <w:t>3</w:t>
                      </w:r>
                      <w:r w:rsidR="00B358B2">
                        <w:rPr>
                          <w:rFonts w:eastAsia="Times New Roman" w:cs="Tahoma"/>
                          <w:color w:val="000000"/>
                          <w:sz w:val="16"/>
                          <w:szCs w:val="16"/>
                        </w:rPr>
                        <w:t>7</w:t>
                      </w:r>
                      <w:r w:rsidR="0004012A">
                        <w:rPr>
                          <w:rFonts w:eastAsia="Times New Roman" w:cs="Tahoma"/>
                          <w:color w:val="000000"/>
                          <w:sz w:val="16"/>
                          <w:szCs w:val="16"/>
                        </w:rPr>
                        <w:t>18</w:t>
                      </w:r>
                      <w:r>
                        <w:rPr>
                          <w:rFonts w:eastAsia="Times New Roman" w:cs="Tahoma"/>
                          <w:color w:val="000000"/>
                          <w:sz w:val="16"/>
                          <w:szCs w:val="16"/>
                        </w:rPr>
                        <w:t xml:space="preserve">, 200 Constitution Ave., NW, Washington, DC; 20210; Attn: Paperwork Reduction Act Comment. (This address is for comments regarding this form only; </w:t>
                      </w:r>
                      <w:r>
                        <w:rPr>
                          <w:rFonts w:eastAsia="Times New Roman" w:cs="Tahoma"/>
                          <w:b/>
                          <w:color w:val="000000"/>
                          <w:sz w:val="16"/>
                          <w:szCs w:val="16"/>
                        </w:rPr>
                        <w:t>DO NOT SEND ANY COMPLETED SAMPLE FORM TO THIS OFFICE</w:t>
                      </w:r>
                      <w:r>
                        <w:rPr>
                          <w:rFonts w:eastAsia="Times New Roman" w:cs="Tahoma"/>
                          <w:color w:val="000000"/>
                          <w:sz w:val="16"/>
                          <w:szCs w:val="16"/>
                        </w:rPr>
                        <w:t xml:space="preserve">.)  </w:t>
                      </w:r>
                    </w:p>
                    <w:p w:rsidR="007B6061" w:rsidRDefault="009757C9" w:rsidP="007B6061">
                      <w:pPr>
                        <w:ind w:firstLine="720"/>
                        <w:jc w:val="center"/>
                        <w:rPr>
                          <w:rFonts w:eastAsia="Times New Roman" w:cs="Tahoma"/>
                          <w:color w:val="000000"/>
                          <w:sz w:val="16"/>
                          <w:szCs w:val="16"/>
                        </w:rPr>
                      </w:pPr>
                      <w:r>
                        <w:rPr>
                          <w:rFonts w:eastAsia="Times New Roman" w:cs="Tahoma"/>
                          <w:i/>
                          <w:iCs/>
                          <w:color w:val="000000"/>
                          <w:sz w:val="16"/>
                          <w:szCs w:val="16"/>
                        </w:rPr>
                        <w:t>OMB Approval# 1218-0241</w:t>
                      </w:r>
                      <w:r w:rsidR="007B6061">
                        <w:rPr>
                          <w:rFonts w:eastAsia="Times New Roman" w:cs="Tahoma"/>
                          <w:i/>
                          <w:iCs/>
                          <w:color w:val="000000"/>
                          <w:sz w:val="16"/>
                          <w:szCs w:val="16"/>
                        </w:rPr>
                        <w:t>; Expires: 00-00-0000</w:t>
                      </w:r>
                    </w:p>
                    <w:p w:rsidR="007B6061" w:rsidRDefault="007B6061" w:rsidP="007B6061">
                      <w:pPr>
                        <w:ind w:firstLine="720"/>
                        <w:rPr>
                          <w:rFonts w:ascii="Times New Roman" w:eastAsia="Times New Roman" w:hAnsi="Times New Roman" w:cs="Times New Roman"/>
                          <w:sz w:val="20"/>
                          <w:szCs w:val="20"/>
                        </w:rPr>
                      </w:pPr>
                    </w:p>
                    <w:p w:rsidR="007B6061" w:rsidRDefault="007B6061" w:rsidP="007B6061">
                      <w:pPr>
                        <w:rPr>
                          <w:rFonts w:ascii="Calibri" w:eastAsia="Calibri" w:hAnsi="Calibri"/>
                        </w:rPr>
                      </w:pPr>
                    </w:p>
                  </w:txbxContent>
                </v:textbox>
              </v:shape>
            </w:pict>
          </mc:Fallback>
        </mc:AlternateContent>
      </w:r>
    </w:p>
    <w:p w:rsidR="007B6061" w:rsidRDefault="007B6061" w:rsidP="007B6061">
      <w:pPr>
        <w:shd w:val="clear" w:color="auto" w:fill="FFFFFF"/>
        <w:spacing w:before="200" w:after="100" w:line="240" w:lineRule="auto"/>
        <w:outlineLvl w:val="1"/>
        <w:rPr>
          <w:rFonts w:ascii="Arial" w:eastAsia="Times New Roman" w:hAnsi="Arial" w:cs="Arial"/>
          <w:b/>
          <w:bCs/>
          <w:color w:val="000000"/>
          <w:sz w:val="20"/>
          <w:szCs w:val="20"/>
        </w:rPr>
      </w:pPr>
    </w:p>
    <w:p w:rsidR="007B6061" w:rsidRDefault="007B6061" w:rsidP="007B6061">
      <w:pPr>
        <w:shd w:val="clear" w:color="auto" w:fill="FFFFFF"/>
        <w:spacing w:before="200" w:after="100" w:line="240" w:lineRule="auto"/>
        <w:outlineLvl w:val="1"/>
        <w:rPr>
          <w:rFonts w:ascii="Arial" w:eastAsia="Times New Roman" w:hAnsi="Arial" w:cs="Arial"/>
          <w:b/>
          <w:bCs/>
          <w:color w:val="000000"/>
          <w:sz w:val="20"/>
          <w:szCs w:val="20"/>
        </w:rPr>
      </w:pPr>
    </w:p>
    <w:p w:rsidR="007B6061" w:rsidRDefault="007B6061" w:rsidP="007B6061">
      <w:pPr>
        <w:shd w:val="clear" w:color="auto" w:fill="FFFFFF"/>
        <w:spacing w:before="200" w:after="100" w:line="240" w:lineRule="auto"/>
        <w:outlineLvl w:val="1"/>
        <w:rPr>
          <w:rFonts w:ascii="Arial" w:eastAsia="Times New Roman" w:hAnsi="Arial" w:cs="Arial"/>
          <w:b/>
          <w:bCs/>
          <w:color w:val="000000"/>
          <w:sz w:val="20"/>
          <w:szCs w:val="20"/>
        </w:rPr>
      </w:pPr>
    </w:p>
    <w:p w:rsidR="007B6061" w:rsidRDefault="007B6061" w:rsidP="007B6061">
      <w:pPr>
        <w:shd w:val="clear" w:color="auto" w:fill="FFFFFF"/>
        <w:spacing w:before="200" w:after="100" w:line="240" w:lineRule="auto"/>
        <w:outlineLvl w:val="1"/>
        <w:rPr>
          <w:rFonts w:ascii="Arial" w:eastAsia="Times New Roman" w:hAnsi="Arial" w:cs="Arial"/>
          <w:b/>
          <w:bCs/>
          <w:color w:val="000000"/>
          <w:sz w:val="20"/>
          <w:szCs w:val="20"/>
        </w:rPr>
      </w:pPr>
    </w:p>
    <w:p w:rsidR="007B6061" w:rsidRDefault="007B6061" w:rsidP="007B6061">
      <w:pPr>
        <w:shd w:val="clear" w:color="auto" w:fill="FFFFFF"/>
        <w:spacing w:before="200" w:after="100" w:line="240" w:lineRule="auto"/>
        <w:outlineLvl w:val="1"/>
        <w:rPr>
          <w:rFonts w:ascii="Arial" w:eastAsia="Times New Roman" w:hAnsi="Arial" w:cs="Arial"/>
          <w:b/>
          <w:bCs/>
          <w:color w:val="000000"/>
          <w:sz w:val="20"/>
          <w:szCs w:val="20"/>
        </w:rPr>
      </w:pPr>
    </w:p>
    <w:p w:rsidR="007B6061" w:rsidRDefault="007B6061" w:rsidP="007B6061">
      <w:pPr>
        <w:shd w:val="clear" w:color="auto" w:fill="FFFFFF"/>
        <w:spacing w:before="200" w:after="100" w:line="240" w:lineRule="auto"/>
        <w:outlineLvl w:val="1"/>
        <w:rPr>
          <w:rFonts w:ascii="Arial" w:eastAsia="Times New Roman" w:hAnsi="Arial" w:cs="Arial"/>
          <w:b/>
          <w:bCs/>
          <w:color w:val="000000"/>
          <w:sz w:val="20"/>
          <w:szCs w:val="20"/>
        </w:rPr>
      </w:pPr>
    </w:p>
    <w:p w:rsidR="007B6061" w:rsidRDefault="007B6061" w:rsidP="007B6061">
      <w:pPr>
        <w:shd w:val="clear" w:color="auto" w:fill="FFFFFF"/>
        <w:spacing w:before="200" w:after="100" w:line="240" w:lineRule="auto"/>
        <w:outlineLvl w:val="1"/>
        <w:rPr>
          <w:rFonts w:ascii="Arial" w:eastAsia="Times New Roman" w:hAnsi="Arial" w:cs="Arial"/>
          <w:b/>
          <w:bCs/>
          <w:color w:val="000000"/>
          <w:sz w:val="20"/>
          <w:szCs w:val="20"/>
        </w:rPr>
      </w:pPr>
    </w:p>
    <w:p w:rsidR="007B6061" w:rsidRDefault="007B6061" w:rsidP="007B6061">
      <w:pPr>
        <w:shd w:val="clear" w:color="auto" w:fill="FFFFFF"/>
        <w:spacing w:before="200" w:after="100" w:line="240" w:lineRule="auto"/>
        <w:outlineLvl w:val="1"/>
        <w:rPr>
          <w:rFonts w:ascii="Arial" w:eastAsia="Times New Roman" w:hAnsi="Arial" w:cs="Arial"/>
          <w:b/>
          <w:bCs/>
          <w:color w:val="000000"/>
          <w:sz w:val="20"/>
          <w:szCs w:val="20"/>
        </w:rPr>
      </w:pP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(a) </w:t>
      </w:r>
      <w:r w:rsidRPr="007B6061">
        <w:rPr>
          <w:rFonts w:ascii="Arial" w:eastAsia="Times New Roman" w:hAnsi="Arial" w:cs="Arial"/>
          <w:i/>
          <w:iCs/>
          <w:color w:val="000000"/>
          <w:sz w:val="20"/>
          <w:szCs w:val="20"/>
        </w:rPr>
        <w:t>General.</w:t>
      </w:r>
      <w:r w:rsidRPr="007B6061">
        <w:rPr>
          <w:rFonts w:ascii="Arial" w:eastAsia="Times New Roman" w:hAnsi="Arial" w:cs="Arial"/>
          <w:color w:val="000000"/>
          <w:sz w:val="20"/>
          <w:szCs w:val="20"/>
        </w:rPr>
        <w:t> This appendix serves as a guideline to assist employers who elect to develop a site-specific erection plan in accordance with §1926.752(e) with alternate means and methods to provide employee protection in accordance with §1926.752(e), §1926.753(c)(5), §1926.757(a)(4) and §1926.757(e)(4).</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(b) </w:t>
      </w:r>
      <w:r w:rsidRPr="007B6061">
        <w:rPr>
          <w:rFonts w:ascii="Arial" w:eastAsia="Times New Roman" w:hAnsi="Arial" w:cs="Arial"/>
          <w:i/>
          <w:iCs/>
          <w:color w:val="000000"/>
          <w:sz w:val="20"/>
          <w:szCs w:val="20"/>
        </w:rPr>
        <w:t>Development of a site-specific erection plan.</w:t>
      </w:r>
      <w:r w:rsidRPr="007B6061">
        <w:rPr>
          <w:rFonts w:ascii="Arial" w:eastAsia="Times New Roman" w:hAnsi="Arial" w:cs="Arial"/>
          <w:color w:val="000000"/>
          <w:sz w:val="20"/>
          <w:szCs w:val="20"/>
        </w:rPr>
        <w:t> Pre-construction conference(s) and site inspection(s) are held between the erector and the controlling contractor, and others such as the project engineer and fabricator before the start of steel erection. The purpose of such conference(s) is to develop and review the site-specific erection plan that will meet the requirements of this section.</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(c) </w:t>
      </w:r>
      <w:r w:rsidRPr="007B6061">
        <w:rPr>
          <w:rFonts w:ascii="Arial" w:eastAsia="Times New Roman" w:hAnsi="Arial" w:cs="Arial"/>
          <w:i/>
          <w:iCs/>
          <w:color w:val="000000"/>
          <w:sz w:val="20"/>
          <w:szCs w:val="20"/>
        </w:rPr>
        <w:t>Components of a site-specific erection plan.</w:t>
      </w:r>
      <w:r w:rsidRPr="007B6061">
        <w:rPr>
          <w:rFonts w:ascii="Arial" w:eastAsia="Times New Roman" w:hAnsi="Arial" w:cs="Arial"/>
          <w:color w:val="000000"/>
          <w:sz w:val="20"/>
          <w:szCs w:val="20"/>
        </w:rPr>
        <w:t> In developing a site-specific erection plan, a steel erector considers the following elements:</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(1) The sequence of erection activity, developed in coordination with the controlling contractor, that includes the following:</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(i) Material deliveries:</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(ii) Material staging and storage; and</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(iii) Coordination with other trades and construction activities.</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(2) A description of the crane and derrick selection and placement procedures, including the following:</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(i) Site preparation;</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(ii) Path for overhead loads; and</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(iii) Critical lifts, including rigging supplies and equipment.</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(3) A description of steel erection activities and procedures, including the following:</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lastRenderedPageBreak/>
        <w:t>(i) Stability considerations requiring temporary bracing and guying;</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(ii) Erection bridging terminus point;</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(iii) Anchor rod (anchor bolt) notifications regarding repair, replacement and modifications;</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(iv) Columns and beams (including joists and purlins);</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(v) Connections;</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(vi) Decking; and</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(vii) Ornamental and miscellaneous iron.</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(4) A description of the fall protection procedures that will be used to comply with §1926.760.</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(5) A description of the procedures that will be used to comply with §1926.759.</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(6) A description of the special procedures required for hazardous non-routine tasks.</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(7) A certification for each employee who has received training for performing steel erection operations as required by §1926.761.</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(8) A list of the qualified and competent persons.</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(9) A description of the procedures that will be utilized in the event of rescue or emergency response.</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(d) </w:t>
      </w:r>
      <w:r w:rsidRPr="007B6061">
        <w:rPr>
          <w:rFonts w:ascii="Arial" w:eastAsia="Times New Roman" w:hAnsi="Arial" w:cs="Arial"/>
          <w:i/>
          <w:iCs/>
          <w:color w:val="000000"/>
          <w:sz w:val="20"/>
          <w:szCs w:val="20"/>
        </w:rPr>
        <w:t>Other plan information.</w:t>
      </w:r>
      <w:r w:rsidRPr="007B6061">
        <w:rPr>
          <w:rFonts w:ascii="Arial" w:eastAsia="Times New Roman" w:hAnsi="Arial" w:cs="Arial"/>
          <w:color w:val="000000"/>
          <w:sz w:val="20"/>
          <w:szCs w:val="20"/>
        </w:rPr>
        <w:t> The plan:</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(1) Includes the identification of the site and project; and</w:t>
      </w:r>
    </w:p>
    <w:p w:rsidR="007B6061" w:rsidRPr="007B6061" w:rsidRDefault="007B6061" w:rsidP="007B6061">
      <w:pPr>
        <w:shd w:val="clear" w:color="auto" w:fill="FFFFFF"/>
        <w:spacing w:before="100" w:beforeAutospacing="1" w:after="100" w:afterAutospacing="1" w:line="240" w:lineRule="auto"/>
        <w:ind w:firstLine="480"/>
        <w:rPr>
          <w:rFonts w:ascii="Arial" w:eastAsia="Times New Roman" w:hAnsi="Arial" w:cs="Arial"/>
          <w:color w:val="000000"/>
          <w:sz w:val="20"/>
          <w:szCs w:val="20"/>
        </w:rPr>
      </w:pPr>
      <w:r w:rsidRPr="007B6061">
        <w:rPr>
          <w:rFonts w:ascii="Arial" w:eastAsia="Times New Roman" w:hAnsi="Arial" w:cs="Arial"/>
          <w:color w:val="000000"/>
          <w:sz w:val="20"/>
          <w:szCs w:val="20"/>
        </w:rPr>
        <w:t>(2) Is signed and dated by the qualified person(s) responsible for its preparation and modification.</w:t>
      </w:r>
    </w:p>
    <w:p w:rsidR="00481D70" w:rsidRDefault="00E537B9"/>
    <w:sectPr w:rsidR="00481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061"/>
    <w:rsid w:val="0004012A"/>
    <w:rsid w:val="007B6061"/>
    <w:rsid w:val="007C0191"/>
    <w:rsid w:val="009757C9"/>
    <w:rsid w:val="00AC169D"/>
    <w:rsid w:val="00B358B2"/>
    <w:rsid w:val="00E5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60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6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36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SHAPRA@dol.gov" TargetMode="External"/><Relationship Id="rId5" Type="http://schemas.openxmlformats.org/officeDocument/2006/relationships/hyperlink" Target="mailto:OSHAPRA@dol.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 - OSHA</dc:creator>
  <cp:lastModifiedBy>SYSTEM</cp:lastModifiedBy>
  <cp:revision>2</cp:revision>
  <dcterms:created xsi:type="dcterms:W3CDTF">2017-10-17T17:40:00Z</dcterms:created>
  <dcterms:modified xsi:type="dcterms:W3CDTF">2017-10-17T17:40:00Z</dcterms:modified>
</cp:coreProperties>
</file>