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4CE" w:rsidRPr="00313E33" w:rsidRDefault="000C1691" w:rsidP="000564CE">
      <w:pPr>
        <w:spacing w:after="0"/>
        <w:jc w:val="center"/>
        <w:rPr>
          <w:b/>
          <w:sz w:val="32"/>
        </w:rPr>
      </w:pPr>
      <w:bookmarkStart w:id="0" w:name="_GoBack"/>
      <w:bookmarkEnd w:id="0"/>
      <w:r w:rsidRPr="00313E33">
        <w:rPr>
          <w:b/>
          <w:sz w:val="32"/>
        </w:rPr>
        <w:t xml:space="preserve">SUPPORTING STATEMENT FOR </w:t>
      </w:r>
      <w:r w:rsidRPr="00313E33">
        <w:rPr>
          <w:b/>
          <w:sz w:val="32"/>
        </w:rPr>
        <w:br/>
        <w:t>PAPERWORK REDUCTION ACT SUBMISSION</w:t>
      </w:r>
      <w:r w:rsidR="00D11A71" w:rsidRPr="00313E33">
        <w:rPr>
          <w:b/>
          <w:sz w:val="32"/>
        </w:rPr>
        <w:br/>
      </w:r>
      <w:r w:rsidR="00D11A71" w:rsidRPr="00313E33">
        <w:rPr>
          <w:b/>
          <w:sz w:val="32"/>
        </w:rPr>
        <w:br/>
      </w:r>
      <w:r w:rsidR="000564CE" w:rsidRPr="00313E33">
        <w:rPr>
          <w:b/>
          <w:sz w:val="32"/>
        </w:rPr>
        <w:t xml:space="preserve">Statement of Non-Receipt of </w:t>
      </w:r>
      <w:r w:rsidR="00586EA0" w:rsidRPr="00313E33">
        <w:rPr>
          <w:b/>
          <w:sz w:val="32"/>
        </w:rPr>
        <w:t xml:space="preserve">a U.S. </w:t>
      </w:r>
      <w:r w:rsidR="000564CE" w:rsidRPr="00313E33">
        <w:rPr>
          <w:b/>
          <w:sz w:val="32"/>
        </w:rPr>
        <w:t>Passport</w:t>
      </w:r>
    </w:p>
    <w:p w:rsidR="000564CE" w:rsidRPr="00313E33" w:rsidRDefault="007F39B3" w:rsidP="000564CE">
      <w:pPr>
        <w:spacing w:after="360"/>
        <w:jc w:val="center"/>
        <w:rPr>
          <w:b/>
          <w:sz w:val="32"/>
        </w:rPr>
      </w:pPr>
      <w:r w:rsidRPr="00313E33">
        <w:rPr>
          <w:b/>
          <w:sz w:val="32"/>
        </w:rPr>
        <w:t>OMB Number 1405-</w:t>
      </w:r>
      <w:r w:rsidR="000564CE" w:rsidRPr="00313E33">
        <w:rPr>
          <w:b/>
          <w:sz w:val="32"/>
        </w:rPr>
        <w:t>0146</w:t>
      </w:r>
      <w:r w:rsidR="000564CE" w:rsidRPr="00313E33">
        <w:rPr>
          <w:b/>
          <w:i/>
          <w:color w:val="0000FF"/>
          <w:sz w:val="32"/>
        </w:rPr>
        <w:br/>
      </w:r>
      <w:r w:rsidR="000564CE" w:rsidRPr="00313E33">
        <w:rPr>
          <w:b/>
          <w:sz w:val="32"/>
        </w:rPr>
        <w:t>DS-86</w:t>
      </w:r>
    </w:p>
    <w:p w:rsidR="000C1691" w:rsidRPr="00313E33" w:rsidRDefault="000C1691" w:rsidP="008A5666">
      <w:pPr>
        <w:pStyle w:val="Heading1"/>
        <w:numPr>
          <w:ilvl w:val="0"/>
          <w:numId w:val="9"/>
        </w:numPr>
        <w:spacing w:after="0"/>
        <w:ind w:left="360"/>
        <w:jc w:val="both"/>
      </w:pPr>
      <w:r w:rsidRPr="00313E33">
        <w:t>JUSTIFICATION</w:t>
      </w:r>
    </w:p>
    <w:p w:rsidR="00586EA0" w:rsidRPr="00313E33" w:rsidRDefault="00586EA0" w:rsidP="008A5666">
      <w:pPr>
        <w:jc w:val="both"/>
      </w:pPr>
    </w:p>
    <w:p w:rsidR="000564CE" w:rsidRPr="00313E33" w:rsidRDefault="000564CE" w:rsidP="008A5666">
      <w:pPr>
        <w:numPr>
          <w:ilvl w:val="0"/>
          <w:numId w:val="1"/>
        </w:numPr>
        <w:spacing w:after="0"/>
        <w:jc w:val="both"/>
      </w:pPr>
      <w:r w:rsidRPr="00313E33">
        <w:t xml:space="preserve">The Statement of Non-Receipt of </w:t>
      </w:r>
      <w:r w:rsidR="00586EA0" w:rsidRPr="00313E33">
        <w:t xml:space="preserve">a U.S. </w:t>
      </w:r>
      <w:r w:rsidRPr="00313E33">
        <w:t>Passport, Form DS-0086, is used by the U.S. Department of State to collect information for the purpose of issuing a replacement passport to customers who have not received the passport</w:t>
      </w:r>
      <w:r w:rsidR="00A027A5" w:rsidRPr="00313E33">
        <w:t xml:space="preserve"> </w:t>
      </w:r>
      <w:r w:rsidR="00AF2B22" w:rsidRPr="00313E33">
        <w:t xml:space="preserve">products </w:t>
      </w:r>
      <w:r w:rsidRPr="00313E33">
        <w:t>for which they originally applied.</w:t>
      </w:r>
    </w:p>
    <w:p w:rsidR="009E7D2B" w:rsidRPr="00313E33" w:rsidRDefault="009E7D2B" w:rsidP="008A5666">
      <w:pPr>
        <w:spacing w:after="0"/>
        <w:ind w:left="540"/>
        <w:jc w:val="both"/>
      </w:pPr>
    </w:p>
    <w:p w:rsidR="006A1082" w:rsidRPr="00313E33" w:rsidRDefault="006A1082" w:rsidP="006A1082">
      <w:pPr>
        <w:spacing w:after="0"/>
        <w:ind w:left="540"/>
      </w:pPr>
      <w:r w:rsidRPr="00313E33">
        <w:t>The Secretary of State is authorized to issue U.S. passports under 22 U.S.C. § 211a et seq, 8 U.S.C. § 1104, and Executive Order 11295 (August 5, 1966). Pursuant to 22 C.F.R. §</w:t>
      </w:r>
      <w:r w:rsidR="004A7908" w:rsidRPr="00313E33">
        <w:t xml:space="preserve"> </w:t>
      </w:r>
      <w:r w:rsidRPr="00313E33">
        <w:t>51.2, only U.S. nationals may be issued a U.S. passport. </w:t>
      </w:r>
    </w:p>
    <w:p w:rsidR="000564CE" w:rsidRPr="00313E33" w:rsidRDefault="000564CE" w:rsidP="008A5666">
      <w:pPr>
        <w:pStyle w:val="NormalIndent"/>
        <w:spacing w:after="0"/>
        <w:jc w:val="both"/>
      </w:pPr>
    </w:p>
    <w:p w:rsidR="000564CE" w:rsidRPr="00313E33" w:rsidRDefault="000564CE" w:rsidP="008A5666">
      <w:pPr>
        <w:numPr>
          <w:ilvl w:val="0"/>
          <w:numId w:val="1"/>
        </w:numPr>
        <w:spacing w:after="0"/>
        <w:jc w:val="both"/>
      </w:pPr>
      <w:r w:rsidRPr="00313E33">
        <w:t xml:space="preserve">The information </w:t>
      </w:r>
      <w:r w:rsidR="00F719C9" w:rsidRPr="00313E33">
        <w:t xml:space="preserve">collected on the DS-86 </w:t>
      </w:r>
      <w:r w:rsidRPr="00313E33">
        <w:t>is used by the Department of State to help ensure that no person shall bear more than one valid U.S. passport book and passport card at any one time, except as authorized by the Department</w:t>
      </w:r>
      <w:r w:rsidR="00F719C9" w:rsidRPr="00313E33">
        <w:t xml:space="preserve">. The information on the form is also used to </w:t>
      </w:r>
      <w:r w:rsidRPr="00313E33">
        <w:t>combat</w:t>
      </w:r>
      <w:r w:rsidR="00F719C9" w:rsidRPr="00313E33">
        <w:t xml:space="preserve"> passport</w:t>
      </w:r>
      <w:r w:rsidRPr="00313E33">
        <w:t xml:space="preserve"> fraud and misuse.  </w:t>
      </w:r>
    </w:p>
    <w:p w:rsidR="000564CE" w:rsidRPr="00313E33" w:rsidRDefault="000564CE" w:rsidP="008A5666">
      <w:pPr>
        <w:spacing w:after="0"/>
        <w:jc w:val="both"/>
      </w:pPr>
    </w:p>
    <w:p w:rsidR="00B866E1" w:rsidRPr="00313E33" w:rsidRDefault="00B866E1" w:rsidP="00B866E1">
      <w:pPr>
        <w:pStyle w:val="BodyTextIndent2"/>
        <w:spacing w:after="0" w:line="240" w:lineRule="auto"/>
        <w:ind w:left="547"/>
      </w:pPr>
      <w:r w:rsidRPr="00313E33">
        <w:t xml:space="preserve">The DS-86 is retained in the files of the U.S. Department of State as a record attesting to the adjudication of citizenship of passport applicants, and the subsequent issuance of their passports.  These records are consulted when a U.S. passport has been lost and the bearer has no evidence of citizenship available or in support of derivative claim to citizenship made by an applicant’s children.  Consular personnel, in the event </w:t>
      </w:r>
      <w:r w:rsidR="00052ACE" w:rsidRPr="00313E33">
        <w:t>of emergency abroad involving U.S. nationals</w:t>
      </w:r>
      <w:r w:rsidRPr="00313E33">
        <w:t>, may also consult the records.  Information from the DS-</w:t>
      </w:r>
      <w:r w:rsidR="008726DA" w:rsidRPr="00313E33">
        <w:t>86</w:t>
      </w:r>
      <w:r w:rsidRPr="00313E33">
        <w:t xml:space="preserve"> may also be shared with other Federal agencies on a need-to-know basis when personnel from those agencies may lawfully be given access to such information.</w:t>
      </w:r>
    </w:p>
    <w:p w:rsidR="00D71E36" w:rsidRPr="00313E33" w:rsidRDefault="00D71E36" w:rsidP="00D811FA">
      <w:pPr>
        <w:spacing w:after="0"/>
        <w:ind w:left="540"/>
        <w:jc w:val="both"/>
      </w:pPr>
    </w:p>
    <w:p w:rsidR="00B866E1" w:rsidRPr="00313E33" w:rsidRDefault="00B866E1" w:rsidP="00B866E1">
      <w:pPr>
        <w:pStyle w:val="BodyTextIndent2"/>
        <w:tabs>
          <w:tab w:val="left" w:pos="720"/>
        </w:tabs>
        <w:spacing w:after="0" w:line="240" w:lineRule="auto"/>
        <w:ind w:left="547"/>
      </w:pPr>
      <w:r w:rsidRPr="00313E33">
        <w:t xml:space="preserve">The DS-86 becomes part of the applicant’s passport file, which is covered by the </w:t>
      </w:r>
      <w:r w:rsidR="00052ACE" w:rsidRPr="00313E33">
        <w:t>Privacy Act</w:t>
      </w:r>
      <w:r w:rsidRPr="00313E33">
        <w:t xml:space="preserve">.  The information contained in this file cannot be released except as provided by the Privacy </w:t>
      </w:r>
      <w:r w:rsidR="00DA318B" w:rsidRPr="00313E33">
        <w:t xml:space="preserve">Act </w:t>
      </w:r>
      <w:r w:rsidRPr="00313E33">
        <w:t>and Freedom of Information Act</w:t>
      </w:r>
      <w:r w:rsidR="00DA318B" w:rsidRPr="00313E33">
        <w:t>, or where otherwise authorized by law</w:t>
      </w:r>
      <w:r w:rsidRPr="00313E33">
        <w:t>.</w:t>
      </w:r>
    </w:p>
    <w:p w:rsidR="00B866E1" w:rsidRPr="00313E33" w:rsidRDefault="00B866E1" w:rsidP="00D811FA">
      <w:pPr>
        <w:spacing w:after="0"/>
        <w:ind w:left="540"/>
        <w:jc w:val="both"/>
      </w:pPr>
    </w:p>
    <w:p w:rsidR="00A027A5" w:rsidRPr="00313E33" w:rsidRDefault="004E5E2E" w:rsidP="00D811FA">
      <w:pPr>
        <w:pStyle w:val="ListParagraph"/>
        <w:numPr>
          <w:ilvl w:val="0"/>
          <w:numId w:val="1"/>
        </w:numPr>
        <w:spacing w:after="0"/>
        <w:jc w:val="both"/>
      </w:pPr>
      <w:r w:rsidRPr="00313E33">
        <w:t>Currently,</w:t>
      </w:r>
      <w:r w:rsidR="00A027A5" w:rsidRPr="00313E33">
        <w:t xml:space="preserve"> </w:t>
      </w:r>
      <w:r w:rsidRPr="00313E33">
        <w:t xml:space="preserve">the DS-86 is </w:t>
      </w:r>
      <w:r w:rsidR="00A027A5" w:rsidRPr="00313E33">
        <w:t xml:space="preserve">posted on the Department’s website, </w:t>
      </w:r>
      <w:hyperlink r:id="rId9" w:history="1">
        <w:r w:rsidR="00A027A5" w:rsidRPr="00313E33">
          <w:rPr>
            <w:rStyle w:val="Hyperlink"/>
          </w:rPr>
          <w:t>http://www.travel.state.gov</w:t>
        </w:r>
      </w:hyperlink>
      <w:r w:rsidR="00DA318B" w:rsidRPr="00313E33">
        <w:rPr>
          <w:rStyle w:val="Hyperlink"/>
        </w:rPr>
        <w:t>,</w:t>
      </w:r>
      <w:r w:rsidR="00A027A5" w:rsidRPr="00313E33">
        <w:t xml:space="preserve"> where applicants can complete the form online and print </w:t>
      </w:r>
      <w:r w:rsidR="00D239B2" w:rsidRPr="00313E33">
        <w:t xml:space="preserve">it </w:t>
      </w:r>
      <w:r w:rsidR="00A027A5" w:rsidRPr="00313E33">
        <w:t xml:space="preserve">for manual signature and submission. </w:t>
      </w:r>
    </w:p>
    <w:p w:rsidR="00A027A5" w:rsidRPr="00313E33" w:rsidRDefault="00A027A5" w:rsidP="00A027A5">
      <w:pPr>
        <w:pStyle w:val="ListParagraph"/>
        <w:spacing w:after="0"/>
        <w:ind w:left="540"/>
        <w:jc w:val="both"/>
      </w:pPr>
    </w:p>
    <w:p w:rsidR="00D0082E" w:rsidRPr="00313E33" w:rsidRDefault="00D0082E" w:rsidP="00A027A5">
      <w:pPr>
        <w:pStyle w:val="ListParagraph"/>
        <w:numPr>
          <w:ilvl w:val="0"/>
          <w:numId w:val="1"/>
        </w:numPr>
        <w:spacing w:after="0"/>
        <w:jc w:val="both"/>
      </w:pPr>
      <w:r w:rsidRPr="00313E33">
        <w:t>Aside from necessary basic self-identification data, the information requested does not duplicate information available elsewhere.</w:t>
      </w:r>
      <w:r w:rsidR="009E7D2B" w:rsidRPr="00313E33">
        <w:t xml:space="preserve"> </w:t>
      </w:r>
      <w:r w:rsidRPr="00313E33">
        <w:t xml:space="preserve"> </w:t>
      </w:r>
      <w:r w:rsidR="00A027A5" w:rsidRPr="00313E33">
        <w:t xml:space="preserve">The DS-86 is </w:t>
      </w:r>
      <w:r w:rsidR="00D239B2" w:rsidRPr="00313E33">
        <w:t xml:space="preserve">the </w:t>
      </w:r>
      <w:r w:rsidR="00A027A5" w:rsidRPr="00313E33">
        <w:t xml:space="preserve">sole U.S. Department of State form used by applicants who have not received passport </w:t>
      </w:r>
      <w:r w:rsidR="00DA318B" w:rsidRPr="00313E33">
        <w:t xml:space="preserve">products </w:t>
      </w:r>
      <w:r w:rsidR="00A027A5" w:rsidRPr="00313E33">
        <w:t xml:space="preserve">for which they originally applied. </w:t>
      </w:r>
    </w:p>
    <w:p w:rsidR="00D0082E" w:rsidRPr="00313E33" w:rsidRDefault="00D0082E" w:rsidP="008A5666">
      <w:pPr>
        <w:spacing w:after="0"/>
        <w:ind w:left="360"/>
        <w:jc w:val="both"/>
      </w:pPr>
    </w:p>
    <w:p w:rsidR="00E53B11" w:rsidRPr="00313E33" w:rsidRDefault="00E53B11" w:rsidP="008A5666">
      <w:pPr>
        <w:numPr>
          <w:ilvl w:val="0"/>
          <w:numId w:val="1"/>
        </w:numPr>
        <w:spacing w:after="0"/>
        <w:jc w:val="both"/>
      </w:pPr>
      <w:r w:rsidRPr="00313E33">
        <w:t xml:space="preserve">The collection of information may have a minimal impact on small businesses and other small entities if the small business representative is required to travel overseas for business.  </w:t>
      </w:r>
      <w:r w:rsidR="00502D4B" w:rsidRPr="00313E33">
        <w:t>A</w:t>
      </w:r>
      <w:r w:rsidRPr="00313E33">
        <w:t xml:space="preserve"> passport is </w:t>
      </w:r>
      <w:r w:rsidR="00502D4B" w:rsidRPr="00313E33">
        <w:t xml:space="preserve">generally </w:t>
      </w:r>
      <w:r w:rsidRPr="00313E33">
        <w:t>needed for overseas activities</w:t>
      </w:r>
      <w:r w:rsidR="00502D4B" w:rsidRPr="00313E33">
        <w:t>, and to return to the United States</w:t>
      </w:r>
      <w:r w:rsidRPr="00313E33">
        <w:t>.</w:t>
      </w:r>
    </w:p>
    <w:p w:rsidR="000564CE" w:rsidRPr="00313E33" w:rsidRDefault="000564CE" w:rsidP="008A5666">
      <w:pPr>
        <w:spacing w:after="0"/>
        <w:jc w:val="both"/>
      </w:pPr>
    </w:p>
    <w:p w:rsidR="00E53B11" w:rsidRPr="00313E33" w:rsidRDefault="000564CE" w:rsidP="008A5666">
      <w:pPr>
        <w:numPr>
          <w:ilvl w:val="0"/>
          <w:numId w:val="1"/>
        </w:numPr>
        <w:spacing w:after="0"/>
        <w:jc w:val="both"/>
      </w:pPr>
      <w:r w:rsidRPr="00313E33">
        <w:t>The information cannot be collected less frequently, as it must be collected whenever a passport</w:t>
      </w:r>
      <w:r w:rsidR="00DA318B" w:rsidRPr="00313E33">
        <w:t xml:space="preserve"> product</w:t>
      </w:r>
      <w:r w:rsidRPr="00313E33">
        <w:t xml:space="preserve"> is not received by an applicant.  Eliminating this collection would impede prompt re-issuance of passports to applicants when the ori</w:t>
      </w:r>
      <w:r w:rsidR="00E53B11" w:rsidRPr="00313E33">
        <w:t>ginal passport</w:t>
      </w:r>
      <w:r w:rsidR="00DA318B" w:rsidRPr="00313E33">
        <w:t xml:space="preserve"> product</w:t>
      </w:r>
      <w:r w:rsidR="00E53B11" w:rsidRPr="00313E33">
        <w:t xml:space="preserve"> is not received.  </w:t>
      </w:r>
    </w:p>
    <w:p w:rsidR="00E53B11" w:rsidRPr="00313E33" w:rsidRDefault="00E53B11" w:rsidP="008A5666">
      <w:pPr>
        <w:spacing w:after="0"/>
        <w:ind w:left="360"/>
        <w:jc w:val="both"/>
      </w:pPr>
    </w:p>
    <w:p w:rsidR="000564CE" w:rsidRPr="00313E33" w:rsidRDefault="000564CE" w:rsidP="008A5666">
      <w:pPr>
        <w:numPr>
          <w:ilvl w:val="0"/>
          <w:numId w:val="1"/>
        </w:numPr>
        <w:spacing w:after="0"/>
        <w:jc w:val="both"/>
      </w:pPr>
      <w:r w:rsidRPr="00313E33">
        <w:t>No such special circumstances exist.</w:t>
      </w:r>
    </w:p>
    <w:p w:rsidR="000564CE" w:rsidRPr="00313E33" w:rsidRDefault="000564CE" w:rsidP="008A5666">
      <w:pPr>
        <w:pStyle w:val="ListParagraph"/>
        <w:spacing w:after="0"/>
        <w:jc w:val="both"/>
      </w:pPr>
    </w:p>
    <w:p w:rsidR="004A7908" w:rsidRPr="00313E33" w:rsidRDefault="005B70D0" w:rsidP="002059D4">
      <w:pPr>
        <w:pStyle w:val="ListParagraph"/>
        <w:numPr>
          <w:ilvl w:val="0"/>
          <w:numId w:val="1"/>
        </w:numPr>
        <w:spacing w:after="0"/>
        <w:jc w:val="both"/>
        <w:rPr>
          <w:szCs w:val="24"/>
        </w:rPr>
      </w:pPr>
      <w:r w:rsidRPr="00313E33">
        <w:rPr>
          <w:szCs w:val="24"/>
        </w:rPr>
        <w:t xml:space="preserve">The Department published a notice in the Federal Register on </w:t>
      </w:r>
      <w:r w:rsidR="002059D4" w:rsidRPr="00313E33">
        <w:rPr>
          <w:szCs w:val="24"/>
        </w:rPr>
        <w:t>March 15</w:t>
      </w:r>
      <w:r w:rsidRPr="00313E33">
        <w:rPr>
          <w:szCs w:val="24"/>
        </w:rPr>
        <w:t xml:space="preserve">, </w:t>
      </w:r>
      <w:r w:rsidR="004A7908" w:rsidRPr="00313E33">
        <w:rPr>
          <w:szCs w:val="24"/>
        </w:rPr>
        <w:t xml:space="preserve">2017 </w:t>
      </w:r>
      <w:r w:rsidRPr="00313E33">
        <w:rPr>
          <w:szCs w:val="24"/>
        </w:rPr>
        <w:t>(</w:t>
      </w:r>
      <w:r w:rsidR="002059D4" w:rsidRPr="00313E33">
        <w:rPr>
          <w:szCs w:val="24"/>
        </w:rPr>
        <w:t>82 FR 13915</w:t>
      </w:r>
      <w:r w:rsidRPr="00313E33">
        <w:rPr>
          <w:szCs w:val="24"/>
        </w:rPr>
        <w:t>) soliciting public comments and received one comment stating</w:t>
      </w:r>
      <w:r w:rsidR="00880C3C" w:rsidRPr="00313E33">
        <w:rPr>
          <w:szCs w:val="24"/>
        </w:rPr>
        <w:t xml:space="preserve"> in part</w:t>
      </w:r>
      <w:r w:rsidR="004A7908" w:rsidRPr="00313E33">
        <w:rPr>
          <w:iCs/>
          <w:szCs w:val="24"/>
        </w:rPr>
        <w:t>:</w:t>
      </w:r>
    </w:p>
    <w:p w:rsidR="004A7908" w:rsidRPr="00313E33" w:rsidRDefault="004A7908" w:rsidP="007938EE">
      <w:pPr>
        <w:pStyle w:val="ListParagraph"/>
        <w:spacing w:after="0"/>
        <w:ind w:left="540"/>
        <w:jc w:val="both"/>
        <w:rPr>
          <w:iCs/>
          <w:szCs w:val="24"/>
        </w:rPr>
      </w:pPr>
    </w:p>
    <w:p w:rsidR="004A7908" w:rsidRPr="00313E33" w:rsidRDefault="004A7908" w:rsidP="007938EE">
      <w:pPr>
        <w:pStyle w:val="ListParagraph"/>
        <w:spacing w:after="0"/>
        <w:jc w:val="both"/>
        <w:rPr>
          <w:szCs w:val="24"/>
        </w:rPr>
      </w:pPr>
      <w:r w:rsidRPr="00313E33">
        <w:rPr>
          <w:iCs/>
          <w:szCs w:val="24"/>
        </w:rPr>
        <w:t xml:space="preserve">I think we need much more investigation when this goes on and people think they can easily get another passport.  </w:t>
      </w:r>
      <w:r w:rsidRPr="00313E33">
        <w:rPr>
          <w:szCs w:val="24"/>
          <w:shd w:val="clear" w:color="auto" w:fill="FFFFFF"/>
        </w:rPr>
        <w:t xml:space="preserve">The fact is they sell them on the black market for thousands of dollars to those who want to claim to be in the US legally.  So that we need people who allegedly “lose” to come into the office and to be asked some investigatory questions. </w:t>
      </w:r>
      <w:r w:rsidR="005B70D0" w:rsidRPr="00313E33">
        <w:rPr>
          <w:i/>
          <w:szCs w:val="24"/>
        </w:rPr>
        <w:t xml:space="preserve">(sic) </w:t>
      </w:r>
    </w:p>
    <w:p w:rsidR="004A7908" w:rsidRPr="00313E33" w:rsidRDefault="004A7908" w:rsidP="007938EE">
      <w:pPr>
        <w:pStyle w:val="ListParagraph"/>
        <w:spacing w:after="0"/>
        <w:ind w:left="540"/>
        <w:jc w:val="both"/>
        <w:rPr>
          <w:szCs w:val="24"/>
        </w:rPr>
      </w:pPr>
    </w:p>
    <w:p w:rsidR="005B70D0" w:rsidRPr="00313E33" w:rsidRDefault="00762D3D" w:rsidP="007938EE">
      <w:pPr>
        <w:pStyle w:val="ListParagraph"/>
        <w:spacing w:after="0"/>
        <w:ind w:left="540"/>
        <w:jc w:val="both"/>
        <w:rPr>
          <w:szCs w:val="24"/>
        </w:rPr>
      </w:pPr>
      <w:r w:rsidRPr="00313E33">
        <w:rPr>
          <w:szCs w:val="24"/>
        </w:rPr>
        <w:t>T</w:t>
      </w:r>
      <w:r w:rsidR="005B70D0" w:rsidRPr="00313E33">
        <w:rPr>
          <w:szCs w:val="24"/>
        </w:rPr>
        <w:t xml:space="preserve">o combat the potential fraudulent use of the DS-86, </w:t>
      </w:r>
      <w:r w:rsidR="002059D4" w:rsidRPr="00313E33">
        <w:rPr>
          <w:szCs w:val="24"/>
        </w:rPr>
        <w:t xml:space="preserve">once a DS-86 is requested or submitted, the Department immediately invalidates the </w:t>
      </w:r>
      <w:r w:rsidRPr="00313E33">
        <w:rPr>
          <w:szCs w:val="24"/>
        </w:rPr>
        <w:t xml:space="preserve">previously issued </w:t>
      </w:r>
      <w:r w:rsidR="002059D4" w:rsidRPr="00313E33">
        <w:rPr>
          <w:szCs w:val="24"/>
        </w:rPr>
        <w:t xml:space="preserve">passport so it may not be used.  In addition, </w:t>
      </w:r>
      <w:r w:rsidR="005B70D0" w:rsidRPr="00313E33">
        <w:rPr>
          <w:szCs w:val="24"/>
        </w:rPr>
        <w:t>the Department limits the use of the</w:t>
      </w:r>
      <w:r w:rsidR="002059D4" w:rsidRPr="00313E33">
        <w:rPr>
          <w:szCs w:val="24"/>
        </w:rPr>
        <w:t xml:space="preserve"> DS-86</w:t>
      </w:r>
      <w:r w:rsidR="005B70D0" w:rsidRPr="00313E33">
        <w:rPr>
          <w:szCs w:val="24"/>
        </w:rPr>
        <w:t xml:space="preserve"> form to </w:t>
      </w:r>
      <w:r w:rsidR="002059D4" w:rsidRPr="00313E33">
        <w:rPr>
          <w:szCs w:val="24"/>
        </w:rPr>
        <w:t xml:space="preserve">90 days from when the passport was issued.  </w:t>
      </w:r>
      <w:r w:rsidR="00880C3C" w:rsidRPr="00313E33">
        <w:rPr>
          <w:szCs w:val="24"/>
        </w:rPr>
        <w:t xml:space="preserve">Individuals </w:t>
      </w:r>
      <w:r w:rsidRPr="00313E33">
        <w:rPr>
          <w:szCs w:val="24"/>
        </w:rPr>
        <w:t xml:space="preserve">who report </w:t>
      </w:r>
      <w:r w:rsidR="00880C3C" w:rsidRPr="00313E33">
        <w:rPr>
          <w:szCs w:val="24"/>
        </w:rPr>
        <w:t>l</w:t>
      </w:r>
      <w:r w:rsidR="002059D4" w:rsidRPr="00313E33">
        <w:rPr>
          <w:szCs w:val="24"/>
        </w:rPr>
        <w:t>ost</w:t>
      </w:r>
      <w:r w:rsidR="00880C3C" w:rsidRPr="00313E33">
        <w:rPr>
          <w:szCs w:val="24"/>
        </w:rPr>
        <w:t xml:space="preserve"> or </w:t>
      </w:r>
      <w:r w:rsidR="002059D4" w:rsidRPr="00313E33">
        <w:rPr>
          <w:szCs w:val="24"/>
        </w:rPr>
        <w:t xml:space="preserve">stolen passports outside the 90 day window will need to appear in-person </w:t>
      </w:r>
      <w:r w:rsidR="00880C3C" w:rsidRPr="00313E33">
        <w:rPr>
          <w:szCs w:val="24"/>
        </w:rPr>
        <w:t xml:space="preserve">and complete </w:t>
      </w:r>
      <w:r w:rsidR="002059D4" w:rsidRPr="00313E33">
        <w:rPr>
          <w:szCs w:val="24"/>
        </w:rPr>
        <w:t xml:space="preserve">a DS-64, Statement Regarding a Lost or Stolen Passport, and a DS-11, Application for a U.S. Passport. </w:t>
      </w:r>
    </w:p>
    <w:p w:rsidR="005B70D0" w:rsidRPr="00313E33" w:rsidRDefault="005B70D0" w:rsidP="005B70D0">
      <w:pPr>
        <w:pStyle w:val="ListParagraph"/>
        <w:spacing w:after="0"/>
        <w:ind w:left="540"/>
        <w:jc w:val="both"/>
        <w:rPr>
          <w:szCs w:val="24"/>
        </w:rPr>
      </w:pPr>
    </w:p>
    <w:p w:rsidR="000564CE" w:rsidRPr="00313E33" w:rsidRDefault="000564CE" w:rsidP="008A5666">
      <w:pPr>
        <w:numPr>
          <w:ilvl w:val="0"/>
          <w:numId w:val="1"/>
        </w:numPr>
        <w:spacing w:after="0"/>
        <w:jc w:val="both"/>
      </w:pPr>
      <w:r w:rsidRPr="00313E33">
        <w:t>This information collection does not provide any payment or gift to respondents.</w:t>
      </w:r>
    </w:p>
    <w:p w:rsidR="000564CE" w:rsidRPr="00313E33" w:rsidRDefault="000564CE" w:rsidP="008A5666">
      <w:pPr>
        <w:pStyle w:val="ListParagraph"/>
        <w:spacing w:after="0"/>
        <w:jc w:val="both"/>
      </w:pPr>
    </w:p>
    <w:p w:rsidR="007C25D2" w:rsidRPr="00313E33" w:rsidRDefault="00AF5887" w:rsidP="00AF5887">
      <w:pPr>
        <w:pStyle w:val="BodyTextIndent"/>
        <w:numPr>
          <w:ilvl w:val="0"/>
          <w:numId w:val="1"/>
        </w:numPr>
        <w:tabs>
          <w:tab w:val="clear" w:pos="720"/>
        </w:tabs>
      </w:pPr>
      <w:r w:rsidRPr="00313E33">
        <w:t>This form includes a Privacy Act statement explaining the routine uses of the information collected under the Act.  There are no promises of confidentiality to the respondents other than those contained in federal statutes and regulations</w:t>
      </w:r>
    </w:p>
    <w:p w:rsidR="000564CE" w:rsidRPr="00313E33" w:rsidRDefault="000564CE" w:rsidP="008A5666">
      <w:pPr>
        <w:pStyle w:val="ListParagraph"/>
        <w:spacing w:after="0"/>
        <w:jc w:val="both"/>
      </w:pPr>
    </w:p>
    <w:p w:rsidR="007C25D2" w:rsidRPr="00313E33" w:rsidRDefault="007C25D2" w:rsidP="008A5666">
      <w:pPr>
        <w:pStyle w:val="BodyTextIndent"/>
        <w:numPr>
          <w:ilvl w:val="0"/>
          <w:numId w:val="1"/>
        </w:numPr>
        <w:tabs>
          <w:tab w:val="clear" w:pos="720"/>
        </w:tabs>
      </w:pPr>
      <w:r w:rsidRPr="00313E33">
        <w:t>The DS-</w:t>
      </w:r>
      <w:r w:rsidR="00D97797" w:rsidRPr="00313E33">
        <w:t>86</w:t>
      </w:r>
      <w:r w:rsidRPr="00313E33">
        <w:t xml:space="preserve"> does not ask questions of a sensitive nature.  The DS-</w:t>
      </w:r>
      <w:r w:rsidR="00D97797" w:rsidRPr="00313E33">
        <w:t>86</w:t>
      </w:r>
      <w:r w:rsidRPr="00313E33">
        <w:t xml:space="preserve"> collection of information asks the </w:t>
      </w:r>
      <w:r w:rsidR="00D239B2" w:rsidRPr="00313E33">
        <w:t xml:space="preserve">applicant </w:t>
      </w:r>
      <w:r w:rsidRPr="00313E33">
        <w:t xml:space="preserve">to provide a Social Security number to </w:t>
      </w:r>
      <w:r w:rsidR="00D97797" w:rsidRPr="00313E33">
        <w:t xml:space="preserve">assist in establishing and verifying the applicant’s identity.  </w:t>
      </w:r>
      <w:r w:rsidRPr="00313E33">
        <w:t xml:space="preserve">The applicant’s identity must be established before a passport can be issued.  </w:t>
      </w:r>
    </w:p>
    <w:p w:rsidR="000564CE" w:rsidRPr="00313E33" w:rsidRDefault="000564CE" w:rsidP="008A5666">
      <w:pPr>
        <w:pStyle w:val="ListParagraph"/>
        <w:spacing w:after="0"/>
        <w:jc w:val="both"/>
      </w:pPr>
    </w:p>
    <w:p w:rsidR="007A6BED" w:rsidRPr="00313E33" w:rsidRDefault="007C25D2" w:rsidP="008A5666">
      <w:pPr>
        <w:numPr>
          <w:ilvl w:val="0"/>
          <w:numId w:val="1"/>
        </w:numPr>
        <w:spacing w:after="0"/>
        <w:ind w:left="547"/>
        <w:jc w:val="both"/>
      </w:pPr>
      <w:r w:rsidRPr="00313E33">
        <w:t>Passport Services estimates that</w:t>
      </w:r>
      <w:r w:rsidR="00880C3C" w:rsidRPr="00313E33">
        <w:t xml:space="preserve"> approximately 15,330 individuals will complete the form, and that</w:t>
      </w:r>
      <w:r w:rsidRPr="00313E33">
        <w:t xml:space="preserve"> the average time required for this information collection is </w:t>
      </w:r>
      <w:r w:rsidR="007A6BED" w:rsidRPr="00313E33">
        <w:t>1</w:t>
      </w:r>
      <w:r w:rsidR="00E8138D" w:rsidRPr="00313E33">
        <w:t>5 minutes or 0.</w:t>
      </w:r>
      <w:r w:rsidR="00AB3A73" w:rsidRPr="00313E33">
        <w:t>25</w:t>
      </w:r>
      <w:r w:rsidR="00E8138D" w:rsidRPr="00313E33">
        <w:t xml:space="preserve"> hour </w:t>
      </w:r>
      <w:r w:rsidRPr="00313E33">
        <w:t>per response.  Therefore, the estimated total annual burden for this collection is:</w:t>
      </w:r>
    </w:p>
    <w:p w:rsidR="007A6BED" w:rsidRPr="00313E33" w:rsidRDefault="007A6BED" w:rsidP="008A5666">
      <w:pPr>
        <w:spacing w:after="0"/>
        <w:jc w:val="both"/>
      </w:pPr>
    </w:p>
    <w:p w:rsidR="007C25D2" w:rsidRPr="00313E33" w:rsidRDefault="009E1A40" w:rsidP="008A5666">
      <w:pPr>
        <w:spacing w:after="0"/>
        <w:ind w:left="547"/>
        <w:jc w:val="both"/>
      </w:pPr>
      <w:r w:rsidRPr="00313E33">
        <w:t>15,</w:t>
      </w:r>
      <w:r w:rsidR="001746D3" w:rsidRPr="00313E33">
        <w:t xml:space="preserve">330 </w:t>
      </w:r>
      <w:r w:rsidR="007C25D2" w:rsidRPr="00313E33">
        <w:t xml:space="preserve">(number of respondents) x </w:t>
      </w:r>
      <w:r w:rsidR="00880C3C" w:rsidRPr="00313E33">
        <w:t>0.25 (hours)</w:t>
      </w:r>
      <w:r w:rsidRPr="00313E33">
        <w:t xml:space="preserve"> </w:t>
      </w:r>
      <w:r w:rsidR="007C25D2" w:rsidRPr="00313E33">
        <w:t>=</w:t>
      </w:r>
      <w:r w:rsidRPr="00313E33">
        <w:t xml:space="preserve"> </w:t>
      </w:r>
      <w:r w:rsidR="007A6BED" w:rsidRPr="00313E33">
        <w:rPr>
          <w:b/>
        </w:rPr>
        <w:t>3,</w:t>
      </w:r>
      <w:r w:rsidR="00977BE7" w:rsidRPr="00313E33">
        <w:rPr>
          <w:b/>
        </w:rPr>
        <w:t>83</w:t>
      </w:r>
      <w:r w:rsidR="005A12EB" w:rsidRPr="00313E33">
        <w:rPr>
          <w:b/>
        </w:rPr>
        <w:t>3</w:t>
      </w:r>
      <w:r w:rsidRPr="00313E33">
        <w:t xml:space="preserve"> </w:t>
      </w:r>
      <w:r w:rsidR="007C25D2" w:rsidRPr="00313E33">
        <w:t>hours per year.</w:t>
      </w:r>
    </w:p>
    <w:p w:rsidR="00315C63" w:rsidRPr="00313E33" w:rsidRDefault="00315C63" w:rsidP="008A5666">
      <w:pPr>
        <w:pStyle w:val="BodyTextIndent"/>
        <w:tabs>
          <w:tab w:val="clear" w:pos="720"/>
        </w:tabs>
        <w:ind w:left="540"/>
      </w:pPr>
    </w:p>
    <w:p w:rsidR="006455C6" w:rsidRPr="00313E33" w:rsidRDefault="006455C6" w:rsidP="008A5666">
      <w:pPr>
        <w:spacing w:after="0"/>
        <w:ind w:left="540"/>
        <w:jc w:val="both"/>
      </w:pPr>
      <w:r w:rsidRPr="00313E33">
        <w:t xml:space="preserve">The estimated number of minutes required per response is based on a sampling of the time required to search existing data sources, gather the necessary information, provide the information required, make photocopies of the front and back side of the applicant’s identification document, review the final collection, and submit the collection to Passport Services for processing.  </w:t>
      </w:r>
    </w:p>
    <w:p w:rsidR="006455C6" w:rsidRPr="00313E33" w:rsidRDefault="006455C6" w:rsidP="008A5666">
      <w:pPr>
        <w:pStyle w:val="BodyTextIndent"/>
        <w:tabs>
          <w:tab w:val="clear" w:pos="720"/>
        </w:tabs>
        <w:ind w:left="540"/>
      </w:pPr>
    </w:p>
    <w:p w:rsidR="007C25D2" w:rsidRPr="00313E33" w:rsidRDefault="007C25D2" w:rsidP="008A5666">
      <w:pPr>
        <w:pStyle w:val="BodyTextIndent"/>
        <w:tabs>
          <w:tab w:val="clear" w:pos="720"/>
        </w:tabs>
        <w:ind w:left="540"/>
      </w:pPr>
      <w:r w:rsidRPr="00313E33">
        <w:t>To estimate the cost to respondents for this form based on the hourly wage and weighted wage multiplier, the Department calculated the following:</w:t>
      </w:r>
    </w:p>
    <w:p w:rsidR="007C25D2" w:rsidRPr="00313E33" w:rsidRDefault="007C25D2" w:rsidP="008A5666">
      <w:pPr>
        <w:pStyle w:val="BodyTextIndent"/>
        <w:tabs>
          <w:tab w:val="clear" w:pos="720"/>
        </w:tabs>
        <w:ind w:left="540"/>
      </w:pPr>
    </w:p>
    <w:p w:rsidR="007C25D2" w:rsidRPr="00313E33" w:rsidRDefault="007C25D2" w:rsidP="008A5666">
      <w:pPr>
        <w:pStyle w:val="BodyTextIndent"/>
        <w:tabs>
          <w:tab w:val="clear" w:pos="720"/>
        </w:tabs>
        <w:ind w:left="540"/>
      </w:pPr>
      <w:r w:rsidRPr="00313E33">
        <w:t>$</w:t>
      </w:r>
      <w:r w:rsidR="00E61033" w:rsidRPr="00313E33">
        <w:t>23.23</w:t>
      </w:r>
      <w:r w:rsidRPr="00313E33">
        <w:t xml:space="preserve"> (mean hourly earnings based on estimated income per hour from the Bureau of Labor Statistics</w:t>
      </w:r>
      <w:r w:rsidR="00A326EF" w:rsidRPr="00313E33">
        <w:t xml:space="preserve">) </w:t>
      </w:r>
      <w:r w:rsidRPr="00313E33">
        <w:t xml:space="preserve">x 1.4 (weighted wage multiplier) = </w:t>
      </w:r>
      <w:r w:rsidRPr="00313E33">
        <w:rPr>
          <w:b/>
        </w:rPr>
        <w:t>$3</w:t>
      </w:r>
      <w:r w:rsidR="008553BC" w:rsidRPr="00313E33">
        <w:rPr>
          <w:b/>
        </w:rPr>
        <w:t>2</w:t>
      </w:r>
      <w:r w:rsidRPr="00313E33">
        <w:rPr>
          <w:b/>
        </w:rPr>
        <w:t>.</w:t>
      </w:r>
      <w:r w:rsidR="008553BC" w:rsidRPr="00313E33">
        <w:rPr>
          <w:b/>
        </w:rPr>
        <w:t>52</w:t>
      </w:r>
      <w:r w:rsidRPr="00313E33">
        <w:t xml:space="preserve"> weighted wage</w:t>
      </w:r>
    </w:p>
    <w:p w:rsidR="007C25D2" w:rsidRPr="00313E33" w:rsidRDefault="007C25D2" w:rsidP="008A5666">
      <w:pPr>
        <w:pStyle w:val="BodyTextIndent"/>
        <w:tabs>
          <w:tab w:val="clear" w:pos="720"/>
        </w:tabs>
        <w:ind w:left="540"/>
      </w:pPr>
    </w:p>
    <w:p w:rsidR="007C25D2" w:rsidRPr="00313E33" w:rsidRDefault="00977BE7" w:rsidP="008A5666">
      <w:pPr>
        <w:pStyle w:val="BodyTextIndent"/>
        <w:tabs>
          <w:tab w:val="clear" w:pos="720"/>
        </w:tabs>
        <w:ind w:left="540"/>
      </w:pPr>
      <w:r w:rsidRPr="00313E33">
        <w:t>3,83</w:t>
      </w:r>
      <w:r w:rsidR="009F060E" w:rsidRPr="00313E33">
        <w:t>3</w:t>
      </w:r>
      <w:r w:rsidR="007C25D2" w:rsidRPr="00313E33">
        <w:t xml:space="preserve"> (annual hours) x $3</w:t>
      </w:r>
      <w:r w:rsidR="008553BC" w:rsidRPr="00313E33">
        <w:t>2</w:t>
      </w:r>
      <w:r w:rsidR="007C25D2" w:rsidRPr="00313E33">
        <w:t>.</w:t>
      </w:r>
      <w:r w:rsidR="008553BC" w:rsidRPr="00313E33">
        <w:t>52</w:t>
      </w:r>
      <w:r w:rsidR="007C25D2" w:rsidRPr="00313E33">
        <w:t xml:space="preserve"> (weighted wage) = </w:t>
      </w:r>
      <w:r w:rsidR="007C25D2" w:rsidRPr="00313E33">
        <w:rPr>
          <w:b/>
        </w:rPr>
        <w:t>$</w:t>
      </w:r>
      <w:r w:rsidRPr="00313E33">
        <w:rPr>
          <w:b/>
        </w:rPr>
        <w:t>12</w:t>
      </w:r>
      <w:r w:rsidR="008553BC" w:rsidRPr="00313E33">
        <w:rPr>
          <w:b/>
        </w:rPr>
        <w:t>4</w:t>
      </w:r>
      <w:r w:rsidRPr="00313E33">
        <w:rPr>
          <w:b/>
        </w:rPr>
        <w:t>,</w:t>
      </w:r>
      <w:r w:rsidR="008553BC" w:rsidRPr="00313E33">
        <w:rPr>
          <w:b/>
        </w:rPr>
        <w:t>649</w:t>
      </w:r>
      <w:r w:rsidR="009F060E" w:rsidRPr="00313E33">
        <w:t xml:space="preserve"> </w:t>
      </w:r>
      <w:r w:rsidR="007C25D2" w:rsidRPr="00313E33">
        <w:t>(hour burden cost)</w:t>
      </w:r>
    </w:p>
    <w:p w:rsidR="007C25D2" w:rsidRPr="00313E33" w:rsidRDefault="007C25D2" w:rsidP="008A5666">
      <w:pPr>
        <w:pStyle w:val="BodyTextIndent"/>
        <w:tabs>
          <w:tab w:val="clear" w:pos="720"/>
        </w:tabs>
        <w:ind w:left="540"/>
        <w:rPr>
          <w:b/>
        </w:rPr>
      </w:pPr>
    </w:p>
    <w:p w:rsidR="00EB748B" w:rsidRPr="00313E33" w:rsidRDefault="00351836" w:rsidP="00815723">
      <w:pPr>
        <w:pStyle w:val="Subtitle"/>
        <w:numPr>
          <w:ilvl w:val="0"/>
          <w:numId w:val="1"/>
        </w:numPr>
        <w:spacing w:after="0"/>
        <w:rPr>
          <w:rFonts w:ascii="Times New Roman" w:hAnsi="Times New Roman" w:cs="Times New Roman"/>
          <w:i w:val="0"/>
          <w:color w:val="auto"/>
          <w:spacing w:val="0"/>
        </w:rPr>
      </w:pPr>
      <w:r w:rsidRPr="00313E33">
        <w:rPr>
          <w:rFonts w:ascii="Times New Roman" w:hAnsi="Times New Roman" w:cs="Times New Roman"/>
          <w:i w:val="0"/>
          <w:color w:val="auto"/>
          <w:spacing w:val="0"/>
        </w:rPr>
        <w:t>To properly complete and submit a DS-86</w:t>
      </w:r>
      <w:r w:rsidR="00F058A5" w:rsidRPr="00313E33">
        <w:rPr>
          <w:rFonts w:ascii="Times New Roman" w:hAnsi="Times New Roman" w:cs="Times New Roman"/>
          <w:i w:val="0"/>
          <w:color w:val="auto"/>
          <w:spacing w:val="0"/>
        </w:rPr>
        <w:t>,</w:t>
      </w:r>
      <w:r w:rsidRPr="00313E33">
        <w:rPr>
          <w:rFonts w:ascii="Times New Roman" w:hAnsi="Times New Roman" w:cs="Times New Roman"/>
          <w:i w:val="0"/>
          <w:color w:val="auto"/>
          <w:spacing w:val="0"/>
        </w:rPr>
        <w:t xml:space="preserve"> </w:t>
      </w:r>
      <w:r w:rsidR="00F058A5" w:rsidRPr="00313E33">
        <w:rPr>
          <w:rFonts w:ascii="Times New Roman" w:hAnsi="Times New Roman" w:cs="Times New Roman"/>
          <w:i w:val="0"/>
          <w:color w:val="auto"/>
          <w:spacing w:val="0"/>
        </w:rPr>
        <w:t>“</w:t>
      </w:r>
      <w:r w:rsidR="00E55B09" w:rsidRPr="00313E33">
        <w:rPr>
          <w:rFonts w:ascii="Times New Roman" w:hAnsi="Times New Roman" w:cs="Times New Roman"/>
          <w:i w:val="0"/>
          <w:color w:val="auto"/>
          <w:spacing w:val="0"/>
        </w:rPr>
        <w:t>Statement of Non-Receipt of a U.S. Passport</w:t>
      </w:r>
      <w:r w:rsidR="00F058A5" w:rsidRPr="00313E33">
        <w:rPr>
          <w:rFonts w:ascii="Times New Roman" w:hAnsi="Times New Roman" w:cs="Times New Roman"/>
          <w:i w:val="0"/>
          <w:color w:val="auto"/>
          <w:spacing w:val="0"/>
        </w:rPr>
        <w:t>”</w:t>
      </w:r>
      <w:r w:rsidR="00E55B09" w:rsidRPr="00313E33">
        <w:rPr>
          <w:rFonts w:ascii="Times New Roman" w:hAnsi="Times New Roman" w:cs="Times New Roman"/>
          <w:i w:val="0"/>
          <w:color w:val="auto"/>
          <w:spacing w:val="0"/>
        </w:rPr>
        <w:t xml:space="preserve"> </w:t>
      </w:r>
      <w:r w:rsidRPr="00313E33">
        <w:rPr>
          <w:rFonts w:ascii="Times New Roman" w:hAnsi="Times New Roman" w:cs="Times New Roman"/>
          <w:i w:val="0"/>
          <w:color w:val="auto"/>
          <w:spacing w:val="0"/>
        </w:rPr>
        <w:t xml:space="preserve">application, an applicant must submit a clear photocopy of </w:t>
      </w:r>
      <w:r w:rsidR="002D7D93" w:rsidRPr="00313E33">
        <w:rPr>
          <w:rFonts w:ascii="Times New Roman" w:hAnsi="Times New Roman" w:cs="Times New Roman"/>
          <w:i w:val="0"/>
          <w:color w:val="auto"/>
          <w:spacing w:val="0"/>
        </w:rPr>
        <w:t xml:space="preserve">the front and back side of </w:t>
      </w:r>
      <w:r w:rsidRPr="00313E33">
        <w:rPr>
          <w:rFonts w:ascii="Times New Roman" w:hAnsi="Times New Roman" w:cs="Times New Roman"/>
          <w:i w:val="0"/>
          <w:color w:val="auto"/>
          <w:spacing w:val="0"/>
        </w:rPr>
        <w:t xml:space="preserve">an </w:t>
      </w:r>
      <w:r w:rsidR="00815723" w:rsidRPr="00313E33">
        <w:rPr>
          <w:rFonts w:ascii="Times New Roman" w:hAnsi="Times New Roman" w:cs="Times New Roman"/>
          <w:i w:val="0"/>
          <w:color w:val="auto"/>
          <w:spacing w:val="0"/>
        </w:rPr>
        <w:t>original</w:t>
      </w:r>
      <w:r w:rsidR="00880C3C" w:rsidRPr="00313E33">
        <w:rPr>
          <w:rFonts w:ascii="Times New Roman" w:hAnsi="Times New Roman" w:cs="Times New Roman"/>
          <w:i w:val="0"/>
          <w:color w:val="auto"/>
          <w:spacing w:val="0"/>
        </w:rPr>
        <w:t xml:space="preserve"> government issued</w:t>
      </w:r>
      <w:r w:rsidR="00815723" w:rsidRPr="00313E33">
        <w:rPr>
          <w:rFonts w:ascii="Times New Roman" w:hAnsi="Times New Roman" w:cs="Times New Roman"/>
          <w:color w:val="auto"/>
          <w:spacing w:val="0"/>
        </w:rPr>
        <w:t xml:space="preserve"> </w:t>
      </w:r>
      <w:r w:rsidRPr="00313E33">
        <w:rPr>
          <w:rFonts w:ascii="Times New Roman" w:hAnsi="Times New Roman" w:cs="Times New Roman"/>
          <w:i w:val="0"/>
          <w:color w:val="auto"/>
          <w:spacing w:val="0"/>
        </w:rPr>
        <w:t>identification</w:t>
      </w:r>
      <w:r w:rsidR="00880C3C" w:rsidRPr="00313E33">
        <w:rPr>
          <w:rFonts w:ascii="Times New Roman" w:hAnsi="Times New Roman" w:cs="Times New Roman"/>
          <w:i w:val="0"/>
          <w:color w:val="auto"/>
          <w:spacing w:val="0"/>
        </w:rPr>
        <w:t xml:space="preserve"> document</w:t>
      </w:r>
      <w:r w:rsidRPr="00313E33">
        <w:rPr>
          <w:rFonts w:ascii="Times New Roman" w:hAnsi="Times New Roman" w:cs="Times New Roman"/>
          <w:i w:val="0"/>
          <w:color w:val="auto"/>
          <w:spacing w:val="0"/>
        </w:rPr>
        <w:t xml:space="preserve"> containing his/her photo</w:t>
      </w:r>
      <w:r w:rsidR="002D7D93" w:rsidRPr="00313E33">
        <w:rPr>
          <w:rFonts w:ascii="Times New Roman" w:hAnsi="Times New Roman" w:cs="Times New Roman"/>
          <w:i w:val="0"/>
          <w:color w:val="auto"/>
          <w:spacing w:val="0"/>
        </w:rPr>
        <w:t>graph</w:t>
      </w:r>
      <w:r w:rsidR="00880C3C" w:rsidRPr="00313E33">
        <w:rPr>
          <w:rFonts w:ascii="Times New Roman" w:hAnsi="Times New Roman" w:cs="Times New Roman"/>
          <w:i w:val="0"/>
          <w:color w:val="auto"/>
          <w:spacing w:val="0"/>
        </w:rPr>
        <w:t>,</w:t>
      </w:r>
      <w:r w:rsidR="002D7D93" w:rsidRPr="00313E33">
        <w:rPr>
          <w:rFonts w:ascii="Times New Roman" w:hAnsi="Times New Roman" w:cs="Times New Roman"/>
          <w:i w:val="0"/>
          <w:color w:val="auto"/>
          <w:spacing w:val="0"/>
        </w:rPr>
        <w:t xml:space="preserve"> as specified in the </w:t>
      </w:r>
      <w:r w:rsidR="00FD676F" w:rsidRPr="00313E33">
        <w:rPr>
          <w:rFonts w:ascii="Times New Roman" w:hAnsi="Times New Roman" w:cs="Times New Roman"/>
          <w:color w:val="auto"/>
          <w:spacing w:val="0"/>
        </w:rPr>
        <w:t>“</w:t>
      </w:r>
      <w:r w:rsidR="002D7D93" w:rsidRPr="00313E33">
        <w:rPr>
          <w:rFonts w:ascii="Times New Roman" w:hAnsi="Times New Roman" w:cs="Times New Roman"/>
          <w:i w:val="0"/>
          <w:color w:val="auto"/>
          <w:spacing w:val="0"/>
        </w:rPr>
        <w:t>Important Notice</w:t>
      </w:r>
      <w:r w:rsidR="00FD676F" w:rsidRPr="00313E33">
        <w:rPr>
          <w:rFonts w:ascii="Times New Roman" w:hAnsi="Times New Roman" w:cs="Times New Roman"/>
          <w:color w:val="auto"/>
          <w:spacing w:val="0"/>
        </w:rPr>
        <w:t>”</w:t>
      </w:r>
      <w:r w:rsidR="002D7D93" w:rsidRPr="00313E33">
        <w:rPr>
          <w:rFonts w:ascii="Times New Roman" w:hAnsi="Times New Roman" w:cs="Times New Roman"/>
          <w:i w:val="0"/>
          <w:color w:val="auto"/>
          <w:spacing w:val="0"/>
        </w:rPr>
        <w:t xml:space="preserve"> </w:t>
      </w:r>
      <w:r w:rsidR="00586EA0" w:rsidRPr="00313E33">
        <w:rPr>
          <w:rFonts w:ascii="Times New Roman" w:hAnsi="Times New Roman" w:cs="Times New Roman"/>
          <w:i w:val="0"/>
          <w:color w:val="auto"/>
          <w:spacing w:val="0"/>
        </w:rPr>
        <w:t xml:space="preserve">section </w:t>
      </w:r>
      <w:r w:rsidR="002D7D93" w:rsidRPr="00313E33">
        <w:rPr>
          <w:rFonts w:ascii="Times New Roman" w:hAnsi="Times New Roman" w:cs="Times New Roman"/>
          <w:i w:val="0"/>
          <w:color w:val="auto"/>
          <w:spacing w:val="0"/>
        </w:rPr>
        <w:t xml:space="preserve">on </w:t>
      </w:r>
      <w:r w:rsidR="008C42DA" w:rsidRPr="00313E33">
        <w:rPr>
          <w:rFonts w:ascii="Times New Roman" w:hAnsi="Times New Roman" w:cs="Times New Roman"/>
          <w:i w:val="0"/>
          <w:color w:val="auto"/>
          <w:spacing w:val="0"/>
        </w:rPr>
        <w:t>page</w:t>
      </w:r>
      <w:r w:rsidR="002D7D93" w:rsidRPr="00313E33">
        <w:rPr>
          <w:rFonts w:ascii="Times New Roman" w:hAnsi="Times New Roman" w:cs="Times New Roman"/>
          <w:i w:val="0"/>
          <w:color w:val="auto"/>
          <w:spacing w:val="0"/>
        </w:rPr>
        <w:t xml:space="preserve"> 1</w:t>
      </w:r>
      <w:r w:rsidRPr="00313E33">
        <w:rPr>
          <w:rFonts w:ascii="Times New Roman" w:hAnsi="Times New Roman" w:cs="Times New Roman"/>
          <w:i w:val="0"/>
          <w:color w:val="auto"/>
          <w:spacing w:val="0"/>
        </w:rPr>
        <w:t xml:space="preserve">.  </w:t>
      </w:r>
    </w:p>
    <w:p w:rsidR="00446202" w:rsidRPr="00313E33" w:rsidRDefault="00446202" w:rsidP="00446202"/>
    <w:p w:rsidR="00FD676F" w:rsidRPr="00313E33" w:rsidRDefault="00FD676F" w:rsidP="00815723">
      <w:pPr>
        <w:pStyle w:val="BodyTextIndent"/>
        <w:tabs>
          <w:tab w:val="clear" w:pos="720"/>
        </w:tabs>
        <w:ind w:left="540"/>
        <w:jc w:val="left"/>
      </w:pPr>
      <w:r w:rsidRPr="00313E33">
        <w:t xml:space="preserve">The estimated cost of a black and white copy is based on a quote from a FedEx Office. It is estimated that 50% of the applicants will have access to a photocopy machine at no cost, while the other 50% will require travel to a local </w:t>
      </w:r>
      <w:r w:rsidR="008726DA" w:rsidRPr="00313E33">
        <w:t>business</w:t>
      </w:r>
      <w:r w:rsidRPr="00313E33">
        <w:t xml:space="preserve"> to make the photocopies of their identification document. </w:t>
      </w:r>
    </w:p>
    <w:p w:rsidR="00FD676F" w:rsidRPr="00313E33" w:rsidRDefault="00FD676F" w:rsidP="008A5666">
      <w:pPr>
        <w:spacing w:after="0"/>
        <w:ind w:left="540"/>
        <w:jc w:val="both"/>
      </w:pPr>
    </w:p>
    <w:p w:rsidR="00D9372F" w:rsidRPr="00313E33" w:rsidRDefault="00DC6778" w:rsidP="008A5666">
      <w:pPr>
        <w:spacing w:after="0"/>
        <w:ind w:left="540"/>
        <w:jc w:val="both"/>
      </w:pPr>
      <w:r w:rsidRPr="00313E33">
        <w:t>T</w:t>
      </w:r>
      <w:r w:rsidR="009E7D2B" w:rsidRPr="00313E33">
        <w:t xml:space="preserve">he cost for postage is not included in the cost to </w:t>
      </w:r>
      <w:r w:rsidR="002D7D93" w:rsidRPr="00313E33">
        <w:t xml:space="preserve">the </w:t>
      </w:r>
      <w:r w:rsidR="00717D29" w:rsidRPr="00313E33">
        <w:t>applicant</w:t>
      </w:r>
      <w:r w:rsidRPr="00313E33">
        <w:t xml:space="preserve"> as the Department offers to pay for postage.</w:t>
      </w:r>
      <w:r w:rsidR="005502AA" w:rsidRPr="00313E33">
        <w:t xml:space="preserve"> </w:t>
      </w:r>
      <w:r w:rsidR="003E29A1" w:rsidRPr="00313E33">
        <w:t xml:space="preserve">Once an applicant reports a </w:t>
      </w:r>
      <w:r w:rsidR="009E60C3" w:rsidRPr="00313E33">
        <w:t>non</w:t>
      </w:r>
      <w:r w:rsidR="003E2152" w:rsidRPr="00313E33">
        <w:t>-</w:t>
      </w:r>
      <w:r w:rsidR="009E60C3" w:rsidRPr="00313E33">
        <w:t xml:space="preserve">receipt of </w:t>
      </w:r>
      <w:r w:rsidR="003E29A1" w:rsidRPr="00313E33">
        <w:t xml:space="preserve">a passport </w:t>
      </w:r>
      <w:r w:rsidR="00EC187E" w:rsidRPr="00313E33">
        <w:t xml:space="preserve">by contacting  the Department (generally through </w:t>
      </w:r>
      <w:r w:rsidR="003E29A1" w:rsidRPr="00313E33">
        <w:t>the National Passport Information Center)</w:t>
      </w:r>
      <w:r w:rsidR="009E60C3" w:rsidRPr="00313E33">
        <w:t xml:space="preserve">, the </w:t>
      </w:r>
      <w:r w:rsidR="003E29A1" w:rsidRPr="00313E33">
        <w:t>Department</w:t>
      </w:r>
      <w:r w:rsidR="009E60C3" w:rsidRPr="00313E33">
        <w:t xml:space="preserve"> </w:t>
      </w:r>
      <w:r w:rsidR="00EB60F1" w:rsidRPr="00313E33">
        <w:t>mails</w:t>
      </w:r>
      <w:r w:rsidR="00EC187E" w:rsidRPr="00313E33">
        <w:t xml:space="preserve"> the applicant</w:t>
      </w:r>
      <w:r w:rsidR="009E60C3" w:rsidRPr="00313E33">
        <w:t xml:space="preserve"> </w:t>
      </w:r>
      <w:r w:rsidR="003E29A1" w:rsidRPr="00313E33">
        <w:t xml:space="preserve">a </w:t>
      </w:r>
      <w:r w:rsidR="009E60C3" w:rsidRPr="00313E33">
        <w:t>DS-86</w:t>
      </w:r>
      <w:r w:rsidR="00EB60F1" w:rsidRPr="00313E33">
        <w:t>,</w:t>
      </w:r>
      <w:r w:rsidR="009E60C3" w:rsidRPr="00313E33">
        <w:t xml:space="preserve"> along with a pre-addressed return envelope to allow the applicant to return the form and any additional documents without having to pay </w:t>
      </w:r>
      <w:r w:rsidR="00CD207E" w:rsidRPr="00313E33">
        <w:t xml:space="preserve">for </w:t>
      </w:r>
      <w:r w:rsidR="009E60C3" w:rsidRPr="00313E33">
        <w:t xml:space="preserve">postage. </w:t>
      </w:r>
    </w:p>
    <w:p w:rsidR="00EB748B" w:rsidRPr="00313E33" w:rsidRDefault="003A3B26" w:rsidP="00EB748B">
      <w:pPr>
        <w:spacing w:after="0"/>
        <w:jc w:val="both"/>
      </w:pPr>
      <w:r w:rsidRPr="00313E33">
        <w:t xml:space="preserve">  </w:t>
      </w:r>
    </w:p>
    <w:p w:rsidR="00EB748B" w:rsidRPr="00313E33" w:rsidRDefault="00EB748B" w:rsidP="00CD207E">
      <w:pPr>
        <w:spacing w:after="0"/>
        <w:ind w:left="540"/>
        <w:jc w:val="both"/>
      </w:pPr>
      <w:r w:rsidRPr="00313E33">
        <w:t xml:space="preserve">There is no application fee associated with this collection.  When combining the estimated cost burdens associated with </w:t>
      </w:r>
      <w:r w:rsidR="00880C3C" w:rsidRPr="00313E33">
        <w:t xml:space="preserve">the </w:t>
      </w:r>
      <w:r w:rsidRPr="00313E33">
        <w:t xml:space="preserve">DS-86, the total annual cost burden for the percentage of applicants outlined in the table below (0.50 probability of incurring a </w:t>
      </w:r>
      <w:r w:rsidR="005A12EB" w:rsidRPr="00313E33">
        <w:t xml:space="preserve">cost for copying </w:t>
      </w:r>
      <w:r w:rsidRPr="00313E33">
        <w:t xml:space="preserve">fee) is </w:t>
      </w:r>
      <w:r w:rsidRPr="00313E33">
        <w:rPr>
          <w:b/>
          <w:color w:val="000000"/>
          <w:u w:val="single"/>
        </w:rPr>
        <w:t>$3,</w:t>
      </w:r>
      <w:r w:rsidR="00717D29" w:rsidRPr="00313E33">
        <w:rPr>
          <w:b/>
          <w:color w:val="000000"/>
          <w:u w:val="single"/>
        </w:rPr>
        <w:t>373</w:t>
      </w:r>
      <w:r w:rsidRPr="00313E33">
        <w:rPr>
          <w:b/>
          <w:color w:val="000000"/>
        </w:rPr>
        <w:t>.</w:t>
      </w:r>
      <w:r w:rsidRPr="00313E33">
        <w:rPr>
          <w:color w:val="000000"/>
        </w:rPr>
        <w:t xml:space="preserve">  </w:t>
      </w:r>
    </w:p>
    <w:p w:rsidR="00FD676F" w:rsidRPr="00313E33" w:rsidRDefault="00FD676F" w:rsidP="008A5666">
      <w:pPr>
        <w:spacing w:after="0"/>
        <w:ind w:left="540"/>
        <w:jc w:val="both"/>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450"/>
        <w:gridCol w:w="900"/>
        <w:gridCol w:w="360"/>
        <w:gridCol w:w="1710"/>
      </w:tblGrid>
      <w:tr w:rsidR="00FD676F" w:rsidRPr="00313E33" w:rsidTr="0001022A">
        <w:trPr>
          <w:trHeight w:val="305"/>
        </w:trPr>
        <w:tc>
          <w:tcPr>
            <w:tcW w:w="5310" w:type="dxa"/>
            <w:shd w:val="clear" w:color="auto" w:fill="auto"/>
          </w:tcPr>
          <w:p w:rsidR="00FD676F" w:rsidRPr="00313E33" w:rsidRDefault="00FD676F" w:rsidP="0001022A">
            <w:pPr>
              <w:pStyle w:val="BodyTextIndent"/>
              <w:ind w:left="0"/>
            </w:pPr>
            <w:r w:rsidRPr="00313E33">
              <w:t>Identity Proof - Black &amp; White Copy</w:t>
            </w:r>
          </w:p>
          <w:p w:rsidR="00FD676F" w:rsidRPr="00313E33" w:rsidRDefault="00FD676F" w:rsidP="0001022A">
            <w:pPr>
              <w:pStyle w:val="BodyTextIndent"/>
              <w:ind w:left="0"/>
            </w:pPr>
            <w:r w:rsidRPr="00313E33">
              <w:t xml:space="preserve">       (</w:t>
            </w:r>
            <w:r w:rsidR="00EB748B" w:rsidRPr="00313E33">
              <w:t>7,665</w:t>
            </w:r>
            <w:r w:rsidRPr="00313E33">
              <w:t xml:space="preserve"> = 0.50 of total </w:t>
            </w:r>
            <w:r w:rsidR="00717D29" w:rsidRPr="00313E33">
              <w:t>applicants</w:t>
            </w:r>
            <w:r w:rsidRPr="00313E33">
              <w:t>/year)</w:t>
            </w:r>
          </w:p>
          <w:p w:rsidR="00FD676F" w:rsidRPr="00313E33" w:rsidRDefault="00FD676F" w:rsidP="0001022A">
            <w:pPr>
              <w:pStyle w:val="BodyTextIndent"/>
              <w:ind w:left="0"/>
            </w:pPr>
            <w:r w:rsidRPr="00313E33">
              <w:t xml:space="preserve">        (2 @ $0.22 each) </w:t>
            </w:r>
          </w:p>
        </w:tc>
        <w:tc>
          <w:tcPr>
            <w:tcW w:w="450" w:type="dxa"/>
            <w:shd w:val="clear" w:color="auto" w:fill="auto"/>
          </w:tcPr>
          <w:p w:rsidR="00FD676F" w:rsidRPr="00313E33" w:rsidRDefault="00FD676F" w:rsidP="0001022A">
            <w:pPr>
              <w:pStyle w:val="BodyTextIndent"/>
              <w:ind w:left="0"/>
            </w:pPr>
            <w:r w:rsidRPr="00313E33">
              <w:t xml:space="preserve"> x</w:t>
            </w:r>
          </w:p>
        </w:tc>
        <w:tc>
          <w:tcPr>
            <w:tcW w:w="900" w:type="dxa"/>
            <w:shd w:val="clear" w:color="auto" w:fill="auto"/>
          </w:tcPr>
          <w:p w:rsidR="00FD676F" w:rsidRPr="00313E33" w:rsidRDefault="00FD676F" w:rsidP="0001022A">
            <w:pPr>
              <w:pStyle w:val="BodyTextIndent"/>
              <w:ind w:left="0"/>
            </w:pPr>
            <w:r w:rsidRPr="00313E33">
              <w:t>$  0.44</w:t>
            </w:r>
          </w:p>
        </w:tc>
        <w:tc>
          <w:tcPr>
            <w:tcW w:w="360" w:type="dxa"/>
            <w:shd w:val="clear" w:color="auto" w:fill="auto"/>
          </w:tcPr>
          <w:p w:rsidR="00FD676F" w:rsidRPr="00313E33" w:rsidRDefault="00FD676F" w:rsidP="0001022A">
            <w:pPr>
              <w:pStyle w:val="BodyTextIndent"/>
              <w:ind w:left="0"/>
            </w:pPr>
            <w:r w:rsidRPr="00313E33">
              <w:t>=</w:t>
            </w:r>
          </w:p>
        </w:tc>
        <w:tc>
          <w:tcPr>
            <w:tcW w:w="1710" w:type="dxa"/>
            <w:shd w:val="clear" w:color="auto" w:fill="auto"/>
          </w:tcPr>
          <w:p w:rsidR="00FD676F" w:rsidRPr="00313E33" w:rsidRDefault="00EB748B" w:rsidP="00717D29">
            <w:pPr>
              <w:pStyle w:val="BodyTextIndent"/>
              <w:ind w:left="0"/>
            </w:pPr>
            <w:r w:rsidRPr="00313E33">
              <w:t>$3,37</w:t>
            </w:r>
            <w:r w:rsidR="00717D29" w:rsidRPr="00313E33">
              <w:t>3</w:t>
            </w:r>
          </w:p>
        </w:tc>
      </w:tr>
      <w:tr w:rsidR="00FD676F" w:rsidRPr="00313E33" w:rsidTr="0001022A">
        <w:tc>
          <w:tcPr>
            <w:tcW w:w="5310" w:type="dxa"/>
            <w:shd w:val="clear" w:color="auto" w:fill="auto"/>
          </w:tcPr>
          <w:p w:rsidR="00FD676F" w:rsidRPr="00313E33" w:rsidRDefault="00FD676F" w:rsidP="0001022A">
            <w:pPr>
              <w:tabs>
                <w:tab w:val="left" w:pos="360"/>
              </w:tabs>
            </w:pPr>
          </w:p>
        </w:tc>
        <w:tc>
          <w:tcPr>
            <w:tcW w:w="450" w:type="dxa"/>
            <w:shd w:val="clear" w:color="auto" w:fill="auto"/>
          </w:tcPr>
          <w:p w:rsidR="00FD676F" w:rsidRPr="00313E33" w:rsidRDefault="00FD676F" w:rsidP="0001022A">
            <w:pPr>
              <w:tabs>
                <w:tab w:val="left" w:pos="360"/>
              </w:tabs>
            </w:pPr>
          </w:p>
        </w:tc>
        <w:tc>
          <w:tcPr>
            <w:tcW w:w="900" w:type="dxa"/>
            <w:shd w:val="clear" w:color="auto" w:fill="auto"/>
          </w:tcPr>
          <w:p w:rsidR="00FD676F" w:rsidRPr="00313E33" w:rsidRDefault="00FD676F" w:rsidP="0001022A">
            <w:pPr>
              <w:tabs>
                <w:tab w:val="left" w:pos="360"/>
              </w:tabs>
            </w:pPr>
          </w:p>
        </w:tc>
        <w:tc>
          <w:tcPr>
            <w:tcW w:w="360" w:type="dxa"/>
            <w:shd w:val="clear" w:color="auto" w:fill="auto"/>
          </w:tcPr>
          <w:p w:rsidR="00FD676F" w:rsidRPr="00313E33" w:rsidRDefault="00FD676F" w:rsidP="0001022A">
            <w:pPr>
              <w:tabs>
                <w:tab w:val="left" w:pos="360"/>
              </w:tabs>
            </w:pPr>
          </w:p>
        </w:tc>
        <w:tc>
          <w:tcPr>
            <w:tcW w:w="1710" w:type="dxa"/>
            <w:shd w:val="clear" w:color="auto" w:fill="auto"/>
          </w:tcPr>
          <w:p w:rsidR="00FD676F" w:rsidRPr="00313E33" w:rsidRDefault="00FD676F" w:rsidP="0001022A">
            <w:pPr>
              <w:tabs>
                <w:tab w:val="left" w:pos="360"/>
              </w:tabs>
            </w:pPr>
          </w:p>
        </w:tc>
      </w:tr>
      <w:tr w:rsidR="00FD676F" w:rsidRPr="00313E33" w:rsidTr="0001022A">
        <w:tc>
          <w:tcPr>
            <w:tcW w:w="5310" w:type="dxa"/>
            <w:shd w:val="clear" w:color="auto" w:fill="auto"/>
          </w:tcPr>
          <w:p w:rsidR="00FD676F" w:rsidRPr="00313E33" w:rsidRDefault="00FD676F" w:rsidP="0001022A">
            <w:pPr>
              <w:tabs>
                <w:tab w:val="left" w:pos="360"/>
              </w:tabs>
              <w:rPr>
                <w:b/>
              </w:rPr>
            </w:pPr>
            <w:r w:rsidRPr="00313E33">
              <w:rPr>
                <w:b/>
              </w:rPr>
              <w:t>Total Cost to Respondents</w:t>
            </w:r>
          </w:p>
        </w:tc>
        <w:tc>
          <w:tcPr>
            <w:tcW w:w="450" w:type="dxa"/>
            <w:shd w:val="clear" w:color="auto" w:fill="auto"/>
          </w:tcPr>
          <w:p w:rsidR="00FD676F" w:rsidRPr="00313E33" w:rsidRDefault="00FD676F" w:rsidP="0001022A">
            <w:pPr>
              <w:tabs>
                <w:tab w:val="left" w:pos="360"/>
              </w:tabs>
            </w:pPr>
          </w:p>
        </w:tc>
        <w:tc>
          <w:tcPr>
            <w:tcW w:w="900" w:type="dxa"/>
            <w:shd w:val="clear" w:color="auto" w:fill="auto"/>
          </w:tcPr>
          <w:p w:rsidR="00FD676F" w:rsidRPr="00313E33" w:rsidRDefault="00FD676F" w:rsidP="0001022A">
            <w:pPr>
              <w:tabs>
                <w:tab w:val="left" w:pos="360"/>
              </w:tabs>
            </w:pPr>
          </w:p>
        </w:tc>
        <w:tc>
          <w:tcPr>
            <w:tcW w:w="360" w:type="dxa"/>
            <w:shd w:val="clear" w:color="auto" w:fill="auto"/>
          </w:tcPr>
          <w:p w:rsidR="00FD676F" w:rsidRPr="00313E33" w:rsidRDefault="00FD676F" w:rsidP="0001022A">
            <w:pPr>
              <w:tabs>
                <w:tab w:val="left" w:pos="360"/>
              </w:tabs>
            </w:pPr>
          </w:p>
        </w:tc>
        <w:tc>
          <w:tcPr>
            <w:tcW w:w="1710" w:type="dxa"/>
            <w:shd w:val="clear" w:color="auto" w:fill="auto"/>
          </w:tcPr>
          <w:p w:rsidR="00FD676F" w:rsidRPr="00313E33" w:rsidRDefault="00FD676F" w:rsidP="00717D29">
            <w:pPr>
              <w:tabs>
                <w:tab w:val="left" w:pos="360"/>
              </w:tabs>
              <w:rPr>
                <w:b/>
              </w:rPr>
            </w:pPr>
            <w:r w:rsidRPr="00313E33">
              <w:rPr>
                <w:b/>
              </w:rPr>
              <w:t>$</w:t>
            </w:r>
            <w:r w:rsidR="00EB748B" w:rsidRPr="00313E33">
              <w:rPr>
                <w:b/>
              </w:rPr>
              <w:t>3,37</w:t>
            </w:r>
            <w:r w:rsidR="00717D29" w:rsidRPr="00313E33">
              <w:rPr>
                <w:b/>
              </w:rPr>
              <w:t>3</w:t>
            </w:r>
          </w:p>
        </w:tc>
      </w:tr>
    </w:tbl>
    <w:p w:rsidR="003A3B26" w:rsidRPr="00313E33" w:rsidRDefault="003A3B26" w:rsidP="008A5666">
      <w:pPr>
        <w:spacing w:after="0"/>
        <w:ind w:firstLine="540"/>
        <w:jc w:val="both"/>
      </w:pPr>
    </w:p>
    <w:p w:rsidR="00CD5432" w:rsidRPr="00313E33" w:rsidRDefault="00CD5432" w:rsidP="00F813CA">
      <w:pPr>
        <w:numPr>
          <w:ilvl w:val="0"/>
          <w:numId w:val="1"/>
        </w:numPr>
        <w:spacing w:after="0"/>
        <w:jc w:val="both"/>
      </w:pPr>
      <w:r w:rsidRPr="00313E33">
        <w:t>Annualized Cost Analysis</w:t>
      </w:r>
    </w:p>
    <w:p w:rsidR="00CD5432" w:rsidRPr="00313E33" w:rsidRDefault="00CD5432" w:rsidP="00CD5432">
      <w:pPr>
        <w:pStyle w:val="ListParagraph"/>
        <w:numPr>
          <w:ilvl w:val="1"/>
          <w:numId w:val="10"/>
        </w:numPr>
        <w:tabs>
          <w:tab w:val="num" w:pos="1440"/>
        </w:tabs>
        <w:spacing w:after="0"/>
        <w:ind w:left="1440"/>
      </w:pPr>
      <w:r w:rsidRPr="00313E33">
        <w:t>Printing Cost</w:t>
      </w:r>
      <w:r w:rsidRPr="00313E33">
        <w:tab/>
      </w:r>
      <w:r w:rsidRPr="00313E33">
        <w:tab/>
      </w:r>
      <w:r w:rsidRPr="00313E33">
        <w:tab/>
      </w:r>
      <w:r w:rsidRPr="00313E33">
        <w:tab/>
        <w:t>$</w:t>
      </w:r>
      <w:r w:rsidR="007E52ED" w:rsidRPr="00313E33">
        <w:t>229.95</w:t>
      </w:r>
    </w:p>
    <w:p w:rsidR="00CD5432" w:rsidRPr="00313E33" w:rsidRDefault="00CD5432" w:rsidP="00CD5432">
      <w:pPr>
        <w:pStyle w:val="ListParagraph"/>
        <w:spacing w:after="0"/>
        <w:ind w:left="1440"/>
        <w:rPr>
          <w:b/>
        </w:rPr>
      </w:pPr>
      <w:r w:rsidRPr="00313E33">
        <w:rPr>
          <w:b/>
        </w:rPr>
        <w:t>Total Cost to the Program</w:t>
      </w:r>
      <w:r w:rsidRPr="00313E33">
        <w:rPr>
          <w:b/>
        </w:rPr>
        <w:tab/>
      </w:r>
      <w:r w:rsidRPr="00313E33">
        <w:rPr>
          <w:b/>
        </w:rPr>
        <w:tab/>
        <w:t>$</w:t>
      </w:r>
      <w:r w:rsidR="007E52ED" w:rsidRPr="00313E33">
        <w:rPr>
          <w:b/>
        </w:rPr>
        <w:t>229.95</w:t>
      </w:r>
    </w:p>
    <w:p w:rsidR="001F3CE3" w:rsidRPr="00313E33" w:rsidRDefault="001F3CE3" w:rsidP="001F3CE3">
      <w:pPr>
        <w:spacing w:after="0"/>
      </w:pPr>
    </w:p>
    <w:p w:rsidR="00F4113E" w:rsidRPr="00313E33" w:rsidRDefault="001F3CE3" w:rsidP="00F4113E">
      <w:pPr>
        <w:spacing w:after="0"/>
        <w:ind w:left="540"/>
      </w:pPr>
      <w:r w:rsidRPr="00313E33">
        <w:t xml:space="preserve">This was calculated as follows: 15,330 (number of </w:t>
      </w:r>
      <w:r w:rsidR="00717D29" w:rsidRPr="00313E33">
        <w:t xml:space="preserve">applicants </w:t>
      </w:r>
      <w:r w:rsidRPr="00313E33">
        <w:t>per year) for FY 2017-2019 at a cost of $15.00 per thousand equals (</w:t>
      </w:r>
      <w:r w:rsidR="00F813CA" w:rsidRPr="00313E33">
        <w:t xml:space="preserve">15,330 x </w:t>
      </w:r>
      <w:r w:rsidRPr="00313E33">
        <w:t>15.00/1,000) $</w:t>
      </w:r>
      <w:r w:rsidR="007E52ED" w:rsidRPr="00313E33">
        <w:t>229.95 per year.</w:t>
      </w:r>
    </w:p>
    <w:p w:rsidR="00F4113E" w:rsidRPr="00313E33" w:rsidRDefault="00F4113E" w:rsidP="00F4113E">
      <w:pPr>
        <w:spacing w:after="0"/>
        <w:ind w:left="540"/>
      </w:pPr>
    </w:p>
    <w:p w:rsidR="00F22670" w:rsidRPr="00313E33" w:rsidRDefault="00F22670" w:rsidP="00F4113E">
      <w:pPr>
        <w:pStyle w:val="ListParagraph"/>
        <w:numPr>
          <w:ilvl w:val="0"/>
          <w:numId w:val="1"/>
        </w:numPr>
        <w:spacing w:after="0"/>
      </w:pPr>
      <w:r w:rsidRPr="00313E33">
        <w:t xml:space="preserve">The hour burden adjustment reflects a slight increase in the number of projected respondents from 15,005 (previous FYs 2015 – </w:t>
      </w:r>
      <w:r w:rsidR="005C644B" w:rsidRPr="00313E33">
        <w:t>2016</w:t>
      </w:r>
      <w:r w:rsidRPr="00313E33">
        <w:t>) to 15,330 (</w:t>
      </w:r>
      <w:r w:rsidR="00EC3607" w:rsidRPr="00313E33">
        <w:t xml:space="preserve">average of </w:t>
      </w:r>
      <w:r w:rsidRPr="00313E33">
        <w:t>FYs 2017-2019).</w:t>
      </w:r>
    </w:p>
    <w:p w:rsidR="00F22670" w:rsidRPr="00313E33" w:rsidRDefault="00F22670" w:rsidP="00F22670">
      <w:pPr>
        <w:pStyle w:val="ListParagraph"/>
        <w:spacing w:after="0"/>
        <w:ind w:left="540"/>
      </w:pPr>
    </w:p>
    <w:p w:rsidR="00F22670" w:rsidRPr="00313E33" w:rsidRDefault="00376078" w:rsidP="00F22670">
      <w:pPr>
        <w:spacing w:after="0"/>
        <w:ind w:left="540"/>
      </w:pPr>
      <w:r w:rsidRPr="00313E33">
        <w:t xml:space="preserve">The yearly projected numbers of </w:t>
      </w:r>
      <w:r w:rsidR="007E52ED" w:rsidRPr="00313E33">
        <w:t xml:space="preserve">applicants </w:t>
      </w:r>
      <w:r w:rsidRPr="00313E33">
        <w:t xml:space="preserve">are based on demand forecast numbers from statistical models and historical trends of form usage.  The primary driver for form usage is the demand forecast for each fiscal year.  The next two fiscal year forecasts are updated on an annual basis so that each forecast uses the most recent, relevant data to project future demand.  </w:t>
      </w:r>
      <w:r w:rsidR="00F22670" w:rsidRPr="00313E33">
        <w:t xml:space="preserve">Given that projected passport application (DS-11) demand is the primary driver for form usage, as shown below in the table, the DS-86 is expected to </w:t>
      </w:r>
      <w:r w:rsidR="00E4033C" w:rsidRPr="00313E33">
        <w:t>correlate</w:t>
      </w:r>
      <w:r w:rsidR="00F22670" w:rsidRPr="00313E33">
        <w:t xml:space="preserve"> with the DS-11 application estimate through FY 2019 as shown in the projections table below.  </w:t>
      </w:r>
    </w:p>
    <w:p w:rsidR="00376078" w:rsidRPr="00313E33" w:rsidRDefault="00376078" w:rsidP="00376078">
      <w:pPr>
        <w:pStyle w:val="ListParagraph"/>
        <w:ind w:left="540"/>
      </w:pPr>
    </w:p>
    <w:tbl>
      <w:tblPr>
        <w:tblW w:w="6194" w:type="dxa"/>
        <w:tblInd w:w="638" w:type="dxa"/>
        <w:tblCellMar>
          <w:left w:w="0" w:type="dxa"/>
          <w:right w:w="0" w:type="dxa"/>
        </w:tblCellMar>
        <w:tblLook w:val="04A0" w:firstRow="1" w:lastRow="0" w:firstColumn="1" w:lastColumn="0" w:noHBand="0" w:noVBand="1"/>
      </w:tblPr>
      <w:tblGrid>
        <w:gridCol w:w="1990"/>
        <w:gridCol w:w="1440"/>
        <w:gridCol w:w="1340"/>
        <w:gridCol w:w="1424"/>
      </w:tblGrid>
      <w:tr w:rsidR="00376078" w:rsidRPr="00313E33" w:rsidTr="00A64D9D">
        <w:trPr>
          <w:trHeight w:val="300"/>
        </w:trPr>
        <w:tc>
          <w:tcPr>
            <w:tcW w:w="1990" w:type="dxa"/>
            <w:tcBorders>
              <w:top w:val="single" w:sz="8" w:space="0" w:color="auto"/>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bottom"/>
            <w:hideMark/>
          </w:tcPr>
          <w:p w:rsidR="00376078" w:rsidRPr="00313E33" w:rsidRDefault="00376078" w:rsidP="00021F85">
            <w:pPr>
              <w:rPr>
                <w:rFonts w:eastAsia="Calibri"/>
                <w:szCs w:val="24"/>
              </w:rPr>
            </w:pPr>
            <w:r w:rsidRPr="00313E33">
              <w:rPr>
                <w:szCs w:val="24"/>
              </w:rPr>
              <w:t> </w:t>
            </w:r>
          </w:p>
        </w:tc>
        <w:tc>
          <w:tcPr>
            <w:tcW w:w="4204" w:type="dxa"/>
            <w:gridSpan w:val="3"/>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bottom"/>
            <w:hideMark/>
          </w:tcPr>
          <w:p w:rsidR="00376078" w:rsidRPr="00313E33" w:rsidRDefault="00376078" w:rsidP="00021F85">
            <w:pPr>
              <w:jc w:val="center"/>
              <w:rPr>
                <w:b/>
                <w:bCs/>
                <w:szCs w:val="24"/>
              </w:rPr>
            </w:pPr>
            <w:r w:rsidRPr="00313E33">
              <w:rPr>
                <w:b/>
                <w:bCs/>
                <w:szCs w:val="24"/>
              </w:rPr>
              <w:t>Projections</w:t>
            </w:r>
          </w:p>
        </w:tc>
      </w:tr>
      <w:tr w:rsidR="00A64D9D" w:rsidRPr="00313E33" w:rsidTr="00A64D9D">
        <w:trPr>
          <w:trHeight w:val="300"/>
        </w:trPr>
        <w:tc>
          <w:tcPr>
            <w:tcW w:w="199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64D9D" w:rsidRPr="00313E33" w:rsidRDefault="00A64D9D" w:rsidP="00021F85">
            <w:pPr>
              <w:rPr>
                <w:rFonts w:eastAsia="Calibri"/>
                <w:b/>
                <w:bCs/>
                <w:szCs w:val="24"/>
              </w:rPr>
            </w:pPr>
            <w:r w:rsidRPr="00313E33">
              <w:rPr>
                <w:b/>
                <w:bCs/>
                <w:szCs w:val="24"/>
              </w:rPr>
              <w:t>Fiscal Year</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64D9D" w:rsidRPr="00313E33" w:rsidRDefault="00A64D9D" w:rsidP="00DA7454">
            <w:pPr>
              <w:jc w:val="center"/>
              <w:rPr>
                <w:rFonts w:eastAsia="Calibri"/>
                <w:b/>
                <w:bCs/>
                <w:szCs w:val="24"/>
              </w:rPr>
            </w:pPr>
            <w:r w:rsidRPr="00313E33">
              <w:rPr>
                <w:b/>
                <w:bCs/>
                <w:szCs w:val="24"/>
              </w:rPr>
              <w:t>FY17</w:t>
            </w:r>
          </w:p>
        </w:tc>
        <w:tc>
          <w:tcPr>
            <w:tcW w:w="1340" w:type="dxa"/>
            <w:tcBorders>
              <w:top w:val="nil"/>
              <w:left w:val="nil"/>
              <w:bottom w:val="single" w:sz="8" w:space="0" w:color="auto"/>
              <w:right w:val="single" w:sz="8" w:space="0" w:color="auto"/>
            </w:tcBorders>
            <w:shd w:val="clear" w:color="auto" w:fill="FFFFFF"/>
          </w:tcPr>
          <w:p w:rsidR="00A64D9D" w:rsidRPr="00313E33" w:rsidRDefault="00A64D9D" w:rsidP="00DA7454">
            <w:pPr>
              <w:jc w:val="center"/>
              <w:rPr>
                <w:b/>
                <w:bCs/>
                <w:szCs w:val="24"/>
              </w:rPr>
            </w:pPr>
            <w:r w:rsidRPr="00313E33">
              <w:rPr>
                <w:b/>
                <w:bCs/>
                <w:szCs w:val="24"/>
              </w:rPr>
              <w:t>FY18</w:t>
            </w:r>
          </w:p>
        </w:tc>
        <w:tc>
          <w:tcPr>
            <w:tcW w:w="1424" w:type="dxa"/>
            <w:tcBorders>
              <w:top w:val="nil"/>
              <w:left w:val="nil"/>
              <w:bottom w:val="single" w:sz="8" w:space="0" w:color="auto"/>
              <w:right w:val="single" w:sz="8" w:space="0" w:color="auto"/>
            </w:tcBorders>
            <w:shd w:val="clear" w:color="auto" w:fill="FFFFFF"/>
          </w:tcPr>
          <w:p w:rsidR="00A64D9D" w:rsidRPr="00313E33" w:rsidRDefault="00A64D9D" w:rsidP="00DA7454">
            <w:pPr>
              <w:jc w:val="center"/>
              <w:rPr>
                <w:b/>
                <w:bCs/>
                <w:szCs w:val="24"/>
              </w:rPr>
            </w:pPr>
            <w:r w:rsidRPr="00313E33">
              <w:rPr>
                <w:b/>
                <w:bCs/>
                <w:szCs w:val="24"/>
              </w:rPr>
              <w:t>FY19</w:t>
            </w:r>
          </w:p>
        </w:tc>
      </w:tr>
      <w:tr w:rsidR="00A64D9D" w:rsidRPr="00313E33" w:rsidTr="00A64D9D">
        <w:trPr>
          <w:trHeight w:val="421"/>
        </w:trPr>
        <w:tc>
          <w:tcPr>
            <w:tcW w:w="199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64D9D" w:rsidRPr="00313E33" w:rsidRDefault="00A64D9D" w:rsidP="00021F85">
            <w:pPr>
              <w:rPr>
                <w:rFonts w:eastAsia="Calibri"/>
                <w:b/>
                <w:bCs/>
                <w:szCs w:val="24"/>
              </w:rPr>
            </w:pPr>
            <w:r w:rsidRPr="00313E33">
              <w:rPr>
                <w:b/>
                <w:bCs/>
                <w:szCs w:val="24"/>
              </w:rPr>
              <w:t>Passport Applications (DS-11)</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64D9D" w:rsidRPr="00313E33" w:rsidRDefault="00A64D9D" w:rsidP="00021F85">
            <w:pPr>
              <w:jc w:val="center"/>
              <w:rPr>
                <w:rFonts w:eastAsia="Calibri"/>
                <w:b/>
                <w:bCs/>
                <w:szCs w:val="24"/>
              </w:rPr>
            </w:pPr>
            <w:r w:rsidRPr="00313E33">
              <w:rPr>
                <w:b/>
                <w:bCs/>
                <w:szCs w:val="24"/>
              </w:rPr>
              <w:t>9,765,773</w:t>
            </w:r>
          </w:p>
        </w:tc>
        <w:tc>
          <w:tcPr>
            <w:tcW w:w="1340" w:type="dxa"/>
            <w:tcBorders>
              <w:top w:val="nil"/>
              <w:left w:val="nil"/>
              <w:bottom w:val="single" w:sz="8" w:space="0" w:color="auto"/>
              <w:right w:val="single" w:sz="8" w:space="0" w:color="auto"/>
            </w:tcBorders>
            <w:shd w:val="clear" w:color="auto" w:fill="FFFFFF"/>
          </w:tcPr>
          <w:p w:rsidR="00A64D9D" w:rsidRPr="00313E33" w:rsidRDefault="00A64D9D" w:rsidP="00021F85">
            <w:pPr>
              <w:jc w:val="center"/>
              <w:rPr>
                <w:b/>
                <w:bCs/>
                <w:szCs w:val="24"/>
              </w:rPr>
            </w:pPr>
          </w:p>
          <w:p w:rsidR="00A64D9D" w:rsidRPr="00313E33" w:rsidRDefault="00A64D9D" w:rsidP="00DA7454">
            <w:pPr>
              <w:jc w:val="center"/>
              <w:rPr>
                <w:b/>
                <w:bCs/>
                <w:szCs w:val="24"/>
              </w:rPr>
            </w:pPr>
            <w:r w:rsidRPr="00313E33">
              <w:rPr>
                <w:b/>
                <w:bCs/>
                <w:szCs w:val="24"/>
              </w:rPr>
              <w:t>9,674,039</w:t>
            </w:r>
          </w:p>
          <w:p w:rsidR="00A64D9D" w:rsidRPr="00313E33" w:rsidRDefault="00A64D9D" w:rsidP="00021F85">
            <w:pPr>
              <w:jc w:val="center"/>
              <w:rPr>
                <w:b/>
                <w:bCs/>
                <w:szCs w:val="24"/>
              </w:rPr>
            </w:pPr>
          </w:p>
        </w:tc>
        <w:tc>
          <w:tcPr>
            <w:tcW w:w="1424" w:type="dxa"/>
            <w:tcBorders>
              <w:top w:val="nil"/>
              <w:left w:val="nil"/>
              <w:bottom w:val="single" w:sz="8" w:space="0" w:color="auto"/>
              <w:right w:val="single" w:sz="8" w:space="0" w:color="auto"/>
            </w:tcBorders>
            <w:shd w:val="clear" w:color="auto" w:fill="FFFFFF"/>
          </w:tcPr>
          <w:p w:rsidR="00A64D9D" w:rsidRPr="00313E33" w:rsidRDefault="00A64D9D" w:rsidP="00021F85">
            <w:pPr>
              <w:jc w:val="center"/>
              <w:rPr>
                <w:b/>
                <w:bCs/>
                <w:szCs w:val="24"/>
              </w:rPr>
            </w:pPr>
          </w:p>
          <w:p w:rsidR="00A64D9D" w:rsidRPr="00313E33" w:rsidRDefault="00A64D9D" w:rsidP="00021F85">
            <w:pPr>
              <w:jc w:val="center"/>
              <w:rPr>
                <w:b/>
                <w:bCs/>
                <w:szCs w:val="24"/>
              </w:rPr>
            </w:pPr>
            <w:r w:rsidRPr="00313E33">
              <w:rPr>
                <w:b/>
                <w:bCs/>
                <w:szCs w:val="24"/>
              </w:rPr>
              <w:t>10,063,573</w:t>
            </w:r>
          </w:p>
        </w:tc>
      </w:tr>
      <w:tr w:rsidR="00A64D9D" w:rsidRPr="00313E33" w:rsidTr="00A64D9D">
        <w:trPr>
          <w:trHeight w:val="315"/>
        </w:trPr>
        <w:tc>
          <w:tcPr>
            <w:tcW w:w="199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64D9D" w:rsidRPr="00313E33" w:rsidRDefault="00A64D9D" w:rsidP="00802837">
            <w:pPr>
              <w:rPr>
                <w:rFonts w:eastAsia="Calibri"/>
                <w:b/>
                <w:bCs/>
                <w:szCs w:val="24"/>
              </w:rPr>
            </w:pPr>
            <w:r w:rsidRPr="00313E33">
              <w:rPr>
                <w:b/>
                <w:bCs/>
                <w:szCs w:val="24"/>
              </w:rPr>
              <w:t>DS-86</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64D9D" w:rsidRPr="00313E33" w:rsidRDefault="00A64D9D" w:rsidP="00DA7454">
            <w:pPr>
              <w:jc w:val="center"/>
              <w:rPr>
                <w:rFonts w:eastAsia="Calibri"/>
                <w:b/>
                <w:bCs/>
                <w:szCs w:val="24"/>
              </w:rPr>
            </w:pPr>
            <w:r w:rsidRPr="00313E33">
              <w:rPr>
                <w:b/>
                <w:bCs/>
                <w:szCs w:val="24"/>
              </w:rPr>
              <w:t>15,224</w:t>
            </w:r>
          </w:p>
        </w:tc>
        <w:tc>
          <w:tcPr>
            <w:tcW w:w="1340" w:type="dxa"/>
            <w:tcBorders>
              <w:top w:val="nil"/>
              <w:left w:val="nil"/>
              <w:bottom w:val="single" w:sz="8" w:space="0" w:color="auto"/>
              <w:right w:val="single" w:sz="8" w:space="0" w:color="auto"/>
            </w:tcBorders>
            <w:shd w:val="clear" w:color="auto" w:fill="FFFFFF"/>
          </w:tcPr>
          <w:p w:rsidR="00A64D9D" w:rsidRPr="00313E33" w:rsidRDefault="00A64D9D" w:rsidP="00DA7454">
            <w:pPr>
              <w:jc w:val="center"/>
              <w:rPr>
                <w:b/>
                <w:bCs/>
                <w:szCs w:val="24"/>
              </w:rPr>
            </w:pPr>
            <w:r w:rsidRPr="00313E33">
              <w:rPr>
                <w:b/>
                <w:bCs/>
                <w:szCs w:val="24"/>
              </w:rPr>
              <w:t>15,080</w:t>
            </w:r>
          </w:p>
        </w:tc>
        <w:tc>
          <w:tcPr>
            <w:tcW w:w="1424" w:type="dxa"/>
            <w:tcBorders>
              <w:top w:val="nil"/>
              <w:left w:val="nil"/>
              <w:bottom w:val="single" w:sz="8" w:space="0" w:color="auto"/>
              <w:right w:val="single" w:sz="8" w:space="0" w:color="auto"/>
            </w:tcBorders>
            <w:shd w:val="clear" w:color="auto" w:fill="FFFFFF"/>
          </w:tcPr>
          <w:p w:rsidR="00A64D9D" w:rsidRPr="00313E33" w:rsidRDefault="00A64D9D" w:rsidP="00DA7454">
            <w:pPr>
              <w:jc w:val="center"/>
              <w:rPr>
                <w:b/>
                <w:bCs/>
                <w:szCs w:val="24"/>
              </w:rPr>
            </w:pPr>
            <w:r w:rsidRPr="00313E33">
              <w:rPr>
                <w:b/>
                <w:bCs/>
                <w:szCs w:val="24"/>
              </w:rPr>
              <w:t>15,687</w:t>
            </w:r>
          </w:p>
        </w:tc>
      </w:tr>
    </w:tbl>
    <w:p w:rsidR="00802837" w:rsidRPr="00313E33" w:rsidRDefault="00802837" w:rsidP="007038B5">
      <w:pPr>
        <w:spacing w:after="0"/>
        <w:ind w:left="540"/>
      </w:pPr>
    </w:p>
    <w:p w:rsidR="0065717D" w:rsidRPr="00313E33" w:rsidRDefault="0065717D" w:rsidP="00E94E7D">
      <w:pPr>
        <w:spacing w:after="0"/>
        <w:ind w:left="540"/>
        <w:jc w:val="both"/>
      </w:pPr>
      <w:r w:rsidRPr="00313E33">
        <w:t>In addition to general format changes, the following content changes have been made to the form:</w:t>
      </w:r>
    </w:p>
    <w:p w:rsidR="00BD0E40" w:rsidRPr="00313E33" w:rsidRDefault="00BD0E40" w:rsidP="00601FD4">
      <w:pPr>
        <w:spacing w:after="0"/>
        <w:ind w:left="540"/>
        <w:jc w:val="both"/>
      </w:pPr>
    </w:p>
    <w:p w:rsidR="00D2450B" w:rsidRPr="00313E33" w:rsidRDefault="00802837" w:rsidP="00F21E05">
      <w:pPr>
        <w:pStyle w:val="ListParagraph"/>
        <w:numPr>
          <w:ilvl w:val="0"/>
          <w:numId w:val="7"/>
        </w:numPr>
        <w:spacing w:line="276" w:lineRule="auto"/>
        <w:jc w:val="both"/>
      </w:pPr>
      <w:r w:rsidRPr="00313E33">
        <w:t xml:space="preserve">Page 1, Form </w:t>
      </w:r>
      <w:r w:rsidR="0033720B" w:rsidRPr="00313E33">
        <w:t>–</w:t>
      </w:r>
      <w:r w:rsidRPr="00313E33">
        <w:t xml:space="preserve"> </w:t>
      </w:r>
      <w:r w:rsidR="0033720B" w:rsidRPr="00313E33">
        <w:t>Added explanation box</w:t>
      </w:r>
      <w:r w:rsidR="00EC3607" w:rsidRPr="00313E33">
        <w:t xml:space="preserve"> requesting applicants</w:t>
      </w:r>
      <w:r w:rsidR="0033720B" w:rsidRPr="00313E33">
        <w:t xml:space="preserve"> to indicate what steps they’ve taken in order to locate their passport product(s)</w:t>
      </w:r>
      <w:r w:rsidR="00D2450B" w:rsidRPr="00313E33">
        <w:t>.</w:t>
      </w:r>
    </w:p>
    <w:p w:rsidR="007B089E" w:rsidRPr="00313E33" w:rsidRDefault="007B089E" w:rsidP="00F21E05">
      <w:pPr>
        <w:pStyle w:val="ListParagraph"/>
        <w:numPr>
          <w:ilvl w:val="0"/>
          <w:numId w:val="7"/>
        </w:numPr>
        <w:spacing w:line="276" w:lineRule="auto"/>
        <w:jc w:val="both"/>
      </w:pPr>
      <w:r w:rsidRPr="00313E33">
        <w:t>Page 1, Form – Added two sections to verify whether the documentary evidence submitted with the original application was returned to the applicant.  If not, asked the applicant to describe missing</w:t>
      </w:r>
      <w:r w:rsidR="00B12CEB" w:rsidRPr="00313E33">
        <w:t xml:space="preserve"> documents</w:t>
      </w:r>
      <w:r w:rsidRPr="00313E33">
        <w:t>.</w:t>
      </w:r>
    </w:p>
    <w:p w:rsidR="00802837" w:rsidRPr="00313E33" w:rsidRDefault="00D2450B" w:rsidP="00F21E05">
      <w:pPr>
        <w:pStyle w:val="ListParagraph"/>
        <w:numPr>
          <w:ilvl w:val="0"/>
          <w:numId w:val="7"/>
        </w:numPr>
        <w:spacing w:line="276" w:lineRule="auto"/>
        <w:jc w:val="both"/>
      </w:pPr>
      <w:r w:rsidRPr="00313E33">
        <w:t>Page 1, Form</w:t>
      </w:r>
      <w:r w:rsidR="00EC3607" w:rsidRPr="00313E33">
        <w:t xml:space="preserve"> – A</w:t>
      </w:r>
      <w:r w:rsidRPr="00313E33">
        <w:t xml:space="preserve">dded </w:t>
      </w:r>
      <w:r w:rsidR="0033720B" w:rsidRPr="00313E33">
        <w:t>a prompt prior to oath</w:t>
      </w:r>
      <w:r w:rsidR="00EC3607" w:rsidRPr="00313E33">
        <w:t xml:space="preserve"> stating: </w:t>
      </w:r>
      <w:r w:rsidR="0033720B" w:rsidRPr="00313E33">
        <w:t>“You must sign and date the application in the designated area below”.</w:t>
      </w:r>
      <w:r w:rsidR="00802837" w:rsidRPr="00313E33">
        <w:t xml:space="preserve"> </w:t>
      </w:r>
    </w:p>
    <w:p w:rsidR="00802837" w:rsidRPr="00313E33" w:rsidRDefault="00802837" w:rsidP="00F21E05">
      <w:pPr>
        <w:pStyle w:val="ListParagraph"/>
        <w:numPr>
          <w:ilvl w:val="0"/>
          <w:numId w:val="7"/>
        </w:numPr>
        <w:spacing w:line="276" w:lineRule="auto"/>
        <w:jc w:val="both"/>
      </w:pPr>
      <w:r w:rsidRPr="00313E33">
        <w:t xml:space="preserve">Page 1, Form – </w:t>
      </w:r>
      <w:r w:rsidR="0033720B" w:rsidRPr="00313E33">
        <w:t xml:space="preserve">Under “Passport Office Use Only”, “Place issued” was replaced with “Issuing </w:t>
      </w:r>
      <w:r w:rsidR="00DC6778" w:rsidRPr="00313E33">
        <w:t>Office</w:t>
      </w:r>
      <w:r w:rsidR="0033720B" w:rsidRPr="00313E33">
        <w:t>”</w:t>
      </w:r>
      <w:r w:rsidR="00C77946" w:rsidRPr="00313E33">
        <w:t>.</w:t>
      </w:r>
    </w:p>
    <w:p w:rsidR="00BC2E01" w:rsidRPr="00313E33" w:rsidRDefault="00BC2E01" w:rsidP="00F21E05">
      <w:pPr>
        <w:pStyle w:val="ListParagraph"/>
        <w:numPr>
          <w:ilvl w:val="0"/>
          <w:numId w:val="7"/>
        </w:numPr>
        <w:spacing w:line="276" w:lineRule="auto"/>
        <w:jc w:val="both"/>
      </w:pPr>
      <w:r w:rsidRPr="00313E33">
        <w:t>Page 2, Form – “How to Use this For</w:t>
      </w:r>
      <w:r w:rsidR="00EC187E" w:rsidRPr="00313E33">
        <w:t>m</w:t>
      </w:r>
      <w:r w:rsidRPr="00313E33">
        <w:t>” section was updated to include</w:t>
      </w:r>
      <w:r w:rsidR="00EC187E" w:rsidRPr="00313E33">
        <w:t xml:space="preserve"> the operating</w:t>
      </w:r>
      <w:r w:rsidRPr="00313E33">
        <w:t xml:space="preserve"> hours of </w:t>
      </w:r>
      <w:r w:rsidR="00EC187E" w:rsidRPr="00313E33">
        <w:t xml:space="preserve">the </w:t>
      </w:r>
      <w:r w:rsidRPr="00313E33">
        <w:t>National Passport Information Center</w:t>
      </w:r>
      <w:r w:rsidR="00EB60F1" w:rsidRPr="00313E33">
        <w:t xml:space="preserve"> and to direct applicants to contact the Center for information on how to submit the form</w:t>
      </w:r>
      <w:r w:rsidRPr="00313E33">
        <w:t>.</w:t>
      </w:r>
    </w:p>
    <w:p w:rsidR="00EA1C60" w:rsidRPr="00313E33" w:rsidRDefault="00CE407C" w:rsidP="00F21E05">
      <w:pPr>
        <w:pStyle w:val="ListParagraph"/>
        <w:numPr>
          <w:ilvl w:val="0"/>
          <w:numId w:val="7"/>
        </w:numPr>
        <w:spacing w:line="276" w:lineRule="auto"/>
        <w:jc w:val="both"/>
      </w:pPr>
      <w:r w:rsidRPr="00313E33">
        <w:t>Page 2, Form</w:t>
      </w:r>
      <w:r w:rsidR="00EC3607" w:rsidRPr="00313E33">
        <w:t xml:space="preserve"> – P</w:t>
      </w:r>
      <w:r w:rsidRPr="00313E33">
        <w:t xml:space="preserve">rivacy Act Statement has been revised to </w:t>
      </w:r>
      <w:r w:rsidR="00EC3607" w:rsidRPr="00313E33">
        <w:t xml:space="preserve">include </w:t>
      </w:r>
      <w:r w:rsidRPr="00313E33">
        <w:t xml:space="preserve">the FAST Act requirement, requiring that applicants provide their </w:t>
      </w:r>
      <w:r w:rsidR="00EC187E" w:rsidRPr="00313E33">
        <w:t>S</w:t>
      </w:r>
      <w:r w:rsidRPr="00313E33">
        <w:t xml:space="preserve">ocial </w:t>
      </w:r>
      <w:r w:rsidR="00EC187E" w:rsidRPr="00313E33">
        <w:t>S</w:t>
      </w:r>
      <w:r w:rsidRPr="00313E33">
        <w:t xml:space="preserve">ecurity number on the </w:t>
      </w:r>
      <w:r w:rsidR="00CA561D" w:rsidRPr="00313E33">
        <w:t xml:space="preserve">passport </w:t>
      </w:r>
      <w:r w:rsidRPr="00313E33">
        <w:t xml:space="preserve">application form. </w:t>
      </w:r>
    </w:p>
    <w:p w:rsidR="00F22670" w:rsidRPr="00313E33" w:rsidRDefault="00130BB2" w:rsidP="00F22670">
      <w:pPr>
        <w:pStyle w:val="ListParagraph"/>
        <w:numPr>
          <w:ilvl w:val="0"/>
          <w:numId w:val="7"/>
        </w:numPr>
        <w:spacing w:after="0" w:line="360" w:lineRule="auto"/>
        <w:contextualSpacing/>
      </w:pPr>
      <w:r w:rsidRPr="00313E33">
        <w:t>Page 2, Form</w:t>
      </w:r>
      <w:r w:rsidR="00EC3607" w:rsidRPr="00313E33">
        <w:t xml:space="preserve"> – Paperwork Reduction Act</w:t>
      </w:r>
      <w:r w:rsidR="00F22670" w:rsidRPr="00313E33">
        <w:t xml:space="preserve"> </w:t>
      </w:r>
      <w:r w:rsidR="00EC3607" w:rsidRPr="00313E33">
        <w:t>S</w:t>
      </w:r>
      <w:r w:rsidR="00F22670" w:rsidRPr="00313E33">
        <w:t xml:space="preserve">tatement was updated to include the new office and </w:t>
      </w:r>
      <w:r w:rsidRPr="00313E33">
        <w:t xml:space="preserve">mailing </w:t>
      </w:r>
      <w:r w:rsidR="00F22670" w:rsidRPr="00313E33">
        <w:t>address.</w:t>
      </w:r>
    </w:p>
    <w:p w:rsidR="00F22670" w:rsidRPr="00313E33" w:rsidRDefault="00F22670" w:rsidP="00F22670">
      <w:pPr>
        <w:pStyle w:val="ListParagraph"/>
        <w:spacing w:line="276" w:lineRule="auto"/>
        <w:ind w:left="1260"/>
        <w:jc w:val="both"/>
      </w:pPr>
    </w:p>
    <w:p w:rsidR="00F7210E" w:rsidRPr="00313E33" w:rsidRDefault="00F7210E" w:rsidP="00F7210E">
      <w:pPr>
        <w:pStyle w:val="ListParagraph"/>
        <w:numPr>
          <w:ilvl w:val="0"/>
          <w:numId w:val="1"/>
        </w:numPr>
        <w:spacing w:after="0"/>
      </w:pPr>
      <w:r w:rsidRPr="00313E33">
        <w:t xml:space="preserve">Quantitative summaries of Department of State passport activities are published periodically on the Department of State website at </w:t>
      </w:r>
      <w:hyperlink r:id="rId10" w:history="1">
        <w:r w:rsidRPr="00313E33">
          <w:rPr>
            <w:rStyle w:val="Hyperlink"/>
          </w:rPr>
          <w:t>www.travel.state.gov</w:t>
        </w:r>
      </w:hyperlink>
      <w:r w:rsidRPr="00313E33">
        <w:t>.  Such summaries do not involve use of complex analytical techniques.</w:t>
      </w:r>
    </w:p>
    <w:p w:rsidR="00F7210E" w:rsidRPr="00313E33" w:rsidRDefault="00F7210E" w:rsidP="00F7210E">
      <w:pPr>
        <w:spacing w:after="0"/>
        <w:ind w:left="180"/>
      </w:pPr>
    </w:p>
    <w:p w:rsidR="000564CE" w:rsidRPr="00313E33" w:rsidRDefault="00F7210E" w:rsidP="00F7210E">
      <w:pPr>
        <w:pStyle w:val="ListParagraph"/>
        <w:numPr>
          <w:ilvl w:val="0"/>
          <w:numId w:val="1"/>
        </w:numPr>
        <w:spacing w:after="0"/>
        <w:jc w:val="both"/>
      </w:pPr>
      <w:r w:rsidRPr="00313E33">
        <w:t>Expiration date for OMB approval will be displayed.</w:t>
      </w:r>
    </w:p>
    <w:p w:rsidR="000564CE" w:rsidRPr="00313E33" w:rsidRDefault="000564CE" w:rsidP="00823102">
      <w:pPr>
        <w:pStyle w:val="ListParagraph"/>
        <w:spacing w:after="0"/>
        <w:jc w:val="both"/>
      </w:pPr>
    </w:p>
    <w:p w:rsidR="00F7210E" w:rsidRPr="00313E33" w:rsidRDefault="00F7210E" w:rsidP="00F7210E">
      <w:pPr>
        <w:pStyle w:val="ListParagraph"/>
        <w:numPr>
          <w:ilvl w:val="0"/>
          <w:numId w:val="1"/>
        </w:numPr>
        <w:spacing w:after="0"/>
      </w:pPr>
      <w:r w:rsidRPr="00313E33">
        <w:t>The Department is not requesting any exceptions to the certification statement.</w:t>
      </w:r>
    </w:p>
    <w:p w:rsidR="000564CE" w:rsidRPr="00313E33" w:rsidRDefault="000564CE" w:rsidP="00823102">
      <w:pPr>
        <w:pStyle w:val="ListParagraph"/>
        <w:spacing w:after="0"/>
        <w:jc w:val="both"/>
      </w:pPr>
    </w:p>
    <w:p w:rsidR="00E66E76" w:rsidRPr="00313E33" w:rsidRDefault="00E66E76" w:rsidP="00823102">
      <w:pPr>
        <w:spacing w:after="0"/>
        <w:jc w:val="both"/>
      </w:pPr>
    </w:p>
    <w:p w:rsidR="000564CE" w:rsidRPr="00313E33" w:rsidRDefault="000564CE" w:rsidP="00E66E76">
      <w:pPr>
        <w:spacing w:after="0" w:line="276" w:lineRule="auto"/>
      </w:pPr>
      <w:r w:rsidRPr="00313E33">
        <w:t>B.</w:t>
      </w:r>
      <w:r w:rsidRPr="00313E33">
        <w:tab/>
      </w:r>
      <w:r w:rsidRPr="00313E33">
        <w:rPr>
          <w:b/>
        </w:rPr>
        <w:t>COLLECTION OF INFORMATION EMPLOYING STATISTICAL METHODS</w:t>
      </w:r>
    </w:p>
    <w:p w:rsidR="000C1691" w:rsidRPr="000564CE" w:rsidRDefault="000564CE" w:rsidP="00F7210E">
      <w:pPr>
        <w:spacing w:after="0" w:line="276" w:lineRule="auto"/>
        <w:rPr>
          <w:b/>
          <w:i/>
          <w:color w:val="0000FF"/>
        </w:rPr>
      </w:pPr>
      <w:r w:rsidRPr="00313E33">
        <w:t>This collection does not employ statistical methods.</w:t>
      </w:r>
      <w:r>
        <w:t xml:space="preserve"> </w:t>
      </w:r>
    </w:p>
    <w:sectPr w:rsidR="000C1691" w:rsidRPr="000564CE" w:rsidSect="001A0092">
      <w:head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63" w:rsidRDefault="00FE7963">
      <w:r>
        <w:separator/>
      </w:r>
    </w:p>
  </w:endnote>
  <w:endnote w:type="continuationSeparator" w:id="0">
    <w:p w:rsidR="00FE7963" w:rsidRDefault="00FE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63" w:rsidRDefault="00FE7963">
      <w:r>
        <w:separator/>
      </w:r>
    </w:p>
  </w:footnote>
  <w:footnote w:type="continuationSeparator" w:id="0">
    <w:p w:rsidR="00FE7963" w:rsidRDefault="00FE7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836" w:rsidRDefault="009A2EA9">
    <w:pPr>
      <w:pStyle w:val="Header"/>
      <w:jc w:val="center"/>
    </w:pPr>
    <w:r>
      <w:rPr>
        <w:rStyle w:val="PageNumber"/>
      </w:rPr>
      <w:fldChar w:fldCharType="begin"/>
    </w:r>
    <w:r w:rsidR="00351836">
      <w:rPr>
        <w:rStyle w:val="PageNumber"/>
      </w:rPr>
      <w:instrText xml:space="preserve"> PAGE </w:instrText>
    </w:r>
    <w:r>
      <w:rPr>
        <w:rStyle w:val="PageNumber"/>
      </w:rPr>
      <w:fldChar w:fldCharType="separate"/>
    </w:r>
    <w:r w:rsidR="00313E33">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B35"/>
    <w:multiLevelType w:val="hybridMultilevel"/>
    <w:tmpl w:val="BF0E1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14ADA"/>
    <w:multiLevelType w:val="singleLevel"/>
    <w:tmpl w:val="86CA6D42"/>
    <w:lvl w:ilvl="0">
      <w:start w:val="1"/>
      <w:numFmt w:val="decimal"/>
      <w:lvlText w:val="%1."/>
      <w:lvlJc w:val="left"/>
      <w:pPr>
        <w:ind w:left="540" w:hanging="360"/>
      </w:pPr>
      <w:rPr>
        <w:rFonts w:hint="default"/>
        <w:i w:val="0"/>
        <w:color w:val="auto"/>
      </w:rPr>
    </w:lvl>
  </w:abstractNum>
  <w:abstractNum w:abstractNumId="2">
    <w:nsid w:val="0794639C"/>
    <w:multiLevelType w:val="hybridMultilevel"/>
    <w:tmpl w:val="5EA68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953309"/>
    <w:multiLevelType w:val="singleLevel"/>
    <w:tmpl w:val="86CA6D42"/>
    <w:lvl w:ilvl="0">
      <w:start w:val="1"/>
      <w:numFmt w:val="decimal"/>
      <w:lvlText w:val="%1."/>
      <w:lvlJc w:val="left"/>
      <w:pPr>
        <w:ind w:left="540" w:hanging="360"/>
      </w:pPr>
      <w:rPr>
        <w:rFonts w:hint="default"/>
        <w:i w:val="0"/>
        <w:color w:val="auto"/>
      </w:rPr>
    </w:lvl>
  </w:abstractNum>
  <w:abstractNum w:abstractNumId="5">
    <w:nsid w:val="493C3675"/>
    <w:multiLevelType w:val="hybridMultilevel"/>
    <w:tmpl w:val="7E46E79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4F3A27B5"/>
    <w:multiLevelType w:val="hybridMultilevel"/>
    <w:tmpl w:val="3E7A44D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509650A4"/>
    <w:multiLevelType w:val="hybridMultilevel"/>
    <w:tmpl w:val="C896C6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901382"/>
    <w:multiLevelType w:val="hybridMultilevel"/>
    <w:tmpl w:val="0F6E4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E964E6E"/>
    <w:multiLevelType w:val="hybridMultilevel"/>
    <w:tmpl w:val="09845C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77717103"/>
    <w:multiLevelType w:val="singleLevel"/>
    <w:tmpl w:val="86CA6D42"/>
    <w:lvl w:ilvl="0">
      <w:start w:val="1"/>
      <w:numFmt w:val="decimal"/>
      <w:lvlText w:val="%1."/>
      <w:lvlJc w:val="left"/>
      <w:pPr>
        <w:ind w:left="540" w:hanging="360"/>
      </w:pPr>
      <w:rPr>
        <w:rFonts w:hint="default"/>
        <w:i w:val="0"/>
        <w:color w:val="auto"/>
      </w:rPr>
    </w:lvl>
  </w:abstractNum>
  <w:abstractNum w:abstractNumId="11">
    <w:nsid w:val="78897546"/>
    <w:multiLevelType w:val="hybridMultilevel"/>
    <w:tmpl w:val="120A6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EBD78D6"/>
    <w:multiLevelType w:val="singleLevel"/>
    <w:tmpl w:val="04090017"/>
    <w:lvl w:ilvl="0">
      <w:start w:val="1"/>
      <w:numFmt w:val="lowerLetter"/>
      <w:lvlText w:val="%1)"/>
      <w:lvlJc w:val="left"/>
      <w:pPr>
        <w:ind w:left="540" w:hanging="360"/>
      </w:pPr>
      <w:rPr>
        <w:rFonts w:hint="default"/>
        <w:i w:val="0"/>
        <w:color w:val="auto"/>
      </w:rPr>
    </w:lvl>
  </w:abstractNum>
  <w:num w:numId="1">
    <w:abstractNumId w:val="1"/>
  </w:num>
  <w:num w:numId="2">
    <w:abstractNumId w:val="7"/>
  </w:num>
  <w:num w:numId="3">
    <w:abstractNumId w:val="3"/>
  </w:num>
  <w:num w:numId="4">
    <w:abstractNumId w:val="2"/>
  </w:num>
  <w:num w:numId="5">
    <w:abstractNumId w:val="9"/>
  </w:num>
  <w:num w:numId="6">
    <w:abstractNumId w:val="11"/>
  </w:num>
  <w:num w:numId="7">
    <w:abstractNumId w:val="5"/>
  </w:num>
  <w:num w:numId="8">
    <w:abstractNumId w:val="6"/>
  </w:num>
  <w:num w:numId="9">
    <w:abstractNumId w:val="0"/>
  </w:num>
  <w:num w:numId="10">
    <w:abstractNumId w:val="12"/>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71C3"/>
    <w:rsid w:val="000101DB"/>
    <w:rsid w:val="00052ACE"/>
    <w:rsid w:val="00053056"/>
    <w:rsid w:val="000564CE"/>
    <w:rsid w:val="000615B6"/>
    <w:rsid w:val="00075505"/>
    <w:rsid w:val="000823D2"/>
    <w:rsid w:val="000842B4"/>
    <w:rsid w:val="000C1691"/>
    <w:rsid w:val="000E62DD"/>
    <w:rsid w:val="0012673E"/>
    <w:rsid w:val="00130BB2"/>
    <w:rsid w:val="00170D1D"/>
    <w:rsid w:val="001746D3"/>
    <w:rsid w:val="001749AF"/>
    <w:rsid w:val="001A0092"/>
    <w:rsid w:val="001B63C6"/>
    <w:rsid w:val="001D0554"/>
    <w:rsid w:val="001D7316"/>
    <w:rsid w:val="001E026E"/>
    <w:rsid w:val="001F3CE3"/>
    <w:rsid w:val="002053DE"/>
    <w:rsid w:val="002059D4"/>
    <w:rsid w:val="00211149"/>
    <w:rsid w:val="00225F33"/>
    <w:rsid w:val="002513EC"/>
    <w:rsid w:val="00292168"/>
    <w:rsid w:val="002A2E68"/>
    <w:rsid w:val="002C7DBB"/>
    <w:rsid w:val="002D7D93"/>
    <w:rsid w:val="002E27CC"/>
    <w:rsid w:val="003053D8"/>
    <w:rsid w:val="00313E33"/>
    <w:rsid w:val="00315C63"/>
    <w:rsid w:val="00317B54"/>
    <w:rsid w:val="0033720B"/>
    <w:rsid w:val="00351836"/>
    <w:rsid w:val="00354DA6"/>
    <w:rsid w:val="0036299D"/>
    <w:rsid w:val="00370469"/>
    <w:rsid w:val="00376078"/>
    <w:rsid w:val="003A0E33"/>
    <w:rsid w:val="003A3B26"/>
    <w:rsid w:val="003B3A1A"/>
    <w:rsid w:val="003C7D1F"/>
    <w:rsid w:val="003D2818"/>
    <w:rsid w:val="003E2152"/>
    <w:rsid w:val="003E29A1"/>
    <w:rsid w:val="003F6E2E"/>
    <w:rsid w:val="00432C59"/>
    <w:rsid w:val="00446202"/>
    <w:rsid w:val="00451F7E"/>
    <w:rsid w:val="004729B1"/>
    <w:rsid w:val="004A583A"/>
    <w:rsid w:val="004A7908"/>
    <w:rsid w:val="004B126A"/>
    <w:rsid w:val="004D01A3"/>
    <w:rsid w:val="004D4414"/>
    <w:rsid w:val="004E5E2E"/>
    <w:rsid w:val="00502D4B"/>
    <w:rsid w:val="00513EE9"/>
    <w:rsid w:val="00526CA5"/>
    <w:rsid w:val="0054254D"/>
    <w:rsid w:val="005502AA"/>
    <w:rsid w:val="0057478D"/>
    <w:rsid w:val="00586EA0"/>
    <w:rsid w:val="005922BD"/>
    <w:rsid w:val="00595698"/>
    <w:rsid w:val="005A12EB"/>
    <w:rsid w:val="005B70D0"/>
    <w:rsid w:val="005C644B"/>
    <w:rsid w:val="005E4CBE"/>
    <w:rsid w:val="005E6E90"/>
    <w:rsid w:val="00601FD4"/>
    <w:rsid w:val="006152F6"/>
    <w:rsid w:val="006455C6"/>
    <w:rsid w:val="00656878"/>
    <w:rsid w:val="006570C8"/>
    <w:rsid w:val="0065717D"/>
    <w:rsid w:val="00666E09"/>
    <w:rsid w:val="006A1082"/>
    <w:rsid w:val="006A5F9C"/>
    <w:rsid w:val="006C713E"/>
    <w:rsid w:val="007038B5"/>
    <w:rsid w:val="00716225"/>
    <w:rsid w:val="00717D29"/>
    <w:rsid w:val="00741780"/>
    <w:rsid w:val="0076030F"/>
    <w:rsid w:val="00762D3D"/>
    <w:rsid w:val="007938EE"/>
    <w:rsid w:val="007A6BED"/>
    <w:rsid w:val="007B089E"/>
    <w:rsid w:val="007B5EA2"/>
    <w:rsid w:val="007C25D2"/>
    <w:rsid w:val="007D4215"/>
    <w:rsid w:val="007E52ED"/>
    <w:rsid w:val="007F39B3"/>
    <w:rsid w:val="00802837"/>
    <w:rsid w:val="00815723"/>
    <w:rsid w:val="00821EF8"/>
    <w:rsid w:val="00823102"/>
    <w:rsid w:val="008302D2"/>
    <w:rsid w:val="00842745"/>
    <w:rsid w:val="008553BC"/>
    <w:rsid w:val="008726DA"/>
    <w:rsid w:val="00880C3C"/>
    <w:rsid w:val="008A5666"/>
    <w:rsid w:val="008C0025"/>
    <w:rsid w:val="008C42DA"/>
    <w:rsid w:val="009011AF"/>
    <w:rsid w:val="00906D00"/>
    <w:rsid w:val="00942737"/>
    <w:rsid w:val="00945BE3"/>
    <w:rsid w:val="00956A35"/>
    <w:rsid w:val="009748E7"/>
    <w:rsid w:val="00977BE7"/>
    <w:rsid w:val="0098295B"/>
    <w:rsid w:val="009A2EA9"/>
    <w:rsid w:val="009C4388"/>
    <w:rsid w:val="009D03CF"/>
    <w:rsid w:val="009E1A40"/>
    <w:rsid w:val="009E60C3"/>
    <w:rsid w:val="009E7D2B"/>
    <w:rsid w:val="009F060E"/>
    <w:rsid w:val="00A00839"/>
    <w:rsid w:val="00A00D0C"/>
    <w:rsid w:val="00A027A5"/>
    <w:rsid w:val="00A326EF"/>
    <w:rsid w:val="00A56264"/>
    <w:rsid w:val="00A568A0"/>
    <w:rsid w:val="00A62F47"/>
    <w:rsid w:val="00A64D9D"/>
    <w:rsid w:val="00A7252F"/>
    <w:rsid w:val="00AB1B62"/>
    <w:rsid w:val="00AB3A73"/>
    <w:rsid w:val="00AF170C"/>
    <w:rsid w:val="00AF2B22"/>
    <w:rsid w:val="00AF4680"/>
    <w:rsid w:val="00AF5887"/>
    <w:rsid w:val="00B031B9"/>
    <w:rsid w:val="00B12CEB"/>
    <w:rsid w:val="00B2641F"/>
    <w:rsid w:val="00B46FDC"/>
    <w:rsid w:val="00B537B3"/>
    <w:rsid w:val="00B5386B"/>
    <w:rsid w:val="00B866E1"/>
    <w:rsid w:val="00B92F35"/>
    <w:rsid w:val="00BC2E01"/>
    <w:rsid w:val="00BD0E40"/>
    <w:rsid w:val="00BD716E"/>
    <w:rsid w:val="00C006F4"/>
    <w:rsid w:val="00C117C5"/>
    <w:rsid w:val="00C14DBF"/>
    <w:rsid w:val="00C16A51"/>
    <w:rsid w:val="00C301F0"/>
    <w:rsid w:val="00C65969"/>
    <w:rsid w:val="00C7570A"/>
    <w:rsid w:val="00C77946"/>
    <w:rsid w:val="00C77AFE"/>
    <w:rsid w:val="00C87CF1"/>
    <w:rsid w:val="00CA561D"/>
    <w:rsid w:val="00CB09ED"/>
    <w:rsid w:val="00CC1AC6"/>
    <w:rsid w:val="00CD207E"/>
    <w:rsid w:val="00CD5432"/>
    <w:rsid w:val="00CE3738"/>
    <w:rsid w:val="00CE407C"/>
    <w:rsid w:val="00D0082E"/>
    <w:rsid w:val="00D00C0C"/>
    <w:rsid w:val="00D10466"/>
    <w:rsid w:val="00D11A71"/>
    <w:rsid w:val="00D17A96"/>
    <w:rsid w:val="00D2038C"/>
    <w:rsid w:val="00D226E1"/>
    <w:rsid w:val="00D239B2"/>
    <w:rsid w:val="00D2450B"/>
    <w:rsid w:val="00D2716F"/>
    <w:rsid w:val="00D30EC8"/>
    <w:rsid w:val="00D71E36"/>
    <w:rsid w:val="00D811FA"/>
    <w:rsid w:val="00D9372F"/>
    <w:rsid w:val="00D97797"/>
    <w:rsid w:val="00DA318B"/>
    <w:rsid w:val="00DA7454"/>
    <w:rsid w:val="00DB68ED"/>
    <w:rsid w:val="00DC6778"/>
    <w:rsid w:val="00DD40F0"/>
    <w:rsid w:val="00DE25D6"/>
    <w:rsid w:val="00E4033C"/>
    <w:rsid w:val="00E4175B"/>
    <w:rsid w:val="00E53B11"/>
    <w:rsid w:val="00E55B09"/>
    <w:rsid w:val="00E61033"/>
    <w:rsid w:val="00E66E76"/>
    <w:rsid w:val="00E716E7"/>
    <w:rsid w:val="00E8138D"/>
    <w:rsid w:val="00E91D56"/>
    <w:rsid w:val="00E94E7D"/>
    <w:rsid w:val="00EA1C60"/>
    <w:rsid w:val="00EB60F1"/>
    <w:rsid w:val="00EB748B"/>
    <w:rsid w:val="00EC187E"/>
    <w:rsid w:val="00EC3607"/>
    <w:rsid w:val="00F031D4"/>
    <w:rsid w:val="00F058A5"/>
    <w:rsid w:val="00F21E05"/>
    <w:rsid w:val="00F22670"/>
    <w:rsid w:val="00F4113E"/>
    <w:rsid w:val="00F719C9"/>
    <w:rsid w:val="00F7210E"/>
    <w:rsid w:val="00F73FAE"/>
    <w:rsid w:val="00F77F83"/>
    <w:rsid w:val="00F813CA"/>
    <w:rsid w:val="00FD3FE7"/>
    <w:rsid w:val="00FD676F"/>
    <w:rsid w:val="00FE7963"/>
    <w:rsid w:val="00FE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092"/>
    <w:pPr>
      <w:spacing w:after="120"/>
    </w:pPr>
    <w:rPr>
      <w:sz w:val="24"/>
    </w:rPr>
  </w:style>
  <w:style w:type="paragraph" w:styleId="Heading1">
    <w:name w:val="heading 1"/>
    <w:basedOn w:val="Normal"/>
    <w:next w:val="Normal"/>
    <w:qFormat/>
    <w:rsid w:val="001A009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0092"/>
    <w:pPr>
      <w:tabs>
        <w:tab w:val="center" w:pos="4320"/>
        <w:tab w:val="right" w:pos="8640"/>
      </w:tabs>
    </w:pPr>
  </w:style>
  <w:style w:type="paragraph" w:styleId="NormalIndent">
    <w:name w:val="Normal Indent"/>
    <w:basedOn w:val="Normal"/>
    <w:rsid w:val="001A0092"/>
    <w:pPr>
      <w:ind w:left="360"/>
    </w:pPr>
  </w:style>
  <w:style w:type="paragraph" w:styleId="Footer">
    <w:name w:val="footer"/>
    <w:basedOn w:val="Normal"/>
    <w:rsid w:val="001A0092"/>
    <w:pPr>
      <w:tabs>
        <w:tab w:val="center" w:pos="4320"/>
        <w:tab w:val="right" w:pos="8640"/>
      </w:tabs>
    </w:pPr>
  </w:style>
  <w:style w:type="character" w:styleId="PageNumber">
    <w:name w:val="page number"/>
    <w:basedOn w:val="DefaultParagraphFont"/>
    <w:rsid w:val="001A0092"/>
  </w:style>
  <w:style w:type="paragraph" w:styleId="ListParagraph">
    <w:name w:val="List Paragraph"/>
    <w:basedOn w:val="Normal"/>
    <w:uiPriority w:val="34"/>
    <w:qFormat/>
    <w:rsid w:val="000564CE"/>
    <w:pPr>
      <w:ind w:left="720"/>
    </w:pPr>
  </w:style>
  <w:style w:type="character" w:styleId="Hyperlink">
    <w:name w:val="Hyperlink"/>
    <w:basedOn w:val="DefaultParagraphFont"/>
    <w:rsid w:val="000564CE"/>
    <w:rPr>
      <w:color w:val="0000FF"/>
      <w:u w:val="single"/>
    </w:rPr>
  </w:style>
  <w:style w:type="paragraph" w:styleId="CommentText">
    <w:name w:val="annotation text"/>
    <w:basedOn w:val="Normal"/>
    <w:link w:val="CommentTextChar"/>
    <w:rsid w:val="004A583A"/>
    <w:pPr>
      <w:spacing w:after="200"/>
    </w:pPr>
    <w:rPr>
      <w:rFonts w:ascii="Calibri" w:eastAsia="Calibri" w:hAnsi="Calibri"/>
      <w:sz w:val="20"/>
    </w:rPr>
  </w:style>
  <w:style w:type="character" w:customStyle="1" w:styleId="CommentTextChar">
    <w:name w:val="Comment Text Char"/>
    <w:basedOn w:val="DefaultParagraphFont"/>
    <w:link w:val="CommentText"/>
    <w:rsid w:val="004A583A"/>
    <w:rPr>
      <w:rFonts w:ascii="Calibri" w:eastAsia="Calibri" w:hAnsi="Calibri"/>
    </w:rPr>
  </w:style>
  <w:style w:type="paragraph" w:styleId="HTMLPreformatted">
    <w:name w:val="HTML Preformatted"/>
    <w:basedOn w:val="Normal"/>
    <w:link w:val="HTMLPreformattedChar"/>
    <w:uiPriority w:val="99"/>
    <w:rsid w:val="004A5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A583A"/>
    <w:rPr>
      <w:rFonts w:ascii="Courier New" w:hAnsi="Courier New" w:cs="Courier New"/>
    </w:rPr>
  </w:style>
  <w:style w:type="paragraph" w:styleId="BalloonText">
    <w:name w:val="Balloon Text"/>
    <w:basedOn w:val="Normal"/>
    <w:semiHidden/>
    <w:rsid w:val="00CC1AC6"/>
    <w:rPr>
      <w:rFonts w:ascii="Tahoma" w:hAnsi="Tahoma" w:cs="Tahoma"/>
      <w:sz w:val="16"/>
      <w:szCs w:val="16"/>
    </w:rPr>
  </w:style>
  <w:style w:type="character" w:styleId="CommentReference">
    <w:name w:val="annotation reference"/>
    <w:basedOn w:val="DefaultParagraphFont"/>
    <w:rsid w:val="005922BD"/>
    <w:rPr>
      <w:sz w:val="16"/>
      <w:szCs w:val="16"/>
    </w:rPr>
  </w:style>
  <w:style w:type="paragraph" w:styleId="CommentSubject">
    <w:name w:val="annotation subject"/>
    <w:basedOn w:val="CommentText"/>
    <w:next w:val="CommentText"/>
    <w:link w:val="CommentSubjectChar"/>
    <w:rsid w:val="005922BD"/>
    <w:pPr>
      <w:spacing w:after="120"/>
    </w:pPr>
    <w:rPr>
      <w:rFonts w:ascii="Times New Roman" w:eastAsia="Times New Roman" w:hAnsi="Times New Roman"/>
      <w:b/>
      <w:bCs/>
    </w:rPr>
  </w:style>
  <w:style w:type="character" w:customStyle="1" w:styleId="CommentSubjectChar">
    <w:name w:val="Comment Subject Char"/>
    <w:basedOn w:val="CommentTextChar"/>
    <w:link w:val="CommentSubject"/>
    <w:rsid w:val="005922BD"/>
    <w:rPr>
      <w:rFonts w:ascii="Calibri" w:eastAsia="Calibri" w:hAnsi="Calibri"/>
      <w:b/>
      <w:bCs/>
    </w:rPr>
  </w:style>
  <w:style w:type="character" w:styleId="FollowedHyperlink">
    <w:name w:val="FollowedHyperlink"/>
    <w:basedOn w:val="DefaultParagraphFont"/>
    <w:rsid w:val="00E716E7"/>
    <w:rPr>
      <w:color w:val="800080"/>
      <w:u w:val="single"/>
    </w:rPr>
  </w:style>
  <w:style w:type="paragraph" w:styleId="BodyTextIndent">
    <w:name w:val="Body Text Indent"/>
    <w:basedOn w:val="Normal"/>
    <w:link w:val="BodyTextIndentChar"/>
    <w:rsid w:val="007C25D2"/>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7C25D2"/>
    <w:rPr>
      <w:sz w:val="24"/>
      <w:szCs w:val="24"/>
    </w:rPr>
  </w:style>
  <w:style w:type="paragraph" w:styleId="Subtitle">
    <w:name w:val="Subtitle"/>
    <w:basedOn w:val="Normal"/>
    <w:next w:val="Normal"/>
    <w:link w:val="SubtitleChar"/>
    <w:qFormat/>
    <w:rsid w:val="00E53B1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E53B11"/>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9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1082"/>
    <w:pPr>
      <w:spacing w:line="480" w:lineRule="auto"/>
      <w:ind w:left="360"/>
    </w:pPr>
  </w:style>
  <w:style w:type="character" w:customStyle="1" w:styleId="BodyTextIndent2Char">
    <w:name w:val="Body Text Indent 2 Char"/>
    <w:basedOn w:val="DefaultParagraphFont"/>
    <w:link w:val="BodyTextIndent2"/>
    <w:rsid w:val="006A1082"/>
    <w:rPr>
      <w:sz w:val="24"/>
    </w:rPr>
  </w:style>
  <w:style w:type="character" w:customStyle="1" w:styleId="apple-converted-space">
    <w:name w:val="apple-converted-space"/>
    <w:basedOn w:val="DefaultParagraphFont"/>
    <w:rsid w:val="005B70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092"/>
    <w:pPr>
      <w:spacing w:after="120"/>
    </w:pPr>
    <w:rPr>
      <w:sz w:val="24"/>
    </w:rPr>
  </w:style>
  <w:style w:type="paragraph" w:styleId="Heading1">
    <w:name w:val="heading 1"/>
    <w:basedOn w:val="Normal"/>
    <w:next w:val="Normal"/>
    <w:qFormat/>
    <w:rsid w:val="001A009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0092"/>
    <w:pPr>
      <w:tabs>
        <w:tab w:val="center" w:pos="4320"/>
        <w:tab w:val="right" w:pos="8640"/>
      </w:tabs>
    </w:pPr>
  </w:style>
  <w:style w:type="paragraph" w:styleId="NormalIndent">
    <w:name w:val="Normal Indent"/>
    <w:basedOn w:val="Normal"/>
    <w:rsid w:val="001A0092"/>
    <w:pPr>
      <w:ind w:left="360"/>
    </w:pPr>
  </w:style>
  <w:style w:type="paragraph" w:styleId="Footer">
    <w:name w:val="footer"/>
    <w:basedOn w:val="Normal"/>
    <w:rsid w:val="001A0092"/>
    <w:pPr>
      <w:tabs>
        <w:tab w:val="center" w:pos="4320"/>
        <w:tab w:val="right" w:pos="8640"/>
      </w:tabs>
    </w:pPr>
  </w:style>
  <w:style w:type="character" w:styleId="PageNumber">
    <w:name w:val="page number"/>
    <w:basedOn w:val="DefaultParagraphFont"/>
    <w:rsid w:val="001A0092"/>
  </w:style>
  <w:style w:type="paragraph" w:styleId="ListParagraph">
    <w:name w:val="List Paragraph"/>
    <w:basedOn w:val="Normal"/>
    <w:uiPriority w:val="34"/>
    <w:qFormat/>
    <w:rsid w:val="000564CE"/>
    <w:pPr>
      <w:ind w:left="720"/>
    </w:pPr>
  </w:style>
  <w:style w:type="character" w:styleId="Hyperlink">
    <w:name w:val="Hyperlink"/>
    <w:basedOn w:val="DefaultParagraphFont"/>
    <w:rsid w:val="000564CE"/>
    <w:rPr>
      <w:color w:val="0000FF"/>
      <w:u w:val="single"/>
    </w:rPr>
  </w:style>
  <w:style w:type="paragraph" w:styleId="CommentText">
    <w:name w:val="annotation text"/>
    <w:basedOn w:val="Normal"/>
    <w:link w:val="CommentTextChar"/>
    <w:rsid w:val="004A583A"/>
    <w:pPr>
      <w:spacing w:after="200"/>
    </w:pPr>
    <w:rPr>
      <w:rFonts w:ascii="Calibri" w:eastAsia="Calibri" w:hAnsi="Calibri"/>
      <w:sz w:val="20"/>
    </w:rPr>
  </w:style>
  <w:style w:type="character" w:customStyle="1" w:styleId="CommentTextChar">
    <w:name w:val="Comment Text Char"/>
    <w:basedOn w:val="DefaultParagraphFont"/>
    <w:link w:val="CommentText"/>
    <w:rsid w:val="004A583A"/>
    <w:rPr>
      <w:rFonts w:ascii="Calibri" w:eastAsia="Calibri" w:hAnsi="Calibri"/>
    </w:rPr>
  </w:style>
  <w:style w:type="paragraph" w:styleId="HTMLPreformatted">
    <w:name w:val="HTML Preformatted"/>
    <w:basedOn w:val="Normal"/>
    <w:link w:val="HTMLPreformattedChar"/>
    <w:uiPriority w:val="99"/>
    <w:rsid w:val="004A5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A583A"/>
    <w:rPr>
      <w:rFonts w:ascii="Courier New" w:hAnsi="Courier New" w:cs="Courier New"/>
    </w:rPr>
  </w:style>
  <w:style w:type="paragraph" w:styleId="BalloonText">
    <w:name w:val="Balloon Text"/>
    <w:basedOn w:val="Normal"/>
    <w:semiHidden/>
    <w:rsid w:val="00CC1AC6"/>
    <w:rPr>
      <w:rFonts w:ascii="Tahoma" w:hAnsi="Tahoma" w:cs="Tahoma"/>
      <w:sz w:val="16"/>
      <w:szCs w:val="16"/>
    </w:rPr>
  </w:style>
  <w:style w:type="character" w:styleId="CommentReference">
    <w:name w:val="annotation reference"/>
    <w:basedOn w:val="DefaultParagraphFont"/>
    <w:rsid w:val="005922BD"/>
    <w:rPr>
      <w:sz w:val="16"/>
      <w:szCs w:val="16"/>
    </w:rPr>
  </w:style>
  <w:style w:type="paragraph" w:styleId="CommentSubject">
    <w:name w:val="annotation subject"/>
    <w:basedOn w:val="CommentText"/>
    <w:next w:val="CommentText"/>
    <w:link w:val="CommentSubjectChar"/>
    <w:rsid w:val="005922BD"/>
    <w:pPr>
      <w:spacing w:after="120"/>
    </w:pPr>
    <w:rPr>
      <w:rFonts w:ascii="Times New Roman" w:eastAsia="Times New Roman" w:hAnsi="Times New Roman"/>
      <w:b/>
      <w:bCs/>
    </w:rPr>
  </w:style>
  <w:style w:type="character" w:customStyle="1" w:styleId="CommentSubjectChar">
    <w:name w:val="Comment Subject Char"/>
    <w:basedOn w:val="CommentTextChar"/>
    <w:link w:val="CommentSubject"/>
    <w:rsid w:val="005922BD"/>
    <w:rPr>
      <w:rFonts w:ascii="Calibri" w:eastAsia="Calibri" w:hAnsi="Calibri"/>
      <w:b/>
      <w:bCs/>
    </w:rPr>
  </w:style>
  <w:style w:type="character" w:styleId="FollowedHyperlink">
    <w:name w:val="FollowedHyperlink"/>
    <w:basedOn w:val="DefaultParagraphFont"/>
    <w:rsid w:val="00E716E7"/>
    <w:rPr>
      <w:color w:val="800080"/>
      <w:u w:val="single"/>
    </w:rPr>
  </w:style>
  <w:style w:type="paragraph" w:styleId="BodyTextIndent">
    <w:name w:val="Body Text Indent"/>
    <w:basedOn w:val="Normal"/>
    <w:link w:val="BodyTextIndentChar"/>
    <w:rsid w:val="007C25D2"/>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7C25D2"/>
    <w:rPr>
      <w:sz w:val="24"/>
      <w:szCs w:val="24"/>
    </w:rPr>
  </w:style>
  <w:style w:type="paragraph" w:styleId="Subtitle">
    <w:name w:val="Subtitle"/>
    <w:basedOn w:val="Normal"/>
    <w:next w:val="Normal"/>
    <w:link w:val="SubtitleChar"/>
    <w:qFormat/>
    <w:rsid w:val="00E53B1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E53B11"/>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9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1082"/>
    <w:pPr>
      <w:spacing w:line="480" w:lineRule="auto"/>
      <w:ind w:left="360"/>
    </w:pPr>
  </w:style>
  <w:style w:type="character" w:customStyle="1" w:styleId="BodyTextIndent2Char">
    <w:name w:val="Body Text Indent 2 Char"/>
    <w:basedOn w:val="DefaultParagraphFont"/>
    <w:link w:val="BodyTextIndent2"/>
    <w:rsid w:val="006A1082"/>
    <w:rPr>
      <w:sz w:val="24"/>
    </w:rPr>
  </w:style>
  <w:style w:type="character" w:customStyle="1" w:styleId="apple-converted-space">
    <w:name w:val="apple-converted-space"/>
    <w:basedOn w:val="DefaultParagraphFont"/>
    <w:rsid w:val="005B7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89495">
      <w:bodyDiv w:val="1"/>
      <w:marLeft w:val="0"/>
      <w:marRight w:val="0"/>
      <w:marTop w:val="0"/>
      <w:marBottom w:val="0"/>
      <w:divBdr>
        <w:top w:val="none" w:sz="0" w:space="0" w:color="auto"/>
        <w:left w:val="none" w:sz="0" w:space="0" w:color="auto"/>
        <w:bottom w:val="none" w:sz="0" w:space="0" w:color="auto"/>
        <w:right w:val="none" w:sz="0" w:space="0" w:color="auto"/>
      </w:divBdr>
    </w:div>
    <w:div w:id="883255526">
      <w:bodyDiv w:val="1"/>
      <w:marLeft w:val="0"/>
      <w:marRight w:val="0"/>
      <w:marTop w:val="0"/>
      <w:marBottom w:val="0"/>
      <w:divBdr>
        <w:top w:val="none" w:sz="0" w:space="0" w:color="auto"/>
        <w:left w:val="none" w:sz="0" w:space="0" w:color="auto"/>
        <w:bottom w:val="none" w:sz="0" w:space="0" w:color="auto"/>
        <w:right w:val="none" w:sz="0" w:space="0" w:color="auto"/>
      </w:divBdr>
    </w:div>
    <w:div w:id="163036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ravel.state.gov" TargetMode="External"/><Relationship Id="rId4" Type="http://schemas.microsoft.com/office/2007/relationships/stylesWithEffects" Target="stylesWithEffects.xml"/><Relationship Id="rId9" Type="http://schemas.openxmlformats.org/officeDocument/2006/relationships/hyperlink" Target="http://www.travel.state.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74B63-F5F1-45CF-B55C-2874AF14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Template>
  <TotalTime>0</TotalTime>
  <Pages>2</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10203</CharactersWithSpaces>
  <SharedDoc>false</SharedDoc>
  <HLinks>
    <vt:vector size="6" baseType="variant">
      <vt:variant>
        <vt:i4>5701705</vt:i4>
      </vt:variant>
      <vt:variant>
        <vt:i4>0</vt:i4>
      </vt:variant>
      <vt:variant>
        <vt:i4>0</vt:i4>
      </vt:variant>
      <vt:variant>
        <vt:i4>5</vt:i4>
      </vt:variant>
      <vt:variant>
        <vt:lpwstr>http://www.state.gov/documents/organization/79961.pdf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SYSTEM</cp:lastModifiedBy>
  <cp:revision>2</cp:revision>
  <cp:lastPrinted>2017-01-31T16:46:00Z</cp:lastPrinted>
  <dcterms:created xsi:type="dcterms:W3CDTF">2017-09-22T17:42:00Z</dcterms:created>
  <dcterms:modified xsi:type="dcterms:W3CDTF">2017-09-22T17:42:00Z</dcterms:modified>
</cp:coreProperties>
</file>