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4BE0E" w14:textId="77777777" w:rsidR="00600940" w:rsidRDefault="00600940">
      <w:pPr>
        <w:pStyle w:val="PlainText"/>
        <w:jc w:val="center"/>
        <w:rPr>
          <w:rFonts w:ascii="Times New Roman" w:eastAsia="MS Mincho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sz w:val="24"/>
        </w:rPr>
        <w:t>Supp</w:t>
      </w:r>
      <w:r w:rsidR="0029258E">
        <w:rPr>
          <w:rFonts w:ascii="Times New Roman" w:eastAsia="MS Mincho" w:hAnsi="Times New Roman" w:cs="Times New Roman"/>
          <w:sz w:val="24"/>
        </w:rPr>
        <w:t>orting</w:t>
      </w:r>
      <w:r>
        <w:rPr>
          <w:rFonts w:ascii="Times New Roman" w:eastAsia="MS Mincho" w:hAnsi="Times New Roman" w:cs="Times New Roman"/>
          <w:sz w:val="24"/>
        </w:rPr>
        <w:t xml:space="preserve"> Statement</w:t>
      </w:r>
    </w:p>
    <w:p w14:paraId="31DBDCAE" w14:textId="77777777" w:rsidR="006759E5" w:rsidRDefault="006759E5">
      <w:pPr>
        <w:pStyle w:val="Plain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Administrative rulings (31 CFR 10</w:t>
      </w:r>
      <w:r w:rsidR="009B63CD">
        <w:rPr>
          <w:rFonts w:ascii="Times New Roman" w:hAnsi="Times New Roman"/>
          <w:sz w:val="24"/>
        </w:rPr>
        <w:t>10.710</w:t>
      </w:r>
      <w:r>
        <w:rPr>
          <w:rFonts w:ascii="Times New Roman" w:hAnsi="Times New Roman"/>
          <w:sz w:val="24"/>
        </w:rPr>
        <w:t>-</w:t>
      </w:r>
      <w:r w:rsidR="009B63CD">
        <w:rPr>
          <w:rFonts w:ascii="Times New Roman" w:hAnsi="Times New Roman"/>
          <w:sz w:val="24"/>
        </w:rPr>
        <w:t>71</w:t>
      </w:r>
      <w:r>
        <w:rPr>
          <w:rFonts w:ascii="Times New Roman" w:hAnsi="Times New Roman"/>
          <w:sz w:val="24"/>
        </w:rPr>
        <w:t>7)</w:t>
      </w:r>
    </w:p>
    <w:p w14:paraId="5AADBE86" w14:textId="77777777" w:rsidR="005A41DF" w:rsidRDefault="005A41DF">
      <w:pPr>
        <w:pStyle w:val="PlainText"/>
        <w:jc w:val="center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OMB Control Number 1506-</w:t>
      </w:r>
      <w:r w:rsidR="00AE5A2E">
        <w:rPr>
          <w:rFonts w:ascii="Times New Roman" w:eastAsia="MS Mincho" w:hAnsi="Times New Roman" w:cs="Times New Roman"/>
          <w:sz w:val="24"/>
        </w:rPr>
        <w:t>0050</w:t>
      </w:r>
    </w:p>
    <w:p w14:paraId="5673072D" w14:textId="77777777" w:rsidR="00600940" w:rsidRDefault="00600940">
      <w:pPr>
        <w:pStyle w:val="PlainText"/>
        <w:rPr>
          <w:rFonts w:ascii="Times New Roman" w:eastAsia="MS Mincho" w:hAnsi="Times New Roman" w:cs="Times New Roman"/>
          <w:sz w:val="24"/>
        </w:rPr>
      </w:pPr>
    </w:p>
    <w:p w14:paraId="15E723CA" w14:textId="77777777" w:rsidR="00600940" w:rsidRDefault="00600940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  <w:szCs w:val="22"/>
          <w:u w:val="single"/>
        </w:rPr>
        <w:t>Circumstances Necessitating Collection of Information</w:t>
      </w:r>
      <w:r>
        <w:rPr>
          <w:rFonts w:ascii="Times New Roman" w:eastAsia="MS Mincho" w:hAnsi="Times New Roman" w:cs="Times New Roman"/>
          <w:sz w:val="24"/>
        </w:rPr>
        <w:tab/>
      </w:r>
    </w:p>
    <w:p w14:paraId="5F54B913" w14:textId="77777777" w:rsidR="00600940" w:rsidRDefault="00600940">
      <w:pPr>
        <w:pStyle w:val="PlainText"/>
        <w:rPr>
          <w:rFonts w:ascii="Times New Roman" w:eastAsia="MS Mincho" w:hAnsi="Times New Roman" w:cs="Times New Roman"/>
          <w:sz w:val="24"/>
        </w:rPr>
      </w:pPr>
    </w:p>
    <w:p w14:paraId="504CECB0" w14:textId="77777777" w:rsidR="006759E5" w:rsidRDefault="00600940" w:rsidP="006759E5">
      <w:pPr>
        <w:pStyle w:val="PlainText"/>
        <w:ind w:firstLine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The statute generally referred to as the “Bank Secrecy Act,” Titles I and II of Public Law 91-508, as amended, codified at 12 U.S.C. 1829b, 12 U.S.C. 1951-1959, and 31 U.S.C. 5311-5332, authorizes the Secretary of the Treasury, </w:t>
      </w:r>
      <w:r>
        <w:rPr>
          <w:rFonts w:ascii="Times New Roman" w:eastAsia="MS Mincho" w:hAnsi="Times New Roman" w:cs="Times New Roman"/>
          <w:sz w:val="24"/>
          <w:u w:val="single"/>
        </w:rPr>
        <w:t>inter alia</w:t>
      </w:r>
      <w:r>
        <w:rPr>
          <w:rFonts w:ascii="Times New Roman" w:eastAsia="MS Mincho" w:hAnsi="Times New Roman" w:cs="Times New Roman"/>
          <w:sz w:val="24"/>
        </w:rPr>
        <w:t>, to require financial institutions to keep records and file reports that are determined to have a high degree of usefulness in criminal, tax, and regulatory matters, or in the conduct of intelligence or counter-intelligence activities, to protect against international terrorism, and to implement counter-money laundering programs and compliance procedures.</w:t>
      </w:r>
      <w:r>
        <w:rPr>
          <w:rStyle w:val="FootnoteReference"/>
          <w:rFonts w:ascii="Times New Roman" w:eastAsia="MS Mincho" w:hAnsi="Times New Roman" w:cs="Times New Roman"/>
          <w:sz w:val="24"/>
        </w:rPr>
        <w:footnoteReference w:id="1"/>
      </w:r>
      <w:r>
        <w:rPr>
          <w:rFonts w:ascii="Times New Roman" w:eastAsia="MS Mincho" w:hAnsi="Times New Roman" w:cs="Times New Roman"/>
          <w:sz w:val="24"/>
        </w:rPr>
        <w:t xml:space="preserve">  Regulations implementing Title II of the Bank Secrecy Act</w:t>
      </w:r>
      <w:r w:rsidR="0029258E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appear at 31 CFR </w:t>
      </w:r>
      <w:r w:rsidR="00AE5A2E">
        <w:rPr>
          <w:rFonts w:ascii="Times New Roman" w:eastAsia="MS Mincho" w:hAnsi="Times New Roman" w:cs="Times New Roman"/>
          <w:sz w:val="24"/>
        </w:rPr>
        <w:t>Chapter X</w:t>
      </w:r>
      <w:r>
        <w:rPr>
          <w:rFonts w:ascii="Times New Roman" w:eastAsia="MS Mincho" w:hAnsi="Times New Roman" w:cs="Times New Roman"/>
          <w:sz w:val="24"/>
        </w:rPr>
        <w:t>.  The authority of the Secretary to administer the Bank Secrecy Act</w:t>
      </w:r>
      <w:r w:rsidR="0029258E">
        <w:rPr>
          <w:rFonts w:ascii="Times New Roman" w:eastAsia="MS Mincho" w:hAnsi="Times New Roman" w:cs="Times New Roman"/>
          <w:sz w:val="24"/>
        </w:rPr>
        <w:t xml:space="preserve"> (BSA)</w:t>
      </w:r>
      <w:r>
        <w:rPr>
          <w:rFonts w:ascii="Times New Roman" w:eastAsia="MS Mincho" w:hAnsi="Times New Roman" w:cs="Times New Roman"/>
          <w:sz w:val="24"/>
        </w:rPr>
        <w:t xml:space="preserve"> has been delegated to the Director of the Financial Crimes Enforcement Network</w:t>
      </w:r>
      <w:r w:rsidR="008F4BF3">
        <w:rPr>
          <w:rFonts w:ascii="Times New Roman" w:eastAsia="MS Mincho" w:hAnsi="Times New Roman" w:cs="Times New Roman"/>
          <w:sz w:val="24"/>
        </w:rPr>
        <w:t xml:space="preserve"> (FinCEN)</w:t>
      </w:r>
      <w:r>
        <w:rPr>
          <w:rFonts w:ascii="Times New Roman" w:eastAsia="MS Mincho" w:hAnsi="Times New Roman" w:cs="Times New Roman"/>
          <w:sz w:val="24"/>
        </w:rPr>
        <w:t>.</w:t>
      </w:r>
    </w:p>
    <w:p w14:paraId="3220ED29" w14:textId="77777777" w:rsidR="006759E5" w:rsidRDefault="006759E5" w:rsidP="006759E5">
      <w:pPr>
        <w:pStyle w:val="PlainText"/>
        <w:ind w:firstLine="720"/>
        <w:rPr>
          <w:rFonts w:ascii="Times New Roman" w:eastAsia="MS Mincho" w:hAnsi="Times New Roman" w:cs="Times New Roman"/>
          <w:sz w:val="24"/>
        </w:rPr>
      </w:pPr>
    </w:p>
    <w:p w14:paraId="343713D7" w14:textId="77777777" w:rsidR="006759E5" w:rsidRPr="006759E5" w:rsidRDefault="0068684A" w:rsidP="006759E5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759E5">
        <w:rPr>
          <w:rFonts w:ascii="Times New Roman" w:hAnsi="Times New Roman"/>
          <w:sz w:val="24"/>
        </w:rPr>
        <w:t>These sections address administrative rulings under the Bank Secrecy Act.  They explain how to submit a ruling request (10</w:t>
      </w:r>
      <w:r w:rsidR="00AE5A2E">
        <w:rPr>
          <w:rFonts w:ascii="Times New Roman" w:hAnsi="Times New Roman"/>
          <w:sz w:val="24"/>
        </w:rPr>
        <w:t>10.711</w:t>
      </w:r>
      <w:r w:rsidR="006759E5">
        <w:rPr>
          <w:rFonts w:ascii="Times New Roman" w:hAnsi="Times New Roman"/>
          <w:sz w:val="24"/>
        </w:rPr>
        <w:t>), how nonconforming requests are handled (10</w:t>
      </w:r>
      <w:r w:rsidR="00AE5A2E">
        <w:rPr>
          <w:rFonts w:ascii="Times New Roman" w:hAnsi="Times New Roman"/>
          <w:sz w:val="24"/>
        </w:rPr>
        <w:t>10.712</w:t>
      </w:r>
      <w:r w:rsidR="006759E5">
        <w:rPr>
          <w:rFonts w:ascii="Times New Roman" w:hAnsi="Times New Roman"/>
          <w:sz w:val="24"/>
        </w:rPr>
        <w:t>), how oral communications are treated (10</w:t>
      </w:r>
      <w:r w:rsidR="00AE5A2E">
        <w:rPr>
          <w:rFonts w:ascii="Times New Roman" w:hAnsi="Times New Roman"/>
          <w:sz w:val="24"/>
        </w:rPr>
        <w:t>10.713</w:t>
      </w:r>
      <w:r w:rsidR="006759E5">
        <w:rPr>
          <w:rFonts w:ascii="Times New Roman" w:hAnsi="Times New Roman"/>
          <w:sz w:val="24"/>
        </w:rPr>
        <w:t xml:space="preserve">), </w:t>
      </w:r>
      <w:r w:rsidR="004B30F7">
        <w:rPr>
          <w:rFonts w:ascii="Times New Roman" w:hAnsi="Times New Roman"/>
          <w:sz w:val="24"/>
        </w:rPr>
        <w:t>how to withdraw a request (1010.714),</w:t>
      </w:r>
      <w:r w:rsidR="006759E5">
        <w:rPr>
          <w:rFonts w:ascii="Times New Roman" w:hAnsi="Times New Roman"/>
          <w:sz w:val="24"/>
        </w:rPr>
        <w:t xml:space="preserve"> </w:t>
      </w:r>
      <w:r w:rsidR="004B30F7">
        <w:rPr>
          <w:rFonts w:ascii="Times New Roman" w:hAnsi="Times New Roman"/>
          <w:sz w:val="24"/>
        </w:rPr>
        <w:t xml:space="preserve">how rulings are issued </w:t>
      </w:r>
      <w:r w:rsidR="006759E5">
        <w:rPr>
          <w:rFonts w:ascii="Times New Roman" w:hAnsi="Times New Roman"/>
          <w:sz w:val="24"/>
        </w:rPr>
        <w:t>(10</w:t>
      </w:r>
      <w:r w:rsidR="00AE5A2E">
        <w:rPr>
          <w:rFonts w:ascii="Times New Roman" w:hAnsi="Times New Roman"/>
          <w:sz w:val="24"/>
        </w:rPr>
        <w:t>10.715</w:t>
      </w:r>
      <w:r w:rsidR="006759E5">
        <w:rPr>
          <w:rFonts w:ascii="Times New Roman" w:hAnsi="Times New Roman"/>
          <w:sz w:val="24"/>
        </w:rPr>
        <w:t>), how rulings are modified or rescinded (10</w:t>
      </w:r>
      <w:r w:rsidR="00AE5A2E">
        <w:rPr>
          <w:rFonts w:ascii="Times New Roman" w:hAnsi="Times New Roman"/>
          <w:sz w:val="24"/>
        </w:rPr>
        <w:t>10.716</w:t>
      </w:r>
      <w:r w:rsidR="006759E5">
        <w:rPr>
          <w:rFonts w:ascii="Times New Roman" w:hAnsi="Times New Roman"/>
          <w:sz w:val="24"/>
        </w:rPr>
        <w:t>), and how information may be disclosed (10</w:t>
      </w:r>
      <w:r w:rsidR="00AE5A2E">
        <w:rPr>
          <w:rFonts w:ascii="Times New Roman" w:hAnsi="Times New Roman"/>
          <w:sz w:val="24"/>
        </w:rPr>
        <w:t>10.717</w:t>
      </w:r>
      <w:r w:rsidR="006759E5">
        <w:rPr>
          <w:rFonts w:ascii="Times New Roman" w:hAnsi="Times New Roman"/>
          <w:sz w:val="24"/>
        </w:rPr>
        <w:t>).</w:t>
      </w:r>
    </w:p>
    <w:p w14:paraId="4000DFB2" w14:textId="77777777" w:rsidR="005A41DF" w:rsidRDefault="005A41DF" w:rsidP="00736FD7">
      <w:pPr>
        <w:tabs>
          <w:tab w:val="left" w:pos="0"/>
        </w:tabs>
        <w:suppressAutoHyphens/>
      </w:pPr>
    </w:p>
    <w:p w14:paraId="7C92792A" w14:textId="77777777" w:rsidR="00736FD7" w:rsidRDefault="00600940" w:rsidP="00736FD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47B41">
        <w:rPr>
          <w:rFonts w:ascii="Times New Roman" w:hAnsi="Times New Roman" w:cs="Times New Roman"/>
          <w:sz w:val="24"/>
          <w:szCs w:val="24"/>
        </w:rPr>
        <w:t xml:space="preserve">2. </w:t>
      </w:r>
      <w:r w:rsidRPr="00747B41">
        <w:rPr>
          <w:rFonts w:ascii="Times New Roman" w:hAnsi="Times New Roman" w:cs="Times New Roman"/>
          <w:sz w:val="24"/>
          <w:szCs w:val="24"/>
          <w:u w:val="single"/>
        </w:rPr>
        <w:t xml:space="preserve">Method of Collection and </w:t>
      </w:r>
      <w:r w:rsidR="008F4BF3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747B41">
        <w:rPr>
          <w:rFonts w:ascii="Times New Roman" w:hAnsi="Times New Roman" w:cs="Times New Roman"/>
          <w:sz w:val="24"/>
          <w:szCs w:val="24"/>
          <w:u w:val="single"/>
        </w:rPr>
        <w:t xml:space="preserve">se of </w:t>
      </w:r>
      <w:r w:rsidR="008F4BF3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747B41">
        <w:rPr>
          <w:rFonts w:ascii="Times New Roman" w:hAnsi="Times New Roman" w:cs="Times New Roman"/>
          <w:sz w:val="24"/>
          <w:szCs w:val="24"/>
          <w:u w:val="single"/>
        </w:rPr>
        <w:t>ata</w:t>
      </w:r>
      <w:r w:rsidRPr="00747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F47BB" w14:textId="77777777" w:rsidR="00736FD7" w:rsidRDefault="00736FD7" w:rsidP="00736F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8AF9400" w14:textId="77777777" w:rsidR="000C5DE0" w:rsidRDefault="00736FD7" w:rsidP="000C5D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DE0">
        <w:rPr>
          <w:rFonts w:ascii="Times New Roman" w:hAnsi="Times New Roman" w:cs="Times New Roman"/>
          <w:sz w:val="24"/>
          <w:szCs w:val="24"/>
        </w:rPr>
        <w:t>Administrative rulings are sent to FinCEN either by the U</w:t>
      </w:r>
      <w:r w:rsidR="003429D9">
        <w:rPr>
          <w:rFonts w:ascii="Times New Roman" w:hAnsi="Times New Roman" w:cs="Times New Roman"/>
          <w:sz w:val="24"/>
          <w:szCs w:val="24"/>
        </w:rPr>
        <w:t>.</w:t>
      </w:r>
      <w:r w:rsidR="000C5DE0">
        <w:rPr>
          <w:rFonts w:ascii="Times New Roman" w:hAnsi="Times New Roman" w:cs="Times New Roman"/>
          <w:sz w:val="24"/>
          <w:szCs w:val="24"/>
        </w:rPr>
        <w:t>S</w:t>
      </w:r>
      <w:r w:rsidR="003429D9">
        <w:rPr>
          <w:rFonts w:ascii="Times New Roman" w:hAnsi="Times New Roman" w:cs="Times New Roman"/>
          <w:sz w:val="24"/>
          <w:szCs w:val="24"/>
        </w:rPr>
        <w:t>.</w:t>
      </w:r>
      <w:r w:rsidR="000C5DE0">
        <w:rPr>
          <w:rFonts w:ascii="Times New Roman" w:hAnsi="Times New Roman" w:cs="Times New Roman"/>
          <w:sz w:val="24"/>
          <w:szCs w:val="24"/>
        </w:rPr>
        <w:t xml:space="preserve"> Mail or electronically for consideration and determination. </w:t>
      </w:r>
      <w:r w:rsidR="003429D9">
        <w:rPr>
          <w:rFonts w:ascii="Times New Roman" w:hAnsi="Times New Roman" w:cs="Times New Roman"/>
          <w:sz w:val="24"/>
          <w:szCs w:val="24"/>
        </w:rPr>
        <w:t xml:space="preserve"> </w:t>
      </w:r>
      <w:r w:rsidR="000C5DE0">
        <w:rPr>
          <w:rFonts w:ascii="Times New Roman" w:hAnsi="Times New Roman" w:cs="Times New Roman"/>
          <w:sz w:val="24"/>
          <w:szCs w:val="24"/>
        </w:rPr>
        <w:t>The data presented in the request is used in the formulation of a response to the requestor.</w:t>
      </w:r>
    </w:p>
    <w:p w14:paraId="52CD66EA" w14:textId="77777777" w:rsidR="000C5DE0" w:rsidRDefault="000C5DE0" w:rsidP="000C5D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CF21193" w14:textId="77777777" w:rsidR="00600940" w:rsidRPr="000C5DE0" w:rsidRDefault="00600940" w:rsidP="000C5DE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5DE0">
        <w:rPr>
          <w:rFonts w:ascii="Times New Roman" w:hAnsi="Times New Roman" w:cs="Times New Roman"/>
          <w:sz w:val="24"/>
          <w:szCs w:val="24"/>
        </w:rPr>
        <w:t xml:space="preserve">3. </w:t>
      </w:r>
      <w:r w:rsidRPr="000C5DE0">
        <w:rPr>
          <w:rFonts w:ascii="Times New Roman" w:hAnsi="Times New Roman" w:cs="Times New Roman"/>
          <w:sz w:val="24"/>
          <w:szCs w:val="24"/>
          <w:u w:val="single"/>
        </w:rPr>
        <w:t>Use of Improved Information Technology to Reduce Burden</w:t>
      </w:r>
      <w:r w:rsidRPr="000C5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903D3" w14:textId="77777777" w:rsidR="00600940" w:rsidRDefault="00760A89">
      <w:pPr>
        <w:spacing w:before="273"/>
        <w:ind w:firstLine="720"/>
        <w:rPr>
          <w:szCs w:val="22"/>
        </w:rPr>
      </w:pPr>
      <w:r>
        <w:rPr>
          <w:szCs w:val="22"/>
        </w:rPr>
        <w:t>Formal request</w:t>
      </w:r>
      <w:r w:rsidR="005C1389">
        <w:rPr>
          <w:szCs w:val="22"/>
        </w:rPr>
        <w:t>s</w:t>
      </w:r>
      <w:r>
        <w:rPr>
          <w:szCs w:val="22"/>
        </w:rPr>
        <w:t xml:space="preserve"> are received and responded to through the U</w:t>
      </w:r>
      <w:r w:rsidR="003429D9">
        <w:rPr>
          <w:szCs w:val="22"/>
        </w:rPr>
        <w:t>.</w:t>
      </w:r>
      <w:r>
        <w:rPr>
          <w:szCs w:val="22"/>
        </w:rPr>
        <w:t>S</w:t>
      </w:r>
      <w:r w:rsidR="003429D9">
        <w:rPr>
          <w:szCs w:val="22"/>
        </w:rPr>
        <w:t>.</w:t>
      </w:r>
      <w:r>
        <w:rPr>
          <w:szCs w:val="22"/>
        </w:rPr>
        <w:t xml:space="preserve"> Mail</w:t>
      </w:r>
      <w:r w:rsidR="003429D9">
        <w:rPr>
          <w:szCs w:val="22"/>
        </w:rPr>
        <w:t xml:space="preserve"> and electronically</w:t>
      </w:r>
      <w:r>
        <w:rPr>
          <w:szCs w:val="22"/>
        </w:rPr>
        <w:t xml:space="preserve">. </w:t>
      </w:r>
      <w:r w:rsidR="003429D9">
        <w:rPr>
          <w:szCs w:val="22"/>
        </w:rPr>
        <w:t xml:space="preserve"> </w:t>
      </w:r>
      <w:r>
        <w:rPr>
          <w:szCs w:val="22"/>
        </w:rPr>
        <w:t>Responses</w:t>
      </w:r>
      <w:r w:rsidR="003429D9">
        <w:rPr>
          <w:szCs w:val="22"/>
        </w:rPr>
        <w:t xml:space="preserve"> that would be useful to the general public are </w:t>
      </w:r>
      <w:r>
        <w:rPr>
          <w:szCs w:val="22"/>
        </w:rPr>
        <w:t xml:space="preserve">sanitized to protect the requester </w:t>
      </w:r>
      <w:r w:rsidR="003429D9">
        <w:rPr>
          <w:szCs w:val="22"/>
        </w:rPr>
        <w:t xml:space="preserve">and </w:t>
      </w:r>
      <w:r>
        <w:rPr>
          <w:szCs w:val="22"/>
        </w:rPr>
        <w:t xml:space="preserve">posted on the FinCEN public website at </w:t>
      </w:r>
      <w:hyperlink r:id="rId9" w:history="1">
        <w:r w:rsidRPr="003B4175">
          <w:rPr>
            <w:rStyle w:val="Hyperlink"/>
            <w:szCs w:val="22"/>
          </w:rPr>
          <w:t>www.fincen.gov</w:t>
        </w:r>
      </w:hyperlink>
      <w:r>
        <w:rPr>
          <w:szCs w:val="22"/>
        </w:rPr>
        <w:t xml:space="preserve">. </w:t>
      </w:r>
      <w:r w:rsidR="005A41DF">
        <w:rPr>
          <w:szCs w:val="22"/>
        </w:rPr>
        <w:t xml:space="preserve"> </w:t>
      </w:r>
    </w:p>
    <w:p w14:paraId="5234A42C" w14:textId="77777777" w:rsidR="00600940" w:rsidRDefault="00600940">
      <w:pPr>
        <w:spacing w:before="283"/>
        <w:rPr>
          <w:szCs w:val="22"/>
          <w:u w:val="single"/>
        </w:rPr>
      </w:pPr>
      <w:r>
        <w:rPr>
          <w:szCs w:val="22"/>
        </w:rPr>
        <w:t xml:space="preserve">4. </w:t>
      </w:r>
      <w:r>
        <w:rPr>
          <w:szCs w:val="22"/>
          <w:u w:val="single"/>
        </w:rPr>
        <w:t xml:space="preserve">Efforts to Identify Duplication </w:t>
      </w:r>
    </w:p>
    <w:p w14:paraId="488B02C0" w14:textId="77777777" w:rsidR="00600940" w:rsidRDefault="00526830" w:rsidP="005A41DF">
      <w:pPr>
        <w:spacing w:before="273"/>
        <w:ind w:firstLine="720"/>
        <w:rPr>
          <w:szCs w:val="22"/>
        </w:rPr>
      </w:pPr>
      <w:r>
        <w:rPr>
          <w:szCs w:val="22"/>
        </w:rPr>
        <w:t>All request</w:t>
      </w:r>
      <w:r w:rsidR="005C1389">
        <w:rPr>
          <w:szCs w:val="22"/>
        </w:rPr>
        <w:t>s</w:t>
      </w:r>
      <w:r>
        <w:rPr>
          <w:szCs w:val="22"/>
        </w:rPr>
        <w:t xml:space="preserve"> are unique to the issue addressed. There is no duplication.</w:t>
      </w:r>
      <w:r w:rsidR="005A41DF">
        <w:rPr>
          <w:szCs w:val="22"/>
        </w:rPr>
        <w:t xml:space="preserve"> </w:t>
      </w:r>
      <w:r w:rsidR="00600940">
        <w:rPr>
          <w:szCs w:val="22"/>
        </w:rPr>
        <w:t xml:space="preserve"> </w:t>
      </w:r>
    </w:p>
    <w:p w14:paraId="17F566A1" w14:textId="77777777" w:rsidR="00600940" w:rsidRDefault="00600940">
      <w:pPr>
        <w:spacing w:before="283"/>
        <w:rPr>
          <w:szCs w:val="22"/>
          <w:u w:val="single"/>
        </w:rPr>
      </w:pPr>
      <w:r>
        <w:rPr>
          <w:szCs w:val="22"/>
        </w:rPr>
        <w:t xml:space="preserve">5. </w:t>
      </w:r>
      <w:r>
        <w:rPr>
          <w:szCs w:val="22"/>
          <w:u w:val="single"/>
        </w:rPr>
        <w:t>Methods to Minimize Burden on Small Businesses or other Small Entities</w:t>
      </w:r>
    </w:p>
    <w:p w14:paraId="3C6EF106" w14:textId="2F697C79" w:rsidR="00600940" w:rsidRDefault="005C1389" w:rsidP="005A41DF">
      <w:pPr>
        <w:spacing w:before="273"/>
        <w:ind w:firstLine="720"/>
        <w:rPr>
          <w:szCs w:val="22"/>
        </w:rPr>
      </w:pPr>
      <w:r>
        <w:rPr>
          <w:szCs w:val="22"/>
        </w:rPr>
        <w:lastRenderedPageBreak/>
        <w:t>A r</w:t>
      </w:r>
      <w:r w:rsidR="002C0320">
        <w:rPr>
          <w:szCs w:val="22"/>
        </w:rPr>
        <w:t xml:space="preserve">equest for an administrative ruling </w:t>
      </w:r>
      <w:r w:rsidR="008A2C77">
        <w:rPr>
          <w:szCs w:val="22"/>
        </w:rPr>
        <w:t xml:space="preserve">is initiated by the financial institution, </w:t>
      </w:r>
      <w:r>
        <w:rPr>
          <w:szCs w:val="22"/>
        </w:rPr>
        <w:t>and the content is determined by the requestor.</w:t>
      </w:r>
      <w:r w:rsidR="008A2C77">
        <w:rPr>
          <w:szCs w:val="22"/>
        </w:rPr>
        <w:t xml:space="preserve"> </w:t>
      </w:r>
      <w:r>
        <w:rPr>
          <w:szCs w:val="22"/>
        </w:rPr>
        <w:t xml:space="preserve">As such, it is not possible to further reduce burden for small businesses. </w:t>
      </w:r>
      <w:r w:rsidR="002C0320">
        <w:rPr>
          <w:szCs w:val="22"/>
        </w:rPr>
        <w:t xml:space="preserve"> </w:t>
      </w:r>
      <w:r w:rsidR="005A41DF">
        <w:rPr>
          <w:szCs w:val="22"/>
        </w:rPr>
        <w:t xml:space="preserve"> </w:t>
      </w:r>
    </w:p>
    <w:p w14:paraId="07215869" w14:textId="77777777" w:rsidR="00600940" w:rsidRDefault="00600940">
      <w:pPr>
        <w:spacing w:before="283"/>
        <w:rPr>
          <w:szCs w:val="22"/>
        </w:rPr>
      </w:pPr>
      <w:r>
        <w:rPr>
          <w:szCs w:val="22"/>
        </w:rPr>
        <w:t xml:space="preserve">6. </w:t>
      </w:r>
      <w:r>
        <w:rPr>
          <w:szCs w:val="22"/>
          <w:u w:val="single"/>
        </w:rPr>
        <w:t xml:space="preserve">Consequences to the Federal Government of </w:t>
      </w:r>
      <w:r w:rsidR="008F4BF3">
        <w:rPr>
          <w:szCs w:val="22"/>
          <w:u w:val="single"/>
        </w:rPr>
        <w:t>N</w:t>
      </w:r>
      <w:r>
        <w:rPr>
          <w:szCs w:val="22"/>
          <w:u w:val="single"/>
        </w:rPr>
        <w:t xml:space="preserve">ot </w:t>
      </w:r>
      <w:r w:rsidR="008F4BF3">
        <w:rPr>
          <w:szCs w:val="22"/>
          <w:u w:val="single"/>
        </w:rPr>
        <w:t>C</w:t>
      </w:r>
      <w:r>
        <w:rPr>
          <w:szCs w:val="22"/>
          <w:u w:val="single"/>
        </w:rPr>
        <w:t>ollecting the Information</w:t>
      </w:r>
      <w:r>
        <w:rPr>
          <w:szCs w:val="22"/>
        </w:rPr>
        <w:t xml:space="preserve"> </w:t>
      </w:r>
    </w:p>
    <w:p w14:paraId="254976D5" w14:textId="1B8BF45A" w:rsidR="00736FD7" w:rsidRDefault="005C1389" w:rsidP="00736FD7">
      <w:pPr>
        <w:spacing w:before="273"/>
        <w:ind w:firstLine="720"/>
        <w:rPr>
          <w:szCs w:val="22"/>
        </w:rPr>
      </w:pPr>
      <w:r>
        <w:rPr>
          <w:szCs w:val="22"/>
        </w:rPr>
        <w:t>If the government did not collect these requests it would be unable to provide administrative rulings to financial institutions.</w:t>
      </w:r>
    </w:p>
    <w:p w14:paraId="0E60962F" w14:textId="77777777" w:rsidR="00600940" w:rsidRPr="00736FD7" w:rsidRDefault="00600940" w:rsidP="00736FD7">
      <w:pPr>
        <w:spacing w:before="273"/>
        <w:rPr>
          <w:szCs w:val="22"/>
        </w:rPr>
      </w:pPr>
      <w:r>
        <w:rPr>
          <w:szCs w:val="22"/>
        </w:rPr>
        <w:t xml:space="preserve">7. </w:t>
      </w:r>
      <w:r>
        <w:rPr>
          <w:szCs w:val="22"/>
          <w:u w:val="single"/>
        </w:rPr>
        <w:t>Special Circumstances Requiring Data Collection Inconsistent with Guidelines</w:t>
      </w:r>
    </w:p>
    <w:p w14:paraId="2A6E4385" w14:textId="77777777" w:rsidR="00600940" w:rsidRDefault="00600940">
      <w:pPr>
        <w:widowControl w:val="0"/>
        <w:autoSpaceDE w:val="0"/>
        <w:autoSpaceDN w:val="0"/>
        <w:adjustRightInd w:val="0"/>
        <w:spacing w:line="240" w:lineRule="exact"/>
        <w:ind w:firstLine="710"/>
        <w:rPr>
          <w:szCs w:val="22"/>
        </w:rPr>
      </w:pPr>
    </w:p>
    <w:p w14:paraId="06DDA86B" w14:textId="596F4E9E" w:rsidR="00600940" w:rsidRDefault="005C1389">
      <w:pPr>
        <w:rPr>
          <w:szCs w:val="22"/>
        </w:rPr>
      </w:pPr>
      <w:r>
        <w:rPr>
          <w:szCs w:val="22"/>
        </w:rPr>
        <w:t xml:space="preserve"> Information will be collected in accordance with standard guidelines.</w:t>
      </w:r>
    </w:p>
    <w:p w14:paraId="0092B537" w14:textId="77777777" w:rsidR="00600940" w:rsidRDefault="00600940">
      <w:pPr>
        <w:rPr>
          <w:szCs w:val="22"/>
        </w:rPr>
      </w:pPr>
      <w:r>
        <w:rPr>
          <w:szCs w:val="22"/>
        </w:rPr>
        <w:t xml:space="preserve">8. </w:t>
      </w:r>
      <w:r>
        <w:rPr>
          <w:szCs w:val="22"/>
          <w:u w:val="single"/>
        </w:rPr>
        <w:t>Consultation with Individuals Outside of the Agency on Availability of Data.  Frequency of Collection, Clarity of Instructions and Forms, and Data Elements</w:t>
      </w:r>
      <w:r>
        <w:rPr>
          <w:szCs w:val="22"/>
        </w:rPr>
        <w:t xml:space="preserve"> </w:t>
      </w:r>
    </w:p>
    <w:p w14:paraId="173EB621" w14:textId="77777777" w:rsidR="00600940" w:rsidRDefault="00600940">
      <w:pPr>
        <w:rPr>
          <w:szCs w:val="22"/>
        </w:rPr>
      </w:pPr>
    </w:p>
    <w:p w14:paraId="5BDDDDD7" w14:textId="77777777" w:rsidR="00600940" w:rsidRDefault="00231E03">
      <w:pPr>
        <w:widowControl w:val="0"/>
        <w:autoSpaceDE w:val="0"/>
        <w:autoSpaceDN w:val="0"/>
        <w:adjustRightInd w:val="0"/>
        <w:spacing w:line="240" w:lineRule="exact"/>
        <w:ind w:right="220" w:firstLine="715"/>
        <w:jc w:val="both"/>
      </w:pPr>
      <w:r>
        <w:rPr>
          <w:szCs w:val="20"/>
        </w:rPr>
        <w:t xml:space="preserve">On </w:t>
      </w:r>
      <w:r w:rsidR="008A2C77">
        <w:rPr>
          <w:szCs w:val="20"/>
        </w:rPr>
        <w:t>July 7</w:t>
      </w:r>
      <w:r w:rsidR="00600940">
        <w:rPr>
          <w:szCs w:val="20"/>
        </w:rPr>
        <w:t xml:space="preserve">, </w:t>
      </w:r>
      <w:r w:rsidR="00747B41">
        <w:rPr>
          <w:szCs w:val="20"/>
        </w:rPr>
        <w:t>20</w:t>
      </w:r>
      <w:r w:rsidR="00546C22">
        <w:rPr>
          <w:szCs w:val="20"/>
        </w:rPr>
        <w:t>1</w:t>
      </w:r>
      <w:r w:rsidR="008A2C77">
        <w:rPr>
          <w:szCs w:val="20"/>
        </w:rPr>
        <w:t>7</w:t>
      </w:r>
      <w:r w:rsidR="00747B41">
        <w:rPr>
          <w:szCs w:val="20"/>
        </w:rPr>
        <w:t xml:space="preserve">, FinCEN </w:t>
      </w:r>
      <w:r w:rsidR="00600940">
        <w:t xml:space="preserve">issued a notice and request for comment </w:t>
      </w:r>
      <w:r w:rsidR="00747B41">
        <w:t>to renew without change t</w:t>
      </w:r>
      <w:r w:rsidR="008A2C77">
        <w:t>his potential requirement (See 82</w:t>
      </w:r>
      <w:r w:rsidR="00747B41">
        <w:t xml:space="preserve"> FR </w:t>
      </w:r>
      <w:r w:rsidR="00546C22">
        <w:t>3</w:t>
      </w:r>
      <w:r w:rsidR="008A2C77">
        <w:t>1686</w:t>
      </w:r>
      <w:r w:rsidR="00747B41">
        <w:t xml:space="preserve">). </w:t>
      </w:r>
      <w:r w:rsidR="003429D9">
        <w:t xml:space="preserve"> </w:t>
      </w:r>
      <w:r w:rsidR="00600940">
        <w:t>We received no comments in response to the Federal Register notice.</w:t>
      </w:r>
    </w:p>
    <w:p w14:paraId="69945BE1" w14:textId="77777777" w:rsidR="00600940" w:rsidRDefault="00600940">
      <w:pPr>
        <w:spacing w:before="283"/>
        <w:rPr>
          <w:szCs w:val="22"/>
        </w:rPr>
      </w:pPr>
      <w:r>
        <w:rPr>
          <w:szCs w:val="22"/>
        </w:rPr>
        <w:t xml:space="preserve">9. </w:t>
      </w:r>
      <w:r>
        <w:rPr>
          <w:szCs w:val="22"/>
          <w:u w:val="single"/>
        </w:rPr>
        <w:t>Payments and Gifts</w:t>
      </w:r>
      <w:r>
        <w:rPr>
          <w:szCs w:val="22"/>
        </w:rPr>
        <w:t xml:space="preserve"> </w:t>
      </w:r>
    </w:p>
    <w:p w14:paraId="7B95B5EE" w14:textId="77777777" w:rsidR="00600940" w:rsidRDefault="00600940">
      <w:pPr>
        <w:spacing w:before="283"/>
        <w:ind w:firstLine="720"/>
        <w:rPr>
          <w:szCs w:val="22"/>
        </w:rPr>
      </w:pPr>
      <w:r>
        <w:rPr>
          <w:szCs w:val="22"/>
        </w:rPr>
        <w:t xml:space="preserve">No payments or gifts were made to respondents. </w:t>
      </w:r>
    </w:p>
    <w:p w14:paraId="39715A95" w14:textId="77777777" w:rsidR="00600940" w:rsidRDefault="00600940">
      <w:pPr>
        <w:pStyle w:val="BodyText"/>
        <w:rPr>
          <w:sz w:val="24"/>
        </w:rPr>
      </w:pPr>
      <w:r>
        <w:rPr>
          <w:sz w:val="24"/>
        </w:rPr>
        <w:t xml:space="preserve">10. </w:t>
      </w:r>
      <w:r>
        <w:rPr>
          <w:sz w:val="24"/>
          <w:u w:val="single"/>
        </w:rPr>
        <w:t>Assurance of Confidentiality of Responses</w:t>
      </w:r>
      <w:r>
        <w:rPr>
          <w:sz w:val="24"/>
        </w:rPr>
        <w:t xml:space="preserve"> </w:t>
      </w:r>
    </w:p>
    <w:p w14:paraId="4CACC7FE" w14:textId="77777777" w:rsidR="00600940" w:rsidRDefault="00600940">
      <w:pPr>
        <w:widowControl w:val="0"/>
        <w:autoSpaceDE w:val="0"/>
        <w:autoSpaceDN w:val="0"/>
        <w:adjustRightInd w:val="0"/>
        <w:spacing w:before="244" w:line="235" w:lineRule="exact"/>
        <w:ind w:firstLine="734"/>
        <w:rPr>
          <w:szCs w:val="22"/>
        </w:rPr>
      </w:pPr>
      <w:r>
        <w:rPr>
          <w:szCs w:val="22"/>
        </w:rPr>
        <w:t>Information collected under 31 U.S.C. 53</w:t>
      </w:r>
      <w:r w:rsidR="00747B41">
        <w:rPr>
          <w:szCs w:val="22"/>
        </w:rPr>
        <w:t xml:space="preserve">11 -5332 </w:t>
      </w:r>
      <w:r>
        <w:rPr>
          <w:szCs w:val="22"/>
        </w:rPr>
        <w:t>may be made available to appropriate law enforcement agencies and supervisory agencies.</w:t>
      </w:r>
    </w:p>
    <w:p w14:paraId="1B812827" w14:textId="77777777" w:rsidR="00600940" w:rsidRDefault="00600940">
      <w:pPr>
        <w:spacing w:before="264"/>
        <w:rPr>
          <w:szCs w:val="22"/>
        </w:rPr>
      </w:pPr>
      <w:r>
        <w:rPr>
          <w:szCs w:val="22"/>
        </w:rPr>
        <w:t xml:space="preserve">11. </w:t>
      </w:r>
      <w:r>
        <w:rPr>
          <w:szCs w:val="22"/>
          <w:u w:val="single"/>
        </w:rPr>
        <w:t>Justification of Sensitive Questions</w:t>
      </w:r>
      <w:r>
        <w:rPr>
          <w:szCs w:val="22"/>
        </w:rPr>
        <w:t xml:space="preserve"> </w:t>
      </w:r>
    </w:p>
    <w:p w14:paraId="7E8B1A8E" w14:textId="1E27E52F" w:rsidR="00D4048F" w:rsidRDefault="00D4048F" w:rsidP="00D4048F">
      <w:pPr>
        <w:spacing w:before="254"/>
      </w:pPr>
      <w:r>
        <w:tab/>
      </w:r>
      <w:r w:rsidR="008B6707">
        <w:t>There are no sensitive questions being asked</w:t>
      </w:r>
      <w:r>
        <w:t>.</w:t>
      </w:r>
    </w:p>
    <w:p w14:paraId="009DCB9E" w14:textId="77777777" w:rsidR="00600940" w:rsidRDefault="00600940">
      <w:pPr>
        <w:spacing w:before="254"/>
        <w:rPr>
          <w:szCs w:val="22"/>
        </w:rPr>
      </w:pPr>
      <w:r>
        <w:rPr>
          <w:szCs w:val="22"/>
        </w:rPr>
        <w:t xml:space="preserve">12. </w:t>
      </w:r>
      <w:r>
        <w:rPr>
          <w:szCs w:val="22"/>
          <w:u w:val="single"/>
        </w:rPr>
        <w:t>Estimated Annual Hourly Burden</w:t>
      </w:r>
      <w:r>
        <w:rPr>
          <w:szCs w:val="22"/>
        </w:rPr>
        <w:t xml:space="preserve"> </w:t>
      </w:r>
    </w:p>
    <w:p w14:paraId="409915E9" w14:textId="77777777" w:rsidR="00B4467F" w:rsidRDefault="0068684A">
      <w:pPr>
        <w:spacing w:before="254"/>
        <w:ind w:firstLine="720"/>
        <w:rPr>
          <w:szCs w:val="22"/>
        </w:rPr>
      </w:pPr>
      <w:r w:rsidRPr="0040053B">
        <w:rPr>
          <w:szCs w:val="22"/>
          <w:u w:val="single"/>
        </w:rPr>
        <w:t>Frequency</w:t>
      </w:r>
      <w:r>
        <w:rPr>
          <w:szCs w:val="22"/>
        </w:rPr>
        <w:t>:  As required</w:t>
      </w:r>
      <w:r w:rsidR="00600940">
        <w:rPr>
          <w:szCs w:val="22"/>
        </w:rPr>
        <w:t xml:space="preserve"> </w:t>
      </w:r>
    </w:p>
    <w:p w14:paraId="4BEA573F" w14:textId="77777777" w:rsidR="00766278" w:rsidRDefault="00B4467F" w:rsidP="0040053B">
      <w:pPr>
        <w:spacing w:before="254"/>
        <w:ind w:firstLine="720"/>
      </w:pPr>
      <w:r>
        <w:rPr>
          <w:u w:val="single"/>
        </w:rPr>
        <w:t>Burden</w:t>
      </w:r>
      <w:r>
        <w:t xml:space="preserve">:  </w:t>
      </w:r>
      <w:r w:rsidR="00B30BB6">
        <w:t xml:space="preserve">The estimated number of responses is 60 annually, with a burden of </w:t>
      </w:r>
      <w:r w:rsidR="00215A4C">
        <w:t>2</w:t>
      </w:r>
      <w:r w:rsidR="00B30BB6">
        <w:t xml:space="preserve"> hour</w:t>
      </w:r>
      <w:r w:rsidR="00215A4C">
        <w:t>s</w:t>
      </w:r>
      <w:r w:rsidR="00B30BB6">
        <w:t xml:space="preserve"> per submission, for a total annual burden of </w:t>
      </w:r>
      <w:r w:rsidR="00215A4C">
        <w:t>12</w:t>
      </w:r>
      <w:r w:rsidR="00B30BB6">
        <w:t>0 hours.</w:t>
      </w:r>
    </w:p>
    <w:p w14:paraId="7821FBC0" w14:textId="77777777" w:rsidR="00600940" w:rsidRPr="00736FD7" w:rsidRDefault="00600940" w:rsidP="00542FAB">
      <w:pPr>
        <w:spacing w:before="254"/>
        <w:rPr>
          <w:szCs w:val="22"/>
        </w:rPr>
      </w:pPr>
      <w:r>
        <w:t xml:space="preserve">13. </w:t>
      </w:r>
      <w:r>
        <w:rPr>
          <w:u w:val="single"/>
        </w:rPr>
        <w:t>Estimated Annual Cost to Respondents for Hour Burdens</w:t>
      </w:r>
      <w:r>
        <w:t xml:space="preserve"> </w:t>
      </w:r>
    </w:p>
    <w:p w14:paraId="4AC3FC38" w14:textId="77777777" w:rsidR="00600940" w:rsidRDefault="008760A2">
      <w:pPr>
        <w:spacing w:before="268"/>
        <w:ind w:firstLine="720"/>
      </w:pPr>
      <w:r>
        <w:t xml:space="preserve">The financial institutions legal representative, generally, prepares request for administrative rulings. </w:t>
      </w:r>
      <w:r w:rsidR="00904982">
        <w:t xml:space="preserve">Hourly wage of $67.25 X </w:t>
      </w:r>
      <w:r w:rsidR="00215A4C">
        <w:t>2</w:t>
      </w:r>
      <w:r w:rsidR="00904982">
        <w:t xml:space="preserve"> hour</w:t>
      </w:r>
      <w:r w:rsidR="00262E4D">
        <w:t>s</w:t>
      </w:r>
      <w:r w:rsidR="00904982">
        <w:t xml:space="preserve"> = $</w:t>
      </w:r>
      <w:r w:rsidR="00215A4C">
        <w:t>134.50</w:t>
      </w:r>
      <w:r w:rsidR="00904982">
        <w:rPr>
          <w:rStyle w:val="FootnoteReference"/>
        </w:rPr>
        <w:footnoteReference w:id="2"/>
      </w:r>
    </w:p>
    <w:p w14:paraId="5BAFD9C4" w14:textId="77777777" w:rsidR="00600940" w:rsidRDefault="00600940">
      <w:pPr>
        <w:spacing w:before="278"/>
        <w:rPr>
          <w:szCs w:val="22"/>
        </w:rPr>
      </w:pPr>
      <w:r>
        <w:rPr>
          <w:szCs w:val="22"/>
        </w:rPr>
        <w:t xml:space="preserve">14. </w:t>
      </w:r>
      <w:r>
        <w:rPr>
          <w:szCs w:val="22"/>
          <w:u w:val="single"/>
        </w:rPr>
        <w:t>Estimated Annual Cost to the Federal Government</w:t>
      </w:r>
    </w:p>
    <w:p w14:paraId="044223DA" w14:textId="77777777" w:rsidR="00600940" w:rsidRDefault="005121AD">
      <w:pPr>
        <w:spacing w:before="268"/>
        <w:ind w:firstLine="720"/>
      </w:pPr>
      <w:r>
        <w:lastRenderedPageBreak/>
        <w:t>FinCEN receives 60 request</w:t>
      </w:r>
      <w:r w:rsidR="00021E97">
        <w:t>s</w:t>
      </w:r>
      <w:r>
        <w:t xml:space="preserve"> on an annual basis. </w:t>
      </w:r>
      <w:r w:rsidR="00542FAB">
        <w:t>Hourly wage, GS 14 Step 1 is $42.23 X 60</w:t>
      </w:r>
      <w:r w:rsidR="00215A4C">
        <w:t xml:space="preserve"> X 2 hours</w:t>
      </w:r>
      <w:r w:rsidR="00542FAB">
        <w:t xml:space="preserve"> = $</w:t>
      </w:r>
      <w:r w:rsidR="00215A4C">
        <w:t>5</w:t>
      </w:r>
      <w:r w:rsidR="00021E97">
        <w:t>,</w:t>
      </w:r>
      <w:r w:rsidR="00215A4C">
        <w:t>067.60</w:t>
      </w:r>
      <w:r w:rsidR="00542FAB">
        <w:rPr>
          <w:rStyle w:val="FootnoteReference"/>
        </w:rPr>
        <w:footnoteReference w:id="3"/>
      </w:r>
    </w:p>
    <w:p w14:paraId="78660808" w14:textId="77777777" w:rsidR="00600940" w:rsidRDefault="00600940">
      <w:pPr>
        <w:spacing w:before="268"/>
        <w:rPr>
          <w:szCs w:val="22"/>
        </w:rPr>
      </w:pPr>
      <w:r>
        <w:rPr>
          <w:szCs w:val="22"/>
        </w:rPr>
        <w:t xml:space="preserve">15. </w:t>
      </w:r>
      <w:r>
        <w:rPr>
          <w:szCs w:val="22"/>
          <w:u w:val="single"/>
        </w:rPr>
        <w:t>Reason for Change in Burden</w:t>
      </w:r>
      <w:r>
        <w:rPr>
          <w:szCs w:val="22"/>
        </w:rPr>
        <w:t xml:space="preserve"> </w:t>
      </w:r>
    </w:p>
    <w:p w14:paraId="7D4F10B1" w14:textId="12D0CBD3" w:rsidR="00600940" w:rsidRDefault="00542FAB">
      <w:pPr>
        <w:spacing w:before="312"/>
        <w:ind w:firstLine="720"/>
        <w:rPr>
          <w:szCs w:val="22"/>
        </w:rPr>
      </w:pPr>
      <w:r>
        <w:rPr>
          <w:szCs w:val="22"/>
        </w:rPr>
        <w:t>The</w:t>
      </w:r>
      <w:r w:rsidR="00215A4C">
        <w:rPr>
          <w:szCs w:val="22"/>
        </w:rPr>
        <w:t xml:space="preserve"> </w:t>
      </w:r>
      <w:r w:rsidR="00021E97">
        <w:rPr>
          <w:szCs w:val="22"/>
        </w:rPr>
        <w:t xml:space="preserve">increase </w:t>
      </w:r>
      <w:r>
        <w:rPr>
          <w:szCs w:val="22"/>
        </w:rPr>
        <w:t>in burden</w:t>
      </w:r>
      <w:r w:rsidR="00215A4C">
        <w:rPr>
          <w:szCs w:val="22"/>
        </w:rPr>
        <w:t xml:space="preserve"> is </w:t>
      </w:r>
      <w:r w:rsidR="00D60605">
        <w:rPr>
          <w:szCs w:val="22"/>
        </w:rPr>
        <w:t xml:space="preserve">due to </w:t>
      </w:r>
      <w:r w:rsidR="00021E97">
        <w:rPr>
          <w:szCs w:val="22"/>
        </w:rPr>
        <w:t xml:space="preserve">updated </w:t>
      </w:r>
      <w:r w:rsidR="00215A4C">
        <w:rPr>
          <w:szCs w:val="22"/>
        </w:rPr>
        <w:t>estimate</w:t>
      </w:r>
      <w:r w:rsidR="00021E97">
        <w:rPr>
          <w:szCs w:val="22"/>
        </w:rPr>
        <w:t>s of the</w:t>
      </w:r>
      <w:r w:rsidR="00215A4C">
        <w:rPr>
          <w:szCs w:val="22"/>
        </w:rPr>
        <w:t xml:space="preserve"> average time to submit and respond</w:t>
      </w:r>
      <w:r w:rsidR="00262E4D">
        <w:rPr>
          <w:szCs w:val="22"/>
        </w:rPr>
        <w:t xml:space="preserve"> to administrative rulings</w:t>
      </w:r>
      <w:r w:rsidR="00021E97">
        <w:rPr>
          <w:szCs w:val="22"/>
        </w:rPr>
        <w:t>, based on recent requests</w:t>
      </w:r>
      <w:r>
        <w:rPr>
          <w:szCs w:val="22"/>
        </w:rPr>
        <w:t>.</w:t>
      </w:r>
      <w:r w:rsidR="00215A4C">
        <w:rPr>
          <w:szCs w:val="22"/>
        </w:rPr>
        <w:t xml:space="preserve"> </w:t>
      </w:r>
    </w:p>
    <w:p w14:paraId="5D4044D2" w14:textId="77777777" w:rsidR="00600940" w:rsidRDefault="00600940">
      <w:pPr>
        <w:spacing w:before="283"/>
        <w:rPr>
          <w:szCs w:val="22"/>
        </w:rPr>
      </w:pPr>
      <w:r>
        <w:rPr>
          <w:szCs w:val="22"/>
        </w:rPr>
        <w:t xml:space="preserve">16. </w:t>
      </w:r>
      <w:r>
        <w:rPr>
          <w:szCs w:val="22"/>
          <w:u w:val="single"/>
        </w:rPr>
        <w:t>Plans for Tabulation, Statistical Analysis, and Publication</w:t>
      </w:r>
      <w:r>
        <w:rPr>
          <w:szCs w:val="22"/>
        </w:rPr>
        <w:t xml:space="preserve"> </w:t>
      </w:r>
    </w:p>
    <w:p w14:paraId="059D0323" w14:textId="77777777" w:rsidR="00600940" w:rsidRDefault="00600940">
      <w:pPr>
        <w:spacing w:before="283"/>
        <w:ind w:firstLine="720"/>
        <w:rPr>
          <w:szCs w:val="22"/>
        </w:rPr>
      </w:pPr>
      <w:r>
        <w:rPr>
          <w:szCs w:val="22"/>
        </w:rPr>
        <w:t xml:space="preserve">This collection of information will not be published. </w:t>
      </w:r>
    </w:p>
    <w:p w14:paraId="738DF6D5" w14:textId="77777777" w:rsidR="00600940" w:rsidRDefault="00600940">
      <w:pPr>
        <w:spacing w:before="283"/>
        <w:rPr>
          <w:szCs w:val="22"/>
        </w:rPr>
      </w:pPr>
      <w:r>
        <w:rPr>
          <w:szCs w:val="22"/>
        </w:rPr>
        <w:t xml:space="preserve">17. </w:t>
      </w:r>
      <w:r>
        <w:rPr>
          <w:szCs w:val="22"/>
          <w:u w:val="single"/>
        </w:rPr>
        <w:t>Request not to Display Expiration Date of OMB Control Number</w:t>
      </w:r>
      <w:r>
        <w:rPr>
          <w:szCs w:val="22"/>
        </w:rPr>
        <w:t xml:space="preserve"> </w:t>
      </w:r>
    </w:p>
    <w:p w14:paraId="28432E29" w14:textId="77777777" w:rsidR="00600940" w:rsidRDefault="00600940">
      <w:pPr>
        <w:spacing w:before="283"/>
        <w:ind w:firstLine="720"/>
        <w:rPr>
          <w:szCs w:val="22"/>
        </w:rPr>
      </w:pPr>
      <w:r>
        <w:rPr>
          <w:szCs w:val="22"/>
        </w:rPr>
        <w:t xml:space="preserve">FinCEN requests that it not be required to display the expiration date so that the regulations will not have to be amended for the new expiration date every three years.  </w:t>
      </w:r>
    </w:p>
    <w:p w14:paraId="344E9A36" w14:textId="77777777" w:rsidR="00600940" w:rsidRDefault="00600940">
      <w:pPr>
        <w:spacing w:before="283"/>
        <w:rPr>
          <w:szCs w:val="22"/>
        </w:rPr>
      </w:pPr>
      <w:r>
        <w:rPr>
          <w:szCs w:val="22"/>
        </w:rPr>
        <w:t xml:space="preserve">18. </w:t>
      </w:r>
      <w:r>
        <w:rPr>
          <w:szCs w:val="22"/>
          <w:u w:val="single"/>
        </w:rPr>
        <w:t>Exceptions</w:t>
      </w:r>
      <w:r>
        <w:rPr>
          <w:szCs w:val="22"/>
        </w:rPr>
        <w:t xml:space="preserve"> </w:t>
      </w:r>
    </w:p>
    <w:p w14:paraId="467ECFC0" w14:textId="77777777" w:rsidR="00600940" w:rsidRDefault="00600940">
      <w:pPr>
        <w:rPr>
          <w:szCs w:val="22"/>
        </w:rPr>
      </w:pPr>
    </w:p>
    <w:p w14:paraId="09F4D331" w14:textId="77777777" w:rsidR="00600940" w:rsidRDefault="00600940">
      <w:pPr>
        <w:ind w:firstLine="720"/>
      </w:pPr>
      <w:r>
        <w:rPr>
          <w:szCs w:val="22"/>
        </w:rPr>
        <w:t>There are no exceptions to the certification statement</w:t>
      </w:r>
      <w:r w:rsidR="0029258E">
        <w:rPr>
          <w:szCs w:val="22"/>
        </w:rPr>
        <w:t>.</w:t>
      </w:r>
    </w:p>
    <w:p w14:paraId="1056BB7F" w14:textId="77777777" w:rsidR="00600940" w:rsidRDefault="00600940">
      <w:pPr>
        <w:widowControl w:val="0"/>
        <w:autoSpaceDE w:val="0"/>
        <w:autoSpaceDN w:val="0"/>
        <w:adjustRightInd w:val="0"/>
        <w:spacing w:line="240" w:lineRule="exact"/>
        <w:ind w:right="220"/>
        <w:jc w:val="both"/>
      </w:pPr>
    </w:p>
    <w:p w14:paraId="6A63AF8E" w14:textId="77777777" w:rsidR="00600940" w:rsidRDefault="00600940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  <w:t xml:space="preserve">    </w:t>
      </w:r>
    </w:p>
    <w:p w14:paraId="0D52D22D" w14:textId="77777777" w:rsidR="00600940" w:rsidRDefault="00600940"/>
    <w:sectPr w:rsidR="006009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F089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55728" w14:textId="77777777" w:rsidR="003C6426" w:rsidRDefault="003C6426">
      <w:r>
        <w:separator/>
      </w:r>
    </w:p>
  </w:endnote>
  <w:endnote w:type="continuationSeparator" w:id="0">
    <w:p w14:paraId="2469825C" w14:textId="77777777" w:rsidR="003C6426" w:rsidRDefault="003C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3620D" w14:textId="77777777" w:rsidR="003C6426" w:rsidRDefault="003C6426">
      <w:r>
        <w:separator/>
      </w:r>
    </w:p>
  </w:footnote>
  <w:footnote w:type="continuationSeparator" w:id="0">
    <w:p w14:paraId="1384CD22" w14:textId="77777777" w:rsidR="003C6426" w:rsidRDefault="003C6426">
      <w:r>
        <w:continuationSeparator/>
      </w:r>
    </w:p>
  </w:footnote>
  <w:footnote w:id="1">
    <w:p w14:paraId="46166ECB" w14:textId="77777777" w:rsidR="00600940" w:rsidRPr="0040053B" w:rsidRDefault="00600940" w:rsidP="0040053B">
      <w:pPr>
        <w:pStyle w:val="PlainText"/>
        <w:rPr>
          <w:rFonts w:ascii="Times New Roman" w:hAnsi="Times New Roman" w:cs="Times New Roman"/>
        </w:rPr>
      </w:pPr>
      <w:r w:rsidRPr="0040053B">
        <w:rPr>
          <w:rStyle w:val="FootnoteReference"/>
          <w:rFonts w:ascii="Times New Roman" w:hAnsi="Times New Roman" w:cs="Times New Roman"/>
        </w:rPr>
        <w:footnoteRef/>
      </w:r>
      <w:r w:rsidRPr="0040053B">
        <w:rPr>
          <w:rFonts w:ascii="Times New Roman" w:hAnsi="Times New Roman" w:cs="Times New Roman"/>
        </w:rPr>
        <w:t xml:space="preserve"> </w:t>
      </w:r>
      <w:r w:rsidRPr="0040053B">
        <w:rPr>
          <w:rFonts w:ascii="Times New Roman" w:eastAsia="MS Mincho" w:hAnsi="Times New Roman" w:cs="Times New Roman"/>
        </w:rPr>
        <w:t>Language expanding the scope of the Bank Secrecy Act to intelligence or counter-intelligence activities to protect against international terrorism was added by Section 358 of the Uniting and Strengthening America by Providing Appropriate Tools Required to Intercept and Obstruct Terrorism</w:t>
      </w:r>
      <w:r w:rsidR="008F4BF3" w:rsidRPr="0040053B">
        <w:rPr>
          <w:rFonts w:ascii="Times New Roman" w:eastAsia="MS Mincho" w:hAnsi="Times New Roman" w:cs="Times New Roman"/>
        </w:rPr>
        <w:t xml:space="preserve"> A</w:t>
      </w:r>
      <w:r w:rsidRPr="0040053B">
        <w:rPr>
          <w:rFonts w:ascii="Times New Roman" w:eastAsia="MS Mincho" w:hAnsi="Times New Roman" w:cs="Times New Roman"/>
        </w:rPr>
        <w:t>ct of 2001, P.L. 107-56.</w:t>
      </w:r>
    </w:p>
  </w:footnote>
  <w:footnote w:id="2">
    <w:p w14:paraId="65A52DB9" w14:textId="77777777" w:rsidR="00904982" w:rsidRPr="00904982" w:rsidRDefault="00904982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>
          <w:rPr>
            <w:rStyle w:val="Hyperlink"/>
          </w:rPr>
          <w:t>https://www.bls.gov/oes/current/oes_nat.htm</w:t>
        </w:r>
      </w:hyperlink>
      <w:r>
        <w:rPr>
          <w:color w:val="1F497D"/>
        </w:rPr>
        <w:t xml:space="preserve">. </w:t>
      </w:r>
      <w:r w:rsidRPr="00904982">
        <w:rPr>
          <w:bCs/>
        </w:rPr>
        <w:t>Occupation code</w:t>
      </w:r>
      <w:r>
        <w:rPr>
          <w:bCs/>
        </w:rPr>
        <w:t xml:space="preserve"> 23-1011</w:t>
      </w:r>
    </w:p>
  </w:footnote>
  <w:footnote w:id="3">
    <w:p w14:paraId="0CD7F318" w14:textId="77777777" w:rsidR="00542FAB" w:rsidRDefault="00542FAB">
      <w:pPr>
        <w:pStyle w:val="FootnoteText"/>
      </w:pPr>
      <w:r>
        <w:rPr>
          <w:rStyle w:val="FootnoteReference"/>
        </w:rPr>
        <w:footnoteRef/>
      </w:r>
      <w:r>
        <w:t xml:space="preserve"> 2017 OPM GS Pay chart.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468A"/>
    <w:multiLevelType w:val="hybridMultilevel"/>
    <w:tmpl w:val="99CA42A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F31E2"/>
    <w:multiLevelType w:val="hybridMultilevel"/>
    <w:tmpl w:val="D71A9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phenson, Russell">
    <w15:presenceInfo w15:providerId="AD" w15:userId="S-1-5-21-790525478-1647877149-725345543-1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47a9acb-390d-44e4-bf1b-628769cda7a5"/>
  </w:docVars>
  <w:rsids>
    <w:rsidRoot w:val="00231E03"/>
    <w:rsid w:val="00021E97"/>
    <w:rsid w:val="00035296"/>
    <w:rsid w:val="000C5DE0"/>
    <w:rsid w:val="001A5410"/>
    <w:rsid w:val="00215A4C"/>
    <w:rsid w:val="00231E03"/>
    <w:rsid w:val="00262E4D"/>
    <w:rsid w:val="00271767"/>
    <w:rsid w:val="0028731C"/>
    <w:rsid w:val="0029258E"/>
    <w:rsid w:val="002C0320"/>
    <w:rsid w:val="002C5AE2"/>
    <w:rsid w:val="00302FF3"/>
    <w:rsid w:val="00320370"/>
    <w:rsid w:val="003429D9"/>
    <w:rsid w:val="003C6426"/>
    <w:rsid w:val="0040053B"/>
    <w:rsid w:val="00477D8F"/>
    <w:rsid w:val="004B11D2"/>
    <w:rsid w:val="004B30F7"/>
    <w:rsid w:val="005121AD"/>
    <w:rsid w:val="0051742F"/>
    <w:rsid w:val="00526830"/>
    <w:rsid w:val="00542FAB"/>
    <w:rsid w:val="00546C22"/>
    <w:rsid w:val="005A41DF"/>
    <w:rsid w:val="005B70F5"/>
    <w:rsid w:val="005C1389"/>
    <w:rsid w:val="00600940"/>
    <w:rsid w:val="00603ED4"/>
    <w:rsid w:val="00605A2D"/>
    <w:rsid w:val="0064584D"/>
    <w:rsid w:val="006759E5"/>
    <w:rsid w:val="0068684A"/>
    <w:rsid w:val="006954D6"/>
    <w:rsid w:val="006C0053"/>
    <w:rsid w:val="006F004B"/>
    <w:rsid w:val="00736FD7"/>
    <w:rsid w:val="00747B41"/>
    <w:rsid w:val="00760A89"/>
    <w:rsid w:val="00766278"/>
    <w:rsid w:val="007B3F4B"/>
    <w:rsid w:val="00852379"/>
    <w:rsid w:val="008760A2"/>
    <w:rsid w:val="008A2C77"/>
    <w:rsid w:val="008B6707"/>
    <w:rsid w:val="008D49BD"/>
    <w:rsid w:val="008F4BF3"/>
    <w:rsid w:val="00900895"/>
    <w:rsid w:val="00900E07"/>
    <w:rsid w:val="00904982"/>
    <w:rsid w:val="0092584A"/>
    <w:rsid w:val="00925C1A"/>
    <w:rsid w:val="00977EF5"/>
    <w:rsid w:val="00980470"/>
    <w:rsid w:val="009B63CD"/>
    <w:rsid w:val="00A32301"/>
    <w:rsid w:val="00AB2EDF"/>
    <w:rsid w:val="00AD2E0A"/>
    <w:rsid w:val="00AE2366"/>
    <w:rsid w:val="00AE5A2E"/>
    <w:rsid w:val="00B30BB6"/>
    <w:rsid w:val="00B4467F"/>
    <w:rsid w:val="00BD35ED"/>
    <w:rsid w:val="00C01286"/>
    <w:rsid w:val="00CC6CF5"/>
    <w:rsid w:val="00CD03C5"/>
    <w:rsid w:val="00CF2329"/>
    <w:rsid w:val="00D4048F"/>
    <w:rsid w:val="00D60605"/>
    <w:rsid w:val="00DD33AA"/>
    <w:rsid w:val="00DE3969"/>
    <w:rsid w:val="00E86E78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E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autoSpaceDE w:val="0"/>
      <w:autoSpaceDN w:val="0"/>
      <w:adjustRightInd w:val="0"/>
      <w:spacing w:before="283"/>
    </w:pPr>
    <w:rPr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Default">
    <w:name w:val="Default"/>
    <w:basedOn w:val="Normal"/>
    <w:rsid w:val="008F4BF3"/>
    <w:pPr>
      <w:autoSpaceDE w:val="0"/>
      <w:autoSpaceDN w:val="0"/>
    </w:pPr>
    <w:rPr>
      <w:rFonts w:eastAsia="Calibri"/>
      <w:color w:val="000000"/>
    </w:rPr>
  </w:style>
  <w:style w:type="character" w:styleId="Hyperlink">
    <w:name w:val="Hyperlink"/>
    <w:rsid w:val="00760A8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49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4982"/>
  </w:style>
  <w:style w:type="character" w:styleId="CommentReference">
    <w:name w:val="annotation reference"/>
    <w:rsid w:val="003429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29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29D9"/>
  </w:style>
  <w:style w:type="paragraph" w:styleId="CommentSubject">
    <w:name w:val="annotation subject"/>
    <w:basedOn w:val="CommentText"/>
    <w:next w:val="CommentText"/>
    <w:link w:val="CommentSubjectChar"/>
    <w:rsid w:val="003429D9"/>
    <w:rPr>
      <w:b/>
      <w:bCs/>
    </w:rPr>
  </w:style>
  <w:style w:type="character" w:customStyle="1" w:styleId="CommentSubjectChar">
    <w:name w:val="Comment Subject Char"/>
    <w:link w:val="CommentSubject"/>
    <w:rsid w:val="00342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autoSpaceDE w:val="0"/>
      <w:autoSpaceDN w:val="0"/>
      <w:adjustRightInd w:val="0"/>
      <w:spacing w:before="283"/>
    </w:pPr>
    <w:rPr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Default">
    <w:name w:val="Default"/>
    <w:basedOn w:val="Normal"/>
    <w:rsid w:val="008F4BF3"/>
    <w:pPr>
      <w:autoSpaceDE w:val="0"/>
      <w:autoSpaceDN w:val="0"/>
    </w:pPr>
    <w:rPr>
      <w:rFonts w:eastAsia="Calibri"/>
      <w:color w:val="000000"/>
    </w:rPr>
  </w:style>
  <w:style w:type="character" w:styleId="Hyperlink">
    <w:name w:val="Hyperlink"/>
    <w:rsid w:val="00760A8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49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4982"/>
  </w:style>
  <w:style w:type="character" w:styleId="CommentReference">
    <w:name w:val="annotation reference"/>
    <w:rsid w:val="003429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29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29D9"/>
  </w:style>
  <w:style w:type="paragraph" w:styleId="CommentSubject">
    <w:name w:val="annotation subject"/>
    <w:basedOn w:val="CommentText"/>
    <w:next w:val="CommentText"/>
    <w:link w:val="CommentSubjectChar"/>
    <w:rsid w:val="003429D9"/>
    <w:rPr>
      <w:b/>
      <w:bCs/>
    </w:rPr>
  </w:style>
  <w:style w:type="character" w:customStyle="1" w:styleId="CommentSubjectChar">
    <w:name w:val="Comment Subject Char"/>
    <w:link w:val="CommentSubject"/>
    <w:rsid w:val="00342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ncen.go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E030-CAC3-4DCE-B7E7-526F8F5E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Statement</vt:lpstr>
    </vt:vector>
  </TitlesOfParts>
  <Company>Information Technology</Company>
  <LinksUpToDate>false</LinksUpToDate>
  <CharactersWithSpaces>4647</CharactersWithSpaces>
  <SharedDoc>false</SharedDoc>
  <HLinks>
    <vt:vector size="12" baseType="variant">
      <vt:variant>
        <vt:i4>2621477</vt:i4>
      </vt:variant>
      <vt:variant>
        <vt:i4>0</vt:i4>
      </vt:variant>
      <vt:variant>
        <vt:i4>0</vt:i4>
      </vt:variant>
      <vt:variant>
        <vt:i4>5</vt:i4>
      </vt:variant>
      <vt:variant>
        <vt:lpwstr>http://www.fincen.gov/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Statement</dc:title>
  <dc:creator>StephR</dc:creator>
  <cp:lastModifiedBy>SYSTEM</cp:lastModifiedBy>
  <cp:revision>2</cp:revision>
  <cp:lastPrinted>2005-08-23T18:23:00Z</cp:lastPrinted>
  <dcterms:created xsi:type="dcterms:W3CDTF">2017-11-30T18:37:00Z</dcterms:created>
  <dcterms:modified xsi:type="dcterms:W3CDTF">2017-11-30T18:37:00Z</dcterms:modified>
</cp:coreProperties>
</file>