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40" w:rsidRDefault="00600940">
      <w:pPr>
        <w:pStyle w:val="PlainText"/>
        <w:jc w:val="center"/>
        <w:rPr>
          <w:rFonts w:ascii="Times New Roman" w:eastAsia="MS Mincho" w:hAnsi="Times New Roman" w:cs="Times New Roman"/>
          <w:sz w:val="24"/>
        </w:rPr>
      </w:pPr>
      <w:bookmarkStart w:id="0" w:name="_GoBack"/>
      <w:bookmarkEnd w:id="0"/>
      <w:r>
        <w:rPr>
          <w:rFonts w:ascii="Times New Roman" w:eastAsia="MS Mincho" w:hAnsi="Times New Roman" w:cs="Times New Roman"/>
          <w:sz w:val="24"/>
        </w:rPr>
        <w:t>Supp</w:t>
      </w:r>
      <w:r w:rsidR="006170CF">
        <w:rPr>
          <w:rFonts w:ascii="Times New Roman" w:eastAsia="MS Mincho" w:hAnsi="Times New Roman" w:cs="Times New Roman"/>
          <w:sz w:val="24"/>
        </w:rPr>
        <w:t>orting</w:t>
      </w:r>
      <w:r>
        <w:rPr>
          <w:rFonts w:ascii="Times New Roman" w:eastAsia="MS Mincho" w:hAnsi="Times New Roman" w:cs="Times New Roman"/>
          <w:sz w:val="24"/>
        </w:rPr>
        <w:t xml:space="preserve"> Statement</w:t>
      </w:r>
    </w:p>
    <w:p w:rsidR="00664F86" w:rsidRDefault="00664F86">
      <w:pPr>
        <w:pStyle w:val="PlainText"/>
        <w:jc w:val="center"/>
        <w:rPr>
          <w:rFonts w:ascii="Times New Roman" w:eastAsia="MS Mincho" w:hAnsi="Times New Roman" w:cs="Times New Roman"/>
          <w:sz w:val="24"/>
        </w:rPr>
      </w:pPr>
      <w:r>
        <w:rPr>
          <w:rFonts w:ascii="Times New Roman" w:hAnsi="Times New Roman"/>
          <w:sz w:val="24"/>
        </w:rPr>
        <w:t>Additional records to be made and retained by brokers or dealers in securities</w:t>
      </w:r>
      <w:r>
        <w:rPr>
          <w:rFonts w:ascii="Times New Roman" w:eastAsia="MS Mincho" w:hAnsi="Times New Roman" w:cs="Times New Roman"/>
          <w:sz w:val="24"/>
        </w:rPr>
        <w:t xml:space="preserve"> </w:t>
      </w:r>
    </w:p>
    <w:p w:rsidR="005A41DF" w:rsidRDefault="005A41DF">
      <w:pPr>
        <w:pStyle w:val="PlainText"/>
        <w:jc w:val="center"/>
        <w:rPr>
          <w:rFonts w:ascii="Times New Roman" w:eastAsia="MS Mincho" w:hAnsi="Times New Roman" w:cs="Times New Roman"/>
          <w:sz w:val="24"/>
        </w:rPr>
      </w:pPr>
      <w:r>
        <w:rPr>
          <w:rFonts w:ascii="Times New Roman" w:eastAsia="MS Mincho" w:hAnsi="Times New Roman" w:cs="Times New Roman"/>
          <w:sz w:val="24"/>
        </w:rPr>
        <w:t>OMB Control Number 1506-</w:t>
      </w:r>
      <w:r w:rsidR="00C1565E">
        <w:rPr>
          <w:rFonts w:ascii="Times New Roman" w:eastAsia="MS Mincho" w:hAnsi="Times New Roman" w:cs="Times New Roman"/>
          <w:sz w:val="24"/>
        </w:rPr>
        <w:t>0053</w:t>
      </w:r>
    </w:p>
    <w:p w:rsidR="00600940" w:rsidRDefault="00600940">
      <w:pPr>
        <w:pStyle w:val="PlainText"/>
        <w:rPr>
          <w:rFonts w:ascii="Times New Roman" w:eastAsia="MS Mincho" w:hAnsi="Times New Roman" w:cs="Times New Roman"/>
          <w:sz w:val="24"/>
        </w:rPr>
      </w:pPr>
    </w:p>
    <w:p w:rsidR="00600940" w:rsidRDefault="00600940">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Circumstances Necessitating Collection of Information</w:t>
      </w:r>
      <w:r>
        <w:rPr>
          <w:rFonts w:ascii="Times New Roman" w:eastAsia="MS Mincho" w:hAnsi="Times New Roman" w:cs="Times New Roman"/>
          <w:sz w:val="24"/>
        </w:rPr>
        <w:tab/>
      </w:r>
    </w:p>
    <w:p w:rsidR="00600940" w:rsidRDefault="00600940">
      <w:pPr>
        <w:pStyle w:val="PlainText"/>
        <w:rPr>
          <w:rFonts w:ascii="Times New Roman" w:eastAsia="MS Mincho" w:hAnsi="Times New Roman" w:cs="Times New Roman"/>
          <w:sz w:val="24"/>
        </w:rPr>
      </w:pPr>
    </w:p>
    <w:p w:rsidR="00664F86" w:rsidRDefault="00600940" w:rsidP="00664F86">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The statute generally referred to as the “Bank Secrecy Act,” Titles I and II of Public Law 91-508, as amended, codified at 12 U.S.C. 1829b, 12 U.S.C. 1951-1959, and 31 U.S.C. 5311-5332, authorizes the Secretary of the Treasury, </w:t>
      </w:r>
      <w:r>
        <w:rPr>
          <w:rFonts w:ascii="Times New Roman" w:eastAsia="MS Mincho" w:hAnsi="Times New Roman" w:cs="Times New Roman"/>
          <w:sz w:val="24"/>
          <w:u w:val="single"/>
        </w:rPr>
        <w:t>inter alia</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Bank Secrecy Act appear at 31 C</w:t>
      </w:r>
      <w:r w:rsidR="00C1565E">
        <w:rPr>
          <w:rFonts w:ascii="Times New Roman" w:eastAsia="MS Mincho" w:hAnsi="Times New Roman" w:cs="Times New Roman"/>
          <w:sz w:val="24"/>
        </w:rPr>
        <w:t>hapter X</w:t>
      </w:r>
      <w:r>
        <w:rPr>
          <w:rFonts w:ascii="Times New Roman" w:eastAsia="MS Mincho" w:hAnsi="Times New Roman" w:cs="Times New Roman"/>
          <w:sz w:val="24"/>
        </w:rPr>
        <w:t>.  The authority of the Secretary to administer the Bank Secrecy Act</w:t>
      </w:r>
      <w:r w:rsidR="006170CF">
        <w:rPr>
          <w:rFonts w:ascii="Times New Roman" w:eastAsia="MS Mincho" w:hAnsi="Times New Roman" w:cs="Times New Roman"/>
          <w:sz w:val="24"/>
        </w:rPr>
        <w:t xml:space="preserve"> (BSA)</w:t>
      </w:r>
      <w:r>
        <w:rPr>
          <w:rFonts w:ascii="Times New Roman" w:eastAsia="MS Mincho" w:hAnsi="Times New Roman" w:cs="Times New Roman"/>
          <w:sz w:val="24"/>
        </w:rPr>
        <w:t xml:space="preserve"> has been delegated to the Director of the Financial Crimes Enforcement Network</w:t>
      </w:r>
      <w:r w:rsidR="007E548D">
        <w:rPr>
          <w:rFonts w:ascii="Times New Roman" w:eastAsia="MS Mincho" w:hAnsi="Times New Roman" w:cs="Times New Roman"/>
          <w:sz w:val="24"/>
        </w:rPr>
        <w:t xml:space="preserve"> (FinCEN)</w:t>
      </w:r>
      <w:r>
        <w:rPr>
          <w:rFonts w:ascii="Times New Roman" w:eastAsia="MS Mincho" w:hAnsi="Times New Roman" w:cs="Times New Roman"/>
          <w:sz w:val="24"/>
        </w:rPr>
        <w:t>.</w:t>
      </w:r>
    </w:p>
    <w:p w:rsidR="00664F86" w:rsidRDefault="00664F86" w:rsidP="00664F86">
      <w:pPr>
        <w:pStyle w:val="PlainText"/>
        <w:ind w:firstLine="720"/>
        <w:rPr>
          <w:rFonts w:ascii="Times New Roman" w:eastAsia="MS Mincho" w:hAnsi="Times New Roman" w:cs="Times New Roman"/>
          <w:sz w:val="24"/>
        </w:rPr>
      </w:pPr>
    </w:p>
    <w:p w:rsidR="00664F86" w:rsidRPr="00664F86" w:rsidRDefault="00664F86" w:rsidP="00664F86">
      <w:pPr>
        <w:pStyle w:val="PlainText"/>
        <w:ind w:firstLine="720"/>
        <w:rPr>
          <w:rFonts w:ascii="Times New Roman" w:eastAsia="MS Mincho" w:hAnsi="Times New Roman" w:cs="Times New Roman"/>
          <w:sz w:val="24"/>
        </w:rPr>
      </w:pPr>
      <w:r>
        <w:rPr>
          <w:rFonts w:ascii="Times New Roman" w:hAnsi="Times New Roman"/>
          <w:sz w:val="24"/>
        </w:rPr>
        <w:t>A broker or dealer in securities must retain an original or copy of certain documents, as specified in section 10</w:t>
      </w:r>
      <w:r w:rsidR="00535DC7">
        <w:rPr>
          <w:rFonts w:ascii="Times New Roman" w:hAnsi="Times New Roman"/>
          <w:sz w:val="24"/>
        </w:rPr>
        <w:t>23.</w:t>
      </w:r>
      <w:r w:rsidR="00C1565E">
        <w:rPr>
          <w:rFonts w:ascii="Times New Roman" w:hAnsi="Times New Roman"/>
          <w:sz w:val="24"/>
        </w:rPr>
        <w:t>410</w:t>
      </w:r>
      <w:r>
        <w:rPr>
          <w:rFonts w:ascii="Times New Roman" w:hAnsi="Times New Roman"/>
          <w:sz w:val="24"/>
        </w:rPr>
        <w:t>.  The required records must be maintained for five years (31 CFR 10</w:t>
      </w:r>
      <w:r w:rsidR="00C1565E">
        <w:rPr>
          <w:rFonts w:ascii="Times New Roman" w:hAnsi="Times New Roman"/>
          <w:sz w:val="24"/>
        </w:rPr>
        <w:t>10.430</w:t>
      </w:r>
      <w:r>
        <w:rPr>
          <w:rFonts w:ascii="Times New Roman" w:hAnsi="Times New Roman"/>
          <w:sz w:val="24"/>
        </w:rPr>
        <w:t>).</w:t>
      </w:r>
    </w:p>
    <w:p w:rsidR="005A41DF" w:rsidRDefault="005A41DF" w:rsidP="005A41DF">
      <w:pPr>
        <w:tabs>
          <w:tab w:val="left" w:pos="0"/>
        </w:tabs>
        <w:suppressAutoHyphens/>
      </w:pPr>
    </w:p>
    <w:p w:rsidR="00736FD7" w:rsidRDefault="00600940" w:rsidP="00736FD7">
      <w:pPr>
        <w:pStyle w:val="PlainText"/>
        <w:rPr>
          <w:rFonts w:ascii="Times New Roman" w:hAnsi="Times New Roman" w:cs="Times New Roman"/>
          <w:sz w:val="24"/>
          <w:szCs w:val="24"/>
        </w:rPr>
      </w:pPr>
      <w:r w:rsidRPr="00747B41">
        <w:rPr>
          <w:rFonts w:ascii="Times New Roman" w:hAnsi="Times New Roman" w:cs="Times New Roman"/>
          <w:sz w:val="24"/>
          <w:szCs w:val="24"/>
        </w:rPr>
        <w:t xml:space="preserve"> 2. </w:t>
      </w:r>
      <w:r w:rsidRPr="00747B41">
        <w:rPr>
          <w:rFonts w:ascii="Times New Roman" w:hAnsi="Times New Roman" w:cs="Times New Roman"/>
          <w:sz w:val="24"/>
          <w:szCs w:val="24"/>
          <w:u w:val="single"/>
        </w:rPr>
        <w:t xml:space="preserve">Method of Collection and </w:t>
      </w:r>
      <w:r w:rsidR="007E548D">
        <w:rPr>
          <w:rFonts w:ascii="Times New Roman" w:hAnsi="Times New Roman" w:cs="Times New Roman"/>
          <w:sz w:val="24"/>
          <w:szCs w:val="24"/>
          <w:u w:val="single"/>
        </w:rPr>
        <w:t>U</w:t>
      </w:r>
      <w:r w:rsidRPr="00747B41">
        <w:rPr>
          <w:rFonts w:ascii="Times New Roman" w:hAnsi="Times New Roman" w:cs="Times New Roman"/>
          <w:sz w:val="24"/>
          <w:szCs w:val="24"/>
          <w:u w:val="single"/>
        </w:rPr>
        <w:t xml:space="preserve">se of </w:t>
      </w:r>
      <w:r w:rsidR="007E548D">
        <w:rPr>
          <w:rFonts w:ascii="Times New Roman" w:hAnsi="Times New Roman" w:cs="Times New Roman"/>
          <w:sz w:val="24"/>
          <w:szCs w:val="24"/>
          <w:u w:val="single"/>
        </w:rPr>
        <w:t>D</w:t>
      </w:r>
      <w:r w:rsidRPr="00747B41">
        <w:rPr>
          <w:rFonts w:ascii="Times New Roman" w:hAnsi="Times New Roman" w:cs="Times New Roman"/>
          <w:sz w:val="24"/>
          <w:szCs w:val="24"/>
          <w:u w:val="single"/>
        </w:rPr>
        <w:t>ata</w:t>
      </w:r>
      <w:r w:rsidRPr="00747B41">
        <w:rPr>
          <w:rFonts w:ascii="Times New Roman" w:hAnsi="Times New Roman" w:cs="Times New Roman"/>
          <w:sz w:val="24"/>
          <w:szCs w:val="24"/>
        </w:rPr>
        <w:t xml:space="preserve"> </w:t>
      </w:r>
    </w:p>
    <w:p w:rsidR="00736FD7" w:rsidRDefault="00736FD7" w:rsidP="00736FD7">
      <w:pPr>
        <w:pStyle w:val="PlainText"/>
        <w:rPr>
          <w:rFonts w:ascii="Times New Roman" w:hAnsi="Times New Roman" w:cs="Times New Roman"/>
          <w:sz w:val="24"/>
          <w:szCs w:val="24"/>
        </w:rPr>
      </w:pPr>
    </w:p>
    <w:p w:rsidR="005A41DF" w:rsidRPr="00736FD7" w:rsidRDefault="00736FD7" w:rsidP="00736FD7">
      <w:pPr>
        <w:pStyle w:val="PlainText"/>
        <w:rPr>
          <w:rFonts w:ascii="Times New Roman" w:eastAsia="MS Mincho" w:hAnsi="Times New Roman" w:cs="Times New Roman"/>
          <w:sz w:val="24"/>
          <w:szCs w:val="24"/>
        </w:rPr>
      </w:pPr>
      <w:r>
        <w:rPr>
          <w:rFonts w:ascii="Times New Roman" w:hAnsi="Times New Roman" w:cs="Times New Roman"/>
          <w:sz w:val="24"/>
          <w:szCs w:val="24"/>
        </w:rPr>
        <w:tab/>
      </w:r>
      <w:r w:rsidR="006170CF">
        <w:rPr>
          <w:rFonts w:ascii="Times New Roman" w:hAnsi="Times New Roman" w:cs="Times New Roman"/>
          <w:sz w:val="24"/>
          <w:szCs w:val="24"/>
        </w:rPr>
        <w:t xml:space="preserve">This is a recordkeeping requirement. </w:t>
      </w:r>
      <w:r w:rsidR="005317AE">
        <w:rPr>
          <w:rFonts w:ascii="Times New Roman" w:hAnsi="Times New Roman" w:cs="Times New Roman"/>
          <w:sz w:val="24"/>
          <w:szCs w:val="24"/>
        </w:rPr>
        <w:t xml:space="preserve"> </w:t>
      </w:r>
      <w:r w:rsidR="005A41DF" w:rsidRPr="00736FD7">
        <w:rPr>
          <w:rFonts w:ascii="Times New Roman" w:hAnsi="Times New Roman" w:cs="Times New Roman"/>
          <w:sz w:val="24"/>
          <w:szCs w:val="24"/>
        </w:rPr>
        <w:t xml:space="preserve">Should FinCEN issue regulations </w:t>
      </w:r>
      <w:r w:rsidR="00127EB9">
        <w:rPr>
          <w:rFonts w:ascii="Times New Roman" w:hAnsi="Times New Roman" w:cs="Times New Roman"/>
          <w:sz w:val="24"/>
          <w:szCs w:val="24"/>
        </w:rPr>
        <w:t xml:space="preserve">requiring reporting </w:t>
      </w:r>
      <w:r w:rsidR="005A41DF" w:rsidRPr="00736FD7">
        <w:rPr>
          <w:rFonts w:ascii="Times New Roman" w:hAnsi="Times New Roman" w:cs="Times New Roman"/>
          <w:sz w:val="24"/>
          <w:szCs w:val="24"/>
        </w:rPr>
        <w:t xml:space="preserve">under this authority, it will provide a burden estimate specific to those regulations. </w:t>
      </w:r>
      <w:r w:rsidR="005317AE">
        <w:rPr>
          <w:rFonts w:ascii="Times New Roman" w:hAnsi="Times New Roman" w:cs="Times New Roman"/>
          <w:sz w:val="24"/>
          <w:szCs w:val="24"/>
        </w:rPr>
        <w:t xml:space="preserve"> </w:t>
      </w:r>
      <w:r w:rsidR="005A41DF" w:rsidRPr="00736FD7">
        <w:rPr>
          <w:rFonts w:ascii="Times New Roman" w:hAnsi="Times New Roman" w:cs="Times New Roman"/>
          <w:sz w:val="24"/>
          <w:szCs w:val="24"/>
        </w:rPr>
        <w:t xml:space="preserve">Currently there is no </w:t>
      </w:r>
      <w:r w:rsidR="006170CF">
        <w:rPr>
          <w:rFonts w:ascii="Times New Roman" w:hAnsi="Times New Roman" w:cs="Times New Roman"/>
          <w:sz w:val="24"/>
          <w:szCs w:val="24"/>
        </w:rPr>
        <w:t xml:space="preserve">reporting </w:t>
      </w:r>
      <w:r w:rsidR="005A41DF" w:rsidRPr="00736FD7">
        <w:rPr>
          <w:rFonts w:ascii="Times New Roman" w:hAnsi="Times New Roman" w:cs="Times New Roman"/>
          <w:sz w:val="24"/>
          <w:szCs w:val="24"/>
        </w:rPr>
        <w:t>requirement.</w:t>
      </w:r>
    </w:p>
    <w:p w:rsidR="00600940" w:rsidRDefault="00600940">
      <w:pPr>
        <w:spacing w:before="273"/>
        <w:rPr>
          <w:szCs w:val="22"/>
        </w:rPr>
      </w:pPr>
      <w:r>
        <w:rPr>
          <w:szCs w:val="22"/>
        </w:rPr>
        <w:t xml:space="preserve">3. </w:t>
      </w:r>
      <w:r>
        <w:rPr>
          <w:szCs w:val="22"/>
          <w:u w:val="single"/>
        </w:rPr>
        <w:t>Use of Improved Information Technology to Reduce Burden</w:t>
      </w:r>
      <w:r>
        <w:rPr>
          <w:szCs w:val="22"/>
        </w:rPr>
        <w:t xml:space="preserve"> </w:t>
      </w:r>
    </w:p>
    <w:p w:rsidR="00624DAF" w:rsidRDefault="00624DAF" w:rsidP="00624DAF">
      <w:pPr>
        <w:spacing w:before="283"/>
        <w:ind w:firstLine="720"/>
        <w:rPr>
          <w:szCs w:val="22"/>
        </w:rPr>
      </w:pPr>
      <w:r>
        <w:rPr>
          <w:szCs w:val="22"/>
        </w:rPr>
        <w:t xml:space="preserve">Not applicable. </w:t>
      </w:r>
      <w:r w:rsidR="005317AE">
        <w:rPr>
          <w:szCs w:val="22"/>
        </w:rPr>
        <w:t xml:space="preserve"> </w:t>
      </w:r>
      <w:r>
        <w:rPr>
          <w:szCs w:val="22"/>
        </w:rPr>
        <w:t>This is a recordkeeping requirement.</w:t>
      </w:r>
    </w:p>
    <w:p w:rsidR="00600940" w:rsidRDefault="00600940">
      <w:pPr>
        <w:spacing w:before="283"/>
        <w:rPr>
          <w:szCs w:val="22"/>
          <w:u w:val="single"/>
        </w:rPr>
      </w:pPr>
      <w:r>
        <w:rPr>
          <w:szCs w:val="22"/>
        </w:rPr>
        <w:t xml:space="preserve">4. </w:t>
      </w:r>
      <w:r>
        <w:rPr>
          <w:szCs w:val="22"/>
          <w:u w:val="single"/>
        </w:rPr>
        <w:t xml:space="preserve">Efforts to Identify Duplication </w:t>
      </w:r>
    </w:p>
    <w:p w:rsidR="00624DAF" w:rsidRDefault="005317AE" w:rsidP="00624DAF">
      <w:pPr>
        <w:spacing w:before="283"/>
        <w:ind w:firstLine="720"/>
        <w:rPr>
          <w:szCs w:val="22"/>
        </w:rPr>
      </w:pPr>
      <w:r>
        <w:rPr>
          <w:szCs w:val="22"/>
        </w:rPr>
        <w:t xml:space="preserve">There </w:t>
      </w:r>
      <w:r w:rsidR="00624DAF">
        <w:rPr>
          <w:szCs w:val="22"/>
        </w:rPr>
        <w:t xml:space="preserve">is no duplication. </w:t>
      </w:r>
      <w:r>
        <w:rPr>
          <w:szCs w:val="22"/>
        </w:rPr>
        <w:t xml:space="preserve"> </w:t>
      </w:r>
      <w:r w:rsidR="00624DAF">
        <w:rPr>
          <w:szCs w:val="22"/>
        </w:rPr>
        <w:t>This is a recordkeeping requirement.</w:t>
      </w:r>
    </w:p>
    <w:p w:rsidR="00600940" w:rsidRDefault="00600940">
      <w:pPr>
        <w:spacing w:before="283"/>
        <w:rPr>
          <w:szCs w:val="22"/>
          <w:u w:val="single"/>
        </w:rPr>
      </w:pPr>
      <w:r>
        <w:rPr>
          <w:szCs w:val="22"/>
        </w:rPr>
        <w:t xml:space="preserve">5. </w:t>
      </w:r>
      <w:r>
        <w:rPr>
          <w:szCs w:val="22"/>
          <w:u w:val="single"/>
        </w:rPr>
        <w:t>Methods to Minimize Burden on Small Businesses or other Small Entities</w:t>
      </w:r>
    </w:p>
    <w:p w:rsidR="00600940" w:rsidRDefault="00624DAF" w:rsidP="005A41DF">
      <w:pPr>
        <w:spacing w:before="273"/>
        <w:ind w:firstLine="720"/>
        <w:rPr>
          <w:szCs w:val="22"/>
        </w:rPr>
      </w:pPr>
      <w:r>
        <w:rPr>
          <w:szCs w:val="22"/>
        </w:rPr>
        <w:t xml:space="preserve">All financial institutions are required to maintain records </w:t>
      </w:r>
      <w:r w:rsidR="005317AE">
        <w:rPr>
          <w:szCs w:val="22"/>
        </w:rPr>
        <w:t xml:space="preserve">in accordance with </w:t>
      </w:r>
      <w:r>
        <w:rPr>
          <w:szCs w:val="22"/>
        </w:rPr>
        <w:t xml:space="preserve">the BSA.  </w:t>
      </w:r>
      <w:r w:rsidR="005A41DF">
        <w:rPr>
          <w:szCs w:val="22"/>
        </w:rPr>
        <w:t xml:space="preserve"> </w:t>
      </w:r>
    </w:p>
    <w:p w:rsidR="00600940" w:rsidRDefault="00600940">
      <w:pPr>
        <w:spacing w:before="283"/>
        <w:rPr>
          <w:szCs w:val="22"/>
        </w:rPr>
      </w:pPr>
      <w:r>
        <w:rPr>
          <w:szCs w:val="22"/>
        </w:rPr>
        <w:t xml:space="preserve">6. </w:t>
      </w:r>
      <w:r>
        <w:rPr>
          <w:szCs w:val="22"/>
          <w:u w:val="single"/>
        </w:rPr>
        <w:t xml:space="preserve">Consequences to the Federal Government of </w:t>
      </w:r>
      <w:r w:rsidR="007E548D">
        <w:rPr>
          <w:szCs w:val="22"/>
          <w:u w:val="single"/>
        </w:rPr>
        <w:t>N</w:t>
      </w:r>
      <w:r>
        <w:rPr>
          <w:szCs w:val="22"/>
          <w:u w:val="single"/>
        </w:rPr>
        <w:t xml:space="preserve">ot </w:t>
      </w:r>
      <w:r w:rsidR="007E548D">
        <w:rPr>
          <w:szCs w:val="22"/>
          <w:u w:val="single"/>
        </w:rPr>
        <w:t>C</w:t>
      </w:r>
      <w:r>
        <w:rPr>
          <w:szCs w:val="22"/>
          <w:u w:val="single"/>
        </w:rPr>
        <w:t>ollecting the Information</w:t>
      </w:r>
      <w:r>
        <w:rPr>
          <w:szCs w:val="22"/>
        </w:rPr>
        <w:t xml:space="preserve"> </w:t>
      </w:r>
    </w:p>
    <w:p w:rsidR="00624DAF" w:rsidRDefault="00624DAF" w:rsidP="00624DAF">
      <w:pPr>
        <w:spacing w:before="273"/>
        <w:ind w:firstLine="720"/>
        <w:rPr>
          <w:szCs w:val="22"/>
        </w:rPr>
      </w:pPr>
      <w:r>
        <w:rPr>
          <w:szCs w:val="22"/>
        </w:rPr>
        <w:t>This is a financial institution recordkeeping requirement.</w:t>
      </w:r>
    </w:p>
    <w:p w:rsidR="00600940" w:rsidRPr="00736FD7" w:rsidRDefault="00600940" w:rsidP="00736FD7">
      <w:pPr>
        <w:spacing w:before="273"/>
        <w:rPr>
          <w:szCs w:val="22"/>
        </w:rPr>
      </w:pPr>
      <w:r>
        <w:rPr>
          <w:szCs w:val="22"/>
        </w:rPr>
        <w:lastRenderedPageBreak/>
        <w:t xml:space="preserve">7. </w:t>
      </w:r>
      <w:r>
        <w:rPr>
          <w:szCs w:val="22"/>
          <w:u w:val="single"/>
        </w:rPr>
        <w:t>Special Circumstances Requiring Data Collection Inconsistent with Guidelines</w:t>
      </w:r>
    </w:p>
    <w:p w:rsidR="00600940" w:rsidRDefault="00600940">
      <w:pPr>
        <w:widowControl w:val="0"/>
        <w:autoSpaceDE w:val="0"/>
        <w:autoSpaceDN w:val="0"/>
        <w:adjustRightInd w:val="0"/>
        <w:spacing w:line="240" w:lineRule="exact"/>
        <w:ind w:firstLine="710"/>
        <w:rPr>
          <w:szCs w:val="22"/>
        </w:rPr>
      </w:pPr>
    </w:p>
    <w:p w:rsidR="00600940" w:rsidRDefault="006170CF">
      <w:pPr>
        <w:widowControl w:val="0"/>
        <w:autoSpaceDE w:val="0"/>
        <w:autoSpaceDN w:val="0"/>
        <w:adjustRightInd w:val="0"/>
        <w:spacing w:line="240" w:lineRule="exact"/>
        <w:ind w:firstLine="710"/>
        <w:rPr>
          <w:szCs w:val="4"/>
        </w:rPr>
      </w:pPr>
      <w:r>
        <w:rPr>
          <w:szCs w:val="22"/>
        </w:rPr>
        <w:t>R</w:t>
      </w:r>
      <w:r w:rsidR="005A41DF">
        <w:rPr>
          <w:szCs w:val="22"/>
        </w:rPr>
        <w:t xml:space="preserve">egulations </w:t>
      </w:r>
      <w:r w:rsidR="00DE3969">
        <w:rPr>
          <w:szCs w:val="22"/>
        </w:rPr>
        <w:t xml:space="preserve">under </w:t>
      </w:r>
      <w:r w:rsidR="00600940">
        <w:rPr>
          <w:szCs w:val="22"/>
        </w:rPr>
        <w:t>31 CFR 10</w:t>
      </w:r>
      <w:r w:rsidR="00C1565E">
        <w:rPr>
          <w:szCs w:val="22"/>
        </w:rPr>
        <w:t>10.430</w:t>
      </w:r>
      <w:r w:rsidR="00600940">
        <w:rPr>
          <w:szCs w:val="22"/>
        </w:rPr>
        <w:t xml:space="preserve">, </w:t>
      </w:r>
      <w:r>
        <w:rPr>
          <w:szCs w:val="22"/>
        </w:rPr>
        <w:t xml:space="preserve">require </w:t>
      </w:r>
      <w:r w:rsidR="00600940">
        <w:rPr>
          <w:szCs w:val="22"/>
        </w:rPr>
        <w:t xml:space="preserve">records </w:t>
      </w:r>
      <w:r>
        <w:rPr>
          <w:szCs w:val="22"/>
        </w:rPr>
        <w:t>b</w:t>
      </w:r>
      <w:r w:rsidR="00600940">
        <w:rPr>
          <w:szCs w:val="22"/>
        </w:rPr>
        <w:t>e kept for 5 years.  This retention period is necessary to substantiate violations that have occurred within the statute of limitations (5 or 6 years)</w:t>
      </w:r>
      <w:r w:rsidR="00600940">
        <w:rPr>
          <w:szCs w:val="4"/>
        </w:rPr>
        <w:t>.</w:t>
      </w:r>
    </w:p>
    <w:p w:rsidR="00600940" w:rsidRDefault="00600940">
      <w:pPr>
        <w:rPr>
          <w:szCs w:val="22"/>
        </w:rPr>
      </w:pPr>
    </w:p>
    <w:p w:rsidR="00600940" w:rsidRDefault="00600940">
      <w:pPr>
        <w:rPr>
          <w:szCs w:val="22"/>
        </w:rPr>
      </w:pPr>
      <w:r>
        <w:rPr>
          <w:szCs w:val="22"/>
        </w:rPr>
        <w:t xml:space="preserve">8. </w:t>
      </w:r>
      <w:r>
        <w:rPr>
          <w:szCs w:val="22"/>
          <w:u w:val="single"/>
        </w:rPr>
        <w:t>Consultation with Individuals Outside of the Agency on Availability of Data.  Frequency of Collection, Clarity of Instructions and Forms, and Data Elements</w:t>
      </w:r>
      <w:r>
        <w:rPr>
          <w:szCs w:val="22"/>
        </w:rPr>
        <w:t xml:space="preserve"> </w:t>
      </w:r>
    </w:p>
    <w:p w:rsidR="00600940" w:rsidRDefault="00600940">
      <w:pPr>
        <w:rPr>
          <w:szCs w:val="22"/>
        </w:rPr>
      </w:pPr>
    </w:p>
    <w:p w:rsidR="00535DC7" w:rsidRDefault="00624DAF" w:rsidP="00535DC7">
      <w:pPr>
        <w:widowControl w:val="0"/>
        <w:autoSpaceDE w:val="0"/>
        <w:autoSpaceDN w:val="0"/>
        <w:adjustRightInd w:val="0"/>
        <w:spacing w:line="240" w:lineRule="exact"/>
        <w:ind w:right="220" w:firstLine="715"/>
        <w:jc w:val="both"/>
      </w:pPr>
      <w:r>
        <w:rPr>
          <w:szCs w:val="20"/>
        </w:rPr>
        <w:t xml:space="preserve">On July 7, 2017, FinCEN </w:t>
      </w:r>
      <w:r>
        <w:t>issued a notice and request for comment to renew without change this potential requirement (</w:t>
      </w:r>
      <w:r w:rsidRPr="00127EB9">
        <w:rPr>
          <w:i/>
        </w:rPr>
        <w:t>See</w:t>
      </w:r>
      <w:r w:rsidR="005317AE">
        <w:t>,</w:t>
      </w:r>
      <w:r>
        <w:t xml:space="preserve"> 82 FR 31686). We received no comments in response to the Federal Register notice.</w:t>
      </w:r>
    </w:p>
    <w:p w:rsidR="00600940" w:rsidRDefault="00600940">
      <w:pPr>
        <w:spacing w:before="283"/>
        <w:rPr>
          <w:szCs w:val="22"/>
        </w:rPr>
      </w:pPr>
      <w:r>
        <w:rPr>
          <w:szCs w:val="22"/>
        </w:rPr>
        <w:t xml:space="preserve">9. </w:t>
      </w:r>
      <w:r>
        <w:rPr>
          <w:szCs w:val="22"/>
          <w:u w:val="single"/>
        </w:rPr>
        <w:t>Payments and Gifts</w:t>
      </w:r>
      <w:r>
        <w:rPr>
          <w:szCs w:val="22"/>
        </w:rPr>
        <w:t xml:space="preserve"> </w:t>
      </w:r>
    </w:p>
    <w:p w:rsidR="00600940" w:rsidRDefault="00600940">
      <w:pPr>
        <w:spacing w:before="283"/>
        <w:ind w:firstLine="720"/>
        <w:rPr>
          <w:szCs w:val="22"/>
        </w:rPr>
      </w:pPr>
      <w:r>
        <w:rPr>
          <w:szCs w:val="22"/>
        </w:rPr>
        <w:t>No payments or</w:t>
      </w:r>
      <w:r w:rsidR="009705A5">
        <w:rPr>
          <w:szCs w:val="22"/>
        </w:rPr>
        <w:t xml:space="preserve"> gifts were made to respondents.</w:t>
      </w:r>
      <w:r>
        <w:rPr>
          <w:szCs w:val="22"/>
        </w:rPr>
        <w:t xml:space="preserve"> </w:t>
      </w:r>
    </w:p>
    <w:p w:rsidR="00600940" w:rsidRDefault="00600940">
      <w:pPr>
        <w:pStyle w:val="BodyText"/>
        <w:rPr>
          <w:sz w:val="24"/>
        </w:rPr>
      </w:pPr>
      <w:r>
        <w:rPr>
          <w:sz w:val="24"/>
        </w:rPr>
        <w:t xml:space="preserve">10. </w:t>
      </w:r>
      <w:r>
        <w:rPr>
          <w:sz w:val="24"/>
          <w:u w:val="single"/>
        </w:rPr>
        <w:t>Assurance of Confidentiality of Responses.</w:t>
      </w:r>
      <w:r>
        <w:rPr>
          <w:sz w:val="24"/>
        </w:rPr>
        <w:t xml:space="preserve"> </w:t>
      </w:r>
    </w:p>
    <w:p w:rsidR="00600940" w:rsidRDefault="00600940">
      <w:pPr>
        <w:widowControl w:val="0"/>
        <w:autoSpaceDE w:val="0"/>
        <w:autoSpaceDN w:val="0"/>
        <w:adjustRightInd w:val="0"/>
        <w:spacing w:before="244" w:line="235" w:lineRule="exact"/>
        <w:ind w:firstLine="734"/>
        <w:rPr>
          <w:szCs w:val="22"/>
        </w:rPr>
      </w:pPr>
      <w:r>
        <w:rPr>
          <w:szCs w:val="22"/>
        </w:rPr>
        <w:t>Information collected under 31 U.S.C. 53</w:t>
      </w:r>
      <w:r w:rsidR="00747B41">
        <w:rPr>
          <w:szCs w:val="22"/>
        </w:rPr>
        <w:t xml:space="preserve">11 -5332 </w:t>
      </w:r>
      <w:r>
        <w:rPr>
          <w:szCs w:val="22"/>
        </w:rPr>
        <w:t>may be made available to appropriate law enforcement agencies and supervisory agencies.</w:t>
      </w:r>
    </w:p>
    <w:p w:rsidR="00600940" w:rsidRDefault="00600940">
      <w:pPr>
        <w:spacing w:before="264"/>
        <w:rPr>
          <w:szCs w:val="22"/>
        </w:rPr>
      </w:pPr>
      <w:r>
        <w:rPr>
          <w:szCs w:val="22"/>
        </w:rPr>
        <w:t xml:space="preserve">11. </w:t>
      </w:r>
      <w:r>
        <w:rPr>
          <w:szCs w:val="22"/>
          <w:u w:val="single"/>
        </w:rPr>
        <w:t>Justification of Sensitive Questions</w:t>
      </w:r>
      <w:r>
        <w:rPr>
          <w:szCs w:val="22"/>
        </w:rPr>
        <w:t xml:space="preserve"> </w:t>
      </w:r>
    </w:p>
    <w:p w:rsidR="007E548D" w:rsidRDefault="007E548D" w:rsidP="007E548D">
      <w:pPr>
        <w:pStyle w:val="Default"/>
      </w:pPr>
    </w:p>
    <w:p w:rsidR="007E548D" w:rsidRDefault="007E548D" w:rsidP="007E548D">
      <w:pPr>
        <w:pStyle w:val="Default"/>
        <w:ind w:firstLine="720"/>
      </w:pPr>
      <w:r>
        <w:t>This is a recordkeeping requirement.  Information collection requirements by covered financial institutions are mandated by the USA Patriot Act of 2001 and</w:t>
      </w:r>
      <w:r w:rsidR="005317AE">
        <w:t xml:space="preserve"> the</w:t>
      </w:r>
      <w:r>
        <w:t xml:space="preserve"> BSA. </w:t>
      </w:r>
    </w:p>
    <w:p w:rsidR="00600940" w:rsidRDefault="00600940">
      <w:pPr>
        <w:spacing w:before="254"/>
        <w:rPr>
          <w:szCs w:val="22"/>
        </w:rPr>
      </w:pPr>
      <w:r>
        <w:rPr>
          <w:szCs w:val="22"/>
        </w:rPr>
        <w:t xml:space="preserve">12. </w:t>
      </w:r>
      <w:r>
        <w:rPr>
          <w:szCs w:val="22"/>
          <w:u w:val="single"/>
        </w:rPr>
        <w:t>Estimated Annual Hourly Burden</w:t>
      </w:r>
      <w:r>
        <w:rPr>
          <w:szCs w:val="22"/>
        </w:rPr>
        <w:t xml:space="preserve"> </w:t>
      </w:r>
    </w:p>
    <w:p w:rsidR="00B4467F" w:rsidRDefault="009705A5" w:rsidP="00B538B2">
      <w:pPr>
        <w:spacing w:before="254"/>
        <w:ind w:firstLine="720"/>
        <w:rPr>
          <w:szCs w:val="22"/>
        </w:rPr>
      </w:pPr>
      <w:r w:rsidRPr="00127EB9">
        <w:rPr>
          <w:szCs w:val="22"/>
          <w:u w:val="single"/>
        </w:rPr>
        <w:t>Frequency</w:t>
      </w:r>
      <w:r>
        <w:rPr>
          <w:szCs w:val="22"/>
        </w:rPr>
        <w:t>:  As required</w:t>
      </w:r>
      <w:r w:rsidR="00600940">
        <w:rPr>
          <w:szCs w:val="22"/>
        </w:rPr>
        <w:t xml:space="preserve"> </w:t>
      </w:r>
    </w:p>
    <w:p w:rsidR="0088611B" w:rsidRDefault="00B4467F" w:rsidP="00B538B2">
      <w:pPr>
        <w:spacing w:before="254"/>
        <w:ind w:firstLine="720"/>
      </w:pPr>
      <w:r w:rsidRPr="00127EB9">
        <w:rPr>
          <w:u w:val="single"/>
        </w:rPr>
        <w:t>Burden</w:t>
      </w:r>
      <w:r>
        <w:t xml:space="preserve">:  </w:t>
      </w:r>
      <w:r w:rsidR="00664F86">
        <w:t>The estimated number of recordkeepers is 8,300.  The estimated annual recordkeeping burden per recordkeeper is 100 hours, for a total estimated an</w:t>
      </w:r>
      <w:r w:rsidR="00FE0767">
        <w:t>nual recordkeeping burden of 83</w:t>
      </w:r>
      <w:r w:rsidR="00664F86">
        <w:t>0</w:t>
      </w:r>
      <w:r w:rsidR="00FE0767">
        <w:t>,</w:t>
      </w:r>
      <w:r w:rsidR="00664F86">
        <w:t>00</w:t>
      </w:r>
      <w:r w:rsidR="00FE0767">
        <w:t>0</w:t>
      </w:r>
      <w:r w:rsidR="00664F86">
        <w:t xml:space="preserve"> hours</w:t>
      </w:r>
      <w:r w:rsidR="00AC44DF">
        <w:t>.</w:t>
      </w:r>
    </w:p>
    <w:p w:rsidR="00600940" w:rsidRPr="00736FD7" w:rsidRDefault="00DE3969" w:rsidP="00AC44DF">
      <w:pPr>
        <w:spacing w:before="254"/>
        <w:rPr>
          <w:szCs w:val="22"/>
        </w:rPr>
      </w:pPr>
      <w:r>
        <w:rPr>
          <w:szCs w:val="22"/>
        </w:rPr>
        <w:t xml:space="preserve"> </w:t>
      </w:r>
      <w:r w:rsidR="00600940">
        <w:t xml:space="preserve">13. </w:t>
      </w:r>
      <w:r w:rsidR="00600940">
        <w:rPr>
          <w:u w:val="single"/>
        </w:rPr>
        <w:t>Estimated Annual Cost to Respondents for Hour Burdens</w:t>
      </w:r>
      <w:r w:rsidR="00600940">
        <w:t xml:space="preserve"> </w:t>
      </w:r>
    </w:p>
    <w:p w:rsidR="00600940" w:rsidRDefault="00127EB9">
      <w:pPr>
        <w:spacing w:before="268"/>
        <w:ind w:firstLine="720"/>
      </w:pPr>
      <w:r>
        <w:t>830,0</w:t>
      </w:r>
      <w:r w:rsidR="00624DAF">
        <w:t>00 hours X $17.91 per hour = $1</w:t>
      </w:r>
      <w:r>
        <w:t>4</w:t>
      </w:r>
      <w:r w:rsidR="00624DAF">
        <w:t>,</w:t>
      </w:r>
      <w:r>
        <w:t>865,300</w:t>
      </w:r>
      <w:r w:rsidR="00624DAF">
        <w:rPr>
          <w:rStyle w:val="FootnoteReference"/>
          <w:u w:val="single"/>
        </w:rPr>
        <w:footnoteReference w:id="2"/>
      </w:r>
    </w:p>
    <w:p w:rsidR="00600940" w:rsidRDefault="00600940">
      <w:pPr>
        <w:spacing w:before="278"/>
        <w:rPr>
          <w:szCs w:val="22"/>
        </w:rPr>
      </w:pPr>
      <w:r>
        <w:rPr>
          <w:szCs w:val="22"/>
        </w:rPr>
        <w:t xml:space="preserve">14. </w:t>
      </w:r>
      <w:r>
        <w:rPr>
          <w:szCs w:val="22"/>
          <w:u w:val="single"/>
        </w:rPr>
        <w:t>Estimated Annual Cost to the Federal Government</w:t>
      </w:r>
      <w:r>
        <w:rPr>
          <w:szCs w:val="22"/>
        </w:rPr>
        <w:t xml:space="preserve"> </w:t>
      </w:r>
    </w:p>
    <w:p w:rsidR="00624DAF" w:rsidRDefault="00624DAF" w:rsidP="00624DAF">
      <w:pPr>
        <w:spacing w:before="268"/>
        <w:ind w:firstLine="720"/>
      </w:pPr>
      <w:r>
        <w:t>There is no cost to the government</w:t>
      </w:r>
      <w:r w:rsidR="00127EB9">
        <w:t>; this is a recordkeeping requirement only.</w:t>
      </w:r>
    </w:p>
    <w:p w:rsidR="00600940" w:rsidRDefault="00600940">
      <w:pPr>
        <w:spacing w:before="268"/>
        <w:rPr>
          <w:szCs w:val="22"/>
        </w:rPr>
      </w:pPr>
      <w:r>
        <w:rPr>
          <w:szCs w:val="22"/>
        </w:rPr>
        <w:t xml:space="preserve">15. </w:t>
      </w:r>
      <w:r>
        <w:rPr>
          <w:szCs w:val="22"/>
          <w:u w:val="single"/>
        </w:rPr>
        <w:t>Reason for Change in Burden</w:t>
      </w:r>
      <w:r>
        <w:rPr>
          <w:szCs w:val="22"/>
        </w:rPr>
        <w:t xml:space="preserve"> </w:t>
      </w:r>
    </w:p>
    <w:p w:rsidR="00624DAF" w:rsidRDefault="00624DAF" w:rsidP="00624DAF">
      <w:pPr>
        <w:spacing w:before="312"/>
        <w:ind w:firstLine="720"/>
        <w:rPr>
          <w:szCs w:val="22"/>
        </w:rPr>
      </w:pPr>
      <w:r>
        <w:rPr>
          <w:szCs w:val="22"/>
        </w:rPr>
        <w:lastRenderedPageBreak/>
        <w:t>There is no change in burden.</w:t>
      </w:r>
    </w:p>
    <w:p w:rsidR="00600940" w:rsidRDefault="00600940">
      <w:pPr>
        <w:spacing w:before="283"/>
        <w:rPr>
          <w:szCs w:val="22"/>
        </w:rPr>
      </w:pPr>
      <w:r>
        <w:rPr>
          <w:szCs w:val="22"/>
        </w:rPr>
        <w:t xml:space="preserve">16. </w:t>
      </w:r>
      <w:r>
        <w:rPr>
          <w:szCs w:val="22"/>
          <w:u w:val="single"/>
        </w:rPr>
        <w:t>Plans for Tabulation, Statistical Analysis, and Publication</w:t>
      </w:r>
      <w:r>
        <w:rPr>
          <w:szCs w:val="22"/>
        </w:rPr>
        <w:t xml:space="preserve"> </w:t>
      </w:r>
    </w:p>
    <w:p w:rsidR="00600940" w:rsidRDefault="00600940">
      <w:pPr>
        <w:spacing w:before="283"/>
        <w:ind w:firstLine="720"/>
        <w:rPr>
          <w:szCs w:val="22"/>
        </w:rPr>
      </w:pPr>
      <w:r>
        <w:rPr>
          <w:szCs w:val="22"/>
        </w:rPr>
        <w:t xml:space="preserve">This collection of information will not be published. </w:t>
      </w:r>
    </w:p>
    <w:p w:rsidR="00600940" w:rsidRDefault="00600940">
      <w:pPr>
        <w:spacing w:before="283"/>
        <w:rPr>
          <w:szCs w:val="22"/>
        </w:rPr>
      </w:pPr>
      <w:r>
        <w:rPr>
          <w:szCs w:val="22"/>
        </w:rPr>
        <w:t xml:space="preserve">17. </w:t>
      </w:r>
      <w:r>
        <w:rPr>
          <w:szCs w:val="22"/>
          <w:u w:val="single"/>
        </w:rPr>
        <w:t>Request not to Display Expiration Date of OMB Control Number</w:t>
      </w:r>
      <w:r>
        <w:rPr>
          <w:szCs w:val="22"/>
        </w:rPr>
        <w:t xml:space="preserve"> </w:t>
      </w:r>
    </w:p>
    <w:p w:rsidR="00600940" w:rsidRDefault="00600940">
      <w:pPr>
        <w:spacing w:before="283"/>
        <w:ind w:firstLine="720"/>
        <w:rPr>
          <w:szCs w:val="22"/>
        </w:rPr>
      </w:pPr>
      <w:r>
        <w:rPr>
          <w:szCs w:val="22"/>
        </w:rPr>
        <w:t xml:space="preserve">FinCEN requests that it not be required to display the expiration date so that the regulations will not have to be amended for the new expiration date every three years.  </w:t>
      </w:r>
    </w:p>
    <w:p w:rsidR="00600940" w:rsidRDefault="00600940">
      <w:pPr>
        <w:spacing w:before="283"/>
        <w:rPr>
          <w:szCs w:val="22"/>
        </w:rPr>
      </w:pPr>
      <w:r>
        <w:rPr>
          <w:szCs w:val="22"/>
        </w:rPr>
        <w:t xml:space="preserve">18. </w:t>
      </w:r>
      <w:r>
        <w:rPr>
          <w:szCs w:val="22"/>
          <w:u w:val="single"/>
        </w:rPr>
        <w:t>Exceptions</w:t>
      </w:r>
      <w:r>
        <w:rPr>
          <w:szCs w:val="22"/>
        </w:rPr>
        <w:t xml:space="preserve"> </w:t>
      </w:r>
    </w:p>
    <w:p w:rsidR="00600940" w:rsidRDefault="00600940">
      <w:pPr>
        <w:rPr>
          <w:szCs w:val="22"/>
        </w:rPr>
      </w:pPr>
    </w:p>
    <w:p w:rsidR="00600940" w:rsidRDefault="00600940">
      <w:pPr>
        <w:ind w:firstLine="720"/>
      </w:pPr>
      <w:r>
        <w:rPr>
          <w:szCs w:val="22"/>
        </w:rPr>
        <w:t>There are no exceptions to the certific</w:t>
      </w:r>
      <w:r w:rsidR="006170CF">
        <w:rPr>
          <w:szCs w:val="22"/>
        </w:rPr>
        <w:t>ation statement</w:t>
      </w:r>
      <w:r>
        <w:rPr>
          <w:szCs w:val="22"/>
        </w:rPr>
        <w:t>.</w:t>
      </w:r>
    </w:p>
    <w:p w:rsidR="00600940" w:rsidRDefault="00600940">
      <w:pPr>
        <w:widowControl w:val="0"/>
        <w:autoSpaceDE w:val="0"/>
        <w:autoSpaceDN w:val="0"/>
        <w:adjustRightInd w:val="0"/>
        <w:spacing w:line="240" w:lineRule="exact"/>
        <w:ind w:right="220"/>
        <w:jc w:val="both"/>
      </w:pPr>
    </w:p>
    <w:p w:rsidR="00600940" w:rsidRDefault="00600940">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rsidR="00600940" w:rsidRDefault="00600940"/>
    <w:sectPr w:rsidR="006009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D08" w:rsidRDefault="007D5D08">
      <w:r>
        <w:separator/>
      </w:r>
    </w:p>
  </w:endnote>
  <w:endnote w:type="continuationSeparator" w:id="0">
    <w:p w:rsidR="007D5D08" w:rsidRDefault="007D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D08" w:rsidRDefault="007D5D08">
      <w:r>
        <w:separator/>
      </w:r>
    </w:p>
  </w:footnote>
  <w:footnote w:type="continuationSeparator" w:id="0">
    <w:p w:rsidR="007D5D08" w:rsidRDefault="007D5D08">
      <w:r>
        <w:continuationSeparator/>
      </w:r>
    </w:p>
  </w:footnote>
  <w:footnote w:id="1">
    <w:p w:rsidR="00600940" w:rsidRPr="00127EB9" w:rsidRDefault="00600940" w:rsidP="00127EB9">
      <w:pPr>
        <w:pStyle w:val="PlainText"/>
        <w:rPr>
          <w:rFonts w:ascii="Times New Roman" w:hAnsi="Times New Roman" w:cs="Times New Roman"/>
        </w:rPr>
      </w:pPr>
      <w:r w:rsidRPr="00127EB9">
        <w:rPr>
          <w:rStyle w:val="FootnoteReference"/>
          <w:rFonts w:ascii="Times New Roman" w:hAnsi="Times New Roman" w:cs="Times New Roman"/>
        </w:rPr>
        <w:footnoteRef/>
      </w:r>
      <w:r w:rsidRPr="00127EB9">
        <w:rPr>
          <w:rFonts w:ascii="Times New Roman" w:hAnsi="Times New Roman" w:cs="Times New Roman"/>
        </w:rPr>
        <w:t xml:space="preserve"> </w:t>
      </w:r>
      <w:r w:rsidRPr="00127EB9">
        <w:rPr>
          <w:rFonts w:ascii="Times New Roman" w:eastAsia="MS Mincho" w:hAnsi="Times New Roman" w:cs="Times New Roman"/>
        </w:rPr>
        <w:t>Language expanding the scope of the Bank Secrecy Act to intelligence or counter-intelligence activities to protect against international terrorism was added by Section 358 of the Uniting and Strengthening America by Providing Appropriate Tools Required to Intercept and Obstruct Terrorism Act of 2001, P.L. 107-56.</w:t>
      </w:r>
    </w:p>
  </w:footnote>
  <w:footnote w:id="2">
    <w:p w:rsidR="00624DAF" w:rsidRPr="009732FD" w:rsidRDefault="00624DAF" w:rsidP="00624DAF">
      <w:pPr>
        <w:pStyle w:val="FootnoteText"/>
      </w:pPr>
      <w:r>
        <w:rPr>
          <w:rStyle w:val="FootnoteReference"/>
        </w:rPr>
        <w:footnoteRef/>
      </w:r>
      <w:r>
        <w:t xml:space="preserve"> </w:t>
      </w:r>
      <w:r w:rsidRPr="009732FD">
        <w:rPr>
          <w:iCs/>
        </w:rPr>
        <w:t xml:space="preserve">The </w:t>
      </w:r>
      <w:r>
        <w:rPr>
          <w:iCs/>
        </w:rPr>
        <w:t>A</w:t>
      </w:r>
      <w:r w:rsidRPr="009732FD">
        <w:rPr>
          <w:iCs/>
        </w:rPr>
        <w:t>verage Hourly Wage Rate is calculated from the May 2016 Bureau of Labor Statistics average wage for “Office and administrative Support Occupations” of $17.91.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468A"/>
    <w:multiLevelType w:val="hybridMultilevel"/>
    <w:tmpl w:val="99CA42A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EF31E2"/>
    <w:multiLevelType w:val="hybridMultilevel"/>
    <w:tmpl w:val="D71A9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79e3e52-759c-48c5-bbef-0d5f3c634c07"/>
  </w:docVars>
  <w:rsids>
    <w:rsidRoot w:val="00231E03"/>
    <w:rsid w:val="00035296"/>
    <w:rsid w:val="000876D4"/>
    <w:rsid w:val="00101B75"/>
    <w:rsid w:val="00127EB9"/>
    <w:rsid w:val="00231E03"/>
    <w:rsid w:val="003F730C"/>
    <w:rsid w:val="00451C42"/>
    <w:rsid w:val="004A7EB7"/>
    <w:rsid w:val="004B11D2"/>
    <w:rsid w:val="005317AE"/>
    <w:rsid w:val="00535DC7"/>
    <w:rsid w:val="005A41DF"/>
    <w:rsid w:val="00600940"/>
    <w:rsid w:val="006170CF"/>
    <w:rsid w:val="00624DAF"/>
    <w:rsid w:val="00664F86"/>
    <w:rsid w:val="006D0C80"/>
    <w:rsid w:val="00736FD7"/>
    <w:rsid w:val="00747B41"/>
    <w:rsid w:val="007A5926"/>
    <w:rsid w:val="007D5D08"/>
    <w:rsid w:val="007E2C24"/>
    <w:rsid w:val="007E548D"/>
    <w:rsid w:val="0088611B"/>
    <w:rsid w:val="00900895"/>
    <w:rsid w:val="009705A5"/>
    <w:rsid w:val="00980470"/>
    <w:rsid w:val="009E5982"/>
    <w:rsid w:val="00A06835"/>
    <w:rsid w:val="00AB2EDF"/>
    <w:rsid w:val="00AC44DF"/>
    <w:rsid w:val="00B050EB"/>
    <w:rsid w:val="00B4467F"/>
    <w:rsid w:val="00B538B2"/>
    <w:rsid w:val="00BB36E8"/>
    <w:rsid w:val="00BD35ED"/>
    <w:rsid w:val="00C1565E"/>
    <w:rsid w:val="00C525C3"/>
    <w:rsid w:val="00D37ECE"/>
    <w:rsid w:val="00DE3969"/>
    <w:rsid w:val="00E61529"/>
    <w:rsid w:val="00FD3BDC"/>
    <w:rsid w:val="00FE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customStyle="1" w:styleId="Default">
    <w:name w:val="Default"/>
    <w:basedOn w:val="Normal"/>
    <w:rsid w:val="007E548D"/>
    <w:pPr>
      <w:autoSpaceDE w:val="0"/>
      <w:autoSpaceDN w:val="0"/>
    </w:pPr>
    <w:rPr>
      <w:rFonts w:eastAsia="Calibri"/>
      <w:color w:val="000000"/>
    </w:rPr>
  </w:style>
  <w:style w:type="paragraph" w:styleId="FootnoteText">
    <w:name w:val="footnote text"/>
    <w:basedOn w:val="Normal"/>
    <w:link w:val="FootnoteTextChar"/>
    <w:rsid w:val="00624DAF"/>
    <w:rPr>
      <w:sz w:val="20"/>
      <w:szCs w:val="20"/>
    </w:rPr>
  </w:style>
  <w:style w:type="character" w:customStyle="1" w:styleId="FootnoteTextChar">
    <w:name w:val="Footnote Text Char"/>
    <w:basedOn w:val="DefaultParagraphFont"/>
    <w:link w:val="FootnoteText"/>
    <w:rsid w:val="00624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customStyle="1" w:styleId="Default">
    <w:name w:val="Default"/>
    <w:basedOn w:val="Normal"/>
    <w:rsid w:val="007E548D"/>
    <w:pPr>
      <w:autoSpaceDE w:val="0"/>
      <w:autoSpaceDN w:val="0"/>
    </w:pPr>
    <w:rPr>
      <w:rFonts w:eastAsia="Calibri"/>
      <w:color w:val="000000"/>
    </w:rPr>
  </w:style>
  <w:style w:type="paragraph" w:styleId="FootnoteText">
    <w:name w:val="footnote text"/>
    <w:basedOn w:val="Normal"/>
    <w:link w:val="FootnoteTextChar"/>
    <w:rsid w:val="00624DAF"/>
    <w:rPr>
      <w:sz w:val="20"/>
      <w:szCs w:val="20"/>
    </w:rPr>
  </w:style>
  <w:style w:type="character" w:customStyle="1" w:styleId="FootnoteTextChar">
    <w:name w:val="Footnote Text Char"/>
    <w:basedOn w:val="DefaultParagraphFont"/>
    <w:link w:val="FootnoteText"/>
    <w:rsid w:val="00624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99745">
      <w:bodyDiv w:val="1"/>
      <w:marLeft w:val="0"/>
      <w:marRight w:val="0"/>
      <w:marTop w:val="0"/>
      <w:marBottom w:val="0"/>
      <w:divBdr>
        <w:top w:val="none" w:sz="0" w:space="0" w:color="auto"/>
        <w:left w:val="none" w:sz="0" w:space="0" w:color="auto"/>
        <w:bottom w:val="none" w:sz="0" w:space="0" w:color="auto"/>
        <w:right w:val="none" w:sz="0" w:space="0" w:color="auto"/>
      </w:divBdr>
    </w:div>
    <w:div w:id="426194872">
      <w:bodyDiv w:val="1"/>
      <w:marLeft w:val="0"/>
      <w:marRight w:val="0"/>
      <w:marTop w:val="0"/>
      <w:marBottom w:val="0"/>
      <w:divBdr>
        <w:top w:val="none" w:sz="0" w:space="0" w:color="auto"/>
        <w:left w:val="none" w:sz="0" w:space="0" w:color="auto"/>
        <w:bottom w:val="none" w:sz="0" w:space="0" w:color="auto"/>
        <w:right w:val="none" w:sz="0" w:space="0" w:color="auto"/>
      </w:divBdr>
    </w:div>
    <w:div w:id="4846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SYSTEM</cp:lastModifiedBy>
  <cp:revision>2</cp:revision>
  <cp:lastPrinted>2005-08-23T17:23:00Z</cp:lastPrinted>
  <dcterms:created xsi:type="dcterms:W3CDTF">2017-09-15T19:38:00Z</dcterms:created>
  <dcterms:modified xsi:type="dcterms:W3CDTF">2017-09-15T19:38:00Z</dcterms:modified>
</cp:coreProperties>
</file>