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56BF8"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001BB483" w14:textId="4DC72992" w:rsidR="00797852" w:rsidRDefault="00FA0F7B"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FERC-725A </w:t>
      </w:r>
      <w:r w:rsidR="00A70D34" w:rsidRPr="00B51BB8">
        <w:rPr>
          <w:rFonts w:ascii="Times New Roman" w:hAnsi="Times New Roman" w:cs="Times New Roman"/>
          <w:b/>
          <w:sz w:val="24"/>
          <w:szCs w:val="24"/>
        </w:rPr>
        <w:t>(Mandatory Reliability Standards for the Bulk-Power System)</w:t>
      </w:r>
      <w:r w:rsidR="004723F3">
        <w:rPr>
          <w:rFonts w:ascii="Times New Roman" w:hAnsi="Times New Roman" w:cs="Times New Roman"/>
          <w:b/>
          <w:sz w:val="24"/>
          <w:szCs w:val="24"/>
        </w:rPr>
        <w:t xml:space="preserve">, </w:t>
      </w:r>
    </w:p>
    <w:p w14:paraId="72B42CEA" w14:textId="4A77AE98" w:rsidR="00797852" w:rsidRDefault="003771D0"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w:t>
      </w:r>
      <w:r w:rsidR="00612E67" w:rsidRPr="00B51BB8">
        <w:rPr>
          <w:rFonts w:ascii="Times New Roman" w:hAnsi="Times New Roman" w:cs="Times New Roman"/>
          <w:b/>
          <w:sz w:val="24"/>
          <w:szCs w:val="24"/>
        </w:rPr>
        <w:t>D</w:t>
      </w:r>
      <w:r w:rsidR="00D350A8"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(Man</w:t>
      </w:r>
      <w:r w:rsidR="00612E67" w:rsidRPr="00B51BB8">
        <w:rPr>
          <w:rFonts w:ascii="Times New Roman" w:hAnsi="Times New Roman" w:cs="Times New Roman"/>
          <w:b/>
          <w:sz w:val="24"/>
          <w:szCs w:val="24"/>
        </w:rPr>
        <w:t>datory Reliability Standards:  FAC</w:t>
      </w:r>
      <w:r w:rsidR="00A70D34" w:rsidRPr="00B51BB8">
        <w:rPr>
          <w:rFonts w:ascii="Times New Roman" w:hAnsi="Times New Roman" w:cs="Times New Roman"/>
          <w:b/>
          <w:sz w:val="24"/>
          <w:szCs w:val="24"/>
        </w:rPr>
        <w:t xml:space="preserve"> Reliability Standards)</w:t>
      </w:r>
      <w:r w:rsidR="004723F3">
        <w:rPr>
          <w:rFonts w:ascii="Times New Roman" w:hAnsi="Times New Roman" w:cs="Times New Roman"/>
          <w:b/>
          <w:sz w:val="24"/>
          <w:szCs w:val="24"/>
        </w:rPr>
        <w:t xml:space="preserve">, and </w:t>
      </w:r>
    </w:p>
    <w:p w14:paraId="27ABE0D6" w14:textId="6C71C6F2" w:rsidR="002A4142" w:rsidRPr="00B51BB8" w:rsidRDefault="00797852"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00612E67" w:rsidRPr="00FC6722">
        <w:rPr>
          <w:rFonts w:ascii="Times New Roman" w:hAnsi="Times New Roman" w:cs="Times New Roman"/>
          <w:b/>
          <w:sz w:val="24"/>
          <w:szCs w:val="24"/>
        </w:rPr>
        <w:t xml:space="preserve"> </w:t>
      </w:r>
      <w:r w:rsidR="00612E67" w:rsidRPr="00B51BB8">
        <w:rPr>
          <w:rFonts w:ascii="Times New Roman" w:hAnsi="Times New Roman" w:cs="Times New Roman"/>
          <w:b/>
          <w:sz w:val="24"/>
          <w:szCs w:val="24"/>
        </w:rPr>
        <w:t>(Mandatory Reliability Standards: BAL Reliability Standards)</w:t>
      </w:r>
      <w:r w:rsidR="004723F3">
        <w:rPr>
          <w:rFonts w:ascii="Times New Roman" w:hAnsi="Times New Roman" w:cs="Times New Roman"/>
          <w:b/>
          <w:sz w:val="24"/>
          <w:szCs w:val="24"/>
        </w:rPr>
        <w:t>,</w:t>
      </w:r>
    </w:p>
    <w:p w14:paraId="07DD401F" w14:textId="77777777"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00612E67" w:rsidRPr="00B51BB8">
        <w:rPr>
          <w:rFonts w:ascii="Times New Roman" w:hAnsi="Times New Roman" w:cs="Times New Roman"/>
          <w:b/>
          <w:sz w:val="24"/>
          <w:szCs w:val="24"/>
        </w:rPr>
        <w:t>the Final Rule in Docket RM16-13</w:t>
      </w:r>
    </w:p>
    <w:p w14:paraId="4DF19896"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48779C97" w14:textId="2FD9B3E1"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00612E67" w:rsidRPr="00B51BB8">
        <w:rPr>
          <w:rFonts w:ascii="Times New Roman" w:hAnsi="Times New Roman" w:cs="Times New Roman"/>
          <w:sz w:val="24"/>
          <w:szCs w:val="24"/>
        </w:rPr>
        <w:t>FERC-725A (Mandatory Reliability Standards for t</w:t>
      </w:r>
      <w:r w:rsidR="003771D0">
        <w:rPr>
          <w:rFonts w:ascii="Times New Roman" w:hAnsi="Times New Roman" w:cs="Times New Roman"/>
          <w:sz w:val="24"/>
          <w:szCs w:val="24"/>
        </w:rPr>
        <w:t>he Bulk-Power System), FERC-725</w:t>
      </w:r>
      <w:r w:rsidR="00612E67" w:rsidRPr="00B51BB8">
        <w:rPr>
          <w:rFonts w:ascii="Times New Roman" w:hAnsi="Times New Roman" w:cs="Times New Roman"/>
          <w:sz w:val="24"/>
          <w:szCs w:val="24"/>
        </w:rPr>
        <w:t xml:space="preserve">D (Mandatory Reliability Standards:  FAC Reliability Standards), and </w:t>
      </w:r>
      <w:r w:rsidR="00797852">
        <w:rPr>
          <w:rFonts w:ascii="Times New Roman" w:hAnsi="Times New Roman" w:cs="Times New Roman"/>
          <w:sz w:val="24"/>
          <w:szCs w:val="24"/>
        </w:rPr>
        <w:t>FERC-725R</w:t>
      </w:r>
      <w:r w:rsidR="00612E67" w:rsidRPr="00B51BB8">
        <w:rPr>
          <w:rFonts w:ascii="Times New Roman" w:hAnsi="Times New Roman" w:cs="Times New Roman"/>
          <w:sz w:val="24"/>
          <w:szCs w:val="24"/>
        </w:rPr>
        <w:t xml:space="preserve"> (Mandatory Reliability Standards: BAL Reliability Standards)</w:t>
      </w:r>
      <w:r w:rsidR="00606999" w:rsidRPr="00B51BB8">
        <w:rPr>
          <w:rFonts w:ascii="Times New Roman" w:hAnsi="Times New Roman" w:cs="Times New Roman"/>
          <w:sz w:val="24"/>
          <w:szCs w:val="24"/>
        </w:rPr>
        <w:t xml:space="preserve">, as modified by the </w:t>
      </w:r>
      <w:r w:rsidR="008C747F" w:rsidRPr="00B51BB8">
        <w:rPr>
          <w:rFonts w:ascii="Times New Roman" w:hAnsi="Times New Roman" w:cs="Times New Roman"/>
          <w:sz w:val="24"/>
          <w:szCs w:val="24"/>
        </w:rPr>
        <w:t>F</w:t>
      </w:r>
      <w:r w:rsidR="00606999" w:rsidRPr="00B51BB8">
        <w:rPr>
          <w:rFonts w:ascii="Times New Roman" w:hAnsi="Times New Roman" w:cs="Times New Roman"/>
          <w:sz w:val="24"/>
          <w:szCs w:val="24"/>
        </w:rPr>
        <w:t xml:space="preserve">inal </w:t>
      </w:r>
      <w:r w:rsidR="008C747F" w:rsidRPr="00B51BB8">
        <w:rPr>
          <w:rFonts w:ascii="Times New Roman" w:hAnsi="Times New Roman" w:cs="Times New Roman"/>
          <w:sz w:val="24"/>
          <w:szCs w:val="24"/>
        </w:rPr>
        <w:t>R</w:t>
      </w:r>
      <w:r w:rsidR="00606999" w:rsidRPr="00B51BB8">
        <w:rPr>
          <w:rFonts w:ascii="Times New Roman" w:hAnsi="Times New Roman" w:cs="Times New Roman"/>
          <w:sz w:val="24"/>
          <w:szCs w:val="24"/>
        </w:rPr>
        <w:t xml:space="preserve">ule </w:t>
      </w:r>
      <w:r w:rsidR="00C114F4">
        <w:rPr>
          <w:rFonts w:ascii="Times New Roman" w:hAnsi="Times New Roman" w:cs="Times New Roman"/>
          <w:sz w:val="24"/>
          <w:szCs w:val="24"/>
        </w:rPr>
        <w:t>(Order 836</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in RM16-13</w:t>
      </w:r>
      <w:r w:rsidR="00606999" w:rsidRPr="00B51BB8">
        <w:rPr>
          <w:rStyle w:val="FootnoteReference"/>
          <w:rFonts w:ascii="Times New Roman" w:hAnsi="Times New Roman" w:cs="Times New Roman"/>
          <w:sz w:val="24"/>
          <w:szCs w:val="24"/>
          <w:vertAlign w:val="superscript"/>
        </w:rPr>
        <w:footnoteReference w:id="2"/>
      </w:r>
      <w:r w:rsidRPr="00B51BB8">
        <w:rPr>
          <w:rFonts w:ascii="Times New Roman" w:hAnsi="Times New Roman" w:cs="Times New Roman"/>
          <w:sz w:val="24"/>
          <w:szCs w:val="24"/>
        </w:rPr>
        <w:t xml:space="preserve"> for a three</w:t>
      </w:r>
      <w:r w:rsidR="00C430BB" w:rsidRPr="00B51BB8">
        <w:rPr>
          <w:rFonts w:ascii="Times New Roman" w:hAnsi="Times New Roman" w:cs="Times New Roman"/>
          <w:sz w:val="24"/>
          <w:szCs w:val="24"/>
        </w:rPr>
        <w:t>-</w:t>
      </w:r>
      <w:r w:rsidRPr="00B51BB8">
        <w:rPr>
          <w:rFonts w:ascii="Times New Roman" w:hAnsi="Times New Roman" w:cs="Times New Roman"/>
          <w:sz w:val="24"/>
          <w:szCs w:val="24"/>
        </w:rPr>
        <w:t>year period.</w:t>
      </w:r>
      <w:r w:rsidR="005515AF" w:rsidRPr="00954D7E">
        <w:rPr>
          <w:rStyle w:val="FootnoteReference"/>
          <w:rFonts w:ascii="Times New Roman" w:hAnsi="Times New Roman" w:cs="Times New Roman"/>
          <w:sz w:val="24"/>
          <w:szCs w:val="24"/>
          <w:vertAlign w:val="superscript"/>
        </w:rPr>
        <w:footnoteReference w:id="3"/>
      </w:r>
    </w:p>
    <w:p w14:paraId="5D174BE0" w14:textId="77777777" w:rsidR="00835E0A" w:rsidRDefault="00835E0A" w:rsidP="002A4142">
      <w:pPr>
        <w:spacing w:after="0" w:line="240" w:lineRule="auto"/>
        <w:rPr>
          <w:rFonts w:ascii="Times New Roman" w:hAnsi="Times New Roman" w:cs="Times New Roman"/>
          <w:sz w:val="24"/>
          <w:szCs w:val="24"/>
        </w:rPr>
      </w:pPr>
    </w:p>
    <w:p w14:paraId="2FBF2E7D" w14:textId="77777777" w:rsidR="002A4142" w:rsidRPr="00B51BB8" w:rsidRDefault="002A4142" w:rsidP="002A4142">
      <w:pPr>
        <w:spacing w:after="0" w:line="240" w:lineRule="auto"/>
        <w:rPr>
          <w:rFonts w:ascii="Times New Roman" w:hAnsi="Times New Roman" w:cs="Times New Roman"/>
          <w:b/>
          <w:sz w:val="24"/>
          <w:szCs w:val="24"/>
        </w:rPr>
      </w:pPr>
    </w:p>
    <w:p w14:paraId="54673EE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17E45D43"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2CE985A5" w14:textId="61E8512C" w:rsidR="005515AF" w:rsidRPr="005515AF" w:rsidRDefault="00A64C19" w:rsidP="005515AF">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Background.  </w:t>
      </w:r>
      <w:r w:rsidR="005515AF" w:rsidRPr="005515AF">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15B8D31A"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p>
    <w:p w14:paraId="6E873CD9"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r w:rsidRPr="005515AF">
        <w:rPr>
          <w:rFonts w:ascii="Times New Roman" w:hAnsi="Times New Roman" w:cs="Times New Roman"/>
          <w:sz w:val="24"/>
          <w:szCs w:val="24"/>
        </w:rPr>
        <w:t xml:space="preserve">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p>
    <w:p w14:paraId="553637B5"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p>
    <w:p w14:paraId="26018CA0" w14:textId="7CDDF250" w:rsidR="005515AF" w:rsidRDefault="005515AF" w:rsidP="005515AF">
      <w:pPr>
        <w:spacing w:after="0" w:line="240" w:lineRule="auto"/>
        <w:rPr>
          <w:rFonts w:ascii="Times New Roman" w:hAnsi="Times New Roman" w:cs="Times New Roman"/>
          <w:sz w:val="24"/>
          <w:szCs w:val="24"/>
        </w:rPr>
      </w:pPr>
      <w:r w:rsidRPr="005515AF">
        <w:rPr>
          <w:rFonts w:ascii="Times New Roman" w:hAnsi="Times New Roman" w:cs="Times New Roman"/>
          <w:sz w:val="24"/>
          <w:szCs w:val="24"/>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001F257C">
        <w:rPr>
          <w:rFonts w:ascii="Times New Roman" w:hAnsi="Times New Roman" w:cs="Times New Roman"/>
          <w:sz w:val="24"/>
          <w:szCs w:val="24"/>
        </w:rPr>
        <w:t>.</w:t>
      </w:r>
    </w:p>
    <w:p w14:paraId="3436361C" w14:textId="77777777" w:rsidR="005515AF" w:rsidRDefault="005515AF" w:rsidP="002A4142">
      <w:pPr>
        <w:spacing w:after="0" w:line="240" w:lineRule="auto"/>
        <w:rPr>
          <w:rFonts w:ascii="Times New Roman" w:hAnsi="Times New Roman" w:cs="Times New Roman"/>
          <w:sz w:val="24"/>
          <w:szCs w:val="24"/>
        </w:rPr>
      </w:pPr>
    </w:p>
    <w:p w14:paraId="69EDAB54" w14:textId="77777777" w:rsidR="00A64C19" w:rsidRDefault="00A64C19" w:rsidP="002A4142">
      <w:pPr>
        <w:spacing w:after="0" w:line="240" w:lineRule="auto"/>
        <w:rPr>
          <w:rFonts w:ascii="Times New Roman" w:hAnsi="Times New Roman" w:cs="Times New Roman"/>
          <w:sz w:val="24"/>
          <w:szCs w:val="24"/>
        </w:rPr>
      </w:pPr>
    </w:p>
    <w:p w14:paraId="1B055CB3" w14:textId="52F5FCAA" w:rsidR="00DE7F4E" w:rsidRDefault="00A64C19" w:rsidP="002A4142">
      <w:pPr>
        <w:spacing w:after="0" w:line="240" w:lineRule="auto"/>
        <w:rPr>
          <w:rFonts w:ascii="Times New Roman" w:hAnsi="Times New Roman" w:cs="Times New Roman"/>
          <w:sz w:val="24"/>
          <w:szCs w:val="24"/>
        </w:rPr>
      </w:pPr>
      <w:r w:rsidRPr="00954D7E">
        <w:rPr>
          <w:rFonts w:ascii="Times New Roman" w:hAnsi="Times New Roman" w:cs="Times New Roman"/>
          <w:b/>
          <w:sz w:val="24"/>
          <w:szCs w:val="24"/>
        </w:rPr>
        <w:t xml:space="preserve">Docket No. RM16-13.  </w:t>
      </w:r>
      <w:r w:rsidR="00DE7F4E">
        <w:rPr>
          <w:rFonts w:ascii="Times New Roman" w:hAnsi="Times New Roman" w:cs="Times New Roman"/>
          <w:sz w:val="24"/>
          <w:szCs w:val="24"/>
        </w:rPr>
        <w:t xml:space="preserve">NERC’s Petition </w:t>
      </w:r>
      <w:r w:rsidR="001F257C">
        <w:rPr>
          <w:rFonts w:ascii="Times New Roman" w:hAnsi="Times New Roman" w:cs="Times New Roman"/>
          <w:sz w:val="24"/>
          <w:szCs w:val="24"/>
        </w:rPr>
        <w:t xml:space="preserve">(at </w:t>
      </w:r>
      <w:hyperlink r:id="rId14" w:history="1">
        <w:r w:rsidR="001F257C" w:rsidRPr="00CD7413">
          <w:rPr>
            <w:rStyle w:val="Hyperlink"/>
            <w:rFonts w:ascii="Times New Roman" w:hAnsi="Times New Roman" w:cs="Times New Roman"/>
            <w:sz w:val="24"/>
            <w:szCs w:val="24"/>
          </w:rPr>
          <w:t>https://elibrary.ferc.gov/idmws/common/OpenNat.asp?fileID=14211431</w:t>
        </w:r>
      </w:hyperlink>
      <w:r w:rsidR="001F257C">
        <w:rPr>
          <w:rFonts w:ascii="Times New Roman" w:hAnsi="Times New Roman" w:cs="Times New Roman"/>
          <w:sz w:val="24"/>
          <w:szCs w:val="24"/>
        </w:rPr>
        <w:t>) dated</w:t>
      </w:r>
      <w:r w:rsidR="00DE7F4E">
        <w:rPr>
          <w:rFonts w:ascii="Times New Roman" w:hAnsi="Times New Roman" w:cs="Times New Roman"/>
          <w:sz w:val="24"/>
          <w:szCs w:val="24"/>
        </w:rPr>
        <w:t xml:space="preserve"> 4/20/2016</w:t>
      </w:r>
      <w:r w:rsidR="00DE1C2A">
        <w:rPr>
          <w:rFonts w:ascii="Times New Roman" w:hAnsi="Times New Roman" w:cs="Times New Roman"/>
          <w:sz w:val="24"/>
          <w:szCs w:val="24"/>
        </w:rPr>
        <w:t xml:space="preserve"> (footnotes omitted)</w:t>
      </w:r>
      <w:r w:rsidR="00420176">
        <w:rPr>
          <w:rFonts w:ascii="Times New Roman" w:hAnsi="Times New Roman" w:cs="Times New Roman"/>
          <w:sz w:val="24"/>
          <w:szCs w:val="24"/>
        </w:rPr>
        <w:t xml:space="preserve"> includes the following information.</w:t>
      </w:r>
      <w:r w:rsidR="00DE7F4E">
        <w:rPr>
          <w:rFonts w:ascii="Times New Roman" w:hAnsi="Times New Roman" w:cs="Times New Roman"/>
          <w:sz w:val="24"/>
          <w:szCs w:val="24"/>
        </w:rPr>
        <w:t xml:space="preserve"> </w:t>
      </w:r>
    </w:p>
    <w:p w14:paraId="22F56D4F" w14:textId="77777777" w:rsidR="00DE1C2A" w:rsidRDefault="00DE1C2A" w:rsidP="002A4142">
      <w:pPr>
        <w:spacing w:after="0" w:line="240" w:lineRule="auto"/>
        <w:rPr>
          <w:rFonts w:ascii="Times New Roman" w:hAnsi="Times New Roman" w:cs="Times New Roman"/>
          <w:sz w:val="24"/>
          <w:szCs w:val="24"/>
        </w:rPr>
      </w:pPr>
    </w:p>
    <w:p w14:paraId="068EAEFB" w14:textId="7EB8EEB3" w:rsidR="001A2058" w:rsidRDefault="00420176" w:rsidP="00954D7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1A2058" w:rsidRPr="001A2058">
        <w:t xml:space="preserve"> </w:t>
      </w:r>
      <w:r w:rsidR="001A2058" w:rsidRPr="001A2058">
        <w:rPr>
          <w:rFonts w:ascii="Times New Roman" w:hAnsi="Times New Roman" w:cs="Times New Roman"/>
          <w:sz w:val="24"/>
          <w:szCs w:val="24"/>
        </w:rPr>
        <w:t>NERC’s Proposal reflects revisions developed under Project 2010-14.2.1 Phase 2 of</w:t>
      </w:r>
      <w:r w:rsidR="001A2058">
        <w:rPr>
          <w:rFonts w:ascii="Times New Roman" w:hAnsi="Times New Roman" w:cs="Times New Roman"/>
          <w:sz w:val="24"/>
          <w:szCs w:val="24"/>
        </w:rPr>
        <w:t xml:space="preserve"> </w:t>
      </w:r>
      <w:r w:rsidR="001A2058" w:rsidRPr="001A2058">
        <w:rPr>
          <w:rFonts w:ascii="Times New Roman" w:hAnsi="Times New Roman" w:cs="Times New Roman"/>
          <w:sz w:val="24"/>
          <w:szCs w:val="24"/>
        </w:rPr>
        <w:t>Balancing Authority Reliability-based Controls (“Project”) to clarify, consolidate, streamline,</w:t>
      </w:r>
      <w:r w:rsidR="001A2058">
        <w:rPr>
          <w:rFonts w:ascii="Times New Roman" w:hAnsi="Times New Roman" w:cs="Times New Roman"/>
          <w:sz w:val="24"/>
          <w:szCs w:val="24"/>
        </w:rPr>
        <w:t xml:space="preserve"> </w:t>
      </w:r>
      <w:r w:rsidR="001A2058" w:rsidRPr="001A2058">
        <w:rPr>
          <w:rFonts w:ascii="Times New Roman" w:hAnsi="Times New Roman" w:cs="Times New Roman"/>
          <w:sz w:val="24"/>
          <w:szCs w:val="24"/>
        </w:rPr>
        <w:t>and enhance the Reliability Standards addressing frequency control.</w:t>
      </w:r>
    </w:p>
    <w:p w14:paraId="6D2B096A" w14:textId="2A265C2A" w:rsidR="001A2058" w:rsidRDefault="001A2058" w:rsidP="00954D7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p>
    <w:p w14:paraId="08E81578" w14:textId="2ADB9A11" w:rsidR="00DE7F4E" w:rsidRPr="00DE7F4E" w:rsidRDefault="00DE7F4E" w:rsidP="00954D7E">
      <w:pPr>
        <w:spacing w:after="0" w:line="240" w:lineRule="auto"/>
        <w:ind w:left="720" w:firstLine="720"/>
        <w:rPr>
          <w:rFonts w:ascii="Times New Roman" w:hAnsi="Times New Roman" w:cs="Times New Roman"/>
          <w:sz w:val="24"/>
          <w:szCs w:val="24"/>
        </w:rPr>
      </w:pPr>
      <w:r w:rsidRPr="00DE7F4E">
        <w:rPr>
          <w:rFonts w:ascii="Times New Roman" w:hAnsi="Times New Roman" w:cs="Times New Roman"/>
          <w:sz w:val="24"/>
          <w:szCs w:val="24"/>
        </w:rPr>
        <w:t>Reliable Operation of the Bulk Power System (“BPS”) depends on maintaining frequency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within predefined boundaries approximating 60 Hertz (“Hz”). Frequency is the speed of rotation</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of an Interconnection, measured in cycles per second (or Hz). As a result, multiple NERC</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Reliability Standards, such as currently effective Reliability Standard BAL-005-0.2b, operate</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together to maintain reliable frequency control. The Project standard drafting team (“SDT”)</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proposed revisions to currently effective Reliability Standards BAL-005-0.2b and FAC-001-2,</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modifications to several NERC definitions, and the retirement of Reliability Standard BAL-006-</w:t>
      </w:r>
      <w:r w:rsidRPr="00DE7F4E">
        <w:t xml:space="preserve"> </w:t>
      </w:r>
      <w:r w:rsidRPr="00DE7F4E">
        <w:rPr>
          <w:rFonts w:ascii="Times New Roman" w:hAnsi="Times New Roman" w:cs="Times New Roman"/>
          <w:sz w:val="24"/>
          <w:szCs w:val="24"/>
        </w:rPr>
        <w:t>2, to clarify, consolidate, streamline, and enhance the manner in which NERC Reliability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Standards address certain issues related to frequency control. The SDT developed the proposed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modifications after review of Commission directives, Paragraph 81 Criteria,6 and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recommendations by the periodic review team that examined Reliability Standards BAL-005-</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0.2b and BAL-006-2 in 2013 (“PRT”).</w:t>
      </w:r>
    </w:p>
    <w:p w14:paraId="2F8FA2FC" w14:textId="3EE2344D" w:rsidR="00DE1C2A" w:rsidRPr="00DE1C2A" w:rsidRDefault="00DE7F4E" w:rsidP="00954D7E">
      <w:pPr>
        <w:spacing w:after="0" w:line="240" w:lineRule="auto"/>
        <w:ind w:left="720" w:firstLine="720"/>
        <w:rPr>
          <w:rFonts w:ascii="Times New Roman" w:hAnsi="Times New Roman" w:cs="Times New Roman"/>
          <w:sz w:val="24"/>
          <w:szCs w:val="24"/>
        </w:rPr>
      </w:pPr>
      <w:r w:rsidRPr="00DE7F4E">
        <w:rPr>
          <w:rFonts w:ascii="Times New Roman" w:hAnsi="Times New Roman" w:cs="Times New Roman"/>
          <w:sz w:val="24"/>
          <w:szCs w:val="24"/>
        </w:rPr>
        <w:t>Currently effective Reliability Standard BAL-005-0.2b facilitates efforts to maintain</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frequency at 60 Hz by supporting the accurate and consistent calculation of a key frequency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control and reliability indicator – Reporting Area Control Error (“Reporting ACE”). Reporting</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ACE represents a Balancing Authority Area’s (“BAA”) Area Control Error (“ACE”) measured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in megawatts (“MW”) as the difference between the BAAs Actual and Scheduled Net</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Interchange, plus its Frequency Bias Setting obligation and meter error corrections. Reporting</w:t>
      </w:r>
      <w:r w:rsidR="00DE1C2A" w:rsidRPr="00DE1C2A">
        <w:t xml:space="preserve"> </w:t>
      </w:r>
      <w:r w:rsidR="00DE1C2A" w:rsidRPr="00DE1C2A">
        <w:rPr>
          <w:rFonts w:ascii="Times New Roman" w:hAnsi="Times New Roman" w:cs="Times New Roman"/>
          <w:sz w:val="24"/>
          <w:szCs w:val="24"/>
        </w:rPr>
        <w:t>ACE helps Responsible Entities provide reliable frequency control by indicating the current state</w:t>
      </w:r>
      <w:r w:rsidR="00420176">
        <w:rPr>
          <w:rFonts w:ascii="Times New Roman" w:hAnsi="Times New Roman" w:cs="Times New Roman"/>
          <w:sz w:val="24"/>
          <w:szCs w:val="24"/>
        </w:rPr>
        <w:t xml:space="preserve"> </w:t>
      </w:r>
      <w:r w:rsidR="00DE1C2A" w:rsidRPr="00DE1C2A">
        <w:rPr>
          <w:rFonts w:ascii="Times New Roman" w:hAnsi="Times New Roman" w:cs="Times New Roman"/>
          <w:sz w:val="24"/>
          <w:szCs w:val="24"/>
        </w:rPr>
        <w:t>of the entity’s contribution to Reliability. As such, Reporting ACE is a key input to other</w:t>
      </w:r>
      <w:r w:rsidR="00420176">
        <w:rPr>
          <w:rFonts w:ascii="Times New Roman" w:hAnsi="Times New Roman" w:cs="Times New Roman"/>
          <w:sz w:val="24"/>
          <w:szCs w:val="24"/>
        </w:rPr>
        <w:t xml:space="preserve"> </w:t>
      </w:r>
      <w:r w:rsidR="00DE1C2A" w:rsidRPr="00DE1C2A">
        <w:rPr>
          <w:rFonts w:ascii="Times New Roman" w:hAnsi="Times New Roman" w:cs="Times New Roman"/>
          <w:sz w:val="24"/>
          <w:szCs w:val="24"/>
        </w:rPr>
        <w:t>frequency related Reliability Standards, such as BAL-001 and BAL-002.</w:t>
      </w:r>
    </w:p>
    <w:p w14:paraId="2456A593" w14:textId="06369C5D" w:rsidR="00DE1C2A" w:rsidRPr="00DE1C2A"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Because Reporting ACE is key measure to maintaining frequency at 60 Hz, Responsible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Entities must accurately calculate Reporting ACE using complete and correct data. NERC’s</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Proposal clarifies and refines Requirements for accurate, consistent, and complete Reporting</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ACE calculations. The proposed revisions include relocating Requirements to confirm that</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interconnecting Facilities are within a BAA’s metered boundary, and thereby captured in the</w:t>
      </w:r>
      <w:r>
        <w:rPr>
          <w:rFonts w:ascii="Times New Roman" w:hAnsi="Times New Roman" w:cs="Times New Roman"/>
          <w:sz w:val="24"/>
          <w:szCs w:val="24"/>
        </w:rPr>
        <w:t xml:space="preserve"> </w:t>
      </w:r>
      <w:r w:rsidRPr="00DE1C2A">
        <w:rPr>
          <w:rFonts w:ascii="Times New Roman" w:hAnsi="Times New Roman" w:cs="Times New Roman"/>
          <w:sz w:val="24"/>
          <w:szCs w:val="24"/>
        </w:rPr>
        <w:t>Reporting ACE calculation, into Reliability Standard FAC-001-3. Similarly, NERC’s Proposal</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includes moving Requirement R3 of currently effective Reliability Standard BAL-006-2 into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proposed Reliability Standard BAL-005-1, as this Requirement helps ensure that BAs will use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consistent data sources to calculate Reporting ACE. To support these improvements 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Reporting ACE calculations, NERC’s Proposal would also revise the following definitions:</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Actual Frequency, Actual Net Interchange, Scheduled Net Interchange, Interchange Meter Error,</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Automatic Time Error Correction, Reporting ACE, Automatic Generation Control (“AGC”),</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Pseudo-Tie, and Balancing Authority.</w:t>
      </w:r>
    </w:p>
    <w:p w14:paraId="2435189D" w14:textId="5E47C3ED" w:rsidR="00DE1C2A" w:rsidRPr="00DE1C2A"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NERC’s Proposal would also retire ineffective or duplicative Requirements that do not</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affect reliability (such as commercial calculations). For example, NERC proposes retiring the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remaining Requirements in Reliability Standard BAL-006-2, as they pertain to administrative or</w:t>
      </w:r>
      <w:r w:rsidRPr="00DE1C2A">
        <w:t xml:space="preserve"> </w:t>
      </w:r>
      <w:r w:rsidRPr="00DE1C2A">
        <w:rPr>
          <w:rFonts w:ascii="Times New Roman" w:hAnsi="Times New Roman" w:cs="Times New Roman"/>
          <w:sz w:val="24"/>
          <w:szCs w:val="24"/>
        </w:rPr>
        <w:t>commercial obligations such as the calculation of Inadvertent Interchange. The SDT prepared a</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White Paper regarding Inadvertent Interchange accumulations and their associated paybacks 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explain inadvertent interchange calculations. Based on this White Paper, the SDT developed an</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Inadvertent Interchange Guideline to help ensure a seamless transition to the proposed integrated</w:t>
      </w:r>
      <w:r w:rsidR="00EB206D">
        <w:rPr>
          <w:rFonts w:ascii="Times New Roman" w:hAnsi="Times New Roman" w:cs="Times New Roman"/>
          <w:sz w:val="24"/>
          <w:szCs w:val="24"/>
        </w:rPr>
        <w:t xml:space="preserve"> </w:t>
      </w:r>
      <w:r w:rsidRPr="00DE1C2A">
        <w:rPr>
          <w:rFonts w:ascii="Times New Roman" w:hAnsi="Times New Roman" w:cs="Times New Roman"/>
          <w:sz w:val="24"/>
          <w:szCs w:val="24"/>
        </w:rPr>
        <w:t>Reliability Standards. The Operating Committee (“OC”) is currently reviewing the draft</w:t>
      </w:r>
      <w:r w:rsidR="00EB206D">
        <w:rPr>
          <w:rFonts w:ascii="Times New Roman" w:hAnsi="Times New Roman" w:cs="Times New Roman"/>
          <w:sz w:val="24"/>
          <w:szCs w:val="24"/>
        </w:rPr>
        <w:t xml:space="preserve"> </w:t>
      </w:r>
      <w:r w:rsidRPr="00DE1C2A">
        <w:rPr>
          <w:rFonts w:ascii="Times New Roman" w:hAnsi="Times New Roman" w:cs="Times New Roman"/>
          <w:sz w:val="24"/>
          <w:szCs w:val="24"/>
        </w:rPr>
        <w:t>Inadvertent Interchange Guideline.</w:t>
      </w:r>
    </w:p>
    <w:p w14:paraId="65E20D5B" w14:textId="1DD2D090" w:rsidR="00DE7F4E"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Together, these revisions and enhancements will improve reliability by supporting efforts</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to maintain Interconnection frequency at 60 Hz in a manner consistent with Commission</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directives, technological developments, and NERC’s current framework of integrated Reliability</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Standards.</w:t>
      </w:r>
      <w:r w:rsidR="00420176">
        <w:rPr>
          <w:rFonts w:ascii="Times New Roman" w:hAnsi="Times New Roman" w:cs="Times New Roman"/>
          <w:sz w:val="24"/>
          <w:szCs w:val="24"/>
        </w:rPr>
        <w:t>”</w:t>
      </w:r>
    </w:p>
    <w:p w14:paraId="0FD0029F" w14:textId="77777777" w:rsidR="00DE1C2A" w:rsidRDefault="00DE1C2A" w:rsidP="002A4142">
      <w:pPr>
        <w:spacing w:after="0" w:line="240" w:lineRule="auto"/>
        <w:rPr>
          <w:rFonts w:ascii="Times New Roman" w:hAnsi="Times New Roman" w:cs="Times New Roman"/>
          <w:sz w:val="24"/>
          <w:szCs w:val="24"/>
        </w:rPr>
      </w:pPr>
    </w:p>
    <w:p w14:paraId="37270E87" w14:textId="77777777" w:rsidR="00DE1C2A" w:rsidRDefault="00DE1C2A" w:rsidP="002A4142">
      <w:pPr>
        <w:spacing w:after="0" w:line="240" w:lineRule="auto"/>
        <w:rPr>
          <w:rFonts w:ascii="Times New Roman" w:hAnsi="Times New Roman" w:cs="Times New Roman"/>
          <w:sz w:val="24"/>
          <w:szCs w:val="24"/>
        </w:rPr>
      </w:pPr>
    </w:p>
    <w:p w14:paraId="2EDAA22A" w14:textId="74DEE1E1" w:rsidR="00C4205B" w:rsidRDefault="00B51BB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Pursuant to section 215 of the Federal Power Act (FPA),</w:t>
      </w:r>
      <w:r w:rsidRPr="00B51BB8">
        <w:rPr>
          <w:rFonts w:ascii="Times New Roman" w:hAnsi="Times New Roman" w:cs="Times New Roman"/>
          <w:b/>
          <w:sz w:val="24"/>
          <w:szCs w:val="24"/>
          <w:vertAlign w:val="superscript"/>
        </w:rPr>
        <w:footnoteReference w:id="4"/>
      </w:r>
      <w:r w:rsidRPr="00B51BB8">
        <w:rPr>
          <w:rFonts w:ascii="Times New Roman" w:hAnsi="Times New Roman" w:cs="Times New Roman"/>
          <w:sz w:val="24"/>
          <w:szCs w:val="24"/>
        </w:rPr>
        <w:t xml:space="preserve"> </w:t>
      </w:r>
      <w:r w:rsidR="0076316B">
        <w:rPr>
          <w:rFonts w:ascii="Times New Roman" w:hAnsi="Times New Roman" w:cs="Times New Roman"/>
          <w:sz w:val="24"/>
          <w:szCs w:val="24"/>
        </w:rPr>
        <w:t>in Order 836,</w:t>
      </w:r>
      <w:r w:rsidR="0076316B" w:rsidRPr="00954D7E">
        <w:rPr>
          <w:rStyle w:val="FootnoteReference"/>
          <w:rFonts w:ascii="Times New Roman" w:hAnsi="Times New Roman" w:cs="Times New Roman"/>
          <w:sz w:val="24"/>
          <w:szCs w:val="24"/>
          <w:vertAlign w:val="superscript"/>
        </w:rPr>
        <w:footnoteReference w:id="5"/>
      </w:r>
      <w:r w:rsidR="0076316B" w:rsidRPr="00954D7E">
        <w:rPr>
          <w:rFonts w:ascii="Times New Roman" w:hAnsi="Times New Roman" w:cs="Times New Roman"/>
          <w:sz w:val="24"/>
          <w:szCs w:val="24"/>
          <w:vertAlign w:val="superscript"/>
        </w:rPr>
        <w:t xml:space="preserve"> </w:t>
      </w:r>
      <w:r w:rsidRPr="00B51BB8">
        <w:rPr>
          <w:rFonts w:ascii="Times New Roman" w:hAnsi="Times New Roman" w:cs="Times New Roman"/>
          <w:sz w:val="24"/>
          <w:szCs w:val="24"/>
        </w:rPr>
        <w:t xml:space="preserve">the Commission approves Reliability Standards BAL-005-1 (Balancing Authority Control) and FAC-001-3 (Facility Interconnection Requirements), submitted by the North American Electric Reliability Corporation (NERC), as well as the retirement of Reliability Standards BAL-005-0.2b (Automatic Generation Control), FAC-001-2 (Facility Interconnection Requirements), and BAL-006-2 (Inadvertent Interchange).  The Commission also approves the associated implementation plans, violation risk factors, and violation severity levels for Reliability Standards BAL-005-1 and FAC-001-3.  Finally, the Commission approves three revised definitions for the </w:t>
      </w:r>
      <w:r w:rsidR="00C114F4" w:rsidRPr="00C114F4">
        <w:rPr>
          <w:rFonts w:ascii="Times New Roman" w:hAnsi="Times New Roman" w:cs="Times New Roman"/>
          <w:sz w:val="24"/>
          <w:szCs w:val="24"/>
        </w:rPr>
        <w:t>NERC Glossary of Terms</w:t>
      </w:r>
      <w:r w:rsidR="004C334C">
        <w:rPr>
          <w:rFonts w:ascii="Times New Roman" w:hAnsi="Times New Roman" w:cs="Times New Roman"/>
          <w:sz w:val="24"/>
          <w:szCs w:val="24"/>
          <w:vertAlign w:val="superscript"/>
        </w:rPr>
        <w:t xml:space="preserve"> </w:t>
      </w:r>
      <w:r w:rsidRPr="00B51BB8">
        <w:rPr>
          <w:rFonts w:ascii="Times New Roman" w:hAnsi="Times New Roman" w:cs="Times New Roman"/>
          <w:sz w:val="24"/>
          <w:szCs w:val="24"/>
        </w:rPr>
        <w:t>used i</w:t>
      </w:r>
      <w:r w:rsidR="00C114F4">
        <w:rPr>
          <w:rFonts w:ascii="Times New Roman" w:hAnsi="Times New Roman" w:cs="Times New Roman"/>
          <w:sz w:val="24"/>
          <w:szCs w:val="24"/>
        </w:rPr>
        <w:t>n NERC’s Reliability Standards.</w:t>
      </w:r>
    </w:p>
    <w:p w14:paraId="148C0266" w14:textId="77777777" w:rsidR="00DF1C8D" w:rsidRDefault="00DF1C8D" w:rsidP="002A4142">
      <w:pPr>
        <w:spacing w:after="0" w:line="240" w:lineRule="auto"/>
        <w:rPr>
          <w:rFonts w:ascii="Times New Roman" w:hAnsi="Times New Roman" w:cs="Times New Roman"/>
          <w:sz w:val="24"/>
          <w:szCs w:val="24"/>
        </w:rPr>
      </w:pPr>
    </w:p>
    <w:p w14:paraId="5A44AE10" w14:textId="77777777" w:rsidR="00DF1C8D" w:rsidRPr="00DF1C8D" w:rsidRDefault="00DF1C8D" w:rsidP="00DF1C8D">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DF1C8D">
        <w:rPr>
          <w:rFonts w:ascii="Times New Roman" w:hAnsi="Times New Roman" w:cs="Times New Roman"/>
          <w:sz w:val="24"/>
          <w:szCs w:val="24"/>
        </w:rPr>
        <w:t xml:space="preserve"> revised Reliability Standards will enhance the reliability of the Bulk-Power System, as further described below, and the record-keeping and reporting requirements associated with those standards allow for oversight and enforcement of the revised Reliability Standards. </w:t>
      </w:r>
    </w:p>
    <w:p w14:paraId="1AED8803" w14:textId="77777777" w:rsidR="00B51BB8" w:rsidRPr="00B51BB8" w:rsidRDefault="00B51BB8" w:rsidP="002A4142">
      <w:pPr>
        <w:spacing w:after="0" w:line="240" w:lineRule="auto"/>
        <w:rPr>
          <w:rFonts w:ascii="Times New Roman" w:hAnsi="Times New Roman" w:cs="Times New Roman"/>
          <w:sz w:val="24"/>
          <w:szCs w:val="24"/>
        </w:rPr>
      </w:pPr>
    </w:p>
    <w:p w14:paraId="2587A55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FDEFB08"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0851487D" w14:textId="103D1003" w:rsidR="00391060" w:rsidRDefault="00797852" w:rsidP="002A4142">
      <w:pPr>
        <w:spacing w:after="0" w:line="240" w:lineRule="auto"/>
        <w:rPr>
          <w:rFonts w:ascii="Times New Roman" w:hAnsi="Times New Roman" w:cs="Times New Roman"/>
          <w:sz w:val="24"/>
          <w:szCs w:val="24"/>
        </w:rPr>
      </w:pPr>
      <w:r>
        <w:rPr>
          <w:rFonts w:ascii="Times New Roman" w:hAnsi="Times New Roman" w:cs="Times New Roman"/>
          <w:b/>
          <w:sz w:val="24"/>
          <w:szCs w:val="24"/>
        </w:rPr>
        <w:t>FERC-725R</w:t>
      </w:r>
      <w:r w:rsidR="00DF1C8D" w:rsidRPr="00DF1C8D">
        <w:rPr>
          <w:rFonts w:ascii="Times New Roman" w:hAnsi="Times New Roman" w:cs="Times New Roman"/>
          <w:b/>
          <w:sz w:val="24"/>
          <w:szCs w:val="24"/>
        </w:rPr>
        <w:t xml:space="preserve"> and FERC-725D.  </w:t>
      </w:r>
      <w:r w:rsidR="00DF1C8D" w:rsidRPr="00DF1C8D">
        <w:rPr>
          <w:rFonts w:ascii="Times New Roman" w:hAnsi="Times New Roman" w:cs="Times New Roman"/>
          <w:sz w:val="24"/>
          <w:szCs w:val="24"/>
        </w:rPr>
        <w:t>Reliability Standards BAL-005-1 (</w:t>
      </w:r>
      <w:r>
        <w:rPr>
          <w:rFonts w:ascii="Times New Roman" w:hAnsi="Times New Roman" w:cs="Times New Roman"/>
          <w:sz w:val="24"/>
          <w:szCs w:val="24"/>
        </w:rPr>
        <w:t>FERC-725R</w:t>
      </w:r>
      <w:r w:rsidR="00DF1C8D" w:rsidRPr="00DF1C8D">
        <w:rPr>
          <w:rFonts w:ascii="Times New Roman" w:hAnsi="Times New Roman" w:cs="Times New Roman"/>
          <w:sz w:val="24"/>
          <w:szCs w:val="24"/>
        </w:rPr>
        <w:t xml:space="preserve">) and FAC-001-3 (FERC-725D) will enhance the reliability of the Bulk-Power System, as compared to currently-effective Reliability Standards BAL-005-0.2b and FAC-001-2, by clarifying and consolidating existing requirements related to </w:t>
      </w:r>
      <w:r w:rsidR="00DF1C8D">
        <w:rPr>
          <w:rFonts w:ascii="Times New Roman" w:hAnsi="Times New Roman" w:cs="Times New Roman"/>
          <w:sz w:val="24"/>
          <w:szCs w:val="24"/>
        </w:rPr>
        <w:t>frequency control.  The</w:t>
      </w:r>
      <w:r w:rsidR="00DF1C8D" w:rsidRPr="00DF1C8D">
        <w:rPr>
          <w:rFonts w:ascii="Times New Roman" w:hAnsi="Times New Roman" w:cs="Times New Roman"/>
          <w:sz w:val="24"/>
          <w:szCs w:val="24"/>
        </w:rPr>
        <w:t xml:space="preserve"> Reliability Standards support more accurate and comprehensive calculation of Reporting Area Control Error (ACE) by requiring timely reporting of an inability to calculate Reporting ACE and by requiring balancing</w:t>
      </w:r>
      <w:r w:rsidR="00C114F4">
        <w:rPr>
          <w:rFonts w:ascii="Times New Roman" w:hAnsi="Times New Roman" w:cs="Times New Roman"/>
          <w:sz w:val="24"/>
          <w:szCs w:val="24"/>
        </w:rPr>
        <w:t xml:space="preserve"> </w:t>
      </w:r>
      <w:r w:rsidR="00DF1C8D" w:rsidRPr="00DF1C8D">
        <w:rPr>
          <w:rFonts w:ascii="Times New Roman" w:hAnsi="Times New Roman" w:cs="Times New Roman"/>
          <w:sz w:val="24"/>
          <w:szCs w:val="24"/>
        </w:rPr>
        <w:t>authorities to maintain minimum levels of annual availability of 99.5</w:t>
      </w:r>
      <w:r w:rsidR="00C114F4">
        <w:rPr>
          <w:rFonts w:ascii="Times New Roman" w:hAnsi="Times New Roman" w:cs="Times New Roman"/>
          <w:sz w:val="24"/>
          <w:szCs w:val="24"/>
        </w:rPr>
        <w:t>% for each balancing authority</w:t>
      </w:r>
      <w:r w:rsidR="00DF1C8D" w:rsidRPr="00DF1C8D">
        <w:rPr>
          <w:rFonts w:ascii="Times New Roman" w:hAnsi="Times New Roman" w:cs="Times New Roman"/>
          <w:sz w:val="24"/>
          <w:szCs w:val="24"/>
        </w:rPr>
        <w:t xml:space="preserve"> system for calculating Reporting ACE.</w:t>
      </w:r>
      <w:r w:rsidR="00DF1C8D" w:rsidRPr="00DF1C8D">
        <w:rPr>
          <w:rFonts w:ascii="Times New Roman" w:hAnsi="Times New Roman" w:cs="Times New Roman"/>
          <w:b/>
          <w:sz w:val="24"/>
          <w:szCs w:val="24"/>
          <w:vertAlign w:val="superscript"/>
        </w:rPr>
        <w:footnoteReference w:id="6"/>
      </w:r>
    </w:p>
    <w:p w14:paraId="31568A13" w14:textId="77777777" w:rsidR="008B5C52" w:rsidRDefault="008B5C52" w:rsidP="002A4142">
      <w:pPr>
        <w:spacing w:after="0" w:line="240" w:lineRule="auto"/>
        <w:rPr>
          <w:rFonts w:ascii="Times New Roman" w:hAnsi="Times New Roman" w:cs="Times New Roman"/>
          <w:sz w:val="24"/>
          <w:szCs w:val="24"/>
        </w:rPr>
      </w:pPr>
    </w:p>
    <w:p w14:paraId="5FFBCA40" w14:textId="12AC315B" w:rsidR="008B5C52" w:rsidRDefault="008B5C52" w:rsidP="002A4142">
      <w:pPr>
        <w:spacing w:after="0" w:line="240" w:lineRule="auto"/>
        <w:rPr>
          <w:rFonts w:ascii="Times New Roman" w:hAnsi="Times New Roman" w:cs="Times New Roman"/>
          <w:sz w:val="24"/>
          <w:szCs w:val="24"/>
        </w:rPr>
      </w:pPr>
      <w:r w:rsidRPr="008B5C52">
        <w:rPr>
          <w:rFonts w:ascii="Times New Roman" w:hAnsi="Times New Roman" w:cs="Times New Roman"/>
          <w:b/>
          <w:sz w:val="24"/>
          <w:szCs w:val="24"/>
        </w:rPr>
        <w:t>FERC-725A</w:t>
      </w:r>
      <w:r>
        <w:rPr>
          <w:rFonts w:ascii="Times New Roman" w:hAnsi="Times New Roman" w:cs="Times New Roman"/>
          <w:sz w:val="24"/>
          <w:szCs w:val="24"/>
        </w:rPr>
        <w:t xml:space="preserve">: </w:t>
      </w:r>
      <w:r w:rsidRPr="00DF1C8D">
        <w:rPr>
          <w:rFonts w:ascii="Times New Roman" w:hAnsi="Times New Roman" w:cs="Times New Roman"/>
          <w:sz w:val="24"/>
          <w:szCs w:val="24"/>
        </w:rPr>
        <w:t xml:space="preserve">The </w:t>
      </w:r>
      <w:r w:rsidR="00FC6722" w:rsidRPr="00B51BB8">
        <w:rPr>
          <w:rFonts w:ascii="Times New Roman" w:hAnsi="Times New Roman" w:cs="Times New Roman"/>
          <w:sz w:val="24"/>
          <w:szCs w:val="24"/>
        </w:rPr>
        <w:t xml:space="preserve">BAL-005-0.2b </w:t>
      </w:r>
      <w:r w:rsidR="00FC6722">
        <w:rPr>
          <w:rFonts w:ascii="Times New Roman" w:hAnsi="Times New Roman" w:cs="Times New Roman"/>
          <w:sz w:val="24"/>
          <w:szCs w:val="24"/>
        </w:rPr>
        <w:t>Reliability Standard</w:t>
      </w:r>
      <w:r w:rsidRPr="00DF1C8D">
        <w:rPr>
          <w:rFonts w:ascii="Times New Roman" w:hAnsi="Times New Roman" w:cs="Times New Roman"/>
          <w:sz w:val="24"/>
          <w:szCs w:val="24"/>
        </w:rPr>
        <w:t xml:space="preserve"> being retired is being removed.</w:t>
      </w:r>
    </w:p>
    <w:p w14:paraId="598AE0CD" w14:textId="77777777" w:rsidR="00DF1C8D" w:rsidRPr="00B51BB8" w:rsidRDefault="00DF1C8D" w:rsidP="002A4142">
      <w:pPr>
        <w:spacing w:after="0" w:line="240" w:lineRule="auto"/>
        <w:rPr>
          <w:rFonts w:ascii="Times New Roman" w:hAnsi="Times New Roman" w:cs="Times New Roman"/>
          <w:sz w:val="24"/>
          <w:szCs w:val="24"/>
        </w:rPr>
      </w:pPr>
    </w:p>
    <w:p w14:paraId="3FDEF35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672AF6E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764FA827" w14:textId="77777777"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68F2DA00" w14:textId="77777777" w:rsidR="00042D80" w:rsidRPr="00B51BB8" w:rsidRDefault="00042D80" w:rsidP="002A4142">
      <w:pPr>
        <w:spacing w:after="0" w:line="240" w:lineRule="auto"/>
        <w:rPr>
          <w:rFonts w:ascii="Times New Roman" w:hAnsi="Times New Roman" w:cs="Times New Roman"/>
          <w:b/>
          <w:bCs/>
          <w:sz w:val="24"/>
          <w:szCs w:val="24"/>
        </w:rPr>
      </w:pPr>
    </w:p>
    <w:p w14:paraId="47A2195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30B27180" w14:textId="77777777" w:rsidR="00C4205B" w:rsidRPr="00B51BB8" w:rsidRDefault="00C4205B" w:rsidP="002A4142">
      <w:pPr>
        <w:spacing w:after="0" w:line="240" w:lineRule="auto"/>
        <w:rPr>
          <w:rFonts w:ascii="Times New Roman" w:hAnsi="Times New Roman" w:cs="Times New Roman"/>
          <w:sz w:val="24"/>
          <w:szCs w:val="24"/>
        </w:rPr>
      </w:pPr>
    </w:p>
    <w:p w14:paraId="48B90800" w14:textId="2A1D8A05"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DF1C8D">
        <w:rPr>
          <w:rFonts w:ascii="Times New Roman" w:hAnsi="Times New Roman" w:cs="Times New Roman"/>
          <w:b/>
          <w:sz w:val="24"/>
          <w:szCs w:val="24"/>
        </w:rPr>
        <w:t xml:space="preserve">. </w:t>
      </w: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14:paraId="7D74D34B" w14:textId="77777777" w:rsidR="00DF1C8D" w:rsidRPr="00DF1C8D" w:rsidRDefault="00DF1C8D" w:rsidP="00DF1C8D">
      <w:pPr>
        <w:spacing w:after="0" w:line="240" w:lineRule="auto"/>
        <w:rPr>
          <w:rFonts w:ascii="Times New Roman" w:hAnsi="Times New Roman" w:cs="Times New Roman"/>
          <w:sz w:val="24"/>
          <w:szCs w:val="24"/>
        </w:rPr>
      </w:pPr>
    </w:p>
    <w:p w14:paraId="05DAE8A6" w14:textId="72EE306B"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FERC-725A.</w:t>
      </w:r>
      <w:r w:rsidRPr="00DF1C8D">
        <w:rPr>
          <w:rFonts w:ascii="Times New Roman" w:hAnsi="Times New Roman" w:cs="Times New Roman"/>
          <w:sz w:val="24"/>
          <w:szCs w:val="24"/>
        </w:rPr>
        <w:t xml:space="preserve">   The </w:t>
      </w:r>
      <w:r w:rsidR="00FC6722" w:rsidRPr="00B51BB8">
        <w:rPr>
          <w:rFonts w:ascii="Times New Roman" w:hAnsi="Times New Roman" w:cs="Times New Roman"/>
          <w:sz w:val="24"/>
          <w:szCs w:val="24"/>
        </w:rPr>
        <w:t xml:space="preserve">BAL-005-0.2b </w:t>
      </w:r>
      <w:r w:rsidR="00FC6722">
        <w:rPr>
          <w:rFonts w:ascii="Times New Roman" w:hAnsi="Times New Roman" w:cs="Times New Roman"/>
          <w:sz w:val="24"/>
          <w:szCs w:val="24"/>
        </w:rPr>
        <w:t>Reliability Standard</w:t>
      </w:r>
      <w:r w:rsidRPr="00DF1C8D">
        <w:rPr>
          <w:rFonts w:ascii="Times New Roman" w:hAnsi="Times New Roman" w:cs="Times New Roman"/>
          <w:sz w:val="24"/>
          <w:szCs w:val="24"/>
        </w:rPr>
        <w:t xml:space="preserve"> being retired is being removed.</w:t>
      </w:r>
    </w:p>
    <w:p w14:paraId="3A1BDA48" w14:textId="77777777" w:rsidR="00F64A6F" w:rsidRPr="00B51BB8" w:rsidRDefault="00F64A6F" w:rsidP="002A4142">
      <w:pPr>
        <w:spacing w:after="0" w:line="240" w:lineRule="auto"/>
        <w:rPr>
          <w:rFonts w:ascii="Times New Roman" w:hAnsi="Times New Roman" w:cs="Times New Roman"/>
          <w:sz w:val="24"/>
          <w:szCs w:val="24"/>
        </w:rPr>
      </w:pPr>
    </w:p>
    <w:p w14:paraId="5991DBEA"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BAE7F17" w14:textId="77777777" w:rsidR="00C4205B" w:rsidRPr="00B51BB8" w:rsidRDefault="00C4205B" w:rsidP="002A4142">
      <w:pPr>
        <w:spacing w:after="0" w:line="240" w:lineRule="auto"/>
        <w:rPr>
          <w:rFonts w:ascii="Times New Roman" w:hAnsi="Times New Roman" w:cs="Times New Roman"/>
          <w:b/>
          <w:bCs/>
          <w:sz w:val="24"/>
          <w:szCs w:val="24"/>
        </w:rPr>
      </w:pPr>
    </w:p>
    <w:p w14:paraId="004E8275" w14:textId="7DC52FF2" w:rsidR="00DF1C8D" w:rsidRPr="00DF1C8D"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
          <w:bCs/>
          <w:sz w:val="24"/>
          <w:szCs w:val="24"/>
        </w:rPr>
        <w:t>FERC-725D</w:t>
      </w:r>
      <w:r w:rsidRPr="00DF1C8D">
        <w:rPr>
          <w:rFonts w:ascii="Times New Roman" w:hAnsi="Times New Roman" w:cs="Times New Roman"/>
          <w:bCs/>
          <w:sz w:val="24"/>
          <w:szCs w:val="24"/>
        </w:rPr>
        <w:t>. The Commission estimates a very limited, one-time</w:t>
      </w:r>
      <w:r w:rsidR="00D30BDF">
        <w:rPr>
          <w:rStyle w:val="FootnoteReference"/>
          <w:rFonts w:ascii="Times New Roman" w:hAnsi="Times New Roman" w:cs="Times New Roman"/>
          <w:bCs/>
          <w:sz w:val="24"/>
          <w:szCs w:val="24"/>
        </w:rPr>
        <w:footnoteReference w:id="7"/>
      </w:r>
      <w:r w:rsidRPr="00DF1C8D">
        <w:rPr>
          <w:rFonts w:ascii="Times New Roman" w:hAnsi="Times New Roman" w:cs="Times New Roman"/>
          <w:bCs/>
          <w:sz w:val="24"/>
          <w:szCs w:val="24"/>
        </w:rPr>
        <w:t xml:space="preserve"> increase in record-keeping and reporting burden on balancing authorities due to the changes in the revised Reliability Standards, with no other increase in the cost of compliance (when compared with the current standards).  Approximately 24 of the </w:t>
      </w:r>
      <w:r w:rsidR="00F11DCD">
        <w:rPr>
          <w:rFonts w:ascii="Times New Roman" w:hAnsi="Times New Roman" w:cs="Times New Roman"/>
          <w:bCs/>
          <w:sz w:val="24"/>
          <w:szCs w:val="24"/>
        </w:rPr>
        <w:t>99</w:t>
      </w:r>
      <w:r w:rsidR="00F11DCD" w:rsidRPr="00DF1C8D">
        <w:rPr>
          <w:rFonts w:ascii="Times New Roman" w:hAnsi="Times New Roman" w:cs="Times New Roman"/>
          <w:bCs/>
          <w:sz w:val="24"/>
          <w:szCs w:val="24"/>
        </w:rPr>
        <w:t xml:space="preserve"> </w:t>
      </w:r>
      <w:r w:rsidRPr="00DF1C8D">
        <w:rPr>
          <w:rFonts w:ascii="Times New Roman" w:hAnsi="Times New Roman" w:cs="Times New Roman"/>
          <w:bCs/>
          <w:sz w:val="24"/>
          <w:szCs w:val="24"/>
        </w:rPr>
        <w:t>balancing authorities are expected to meet the SBA’s definition for a small entity.  In addition, approximately 1</w:t>
      </w:r>
      <w:r w:rsidR="00F11DCD">
        <w:rPr>
          <w:rFonts w:ascii="Times New Roman" w:hAnsi="Times New Roman" w:cs="Times New Roman"/>
          <w:bCs/>
          <w:sz w:val="24"/>
          <w:szCs w:val="24"/>
        </w:rPr>
        <w:t>61</w:t>
      </w:r>
      <w:r w:rsidRPr="00DF1C8D">
        <w:rPr>
          <w:rFonts w:ascii="Times New Roman" w:hAnsi="Times New Roman" w:cs="Times New Roman"/>
          <w:bCs/>
          <w:sz w:val="24"/>
          <w:szCs w:val="24"/>
        </w:rPr>
        <w:t xml:space="preserve"> entities will be subject to new record-keeping and reporting requirements under revised Reliability Standard FAC-001-3, with no other increase in the cost of compliance.  </w:t>
      </w:r>
      <w:r w:rsidR="00F11DCD" w:rsidRPr="00F11DCD">
        <w:rPr>
          <w:rFonts w:ascii="Times New Roman" w:hAnsi="Times New Roman" w:cs="Times New Roman"/>
          <w:bCs/>
          <w:sz w:val="24"/>
          <w:szCs w:val="24"/>
        </w:rPr>
        <w:t>Even assuming that the one-time cost of compliance for administering the change from Reliability Standard BAL-005-0.2b to BAL-005-1 is an annual cost, and assuming that all of the entities affected by the revisions to both BAL-005 and FAC-001 qualify as small entities, the estimated total annual cost to the industry as a whole is minimal ($19,055.90), and the average cost per affected entity is $118.36</w:t>
      </w:r>
      <w:r w:rsidR="00F11DCD">
        <w:rPr>
          <w:rFonts w:ascii="Times New Roman" w:hAnsi="Times New Roman" w:cs="Times New Roman"/>
          <w:bCs/>
          <w:sz w:val="24"/>
          <w:szCs w:val="24"/>
        </w:rPr>
        <w:t xml:space="preserve"> (P53 of the final rule)</w:t>
      </w:r>
      <w:r w:rsidR="00F11DCD" w:rsidRPr="00F11DCD">
        <w:rPr>
          <w:rFonts w:ascii="Times New Roman" w:hAnsi="Times New Roman" w:cs="Times New Roman"/>
          <w:bCs/>
          <w:sz w:val="24"/>
          <w:szCs w:val="24"/>
        </w:rPr>
        <w:t>.</w:t>
      </w:r>
    </w:p>
    <w:p w14:paraId="5EEF6199" w14:textId="77777777" w:rsidR="00DF1C8D" w:rsidRPr="00DF1C8D" w:rsidRDefault="00DF1C8D" w:rsidP="00DF1C8D">
      <w:pPr>
        <w:spacing w:after="0" w:line="240" w:lineRule="auto"/>
        <w:rPr>
          <w:rFonts w:ascii="Times New Roman" w:hAnsi="Times New Roman" w:cs="Times New Roman"/>
          <w:bCs/>
          <w:sz w:val="24"/>
          <w:szCs w:val="24"/>
        </w:rPr>
      </w:pPr>
    </w:p>
    <w:p w14:paraId="20801309" w14:textId="44E3A720" w:rsidR="00DF1C8D" w:rsidRPr="00DF1C8D" w:rsidRDefault="00797852" w:rsidP="00DF1C8D">
      <w:pPr>
        <w:spacing w:after="0" w:line="240" w:lineRule="auto"/>
        <w:rPr>
          <w:rFonts w:ascii="Times New Roman" w:hAnsi="Times New Roman" w:cs="Times New Roman"/>
          <w:bCs/>
          <w:sz w:val="24"/>
          <w:szCs w:val="24"/>
        </w:rPr>
      </w:pPr>
      <w:r>
        <w:rPr>
          <w:rFonts w:ascii="Times New Roman" w:hAnsi="Times New Roman" w:cs="Times New Roman"/>
          <w:b/>
          <w:bCs/>
          <w:sz w:val="24"/>
          <w:szCs w:val="24"/>
        </w:rPr>
        <w:t>FERC-725R</w:t>
      </w:r>
      <w:r w:rsidR="00DF1C8D" w:rsidRPr="00DF1C8D">
        <w:rPr>
          <w:rFonts w:ascii="Times New Roman" w:hAnsi="Times New Roman" w:cs="Times New Roman"/>
          <w:bCs/>
          <w:sz w:val="24"/>
          <w:szCs w:val="24"/>
        </w:rPr>
        <w:t>. The total one-time cost to the industry as a whole is minimal ($</w:t>
      </w:r>
      <w:r w:rsidR="00F11DCD">
        <w:rPr>
          <w:rFonts w:ascii="Times New Roman" w:hAnsi="Times New Roman" w:cs="Times New Roman"/>
          <w:bCs/>
          <w:sz w:val="24"/>
          <w:szCs w:val="24"/>
        </w:rPr>
        <w:t>6</w:t>
      </w:r>
      <w:r w:rsidR="00DF1C8D" w:rsidRPr="00DF1C8D">
        <w:rPr>
          <w:rFonts w:ascii="Times New Roman" w:hAnsi="Times New Roman" w:cs="Times New Roman"/>
          <w:bCs/>
          <w:sz w:val="24"/>
          <w:szCs w:val="24"/>
        </w:rPr>
        <w:t>,</w:t>
      </w:r>
      <w:r w:rsidR="00F11DCD">
        <w:rPr>
          <w:rFonts w:ascii="Times New Roman" w:hAnsi="Times New Roman" w:cs="Times New Roman"/>
          <w:bCs/>
          <w:sz w:val="24"/>
          <w:szCs w:val="24"/>
        </w:rPr>
        <w:t>364</w:t>
      </w:r>
      <w:r w:rsidR="00DF1C8D" w:rsidRPr="00DF1C8D">
        <w:rPr>
          <w:rFonts w:ascii="Times New Roman" w:hAnsi="Times New Roman" w:cs="Times New Roman"/>
          <w:bCs/>
          <w:sz w:val="24"/>
          <w:szCs w:val="24"/>
        </w:rPr>
        <w:t>.7</w:t>
      </w:r>
      <w:r w:rsidR="00F11DCD">
        <w:rPr>
          <w:rFonts w:ascii="Times New Roman" w:hAnsi="Times New Roman" w:cs="Times New Roman"/>
          <w:bCs/>
          <w:sz w:val="24"/>
          <w:szCs w:val="24"/>
        </w:rPr>
        <w:t>1</w:t>
      </w:r>
      <w:r w:rsidR="00DF1C8D" w:rsidRPr="00DF1C8D">
        <w:rPr>
          <w:rFonts w:ascii="Times New Roman" w:hAnsi="Times New Roman" w:cs="Times New Roman"/>
          <w:bCs/>
          <w:sz w:val="24"/>
          <w:szCs w:val="24"/>
        </w:rPr>
        <w:t>).</w:t>
      </w:r>
    </w:p>
    <w:p w14:paraId="6C670A12" w14:textId="77777777" w:rsidR="00DF1C8D" w:rsidRPr="00DF1C8D"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According to SBA guidance, the determination of significance of impact “should be seen as relative to the size of the business, the size of the competitor’s business, and the impact the regulation has on larger competitors.”</w:t>
      </w:r>
      <w:r w:rsidRPr="00DF1C8D">
        <w:rPr>
          <w:rFonts w:ascii="Times New Roman" w:hAnsi="Times New Roman" w:cs="Times New Roman"/>
          <w:b/>
          <w:bCs/>
          <w:sz w:val="24"/>
          <w:szCs w:val="24"/>
          <w:vertAlign w:val="superscript"/>
        </w:rPr>
        <w:footnoteReference w:id="8"/>
      </w:r>
      <w:r w:rsidRPr="00DF1C8D">
        <w:rPr>
          <w:rFonts w:ascii="Times New Roman" w:hAnsi="Times New Roman" w:cs="Times New Roman"/>
          <w:bCs/>
          <w:sz w:val="24"/>
          <w:szCs w:val="24"/>
        </w:rPr>
        <w:t xml:space="preserve">  The Commission does not consider the estimated burden to be a significant economic impact.  A</w:t>
      </w:r>
      <w:r w:rsidR="009C0D97">
        <w:rPr>
          <w:rFonts w:ascii="Times New Roman" w:hAnsi="Times New Roman" w:cs="Times New Roman"/>
          <w:bCs/>
          <w:sz w:val="24"/>
          <w:szCs w:val="24"/>
        </w:rPr>
        <w:t>s a result, the reforms in this Final Rule will</w:t>
      </w:r>
      <w:r w:rsidRPr="00DF1C8D">
        <w:rPr>
          <w:rFonts w:ascii="Times New Roman" w:hAnsi="Times New Roman" w:cs="Times New Roman"/>
          <w:bCs/>
          <w:sz w:val="24"/>
          <w:szCs w:val="24"/>
        </w:rPr>
        <w:t xml:space="preserve"> not have a significant economic impact on a substantial number of small entities.</w:t>
      </w:r>
    </w:p>
    <w:p w14:paraId="47FA5185" w14:textId="77777777" w:rsidR="00DF1C8D" w:rsidRPr="00DF1C8D" w:rsidRDefault="00DF1C8D" w:rsidP="00DF1C8D">
      <w:pPr>
        <w:spacing w:after="0" w:line="240" w:lineRule="auto"/>
        <w:rPr>
          <w:rFonts w:ascii="Times New Roman" w:hAnsi="Times New Roman" w:cs="Times New Roman"/>
          <w:bCs/>
          <w:sz w:val="24"/>
          <w:szCs w:val="24"/>
        </w:rPr>
      </w:pPr>
    </w:p>
    <w:p w14:paraId="69163441" w14:textId="77777777" w:rsidR="006C0F0B"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
          <w:bCs/>
          <w:sz w:val="24"/>
          <w:szCs w:val="24"/>
        </w:rPr>
        <w:t xml:space="preserve">FERC-725A.  </w:t>
      </w:r>
      <w:r w:rsidRPr="00DF1C8D">
        <w:rPr>
          <w:rFonts w:ascii="Times New Roman" w:hAnsi="Times New Roman" w:cs="Times New Roman"/>
          <w:bCs/>
          <w:sz w:val="24"/>
          <w:szCs w:val="24"/>
        </w:rPr>
        <w:t>The burden is being reduced to reflect retirement of the associated standard</w:t>
      </w:r>
      <w:r w:rsidR="009C0D97">
        <w:rPr>
          <w:rFonts w:ascii="Times New Roman" w:hAnsi="Times New Roman" w:cs="Times New Roman"/>
          <w:bCs/>
          <w:sz w:val="24"/>
          <w:szCs w:val="24"/>
        </w:rPr>
        <w:t>.</w:t>
      </w:r>
    </w:p>
    <w:p w14:paraId="13DF92C2" w14:textId="77777777" w:rsidR="00DF1C8D" w:rsidRPr="00B51BB8" w:rsidRDefault="00DF1C8D" w:rsidP="00DF1C8D">
      <w:pPr>
        <w:spacing w:after="0" w:line="240" w:lineRule="auto"/>
        <w:rPr>
          <w:rFonts w:ascii="Times New Roman" w:hAnsi="Times New Roman" w:cs="Times New Roman"/>
          <w:bCs/>
          <w:sz w:val="24"/>
          <w:szCs w:val="24"/>
        </w:rPr>
      </w:pPr>
    </w:p>
    <w:p w14:paraId="030DDA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4587C2F3"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044EB3EF" w14:textId="4F3D0BDA" w:rsidR="003C19D0"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DF1C8D">
        <w:rPr>
          <w:rFonts w:ascii="Times New Roman" w:hAnsi="Times New Roman" w:cs="Times New Roman"/>
          <w:sz w:val="24"/>
          <w:szCs w:val="24"/>
        </w:rPr>
        <w:t xml:space="preserve">. The collections focus on enhancing the reliability of the Bulk-Power System clarifying and consolidating existing requirements related to frequency control. </w:t>
      </w:r>
      <w:r>
        <w:rPr>
          <w:rFonts w:ascii="Times New Roman" w:hAnsi="Times New Roman" w:cs="Times New Roman"/>
          <w:sz w:val="24"/>
          <w:szCs w:val="24"/>
        </w:rPr>
        <w:t>The</w:t>
      </w:r>
      <w:r w:rsidRPr="00DF1C8D">
        <w:rPr>
          <w:rFonts w:ascii="Times New Roman" w:hAnsi="Times New Roman" w:cs="Times New Roman"/>
          <w:sz w:val="24"/>
          <w:szCs w:val="24"/>
        </w:rPr>
        <w:t xml:space="preserve"> Reliability Standards support more accurate and comprehensive calculation of Reporting Area Control Error (ACE) by requiring timely reporting of an inability to calculate Reporting ACE and by requiring balancing authorities to maintain minimum levels of annual availability of 99.5% for each balancing authority’s system for calculating Reporting ACE.  Any reduction in frequency of the information collection may diminish the ability of NERC, or Regional Entities, to ensure that applicable entities maintain frequency control</w:t>
      </w:r>
      <w:r w:rsidR="0035608B" w:rsidRPr="00B51BB8">
        <w:rPr>
          <w:rFonts w:ascii="Times New Roman" w:hAnsi="Times New Roman" w:cs="Times New Roman"/>
          <w:sz w:val="24"/>
          <w:szCs w:val="24"/>
        </w:rPr>
        <w:t>.</w:t>
      </w:r>
    </w:p>
    <w:p w14:paraId="5A597F29" w14:textId="77777777" w:rsidR="006C0F0B" w:rsidRPr="00B51BB8" w:rsidRDefault="006C0F0B" w:rsidP="002A4142">
      <w:pPr>
        <w:spacing w:after="0" w:line="240" w:lineRule="auto"/>
        <w:rPr>
          <w:rFonts w:ascii="Times New Roman" w:hAnsi="Times New Roman" w:cs="Times New Roman"/>
          <w:sz w:val="24"/>
          <w:szCs w:val="24"/>
        </w:rPr>
      </w:pPr>
    </w:p>
    <w:p w14:paraId="36702F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08DEC30C" w14:textId="77777777" w:rsidR="00C4205B" w:rsidRPr="00B51BB8" w:rsidRDefault="00C4205B" w:rsidP="002A4142">
      <w:pPr>
        <w:spacing w:after="0" w:line="240" w:lineRule="auto"/>
        <w:rPr>
          <w:rFonts w:ascii="Times New Roman" w:hAnsi="Times New Roman" w:cs="Times New Roman"/>
          <w:b/>
          <w:bCs/>
          <w:sz w:val="24"/>
          <w:szCs w:val="24"/>
        </w:rPr>
      </w:pPr>
    </w:p>
    <w:p w14:paraId="64ED5B41" w14:textId="3BA10514" w:rsidR="00115F24" w:rsidRDefault="00CB0831" w:rsidP="002A4142">
      <w:pPr>
        <w:spacing w:after="0" w:line="240" w:lineRule="auto"/>
        <w:rPr>
          <w:rFonts w:ascii="Times New Roman" w:eastAsia="Calibri" w:hAnsi="Times New Roman" w:cs="Times New Roman"/>
          <w:sz w:val="24"/>
          <w:szCs w:val="24"/>
        </w:rPr>
      </w:pPr>
      <w:r w:rsidRPr="00CB0831">
        <w:rPr>
          <w:rFonts w:ascii="Times New Roman" w:eastAsia="Calibri" w:hAnsi="Times New Roman" w:cs="Times New Roman"/>
          <w:b/>
          <w:sz w:val="24"/>
          <w:szCs w:val="24"/>
        </w:rPr>
        <w:t xml:space="preserve">FERC-725D </w:t>
      </w:r>
      <w:r w:rsidRPr="00CB0831">
        <w:rPr>
          <w:rFonts w:ascii="Times New Roman" w:eastAsia="Calibri" w:hAnsi="Times New Roman" w:cs="Times New Roman"/>
          <w:sz w:val="24"/>
          <w:szCs w:val="24"/>
        </w:rPr>
        <w:t xml:space="preserve">and </w:t>
      </w:r>
      <w:r w:rsidR="00797852">
        <w:rPr>
          <w:rFonts w:ascii="Times New Roman" w:eastAsia="Calibri" w:hAnsi="Times New Roman" w:cs="Times New Roman"/>
          <w:b/>
          <w:sz w:val="24"/>
          <w:szCs w:val="24"/>
        </w:rPr>
        <w:t>FERC-725R</w:t>
      </w:r>
      <w:r w:rsidRPr="00CB0831">
        <w:rPr>
          <w:rFonts w:ascii="Times New Roman" w:eastAsia="Calibri" w:hAnsi="Times New Roman" w:cs="Times New Roman"/>
          <w:sz w:val="24"/>
          <w:szCs w:val="24"/>
        </w:rPr>
        <w:t xml:space="preserve"> have no special circumstances.  </w:t>
      </w:r>
    </w:p>
    <w:p w14:paraId="00D2B9CA" w14:textId="77777777" w:rsidR="00C4205B" w:rsidRPr="00CB0831" w:rsidRDefault="00CB0831" w:rsidP="002A4142">
      <w:pPr>
        <w:spacing w:after="0" w:line="240" w:lineRule="auto"/>
        <w:rPr>
          <w:rFonts w:ascii="Times New Roman" w:hAnsi="Times New Roman" w:cs="Times New Roman"/>
          <w:sz w:val="24"/>
          <w:szCs w:val="24"/>
        </w:rPr>
      </w:pPr>
      <w:r w:rsidRPr="00CB0831">
        <w:rPr>
          <w:rFonts w:ascii="Times New Roman" w:eastAsia="Calibri" w:hAnsi="Times New Roman" w:cs="Times New Roman"/>
          <w:b/>
          <w:sz w:val="24"/>
          <w:szCs w:val="24"/>
        </w:rPr>
        <w:t>FERC-725A</w:t>
      </w:r>
      <w:r w:rsidRPr="00CB0831">
        <w:rPr>
          <w:rFonts w:ascii="Times New Roman" w:eastAsia="Calibri" w:hAnsi="Times New Roman" w:cs="Times New Roman"/>
          <w:sz w:val="24"/>
          <w:szCs w:val="24"/>
        </w:rPr>
        <w:t xml:space="preserve"> is a reduction due to retirement of a standard</w:t>
      </w:r>
      <w:r w:rsidRPr="00CB0831">
        <w:rPr>
          <w:rFonts w:ascii="Times New Roman" w:hAnsi="Times New Roman" w:cs="Times New Roman"/>
          <w:sz w:val="24"/>
          <w:szCs w:val="24"/>
        </w:rPr>
        <w:t>.</w:t>
      </w:r>
    </w:p>
    <w:p w14:paraId="2F2E2073" w14:textId="77777777" w:rsidR="006C0F0B" w:rsidRPr="00B51BB8" w:rsidRDefault="006C0F0B" w:rsidP="002A4142">
      <w:pPr>
        <w:spacing w:after="0" w:line="240" w:lineRule="auto"/>
        <w:rPr>
          <w:rFonts w:ascii="Times New Roman" w:hAnsi="Times New Roman" w:cs="Times New Roman"/>
          <w:sz w:val="24"/>
          <w:szCs w:val="24"/>
        </w:rPr>
      </w:pPr>
    </w:p>
    <w:p w14:paraId="179F99B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60D9FBAE" w14:textId="77777777" w:rsidR="00C4205B" w:rsidRPr="00B51BB8" w:rsidRDefault="00C4205B" w:rsidP="002A4142">
      <w:pPr>
        <w:spacing w:after="0" w:line="240" w:lineRule="auto"/>
        <w:rPr>
          <w:rFonts w:ascii="Times New Roman" w:hAnsi="Times New Roman" w:cs="Times New Roman"/>
          <w:b/>
          <w:bCs/>
          <w:sz w:val="24"/>
          <w:szCs w:val="24"/>
        </w:rPr>
      </w:pPr>
    </w:p>
    <w:p w14:paraId="259928C1" w14:textId="7C5D239E"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551C1043" w14:textId="3FF884B7" w:rsidR="001755B4" w:rsidRPr="00B51BB8" w:rsidRDefault="001755B4" w:rsidP="002A4142">
      <w:pPr>
        <w:spacing w:after="0" w:line="240" w:lineRule="auto"/>
        <w:rPr>
          <w:rFonts w:ascii="Times New Roman" w:hAnsi="Times New Roman" w:cs="Times New Roman"/>
          <w:sz w:val="24"/>
          <w:szCs w:val="24"/>
        </w:rPr>
      </w:pPr>
      <w:r>
        <w:rPr>
          <w:rFonts w:ascii="Times New Roman" w:hAnsi="Times New Roman" w:cs="Times New Roman"/>
          <w:bCs/>
          <w:sz w:val="24"/>
          <w:szCs w:val="24"/>
        </w:rPr>
        <w:t>None of the comments received in response to the RM16-13 NOPR pertained to paperwork burden.</w:t>
      </w:r>
    </w:p>
    <w:p w14:paraId="7FBD2A82" w14:textId="77777777" w:rsidR="00543FCE" w:rsidRPr="00B51BB8" w:rsidRDefault="00543FCE" w:rsidP="002A4142">
      <w:pPr>
        <w:spacing w:after="0" w:line="240" w:lineRule="auto"/>
        <w:rPr>
          <w:rFonts w:ascii="Times New Roman" w:hAnsi="Times New Roman" w:cs="Times New Roman"/>
          <w:sz w:val="24"/>
          <w:szCs w:val="24"/>
        </w:rPr>
      </w:pPr>
    </w:p>
    <w:p w14:paraId="1714B87D" w14:textId="366A782F" w:rsidR="00543FCE" w:rsidRPr="00B51BB8" w:rsidRDefault="00543FCE"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Final Rule </w:t>
      </w:r>
      <w:r w:rsidR="00732818">
        <w:rPr>
          <w:rFonts w:ascii="Times New Roman" w:hAnsi="Times New Roman" w:cs="Times New Roman"/>
          <w:sz w:val="24"/>
          <w:szCs w:val="24"/>
        </w:rPr>
        <w:t xml:space="preserve">was </w:t>
      </w:r>
      <w:r w:rsidRPr="00B51BB8">
        <w:rPr>
          <w:rFonts w:ascii="Times New Roman" w:hAnsi="Times New Roman" w:cs="Times New Roman"/>
          <w:sz w:val="24"/>
          <w:szCs w:val="24"/>
        </w:rPr>
        <w:t>published 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00115F24" w:rsidRPr="006524CA">
        <w:rPr>
          <w:rFonts w:ascii="Times New Roman" w:hAnsi="Times New Roman" w:cs="Times New Roman"/>
          <w:sz w:val="24"/>
          <w:szCs w:val="24"/>
        </w:rPr>
        <w:t>on 9/2</w:t>
      </w:r>
      <w:r w:rsidR="00FC30A2" w:rsidRPr="006524CA">
        <w:rPr>
          <w:rFonts w:ascii="Times New Roman" w:hAnsi="Times New Roman" w:cs="Times New Roman"/>
          <w:sz w:val="24"/>
          <w:szCs w:val="24"/>
        </w:rPr>
        <w:t>6</w:t>
      </w:r>
      <w:r w:rsidR="00CB0831" w:rsidRPr="006524CA">
        <w:rPr>
          <w:rFonts w:ascii="Times New Roman" w:hAnsi="Times New Roman" w:cs="Times New Roman"/>
          <w:sz w:val="24"/>
          <w:szCs w:val="24"/>
        </w:rPr>
        <w:t>/2017</w:t>
      </w:r>
      <w:r w:rsidRPr="006524CA">
        <w:rPr>
          <w:rFonts w:ascii="Times New Roman" w:hAnsi="Times New Roman" w:cs="Times New Roman"/>
          <w:sz w:val="24"/>
          <w:szCs w:val="24"/>
        </w:rPr>
        <w:t>.</w:t>
      </w:r>
    </w:p>
    <w:p w14:paraId="10F63F3F" w14:textId="77777777" w:rsidR="006C0F0B" w:rsidRPr="00B51BB8" w:rsidRDefault="006C0F0B" w:rsidP="002A4142">
      <w:pPr>
        <w:spacing w:after="0" w:line="240" w:lineRule="auto"/>
        <w:ind w:firstLine="360"/>
        <w:rPr>
          <w:rFonts w:ascii="Times New Roman" w:hAnsi="Times New Roman" w:cs="Times New Roman"/>
          <w:sz w:val="24"/>
          <w:szCs w:val="24"/>
        </w:rPr>
      </w:pPr>
    </w:p>
    <w:p w14:paraId="51E51154" w14:textId="77777777" w:rsidR="00C4205B" w:rsidRPr="00B51BB8"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5BD69B41" w14:textId="77777777" w:rsidR="00C4205B" w:rsidRPr="00B51BB8" w:rsidRDefault="00C4205B" w:rsidP="00F26A37">
      <w:pPr>
        <w:spacing w:after="0" w:line="240" w:lineRule="auto"/>
        <w:rPr>
          <w:rFonts w:ascii="Times New Roman" w:hAnsi="Times New Roman" w:cs="Times New Roman"/>
          <w:b/>
          <w:bCs/>
          <w:sz w:val="24"/>
          <w:szCs w:val="24"/>
        </w:rPr>
      </w:pPr>
    </w:p>
    <w:p w14:paraId="530F015A"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01B3B363" w14:textId="77777777" w:rsidR="00391060" w:rsidRPr="00B51BB8" w:rsidRDefault="00391060" w:rsidP="00F26A37">
      <w:pPr>
        <w:spacing w:after="0" w:line="240" w:lineRule="auto"/>
        <w:rPr>
          <w:rFonts w:ascii="Times New Roman" w:hAnsi="Times New Roman" w:cs="Times New Roman"/>
          <w:sz w:val="24"/>
          <w:szCs w:val="24"/>
        </w:rPr>
      </w:pPr>
    </w:p>
    <w:p w14:paraId="65F5A0B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1B22D4AA" w14:textId="77777777" w:rsidR="00C4205B" w:rsidRPr="00B51BB8" w:rsidRDefault="00C4205B" w:rsidP="00F26A37">
      <w:pPr>
        <w:spacing w:after="0" w:line="240" w:lineRule="auto"/>
        <w:rPr>
          <w:rFonts w:ascii="Times New Roman" w:hAnsi="Times New Roman" w:cs="Times New Roman"/>
          <w:b/>
          <w:bCs/>
          <w:sz w:val="24"/>
          <w:szCs w:val="24"/>
        </w:rPr>
      </w:pPr>
    </w:p>
    <w:p w14:paraId="22453BE0"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9"/>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516CA1A"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66543D75" w14:textId="77777777" w:rsidR="00C4205B" w:rsidRPr="00B51BB8" w:rsidRDefault="00C4205B" w:rsidP="002A4142">
      <w:pPr>
        <w:spacing w:after="0" w:line="240" w:lineRule="auto"/>
        <w:ind w:firstLine="720"/>
        <w:rPr>
          <w:rFonts w:ascii="Times New Roman" w:hAnsi="Times New Roman" w:cs="Times New Roman"/>
          <w:sz w:val="24"/>
          <w:szCs w:val="24"/>
        </w:rPr>
      </w:pPr>
    </w:p>
    <w:p w14:paraId="48C68E91" w14:textId="77777777" w:rsidR="00C4205B" w:rsidRDefault="00C4205B" w:rsidP="002A4142">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04581B15"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4313B644" w14:textId="57CEA9EC" w:rsidR="003C19D0" w:rsidRPr="00115F24" w:rsidRDefault="00503BD5" w:rsidP="002A4142">
      <w:pPr>
        <w:spacing w:line="240" w:lineRule="auto"/>
        <w:rPr>
          <w:rFonts w:ascii="Times New Roman" w:hAnsi="Times New Roman" w:cs="Times New Roman"/>
          <w:sz w:val="24"/>
          <w:szCs w:val="24"/>
        </w:rPr>
      </w:pPr>
      <w:r>
        <w:rPr>
          <w:rFonts w:ascii="Times New Roman" w:hAnsi="Times New Roman" w:cs="Times New Roman"/>
          <w:sz w:val="24"/>
          <w:szCs w:val="24"/>
        </w:rPr>
        <w:t>These</w:t>
      </w:r>
      <w:r w:rsidR="00F14924" w:rsidRPr="00B51BB8">
        <w:rPr>
          <w:rFonts w:ascii="Times New Roman" w:hAnsi="Times New Roman" w:cs="Times New Roman"/>
          <w:sz w:val="24"/>
          <w:szCs w:val="24"/>
        </w:rPr>
        <w:t xml:space="preserve"> collection</w:t>
      </w:r>
      <w:r>
        <w:rPr>
          <w:rFonts w:ascii="Times New Roman" w:hAnsi="Times New Roman" w:cs="Times New Roman"/>
          <w:sz w:val="24"/>
          <w:szCs w:val="24"/>
        </w:rPr>
        <w:t>s</w:t>
      </w:r>
      <w:r w:rsidR="00F14924" w:rsidRPr="00B51BB8">
        <w:rPr>
          <w:rFonts w:ascii="Times New Roman" w:hAnsi="Times New Roman" w:cs="Times New Roman"/>
          <w:sz w:val="24"/>
          <w:szCs w:val="24"/>
        </w:rPr>
        <w:t xml:space="preserve"> do not contain any qu</w:t>
      </w:r>
      <w:r w:rsidR="00115F24">
        <w:rPr>
          <w:rFonts w:ascii="Times New Roman" w:hAnsi="Times New Roman" w:cs="Times New Roman"/>
          <w:sz w:val="24"/>
          <w:szCs w:val="24"/>
        </w:rPr>
        <w:t>estions of a sensitive nature.</w:t>
      </w:r>
    </w:p>
    <w:p w14:paraId="66442D0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6080A668"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427CD273" w14:textId="74F16793"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CB0831">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CB0831">
        <w:rPr>
          <w:rFonts w:ascii="Times New Roman" w:hAnsi="Times New Roman" w:cs="Times New Roman"/>
          <w:b/>
          <w:sz w:val="24"/>
          <w:szCs w:val="24"/>
        </w:rPr>
        <w:t xml:space="preserve">. </w:t>
      </w:r>
      <w:r>
        <w:rPr>
          <w:rFonts w:ascii="Times New Roman" w:hAnsi="Times New Roman" w:cs="Times New Roman"/>
          <w:sz w:val="24"/>
          <w:szCs w:val="24"/>
        </w:rPr>
        <w:t>NERC’s</w:t>
      </w:r>
      <w:r w:rsidRPr="00CB0831">
        <w:rPr>
          <w:rFonts w:ascii="Times New Roman" w:hAnsi="Times New Roman" w:cs="Times New Roman"/>
          <w:sz w:val="24"/>
          <w:szCs w:val="24"/>
        </w:rPr>
        <w:t xml:space="preserve"> revisions to Reliability Standards BAL-005 (</w:t>
      </w:r>
      <w:r w:rsidR="00797852">
        <w:rPr>
          <w:rFonts w:ascii="Times New Roman" w:hAnsi="Times New Roman" w:cs="Times New Roman"/>
          <w:sz w:val="24"/>
          <w:szCs w:val="24"/>
        </w:rPr>
        <w:t>FERC-725R</w:t>
      </w:r>
      <w:r w:rsidRPr="00CB0831">
        <w:rPr>
          <w:rFonts w:ascii="Times New Roman" w:hAnsi="Times New Roman" w:cs="Times New Roman"/>
          <w:sz w:val="24"/>
          <w:szCs w:val="24"/>
        </w:rPr>
        <w:t xml:space="preserve">) and FAC-001 (FERC-725D) will not result in an ongoing increase in the record-keeping and reporting requirements imposed on balancing authorities, other than the one-time cost of administering the change to the revised standard (in </w:t>
      </w:r>
      <w:r w:rsidR="00797852">
        <w:rPr>
          <w:rFonts w:ascii="Times New Roman" w:hAnsi="Times New Roman" w:cs="Times New Roman"/>
          <w:sz w:val="24"/>
          <w:szCs w:val="24"/>
        </w:rPr>
        <w:t>FERC-725R</w:t>
      </w:r>
      <w:r w:rsidRPr="00CB0831">
        <w:rPr>
          <w:rFonts w:ascii="Times New Roman" w:hAnsi="Times New Roman" w:cs="Times New Roman"/>
          <w:sz w:val="24"/>
          <w:szCs w:val="24"/>
        </w:rPr>
        <w:t xml:space="preserve">).  All other recordkeeping and reporting obligations imposed on balancing authorities under the revised requirements essentially track those that already exist under currently-effective Reliability Standards BAL-005-0.2b and FAC-001-2.  </w:t>
      </w:r>
    </w:p>
    <w:p w14:paraId="49A26A7B"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76DBCF51"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CB0831">
        <w:rPr>
          <w:rFonts w:ascii="Times New Roman" w:hAnsi="Times New Roman" w:cs="Times New Roman"/>
          <w:b/>
          <w:sz w:val="24"/>
          <w:szCs w:val="24"/>
        </w:rPr>
        <w:t xml:space="preserve">FERC-725D.  </w:t>
      </w:r>
      <w:r>
        <w:rPr>
          <w:rFonts w:ascii="Times New Roman" w:hAnsi="Times New Roman" w:cs="Times New Roman"/>
          <w:sz w:val="24"/>
          <w:szCs w:val="24"/>
        </w:rPr>
        <w:t>The</w:t>
      </w:r>
      <w:r w:rsidRPr="00CB0831">
        <w:rPr>
          <w:rFonts w:ascii="Times New Roman" w:hAnsi="Times New Roman" w:cs="Times New Roman"/>
          <w:sz w:val="24"/>
          <w:szCs w:val="24"/>
        </w:rPr>
        <w:t xml:space="preserve"> revisions in FAC-001-3 will result in a limited increase in the record-keeping and reporting requirements imposed on those transmission owners and generator owners that are not also transmission operators and generator operators (about 1</w:t>
      </w:r>
      <w:r w:rsidR="009508FC">
        <w:rPr>
          <w:rFonts w:ascii="Times New Roman" w:hAnsi="Times New Roman" w:cs="Times New Roman"/>
          <w:sz w:val="24"/>
          <w:szCs w:val="24"/>
        </w:rPr>
        <w:t>61</w:t>
      </w:r>
      <w:r w:rsidRPr="00CB0831">
        <w:rPr>
          <w:rFonts w:ascii="Times New Roman" w:hAnsi="Times New Roman" w:cs="Times New Roman"/>
          <w:sz w:val="24"/>
          <w:szCs w:val="24"/>
        </w:rPr>
        <w:t xml:space="preserve"> entities in the United States), as shown in the chart below.</w:t>
      </w:r>
      <w:r w:rsidRPr="00CB0831">
        <w:rPr>
          <w:rFonts w:ascii="Times New Roman" w:hAnsi="Times New Roman" w:cs="Times New Roman"/>
          <w:b/>
          <w:sz w:val="24"/>
          <w:szCs w:val="24"/>
          <w:vertAlign w:val="superscript"/>
        </w:rPr>
        <w:footnoteReference w:id="10"/>
      </w:r>
      <w:r w:rsidRPr="00CB0831">
        <w:rPr>
          <w:rFonts w:ascii="Times New Roman" w:hAnsi="Times New Roman" w:cs="Times New Roman"/>
          <w:sz w:val="24"/>
          <w:szCs w:val="24"/>
        </w:rPr>
        <w:t xml:space="preserve">  </w:t>
      </w:r>
    </w:p>
    <w:p w14:paraId="69AD4013"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367FF73D" w14:textId="35504CDE" w:rsidR="00503BD5" w:rsidRDefault="00CB0831" w:rsidP="00CB0831">
      <w:pPr>
        <w:pStyle w:val="FERCparanumber"/>
        <w:numPr>
          <w:ilvl w:val="0"/>
          <w:numId w:val="0"/>
        </w:numPr>
        <w:tabs>
          <w:tab w:val="left" w:pos="720"/>
        </w:tabs>
        <w:rPr>
          <w:rFonts w:ascii="Times New Roman" w:hAnsi="Times New Roman" w:cs="Times New Roman"/>
        </w:rPr>
      </w:pPr>
      <w:r w:rsidRPr="00CB0831">
        <w:rPr>
          <w:rFonts w:ascii="Times New Roman" w:hAnsi="Times New Roman" w:cs="Times New Roman"/>
        </w:rPr>
        <w:t>The estimated changes to the burden and cost for FERC-725A, -725R</w:t>
      </w:r>
      <w:r>
        <w:rPr>
          <w:rFonts w:ascii="Times New Roman" w:hAnsi="Times New Roman" w:cs="Times New Roman"/>
        </w:rPr>
        <w:t>, and -725D due to the modifications in the Final Rule</w:t>
      </w:r>
      <w:r w:rsidRPr="00CB0831">
        <w:rPr>
          <w:rFonts w:ascii="Times New Roman" w:hAnsi="Times New Roman" w:cs="Times New Roman"/>
        </w:rPr>
        <w:t xml:space="preserve"> in RM16-13 follow</w:t>
      </w:r>
      <w:r w:rsidR="00503BD5">
        <w:rPr>
          <w:rFonts w:ascii="Times New Roman" w:hAnsi="Times New Roman" w:cs="Times New Roman"/>
        </w:rPr>
        <w:t>:</w:t>
      </w:r>
    </w:p>
    <w:p w14:paraId="663CACEF" w14:textId="77777777" w:rsidR="00FC11BA" w:rsidRPr="00503BD5" w:rsidRDefault="00FC11BA" w:rsidP="00503BD5"/>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625"/>
        <w:gridCol w:w="1620"/>
        <w:gridCol w:w="1440"/>
        <w:gridCol w:w="1260"/>
        <w:gridCol w:w="1440"/>
      </w:tblGrid>
      <w:tr w:rsidR="00115F24" w:rsidRPr="00CB0831" w14:paraId="511F2611" w14:textId="77777777" w:rsidTr="00115F24">
        <w:trPr>
          <w:cantSplit/>
          <w:trHeight w:val="58"/>
          <w:tblHeader/>
        </w:trPr>
        <w:tc>
          <w:tcPr>
            <w:tcW w:w="9923" w:type="dxa"/>
            <w:gridSpan w:val="6"/>
            <w:shd w:val="clear" w:color="auto" w:fill="D9D9D9" w:themeFill="background1" w:themeFillShade="D9"/>
            <w:vAlign w:val="bottom"/>
          </w:tcPr>
          <w:p w14:paraId="40C33B7E" w14:textId="0EB72D7E" w:rsidR="00115F24" w:rsidRDefault="00115F24" w:rsidP="00115F24">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FERC-725A (Mandatory Reliability Standards for the Bulk-Power System)</w:t>
            </w:r>
            <w:r w:rsidR="00A74A0E">
              <w:rPr>
                <w:rFonts w:ascii="Times New Roman" w:hAnsi="Times New Roman" w:cs="Times New Roman"/>
                <w:b/>
                <w:sz w:val="24"/>
                <w:szCs w:val="24"/>
              </w:rPr>
              <w:t>,</w:t>
            </w:r>
          </w:p>
          <w:p w14:paraId="1CCE357B" w14:textId="24748B60" w:rsidR="00115F24" w:rsidRDefault="00115F24" w:rsidP="00115F24">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w:t>
            </w:r>
            <w:r w:rsidRPr="00B51BB8">
              <w:rPr>
                <w:rFonts w:ascii="Times New Roman" w:hAnsi="Times New Roman" w:cs="Times New Roman"/>
                <w:b/>
                <w:sz w:val="24"/>
                <w:szCs w:val="24"/>
              </w:rPr>
              <w:t>D (Mandatory Reliability Standards:  FAC Reliability Standards)</w:t>
            </w:r>
            <w:r w:rsidR="00A74A0E">
              <w:rPr>
                <w:rFonts w:ascii="Times New Roman" w:hAnsi="Times New Roman" w:cs="Times New Roman"/>
                <w:b/>
                <w:sz w:val="24"/>
                <w:szCs w:val="24"/>
              </w:rPr>
              <w:t>, and</w:t>
            </w:r>
          </w:p>
          <w:p w14:paraId="2DE667F5" w14:textId="5B2DF109" w:rsidR="00115F24" w:rsidRPr="00B51BB8" w:rsidRDefault="00797852" w:rsidP="00115F24">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00115F24" w:rsidRPr="00B51BB8">
              <w:rPr>
                <w:rFonts w:ascii="Times New Roman" w:hAnsi="Times New Roman" w:cs="Times New Roman"/>
                <w:b/>
                <w:sz w:val="24"/>
                <w:szCs w:val="24"/>
              </w:rPr>
              <w:t xml:space="preserve"> (Mandatory Reliability Standards: BAL Reliability Standards)</w:t>
            </w:r>
            <w:r w:rsidR="00A74A0E">
              <w:rPr>
                <w:rFonts w:ascii="Times New Roman" w:hAnsi="Times New Roman" w:cs="Times New Roman"/>
                <w:b/>
                <w:sz w:val="24"/>
                <w:szCs w:val="24"/>
              </w:rPr>
              <w:t>,</w:t>
            </w:r>
          </w:p>
          <w:p w14:paraId="7B2EE549" w14:textId="77777777" w:rsidR="00115F24" w:rsidRPr="00CB0831" w:rsidRDefault="00115F24" w:rsidP="00115F24">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B51BB8">
              <w:rPr>
                <w:rFonts w:ascii="Times New Roman" w:hAnsi="Times New Roman" w:cs="Times New Roman"/>
                <w:b/>
                <w:sz w:val="24"/>
                <w:szCs w:val="24"/>
              </w:rPr>
              <w:t>as modified by the Final Rule in Docket RM16-13</w:t>
            </w:r>
          </w:p>
        </w:tc>
      </w:tr>
      <w:tr w:rsidR="00CB0831" w:rsidRPr="00CB0831" w14:paraId="1707F647" w14:textId="77777777" w:rsidTr="00FC6722">
        <w:trPr>
          <w:cantSplit/>
          <w:trHeight w:val="1601"/>
          <w:tblHeader/>
        </w:trPr>
        <w:tc>
          <w:tcPr>
            <w:tcW w:w="2538" w:type="dxa"/>
            <w:shd w:val="clear" w:color="auto" w:fill="D9D9D9" w:themeFill="background1" w:themeFillShade="D9"/>
            <w:vAlign w:val="bottom"/>
          </w:tcPr>
          <w:p w14:paraId="33044074" w14:textId="77777777" w:rsidR="00CB0831" w:rsidRPr="00CB0831" w:rsidRDefault="00CB0831" w:rsidP="00C55457">
            <w:pPr>
              <w:keepNext/>
              <w:keepLines/>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625" w:type="dxa"/>
            <w:shd w:val="clear" w:color="auto" w:fill="D9D9D9" w:themeFill="background1" w:themeFillShade="D9"/>
            <w:vAlign w:val="center"/>
          </w:tcPr>
          <w:p w14:paraId="452979A8" w14:textId="77777777" w:rsidR="00CB0831" w:rsidRPr="00CB0831" w:rsidRDefault="00CB0831" w:rsidP="005368DE">
            <w:pPr>
              <w:keepNext/>
              <w:widowControl w:val="0"/>
              <w:autoSpaceDE w:val="0"/>
              <w:autoSpaceDN w:val="0"/>
              <w:adjustRightInd w:val="0"/>
              <w:spacing w:after="120" w:line="240" w:lineRule="auto"/>
              <w:ind w:left="-108"/>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and Type of Respondents</w:t>
            </w:r>
            <w:r w:rsidR="005368DE" w:rsidRPr="005368DE">
              <w:rPr>
                <w:rStyle w:val="FootnoteReference"/>
                <w:rFonts w:ascii="Times New Roman" w:eastAsia="Times New Roman" w:hAnsi="Times New Roman" w:cs="Times New Roman"/>
                <w:b/>
                <w:sz w:val="24"/>
                <w:szCs w:val="24"/>
                <w:vertAlign w:val="superscript"/>
              </w:rPr>
              <w:footnoteReference w:id="11"/>
            </w:r>
          </w:p>
        </w:tc>
        <w:tc>
          <w:tcPr>
            <w:tcW w:w="1620" w:type="dxa"/>
            <w:shd w:val="clear" w:color="auto" w:fill="D9D9D9" w:themeFill="background1" w:themeFillShade="D9"/>
            <w:vAlign w:val="center"/>
          </w:tcPr>
          <w:p w14:paraId="632D01DD"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of Responses per Respondent</w:t>
            </w:r>
          </w:p>
        </w:tc>
        <w:tc>
          <w:tcPr>
            <w:tcW w:w="1440" w:type="dxa"/>
            <w:shd w:val="clear" w:color="auto" w:fill="D9D9D9" w:themeFill="background1" w:themeFillShade="D9"/>
            <w:vAlign w:val="center"/>
          </w:tcPr>
          <w:p w14:paraId="50AD6156"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Total Number of Responses</w:t>
            </w:r>
          </w:p>
        </w:tc>
        <w:tc>
          <w:tcPr>
            <w:tcW w:w="1260" w:type="dxa"/>
            <w:shd w:val="clear" w:color="auto" w:fill="D9D9D9" w:themeFill="background1" w:themeFillShade="D9"/>
            <w:vAlign w:val="center"/>
          </w:tcPr>
          <w:p w14:paraId="267C0938"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Average Burden Hours &amp; Cost per Response</w:t>
            </w:r>
          </w:p>
        </w:tc>
        <w:tc>
          <w:tcPr>
            <w:tcW w:w="1440" w:type="dxa"/>
            <w:shd w:val="clear" w:color="auto" w:fill="D9D9D9" w:themeFill="background1" w:themeFillShade="D9"/>
            <w:vAlign w:val="center"/>
          </w:tcPr>
          <w:p w14:paraId="7F7A6F2C" w14:textId="77777777" w:rsidR="00CB0831" w:rsidRPr="00CB0831" w:rsidRDefault="00CB0831" w:rsidP="005368DE">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Annual Burden Hours &amp; Total Annual Cost</w:t>
            </w:r>
            <w:r w:rsidR="005368DE" w:rsidRPr="005368DE">
              <w:rPr>
                <w:rStyle w:val="FootnoteReference"/>
                <w:rFonts w:ascii="Times New Roman" w:eastAsia="Times New Roman" w:hAnsi="Times New Roman" w:cs="Times New Roman"/>
                <w:b/>
                <w:sz w:val="24"/>
                <w:szCs w:val="24"/>
                <w:vertAlign w:val="superscript"/>
              </w:rPr>
              <w:footnoteReference w:id="12"/>
            </w:r>
          </w:p>
        </w:tc>
      </w:tr>
      <w:tr w:rsidR="00CB0831" w:rsidRPr="00CB0831" w14:paraId="5A9B5165" w14:textId="77777777" w:rsidTr="00115F24">
        <w:trPr>
          <w:cantSplit/>
          <w:trHeight w:val="530"/>
          <w:tblHeader/>
        </w:trPr>
        <w:tc>
          <w:tcPr>
            <w:tcW w:w="2538" w:type="dxa"/>
            <w:shd w:val="clear" w:color="auto" w:fill="D9D9D9" w:themeFill="background1" w:themeFillShade="D9"/>
            <w:vAlign w:val="bottom"/>
          </w:tcPr>
          <w:p w14:paraId="277FCF0C" w14:textId="77777777" w:rsidR="00CB0831" w:rsidRPr="00CB0831" w:rsidRDefault="00CB0831" w:rsidP="00C55457">
            <w:pPr>
              <w:keepNext/>
              <w:keepLines/>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625" w:type="dxa"/>
            <w:shd w:val="clear" w:color="auto" w:fill="auto"/>
            <w:vAlign w:val="bottom"/>
          </w:tcPr>
          <w:p w14:paraId="6D36BD3F" w14:textId="77777777" w:rsidR="00CB0831" w:rsidRPr="00CB0831" w:rsidDel="00A3246D"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(1)</w:t>
            </w:r>
          </w:p>
        </w:tc>
        <w:tc>
          <w:tcPr>
            <w:tcW w:w="1620" w:type="dxa"/>
            <w:shd w:val="clear" w:color="auto" w:fill="auto"/>
            <w:vAlign w:val="bottom"/>
          </w:tcPr>
          <w:p w14:paraId="68071B70"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(2)</w:t>
            </w:r>
          </w:p>
        </w:tc>
        <w:tc>
          <w:tcPr>
            <w:tcW w:w="1440" w:type="dxa"/>
            <w:vAlign w:val="bottom"/>
          </w:tcPr>
          <w:p w14:paraId="73B473C6"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(1)×(2)=(3)</w:t>
            </w:r>
          </w:p>
        </w:tc>
        <w:tc>
          <w:tcPr>
            <w:tcW w:w="1260" w:type="dxa"/>
            <w:shd w:val="clear" w:color="auto" w:fill="auto"/>
            <w:vAlign w:val="bottom"/>
          </w:tcPr>
          <w:p w14:paraId="6CCA55D5"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(4)</w:t>
            </w:r>
          </w:p>
        </w:tc>
        <w:tc>
          <w:tcPr>
            <w:tcW w:w="1440" w:type="dxa"/>
            <w:shd w:val="clear" w:color="auto" w:fill="auto"/>
            <w:vAlign w:val="bottom"/>
          </w:tcPr>
          <w:p w14:paraId="294BC397"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(3)×(4)=(5)</w:t>
            </w:r>
          </w:p>
        </w:tc>
      </w:tr>
      <w:tr w:rsidR="00CB0831" w:rsidRPr="00CB0831" w14:paraId="303072E2" w14:textId="77777777" w:rsidTr="00C55457">
        <w:trPr>
          <w:cantSplit/>
          <w:trHeight w:val="576"/>
        </w:trPr>
        <w:tc>
          <w:tcPr>
            <w:tcW w:w="2538" w:type="dxa"/>
            <w:shd w:val="clear" w:color="auto" w:fill="auto"/>
            <w:vAlign w:val="center"/>
          </w:tcPr>
          <w:p w14:paraId="138E6BDB" w14:textId="77777777" w:rsidR="00CB0831"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BAL-005-1</w:t>
            </w:r>
          </w:p>
          <w:p w14:paraId="59CC7411" w14:textId="5FE26DD1" w:rsidR="00115F24"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w:t>
            </w:r>
            <w:r w:rsidR="00797852">
              <w:rPr>
                <w:rFonts w:ascii="Times New Roman" w:eastAsia="Times New Roman" w:hAnsi="Times New Roman" w:cs="Times New Roman"/>
                <w:sz w:val="24"/>
                <w:szCs w:val="24"/>
              </w:rPr>
              <w:t>FERC-725R</w:t>
            </w:r>
            <w:r w:rsidRPr="00CB0831">
              <w:rPr>
                <w:rFonts w:ascii="Times New Roman" w:eastAsia="Times New Roman" w:hAnsi="Times New Roman" w:cs="Times New Roman"/>
                <w:sz w:val="24"/>
                <w:szCs w:val="24"/>
              </w:rPr>
              <w:t>)</w:t>
            </w:r>
            <w:r w:rsidR="005368DE" w:rsidRPr="00115F24">
              <w:rPr>
                <w:rStyle w:val="FootnoteReference"/>
                <w:rFonts w:ascii="Times New Roman" w:eastAsia="Times New Roman" w:hAnsi="Times New Roman" w:cs="Times New Roman"/>
                <w:sz w:val="24"/>
                <w:szCs w:val="24"/>
                <w:vertAlign w:val="superscript"/>
              </w:rPr>
              <w:footnoteReference w:id="13"/>
            </w:r>
          </w:p>
        </w:tc>
        <w:tc>
          <w:tcPr>
            <w:tcW w:w="1625" w:type="dxa"/>
            <w:shd w:val="clear" w:color="auto" w:fill="auto"/>
            <w:vAlign w:val="bottom"/>
          </w:tcPr>
          <w:p w14:paraId="138DA345"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w:t>
            </w:r>
          </w:p>
          <w:p w14:paraId="3BBD418B"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620" w:type="dxa"/>
            <w:shd w:val="clear" w:color="auto" w:fill="auto"/>
            <w:vAlign w:val="bottom"/>
          </w:tcPr>
          <w:p w14:paraId="6688432A" w14:textId="77777777" w:rsidR="00CB0831" w:rsidRPr="00CB0831" w:rsidRDefault="00115F2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1485A203"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260" w:type="dxa"/>
            <w:shd w:val="clear" w:color="auto" w:fill="auto"/>
            <w:vAlign w:val="bottom"/>
          </w:tcPr>
          <w:p w14:paraId="65A51B50"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 xml:space="preserve">1 hr.; </w:t>
            </w:r>
          </w:p>
          <w:p w14:paraId="0A15BE2F"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$64.29</w:t>
            </w:r>
            <w:r w:rsidR="0014705F" w:rsidRPr="0014705F">
              <w:rPr>
                <w:rStyle w:val="FootnoteReference"/>
                <w:rFonts w:ascii="Times New Roman" w:eastAsia="Times New Roman" w:hAnsi="Times New Roman" w:cs="Times New Roman"/>
                <w:sz w:val="24"/>
                <w:szCs w:val="24"/>
                <w:vertAlign w:val="superscript"/>
              </w:rPr>
              <w:footnoteReference w:id="14"/>
            </w:r>
          </w:p>
        </w:tc>
        <w:tc>
          <w:tcPr>
            <w:tcW w:w="1440" w:type="dxa"/>
            <w:shd w:val="clear" w:color="auto" w:fill="auto"/>
            <w:vAlign w:val="bottom"/>
          </w:tcPr>
          <w:p w14:paraId="7F2DB6AF"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CB0831" w:rsidRPr="00CB0831">
              <w:rPr>
                <w:rFonts w:ascii="Times New Roman" w:eastAsia="Times New Roman" w:hAnsi="Times New Roman" w:cs="Times New Roman"/>
                <w:sz w:val="24"/>
                <w:szCs w:val="24"/>
              </w:rPr>
              <w:t xml:space="preserve"> hrs.;</w:t>
            </w:r>
          </w:p>
          <w:p w14:paraId="17C65ED3"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$6,364.71</w:t>
            </w:r>
          </w:p>
        </w:tc>
      </w:tr>
      <w:tr w:rsidR="00CB0831" w:rsidRPr="00CB0831" w14:paraId="5040D6E9" w14:textId="77777777" w:rsidTr="00C55457">
        <w:trPr>
          <w:cantSplit/>
          <w:trHeight w:val="576"/>
        </w:trPr>
        <w:tc>
          <w:tcPr>
            <w:tcW w:w="2538" w:type="dxa"/>
            <w:shd w:val="clear" w:color="auto" w:fill="auto"/>
            <w:vAlign w:val="center"/>
          </w:tcPr>
          <w:p w14:paraId="12F14771" w14:textId="2B40F192" w:rsidR="00CB0831"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FAC-001-3,</w:t>
            </w:r>
            <w:r w:rsidR="00A74A0E">
              <w:rPr>
                <w:rFonts w:ascii="Times New Roman" w:eastAsia="Times New Roman" w:hAnsi="Times New Roman" w:cs="Times New Roman"/>
                <w:sz w:val="24"/>
                <w:szCs w:val="24"/>
              </w:rPr>
              <w:t xml:space="preserve"> </w:t>
            </w:r>
            <w:r w:rsidRPr="00CB0831">
              <w:rPr>
                <w:rFonts w:ascii="Times New Roman" w:eastAsia="Times New Roman" w:hAnsi="Times New Roman" w:cs="Times New Roman"/>
                <w:sz w:val="24"/>
                <w:szCs w:val="24"/>
              </w:rPr>
              <w:t>R3</w:t>
            </w:r>
          </w:p>
          <w:p w14:paraId="4D4E6E0D" w14:textId="77777777" w:rsidR="00CB0831" w:rsidRPr="00CB0831" w:rsidRDefault="00CB0831">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(FERC-725D)</w:t>
            </w:r>
          </w:p>
        </w:tc>
        <w:tc>
          <w:tcPr>
            <w:tcW w:w="1625" w:type="dxa"/>
            <w:shd w:val="clear" w:color="auto" w:fill="auto"/>
            <w:vAlign w:val="bottom"/>
          </w:tcPr>
          <w:p w14:paraId="54E0C4CF"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GO/TO</w:t>
            </w:r>
          </w:p>
          <w:p w14:paraId="4DEB1C1B"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5368DE" w:rsidRPr="00CB0831">
              <w:rPr>
                <w:rFonts w:ascii="Times New Roman" w:eastAsia="Times New Roman" w:hAnsi="Times New Roman" w:cs="Times New Roman"/>
                <w:b/>
                <w:sz w:val="24"/>
                <w:szCs w:val="24"/>
                <w:vertAlign w:val="superscript"/>
              </w:rPr>
              <w:footnoteReference w:id="15"/>
            </w:r>
          </w:p>
        </w:tc>
        <w:tc>
          <w:tcPr>
            <w:tcW w:w="1620" w:type="dxa"/>
            <w:shd w:val="clear" w:color="auto" w:fill="auto"/>
            <w:vAlign w:val="bottom"/>
          </w:tcPr>
          <w:p w14:paraId="4FA208A8" w14:textId="77777777" w:rsidR="00CB0831" w:rsidRPr="00CB0831" w:rsidRDefault="00115F2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1632EE80"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260" w:type="dxa"/>
            <w:shd w:val="clear" w:color="auto" w:fill="auto"/>
            <w:vAlign w:val="bottom"/>
          </w:tcPr>
          <w:p w14:paraId="3AF45355" w14:textId="27134C50" w:rsidR="00CB0831" w:rsidRPr="00CB0831" w:rsidRDefault="00DA70E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30A2">
              <w:rPr>
                <w:rFonts w:ascii="Times New Roman" w:eastAsia="Times New Roman" w:hAnsi="Times New Roman" w:cs="Times New Roman"/>
                <w:sz w:val="24"/>
                <w:szCs w:val="24"/>
              </w:rPr>
              <w:t xml:space="preserve"> hr.</w:t>
            </w:r>
            <w:r w:rsidRPr="006F04F8">
              <w:rPr>
                <w:rStyle w:val="FootnoteReference"/>
                <w:rFonts w:ascii="Times New Roman" w:eastAsia="Times New Roman" w:hAnsi="Times New Roman" w:cs="Times New Roman"/>
                <w:sz w:val="24"/>
                <w:szCs w:val="24"/>
                <w:vertAlign w:val="superscript"/>
              </w:rPr>
              <w:footnoteReference w:id="16"/>
            </w:r>
            <w:r w:rsidR="006F04F8" w:rsidRPr="006F04F8">
              <w:rPr>
                <w:rFonts w:ascii="Times New Roman" w:eastAsia="Times New Roman" w:hAnsi="Times New Roman" w:cs="Times New Roman"/>
                <w:sz w:val="24"/>
                <w:szCs w:val="24"/>
                <w:vertAlign w:val="superscript"/>
              </w:rPr>
              <w:t>,</w:t>
            </w:r>
            <w:bookmarkStart w:id="1" w:name="_Ref494867297"/>
            <w:r w:rsidR="006F04F8" w:rsidRPr="006F04F8">
              <w:rPr>
                <w:rStyle w:val="FootnoteReference"/>
                <w:rFonts w:ascii="Times New Roman" w:eastAsia="Times New Roman" w:hAnsi="Times New Roman" w:cs="Times New Roman"/>
                <w:sz w:val="24"/>
                <w:szCs w:val="24"/>
                <w:vertAlign w:val="superscript"/>
              </w:rPr>
              <w:footnoteReference w:id="17"/>
            </w:r>
            <w:bookmarkEnd w:id="1"/>
            <w:r w:rsidR="00FC30A2">
              <w:rPr>
                <w:rFonts w:ascii="Times New Roman" w:eastAsia="Times New Roman" w:hAnsi="Times New Roman" w:cs="Times New Roman"/>
                <w:sz w:val="24"/>
                <w:szCs w:val="24"/>
              </w:rPr>
              <w:t>;</w:t>
            </w:r>
            <w:r w:rsidR="00FC30A2">
              <w:rPr>
                <w:rFonts w:ascii="Times New Roman" w:eastAsia="Times New Roman" w:hAnsi="Times New Roman" w:cs="Times New Roman"/>
                <w:sz w:val="24"/>
                <w:szCs w:val="24"/>
              </w:rPr>
              <w:br/>
              <w:t>$102.04</w:t>
            </w:r>
            <w:r w:rsidR="0014705F" w:rsidRPr="0014705F">
              <w:rPr>
                <w:rStyle w:val="FootnoteReference"/>
                <w:rFonts w:ascii="Times New Roman" w:eastAsia="Times New Roman" w:hAnsi="Times New Roman" w:cs="Times New Roman"/>
                <w:sz w:val="24"/>
                <w:szCs w:val="24"/>
                <w:vertAlign w:val="superscript"/>
              </w:rPr>
              <w:footnoteReference w:id="18"/>
            </w:r>
          </w:p>
        </w:tc>
        <w:tc>
          <w:tcPr>
            <w:tcW w:w="1440" w:type="dxa"/>
            <w:shd w:val="clear" w:color="auto" w:fill="auto"/>
            <w:vAlign w:val="bottom"/>
          </w:tcPr>
          <w:p w14:paraId="4A2DAB83" w14:textId="2B93AE18" w:rsidR="00CB0831" w:rsidRPr="00CB0831" w:rsidRDefault="00DA70EE">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CB0831" w:rsidRPr="00CB0831">
              <w:rPr>
                <w:rFonts w:ascii="Times New Roman" w:eastAsia="Times New Roman" w:hAnsi="Times New Roman" w:cs="Times New Roman"/>
                <w:sz w:val="24"/>
                <w:szCs w:val="24"/>
              </w:rPr>
              <w:t xml:space="preserve"> hrs.</w:t>
            </w:r>
            <w:r w:rsidR="00BB5287" w:rsidRPr="00BB5287">
              <w:rPr>
                <w:rFonts w:ascii="Times New Roman" w:eastAsia="Times New Roman" w:hAnsi="Times New Roman" w:cs="Times New Roman"/>
                <w:sz w:val="24"/>
                <w:szCs w:val="24"/>
                <w:vertAlign w:val="superscript"/>
              </w:rPr>
              <w:fldChar w:fldCharType="begin"/>
            </w:r>
            <w:r w:rsidR="00BB5287" w:rsidRPr="00BB5287">
              <w:rPr>
                <w:rFonts w:ascii="Times New Roman" w:eastAsia="Times New Roman" w:hAnsi="Times New Roman" w:cs="Times New Roman"/>
                <w:sz w:val="24"/>
                <w:szCs w:val="24"/>
                <w:vertAlign w:val="superscript"/>
              </w:rPr>
              <w:instrText xml:space="preserve"> NOTEREF _Ref494867297 \h </w:instrText>
            </w:r>
            <w:r w:rsidR="00BB5287">
              <w:rPr>
                <w:rFonts w:ascii="Times New Roman" w:eastAsia="Times New Roman" w:hAnsi="Times New Roman" w:cs="Times New Roman"/>
                <w:sz w:val="24"/>
                <w:szCs w:val="24"/>
                <w:vertAlign w:val="superscript"/>
              </w:rPr>
              <w:instrText xml:space="preserve"> \* MERGEFORMAT </w:instrText>
            </w:r>
            <w:r w:rsidR="00BB5287" w:rsidRPr="00BB5287">
              <w:rPr>
                <w:rFonts w:ascii="Times New Roman" w:eastAsia="Times New Roman" w:hAnsi="Times New Roman" w:cs="Times New Roman"/>
                <w:sz w:val="24"/>
                <w:szCs w:val="24"/>
                <w:vertAlign w:val="superscript"/>
              </w:rPr>
            </w:r>
            <w:r w:rsidR="00BB5287" w:rsidRPr="00BB5287">
              <w:rPr>
                <w:rFonts w:ascii="Times New Roman" w:eastAsia="Times New Roman" w:hAnsi="Times New Roman" w:cs="Times New Roman"/>
                <w:sz w:val="24"/>
                <w:szCs w:val="24"/>
                <w:vertAlign w:val="superscript"/>
              </w:rPr>
              <w:fldChar w:fldCharType="separate"/>
            </w:r>
            <w:r w:rsidR="00BB5287" w:rsidRPr="00BB5287">
              <w:rPr>
                <w:rFonts w:ascii="Times New Roman" w:eastAsia="Times New Roman" w:hAnsi="Times New Roman" w:cs="Times New Roman"/>
                <w:sz w:val="24"/>
                <w:szCs w:val="24"/>
                <w:vertAlign w:val="superscript"/>
              </w:rPr>
              <w:t>14</w:t>
            </w:r>
            <w:r w:rsidR="00BB5287" w:rsidRPr="00BB5287">
              <w:rPr>
                <w:rFonts w:ascii="Times New Roman" w:eastAsia="Times New Roman" w:hAnsi="Times New Roman" w:cs="Times New Roman"/>
                <w:sz w:val="24"/>
                <w:szCs w:val="24"/>
                <w:vertAlign w:val="superscript"/>
              </w:rPr>
              <w:fldChar w:fldCharType="end"/>
            </w:r>
            <w:r w:rsidR="00FC30A2">
              <w:rPr>
                <w:rFonts w:ascii="Times New Roman" w:eastAsia="Times New Roman" w:hAnsi="Times New Roman" w:cs="Times New Roman"/>
                <w:sz w:val="24"/>
                <w:szCs w:val="24"/>
              </w:rPr>
              <w:t>;</w:t>
            </w:r>
          </w:p>
          <w:p w14:paraId="55198CF1" w14:textId="77777777" w:rsidR="00CB0831" w:rsidRPr="00CB0831" w:rsidRDefault="00FC30A2">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$16,428.44</w:t>
            </w:r>
          </w:p>
        </w:tc>
      </w:tr>
      <w:tr w:rsidR="00CB0831" w:rsidRPr="00CB0831" w14:paraId="0852F962" w14:textId="77777777" w:rsidTr="00C55457">
        <w:trPr>
          <w:cantSplit/>
          <w:trHeight w:val="864"/>
        </w:trPr>
        <w:tc>
          <w:tcPr>
            <w:tcW w:w="2538" w:type="dxa"/>
            <w:shd w:val="clear" w:color="auto" w:fill="auto"/>
            <w:vAlign w:val="center"/>
          </w:tcPr>
          <w:p w14:paraId="62818EEB" w14:textId="15A296B6" w:rsidR="00CB0831" w:rsidRPr="00CB0831" w:rsidRDefault="00CB0831" w:rsidP="00DA70EE">
            <w:pPr>
              <w:keepNext/>
              <w:keepLines/>
              <w:widowControl w:val="0"/>
              <w:autoSpaceDE w:val="0"/>
              <w:autoSpaceDN w:val="0"/>
              <w:adjustRightInd w:val="0"/>
              <w:spacing w:after="120" w:line="240" w:lineRule="auto"/>
              <w:rPr>
                <w:rFonts w:ascii="Times New Roman" w:eastAsia="Times New Roman" w:hAnsi="Times New Roman" w:cs="Times New Roman"/>
                <w:sz w:val="24"/>
                <w:szCs w:val="24"/>
                <w:vertAlign w:val="superscript"/>
              </w:rPr>
            </w:pPr>
            <w:r w:rsidRPr="00CB0831">
              <w:rPr>
                <w:rFonts w:ascii="Times New Roman" w:eastAsia="Times New Roman" w:hAnsi="Times New Roman" w:cs="Times New Roman"/>
                <w:sz w:val="24"/>
                <w:szCs w:val="24"/>
              </w:rPr>
              <w:t>Retirement of current standard BAL-006-02 (burden reduction from FERC-725A)</w:t>
            </w:r>
            <w:bookmarkStart w:id="2" w:name="_Ref464569705"/>
            <w:r w:rsidR="00BC26CE" w:rsidRPr="00CB0831">
              <w:rPr>
                <w:rStyle w:val="FootnoteReference"/>
                <w:rFonts w:ascii="Times New Roman" w:eastAsia="Times New Roman" w:hAnsi="Times New Roman" w:cs="Times New Roman"/>
                <w:sz w:val="24"/>
                <w:szCs w:val="24"/>
                <w:vertAlign w:val="superscript"/>
              </w:rPr>
              <w:footnoteReference w:id="19"/>
            </w:r>
            <w:bookmarkEnd w:id="2"/>
          </w:p>
        </w:tc>
        <w:tc>
          <w:tcPr>
            <w:tcW w:w="1625" w:type="dxa"/>
            <w:shd w:val="clear" w:color="auto" w:fill="auto"/>
            <w:vAlign w:val="bottom"/>
          </w:tcPr>
          <w:p w14:paraId="1F54CB41" w14:textId="77777777" w:rsidR="00CB0831" w:rsidRPr="00CB083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w:t>
            </w:r>
          </w:p>
          <w:p w14:paraId="13063616" w14:textId="77777777" w:rsidR="00CB0831" w:rsidRPr="00CB0831" w:rsidRDefault="004C334C"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620" w:type="dxa"/>
            <w:shd w:val="clear" w:color="auto" w:fill="auto"/>
            <w:vAlign w:val="bottom"/>
          </w:tcPr>
          <w:p w14:paraId="7055A9AE" w14:textId="77777777" w:rsidR="00CB0831" w:rsidRPr="00CB0831" w:rsidRDefault="00115F24"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215B6130" w14:textId="77777777" w:rsidR="00CB0831" w:rsidRPr="00CB0831" w:rsidRDefault="004C334C" w:rsidP="005853F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260" w:type="dxa"/>
            <w:shd w:val="clear" w:color="auto" w:fill="auto"/>
            <w:vAlign w:val="bottom"/>
          </w:tcPr>
          <w:p w14:paraId="49AC3458" w14:textId="77777777" w:rsidR="005853F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-1</w:t>
            </w:r>
            <w:r w:rsidR="005853F1">
              <w:rPr>
                <w:rFonts w:ascii="Times New Roman" w:eastAsia="Times New Roman" w:hAnsi="Times New Roman" w:cs="Times New Roman"/>
                <w:sz w:val="24"/>
                <w:szCs w:val="24"/>
              </w:rPr>
              <w:t xml:space="preserve"> hr.; </w:t>
            </w:r>
          </w:p>
          <w:p w14:paraId="6E60FFDD" w14:textId="77777777" w:rsidR="00CB0831" w:rsidRPr="00CB0831" w:rsidRDefault="004C334C"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r w:rsidR="005853F1">
              <w:rPr>
                <w:rFonts w:ascii="Times New Roman" w:eastAsia="Times New Roman" w:hAnsi="Times New Roman" w:cs="Times New Roman"/>
                <w:sz w:val="24"/>
                <w:szCs w:val="24"/>
              </w:rPr>
              <w:t>5</w:t>
            </w:r>
            <w:r w:rsidR="0014705F" w:rsidRPr="0014705F">
              <w:rPr>
                <w:rStyle w:val="FootnoteReference"/>
                <w:rFonts w:ascii="Times New Roman" w:eastAsia="Times New Roman" w:hAnsi="Times New Roman" w:cs="Times New Roman"/>
                <w:sz w:val="24"/>
                <w:szCs w:val="24"/>
                <w:vertAlign w:val="superscript"/>
              </w:rPr>
              <w:footnoteReference w:id="20"/>
            </w:r>
          </w:p>
        </w:tc>
        <w:tc>
          <w:tcPr>
            <w:tcW w:w="1440" w:type="dxa"/>
            <w:shd w:val="clear" w:color="auto" w:fill="auto"/>
            <w:vAlign w:val="bottom"/>
          </w:tcPr>
          <w:p w14:paraId="4AD72E68" w14:textId="52666B2B" w:rsidR="00A83705" w:rsidRDefault="00A83705" w:rsidP="00FC6722">
            <w:pPr>
              <w:widowControl w:val="0"/>
              <w:autoSpaceDE w:val="0"/>
              <w:autoSpaceDN w:val="0"/>
              <w:adjustRightInd w:val="0"/>
              <w:spacing w:after="0" w:line="240" w:lineRule="auto"/>
              <w:ind w:left="-108"/>
              <w:rPr>
                <w:rFonts w:ascii="Times New Roman" w:eastAsia="Times New Roman" w:hAnsi="Times New Roman" w:cs="Times New Roman"/>
                <w:sz w:val="24"/>
                <w:szCs w:val="24"/>
              </w:rPr>
            </w:pPr>
          </w:p>
          <w:p w14:paraId="1A44B0B5" w14:textId="72E26014" w:rsidR="00CB0831" w:rsidRPr="00CB0831" w:rsidRDefault="00A83705"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FC6722">
              <w:rPr>
                <w:rFonts w:ascii="Times New Roman" w:eastAsia="Times New Roman" w:hAnsi="Times New Roman" w:cs="Times New Roman"/>
                <w:sz w:val="24"/>
                <w:szCs w:val="24"/>
              </w:rPr>
              <w:t xml:space="preserve"> hrs.</w:t>
            </w:r>
            <w:r w:rsidR="00CB0831" w:rsidRPr="00CB0831">
              <w:rPr>
                <w:rFonts w:ascii="Times New Roman" w:eastAsia="Times New Roman" w:hAnsi="Times New Roman" w:cs="Times New Roman"/>
                <w:sz w:val="24"/>
                <w:szCs w:val="24"/>
              </w:rPr>
              <w:t xml:space="preserve">; </w:t>
            </w:r>
          </w:p>
          <w:p w14:paraId="583BC720" w14:textId="77777777" w:rsidR="00CB0831" w:rsidRPr="00CB0831" w:rsidRDefault="004C334C"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-$3,737.2</w:t>
            </w:r>
            <w:r w:rsidR="005853F1">
              <w:rPr>
                <w:rFonts w:ascii="Times New Roman" w:eastAsia="Times New Roman" w:hAnsi="Times New Roman" w:cs="Times New Roman"/>
                <w:sz w:val="24"/>
                <w:szCs w:val="24"/>
              </w:rPr>
              <w:t>5</w:t>
            </w:r>
          </w:p>
        </w:tc>
      </w:tr>
      <w:tr w:rsidR="00CB0831" w:rsidRPr="00CB0831" w14:paraId="4A27110A" w14:textId="77777777" w:rsidTr="000428A5">
        <w:trPr>
          <w:cantSplit/>
          <w:trHeight w:val="125"/>
        </w:trPr>
        <w:tc>
          <w:tcPr>
            <w:tcW w:w="2538" w:type="dxa"/>
            <w:shd w:val="clear" w:color="auto" w:fill="auto"/>
            <w:vAlign w:val="center"/>
          </w:tcPr>
          <w:p w14:paraId="7235E783" w14:textId="77777777" w:rsidR="00CB0831" w:rsidRPr="00CB0831" w:rsidRDefault="00115F24" w:rsidP="00115F24">
            <w:pPr>
              <w:keepNext/>
              <w:keepLines/>
              <w:widowControl w:val="0"/>
              <w:autoSpaceDE w:val="0"/>
              <w:autoSpaceDN w:val="0"/>
              <w:adjustRightInd w:val="0"/>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NET TOTAL CHANGES</w:t>
            </w:r>
          </w:p>
        </w:tc>
        <w:tc>
          <w:tcPr>
            <w:tcW w:w="5945" w:type="dxa"/>
            <w:gridSpan w:val="4"/>
            <w:shd w:val="clear" w:color="auto" w:fill="D9D9D9"/>
            <w:vAlign w:val="bottom"/>
          </w:tcPr>
          <w:p w14:paraId="18FF6E4D" w14:textId="77777777" w:rsidR="00CB0831" w:rsidRPr="00CB083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1440" w:type="dxa"/>
            <w:shd w:val="clear" w:color="auto" w:fill="auto"/>
            <w:vAlign w:val="bottom"/>
          </w:tcPr>
          <w:p w14:paraId="1A372E0E" w14:textId="2A248ABB" w:rsidR="00CB0831" w:rsidRPr="00CB0831" w:rsidRDefault="00DA70EE"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CB0831" w:rsidRPr="00CB0831">
              <w:rPr>
                <w:rFonts w:ascii="Times New Roman" w:eastAsia="Times New Roman" w:hAnsi="Times New Roman" w:cs="Times New Roman"/>
                <w:sz w:val="24"/>
                <w:szCs w:val="24"/>
              </w:rPr>
              <w:t xml:space="preserve"> hrs.</w:t>
            </w:r>
            <w:r w:rsidR="00BB5287" w:rsidRPr="00BB5287">
              <w:rPr>
                <w:rStyle w:val="FootnoteReference"/>
                <w:rFonts w:ascii="Times New Roman" w:eastAsia="Times New Roman" w:hAnsi="Times New Roman" w:cs="Times New Roman"/>
                <w:sz w:val="24"/>
                <w:szCs w:val="24"/>
                <w:vertAlign w:val="superscript"/>
              </w:rPr>
              <w:footnoteReference w:id="21"/>
            </w:r>
          </w:p>
          <w:p w14:paraId="51EE9DC3" w14:textId="77777777" w:rsidR="00CB0831" w:rsidRPr="00CB0831" w:rsidRDefault="004C334C"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$19,055.90</w:t>
            </w:r>
          </w:p>
        </w:tc>
      </w:tr>
    </w:tbl>
    <w:p w14:paraId="57C5863F" w14:textId="77777777" w:rsidR="00FC11BA" w:rsidRDefault="00FC11BA" w:rsidP="00CB0831">
      <w:pPr>
        <w:spacing w:line="240" w:lineRule="auto"/>
        <w:rPr>
          <w:rFonts w:ascii="Times New Roman" w:hAnsi="Times New Roman" w:cs="Times New Roman"/>
          <w:sz w:val="24"/>
          <w:szCs w:val="24"/>
          <w:u w:val="single"/>
        </w:rPr>
      </w:pPr>
    </w:p>
    <w:p w14:paraId="4FBC0204" w14:textId="5025D5DF" w:rsid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9922B2">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9922B2">
        <w:rPr>
          <w:rFonts w:ascii="Times New Roman" w:hAnsi="Times New Roman" w:cs="Times New Roman"/>
          <w:sz w:val="24"/>
          <w:szCs w:val="24"/>
        </w:rPr>
        <w:t xml:space="preserve">. Many of the revisions to the Reliability </w:t>
      </w:r>
      <w:r w:rsidR="000428A5">
        <w:rPr>
          <w:rFonts w:ascii="Times New Roman" w:hAnsi="Times New Roman" w:cs="Times New Roman"/>
          <w:sz w:val="24"/>
          <w:szCs w:val="24"/>
        </w:rPr>
        <w:t>Standards reflected in this Final Rule</w:t>
      </w:r>
      <w:r w:rsidRPr="009922B2">
        <w:rPr>
          <w:rFonts w:ascii="Times New Roman" w:hAnsi="Times New Roman" w:cs="Times New Roman"/>
          <w:sz w:val="24"/>
          <w:szCs w:val="24"/>
        </w:rPr>
        <w:t xml:space="preserve"> were developed to help clarify and streamline existing requirements related to calculation of Reporting ACE, and are expected to simplify these entities’ overall burden with respect to recordkeepi</w:t>
      </w:r>
      <w:r w:rsidR="009922B2">
        <w:rPr>
          <w:rFonts w:ascii="Times New Roman" w:hAnsi="Times New Roman" w:cs="Times New Roman"/>
          <w:sz w:val="24"/>
          <w:szCs w:val="24"/>
        </w:rPr>
        <w:t>ng, reporting, and compliance.</w:t>
      </w:r>
    </w:p>
    <w:p w14:paraId="7AA63934" w14:textId="77777777" w:rsidR="009922B2" w:rsidRPr="009922B2" w:rsidRDefault="009922B2" w:rsidP="00CB0831">
      <w:pPr>
        <w:widowControl w:val="0"/>
        <w:autoSpaceDE w:val="0"/>
        <w:autoSpaceDN w:val="0"/>
        <w:adjustRightInd w:val="0"/>
        <w:spacing w:after="0" w:line="240" w:lineRule="auto"/>
        <w:rPr>
          <w:rFonts w:ascii="Times New Roman" w:hAnsi="Times New Roman" w:cs="Times New Roman"/>
          <w:sz w:val="24"/>
          <w:szCs w:val="24"/>
        </w:rPr>
      </w:pPr>
    </w:p>
    <w:p w14:paraId="55ED735B" w14:textId="7F386209" w:rsidR="00CB0831" w:rsidRPr="009922B2" w:rsidRDefault="00CB0831" w:rsidP="00FC6722">
      <w:pPr>
        <w:spacing w:after="0" w:line="240" w:lineRule="auto"/>
        <w:rPr>
          <w:rFonts w:ascii="Times New Roman" w:hAnsi="Times New Roman" w:cs="Times New Roman"/>
          <w:sz w:val="24"/>
          <w:szCs w:val="24"/>
          <w:u w:val="single"/>
        </w:rPr>
      </w:pPr>
      <w:r w:rsidRPr="00AD21A4">
        <w:rPr>
          <w:rFonts w:ascii="Times New Roman" w:hAnsi="Times New Roman" w:cs="Times New Roman"/>
          <w:b/>
          <w:sz w:val="24"/>
          <w:szCs w:val="24"/>
        </w:rPr>
        <w:t>FERC-725A.</w:t>
      </w:r>
      <w:r w:rsidR="000428A5" w:rsidRPr="00AD21A4">
        <w:rPr>
          <w:rFonts w:ascii="Times New Roman" w:hAnsi="Times New Roman" w:cs="Times New Roman"/>
          <w:sz w:val="24"/>
          <w:szCs w:val="24"/>
        </w:rPr>
        <w:t xml:space="preserve"> The Final Rule approves the retirement</w:t>
      </w:r>
      <w:r w:rsidR="00D30BDF">
        <w:rPr>
          <w:rFonts w:ascii="Times New Roman" w:hAnsi="Times New Roman" w:cs="Times New Roman"/>
          <w:sz w:val="24"/>
          <w:szCs w:val="24"/>
        </w:rPr>
        <w:t xml:space="preserve"> of</w:t>
      </w:r>
      <w:r w:rsidRPr="00AD21A4">
        <w:rPr>
          <w:rFonts w:ascii="Times New Roman" w:hAnsi="Times New Roman" w:cs="Times New Roman"/>
          <w:sz w:val="24"/>
          <w:szCs w:val="24"/>
        </w:rPr>
        <w:t xml:space="preserve"> the requirements in</w:t>
      </w:r>
      <w:r w:rsidR="000428A5" w:rsidRPr="008D4025">
        <w:rPr>
          <w:rFonts w:ascii="Times New Roman" w:hAnsi="Times New Roman" w:cs="Times New Roman"/>
          <w:sz w:val="24"/>
          <w:szCs w:val="24"/>
        </w:rPr>
        <w:t xml:space="preserve"> Reliability Standard BAL-006-2</w:t>
      </w:r>
      <w:r w:rsidRPr="00AD21A4">
        <w:rPr>
          <w:rFonts w:ascii="Times New Roman" w:hAnsi="Times New Roman" w:cs="Times New Roman"/>
          <w:sz w:val="24"/>
          <w:szCs w:val="24"/>
        </w:rPr>
        <w:t xml:space="preserve"> (</w:t>
      </w:r>
      <w:r w:rsidR="000428A5" w:rsidRPr="00AD21A4">
        <w:rPr>
          <w:rFonts w:ascii="Times New Roman" w:hAnsi="Times New Roman" w:cs="Times New Roman"/>
          <w:sz w:val="24"/>
          <w:szCs w:val="24"/>
        </w:rPr>
        <w:t xml:space="preserve">which are </w:t>
      </w:r>
      <w:r w:rsidRPr="00AD21A4">
        <w:rPr>
          <w:rFonts w:ascii="Times New Roman" w:hAnsi="Times New Roman" w:cs="Times New Roman"/>
          <w:sz w:val="24"/>
          <w:szCs w:val="24"/>
        </w:rPr>
        <w:t>currently in FERC-725A) further reducing the overall record-keeping and reporting requirements for balancing authorities.  Accordingly</w:t>
      </w:r>
      <w:r w:rsidRPr="009922B2">
        <w:rPr>
          <w:rFonts w:ascii="Times New Roman" w:hAnsi="Times New Roman" w:cs="Times New Roman"/>
          <w:sz w:val="24"/>
          <w:szCs w:val="24"/>
        </w:rPr>
        <w:t xml:space="preserve">, the Commission estimates that the overall change in the record-keeping and reporting requirements as a result of this rulemaking will be </w:t>
      </w:r>
      <w:r w:rsidRPr="009922B2">
        <w:rPr>
          <w:rFonts w:ascii="Times New Roman" w:hAnsi="Times New Roman" w:cs="Times New Roman"/>
          <w:i/>
          <w:sz w:val="24"/>
          <w:szCs w:val="24"/>
        </w:rPr>
        <w:t>de minimis</w:t>
      </w:r>
      <w:r w:rsidRPr="009922B2">
        <w:rPr>
          <w:rFonts w:ascii="Times New Roman" w:hAnsi="Times New Roman" w:cs="Times New Roman"/>
          <w:sz w:val="24"/>
          <w:szCs w:val="24"/>
        </w:rPr>
        <w:t xml:space="preserve"> on a per-entity basis.</w:t>
      </w:r>
    </w:p>
    <w:p w14:paraId="116F4074" w14:textId="77777777" w:rsidR="00C4205B" w:rsidRPr="00B51BB8" w:rsidRDefault="00C4205B" w:rsidP="00A83705">
      <w:pPr>
        <w:pStyle w:val="FERCparanumber"/>
        <w:widowControl/>
        <w:numPr>
          <w:ilvl w:val="0"/>
          <w:numId w:val="0"/>
        </w:numPr>
        <w:tabs>
          <w:tab w:val="left" w:pos="720"/>
        </w:tabs>
        <w:rPr>
          <w:rFonts w:ascii="Times New Roman" w:hAnsi="Times New Roman" w:cs="Times New Roman"/>
        </w:rPr>
      </w:pPr>
    </w:p>
    <w:p w14:paraId="7408662C" w14:textId="77777777" w:rsidR="00C4205B" w:rsidRPr="00B51BB8"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0144A37E" w14:textId="77777777" w:rsidR="002359F6" w:rsidRPr="00B51BB8" w:rsidRDefault="002359F6" w:rsidP="002A4142">
      <w:pPr>
        <w:spacing w:after="0" w:line="240" w:lineRule="auto"/>
        <w:rPr>
          <w:rFonts w:ascii="Times New Roman" w:hAnsi="Times New Roman" w:cs="Times New Roman"/>
          <w:sz w:val="24"/>
          <w:szCs w:val="24"/>
        </w:rPr>
      </w:pPr>
    </w:p>
    <w:p w14:paraId="4140D5D7" w14:textId="5816588F"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r w:rsidR="00A64C19">
        <w:rPr>
          <w:rFonts w:ascii="Times New Roman" w:hAnsi="Times New Roman" w:cs="Times New Roman"/>
          <w:sz w:val="24"/>
          <w:szCs w:val="24"/>
        </w:rPr>
        <w:t xml:space="preserve"> associated with the Final Rule in Docket No. RM16-13</w:t>
      </w:r>
      <w:r w:rsidRPr="00B51BB8">
        <w:rPr>
          <w:rFonts w:ascii="Times New Roman" w:hAnsi="Times New Roman" w:cs="Times New Roman"/>
          <w:sz w:val="24"/>
          <w:szCs w:val="24"/>
        </w:rPr>
        <w:t>.</w:t>
      </w:r>
      <w:bookmarkStart w:id="3" w:name="_Ref500412215"/>
      <w:r w:rsidR="00A64C19" w:rsidRPr="00954D7E">
        <w:rPr>
          <w:rStyle w:val="FootnoteReference"/>
          <w:rFonts w:ascii="Times New Roman" w:hAnsi="Times New Roman" w:cs="Times New Roman"/>
          <w:sz w:val="24"/>
          <w:szCs w:val="24"/>
          <w:vertAlign w:val="superscript"/>
        </w:rPr>
        <w:footnoteReference w:id="22"/>
      </w:r>
      <w:bookmarkEnd w:id="3"/>
    </w:p>
    <w:p w14:paraId="6F58745E" w14:textId="77777777" w:rsidR="002359F6" w:rsidRPr="00B51BB8" w:rsidRDefault="002359F6" w:rsidP="002A4142">
      <w:pPr>
        <w:spacing w:after="0" w:line="240" w:lineRule="auto"/>
        <w:rPr>
          <w:rFonts w:ascii="Times New Roman" w:hAnsi="Times New Roman" w:cs="Times New Roman"/>
          <w:sz w:val="24"/>
          <w:szCs w:val="24"/>
        </w:rPr>
      </w:pPr>
    </w:p>
    <w:p w14:paraId="2F752898"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3CA31F2B"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58EF8731" w14:textId="77777777" w:rsidR="002359F6" w:rsidRPr="00B51BB8" w:rsidRDefault="002359F6" w:rsidP="002A4142">
      <w:pPr>
        <w:spacing w:after="0" w:line="240" w:lineRule="auto"/>
        <w:rPr>
          <w:rFonts w:ascii="Times New Roman" w:hAnsi="Times New Roman" w:cs="Times New Roman"/>
          <w:sz w:val="24"/>
          <w:szCs w:val="24"/>
        </w:rPr>
      </w:pPr>
    </w:p>
    <w:p w14:paraId="78224315" w14:textId="77777777" w:rsidR="002359F6" w:rsidRPr="00B51BB8" w:rsidRDefault="009922B2"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final</w:t>
      </w:r>
      <w:r w:rsidR="002359F6" w:rsidRPr="00B51BB8">
        <w:rPr>
          <w:rFonts w:ascii="Times New Roman" w:hAnsi="Times New Roman" w:cs="Times New Roman"/>
          <w:sz w:val="24"/>
          <w:szCs w:val="24"/>
        </w:rPr>
        <w:t xml:space="preserve"> rule are associated with burden hours (labor) and described in Questions #12 and #15 in this supporting statement. </w:t>
      </w:r>
    </w:p>
    <w:p w14:paraId="55746621" w14:textId="77777777" w:rsidR="003C19D0" w:rsidRPr="00B51BB8" w:rsidRDefault="003C19D0" w:rsidP="00954D7E">
      <w:pPr>
        <w:spacing w:after="0" w:line="240" w:lineRule="auto"/>
        <w:rPr>
          <w:rFonts w:ascii="Times New Roman" w:hAnsi="Times New Roman" w:cs="Times New Roman"/>
          <w:sz w:val="24"/>
          <w:szCs w:val="24"/>
        </w:rPr>
      </w:pPr>
    </w:p>
    <w:p w14:paraId="6D7ED03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35077C3E" w14:textId="77777777" w:rsidR="00C4205B" w:rsidRPr="00B51BB8" w:rsidRDefault="00C4205B" w:rsidP="0007783F">
      <w:pPr>
        <w:spacing w:after="0" w:line="240" w:lineRule="auto"/>
        <w:rPr>
          <w:rFonts w:ascii="Times New Roman" w:hAnsi="Times New Roman" w:cs="Times New Roman"/>
          <w:b/>
          <w:bCs/>
          <w:sz w:val="24"/>
          <w:szCs w:val="24"/>
        </w:rPr>
      </w:pPr>
    </w:p>
    <w:p w14:paraId="7B362678" w14:textId="268E7B64" w:rsidR="009922B2"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 are not submitted to FERC.</w:t>
      </w:r>
    </w:p>
    <w:p w14:paraId="676EC287" w14:textId="77777777" w:rsidR="009922B2" w:rsidRPr="009922B2" w:rsidRDefault="009922B2" w:rsidP="0007783F">
      <w:pPr>
        <w:spacing w:after="0" w:line="240" w:lineRule="auto"/>
        <w:rPr>
          <w:rFonts w:ascii="Times New Roman" w:hAnsi="Times New Roman" w:cs="Times New Roman"/>
          <w:sz w:val="24"/>
          <w:szCs w:val="24"/>
        </w:rPr>
      </w:pPr>
    </w:p>
    <w:p w14:paraId="1F29957A" w14:textId="3C4D411B" w:rsidR="002359F6" w:rsidRPr="00B51BB8"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 xml:space="preserve">The Commission does incur the costs associated with obtaining OMB clearance for the three collections under the Paperwork Reduction Act (PRA).  </w:t>
      </w:r>
      <w:r w:rsidR="001C7456" w:rsidRPr="001C7456">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r w:rsidR="001C7456">
        <w:rPr>
          <w:rFonts w:ascii="Times New Roman" w:hAnsi="Times New Roman" w:cs="Times New Roman"/>
          <w:sz w:val="24"/>
          <w:szCs w:val="24"/>
        </w:rPr>
        <w:t xml:space="preserve">  </w:t>
      </w:r>
      <w:r w:rsidRPr="009922B2">
        <w:rPr>
          <w:rFonts w:ascii="Times New Roman" w:hAnsi="Times New Roman" w:cs="Times New Roman"/>
          <w:sz w:val="24"/>
          <w:szCs w:val="24"/>
        </w:rPr>
        <w:t>FERC estimates the annual cost for this effort to be $5,</w:t>
      </w:r>
      <w:r w:rsidR="0007783F">
        <w:rPr>
          <w:rFonts w:ascii="Times New Roman" w:hAnsi="Times New Roman" w:cs="Times New Roman"/>
          <w:sz w:val="24"/>
          <w:szCs w:val="24"/>
        </w:rPr>
        <w:t>723</w:t>
      </w:r>
      <w:r w:rsidRPr="009922B2">
        <w:rPr>
          <w:rFonts w:ascii="Times New Roman" w:hAnsi="Times New Roman" w:cs="Times New Roman"/>
          <w:sz w:val="24"/>
          <w:szCs w:val="24"/>
        </w:rPr>
        <w:t>.00 for each of the three collections</w:t>
      </w:r>
      <w:r w:rsidR="002359F6" w:rsidRPr="00B51BB8">
        <w:rPr>
          <w:rFonts w:ascii="Times New Roman" w:hAnsi="Times New Roman" w:cs="Times New Roman"/>
          <w:sz w:val="24"/>
          <w:szCs w:val="24"/>
        </w:rPr>
        <w:t>.</w:t>
      </w:r>
      <w:r w:rsidR="001C7456" w:rsidRPr="001C7456">
        <w:t xml:space="preserve"> </w:t>
      </w:r>
      <w:r w:rsidR="001C7456">
        <w:t xml:space="preserve"> </w:t>
      </w:r>
    </w:p>
    <w:p w14:paraId="19583A65" w14:textId="77777777" w:rsidR="002359F6" w:rsidRPr="00B51BB8" w:rsidRDefault="002359F6"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1E863400"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68C4FCB2"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FERC-725A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81F27D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0E48EBAE"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050392DE"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D85A9E9"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2BD4152E"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23D4EC5"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2359F6" w:rsidRPr="00B51BB8" w14:paraId="185E669E"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5260412" w14:textId="4470B26C" w:rsidR="002359F6" w:rsidRPr="00B51BB8" w:rsidRDefault="002359F6">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72AED"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4CB6B584"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180D8B40"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89370D2"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C15AF"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6B8BBE8"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5AA3D32A" w14:textId="77777777" w:rsidR="002359F6" w:rsidRPr="00B51BB8" w:rsidRDefault="002359F6" w:rsidP="002A4142">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4D9FD60B"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9E8E5F2" w14:textId="77777777" w:rsidR="002359F6" w:rsidRPr="00B51BB8" w:rsidRDefault="009922B2"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FERC-725D</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56CA6023"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CD6F5C8"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46A4ACED"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07E33C6A"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33916EDF"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6D573BF9"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2359F6" w:rsidRPr="00B51BB8" w14:paraId="41CBC4A0"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368AE879" w14:textId="5640D8CC" w:rsidR="002359F6" w:rsidRPr="00B51BB8" w:rsidRDefault="002359F6">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544C6"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72C191B"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7676292C"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41430139"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2AC0B"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FDEEEA7"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E167924" w14:textId="77777777" w:rsidR="00C4205B" w:rsidRDefault="00C4205B" w:rsidP="002A4142">
      <w:pPr>
        <w:spacing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922B2" w:rsidRPr="00B51BB8" w14:paraId="286DB52A" w14:textId="77777777" w:rsidTr="00C55457">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2F32332B" w14:textId="23118AF4" w:rsidR="009922B2" w:rsidRPr="00B51BB8" w:rsidRDefault="00797852" w:rsidP="00C55457">
            <w:pPr>
              <w:spacing w:after="0" w:line="240" w:lineRule="auto"/>
              <w:rPr>
                <w:rFonts w:ascii="Times New Roman" w:hAnsi="Times New Roman" w:cs="Times New Roman"/>
                <w:b/>
                <w:sz w:val="24"/>
                <w:szCs w:val="24"/>
              </w:rPr>
            </w:pPr>
            <w:r>
              <w:rPr>
                <w:rFonts w:ascii="Times New Roman" w:hAnsi="Times New Roman" w:cs="Times New Roman"/>
                <w:b/>
                <w:sz w:val="24"/>
                <w:szCs w:val="24"/>
              </w:rPr>
              <w:t>FERC-725R</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E1D156"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928AC7A"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9922B2" w:rsidRPr="00B51BB8" w14:paraId="678FD3DB"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CBD504" w14:textId="77777777" w:rsidR="009922B2" w:rsidRPr="00B51BB8" w:rsidRDefault="009922B2" w:rsidP="00C5545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DB7BC3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CBD5C6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9922B2" w:rsidRPr="00B51BB8" w14:paraId="1935C1FE"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BF67FB" w14:textId="10C9E659" w:rsidR="009922B2" w:rsidRPr="00B51BB8" w:rsidRDefault="009922B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4BF7B"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E32AD79" w14:textId="77777777" w:rsidR="009922B2" w:rsidRPr="00B51BB8" w:rsidRDefault="00EF4E3E" w:rsidP="00C554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9922B2" w:rsidRPr="00B51BB8" w14:paraId="7DB1F3A0"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3E5FE83E"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D6A7E"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ACB20B1" w14:textId="77777777" w:rsidR="009922B2" w:rsidRPr="00B51BB8" w:rsidRDefault="00EF4E3E" w:rsidP="00C554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EDC3ABC" w14:textId="77777777" w:rsidR="009922B2" w:rsidRPr="00B51BB8" w:rsidRDefault="009922B2" w:rsidP="002A4142">
      <w:pPr>
        <w:spacing w:line="240" w:lineRule="auto"/>
        <w:rPr>
          <w:rFonts w:ascii="Times New Roman" w:hAnsi="Times New Roman" w:cs="Times New Roman"/>
          <w:sz w:val="24"/>
          <w:szCs w:val="24"/>
        </w:rPr>
      </w:pPr>
    </w:p>
    <w:p w14:paraId="51C610A4" w14:textId="77777777" w:rsidR="00C4205B" w:rsidRPr="009922B2"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6795552"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67CAFA49" w14:textId="485C5437" w:rsidR="00AF29FC" w:rsidRPr="009922B2" w:rsidRDefault="009922B2" w:rsidP="009922B2">
      <w:pPr>
        <w:spacing w:line="240" w:lineRule="auto"/>
        <w:rPr>
          <w:rFonts w:ascii="Times New Roman" w:hAnsi="Times New Roman" w:cs="Times New Roman"/>
          <w:bCs/>
          <w:sz w:val="24"/>
          <w:szCs w:val="24"/>
        </w:rPr>
      </w:pPr>
      <w:r w:rsidRPr="009922B2">
        <w:rPr>
          <w:rFonts w:ascii="Times New Roman" w:hAnsi="Times New Roman" w:cs="Times New Roman"/>
          <w:bCs/>
          <w:sz w:val="24"/>
          <w:szCs w:val="24"/>
        </w:rPr>
        <w:t>Reliability Standards BAL-005-</w:t>
      </w:r>
      <w:r w:rsidR="000428A5">
        <w:rPr>
          <w:rFonts w:ascii="Times New Roman" w:hAnsi="Times New Roman" w:cs="Times New Roman"/>
          <w:bCs/>
          <w:sz w:val="24"/>
          <w:szCs w:val="24"/>
        </w:rPr>
        <w:t>1 and FAC-001-3 and the</w:t>
      </w:r>
      <w:r w:rsidRPr="009922B2">
        <w:rPr>
          <w:rFonts w:ascii="Times New Roman" w:hAnsi="Times New Roman" w:cs="Times New Roman"/>
          <w:bCs/>
          <w:sz w:val="24"/>
          <w:szCs w:val="24"/>
        </w:rPr>
        <w:t xml:space="preserve"> retirement of Reliability Standard BAL-006-2 clarify, consolidate, streamline, and enhance the Reliability Standards addressing f</w:t>
      </w:r>
      <w:r w:rsidR="000428A5">
        <w:rPr>
          <w:rFonts w:ascii="Times New Roman" w:hAnsi="Times New Roman" w:cs="Times New Roman"/>
          <w:bCs/>
          <w:sz w:val="24"/>
          <w:szCs w:val="24"/>
        </w:rPr>
        <w:t>requency control. These</w:t>
      </w:r>
      <w:r w:rsidRPr="009922B2">
        <w:rPr>
          <w:rFonts w:ascii="Times New Roman" w:hAnsi="Times New Roman" w:cs="Times New Roman"/>
          <w:bCs/>
          <w:sz w:val="24"/>
          <w:szCs w:val="24"/>
        </w:rPr>
        <w:t xml:space="preserve"> revisions streamline and clarify the current requirements related to the</w:t>
      </w:r>
      <w:r w:rsidR="00976B33">
        <w:rPr>
          <w:rFonts w:ascii="Times New Roman" w:hAnsi="Times New Roman" w:cs="Times New Roman"/>
          <w:bCs/>
          <w:sz w:val="24"/>
          <w:szCs w:val="24"/>
        </w:rPr>
        <w:t xml:space="preserve"> calculation of Reporting ACE (</w:t>
      </w:r>
      <w:r w:rsidRPr="009922B2">
        <w:rPr>
          <w:rFonts w:ascii="Times New Roman" w:hAnsi="Times New Roman" w:cs="Times New Roman"/>
          <w:bCs/>
          <w:sz w:val="24"/>
          <w:szCs w:val="24"/>
        </w:rPr>
        <w:t>a key frequency control and</w:t>
      </w:r>
      <w:r w:rsidR="00976B33">
        <w:rPr>
          <w:rFonts w:ascii="Times New Roman" w:hAnsi="Times New Roman" w:cs="Times New Roman"/>
          <w:bCs/>
          <w:sz w:val="24"/>
          <w:szCs w:val="24"/>
        </w:rPr>
        <w:t xml:space="preserve"> reliability indicator factor)</w:t>
      </w:r>
      <w:r w:rsidRPr="009922B2">
        <w:rPr>
          <w:rFonts w:ascii="Times New Roman" w:hAnsi="Times New Roman" w:cs="Times New Roman"/>
          <w:bCs/>
          <w:sz w:val="24"/>
          <w:szCs w:val="24"/>
        </w:rPr>
        <w:t xml:space="preserve"> including consolidating the seventeen requirements of currently-effective BAL-005-0.2b, associated with FERC-725R, into seven requirements in BAL-005-1, relocation of certain requirements related to interconnection requirements for transmission owners and generation owners into FAC-001-3, associated with FERC-725D, relocation of Requirement R3 in currently-e</w:t>
      </w:r>
      <w:r w:rsidR="000428A5">
        <w:rPr>
          <w:rFonts w:ascii="Times New Roman" w:hAnsi="Times New Roman" w:cs="Times New Roman"/>
          <w:bCs/>
          <w:sz w:val="24"/>
          <w:szCs w:val="24"/>
        </w:rPr>
        <w:t>ffective BAL-006-2 into</w:t>
      </w:r>
      <w:r w:rsidRPr="009922B2">
        <w:rPr>
          <w:rFonts w:ascii="Times New Roman" w:hAnsi="Times New Roman" w:cs="Times New Roman"/>
          <w:bCs/>
          <w:sz w:val="24"/>
          <w:szCs w:val="24"/>
        </w:rPr>
        <w:t xml:space="preserve"> BAL-005-1, and relocation of certain metrics and calculations required for calculating Reporting ACE into the NERC definition of Reporting ACE and its component definitions</w:t>
      </w:r>
      <w:r w:rsidR="003B6534" w:rsidRPr="00B51BB8">
        <w:rPr>
          <w:rFonts w:ascii="Times New Roman" w:hAnsi="Times New Roman" w:cs="Times New Roman"/>
          <w:bCs/>
          <w:sz w:val="24"/>
          <w:szCs w:val="24"/>
        </w:rPr>
        <w:t>.</w:t>
      </w:r>
    </w:p>
    <w:p w14:paraId="70F0B801" w14:textId="77777777" w:rsidR="00C4205B" w:rsidRPr="002025A8" w:rsidRDefault="00AF29FC" w:rsidP="007A560D">
      <w:pPr>
        <w:rPr>
          <w:rFonts w:ascii="Times New Roman" w:hAnsi="Times New Roman" w:cs="Times New Roman"/>
          <w:bCs/>
          <w:sz w:val="24"/>
          <w:szCs w:val="24"/>
        </w:rPr>
      </w:pPr>
      <w:r w:rsidRPr="00B51BB8">
        <w:rPr>
          <w:rFonts w:ascii="Times New Roman" w:hAnsi="Times New Roman" w:cs="Times New Roman"/>
          <w:bCs/>
          <w:sz w:val="24"/>
          <w:szCs w:val="24"/>
        </w:rPr>
        <w:t xml:space="preserve">A summary of the current OMB-approved inventory and the changes </w:t>
      </w:r>
      <w:r w:rsidR="006B5EEB">
        <w:rPr>
          <w:rFonts w:ascii="Times New Roman" w:hAnsi="Times New Roman" w:cs="Times New Roman"/>
          <w:bCs/>
          <w:sz w:val="24"/>
          <w:szCs w:val="24"/>
        </w:rPr>
        <w:t>due to the Final Rule in RM16-13</w:t>
      </w:r>
      <w:r w:rsidRPr="00B51BB8">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DB5BD8A" w14:textId="77777777" w:rsidTr="001301E0">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CFF75F" w14:textId="155F02C5"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2025A8" w:rsidRPr="002025A8">
              <w:rPr>
                <w:rFonts w:ascii="Times New Roman" w:eastAsia="Calibri" w:hAnsi="Times New Roman" w:cs="Times New Roman"/>
                <w:b/>
                <w:bCs/>
                <w:sz w:val="24"/>
                <w:szCs w:val="24"/>
              </w:rPr>
              <w:t>ERC-725A</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51DED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5DEA416"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49D2DB"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02B06E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F9998EF" w14:textId="77777777" w:rsidTr="00C55457">
        <w:trPr>
          <w:trHeight w:val="591"/>
        </w:trPr>
        <w:tc>
          <w:tcPr>
            <w:tcW w:w="2679" w:type="dxa"/>
            <w:tcBorders>
              <w:top w:val="single" w:sz="4" w:space="0" w:color="auto"/>
              <w:left w:val="single" w:sz="4" w:space="0" w:color="auto"/>
              <w:bottom w:val="single" w:sz="4" w:space="0" w:color="auto"/>
              <w:right w:val="single" w:sz="4" w:space="0" w:color="auto"/>
            </w:tcBorders>
            <w:hideMark/>
          </w:tcPr>
          <w:p w14:paraId="3035323F"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3D56FEF" w14:textId="3115E72F" w:rsidR="002025A8" w:rsidRPr="002025A8" w:rsidRDefault="00976B33"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616F0">
              <w:rPr>
                <w:rFonts w:ascii="Times New Roman" w:eastAsia="Calibri" w:hAnsi="Times New Roman" w:cs="Times New Roman"/>
                <w:bCs/>
                <w:sz w:val="24"/>
                <w:szCs w:val="24"/>
              </w:rPr>
              <w:t>966</w:t>
            </w:r>
          </w:p>
        </w:tc>
        <w:tc>
          <w:tcPr>
            <w:tcW w:w="1620" w:type="dxa"/>
            <w:tcBorders>
              <w:top w:val="single" w:sz="4" w:space="0" w:color="auto"/>
              <w:left w:val="single" w:sz="4" w:space="0" w:color="auto"/>
              <w:bottom w:val="single" w:sz="4" w:space="0" w:color="auto"/>
              <w:right w:val="single" w:sz="4" w:space="0" w:color="auto"/>
            </w:tcBorders>
            <w:vAlign w:val="bottom"/>
          </w:tcPr>
          <w:p w14:paraId="2E33DD85"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 xml:space="preserve"> 3,966  </w:t>
            </w:r>
          </w:p>
        </w:tc>
        <w:tc>
          <w:tcPr>
            <w:tcW w:w="1800" w:type="dxa"/>
            <w:tcBorders>
              <w:top w:val="single" w:sz="4" w:space="0" w:color="auto"/>
              <w:left w:val="single" w:sz="4" w:space="0" w:color="auto"/>
              <w:bottom w:val="single" w:sz="4" w:space="0" w:color="auto"/>
              <w:right w:val="single" w:sz="4" w:space="0" w:color="auto"/>
            </w:tcBorders>
            <w:vAlign w:val="bottom"/>
          </w:tcPr>
          <w:p w14:paraId="16C60BEA"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6C3C641" w14:textId="3052CFEA" w:rsidR="002025A8" w:rsidRPr="002025A8" w:rsidRDefault="00E616F0"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2025A8" w:rsidRPr="002025A8" w14:paraId="049958AF" w14:textId="77777777" w:rsidTr="00847F18">
        <w:trPr>
          <w:trHeight w:val="107"/>
        </w:trPr>
        <w:tc>
          <w:tcPr>
            <w:tcW w:w="2679" w:type="dxa"/>
            <w:tcBorders>
              <w:top w:val="single" w:sz="4" w:space="0" w:color="auto"/>
              <w:left w:val="single" w:sz="4" w:space="0" w:color="auto"/>
              <w:bottom w:val="single" w:sz="4" w:space="0" w:color="auto"/>
              <w:right w:val="single" w:sz="4" w:space="0" w:color="auto"/>
            </w:tcBorders>
            <w:hideMark/>
          </w:tcPr>
          <w:p w14:paraId="228CE331"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4" w:name="_Ref493840875"/>
            <w:r w:rsidRPr="001301E0">
              <w:rPr>
                <w:rStyle w:val="FootnoteReference"/>
                <w:rFonts w:ascii="Times New Roman" w:eastAsia="Calibri" w:hAnsi="Times New Roman" w:cs="Times New Roman"/>
                <w:bCs/>
                <w:sz w:val="24"/>
                <w:szCs w:val="24"/>
                <w:vertAlign w:val="superscript"/>
              </w:rPr>
              <w:footnoteReference w:id="23"/>
            </w:r>
            <w:bookmarkEnd w:id="4"/>
          </w:p>
        </w:tc>
        <w:tc>
          <w:tcPr>
            <w:tcW w:w="1461" w:type="dxa"/>
            <w:tcBorders>
              <w:top w:val="single" w:sz="4" w:space="0" w:color="auto"/>
              <w:left w:val="single" w:sz="4" w:space="0" w:color="auto"/>
              <w:bottom w:val="single" w:sz="4" w:space="0" w:color="auto"/>
              <w:right w:val="single" w:sz="4" w:space="0" w:color="auto"/>
            </w:tcBorders>
            <w:vAlign w:val="bottom"/>
          </w:tcPr>
          <w:p w14:paraId="11F48487" w14:textId="77777777" w:rsidR="002025A8" w:rsidRPr="002025A8" w:rsidRDefault="00976B33"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1,642,296</w:t>
            </w:r>
          </w:p>
        </w:tc>
        <w:tc>
          <w:tcPr>
            <w:tcW w:w="1620" w:type="dxa"/>
            <w:tcBorders>
              <w:top w:val="single" w:sz="4" w:space="0" w:color="auto"/>
              <w:left w:val="single" w:sz="4" w:space="0" w:color="auto"/>
              <w:bottom w:val="single" w:sz="4" w:space="0" w:color="auto"/>
              <w:right w:val="single" w:sz="4" w:space="0" w:color="auto"/>
            </w:tcBorders>
            <w:vAlign w:val="bottom"/>
          </w:tcPr>
          <w:p w14:paraId="6C8CEB95"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1,642,395</w:t>
            </w:r>
          </w:p>
        </w:tc>
        <w:tc>
          <w:tcPr>
            <w:tcW w:w="1800" w:type="dxa"/>
            <w:tcBorders>
              <w:top w:val="single" w:sz="4" w:space="0" w:color="auto"/>
              <w:left w:val="single" w:sz="4" w:space="0" w:color="auto"/>
              <w:bottom w:val="single" w:sz="4" w:space="0" w:color="auto"/>
              <w:right w:val="single" w:sz="4" w:space="0" w:color="auto"/>
            </w:tcBorders>
            <w:vAlign w:val="bottom"/>
          </w:tcPr>
          <w:p w14:paraId="7536AA56"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D31A525" w14:textId="77777777" w:rsidR="002025A8" w:rsidRPr="002025A8" w:rsidRDefault="002025A8" w:rsidP="009508FC">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w:t>
            </w:r>
            <w:r w:rsidR="009508FC">
              <w:rPr>
                <w:rFonts w:ascii="Times New Roman" w:eastAsia="Calibri" w:hAnsi="Times New Roman" w:cs="Times New Roman"/>
                <w:bCs/>
                <w:sz w:val="24"/>
                <w:szCs w:val="24"/>
              </w:rPr>
              <w:t>99</w:t>
            </w:r>
          </w:p>
        </w:tc>
      </w:tr>
      <w:tr w:rsidR="002025A8" w:rsidRPr="002025A8" w14:paraId="4AE6FA38" w14:textId="77777777" w:rsidTr="00C55457">
        <w:trPr>
          <w:trHeight w:val="295"/>
        </w:trPr>
        <w:tc>
          <w:tcPr>
            <w:tcW w:w="2679" w:type="dxa"/>
            <w:tcBorders>
              <w:top w:val="single" w:sz="4" w:space="0" w:color="auto"/>
              <w:left w:val="single" w:sz="4" w:space="0" w:color="auto"/>
              <w:bottom w:val="single" w:sz="4" w:space="0" w:color="auto"/>
              <w:right w:val="single" w:sz="4" w:space="0" w:color="auto"/>
            </w:tcBorders>
            <w:hideMark/>
          </w:tcPr>
          <w:p w14:paraId="09EBD5B1" w14:textId="07442822"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r w:rsidR="00BC294C" w:rsidRPr="00954D7E">
              <w:rPr>
                <w:rFonts w:ascii="Times New Roman" w:eastAsia="Calibri" w:hAnsi="Times New Roman" w:cs="Times New Roman"/>
                <w:bCs/>
                <w:sz w:val="24"/>
                <w:szCs w:val="24"/>
                <w:vertAlign w:val="superscript"/>
              </w:rPr>
              <w:fldChar w:fldCharType="begin"/>
            </w:r>
            <w:r w:rsidR="00BC294C" w:rsidRPr="00954D7E">
              <w:rPr>
                <w:rFonts w:ascii="Times New Roman" w:eastAsia="Calibri" w:hAnsi="Times New Roman" w:cs="Times New Roman"/>
                <w:bCs/>
                <w:sz w:val="24"/>
                <w:szCs w:val="24"/>
                <w:vertAlign w:val="superscript"/>
              </w:rPr>
              <w:instrText xml:space="preserve"> NOTEREF _Ref500412215 \h </w:instrText>
            </w:r>
            <w:r w:rsidR="00BC294C">
              <w:rPr>
                <w:rFonts w:ascii="Times New Roman" w:eastAsia="Calibri" w:hAnsi="Times New Roman" w:cs="Times New Roman"/>
                <w:bCs/>
                <w:sz w:val="24"/>
                <w:szCs w:val="24"/>
                <w:vertAlign w:val="superscript"/>
              </w:rPr>
              <w:instrText xml:space="preserve"> \* MERGEFORMAT </w:instrText>
            </w:r>
            <w:r w:rsidR="00BC294C" w:rsidRPr="00954D7E">
              <w:rPr>
                <w:rFonts w:ascii="Times New Roman" w:eastAsia="Calibri" w:hAnsi="Times New Roman" w:cs="Times New Roman"/>
                <w:bCs/>
                <w:sz w:val="24"/>
                <w:szCs w:val="24"/>
                <w:vertAlign w:val="superscript"/>
              </w:rPr>
            </w:r>
            <w:r w:rsidR="00BC294C" w:rsidRPr="00954D7E">
              <w:rPr>
                <w:rFonts w:ascii="Times New Roman" w:eastAsia="Calibri" w:hAnsi="Times New Roman" w:cs="Times New Roman"/>
                <w:bCs/>
                <w:sz w:val="24"/>
                <w:szCs w:val="24"/>
                <w:vertAlign w:val="superscript"/>
              </w:rPr>
              <w:fldChar w:fldCharType="separate"/>
            </w:r>
            <w:r w:rsidR="00BC294C" w:rsidRPr="00954D7E">
              <w:rPr>
                <w:rFonts w:ascii="Times New Roman" w:eastAsia="Calibri" w:hAnsi="Times New Roman" w:cs="Times New Roman"/>
                <w:bCs/>
                <w:sz w:val="24"/>
                <w:szCs w:val="24"/>
                <w:vertAlign w:val="superscript"/>
              </w:rPr>
              <w:t>21</w:t>
            </w:r>
            <w:r w:rsidR="00BC294C" w:rsidRPr="00954D7E">
              <w:rPr>
                <w:rFonts w:ascii="Times New Roman" w:eastAsia="Calibri" w:hAnsi="Times New Roman" w:cs="Times New Roman"/>
                <w:bCs/>
                <w:sz w:val="24"/>
                <w:szCs w:val="24"/>
                <w:vertAlign w:val="superscript"/>
              </w:rPr>
              <w:fldChar w:fldCharType="end"/>
            </w:r>
          </w:p>
        </w:tc>
        <w:tc>
          <w:tcPr>
            <w:tcW w:w="1461" w:type="dxa"/>
            <w:tcBorders>
              <w:top w:val="single" w:sz="4" w:space="0" w:color="auto"/>
              <w:left w:val="single" w:sz="4" w:space="0" w:color="auto"/>
              <w:bottom w:val="single" w:sz="4" w:space="0" w:color="auto"/>
              <w:right w:val="single" w:sz="4" w:space="0" w:color="auto"/>
            </w:tcBorders>
            <w:vAlign w:val="bottom"/>
          </w:tcPr>
          <w:p w14:paraId="3771AFE8" w14:textId="73FF15AD" w:rsidR="002025A8" w:rsidRPr="002025A8" w:rsidRDefault="005368DE"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E616F0">
              <w:rPr>
                <w:rFonts w:ascii="Times New Roman" w:eastAsia="Calibri" w:hAnsi="Times New Roman" w:cs="Times New Roman"/>
                <w:bCs/>
                <w:sz w:val="24"/>
                <w:szCs w:val="24"/>
              </w:rPr>
              <w:t>6,725</w:t>
            </w:r>
          </w:p>
        </w:tc>
        <w:tc>
          <w:tcPr>
            <w:tcW w:w="1620" w:type="dxa"/>
            <w:tcBorders>
              <w:top w:val="single" w:sz="4" w:space="0" w:color="auto"/>
              <w:left w:val="single" w:sz="4" w:space="0" w:color="auto"/>
              <w:bottom w:val="single" w:sz="4" w:space="0" w:color="auto"/>
              <w:right w:val="single" w:sz="4" w:space="0" w:color="auto"/>
            </w:tcBorders>
            <w:vAlign w:val="bottom"/>
          </w:tcPr>
          <w:p w14:paraId="1F76317F"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$126,725</w:t>
            </w:r>
          </w:p>
        </w:tc>
        <w:tc>
          <w:tcPr>
            <w:tcW w:w="1800" w:type="dxa"/>
            <w:tcBorders>
              <w:top w:val="single" w:sz="4" w:space="0" w:color="auto"/>
              <w:left w:val="single" w:sz="4" w:space="0" w:color="auto"/>
              <w:bottom w:val="single" w:sz="4" w:space="0" w:color="auto"/>
              <w:right w:val="single" w:sz="4" w:space="0" w:color="auto"/>
            </w:tcBorders>
            <w:vAlign w:val="bottom"/>
          </w:tcPr>
          <w:p w14:paraId="1455A34A"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346612AB" w14:textId="50181B3F"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1A1A16DB" w14:textId="77777777" w:rsidR="002025A8" w:rsidRPr="002025A8" w:rsidRDefault="002025A8" w:rsidP="002025A8">
      <w:pPr>
        <w:spacing w:line="240" w:lineRule="auto"/>
        <w:rPr>
          <w:rFonts w:ascii="Times New Roman" w:eastAsia="Calibri"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12BF3AFE" w14:textId="77777777" w:rsidTr="001301E0">
        <w:trPr>
          <w:trHeight w:val="870"/>
        </w:trPr>
        <w:tc>
          <w:tcPr>
            <w:tcW w:w="2679" w:type="dxa"/>
            <w:shd w:val="clear" w:color="auto" w:fill="D9D9D9" w:themeFill="background1" w:themeFillShade="D9"/>
            <w:vAlign w:val="bottom"/>
          </w:tcPr>
          <w:p w14:paraId="75EB813C"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FERC-725D</w:t>
            </w:r>
          </w:p>
        </w:tc>
        <w:tc>
          <w:tcPr>
            <w:tcW w:w="1461" w:type="dxa"/>
            <w:shd w:val="clear" w:color="auto" w:fill="D9D9D9" w:themeFill="background1" w:themeFillShade="D9"/>
            <w:vAlign w:val="bottom"/>
          </w:tcPr>
          <w:p w14:paraId="66C9C50B"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Total Request</w:t>
            </w:r>
          </w:p>
        </w:tc>
        <w:tc>
          <w:tcPr>
            <w:tcW w:w="1620" w:type="dxa"/>
            <w:shd w:val="clear" w:color="auto" w:fill="D9D9D9" w:themeFill="background1" w:themeFillShade="D9"/>
            <w:vAlign w:val="bottom"/>
          </w:tcPr>
          <w:p w14:paraId="659926B6"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Previously Approved</w:t>
            </w:r>
          </w:p>
        </w:tc>
        <w:tc>
          <w:tcPr>
            <w:tcW w:w="1800" w:type="dxa"/>
            <w:shd w:val="clear" w:color="auto" w:fill="D9D9D9" w:themeFill="background1" w:themeFillShade="D9"/>
            <w:vAlign w:val="bottom"/>
          </w:tcPr>
          <w:p w14:paraId="3F6F0DA7"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Change due to Adjustment in Estimate</w:t>
            </w:r>
          </w:p>
        </w:tc>
        <w:tc>
          <w:tcPr>
            <w:tcW w:w="1800" w:type="dxa"/>
            <w:shd w:val="clear" w:color="auto" w:fill="D9D9D9" w:themeFill="background1" w:themeFillShade="D9"/>
            <w:vAlign w:val="bottom"/>
          </w:tcPr>
          <w:p w14:paraId="226B8AF9"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Change Due to Agency Discretion</w:t>
            </w:r>
          </w:p>
        </w:tc>
      </w:tr>
      <w:tr w:rsidR="002025A8" w:rsidRPr="002025A8" w14:paraId="1241D7FE" w14:textId="77777777" w:rsidTr="00C55457">
        <w:trPr>
          <w:trHeight w:val="591"/>
        </w:trPr>
        <w:tc>
          <w:tcPr>
            <w:tcW w:w="2679" w:type="dxa"/>
            <w:shd w:val="clear" w:color="auto" w:fill="FFFFFF" w:themeFill="background1"/>
          </w:tcPr>
          <w:p w14:paraId="4D46CF28" w14:textId="77777777" w:rsidR="002025A8" w:rsidRPr="002025A8" w:rsidRDefault="002025A8" w:rsidP="00847F18">
            <w:pPr>
              <w:spacing w:after="0"/>
              <w:jc w:val="center"/>
              <w:rPr>
                <w:rFonts w:ascii="Times New Roman" w:hAnsi="Times New Roman" w:cs="Times New Roman"/>
                <w:sz w:val="24"/>
                <w:szCs w:val="24"/>
              </w:rPr>
            </w:pPr>
            <w:r w:rsidRPr="002025A8">
              <w:rPr>
                <w:rFonts w:ascii="Times New Roman" w:hAnsi="Times New Roman" w:cs="Times New Roman"/>
                <w:sz w:val="24"/>
                <w:szCs w:val="24"/>
              </w:rPr>
              <w:t>Annual Number of Responses</w:t>
            </w:r>
          </w:p>
        </w:tc>
        <w:tc>
          <w:tcPr>
            <w:tcW w:w="1461" w:type="dxa"/>
            <w:shd w:val="clear" w:color="auto" w:fill="FFFFFF" w:themeFill="background1"/>
            <w:vAlign w:val="center"/>
          </w:tcPr>
          <w:p w14:paraId="308603CE" w14:textId="77777777" w:rsidR="002025A8" w:rsidRPr="002025A8" w:rsidRDefault="00DA4D6E" w:rsidP="00847F18">
            <w:pPr>
              <w:spacing w:after="0"/>
              <w:jc w:val="right"/>
              <w:rPr>
                <w:rFonts w:ascii="Times New Roman" w:hAnsi="Times New Roman" w:cs="Times New Roman"/>
                <w:sz w:val="24"/>
                <w:szCs w:val="24"/>
              </w:rPr>
            </w:pPr>
            <w:r>
              <w:rPr>
                <w:rFonts w:ascii="Times New Roman" w:hAnsi="Times New Roman" w:cs="Times New Roman"/>
                <w:sz w:val="24"/>
                <w:szCs w:val="24"/>
              </w:rPr>
              <w:t>1,367</w:t>
            </w:r>
          </w:p>
        </w:tc>
        <w:tc>
          <w:tcPr>
            <w:tcW w:w="1620" w:type="dxa"/>
            <w:shd w:val="clear" w:color="auto" w:fill="FFFFFF" w:themeFill="background1"/>
            <w:vAlign w:val="center"/>
          </w:tcPr>
          <w:p w14:paraId="204CBA3F"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1,206</w:t>
            </w:r>
          </w:p>
        </w:tc>
        <w:tc>
          <w:tcPr>
            <w:tcW w:w="1800" w:type="dxa"/>
            <w:shd w:val="clear" w:color="auto" w:fill="FFFFFF" w:themeFill="background1"/>
            <w:vAlign w:val="center"/>
          </w:tcPr>
          <w:p w14:paraId="3A91D682"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shd w:val="clear" w:color="auto" w:fill="FFFFFF" w:themeFill="background1"/>
            <w:vAlign w:val="center"/>
          </w:tcPr>
          <w:p w14:paraId="07DF07FB" w14:textId="77777777" w:rsidR="002025A8" w:rsidRPr="002025A8" w:rsidRDefault="002025A8" w:rsidP="008B1F7E">
            <w:pPr>
              <w:spacing w:after="0"/>
              <w:jc w:val="right"/>
              <w:rPr>
                <w:rFonts w:ascii="Times New Roman" w:hAnsi="Times New Roman" w:cs="Times New Roman"/>
                <w:sz w:val="24"/>
                <w:szCs w:val="24"/>
              </w:rPr>
            </w:pPr>
            <w:r w:rsidRPr="002025A8">
              <w:rPr>
                <w:rFonts w:ascii="Times New Roman" w:hAnsi="Times New Roman" w:cs="Times New Roman"/>
                <w:sz w:val="24"/>
                <w:szCs w:val="24"/>
              </w:rPr>
              <w:t>1</w:t>
            </w:r>
            <w:r w:rsidR="008B1F7E">
              <w:rPr>
                <w:rFonts w:ascii="Times New Roman" w:hAnsi="Times New Roman" w:cs="Times New Roman"/>
                <w:sz w:val="24"/>
                <w:szCs w:val="24"/>
              </w:rPr>
              <w:t>61</w:t>
            </w:r>
          </w:p>
        </w:tc>
      </w:tr>
      <w:tr w:rsidR="002025A8" w:rsidRPr="002025A8" w14:paraId="7102E07C" w14:textId="77777777" w:rsidTr="00847F18">
        <w:trPr>
          <w:trHeight w:val="98"/>
        </w:trPr>
        <w:tc>
          <w:tcPr>
            <w:tcW w:w="2679" w:type="dxa"/>
            <w:shd w:val="clear" w:color="auto" w:fill="FFFFFF" w:themeFill="background1"/>
          </w:tcPr>
          <w:p w14:paraId="0307DA68" w14:textId="70C9F1C5" w:rsidR="002025A8" w:rsidRPr="002025A8" w:rsidRDefault="00847F18" w:rsidP="0029048F">
            <w:pPr>
              <w:spacing w:after="0"/>
              <w:jc w:val="center"/>
              <w:rPr>
                <w:rFonts w:ascii="Times New Roman" w:hAnsi="Times New Roman" w:cs="Times New Roman"/>
                <w:sz w:val="24"/>
                <w:szCs w:val="24"/>
              </w:rPr>
            </w:pPr>
            <w:r>
              <w:rPr>
                <w:rFonts w:ascii="Times New Roman" w:hAnsi="Times New Roman" w:cs="Times New Roman"/>
                <w:sz w:val="24"/>
                <w:szCs w:val="24"/>
              </w:rPr>
              <w:t>Annual Time Burden</w:t>
            </w:r>
            <w:r w:rsidR="0029048F" w:rsidRPr="0029048F">
              <w:rPr>
                <w:rFonts w:ascii="Times New Roman" w:hAnsi="Times New Roman" w:cs="Times New Roman"/>
                <w:sz w:val="24"/>
                <w:szCs w:val="24"/>
                <w:vertAlign w:val="superscript"/>
              </w:rPr>
              <w:fldChar w:fldCharType="begin"/>
            </w:r>
            <w:r w:rsidR="0029048F" w:rsidRPr="0029048F">
              <w:rPr>
                <w:rFonts w:ascii="Times New Roman" w:hAnsi="Times New Roman" w:cs="Times New Roman"/>
                <w:sz w:val="24"/>
                <w:szCs w:val="24"/>
                <w:vertAlign w:val="superscript"/>
              </w:rPr>
              <w:instrText xml:space="preserve"> NOTEREF _Ref493840875 \h  \* MERGEFORMAT </w:instrText>
            </w:r>
            <w:r w:rsidR="0029048F" w:rsidRPr="0029048F">
              <w:rPr>
                <w:rFonts w:ascii="Times New Roman" w:hAnsi="Times New Roman" w:cs="Times New Roman"/>
                <w:sz w:val="24"/>
                <w:szCs w:val="24"/>
                <w:vertAlign w:val="superscript"/>
              </w:rPr>
            </w:r>
            <w:r w:rsidR="0029048F" w:rsidRPr="0029048F">
              <w:rPr>
                <w:rFonts w:ascii="Times New Roman" w:hAnsi="Times New Roman" w:cs="Times New Roman"/>
                <w:sz w:val="24"/>
                <w:szCs w:val="24"/>
                <w:vertAlign w:val="superscript"/>
              </w:rPr>
              <w:fldChar w:fldCharType="separate"/>
            </w:r>
            <w:r w:rsidR="0029048F" w:rsidRPr="0029048F">
              <w:rPr>
                <w:rFonts w:ascii="Times New Roman" w:hAnsi="Times New Roman" w:cs="Times New Roman"/>
                <w:sz w:val="24"/>
                <w:szCs w:val="24"/>
                <w:vertAlign w:val="superscript"/>
              </w:rPr>
              <w:t>20</w:t>
            </w:r>
            <w:r w:rsidR="0029048F" w:rsidRPr="0029048F">
              <w:rPr>
                <w:rFonts w:ascii="Times New Roman" w:hAnsi="Times New Roman" w:cs="Times New Roman"/>
                <w:sz w:val="24"/>
                <w:szCs w:val="24"/>
                <w:vertAlign w:val="superscript"/>
              </w:rPr>
              <w:fldChar w:fldCharType="end"/>
            </w:r>
          </w:p>
        </w:tc>
        <w:tc>
          <w:tcPr>
            <w:tcW w:w="1461" w:type="dxa"/>
            <w:shd w:val="clear" w:color="auto" w:fill="FFFFFF" w:themeFill="background1"/>
            <w:vAlign w:val="center"/>
          </w:tcPr>
          <w:p w14:paraId="5F5284EC" w14:textId="47DA129B"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w:t>
            </w:r>
            <w:r w:rsidR="00DA4D6E">
              <w:rPr>
                <w:rFonts w:ascii="Times New Roman" w:hAnsi="Times New Roman" w:cs="Times New Roman"/>
                <w:sz w:val="24"/>
                <w:szCs w:val="24"/>
              </w:rPr>
              <w:t>54,</w:t>
            </w:r>
            <w:r w:rsidR="00E616F0">
              <w:rPr>
                <w:rFonts w:ascii="Times New Roman" w:hAnsi="Times New Roman" w:cs="Times New Roman"/>
                <w:sz w:val="24"/>
                <w:szCs w:val="24"/>
              </w:rPr>
              <w:t>742</w:t>
            </w:r>
          </w:p>
        </w:tc>
        <w:tc>
          <w:tcPr>
            <w:tcW w:w="1620" w:type="dxa"/>
            <w:shd w:val="clear" w:color="auto" w:fill="FFFFFF" w:themeFill="background1"/>
            <w:vAlign w:val="center"/>
          </w:tcPr>
          <w:p w14:paraId="7BC233F7"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154,420</w:t>
            </w:r>
          </w:p>
        </w:tc>
        <w:tc>
          <w:tcPr>
            <w:tcW w:w="1800" w:type="dxa"/>
            <w:shd w:val="clear" w:color="auto" w:fill="FFFFFF" w:themeFill="background1"/>
            <w:vAlign w:val="center"/>
          </w:tcPr>
          <w:p w14:paraId="64508097"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shd w:val="clear" w:color="auto" w:fill="FFFFFF" w:themeFill="background1"/>
            <w:vAlign w:val="center"/>
          </w:tcPr>
          <w:p w14:paraId="7F62166A" w14:textId="2CB5C64D" w:rsidR="002025A8" w:rsidRPr="002025A8" w:rsidRDefault="00E616F0" w:rsidP="008B1F7E">
            <w:pPr>
              <w:spacing w:after="0"/>
              <w:jc w:val="right"/>
              <w:rPr>
                <w:rFonts w:ascii="Times New Roman" w:hAnsi="Times New Roman" w:cs="Times New Roman"/>
                <w:sz w:val="24"/>
                <w:szCs w:val="24"/>
              </w:rPr>
            </w:pPr>
            <w:r>
              <w:rPr>
                <w:rFonts w:ascii="Times New Roman" w:hAnsi="Times New Roman" w:cs="Times New Roman"/>
                <w:sz w:val="24"/>
                <w:szCs w:val="24"/>
              </w:rPr>
              <w:t>322</w:t>
            </w:r>
          </w:p>
        </w:tc>
      </w:tr>
      <w:tr w:rsidR="002025A8" w:rsidRPr="002025A8" w14:paraId="67A250CB" w14:textId="77777777" w:rsidTr="00C55457">
        <w:trPr>
          <w:trHeight w:val="295"/>
        </w:trPr>
        <w:tc>
          <w:tcPr>
            <w:tcW w:w="2679" w:type="dxa"/>
            <w:tcBorders>
              <w:bottom w:val="single" w:sz="4" w:space="0" w:color="auto"/>
            </w:tcBorders>
            <w:shd w:val="clear" w:color="auto" w:fill="FFFFFF" w:themeFill="background1"/>
          </w:tcPr>
          <w:p w14:paraId="166AD82E" w14:textId="77777777" w:rsidR="002025A8" w:rsidRPr="002025A8" w:rsidRDefault="002025A8" w:rsidP="00847F18">
            <w:pPr>
              <w:spacing w:after="0"/>
              <w:jc w:val="center"/>
              <w:rPr>
                <w:rFonts w:ascii="Times New Roman" w:hAnsi="Times New Roman" w:cs="Times New Roman"/>
                <w:sz w:val="24"/>
                <w:szCs w:val="24"/>
              </w:rPr>
            </w:pPr>
            <w:r w:rsidRPr="002025A8">
              <w:rPr>
                <w:rFonts w:ascii="Times New Roman" w:hAnsi="Times New Roman" w:cs="Times New Roman"/>
                <w:sz w:val="24"/>
                <w:szCs w:val="24"/>
              </w:rPr>
              <w:t>Annual Cost Burden ($)</w:t>
            </w:r>
          </w:p>
        </w:tc>
        <w:tc>
          <w:tcPr>
            <w:tcW w:w="1461" w:type="dxa"/>
            <w:tcBorders>
              <w:bottom w:val="single" w:sz="4" w:space="0" w:color="auto"/>
            </w:tcBorders>
            <w:shd w:val="clear" w:color="auto" w:fill="FFFFFF" w:themeFill="background1"/>
            <w:vAlign w:val="center"/>
          </w:tcPr>
          <w:p w14:paraId="1BF41C2D"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620" w:type="dxa"/>
            <w:tcBorders>
              <w:bottom w:val="single" w:sz="4" w:space="0" w:color="auto"/>
            </w:tcBorders>
            <w:shd w:val="clear" w:color="auto" w:fill="FFFFFF" w:themeFill="background1"/>
            <w:vAlign w:val="center"/>
          </w:tcPr>
          <w:p w14:paraId="7EE9BE6A"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tcBorders>
              <w:bottom w:val="single" w:sz="4" w:space="0" w:color="auto"/>
            </w:tcBorders>
            <w:shd w:val="clear" w:color="auto" w:fill="FFFFFF" w:themeFill="background1"/>
            <w:vAlign w:val="center"/>
          </w:tcPr>
          <w:p w14:paraId="683AE111"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tcBorders>
              <w:bottom w:val="single" w:sz="4" w:space="0" w:color="auto"/>
            </w:tcBorders>
            <w:shd w:val="clear" w:color="auto" w:fill="FFFFFF" w:themeFill="background1"/>
            <w:vAlign w:val="center"/>
          </w:tcPr>
          <w:p w14:paraId="35D92D0E"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r>
    </w:tbl>
    <w:p w14:paraId="59026C5D" w14:textId="77777777" w:rsidR="002025A8" w:rsidRPr="002025A8" w:rsidRDefault="002025A8" w:rsidP="002025A8">
      <w:pPr>
        <w:spacing w:line="240" w:lineRule="auto"/>
        <w:rPr>
          <w:rFonts w:ascii="Times New Roman" w:eastAsia="Calibri"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627CBF77" w14:textId="77777777" w:rsidTr="001301E0">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0405D9" w14:textId="4A95631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E613C6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357552B"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86B4856" w14:textId="3D9F5F9B" w:rsidR="002025A8" w:rsidRPr="002025A8" w:rsidRDefault="00797852" w:rsidP="001301E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FERC-725R</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C2CC6E" w14:textId="5F753914"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A2972D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5327D555"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300A4D" w14:textId="7B92F510"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007FF71"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DDF793A"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3A847A"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F9376D" w14:textId="593212AA"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FD03B3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E84786" w14:textId="77777777" w:rsidTr="00847F18">
        <w:trPr>
          <w:trHeight w:val="269"/>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A1630"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C22718" w14:textId="6BC5C980"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4,001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2C6FE" w14:textId="725D7C08"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3,902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78E11B"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092B0" w14:textId="77777777" w:rsidR="002025A8" w:rsidRPr="002025A8" w:rsidRDefault="008B1F7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99</w:t>
            </w:r>
          </w:p>
        </w:tc>
      </w:tr>
      <w:tr w:rsidR="002025A8" w:rsidRPr="002025A8" w14:paraId="6903DE66" w14:textId="77777777" w:rsidTr="00C55457">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CB480" w14:textId="0E4D05CF" w:rsidR="002025A8" w:rsidRPr="002025A8" w:rsidRDefault="00847F18" w:rsidP="0029048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r w:rsidR="0029048F" w:rsidRPr="0029048F">
              <w:rPr>
                <w:rFonts w:ascii="Times New Roman" w:eastAsia="Calibri" w:hAnsi="Times New Roman" w:cs="Times New Roman"/>
                <w:bCs/>
                <w:sz w:val="24"/>
                <w:szCs w:val="24"/>
                <w:vertAlign w:val="superscript"/>
              </w:rPr>
              <w:fldChar w:fldCharType="begin"/>
            </w:r>
            <w:r w:rsidR="0029048F" w:rsidRPr="0029048F">
              <w:rPr>
                <w:rFonts w:ascii="Times New Roman" w:eastAsia="Calibri" w:hAnsi="Times New Roman" w:cs="Times New Roman"/>
                <w:bCs/>
                <w:sz w:val="24"/>
                <w:szCs w:val="24"/>
                <w:vertAlign w:val="superscript"/>
              </w:rPr>
              <w:instrText xml:space="preserve"> NOTEREF _Ref493840875 \h </w:instrText>
            </w:r>
            <w:r w:rsidR="0029048F">
              <w:rPr>
                <w:rFonts w:ascii="Times New Roman" w:eastAsia="Calibri" w:hAnsi="Times New Roman" w:cs="Times New Roman"/>
                <w:bCs/>
                <w:sz w:val="24"/>
                <w:szCs w:val="24"/>
                <w:vertAlign w:val="superscript"/>
              </w:rPr>
              <w:instrText xml:space="preserve"> \* MERGEFORMAT </w:instrText>
            </w:r>
            <w:r w:rsidR="0029048F" w:rsidRPr="0029048F">
              <w:rPr>
                <w:rFonts w:ascii="Times New Roman" w:eastAsia="Calibri" w:hAnsi="Times New Roman" w:cs="Times New Roman"/>
                <w:bCs/>
                <w:sz w:val="24"/>
                <w:szCs w:val="24"/>
                <w:vertAlign w:val="superscript"/>
              </w:rPr>
            </w:r>
            <w:r w:rsidR="0029048F" w:rsidRPr="0029048F">
              <w:rPr>
                <w:rFonts w:ascii="Times New Roman" w:eastAsia="Calibri" w:hAnsi="Times New Roman" w:cs="Times New Roman"/>
                <w:bCs/>
                <w:sz w:val="24"/>
                <w:szCs w:val="24"/>
                <w:vertAlign w:val="superscript"/>
              </w:rPr>
              <w:fldChar w:fldCharType="separate"/>
            </w:r>
            <w:r w:rsidR="0029048F" w:rsidRPr="0029048F">
              <w:rPr>
                <w:rFonts w:ascii="Times New Roman" w:eastAsia="Calibri" w:hAnsi="Times New Roman" w:cs="Times New Roman"/>
                <w:bCs/>
                <w:sz w:val="24"/>
                <w:szCs w:val="24"/>
                <w:vertAlign w:val="superscript"/>
              </w:rPr>
              <w:t>20</w:t>
            </w:r>
            <w:r w:rsidR="0029048F" w:rsidRPr="0029048F">
              <w:rPr>
                <w:rFonts w:ascii="Times New Roman" w:eastAsia="Calibri" w:hAnsi="Times New Roman" w:cs="Times New Roman"/>
                <w:bCs/>
                <w:sz w:val="24"/>
                <w:szCs w:val="24"/>
                <w:vertAlign w:val="superscript"/>
              </w:rPr>
              <w:fldChar w:fldCharType="end"/>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755DA8" w14:textId="1D8D7091"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32,133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96B0A0" w14:textId="20D93894"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32,034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02C59C"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63E98E" w14:textId="77777777" w:rsidR="002025A8" w:rsidRPr="002025A8" w:rsidRDefault="008B1F7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99</w:t>
            </w:r>
          </w:p>
        </w:tc>
      </w:tr>
      <w:tr w:rsidR="002025A8" w:rsidRPr="002025A8" w14:paraId="4AFB2A51" w14:textId="77777777" w:rsidTr="00847F18">
        <w:trPr>
          <w:trHeight w:val="161"/>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7EBE2"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A12E7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80849E"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6C5EC3"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7C55F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r>
    </w:tbl>
    <w:p w14:paraId="20933EBE" w14:textId="77777777" w:rsidR="00275760" w:rsidRPr="00B51BB8" w:rsidRDefault="00275760" w:rsidP="002A4142">
      <w:pPr>
        <w:spacing w:line="240" w:lineRule="auto"/>
        <w:rPr>
          <w:rFonts w:ascii="Times New Roman" w:hAnsi="Times New Roman" w:cs="Times New Roman"/>
          <w:sz w:val="24"/>
          <w:szCs w:val="24"/>
        </w:rPr>
      </w:pPr>
    </w:p>
    <w:p w14:paraId="4BDAC648"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22F58808" w14:textId="77777777" w:rsidR="00C4205B" w:rsidRPr="00B51BB8" w:rsidRDefault="00C4205B" w:rsidP="00485D08">
      <w:pPr>
        <w:spacing w:after="0" w:line="240" w:lineRule="auto"/>
        <w:rPr>
          <w:rFonts w:ascii="Times New Roman" w:hAnsi="Times New Roman" w:cs="Times New Roman"/>
          <w:b/>
          <w:bCs/>
          <w:sz w:val="24"/>
          <w:szCs w:val="24"/>
        </w:rPr>
      </w:pPr>
    </w:p>
    <w:p w14:paraId="40706682"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33196DA2" w14:textId="77777777" w:rsidR="00C4205B" w:rsidRPr="00B51BB8" w:rsidRDefault="00C4205B" w:rsidP="002A4142">
      <w:pPr>
        <w:spacing w:after="0" w:line="240" w:lineRule="auto"/>
        <w:rPr>
          <w:rFonts w:ascii="Times New Roman" w:hAnsi="Times New Roman" w:cs="Times New Roman"/>
          <w:sz w:val="24"/>
          <w:szCs w:val="24"/>
        </w:rPr>
      </w:pPr>
    </w:p>
    <w:p w14:paraId="718FA29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E5E34CE" w14:textId="77777777" w:rsidR="00C4205B" w:rsidRPr="00B51BB8" w:rsidRDefault="00C4205B" w:rsidP="00485D08">
      <w:pPr>
        <w:spacing w:after="0" w:line="240" w:lineRule="auto"/>
        <w:rPr>
          <w:rFonts w:ascii="Times New Roman" w:hAnsi="Times New Roman" w:cs="Times New Roman"/>
          <w:b/>
          <w:bCs/>
          <w:sz w:val="24"/>
          <w:szCs w:val="24"/>
        </w:rPr>
      </w:pPr>
    </w:p>
    <w:p w14:paraId="6F1C9FAB" w14:textId="77777777" w:rsidR="00C4205B" w:rsidRPr="00B51BB8"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5"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340AD57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1EACBAD5" w14:textId="77777777" w:rsidR="00C4205B" w:rsidRPr="00B51BB8" w:rsidRDefault="00C4205B" w:rsidP="00485D08">
      <w:pPr>
        <w:spacing w:after="0" w:line="240" w:lineRule="auto"/>
        <w:rPr>
          <w:rFonts w:ascii="Times New Roman" w:hAnsi="Times New Roman" w:cs="Times New Roman"/>
          <w:sz w:val="24"/>
          <w:szCs w:val="24"/>
        </w:rPr>
      </w:pPr>
    </w:p>
    <w:p w14:paraId="63884D7A"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B7A5C" w14:textId="77777777" w:rsidR="00C55457" w:rsidRDefault="00C55457" w:rsidP="00D350A8">
      <w:pPr>
        <w:spacing w:after="0" w:line="240" w:lineRule="auto"/>
      </w:pPr>
      <w:r>
        <w:separator/>
      </w:r>
    </w:p>
  </w:endnote>
  <w:endnote w:type="continuationSeparator" w:id="0">
    <w:p w14:paraId="4B9466BA" w14:textId="77777777" w:rsidR="00C55457" w:rsidRDefault="00C55457" w:rsidP="00D350A8">
      <w:pPr>
        <w:spacing w:after="0" w:line="240" w:lineRule="auto"/>
      </w:pPr>
      <w:r>
        <w:continuationSeparator/>
      </w:r>
    </w:p>
  </w:endnote>
  <w:endnote w:type="continuationNotice" w:id="1">
    <w:p w14:paraId="4E2B8A6C" w14:textId="77777777" w:rsidR="00960BCF" w:rsidRDefault="00960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4A302353" w14:textId="77777777" w:rsidR="00C55457" w:rsidRDefault="00C55457">
        <w:pPr>
          <w:pStyle w:val="Footer"/>
          <w:jc w:val="right"/>
        </w:pPr>
        <w:r>
          <w:fldChar w:fldCharType="begin"/>
        </w:r>
        <w:r>
          <w:instrText xml:space="preserve"> PAGE   \* MERGEFORMAT </w:instrText>
        </w:r>
        <w:r>
          <w:fldChar w:fldCharType="separate"/>
        </w:r>
        <w:r w:rsidR="00845864">
          <w:rPr>
            <w:noProof/>
          </w:rPr>
          <w:t>1</w:t>
        </w:r>
        <w:r>
          <w:rPr>
            <w:noProof/>
          </w:rPr>
          <w:fldChar w:fldCharType="end"/>
        </w:r>
      </w:p>
    </w:sdtContent>
  </w:sdt>
  <w:p w14:paraId="33C80DF4"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7D5CC" w14:textId="77777777" w:rsidR="00C55457" w:rsidRDefault="00C55457" w:rsidP="00D350A8">
      <w:pPr>
        <w:spacing w:after="0" w:line="240" w:lineRule="auto"/>
      </w:pPr>
      <w:r>
        <w:separator/>
      </w:r>
    </w:p>
  </w:footnote>
  <w:footnote w:type="continuationSeparator" w:id="0">
    <w:p w14:paraId="3F0A3CF0" w14:textId="77777777" w:rsidR="00C55457" w:rsidRDefault="00C55457" w:rsidP="00D350A8">
      <w:pPr>
        <w:spacing w:after="0" w:line="240" w:lineRule="auto"/>
      </w:pPr>
      <w:r>
        <w:continuationSeparator/>
      </w:r>
    </w:p>
  </w:footnote>
  <w:footnote w:type="continuationNotice" w:id="1">
    <w:p w14:paraId="22D9502C" w14:textId="77777777" w:rsidR="00960BCF" w:rsidRDefault="00960BCF">
      <w:pPr>
        <w:spacing w:after="0" w:line="240" w:lineRule="auto"/>
      </w:pPr>
    </w:p>
  </w:footnote>
  <w:footnote w:id="2">
    <w:p w14:paraId="4874DAE7" w14:textId="77777777" w:rsidR="00C55457" w:rsidRPr="00CB0831" w:rsidRDefault="00C55457">
      <w:pPr>
        <w:pStyle w:val="FootnoteText"/>
      </w:pPr>
      <w:r w:rsidRPr="00765358">
        <w:rPr>
          <w:rStyle w:val="FootnoteReference"/>
        </w:rPr>
        <w:footnoteRef/>
      </w:r>
      <w:r w:rsidRPr="00765358">
        <w:t xml:space="preserve"> </w:t>
      </w:r>
      <w:r>
        <w:t>The Final Rule (Order 836</w:t>
      </w:r>
      <w:r w:rsidRPr="00765358">
        <w:t xml:space="preserve">, issued 9/20/2017) is available in FERC’s eLibrary system at </w:t>
      </w:r>
      <w:hyperlink r:id="rId1" w:history="1">
        <w:r w:rsidRPr="00765358">
          <w:rPr>
            <w:rStyle w:val="Hyperlink"/>
          </w:rPr>
          <w:t>https://elibrary.ferc.gov/idmws/common/OpenNat.asp?fileID=14684897</w:t>
        </w:r>
      </w:hyperlink>
      <w:r w:rsidRPr="00765358">
        <w:t>.</w:t>
      </w:r>
    </w:p>
  </w:footnote>
  <w:footnote w:id="3">
    <w:p w14:paraId="3F262FC7" w14:textId="1F4FAA3A" w:rsidR="005515AF" w:rsidRDefault="005515AF">
      <w:pPr>
        <w:pStyle w:val="FootnoteText"/>
      </w:pPr>
      <w:r>
        <w:rPr>
          <w:rStyle w:val="FootnoteReference"/>
        </w:rPr>
        <w:footnoteRef/>
      </w:r>
      <w:r>
        <w:t xml:space="preserve"> </w:t>
      </w:r>
      <w:r w:rsidRPr="00954D7E">
        <w:rPr>
          <w:i/>
        </w:rPr>
        <w:t>Please note that in the Final Rule in Docket No. RM16-13, the FERC-725R1 (a ‘placeholder’ information collection number) was discussed because the FERC-725R (the appropriate OMB Control No) was pending OMB review in an unrelated item (ICR 201705-1902-003).  (Only one item per OMB Control No. may be pending OMB review at a time.)  In the interim, OMB issued its decision on the other unrelated FERC-725R package, so this submittal for the Final Rule in RM16-13 can now be made under FERC-725R.</w:t>
      </w:r>
    </w:p>
  </w:footnote>
  <w:footnote w:id="4">
    <w:p w14:paraId="45FE9EF8" w14:textId="77777777" w:rsidR="00C55457" w:rsidRPr="00CB0831" w:rsidRDefault="00C55457" w:rsidP="00B51BB8">
      <w:pPr>
        <w:pStyle w:val="FootnoteText"/>
      </w:pPr>
      <w:r w:rsidRPr="00CB0831">
        <w:rPr>
          <w:rStyle w:val="FootnoteReference"/>
        </w:rPr>
        <w:footnoteRef/>
      </w:r>
      <w:r w:rsidRPr="00CB0831">
        <w:t xml:space="preserve">  16 U.S.C. 824(o).</w:t>
      </w:r>
    </w:p>
  </w:footnote>
  <w:footnote w:id="5">
    <w:p w14:paraId="258C5D6A" w14:textId="55A6D8C6" w:rsidR="0076316B" w:rsidRDefault="0076316B">
      <w:pPr>
        <w:pStyle w:val="FootnoteText"/>
      </w:pPr>
      <w:r>
        <w:rPr>
          <w:rStyle w:val="FootnoteReference"/>
        </w:rPr>
        <w:footnoteRef/>
      </w:r>
      <w:r>
        <w:t xml:space="preserve"> Order 836 in Docket No. RM16-13 was issued on 9/20/2017 and is posted at </w:t>
      </w:r>
      <w:r w:rsidRPr="0076316B">
        <w:t>https://elibrary.ferc.gov/idmws/common/opennat.asp?fileID=14684897</w:t>
      </w:r>
      <w:r>
        <w:t>.</w:t>
      </w:r>
    </w:p>
  </w:footnote>
  <w:footnote w:id="6">
    <w:p w14:paraId="54255BC5" w14:textId="77777777" w:rsidR="00C55457" w:rsidRPr="00CB0831" w:rsidRDefault="00C55457" w:rsidP="00DF1C8D">
      <w:pPr>
        <w:pStyle w:val="FootnoteText"/>
      </w:pPr>
      <w:r w:rsidRPr="00847F18">
        <w:rPr>
          <w:rStyle w:val="FootnoteReference"/>
        </w:rPr>
        <w:footnoteRef/>
      </w:r>
      <w:r w:rsidRPr="00847F18">
        <w:t xml:space="preserve"> </w:t>
      </w:r>
      <w:r w:rsidRPr="00CB0831">
        <w:t>NERC states that Reporting ACE “represents a Balancing Authority Area’s [BAA] Area Control Error [ACE] measured in megawatts [MW] as the difference between the [Balancing Authority Area’s] Actual and Scheduled Net Interchange, plus its Frequency Bias Setting obligation and meter error corrections.  Reporting ACE helps Responsible Entities provide reliable frequency control by indicating the current state of the entity’s contribution to Reliability.”  NERC Petition at 3.</w:t>
      </w:r>
    </w:p>
  </w:footnote>
  <w:footnote w:id="7">
    <w:p w14:paraId="10CD5E2A" w14:textId="571AC28C" w:rsidR="00C55457" w:rsidRDefault="00C55457">
      <w:pPr>
        <w:pStyle w:val="FootnoteText"/>
      </w:pPr>
      <w:r>
        <w:rPr>
          <w:rStyle w:val="FootnoteReference"/>
        </w:rPr>
        <w:footnoteRef/>
      </w:r>
      <w:r>
        <w:t xml:space="preserve"> This one-time burden increase is annualized over three years.  The burden will be removed at a later time.</w:t>
      </w:r>
    </w:p>
  </w:footnote>
  <w:footnote w:id="8">
    <w:p w14:paraId="383E7FF0" w14:textId="77777777" w:rsidR="00C55457" w:rsidRPr="00CB0831" w:rsidRDefault="00C55457" w:rsidP="00DF1C8D">
      <w:pPr>
        <w:pStyle w:val="FootnoteText"/>
      </w:pPr>
      <w:r w:rsidRPr="00CB0831">
        <w:rPr>
          <w:rStyle w:val="FootnoteReference"/>
        </w:rPr>
        <w:footnoteRef/>
      </w:r>
      <w:r w:rsidRPr="00CB0831">
        <w:t xml:space="preserve"> U. S. Small Business Administration, </w:t>
      </w:r>
      <w:r w:rsidRPr="00CB0831">
        <w:rPr>
          <w:i/>
        </w:rPr>
        <w:t>A Guide for Government Agencies:  How to comply with the Regulatory Flexibility Act</w:t>
      </w:r>
      <w:r w:rsidRPr="00CB0831">
        <w:t>, at 18 (May 2012), https://www.sba.gov/sites/default/files/advocacy/rfaguide_0512_0.pdf.</w:t>
      </w:r>
    </w:p>
  </w:footnote>
  <w:footnote w:id="9">
    <w:p w14:paraId="50BEFF31"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10">
    <w:p w14:paraId="4A50CEF2" w14:textId="77777777" w:rsidR="00C55457" w:rsidRPr="00CB0831" w:rsidRDefault="00C55457" w:rsidP="00CB0831">
      <w:pPr>
        <w:pStyle w:val="FootnoteText"/>
      </w:pPr>
      <w:r w:rsidRPr="00847F18">
        <w:rPr>
          <w:rStyle w:val="FootnoteReference"/>
        </w:rPr>
        <w:footnoteRef/>
      </w:r>
      <w:r w:rsidRPr="00847F18">
        <w:t xml:space="preserve"> </w:t>
      </w:r>
      <w:r w:rsidRPr="00CB0831">
        <w:t>Reliability Standard FAC-001-3 (in FERC-725D) replaces and strengthens currently effective Reliability Standard FAC-001-2 by moving currently effective Requirement R1 of Reliability Standard BAL-0</w:t>
      </w:r>
      <w:r>
        <w:t xml:space="preserve">05-0.2b (FERC-725R) to </w:t>
      </w:r>
      <w:r w:rsidRPr="00CB0831">
        <w:t>Reliability Standard FAC-001-3, requiring that transmission owner and generator owner interconnection requirements include procedures for confirming that new or materially modified facilities connecting to the bulk electric system are within a balancing authority’s metered boundaries.  NERC explains that these interconnection requirements should be relocated to Reliability Standard FAC-001-3, as FAC-001-3 establishes facility interconnection requirements.</w:t>
      </w:r>
    </w:p>
  </w:footnote>
  <w:footnote w:id="11">
    <w:p w14:paraId="191FF315" w14:textId="77777777" w:rsidR="00C55457" w:rsidRDefault="00C55457">
      <w:pPr>
        <w:pStyle w:val="FootnoteText"/>
      </w:pPr>
      <w:r>
        <w:rPr>
          <w:rStyle w:val="FootnoteReference"/>
        </w:rPr>
        <w:footnoteRef/>
      </w:r>
      <w:r>
        <w:t xml:space="preserve"> </w:t>
      </w:r>
      <w:r w:rsidRPr="00CB0831">
        <w:t xml:space="preserve">The estimated number of respondents is based on the NERC compliance </w:t>
      </w:r>
      <w:r w:rsidRPr="008D4025">
        <w:t>registry as of August 12, 2016.</w:t>
      </w:r>
      <w:r w:rsidRPr="00CB0831">
        <w:t xml:space="preserve">  According to the NERC compliance registry, there are 70 U.S. balancing authorities (BA) in the Eastern Interconnection, 34 balancing authorities in the Western Interconnection and one balancing authority in the Electric Reliability Council of Texas (ERCOT).  </w:t>
      </w:r>
    </w:p>
  </w:footnote>
  <w:footnote w:id="12">
    <w:p w14:paraId="79BD25F2" w14:textId="77777777" w:rsidR="00C55457" w:rsidRDefault="00C55457">
      <w:pPr>
        <w:pStyle w:val="FootnoteText"/>
      </w:pPr>
      <w:r>
        <w:rPr>
          <w:rStyle w:val="FootnoteReference"/>
        </w:rPr>
        <w:footnoteRef/>
      </w:r>
      <w:r>
        <w:t xml:space="preserve"> </w:t>
      </w:r>
      <w:r w:rsidRPr="00CB0831">
        <w:t>For purposes of determining the overall annual cost of the record-keeping and reporting changes reflected in this NOPR, the one-time cost associated with administering the change to BAL-005-1 is being treated as an annual cost. The total annual cost is derived from salary figures from the Bureau of Labor Statistics for two positions involved in the reporting and record-keeping associated with this collection.  These figures include salary (</w:t>
      </w:r>
      <w:hyperlink r:id="rId2" w:history="1">
        <w:r w:rsidRPr="00CB0831">
          <w:rPr>
            <w:rStyle w:val="Hyperlink"/>
          </w:rPr>
          <w:t>http://bls.gov/oes/current/naics2_22.htm</w:t>
        </w:r>
      </w:hyperlink>
      <w:r w:rsidRPr="00CB0831">
        <w:t>) and other associated benefits (</w:t>
      </w:r>
      <w:hyperlink r:id="rId3" w:history="1">
        <w:r w:rsidRPr="00CB0831">
          <w:rPr>
            <w:rStyle w:val="Hyperlink"/>
          </w:rPr>
          <w:t>http://www.bls.gov/news.release/ecec.nr0.htm</w:t>
        </w:r>
      </w:hyperlink>
      <w:r>
        <w:t>).</w:t>
      </w:r>
    </w:p>
  </w:footnote>
  <w:footnote w:id="13">
    <w:p w14:paraId="6865B364" w14:textId="77777777" w:rsidR="00C55457" w:rsidRDefault="00C55457" w:rsidP="005368DE">
      <w:pPr>
        <w:pStyle w:val="FootnoteText"/>
      </w:pPr>
      <w:r>
        <w:rPr>
          <w:rStyle w:val="FootnoteReference"/>
        </w:rPr>
        <w:footnoteRef/>
      </w:r>
      <w:r>
        <w:t xml:space="preserve"> Responses related to BAL-005-1 as imposed by the RM16-13-000 Final Rule are one-time.</w:t>
      </w:r>
    </w:p>
  </w:footnote>
  <w:footnote w:id="14">
    <w:p w14:paraId="209FF48C" w14:textId="77777777" w:rsidR="00C55457" w:rsidRDefault="00C55457">
      <w:pPr>
        <w:pStyle w:val="FootnoteText"/>
      </w:pPr>
      <w:r>
        <w:rPr>
          <w:rStyle w:val="FootnoteReference"/>
        </w:rPr>
        <w:footnoteRef/>
      </w:r>
      <w:r>
        <w:t xml:space="preserve"> This is the hourly wage figure (plus benefits) associated with electrical engineers (Occupation Code: 17-2071) from the Bureau of Labor Statistics website (</w:t>
      </w:r>
      <w:hyperlink r:id="rId4" w:history="1">
        <w:r w:rsidRPr="00A35E97">
          <w:rPr>
            <w:rStyle w:val="Hyperlink"/>
          </w:rPr>
          <w:t>http://www.bls.gov/oes/current/naics2_22.htm</w:t>
        </w:r>
      </w:hyperlink>
      <w:r>
        <w:t>).</w:t>
      </w:r>
    </w:p>
  </w:footnote>
  <w:footnote w:id="15">
    <w:p w14:paraId="337563F2" w14:textId="77777777" w:rsidR="00C55457" w:rsidRPr="00CB0831" w:rsidRDefault="00C55457" w:rsidP="005368DE">
      <w:pPr>
        <w:pStyle w:val="FootnoteText"/>
      </w:pPr>
      <w:r w:rsidRPr="00847F18">
        <w:rPr>
          <w:rStyle w:val="FootnoteReference"/>
        </w:rPr>
        <w:footnoteRef/>
      </w:r>
      <w:r w:rsidRPr="00CB0831">
        <w:rPr>
          <w:vertAlign w:val="superscript"/>
        </w:rPr>
        <w:t xml:space="preserve"> </w:t>
      </w:r>
      <w:r w:rsidRPr="00CB0831">
        <w:t>Per the NERC compliance registry, there are 56 generator owners (GO) that are not also generator operators and 142 transmission owners (TO) that are not also transmission op</w:t>
      </w:r>
      <w:r>
        <w:t>erators, for a total of 161</w:t>
      </w:r>
      <w:r w:rsidRPr="00CB0831">
        <w:t xml:space="preserve"> new entities in the United States subject to FAC-001-3 Requirement R3. </w:t>
      </w:r>
    </w:p>
  </w:footnote>
  <w:footnote w:id="16">
    <w:p w14:paraId="153D675C" w14:textId="0EE56400" w:rsidR="00C55457" w:rsidRDefault="00C55457">
      <w:pPr>
        <w:pStyle w:val="FootnoteText"/>
      </w:pPr>
      <w:r>
        <w:rPr>
          <w:rStyle w:val="FootnoteReference"/>
        </w:rPr>
        <w:footnoteRef/>
      </w:r>
      <w:r>
        <w:t xml:space="preserve"> This hourly figure was incorrectly stated as 1 hour per response in the Final Rule.  The correct figure is 2 hours per response which will result in a total annual burden of 322 hours imposed by Reliability Standard FAC-001-3.</w:t>
      </w:r>
    </w:p>
  </w:footnote>
  <w:footnote w:id="17">
    <w:p w14:paraId="5AB21F48" w14:textId="7F8F8E9F" w:rsidR="00C55457" w:rsidRDefault="00C55457">
      <w:pPr>
        <w:pStyle w:val="FootnoteText"/>
      </w:pPr>
      <w:r>
        <w:rPr>
          <w:rStyle w:val="FootnoteReference"/>
        </w:rPr>
        <w:footnoteRef/>
      </w:r>
      <w:r>
        <w:t xml:space="preserve"> </w:t>
      </w:r>
      <w:r w:rsidRPr="005C2C89">
        <w:t>The average burden hours per response related to FAC-001-3 was listed as 1 hour in the RM16-13 Final Rule</w:t>
      </w:r>
      <w:r>
        <w:t xml:space="preserve"> (issued</w:t>
      </w:r>
      <w:r w:rsidRPr="005C2C89">
        <w:t xml:space="preserve"> </w:t>
      </w:r>
      <w:r>
        <w:t xml:space="preserve">9/20/2017 </w:t>
      </w:r>
      <w:hyperlink r:id="rId5" w:history="1">
        <w:r w:rsidRPr="00D13727">
          <w:rPr>
            <w:rStyle w:val="Hyperlink"/>
          </w:rPr>
          <w:t>https://elibrary.ferc.gov/idmws/common/OpenNat.asp?fileID=14684897</w:t>
        </w:r>
      </w:hyperlink>
      <w:r>
        <w:t>). The figure</w:t>
      </w:r>
      <w:r w:rsidRPr="005C2C89">
        <w:t xml:space="preserve"> is corrected here to 2 hours.  The resulting annual burden related to FAC-003-1 is corrected to 322 hours </w:t>
      </w:r>
      <w:r>
        <w:t>(from 161 hours in the</w:t>
      </w:r>
      <w:r w:rsidRPr="005C2C89">
        <w:t xml:space="preserve"> </w:t>
      </w:r>
      <w:r>
        <w:t>issued Fina</w:t>
      </w:r>
      <w:r w:rsidRPr="005C2C89">
        <w:t>l Rule).</w:t>
      </w:r>
    </w:p>
  </w:footnote>
  <w:footnote w:id="18">
    <w:p w14:paraId="39880086" w14:textId="47FB0A75" w:rsidR="00C55457" w:rsidRDefault="00C55457">
      <w:pPr>
        <w:pStyle w:val="FootnoteText"/>
      </w:pPr>
      <w:r>
        <w:rPr>
          <w:rStyle w:val="FootnoteReference"/>
        </w:rPr>
        <w:footnoteRef/>
      </w:r>
      <w:r>
        <w:t xml:space="preserve"> This is the hourly wage figure (plus </w:t>
      </w:r>
      <w:r w:rsidRPr="008D4025">
        <w:t>benefits) is the sum of two figures</w:t>
      </w:r>
      <w:r>
        <w:t>: the $64.29/hour wage associated with electrical engineers (Occupation Code: 17-2071) and the $37.75/hour wage associated with record and information clerks (Occupation Code: 34-4199).  Both figures are from the Bureau of Labor Statistics website (</w:t>
      </w:r>
      <w:hyperlink r:id="rId6" w:history="1">
        <w:r w:rsidRPr="00A35E97">
          <w:rPr>
            <w:rStyle w:val="Hyperlink"/>
          </w:rPr>
          <w:t>http://www.bls.gov/oes/current/naics2_22.htm</w:t>
        </w:r>
      </w:hyperlink>
      <w:r>
        <w:t xml:space="preserve">). </w:t>
      </w:r>
    </w:p>
  </w:footnote>
  <w:footnote w:id="19">
    <w:p w14:paraId="6BBAA6ED" w14:textId="6DF3F9DE" w:rsidR="00C55457" w:rsidRPr="00CB0831" w:rsidRDefault="00C55457" w:rsidP="00BC26CE">
      <w:pPr>
        <w:pStyle w:val="FootnoteText"/>
      </w:pPr>
      <w:r w:rsidRPr="00847F18">
        <w:rPr>
          <w:rStyle w:val="FootnoteReference"/>
        </w:rPr>
        <w:footnoteRef/>
      </w:r>
      <w:r w:rsidRPr="00847F18">
        <w:t xml:space="preserve"> </w:t>
      </w:r>
      <w:r w:rsidRPr="00CB0831">
        <w:t xml:space="preserve">The NOPR indicated there would be </w:t>
      </w:r>
      <w:r>
        <w:t>99</w:t>
      </w:r>
      <w:r w:rsidR="00812AE2">
        <w:t xml:space="preserve"> </w:t>
      </w:r>
      <w:r w:rsidRPr="00CB0831">
        <w:t xml:space="preserve">responses reduced from FERC-725A to reflect the retirement of the standard.  FERC-725A continues to include multiple other standards (with reporting and recordkeeping requirements) applying to multiple types of entities (including Balancing Authorities), with an average of 1 response per entity.  Because BAs continue to have other responsibilities under FERC-725A, we will not reduce the number of responses by </w:t>
      </w:r>
      <w:r>
        <w:t>99</w:t>
      </w:r>
      <w:r w:rsidRPr="00CB0831">
        <w:t xml:space="preserve"> for the purposes of reginfo.gov and ROCIS.  We will reduce the number of total hours under FERC-725A by </w:t>
      </w:r>
      <w:r>
        <w:t>99</w:t>
      </w:r>
      <w:r w:rsidRPr="00CB0831">
        <w:t xml:space="preserve"> to reflect the retirement of the standard.</w:t>
      </w:r>
    </w:p>
  </w:footnote>
  <w:footnote w:id="20">
    <w:p w14:paraId="72A2D49F" w14:textId="77777777" w:rsidR="00C55457" w:rsidRDefault="00C55457" w:rsidP="0014705F">
      <w:pPr>
        <w:pStyle w:val="FootnoteText"/>
      </w:pPr>
      <w:r>
        <w:rPr>
          <w:rStyle w:val="FootnoteReference"/>
        </w:rPr>
        <w:footnoteRef/>
      </w:r>
      <w:r>
        <w:t xml:space="preserve"> This is the hourly wage figure (plus benefits) associated with information and record clerks (Occupation Code: 43-4199) from the Bureau of Labor Statistics website (</w:t>
      </w:r>
      <w:hyperlink r:id="rId7" w:history="1">
        <w:r w:rsidRPr="00A35E97">
          <w:rPr>
            <w:rStyle w:val="Hyperlink"/>
          </w:rPr>
          <w:t>http://www.bls.gov/oes/current/naics2_22.htm</w:t>
        </w:r>
      </w:hyperlink>
      <w:r>
        <w:t>).</w:t>
      </w:r>
    </w:p>
  </w:footnote>
  <w:footnote w:id="21">
    <w:p w14:paraId="56EAFEED" w14:textId="620DFE34" w:rsidR="00C55457" w:rsidRDefault="00C55457">
      <w:pPr>
        <w:pStyle w:val="FootnoteText"/>
      </w:pPr>
      <w:r>
        <w:rPr>
          <w:rStyle w:val="FootnoteReference"/>
        </w:rPr>
        <w:footnoteRef/>
      </w:r>
      <w:r>
        <w:t xml:space="preserve"> </w:t>
      </w:r>
      <w:r w:rsidRPr="00BB5287">
        <w:t>The net total annual burden hour figure is updated (due to corrections noted in Footnote 14) from 260 hours to 322 hours.</w:t>
      </w:r>
    </w:p>
  </w:footnote>
  <w:footnote w:id="22">
    <w:p w14:paraId="5A6D2256" w14:textId="288DE0C3" w:rsidR="00A64C19" w:rsidRDefault="00A64C19">
      <w:pPr>
        <w:pStyle w:val="FootnoteText"/>
      </w:pPr>
      <w:r>
        <w:rPr>
          <w:rStyle w:val="FootnoteReference"/>
        </w:rPr>
        <w:footnoteRef/>
      </w:r>
      <w:r>
        <w:t xml:space="preserve"> The “cost burden” in </w:t>
      </w:r>
      <w:r w:rsidR="00DE7360">
        <w:t xml:space="preserve">the current OMB-approved inventory for </w:t>
      </w:r>
      <w:r>
        <w:t>FERC-725A does not change due to Docket RM16-13.</w:t>
      </w:r>
    </w:p>
  </w:footnote>
  <w:footnote w:id="23">
    <w:p w14:paraId="4FEE16C2" w14:textId="77777777" w:rsidR="00C55457" w:rsidRDefault="00C55457">
      <w:pPr>
        <w:pStyle w:val="FootnoteText"/>
      </w:pPr>
      <w:r>
        <w:rPr>
          <w:rStyle w:val="FootnoteReference"/>
        </w:rPr>
        <w:footnoteRef/>
      </w:r>
      <w:r>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A464" w14:textId="2CFB329D" w:rsidR="00C55457" w:rsidRPr="00B51BB8" w:rsidRDefault="00C55457" w:rsidP="002A4142">
    <w:pPr>
      <w:tabs>
        <w:tab w:val="right" w:pos="10080"/>
      </w:tabs>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FERC-725A, FERC-725D, and </w:t>
    </w:r>
    <w:r>
      <w:rPr>
        <w:rFonts w:ascii="Times New Roman" w:hAnsi="Times New Roman" w:cs="Times New Roman"/>
        <w:sz w:val="24"/>
        <w:szCs w:val="24"/>
      </w:rPr>
      <w:t>FERC-725R</w:t>
    </w:r>
    <w:r w:rsidRPr="00B51BB8">
      <w:rPr>
        <w:rFonts w:ascii="Times New Roman" w:hAnsi="Times New Roman" w:cs="Times New Roman"/>
        <w:sz w:val="24"/>
        <w:szCs w:val="24"/>
      </w:rPr>
      <w:t xml:space="preserve"> (OMB Control Nos. 1902-0244, </w:t>
    </w:r>
    <w:r>
      <w:rPr>
        <w:rFonts w:ascii="Times New Roman" w:hAnsi="Times New Roman" w:cs="Times New Roman"/>
        <w:sz w:val="24"/>
        <w:szCs w:val="24"/>
      </w:rPr>
      <w:t>1902-0247, and 1902-0268</w:t>
    </w:r>
    <w:r w:rsidRPr="00B51BB8">
      <w:rPr>
        <w:rFonts w:ascii="Times New Roman" w:hAnsi="Times New Roman" w:cs="Times New Roman"/>
        <w:sz w:val="24"/>
        <w:szCs w:val="24"/>
      </w:rPr>
      <w:t xml:space="preserve"> respectively) </w:t>
    </w:r>
  </w:p>
  <w:p w14:paraId="06829268" w14:textId="77777777" w:rsidR="00C55457" w:rsidRDefault="00C55457" w:rsidP="002A4142">
    <w:pPr>
      <w:pStyle w:val="Header"/>
      <w:rPr>
        <w:rFonts w:ascii="Times New Roman" w:hAnsi="Times New Roman" w:cs="Times New Roman"/>
        <w:bCs/>
        <w:sz w:val="24"/>
        <w:szCs w:val="24"/>
      </w:rPr>
    </w:pPr>
    <w:r>
      <w:rPr>
        <w:rFonts w:ascii="Times New Roman" w:hAnsi="Times New Roman" w:cs="Times New Roman"/>
        <w:bCs/>
        <w:sz w:val="24"/>
        <w:szCs w:val="24"/>
      </w:rPr>
      <w:t>Final Rule (Order 836</w:t>
    </w:r>
    <w:r w:rsidRPr="00B51BB8">
      <w:rPr>
        <w:rFonts w:ascii="Times New Roman" w:hAnsi="Times New Roman" w:cs="Times New Roman"/>
        <w:bCs/>
        <w:sz w:val="24"/>
        <w:szCs w:val="24"/>
      </w:rPr>
      <w:t>, issued 9/20/2017) in Docket RM16-13</w:t>
    </w:r>
    <w:r>
      <w:rPr>
        <w:rFonts w:ascii="Times New Roman" w:hAnsi="Times New Roman" w:cs="Times New Roman"/>
        <w:bCs/>
        <w:sz w:val="24"/>
        <w:szCs w:val="24"/>
      </w:rPr>
      <w:t>-000</w:t>
    </w:r>
  </w:p>
  <w:p w14:paraId="5A375FD8" w14:textId="77777777" w:rsidR="00C55457" w:rsidRDefault="00C55457" w:rsidP="002A4142">
    <w:pPr>
      <w:pStyle w:val="Header"/>
      <w:rPr>
        <w:rFonts w:ascii="Times New Roman" w:hAnsi="Times New Roman" w:cs="Times New Roman"/>
        <w:bCs/>
        <w:sz w:val="24"/>
        <w:szCs w:val="24"/>
      </w:rPr>
    </w:pPr>
    <w:r w:rsidRPr="00B51BB8">
      <w:rPr>
        <w:rFonts w:ascii="Times New Roman" w:hAnsi="Times New Roman" w:cs="Times New Roman"/>
        <w:bCs/>
        <w:sz w:val="24"/>
        <w:szCs w:val="24"/>
      </w:rPr>
      <w:t>RIN</w:t>
    </w:r>
    <w:r>
      <w:rPr>
        <w:rFonts w:ascii="Times New Roman" w:hAnsi="Times New Roman" w:cs="Times New Roman"/>
        <w:bCs/>
        <w:sz w:val="24"/>
        <w:szCs w:val="24"/>
      </w:rPr>
      <w:t>:</w:t>
    </w:r>
    <w:r w:rsidRPr="00B51BB8">
      <w:rPr>
        <w:rFonts w:ascii="Times New Roman" w:hAnsi="Times New Roman" w:cs="Times New Roman"/>
        <w:bCs/>
        <w:sz w:val="24"/>
        <w:szCs w:val="24"/>
      </w:rPr>
      <w:t xml:space="preserve"> 1902-AF30</w:t>
    </w:r>
  </w:p>
  <w:p w14:paraId="468729A7" w14:textId="0E5E6095" w:rsidR="0024485B" w:rsidRDefault="0024485B" w:rsidP="002A4142">
    <w:pPr>
      <w:pStyle w:val="Header"/>
      <w:rPr>
        <w:rFonts w:ascii="Times New Roman" w:hAnsi="Times New Roman" w:cs="Times New Roman"/>
        <w:bCs/>
        <w:sz w:val="24"/>
        <w:szCs w:val="24"/>
      </w:rPr>
    </w:pPr>
    <w:r w:rsidRPr="00F640A9">
      <w:rPr>
        <w:rFonts w:ascii="Times New Roman" w:hAnsi="Times New Roman" w:cs="Times New Roman"/>
        <w:bCs/>
        <w:sz w:val="24"/>
        <w:szCs w:val="24"/>
      </w:rPr>
      <w:t>(Updated 12/</w:t>
    </w:r>
    <w:r w:rsidR="00F640A9" w:rsidRPr="00954D7E">
      <w:rPr>
        <w:rFonts w:ascii="Times New Roman" w:hAnsi="Times New Roman" w:cs="Times New Roman"/>
        <w:bCs/>
        <w:sz w:val="24"/>
        <w:szCs w:val="24"/>
      </w:rPr>
      <w:t>7</w:t>
    </w:r>
    <w:r w:rsidRPr="00F640A9">
      <w:rPr>
        <w:rFonts w:ascii="Times New Roman" w:hAnsi="Times New Roman" w:cs="Times New Roman"/>
        <w:bCs/>
        <w:sz w:val="24"/>
        <w:szCs w:val="24"/>
      </w:rPr>
      <w:t>/2017)</w:t>
    </w:r>
  </w:p>
  <w:p w14:paraId="1CE0015B" w14:textId="77777777"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8A5"/>
    <w:rsid w:val="00042D80"/>
    <w:rsid w:val="00050740"/>
    <w:rsid w:val="00053805"/>
    <w:rsid w:val="00055683"/>
    <w:rsid w:val="000723A8"/>
    <w:rsid w:val="000728C5"/>
    <w:rsid w:val="0007589B"/>
    <w:rsid w:val="0007783F"/>
    <w:rsid w:val="00087336"/>
    <w:rsid w:val="00094D36"/>
    <w:rsid w:val="000E5E73"/>
    <w:rsid w:val="000F341C"/>
    <w:rsid w:val="00100229"/>
    <w:rsid w:val="00100D18"/>
    <w:rsid w:val="00102F1A"/>
    <w:rsid w:val="001062F8"/>
    <w:rsid w:val="00115F24"/>
    <w:rsid w:val="0012731F"/>
    <w:rsid w:val="001301E0"/>
    <w:rsid w:val="00131470"/>
    <w:rsid w:val="0014705F"/>
    <w:rsid w:val="00150D8D"/>
    <w:rsid w:val="00155323"/>
    <w:rsid w:val="0015640F"/>
    <w:rsid w:val="001755B4"/>
    <w:rsid w:val="00191849"/>
    <w:rsid w:val="001967A9"/>
    <w:rsid w:val="001976E0"/>
    <w:rsid w:val="001A03C2"/>
    <w:rsid w:val="001A2058"/>
    <w:rsid w:val="001C7456"/>
    <w:rsid w:val="001D7EB6"/>
    <w:rsid w:val="001F1D83"/>
    <w:rsid w:val="001F257C"/>
    <w:rsid w:val="002025A8"/>
    <w:rsid w:val="00205EE8"/>
    <w:rsid w:val="00213195"/>
    <w:rsid w:val="002329FB"/>
    <w:rsid w:val="002359F6"/>
    <w:rsid w:val="002370E2"/>
    <w:rsid w:val="00240C3A"/>
    <w:rsid w:val="0024309E"/>
    <w:rsid w:val="0024485B"/>
    <w:rsid w:val="00257FBE"/>
    <w:rsid w:val="00263D1F"/>
    <w:rsid w:val="00270184"/>
    <w:rsid w:val="00271EC6"/>
    <w:rsid w:val="00275760"/>
    <w:rsid w:val="0029048F"/>
    <w:rsid w:val="00290ACC"/>
    <w:rsid w:val="00291A94"/>
    <w:rsid w:val="002A4142"/>
    <w:rsid w:val="002A45D0"/>
    <w:rsid w:val="002A5BA5"/>
    <w:rsid w:val="002A7EF0"/>
    <w:rsid w:val="002B3B00"/>
    <w:rsid w:val="002C4849"/>
    <w:rsid w:val="002C70B7"/>
    <w:rsid w:val="002D4CD4"/>
    <w:rsid w:val="002E0A22"/>
    <w:rsid w:val="002F3DB9"/>
    <w:rsid w:val="00314EBE"/>
    <w:rsid w:val="00315F04"/>
    <w:rsid w:val="00332A43"/>
    <w:rsid w:val="003542FD"/>
    <w:rsid w:val="0035608B"/>
    <w:rsid w:val="00360F81"/>
    <w:rsid w:val="00361094"/>
    <w:rsid w:val="003745F7"/>
    <w:rsid w:val="003771D0"/>
    <w:rsid w:val="00391060"/>
    <w:rsid w:val="003976CA"/>
    <w:rsid w:val="003A536E"/>
    <w:rsid w:val="003B6534"/>
    <w:rsid w:val="003C19D0"/>
    <w:rsid w:val="003D09FB"/>
    <w:rsid w:val="003D162A"/>
    <w:rsid w:val="003E599C"/>
    <w:rsid w:val="003F77BD"/>
    <w:rsid w:val="00401B62"/>
    <w:rsid w:val="0040637D"/>
    <w:rsid w:val="004137F1"/>
    <w:rsid w:val="00416DFC"/>
    <w:rsid w:val="00420176"/>
    <w:rsid w:val="00452265"/>
    <w:rsid w:val="004678E6"/>
    <w:rsid w:val="004723F3"/>
    <w:rsid w:val="00485D08"/>
    <w:rsid w:val="004A1428"/>
    <w:rsid w:val="004B18AB"/>
    <w:rsid w:val="004B624E"/>
    <w:rsid w:val="004C0226"/>
    <w:rsid w:val="004C0981"/>
    <w:rsid w:val="004C334C"/>
    <w:rsid w:val="004C510E"/>
    <w:rsid w:val="004E6159"/>
    <w:rsid w:val="004F3F84"/>
    <w:rsid w:val="00501F21"/>
    <w:rsid w:val="00503BD5"/>
    <w:rsid w:val="00506164"/>
    <w:rsid w:val="00511A94"/>
    <w:rsid w:val="00516258"/>
    <w:rsid w:val="00522521"/>
    <w:rsid w:val="00526F2F"/>
    <w:rsid w:val="00527AE1"/>
    <w:rsid w:val="005368DE"/>
    <w:rsid w:val="00543FCE"/>
    <w:rsid w:val="005515AF"/>
    <w:rsid w:val="00555094"/>
    <w:rsid w:val="005558F8"/>
    <w:rsid w:val="005575ED"/>
    <w:rsid w:val="00565F74"/>
    <w:rsid w:val="005768DB"/>
    <w:rsid w:val="005774B1"/>
    <w:rsid w:val="00581E3E"/>
    <w:rsid w:val="00582804"/>
    <w:rsid w:val="005853F1"/>
    <w:rsid w:val="005908AC"/>
    <w:rsid w:val="00597658"/>
    <w:rsid w:val="005A779D"/>
    <w:rsid w:val="005B253C"/>
    <w:rsid w:val="005B2D2D"/>
    <w:rsid w:val="005B3351"/>
    <w:rsid w:val="005C0FD7"/>
    <w:rsid w:val="005C28A8"/>
    <w:rsid w:val="005C297F"/>
    <w:rsid w:val="005C2C89"/>
    <w:rsid w:val="005D017F"/>
    <w:rsid w:val="005D054F"/>
    <w:rsid w:val="005D4423"/>
    <w:rsid w:val="005D4947"/>
    <w:rsid w:val="005D6E4D"/>
    <w:rsid w:val="005E2448"/>
    <w:rsid w:val="005F447E"/>
    <w:rsid w:val="00602096"/>
    <w:rsid w:val="00606999"/>
    <w:rsid w:val="00612E67"/>
    <w:rsid w:val="0061754A"/>
    <w:rsid w:val="00637613"/>
    <w:rsid w:val="00642D33"/>
    <w:rsid w:val="006524CA"/>
    <w:rsid w:val="006564E7"/>
    <w:rsid w:val="0065657B"/>
    <w:rsid w:val="0067059B"/>
    <w:rsid w:val="00675E52"/>
    <w:rsid w:val="00684FC0"/>
    <w:rsid w:val="0069654D"/>
    <w:rsid w:val="006A32B8"/>
    <w:rsid w:val="006A7418"/>
    <w:rsid w:val="006A76FD"/>
    <w:rsid w:val="006B0E50"/>
    <w:rsid w:val="006B5EEB"/>
    <w:rsid w:val="006C0F0B"/>
    <w:rsid w:val="006F04F8"/>
    <w:rsid w:val="006F199F"/>
    <w:rsid w:val="00703213"/>
    <w:rsid w:val="0070345D"/>
    <w:rsid w:val="00707A85"/>
    <w:rsid w:val="00717A1C"/>
    <w:rsid w:val="00732818"/>
    <w:rsid w:val="00734A9C"/>
    <w:rsid w:val="00737581"/>
    <w:rsid w:val="0074093F"/>
    <w:rsid w:val="0076316B"/>
    <w:rsid w:val="00765358"/>
    <w:rsid w:val="0078329B"/>
    <w:rsid w:val="00793598"/>
    <w:rsid w:val="00794A5A"/>
    <w:rsid w:val="00797852"/>
    <w:rsid w:val="00797AAC"/>
    <w:rsid w:val="007A560D"/>
    <w:rsid w:val="007A6365"/>
    <w:rsid w:val="007B7CCA"/>
    <w:rsid w:val="007C39D3"/>
    <w:rsid w:val="007D29A0"/>
    <w:rsid w:val="007E67E9"/>
    <w:rsid w:val="007E757F"/>
    <w:rsid w:val="007F1EC9"/>
    <w:rsid w:val="00800E3F"/>
    <w:rsid w:val="00803E7C"/>
    <w:rsid w:val="00810BF9"/>
    <w:rsid w:val="00812AE2"/>
    <w:rsid w:val="00812D76"/>
    <w:rsid w:val="00814779"/>
    <w:rsid w:val="00820929"/>
    <w:rsid w:val="00826CB4"/>
    <w:rsid w:val="00835E0A"/>
    <w:rsid w:val="00845864"/>
    <w:rsid w:val="0084600F"/>
    <w:rsid w:val="00847F18"/>
    <w:rsid w:val="00866048"/>
    <w:rsid w:val="00870506"/>
    <w:rsid w:val="008738D6"/>
    <w:rsid w:val="008815BC"/>
    <w:rsid w:val="008A1478"/>
    <w:rsid w:val="008A5C5C"/>
    <w:rsid w:val="008B1F7E"/>
    <w:rsid w:val="008B5C52"/>
    <w:rsid w:val="008C255C"/>
    <w:rsid w:val="008C747F"/>
    <w:rsid w:val="008D20D4"/>
    <w:rsid w:val="008D4025"/>
    <w:rsid w:val="008D6AED"/>
    <w:rsid w:val="008F6579"/>
    <w:rsid w:val="008F76CB"/>
    <w:rsid w:val="00900C36"/>
    <w:rsid w:val="00905C29"/>
    <w:rsid w:val="00907AB7"/>
    <w:rsid w:val="00912E58"/>
    <w:rsid w:val="009257C8"/>
    <w:rsid w:val="0093400C"/>
    <w:rsid w:val="00950542"/>
    <w:rsid w:val="009508FC"/>
    <w:rsid w:val="00954D7E"/>
    <w:rsid w:val="00960411"/>
    <w:rsid w:val="00960BCF"/>
    <w:rsid w:val="00970428"/>
    <w:rsid w:val="009766A2"/>
    <w:rsid w:val="00976B33"/>
    <w:rsid w:val="009922B2"/>
    <w:rsid w:val="00995B75"/>
    <w:rsid w:val="009B04FD"/>
    <w:rsid w:val="009B6A77"/>
    <w:rsid w:val="009C0D97"/>
    <w:rsid w:val="009C1020"/>
    <w:rsid w:val="009C2A3E"/>
    <w:rsid w:val="009E4A19"/>
    <w:rsid w:val="009F0B95"/>
    <w:rsid w:val="00A03749"/>
    <w:rsid w:val="00A13DFB"/>
    <w:rsid w:val="00A21CB4"/>
    <w:rsid w:val="00A2591A"/>
    <w:rsid w:val="00A25A61"/>
    <w:rsid w:val="00A301A2"/>
    <w:rsid w:val="00A3624F"/>
    <w:rsid w:val="00A50A21"/>
    <w:rsid w:val="00A56ED0"/>
    <w:rsid w:val="00A64C19"/>
    <w:rsid w:val="00A7099E"/>
    <w:rsid w:val="00A70D34"/>
    <w:rsid w:val="00A7121F"/>
    <w:rsid w:val="00A7469A"/>
    <w:rsid w:val="00A74A0E"/>
    <w:rsid w:val="00A83705"/>
    <w:rsid w:val="00A858C8"/>
    <w:rsid w:val="00A86E73"/>
    <w:rsid w:val="00A971CF"/>
    <w:rsid w:val="00AD21A4"/>
    <w:rsid w:val="00AF29FC"/>
    <w:rsid w:val="00B00671"/>
    <w:rsid w:val="00B065DF"/>
    <w:rsid w:val="00B231D4"/>
    <w:rsid w:val="00B26E4A"/>
    <w:rsid w:val="00B2778A"/>
    <w:rsid w:val="00B34A73"/>
    <w:rsid w:val="00B46310"/>
    <w:rsid w:val="00B51BB8"/>
    <w:rsid w:val="00B52592"/>
    <w:rsid w:val="00B53FEB"/>
    <w:rsid w:val="00B61FB5"/>
    <w:rsid w:val="00B6240F"/>
    <w:rsid w:val="00B63850"/>
    <w:rsid w:val="00B63F5D"/>
    <w:rsid w:val="00B7228F"/>
    <w:rsid w:val="00B75373"/>
    <w:rsid w:val="00B820C3"/>
    <w:rsid w:val="00B85D31"/>
    <w:rsid w:val="00B94978"/>
    <w:rsid w:val="00B96B00"/>
    <w:rsid w:val="00BB5287"/>
    <w:rsid w:val="00BC132D"/>
    <w:rsid w:val="00BC26CE"/>
    <w:rsid w:val="00BC294C"/>
    <w:rsid w:val="00BC4817"/>
    <w:rsid w:val="00BD1C65"/>
    <w:rsid w:val="00BD4E24"/>
    <w:rsid w:val="00BE0F87"/>
    <w:rsid w:val="00C00BD5"/>
    <w:rsid w:val="00C02C35"/>
    <w:rsid w:val="00C04E75"/>
    <w:rsid w:val="00C07C9B"/>
    <w:rsid w:val="00C114F4"/>
    <w:rsid w:val="00C17928"/>
    <w:rsid w:val="00C315D8"/>
    <w:rsid w:val="00C360B7"/>
    <w:rsid w:val="00C4205B"/>
    <w:rsid w:val="00C430BB"/>
    <w:rsid w:val="00C453FF"/>
    <w:rsid w:val="00C55457"/>
    <w:rsid w:val="00C80058"/>
    <w:rsid w:val="00C869E3"/>
    <w:rsid w:val="00CB0831"/>
    <w:rsid w:val="00CC2775"/>
    <w:rsid w:val="00CF172C"/>
    <w:rsid w:val="00D1124F"/>
    <w:rsid w:val="00D12E12"/>
    <w:rsid w:val="00D13727"/>
    <w:rsid w:val="00D17BB7"/>
    <w:rsid w:val="00D215A2"/>
    <w:rsid w:val="00D26084"/>
    <w:rsid w:val="00D273EF"/>
    <w:rsid w:val="00D27D95"/>
    <w:rsid w:val="00D30BDF"/>
    <w:rsid w:val="00D31EFC"/>
    <w:rsid w:val="00D350A8"/>
    <w:rsid w:val="00D400ED"/>
    <w:rsid w:val="00D408BF"/>
    <w:rsid w:val="00D51DDF"/>
    <w:rsid w:val="00D6422E"/>
    <w:rsid w:val="00DA12D2"/>
    <w:rsid w:val="00DA4D6E"/>
    <w:rsid w:val="00DA70EE"/>
    <w:rsid w:val="00DD4144"/>
    <w:rsid w:val="00DD749B"/>
    <w:rsid w:val="00DE1C2A"/>
    <w:rsid w:val="00DE7360"/>
    <w:rsid w:val="00DE7F4E"/>
    <w:rsid w:val="00DF1C8D"/>
    <w:rsid w:val="00E0001D"/>
    <w:rsid w:val="00E11A60"/>
    <w:rsid w:val="00E14C63"/>
    <w:rsid w:val="00E25814"/>
    <w:rsid w:val="00E33E65"/>
    <w:rsid w:val="00E454EA"/>
    <w:rsid w:val="00E616F0"/>
    <w:rsid w:val="00E9729B"/>
    <w:rsid w:val="00EA3968"/>
    <w:rsid w:val="00EB206D"/>
    <w:rsid w:val="00EC7882"/>
    <w:rsid w:val="00EE1D2C"/>
    <w:rsid w:val="00EE22CC"/>
    <w:rsid w:val="00EE4195"/>
    <w:rsid w:val="00EF4AD6"/>
    <w:rsid w:val="00EF4E3E"/>
    <w:rsid w:val="00EF650C"/>
    <w:rsid w:val="00F11DCD"/>
    <w:rsid w:val="00F14924"/>
    <w:rsid w:val="00F23E3F"/>
    <w:rsid w:val="00F26A37"/>
    <w:rsid w:val="00F473FF"/>
    <w:rsid w:val="00F61FC9"/>
    <w:rsid w:val="00F63E0D"/>
    <w:rsid w:val="00F640A9"/>
    <w:rsid w:val="00F64A6F"/>
    <w:rsid w:val="00F72A8A"/>
    <w:rsid w:val="00F839F8"/>
    <w:rsid w:val="00F97E14"/>
    <w:rsid w:val="00FA05A9"/>
    <w:rsid w:val="00FA0F7B"/>
    <w:rsid w:val="00FB4A38"/>
    <w:rsid w:val="00FC11BA"/>
    <w:rsid w:val="00FC30A2"/>
    <w:rsid w:val="00FC6722"/>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15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library.ferc.gov/idmws/common/OpenNat.asp?fileID=142114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7" Type="http://schemas.openxmlformats.org/officeDocument/2006/relationships/hyperlink" Target="http://www.bls.gov/oes/current/naics2_22.htm" TargetMode="External"/><Relationship Id="rId2" Type="http://schemas.openxmlformats.org/officeDocument/2006/relationships/hyperlink" Target="http://bls.gov/oes/current/naics2_22.htm" TargetMode="External"/><Relationship Id="rId1" Type="http://schemas.openxmlformats.org/officeDocument/2006/relationships/hyperlink" Target="https://elibrary.ferc.gov/idmws/common/OpenNat.asp?fileID=14684897" TargetMode="External"/><Relationship Id="rId6" Type="http://schemas.openxmlformats.org/officeDocument/2006/relationships/hyperlink" Target="http://www.bls.gov/oes/current/naics2_22.htm" TargetMode="External"/><Relationship Id="rId5" Type="http://schemas.openxmlformats.org/officeDocument/2006/relationships/hyperlink" Target="https://elibrary.ferc.gov/idmws/common/OpenNat.asp?fileID=14684897"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2017-12-07T00:00:00-05:00</Date>
    <Status xmlns="d6eefc7d-9817-4fa6-84d5-3bc009be21b8">Draft</Status>
    <_x0032__x002e__x0020_Docket_x0020_Number xmlns="d6eefc7d-9817-4fa6-84d5-3bc009be21b8" xsi:nil="true"/>
    <_x0032__x002e__x0020_Collection_x0020_Number xmlns="d6eefc7d-9817-4fa6-84d5-3bc009be21b8">725R</_x0032__x002e__x0020_Collection_x0020_Number>
    <_x0031__x002e__x0020_Docket_x0020_Number xmlns="d6eefc7d-9817-4fa6-84d5-3bc009be21b8">RM16-13</_x0031__x002e__x0020_Docket_x0020_Number>
    <_x0033__x002e__x0020_Collection_x0020_Number xmlns="d6eefc7d-9817-4fa6-84d5-3bc009be21b8">725D</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3.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70F4A-87E6-4221-8D2C-3B3AA38C812D}">
  <ds:schemaRef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d6eefc7d-9817-4fa6-84d5-3bc009be21b8"/>
    <ds:schemaRef ds:uri="http://purl.org/dc/dcmitype/"/>
    <ds:schemaRef ds:uri="http://purl.org/dc/elements/1.1/"/>
    <ds:schemaRef ds:uri="http://www.w3.org/XML/1998/namespace"/>
  </ds:schemaRefs>
</ds:datastoreItem>
</file>

<file path=customXml/itemProps5.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6.xml><?xml version="1.0" encoding="utf-8"?>
<ds:datastoreItem xmlns:ds="http://schemas.openxmlformats.org/officeDocument/2006/customXml" ds:itemID="{8A45B5AC-0138-4859-8230-4A160996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accept changes--clean version</vt:lpstr>
    </vt:vector>
  </TitlesOfParts>
  <Company>Federal Energy Regulatory Commission</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changes--clean version</dc:title>
  <dc:creator>Camilla Nader</dc:creator>
  <cp:lastModifiedBy>SYSTEM</cp:lastModifiedBy>
  <cp:revision>2</cp:revision>
  <dcterms:created xsi:type="dcterms:W3CDTF">2017-12-07T20:39:00Z</dcterms:created>
  <dcterms:modified xsi:type="dcterms:W3CDTF">2017-12-07T20:39:00Z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