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47919" w14:textId="46C4A146" w:rsidR="00043987" w:rsidRPr="00B172BE" w:rsidRDefault="007F2877" w:rsidP="001814FD">
      <w:pPr>
        <w:pStyle w:val="Title"/>
      </w:pPr>
      <w:bookmarkStart w:id="0" w:name="_GoBack"/>
      <w:bookmarkEnd w:id="0"/>
      <w:r w:rsidRPr="00B172BE">
        <w:t>ICR Supporting Statement</w:t>
      </w:r>
      <w:r w:rsidR="00F949B2" w:rsidRPr="00B172BE">
        <w:br/>
      </w:r>
      <w:r w:rsidR="00E0187E" w:rsidRPr="00B172BE">
        <w:t xml:space="preserve">Information </w:t>
      </w:r>
      <w:r w:rsidR="00E0187E" w:rsidRPr="001814FD">
        <w:t>Collection</w:t>
      </w:r>
      <w:r w:rsidR="00E0187E" w:rsidRPr="00B172BE">
        <w:t xml:space="preserve"> Request for</w:t>
      </w:r>
      <w:r w:rsidR="00B172BE">
        <w:br/>
      </w:r>
      <w:r w:rsidR="00E0187E" w:rsidRPr="00B172BE">
        <w:t>National Pollutant Discharge Elimination</w:t>
      </w:r>
      <w:r w:rsidR="00F949B2" w:rsidRPr="00B172BE">
        <w:br/>
      </w:r>
      <w:r w:rsidR="00E0187E" w:rsidRPr="00B172BE">
        <w:t>System (NPDES) Program (Renewal)</w:t>
      </w:r>
    </w:p>
    <w:p w14:paraId="7FB46566" w14:textId="1F9CB96D" w:rsidR="00043987" w:rsidRPr="00F60AC7" w:rsidRDefault="00F949B2" w:rsidP="001814FD">
      <w:pPr>
        <w:pStyle w:val="Subtitle"/>
        <w:rPr>
          <w:lang w:val="es-US"/>
        </w:rPr>
      </w:pPr>
      <w:r w:rsidRPr="00F60AC7">
        <w:br/>
      </w:r>
      <w:r w:rsidR="00E0187E" w:rsidRPr="00F60AC7">
        <w:rPr>
          <w:lang w:val="es-US"/>
        </w:rPr>
        <w:t>OMB Control No. 2040-0004, EPA ICR No. 0229.2</w:t>
      </w:r>
      <w:r w:rsidR="00904E5E">
        <w:rPr>
          <w:lang w:val="es-US"/>
        </w:rPr>
        <w:t>3</w:t>
      </w:r>
    </w:p>
    <w:p w14:paraId="4093ED40" w14:textId="77777777" w:rsidR="00043987" w:rsidRPr="00F60AC7" w:rsidRDefault="00043987" w:rsidP="00043987">
      <w:pPr>
        <w:jc w:val="center"/>
        <w:rPr>
          <w:b/>
          <w:lang w:val="es-US"/>
        </w:rPr>
      </w:pPr>
    </w:p>
    <w:p w14:paraId="3405BF93" w14:textId="77777777" w:rsidR="00043987" w:rsidRPr="00F60AC7" w:rsidRDefault="00043987" w:rsidP="00043987">
      <w:pPr>
        <w:jc w:val="center"/>
        <w:rPr>
          <w:lang w:val="es-US"/>
        </w:rPr>
      </w:pPr>
    </w:p>
    <w:p w14:paraId="0378E9C5" w14:textId="30BBBE50" w:rsidR="001814FD" w:rsidRDefault="001814FD" w:rsidP="00043987">
      <w:pPr>
        <w:jc w:val="center"/>
        <w:rPr>
          <w:lang w:val="es-US"/>
        </w:rPr>
      </w:pPr>
    </w:p>
    <w:p w14:paraId="30BA2CC8" w14:textId="77777777" w:rsidR="0051630C" w:rsidRPr="00F60AC7" w:rsidRDefault="0051630C" w:rsidP="00043987">
      <w:pPr>
        <w:jc w:val="center"/>
        <w:rPr>
          <w:lang w:val="es-US"/>
        </w:rPr>
      </w:pPr>
    </w:p>
    <w:p w14:paraId="060188F8" w14:textId="4AC65115" w:rsidR="00043987" w:rsidRDefault="00F5532D" w:rsidP="00043987">
      <w:pPr>
        <w:jc w:val="center"/>
      </w:pPr>
      <w:r>
        <w:t>April</w:t>
      </w:r>
      <w:r w:rsidR="004B5007">
        <w:t xml:space="preserve"> </w:t>
      </w:r>
      <w:r w:rsidR="00043987">
        <w:t>201</w:t>
      </w:r>
      <w:r>
        <w:t>8</w:t>
      </w:r>
    </w:p>
    <w:p w14:paraId="0FAAE713" w14:textId="07AB386F" w:rsidR="00043987" w:rsidRDefault="00043987" w:rsidP="00043987">
      <w:pPr>
        <w:jc w:val="center"/>
      </w:pPr>
    </w:p>
    <w:p w14:paraId="4EA0AE83" w14:textId="77777777" w:rsidR="001814FD" w:rsidRDefault="001814FD" w:rsidP="00043987">
      <w:pPr>
        <w:jc w:val="center"/>
      </w:pPr>
    </w:p>
    <w:p w14:paraId="2A6F889D" w14:textId="77777777" w:rsidR="00043987" w:rsidRDefault="00043987" w:rsidP="00043987">
      <w:pPr>
        <w:jc w:val="center"/>
      </w:pPr>
    </w:p>
    <w:p w14:paraId="4575C706" w14:textId="77777777" w:rsidR="00B81E5E" w:rsidRPr="00B81E5E" w:rsidRDefault="00B81E5E">
      <w:pPr>
        <w:autoSpaceDE/>
        <w:autoSpaceDN/>
        <w:adjustRightInd/>
        <w:spacing w:after="160" w:line="259" w:lineRule="auto"/>
      </w:pPr>
      <w:r w:rsidRPr="00B81E5E">
        <w:br w:type="page"/>
      </w:r>
    </w:p>
    <w:p w14:paraId="64C73DBA" w14:textId="77777777" w:rsidR="003D263B" w:rsidRDefault="003D263B" w:rsidP="00B81E5E">
      <w:pPr>
        <w:autoSpaceDE/>
        <w:autoSpaceDN/>
        <w:adjustRightInd/>
        <w:spacing w:after="0" w:line="259" w:lineRule="auto"/>
        <w:jc w:val="center"/>
        <w:rPr>
          <w:rFonts w:asciiTheme="majorHAnsi" w:eastAsiaTheme="majorEastAsia" w:hAnsiTheme="majorHAnsi"/>
          <w:b/>
          <w:bCs/>
          <w:kern w:val="28"/>
          <w:sz w:val="32"/>
          <w:szCs w:val="32"/>
        </w:rPr>
      </w:pPr>
    </w:p>
    <w:sdt>
      <w:sdtPr>
        <w:rPr>
          <w:rFonts w:ascii="Times New Roman" w:eastAsia="Times New Roman" w:hAnsi="Times New Roman" w:cs="Times New Roman"/>
          <w:b w:val="0"/>
          <w:sz w:val="24"/>
          <w:szCs w:val="24"/>
        </w:rPr>
        <w:id w:val="-1103340021"/>
        <w:docPartObj>
          <w:docPartGallery w:val="Table of Contents"/>
          <w:docPartUnique/>
        </w:docPartObj>
      </w:sdtPr>
      <w:sdtEndPr>
        <w:rPr>
          <w:rFonts w:ascii="Cambria" w:hAnsi="Cambria"/>
          <w:bCs/>
          <w:noProof/>
        </w:rPr>
      </w:sdtEndPr>
      <w:sdtContent>
        <w:p w14:paraId="5E58B4D6" w14:textId="35CB9BA2" w:rsidR="003D16AA" w:rsidRDefault="003D16AA" w:rsidP="00B101A0">
          <w:pPr>
            <w:pStyle w:val="TOCHeading"/>
          </w:pPr>
          <w:r>
            <w:t>Contents</w:t>
          </w:r>
        </w:p>
        <w:p w14:paraId="0A1AA7AD" w14:textId="71BA3AF0" w:rsidR="00FF6EB4" w:rsidRDefault="00DE1B2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"3-3" \h \z \t "Heading 1,1,Heading 2,2" </w:instrText>
          </w:r>
          <w:r>
            <w:rPr>
              <w:b w:val="0"/>
            </w:rPr>
            <w:fldChar w:fldCharType="separate"/>
          </w:r>
          <w:hyperlink w:anchor="_Toc510451610" w:history="1">
            <w:r w:rsidR="00FF6EB4" w:rsidRPr="004617E5">
              <w:rPr>
                <w:rStyle w:val="Hyperlink"/>
                <w:noProof/>
              </w:rPr>
              <w:t>A.</w:t>
            </w:r>
            <w:r w:rsidR="00FF6EB4">
              <w:rPr>
                <w:rFonts w:asciiTheme="minorHAnsi" w:eastAsiaTheme="minorEastAsia" w:hAnsiTheme="minorHAnsi" w:cstheme="minorBidi"/>
                <w:b w:val="0"/>
                <w:noProof/>
                <w:sz w:val="22"/>
                <w:szCs w:val="22"/>
              </w:rPr>
              <w:tab/>
            </w:r>
            <w:r w:rsidR="00FF6EB4" w:rsidRPr="004617E5">
              <w:rPr>
                <w:rStyle w:val="Hyperlink"/>
                <w:noProof/>
              </w:rPr>
              <w:t>Justification</w:t>
            </w:r>
            <w:r w:rsidR="00FF6EB4">
              <w:rPr>
                <w:noProof/>
                <w:webHidden/>
              </w:rPr>
              <w:tab/>
            </w:r>
            <w:r w:rsidR="00FF6EB4">
              <w:rPr>
                <w:noProof/>
                <w:webHidden/>
              </w:rPr>
              <w:fldChar w:fldCharType="begin"/>
            </w:r>
            <w:r w:rsidR="00FF6EB4">
              <w:rPr>
                <w:noProof/>
                <w:webHidden/>
              </w:rPr>
              <w:instrText xml:space="preserve"> PAGEREF _Toc510451610 \h </w:instrText>
            </w:r>
            <w:r w:rsidR="00FF6EB4">
              <w:rPr>
                <w:noProof/>
                <w:webHidden/>
              </w:rPr>
            </w:r>
            <w:r w:rsidR="00FF6EB4">
              <w:rPr>
                <w:noProof/>
                <w:webHidden/>
              </w:rPr>
              <w:fldChar w:fldCharType="separate"/>
            </w:r>
            <w:r w:rsidR="00FF6EB4">
              <w:rPr>
                <w:noProof/>
                <w:webHidden/>
              </w:rPr>
              <w:t>1</w:t>
            </w:r>
            <w:r w:rsidR="00FF6EB4">
              <w:rPr>
                <w:noProof/>
                <w:webHidden/>
              </w:rPr>
              <w:fldChar w:fldCharType="end"/>
            </w:r>
          </w:hyperlink>
        </w:p>
        <w:p w14:paraId="3B9F5FD1" w14:textId="611E8948"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1" w:history="1">
            <w:r w:rsidR="00FF6EB4" w:rsidRPr="004617E5">
              <w:rPr>
                <w:rStyle w:val="Hyperlink"/>
                <w:noProof/>
              </w:rPr>
              <w:t>1.</w:t>
            </w:r>
            <w:r w:rsidR="00FF6EB4">
              <w:rPr>
                <w:rFonts w:asciiTheme="minorHAnsi" w:eastAsiaTheme="minorEastAsia" w:hAnsiTheme="minorHAnsi" w:cstheme="minorBidi"/>
                <w:noProof/>
                <w:sz w:val="22"/>
                <w:szCs w:val="22"/>
              </w:rPr>
              <w:tab/>
            </w:r>
            <w:r w:rsidR="00FF6EB4" w:rsidRPr="004617E5">
              <w:rPr>
                <w:rStyle w:val="Hyperlink"/>
                <w:noProof/>
              </w:rPr>
              <w:t>Explain the circumstances that make the collection necessary and explain the legal or administrative requirements relevant to the collection and attach a copy of the statute or regulation authorizing the collection</w:t>
            </w:r>
            <w:r w:rsidR="00FF6EB4">
              <w:rPr>
                <w:noProof/>
                <w:webHidden/>
              </w:rPr>
              <w:tab/>
            </w:r>
            <w:r w:rsidR="00FF6EB4">
              <w:rPr>
                <w:noProof/>
                <w:webHidden/>
              </w:rPr>
              <w:fldChar w:fldCharType="begin"/>
            </w:r>
            <w:r w:rsidR="00FF6EB4">
              <w:rPr>
                <w:noProof/>
                <w:webHidden/>
              </w:rPr>
              <w:instrText xml:space="preserve"> PAGEREF _Toc510451611 \h </w:instrText>
            </w:r>
            <w:r w:rsidR="00FF6EB4">
              <w:rPr>
                <w:noProof/>
                <w:webHidden/>
              </w:rPr>
            </w:r>
            <w:r w:rsidR="00FF6EB4">
              <w:rPr>
                <w:noProof/>
                <w:webHidden/>
              </w:rPr>
              <w:fldChar w:fldCharType="separate"/>
            </w:r>
            <w:r w:rsidR="00FF6EB4">
              <w:rPr>
                <w:noProof/>
                <w:webHidden/>
              </w:rPr>
              <w:t>1</w:t>
            </w:r>
            <w:r w:rsidR="00FF6EB4">
              <w:rPr>
                <w:noProof/>
                <w:webHidden/>
              </w:rPr>
              <w:fldChar w:fldCharType="end"/>
            </w:r>
          </w:hyperlink>
        </w:p>
        <w:p w14:paraId="6C2BAD74" w14:textId="6E9E9130" w:rsidR="00FF6EB4" w:rsidRDefault="00523EFF">
          <w:pPr>
            <w:pStyle w:val="TOC3"/>
            <w:tabs>
              <w:tab w:val="left" w:pos="1440"/>
            </w:tabs>
            <w:rPr>
              <w:rFonts w:asciiTheme="minorHAnsi" w:eastAsiaTheme="minorEastAsia" w:hAnsiTheme="minorHAnsi" w:cstheme="minorBidi"/>
              <w:sz w:val="22"/>
              <w:szCs w:val="22"/>
            </w:rPr>
          </w:pPr>
          <w:hyperlink w:anchor="_Toc510451612" w:history="1">
            <w:r w:rsidR="00FF6EB4" w:rsidRPr="004617E5">
              <w:rPr>
                <w:rStyle w:val="Hyperlink"/>
              </w:rPr>
              <w:t>1.1</w:t>
            </w:r>
            <w:r w:rsidR="00FF6EB4">
              <w:rPr>
                <w:rFonts w:asciiTheme="minorHAnsi" w:eastAsiaTheme="minorEastAsia" w:hAnsiTheme="minorHAnsi" w:cstheme="minorBidi"/>
                <w:sz w:val="22"/>
                <w:szCs w:val="22"/>
              </w:rPr>
              <w:tab/>
            </w:r>
            <w:r w:rsidR="00FF6EB4" w:rsidRPr="004617E5">
              <w:rPr>
                <w:rStyle w:val="Hyperlink"/>
              </w:rPr>
              <w:t>Short Characterization/Abstract</w:t>
            </w:r>
            <w:r w:rsidR="00FF6EB4">
              <w:rPr>
                <w:webHidden/>
              </w:rPr>
              <w:tab/>
            </w:r>
            <w:r w:rsidR="00FF6EB4">
              <w:rPr>
                <w:webHidden/>
              </w:rPr>
              <w:fldChar w:fldCharType="begin"/>
            </w:r>
            <w:r w:rsidR="00FF6EB4">
              <w:rPr>
                <w:webHidden/>
              </w:rPr>
              <w:instrText xml:space="preserve"> PAGEREF _Toc510451612 \h </w:instrText>
            </w:r>
            <w:r w:rsidR="00FF6EB4">
              <w:rPr>
                <w:webHidden/>
              </w:rPr>
            </w:r>
            <w:r w:rsidR="00FF6EB4">
              <w:rPr>
                <w:webHidden/>
              </w:rPr>
              <w:fldChar w:fldCharType="separate"/>
            </w:r>
            <w:r w:rsidR="00FF6EB4">
              <w:rPr>
                <w:webHidden/>
              </w:rPr>
              <w:t>1</w:t>
            </w:r>
            <w:r w:rsidR="00FF6EB4">
              <w:rPr>
                <w:webHidden/>
              </w:rPr>
              <w:fldChar w:fldCharType="end"/>
            </w:r>
          </w:hyperlink>
        </w:p>
        <w:p w14:paraId="62AA1919" w14:textId="397B491F" w:rsidR="00FF6EB4" w:rsidRDefault="00523EFF">
          <w:pPr>
            <w:pStyle w:val="TOC3"/>
            <w:tabs>
              <w:tab w:val="left" w:pos="1440"/>
            </w:tabs>
            <w:rPr>
              <w:rFonts w:asciiTheme="minorHAnsi" w:eastAsiaTheme="minorEastAsia" w:hAnsiTheme="minorHAnsi" w:cstheme="minorBidi"/>
              <w:sz w:val="22"/>
              <w:szCs w:val="22"/>
            </w:rPr>
          </w:pPr>
          <w:hyperlink w:anchor="_Toc510451613" w:history="1">
            <w:r w:rsidR="00FF6EB4" w:rsidRPr="004617E5">
              <w:rPr>
                <w:rStyle w:val="Hyperlink"/>
              </w:rPr>
              <w:t>1.2</w:t>
            </w:r>
            <w:r w:rsidR="00FF6EB4">
              <w:rPr>
                <w:rFonts w:asciiTheme="minorHAnsi" w:eastAsiaTheme="minorEastAsia" w:hAnsiTheme="minorHAnsi" w:cstheme="minorBidi"/>
                <w:sz w:val="22"/>
                <w:szCs w:val="22"/>
              </w:rPr>
              <w:tab/>
            </w:r>
            <w:r w:rsidR="00FF6EB4" w:rsidRPr="004617E5">
              <w:rPr>
                <w:rStyle w:val="Hyperlink"/>
              </w:rPr>
              <w:t>Need/Authority for the Collection</w:t>
            </w:r>
            <w:r w:rsidR="00FF6EB4">
              <w:rPr>
                <w:webHidden/>
              </w:rPr>
              <w:tab/>
            </w:r>
            <w:r w:rsidR="00FF6EB4">
              <w:rPr>
                <w:webHidden/>
              </w:rPr>
              <w:fldChar w:fldCharType="begin"/>
            </w:r>
            <w:r w:rsidR="00FF6EB4">
              <w:rPr>
                <w:webHidden/>
              </w:rPr>
              <w:instrText xml:space="preserve"> PAGEREF _Toc510451613 \h </w:instrText>
            </w:r>
            <w:r w:rsidR="00FF6EB4">
              <w:rPr>
                <w:webHidden/>
              </w:rPr>
            </w:r>
            <w:r w:rsidR="00FF6EB4">
              <w:rPr>
                <w:webHidden/>
              </w:rPr>
              <w:fldChar w:fldCharType="separate"/>
            </w:r>
            <w:r w:rsidR="00FF6EB4">
              <w:rPr>
                <w:webHidden/>
              </w:rPr>
              <w:t>2</w:t>
            </w:r>
            <w:r w:rsidR="00FF6EB4">
              <w:rPr>
                <w:webHidden/>
              </w:rPr>
              <w:fldChar w:fldCharType="end"/>
            </w:r>
          </w:hyperlink>
        </w:p>
        <w:p w14:paraId="3291CBE5" w14:textId="6EB8A2CC"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4" w:history="1">
            <w:r w:rsidR="00FF6EB4" w:rsidRPr="004617E5">
              <w:rPr>
                <w:rStyle w:val="Hyperlink"/>
                <w:noProof/>
              </w:rPr>
              <w:t>2.</w:t>
            </w:r>
            <w:r w:rsidR="00FF6EB4">
              <w:rPr>
                <w:rFonts w:asciiTheme="minorHAnsi" w:eastAsiaTheme="minorEastAsia" w:hAnsiTheme="minorHAnsi" w:cstheme="minorBidi"/>
                <w:noProof/>
                <w:sz w:val="22"/>
                <w:szCs w:val="22"/>
              </w:rPr>
              <w:tab/>
            </w:r>
            <w:r w:rsidR="00FF6EB4" w:rsidRPr="004617E5">
              <w:rPr>
                <w:rStyle w:val="Hyperlink"/>
                <w:noProof/>
              </w:rPr>
              <w:t>Indicate how, by whom and for what purpose the information is to be used</w:t>
            </w:r>
            <w:r w:rsidR="00FF6EB4">
              <w:rPr>
                <w:noProof/>
                <w:webHidden/>
              </w:rPr>
              <w:tab/>
            </w:r>
            <w:r w:rsidR="00FF6EB4">
              <w:rPr>
                <w:noProof/>
                <w:webHidden/>
              </w:rPr>
              <w:fldChar w:fldCharType="begin"/>
            </w:r>
            <w:r w:rsidR="00FF6EB4">
              <w:rPr>
                <w:noProof/>
                <w:webHidden/>
              </w:rPr>
              <w:instrText xml:space="preserve"> PAGEREF _Toc510451614 \h </w:instrText>
            </w:r>
            <w:r w:rsidR="00FF6EB4">
              <w:rPr>
                <w:noProof/>
                <w:webHidden/>
              </w:rPr>
            </w:r>
            <w:r w:rsidR="00FF6EB4">
              <w:rPr>
                <w:noProof/>
                <w:webHidden/>
              </w:rPr>
              <w:fldChar w:fldCharType="separate"/>
            </w:r>
            <w:r w:rsidR="00FF6EB4">
              <w:rPr>
                <w:noProof/>
                <w:webHidden/>
              </w:rPr>
              <w:t>7</w:t>
            </w:r>
            <w:r w:rsidR="00FF6EB4">
              <w:rPr>
                <w:noProof/>
                <w:webHidden/>
              </w:rPr>
              <w:fldChar w:fldCharType="end"/>
            </w:r>
          </w:hyperlink>
        </w:p>
        <w:p w14:paraId="1E47D4AE" w14:textId="21523173"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5" w:history="1">
            <w:r w:rsidR="00FF6EB4" w:rsidRPr="004617E5">
              <w:rPr>
                <w:rStyle w:val="Hyperlink"/>
                <w:noProof/>
              </w:rPr>
              <w:t>3.</w:t>
            </w:r>
            <w:r w:rsidR="00FF6EB4">
              <w:rPr>
                <w:rFonts w:asciiTheme="minorHAnsi" w:eastAsiaTheme="minorEastAsia" w:hAnsiTheme="minorHAnsi" w:cstheme="minorBidi"/>
                <w:noProof/>
                <w:sz w:val="22"/>
                <w:szCs w:val="22"/>
              </w:rPr>
              <w:tab/>
            </w:r>
            <w:r w:rsidR="00FF6EB4" w:rsidRPr="004617E5">
              <w:rPr>
                <w:rStyle w:val="Hyperlink"/>
                <w:noProof/>
              </w:rPr>
              <w:t>Describe whether and to what extent the collection involves the use of automated processes or information technology to aid with the collection</w:t>
            </w:r>
            <w:r w:rsidR="00FF6EB4">
              <w:rPr>
                <w:noProof/>
                <w:webHidden/>
              </w:rPr>
              <w:tab/>
            </w:r>
            <w:r w:rsidR="00FF6EB4">
              <w:rPr>
                <w:noProof/>
                <w:webHidden/>
              </w:rPr>
              <w:fldChar w:fldCharType="begin"/>
            </w:r>
            <w:r w:rsidR="00FF6EB4">
              <w:rPr>
                <w:noProof/>
                <w:webHidden/>
              </w:rPr>
              <w:instrText xml:space="preserve"> PAGEREF _Toc510451615 \h </w:instrText>
            </w:r>
            <w:r w:rsidR="00FF6EB4">
              <w:rPr>
                <w:noProof/>
                <w:webHidden/>
              </w:rPr>
            </w:r>
            <w:r w:rsidR="00FF6EB4">
              <w:rPr>
                <w:noProof/>
                <w:webHidden/>
              </w:rPr>
              <w:fldChar w:fldCharType="separate"/>
            </w:r>
            <w:r w:rsidR="00FF6EB4">
              <w:rPr>
                <w:noProof/>
                <w:webHidden/>
              </w:rPr>
              <w:t>15</w:t>
            </w:r>
            <w:r w:rsidR="00FF6EB4">
              <w:rPr>
                <w:noProof/>
                <w:webHidden/>
              </w:rPr>
              <w:fldChar w:fldCharType="end"/>
            </w:r>
          </w:hyperlink>
        </w:p>
        <w:p w14:paraId="44B6CB70" w14:textId="07A338B3"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6" w:history="1">
            <w:r w:rsidR="00FF6EB4" w:rsidRPr="004617E5">
              <w:rPr>
                <w:rStyle w:val="Hyperlink"/>
                <w:noProof/>
              </w:rPr>
              <w:t>4.</w:t>
            </w:r>
            <w:r w:rsidR="00FF6EB4">
              <w:rPr>
                <w:rFonts w:asciiTheme="minorHAnsi" w:eastAsiaTheme="minorEastAsia" w:hAnsiTheme="minorHAnsi" w:cstheme="minorBidi"/>
                <w:noProof/>
                <w:sz w:val="22"/>
                <w:szCs w:val="22"/>
              </w:rPr>
              <w:tab/>
            </w:r>
            <w:r w:rsidR="00FF6EB4" w:rsidRPr="004617E5">
              <w:rPr>
                <w:rStyle w:val="Hyperlink"/>
                <w:noProof/>
              </w:rPr>
              <w:t>Describe the efforts to identify duplication</w:t>
            </w:r>
            <w:r w:rsidR="00FF6EB4">
              <w:rPr>
                <w:noProof/>
                <w:webHidden/>
              </w:rPr>
              <w:tab/>
            </w:r>
            <w:r w:rsidR="00FF6EB4">
              <w:rPr>
                <w:noProof/>
                <w:webHidden/>
              </w:rPr>
              <w:fldChar w:fldCharType="begin"/>
            </w:r>
            <w:r w:rsidR="00FF6EB4">
              <w:rPr>
                <w:noProof/>
                <w:webHidden/>
              </w:rPr>
              <w:instrText xml:space="preserve"> PAGEREF _Toc510451616 \h </w:instrText>
            </w:r>
            <w:r w:rsidR="00FF6EB4">
              <w:rPr>
                <w:noProof/>
                <w:webHidden/>
              </w:rPr>
            </w:r>
            <w:r w:rsidR="00FF6EB4">
              <w:rPr>
                <w:noProof/>
                <w:webHidden/>
              </w:rPr>
              <w:fldChar w:fldCharType="separate"/>
            </w:r>
            <w:r w:rsidR="00FF6EB4">
              <w:rPr>
                <w:noProof/>
                <w:webHidden/>
              </w:rPr>
              <w:t>16</w:t>
            </w:r>
            <w:r w:rsidR="00FF6EB4">
              <w:rPr>
                <w:noProof/>
                <w:webHidden/>
              </w:rPr>
              <w:fldChar w:fldCharType="end"/>
            </w:r>
          </w:hyperlink>
        </w:p>
        <w:p w14:paraId="33A75251" w14:textId="1E08B3E4"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7" w:history="1">
            <w:r w:rsidR="00FF6EB4" w:rsidRPr="004617E5">
              <w:rPr>
                <w:rStyle w:val="Hyperlink"/>
                <w:noProof/>
              </w:rPr>
              <w:t>5.</w:t>
            </w:r>
            <w:r w:rsidR="00FF6EB4">
              <w:rPr>
                <w:rFonts w:asciiTheme="minorHAnsi" w:eastAsiaTheme="minorEastAsia" w:hAnsiTheme="minorHAnsi" w:cstheme="minorBidi"/>
                <w:noProof/>
                <w:sz w:val="22"/>
                <w:szCs w:val="22"/>
              </w:rPr>
              <w:tab/>
            </w:r>
            <w:r w:rsidR="00FF6EB4" w:rsidRPr="004617E5">
              <w:rPr>
                <w:rStyle w:val="Hyperlink"/>
                <w:noProof/>
              </w:rPr>
              <w:t>Explain whether or not the collection impacts small entities</w:t>
            </w:r>
            <w:r w:rsidR="00FF6EB4">
              <w:rPr>
                <w:noProof/>
                <w:webHidden/>
              </w:rPr>
              <w:tab/>
            </w:r>
            <w:r w:rsidR="00FF6EB4">
              <w:rPr>
                <w:noProof/>
                <w:webHidden/>
              </w:rPr>
              <w:fldChar w:fldCharType="begin"/>
            </w:r>
            <w:r w:rsidR="00FF6EB4">
              <w:rPr>
                <w:noProof/>
                <w:webHidden/>
              </w:rPr>
              <w:instrText xml:space="preserve"> PAGEREF _Toc510451617 \h </w:instrText>
            </w:r>
            <w:r w:rsidR="00FF6EB4">
              <w:rPr>
                <w:noProof/>
                <w:webHidden/>
              </w:rPr>
            </w:r>
            <w:r w:rsidR="00FF6EB4">
              <w:rPr>
                <w:noProof/>
                <w:webHidden/>
              </w:rPr>
              <w:fldChar w:fldCharType="separate"/>
            </w:r>
            <w:r w:rsidR="00FF6EB4">
              <w:rPr>
                <w:noProof/>
                <w:webHidden/>
              </w:rPr>
              <w:t>16</w:t>
            </w:r>
            <w:r w:rsidR="00FF6EB4">
              <w:rPr>
                <w:noProof/>
                <w:webHidden/>
              </w:rPr>
              <w:fldChar w:fldCharType="end"/>
            </w:r>
          </w:hyperlink>
        </w:p>
        <w:p w14:paraId="350DC3F8" w14:textId="249B7FFB"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8" w:history="1">
            <w:r w:rsidR="00FF6EB4" w:rsidRPr="004617E5">
              <w:rPr>
                <w:rStyle w:val="Hyperlink"/>
                <w:noProof/>
              </w:rPr>
              <w:t>6.</w:t>
            </w:r>
            <w:r w:rsidR="00FF6EB4">
              <w:rPr>
                <w:rFonts w:asciiTheme="minorHAnsi" w:eastAsiaTheme="minorEastAsia" w:hAnsiTheme="minorHAnsi" w:cstheme="minorBidi"/>
                <w:noProof/>
                <w:sz w:val="22"/>
                <w:szCs w:val="22"/>
              </w:rPr>
              <w:tab/>
            </w:r>
            <w:r w:rsidR="00FF6EB4" w:rsidRPr="004617E5">
              <w:rPr>
                <w:rStyle w:val="Hyperlink"/>
                <w:noProof/>
              </w:rPr>
              <w:t>Describe the consequences to the program if the collection is not conducted or is conducted less frequently</w:t>
            </w:r>
            <w:r w:rsidR="00FF6EB4">
              <w:rPr>
                <w:noProof/>
                <w:webHidden/>
              </w:rPr>
              <w:tab/>
            </w:r>
            <w:r w:rsidR="00FF6EB4">
              <w:rPr>
                <w:noProof/>
                <w:webHidden/>
              </w:rPr>
              <w:fldChar w:fldCharType="begin"/>
            </w:r>
            <w:r w:rsidR="00FF6EB4">
              <w:rPr>
                <w:noProof/>
                <w:webHidden/>
              </w:rPr>
              <w:instrText xml:space="preserve"> PAGEREF _Toc510451618 \h </w:instrText>
            </w:r>
            <w:r w:rsidR="00FF6EB4">
              <w:rPr>
                <w:noProof/>
                <w:webHidden/>
              </w:rPr>
            </w:r>
            <w:r w:rsidR="00FF6EB4">
              <w:rPr>
                <w:noProof/>
                <w:webHidden/>
              </w:rPr>
              <w:fldChar w:fldCharType="separate"/>
            </w:r>
            <w:r w:rsidR="00FF6EB4">
              <w:rPr>
                <w:noProof/>
                <w:webHidden/>
              </w:rPr>
              <w:t>20</w:t>
            </w:r>
            <w:r w:rsidR="00FF6EB4">
              <w:rPr>
                <w:noProof/>
                <w:webHidden/>
              </w:rPr>
              <w:fldChar w:fldCharType="end"/>
            </w:r>
          </w:hyperlink>
        </w:p>
        <w:p w14:paraId="6C23D310" w14:textId="23655635"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19" w:history="1">
            <w:r w:rsidR="00FF6EB4" w:rsidRPr="004617E5">
              <w:rPr>
                <w:rStyle w:val="Hyperlink"/>
                <w:noProof/>
              </w:rPr>
              <w:t>7.</w:t>
            </w:r>
            <w:r w:rsidR="00FF6EB4">
              <w:rPr>
                <w:rFonts w:asciiTheme="minorHAnsi" w:eastAsiaTheme="minorEastAsia" w:hAnsiTheme="minorHAnsi" w:cstheme="minorBidi"/>
                <w:noProof/>
                <w:sz w:val="22"/>
                <w:szCs w:val="22"/>
              </w:rPr>
              <w:tab/>
            </w:r>
            <w:r w:rsidR="00FF6EB4" w:rsidRPr="004617E5">
              <w:rPr>
                <w:rStyle w:val="Hyperlink"/>
                <w:noProof/>
              </w:rPr>
              <w:t>Explain any special circumstances associated with “extraordinary burden” placed on respondents</w:t>
            </w:r>
            <w:r w:rsidR="00FF6EB4">
              <w:rPr>
                <w:noProof/>
                <w:webHidden/>
              </w:rPr>
              <w:tab/>
            </w:r>
            <w:r w:rsidR="00FF6EB4">
              <w:rPr>
                <w:noProof/>
                <w:webHidden/>
              </w:rPr>
              <w:fldChar w:fldCharType="begin"/>
            </w:r>
            <w:r w:rsidR="00FF6EB4">
              <w:rPr>
                <w:noProof/>
                <w:webHidden/>
              </w:rPr>
              <w:instrText xml:space="preserve"> PAGEREF _Toc510451619 \h </w:instrText>
            </w:r>
            <w:r w:rsidR="00FF6EB4">
              <w:rPr>
                <w:noProof/>
                <w:webHidden/>
              </w:rPr>
            </w:r>
            <w:r w:rsidR="00FF6EB4">
              <w:rPr>
                <w:noProof/>
                <w:webHidden/>
              </w:rPr>
              <w:fldChar w:fldCharType="separate"/>
            </w:r>
            <w:r w:rsidR="00FF6EB4">
              <w:rPr>
                <w:noProof/>
                <w:webHidden/>
              </w:rPr>
              <w:t>22</w:t>
            </w:r>
            <w:r w:rsidR="00FF6EB4">
              <w:rPr>
                <w:noProof/>
                <w:webHidden/>
              </w:rPr>
              <w:fldChar w:fldCharType="end"/>
            </w:r>
          </w:hyperlink>
        </w:p>
        <w:p w14:paraId="35650214" w14:textId="03316261"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0" w:history="1">
            <w:r w:rsidR="00FF6EB4" w:rsidRPr="004617E5">
              <w:rPr>
                <w:rStyle w:val="Hyperlink"/>
                <w:noProof/>
              </w:rPr>
              <w:t>8.</w:t>
            </w:r>
            <w:r w:rsidR="00FF6EB4">
              <w:rPr>
                <w:rFonts w:asciiTheme="minorHAnsi" w:eastAsiaTheme="minorEastAsia" w:hAnsiTheme="minorHAnsi" w:cstheme="minorBidi"/>
                <w:noProof/>
                <w:sz w:val="22"/>
                <w:szCs w:val="22"/>
              </w:rPr>
              <w:tab/>
            </w:r>
            <w:r w:rsidR="00FF6EB4" w:rsidRPr="004617E5">
              <w:rPr>
                <w:rStyle w:val="Hyperlink"/>
                <w:noProof/>
              </w:rPr>
              <w:t>Provide a copy and identify the date and page number of the notice in the Federal Register and describe efforts to consult with persons outside the agency</w:t>
            </w:r>
            <w:r w:rsidR="00FF6EB4">
              <w:rPr>
                <w:noProof/>
                <w:webHidden/>
              </w:rPr>
              <w:tab/>
            </w:r>
            <w:r w:rsidR="00FF6EB4">
              <w:rPr>
                <w:noProof/>
                <w:webHidden/>
              </w:rPr>
              <w:fldChar w:fldCharType="begin"/>
            </w:r>
            <w:r w:rsidR="00FF6EB4">
              <w:rPr>
                <w:noProof/>
                <w:webHidden/>
              </w:rPr>
              <w:instrText xml:space="preserve"> PAGEREF _Toc510451620 \h </w:instrText>
            </w:r>
            <w:r w:rsidR="00FF6EB4">
              <w:rPr>
                <w:noProof/>
                <w:webHidden/>
              </w:rPr>
            </w:r>
            <w:r w:rsidR="00FF6EB4">
              <w:rPr>
                <w:noProof/>
                <w:webHidden/>
              </w:rPr>
              <w:fldChar w:fldCharType="separate"/>
            </w:r>
            <w:r w:rsidR="00FF6EB4">
              <w:rPr>
                <w:noProof/>
                <w:webHidden/>
              </w:rPr>
              <w:t>22</w:t>
            </w:r>
            <w:r w:rsidR="00FF6EB4">
              <w:rPr>
                <w:noProof/>
                <w:webHidden/>
              </w:rPr>
              <w:fldChar w:fldCharType="end"/>
            </w:r>
          </w:hyperlink>
        </w:p>
        <w:p w14:paraId="7F0D7714" w14:textId="517E483B"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1" w:history="1">
            <w:r w:rsidR="00FF6EB4" w:rsidRPr="004617E5">
              <w:rPr>
                <w:rStyle w:val="Hyperlink"/>
                <w:noProof/>
              </w:rPr>
              <w:t>9.</w:t>
            </w:r>
            <w:r w:rsidR="00FF6EB4">
              <w:rPr>
                <w:rFonts w:asciiTheme="minorHAnsi" w:eastAsiaTheme="minorEastAsia" w:hAnsiTheme="minorHAnsi" w:cstheme="minorBidi"/>
                <w:noProof/>
                <w:sz w:val="22"/>
                <w:szCs w:val="22"/>
              </w:rPr>
              <w:tab/>
            </w:r>
            <w:r w:rsidR="00FF6EB4" w:rsidRPr="004617E5">
              <w:rPr>
                <w:rStyle w:val="Hyperlink"/>
                <w:noProof/>
              </w:rPr>
              <w:t>Explain any decision to provide compensation to respondents</w:t>
            </w:r>
            <w:r w:rsidR="00FF6EB4">
              <w:rPr>
                <w:noProof/>
                <w:webHidden/>
              </w:rPr>
              <w:tab/>
            </w:r>
            <w:r w:rsidR="00FF6EB4">
              <w:rPr>
                <w:noProof/>
                <w:webHidden/>
              </w:rPr>
              <w:fldChar w:fldCharType="begin"/>
            </w:r>
            <w:r w:rsidR="00FF6EB4">
              <w:rPr>
                <w:noProof/>
                <w:webHidden/>
              </w:rPr>
              <w:instrText xml:space="preserve"> PAGEREF _Toc510451621 \h </w:instrText>
            </w:r>
            <w:r w:rsidR="00FF6EB4">
              <w:rPr>
                <w:noProof/>
                <w:webHidden/>
              </w:rPr>
            </w:r>
            <w:r w:rsidR="00FF6EB4">
              <w:rPr>
                <w:noProof/>
                <w:webHidden/>
              </w:rPr>
              <w:fldChar w:fldCharType="separate"/>
            </w:r>
            <w:r w:rsidR="00FF6EB4">
              <w:rPr>
                <w:noProof/>
                <w:webHidden/>
              </w:rPr>
              <w:t>22</w:t>
            </w:r>
            <w:r w:rsidR="00FF6EB4">
              <w:rPr>
                <w:noProof/>
                <w:webHidden/>
              </w:rPr>
              <w:fldChar w:fldCharType="end"/>
            </w:r>
          </w:hyperlink>
        </w:p>
        <w:p w14:paraId="429E34D9" w14:textId="14DB204C"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2" w:history="1">
            <w:r w:rsidR="00FF6EB4" w:rsidRPr="004617E5">
              <w:rPr>
                <w:rStyle w:val="Hyperlink"/>
                <w:noProof/>
              </w:rPr>
              <w:t>10.</w:t>
            </w:r>
            <w:r w:rsidR="00FF6EB4">
              <w:rPr>
                <w:rFonts w:asciiTheme="minorHAnsi" w:eastAsiaTheme="minorEastAsia" w:hAnsiTheme="minorHAnsi" w:cstheme="minorBidi"/>
                <w:noProof/>
                <w:sz w:val="22"/>
                <w:szCs w:val="22"/>
              </w:rPr>
              <w:tab/>
            </w:r>
            <w:r w:rsidR="00FF6EB4" w:rsidRPr="004617E5">
              <w:rPr>
                <w:rStyle w:val="Hyperlink"/>
                <w:noProof/>
              </w:rPr>
              <w:t>Describe any assurance of confidentiality provided to respondents</w:t>
            </w:r>
            <w:r w:rsidR="00FF6EB4">
              <w:rPr>
                <w:noProof/>
                <w:webHidden/>
              </w:rPr>
              <w:tab/>
            </w:r>
            <w:r w:rsidR="00FF6EB4">
              <w:rPr>
                <w:noProof/>
                <w:webHidden/>
              </w:rPr>
              <w:fldChar w:fldCharType="begin"/>
            </w:r>
            <w:r w:rsidR="00FF6EB4">
              <w:rPr>
                <w:noProof/>
                <w:webHidden/>
              </w:rPr>
              <w:instrText xml:space="preserve"> PAGEREF _Toc510451622 \h </w:instrText>
            </w:r>
            <w:r w:rsidR="00FF6EB4">
              <w:rPr>
                <w:noProof/>
                <w:webHidden/>
              </w:rPr>
            </w:r>
            <w:r w:rsidR="00FF6EB4">
              <w:rPr>
                <w:noProof/>
                <w:webHidden/>
              </w:rPr>
              <w:fldChar w:fldCharType="separate"/>
            </w:r>
            <w:r w:rsidR="00FF6EB4">
              <w:rPr>
                <w:noProof/>
                <w:webHidden/>
              </w:rPr>
              <w:t>23</w:t>
            </w:r>
            <w:r w:rsidR="00FF6EB4">
              <w:rPr>
                <w:noProof/>
                <w:webHidden/>
              </w:rPr>
              <w:fldChar w:fldCharType="end"/>
            </w:r>
          </w:hyperlink>
        </w:p>
        <w:p w14:paraId="4A5E48F7" w14:textId="26B1F864"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3" w:history="1">
            <w:r w:rsidR="00FF6EB4" w:rsidRPr="004617E5">
              <w:rPr>
                <w:rStyle w:val="Hyperlink"/>
                <w:noProof/>
              </w:rPr>
              <w:t>11.</w:t>
            </w:r>
            <w:r w:rsidR="00FF6EB4">
              <w:rPr>
                <w:rFonts w:asciiTheme="minorHAnsi" w:eastAsiaTheme="minorEastAsia" w:hAnsiTheme="minorHAnsi" w:cstheme="minorBidi"/>
                <w:noProof/>
                <w:sz w:val="22"/>
                <w:szCs w:val="22"/>
              </w:rPr>
              <w:tab/>
            </w:r>
            <w:r w:rsidR="00FF6EB4" w:rsidRPr="004617E5">
              <w:rPr>
                <w:rStyle w:val="Hyperlink"/>
                <w:noProof/>
              </w:rPr>
              <w:t>Provide additional justification for any questions of a sensitive nature</w:t>
            </w:r>
            <w:r w:rsidR="00FF6EB4">
              <w:rPr>
                <w:noProof/>
                <w:webHidden/>
              </w:rPr>
              <w:tab/>
            </w:r>
            <w:r w:rsidR="00FF6EB4">
              <w:rPr>
                <w:noProof/>
                <w:webHidden/>
              </w:rPr>
              <w:fldChar w:fldCharType="begin"/>
            </w:r>
            <w:r w:rsidR="00FF6EB4">
              <w:rPr>
                <w:noProof/>
                <w:webHidden/>
              </w:rPr>
              <w:instrText xml:space="preserve"> PAGEREF _Toc510451623 \h </w:instrText>
            </w:r>
            <w:r w:rsidR="00FF6EB4">
              <w:rPr>
                <w:noProof/>
                <w:webHidden/>
              </w:rPr>
            </w:r>
            <w:r w:rsidR="00FF6EB4">
              <w:rPr>
                <w:noProof/>
                <w:webHidden/>
              </w:rPr>
              <w:fldChar w:fldCharType="separate"/>
            </w:r>
            <w:r w:rsidR="00FF6EB4">
              <w:rPr>
                <w:noProof/>
                <w:webHidden/>
              </w:rPr>
              <w:t>23</w:t>
            </w:r>
            <w:r w:rsidR="00FF6EB4">
              <w:rPr>
                <w:noProof/>
                <w:webHidden/>
              </w:rPr>
              <w:fldChar w:fldCharType="end"/>
            </w:r>
          </w:hyperlink>
        </w:p>
        <w:p w14:paraId="1E22074C" w14:textId="79CCF023"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4" w:history="1">
            <w:r w:rsidR="00FF6EB4" w:rsidRPr="004617E5">
              <w:rPr>
                <w:rStyle w:val="Hyperlink"/>
                <w:noProof/>
              </w:rPr>
              <w:t>12.</w:t>
            </w:r>
            <w:r w:rsidR="00FF6EB4">
              <w:rPr>
                <w:rFonts w:asciiTheme="minorHAnsi" w:eastAsiaTheme="minorEastAsia" w:hAnsiTheme="minorHAnsi" w:cstheme="minorBidi"/>
                <w:noProof/>
                <w:sz w:val="22"/>
                <w:szCs w:val="22"/>
              </w:rPr>
              <w:tab/>
            </w:r>
            <w:r w:rsidR="00FF6EB4" w:rsidRPr="004617E5">
              <w:rPr>
                <w:rStyle w:val="Hyperlink"/>
                <w:noProof/>
              </w:rPr>
              <w:t>Provide estimates of the hour burden of the collection of information</w:t>
            </w:r>
            <w:r w:rsidR="00FF6EB4">
              <w:rPr>
                <w:noProof/>
                <w:webHidden/>
              </w:rPr>
              <w:tab/>
            </w:r>
            <w:r w:rsidR="00FF6EB4">
              <w:rPr>
                <w:noProof/>
                <w:webHidden/>
              </w:rPr>
              <w:fldChar w:fldCharType="begin"/>
            </w:r>
            <w:r w:rsidR="00FF6EB4">
              <w:rPr>
                <w:noProof/>
                <w:webHidden/>
              </w:rPr>
              <w:instrText xml:space="preserve"> PAGEREF _Toc510451624 \h </w:instrText>
            </w:r>
            <w:r w:rsidR="00FF6EB4">
              <w:rPr>
                <w:noProof/>
                <w:webHidden/>
              </w:rPr>
            </w:r>
            <w:r w:rsidR="00FF6EB4">
              <w:rPr>
                <w:noProof/>
                <w:webHidden/>
              </w:rPr>
              <w:fldChar w:fldCharType="separate"/>
            </w:r>
            <w:r w:rsidR="00FF6EB4">
              <w:rPr>
                <w:noProof/>
                <w:webHidden/>
              </w:rPr>
              <w:t>23</w:t>
            </w:r>
            <w:r w:rsidR="00FF6EB4">
              <w:rPr>
                <w:noProof/>
                <w:webHidden/>
              </w:rPr>
              <w:fldChar w:fldCharType="end"/>
            </w:r>
          </w:hyperlink>
        </w:p>
        <w:p w14:paraId="1A7EA0BD" w14:textId="14E30D88"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5" w:history="1">
            <w:r w:rsidR="00FF6EB4" w:rsidRPr="004617E5">
              <w:rPr>
                <w:rStyle w:val="Hyperlink"/>
                <w:noProof/>
              </w:rPr>
              <w:t>13.</w:t>
            </w:r>
            <w:r w:rsidR="00FF6EB4">
              <w:rPr>
                <w:rFonts w:asciiTheme="minorHAnsi" w:eastAsiaTheme="minorEastAsia" w:hAnsiTheme="minorHAnsi" w:cstheme="minorBidi"/>
                <w:noProof/>
                <w:sz w:val="22"/>
                <w:szCs w:val="22"/>
              </w:rPr>
              <w:tab/>
            </w:r>
            <w:r w:rsidR="00FF6EB4" w:rsidRPr="004617E5">
              <w:rPr>
                <w:rStyle w:val="Hyperlink"/>
                <w:noProof/>
              </w:rPr>
              <w:t>Provide an estimate of the total annual cost burden to respondents</w:t>
            </w:r>
            <w:r w:rsidR="00FF6EB4">
              <w:rPr>
                <w:noProof/>
                <w:webHidden/>
              </w:rPr>
              <w:tab/>
            </w:r>
            <w:r w:rsidR="00FF6EB4">
              <w:rPr>
                <w:noProof/>
                <w:webHidden/>
              </w:rPr>
              <w:fldChar w:fldCharType="begin"/>
            </w:r>
            <w:r w:rsidR="00FF6EB4">
              <w:rPr>
                <w:noProof/>
                <w:webHidden/>
              </w:rPr>
              <w:instrText xml:space="preserve"> PAGEREF _Toc510451625 \h </w:instrText>
            </w:r>
            <w:r w:rsidR="00FF6EB4">
              <w:rPr>
                <w:noProof/>
                <w:webHidden/>
              </w:rPr>
            </w:r>
            <w:r w:rsidR="00FF6EB4">
              <w:rPr>
                <w:noProof/>
                <w:webHidden/>
              </w:rPr>
              <w:fldChar w:fldCharType="separate"/>
            </w:r>
            <w:r w:rsidR="00FF6EB4">
              <w:rPr>
                <w:noProof/>
                <w:webHidden/>
              </w:rPr>
              <w:t>23</w:t>
            </w:r>
            <w:r w:rsidR="00FF6EB4">
              <w:rPr>
                <w:noProof/>
                <w:webHidden/>
              </w:rPr>
              <w:fldChar w:fldCharType="end"/>
            </w:r>
          </w:hyperlink>
        </w:p>
        <w:p w14:paraId="06E939FF" w14:textId="193B42FE"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6" w:history="1">
            <w:r w:rsidR="00FF6EB4" w:rsidRPr="004617E5">
              <w:rPr>
                <w:rStyle w:val="Hyperlink"/>
                <w:noProof/>
              </w:rPr>
              <w:t>14.</w:t>
            </w:r>
            <w:r w:rsidR="00FF6EB4">
              <w:rPr>
                <w:rFonts w:asciiTheme="minorHAnsi" w:eastAsiaTheme="minorEastAsia" w:hAnsiTheme="minorHAnsi" w:cstheme="minorBidi"/>
                <w:noProof/>
                <w:sz w:val="22"/>
                <w:szCs w:val="22"/>
              </w:rPr>
              <w:tab/>
            </w:r>
            <w:r w:rsidR="00FF6EB4" w:rsidRPr="004617E5">
              <w:rPr>
                <w:rStyle w:val="Hyperlink"/>
                <w:noProof/>
              </w:rPr>
              <w:t>Provide an estimate of the annualized cost to the federal government</w:t>
            </w:r>
            <w:r w:rsidR="00FF6EB4">
              <w:rPr>
                <w:noProof/>
                <w:webHidden/>
              </w:rPr>
              <w:tab/>
            </w:r>
            <w:r w:rsidR="00FF6EB4">
              <w:rPr>
                <w:noProof/>
                <w:webHidden/>
              </w:rPr>
              <w:fldChar w:fldCharType="begin"/>
            </w:r>
            <w:r w:rsidR="00FF6EB4">
              <w:rPr>
                <w:noProof/>
                <w:webHidden/>
              </w:rPr>
              <w:instrText xml:space="preserve"> PAGEREF _Toc510451626 \h </w:instrText>
            </w:r>
            <w:r w:rsidR="00FF6EB4">
              <w:rPr>
                <w:noProof/>
                <w:webHidden/>
              </w:rPr>
            </w:r>
            <w:r w:rsidR="00FF6EB4">
              <w:rPr>
                <w:noProof/>
                <w:webHidden/>
              </w:rPr>
              <w:fldChar w:fldCharType="separate"/>
            </w:r>
            <w:r w:rsidR="00FF6EB4">
              <w:rPr>
                <w:noProof/>
                <w:webHidden/>
              </w:rPr>
              <w:t>24</w:t>
            </w:r>
            <w:r w:rsidR="00FF6EB4">
              <w:rPr>
                <w:noProof/>
                <w:webHidden/>
              </w:rPr>
              <w:fldChar w:fldCharType="end"/>
            </w:r>
          </w:hyperlink>
        </w:p>
        <w:p w14:paraId="3C629C1E" w14:textId="5FDFB602"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7" w:history="1">
            <w:r w:rsidR="00FF6EB4" w:rsidRPr="004617E5">
              <w:rPr>
                <w:rStyle w:val="Hyperlink"/>
                <w:noProof/>
              </w:rPr>
              <w:t>15.</w:t>
            </w:r>
            <w:r w:rsidR="00FF6EB4">
              <w:rPr>
                <w:rFonts w:asciiTheme="minorHAnsi" w:eastAsiaTheme="minorEastAsia" w:hAnsiTheme="minorHAnsi" w:cstheme="minorBidi"/>
                <w:noProof/>
                <w:sz w:val="22"/>
                <w:szCs w:val="22"/>
              </w:rPr>
              <w:tab/>
            </w:r>
            <w:r w:rsidR="00FF6EB4" w:rsidRPr="004617E5">
              <w:rPr>
                <w:rStyle w:val="Hyperlink"/>
                <w:noProof/>
              </w:rPr>
              <w:t>Explain the reasons for adjustments reported in items 13 or 14 of OMB Form 83-I</w:t>
            </w:r>
            <w:r w:rsidR="00FF6EB4">
              <w:rPr>
                <w:noProof/>
                <w:webHidden/>
              </w:rPr>
              <w:tab/>
            </w:r>
            <w:r w:rsidR="00FF6EB4">
              <w:rPr>
                <w:noProof/>
                <w:webHidden/>
              </w:rPr>
              <w:fldChar w:fldCharType="begin"/>
            </w:r>
            <w:r w:rsidR="00FF6EB4">
              <w:rPr>
                <w:noProof/>
                <w:webHidden/>
              </w:rPr>
              <w:instrText xml:space="preserve"> PAGEREF _Toc510451627 \h </w:instrText>
            </w:r>
            <w:r w:rsidR="00FF6EB4">
              <w:rPr>
                <w:noProof/>
                <w:webHidden/>
              </w:rPr>
            </w:r>
            <w:r w:rsidR="00FF6EB4">
              <w:rPr>
                <w:noProof/>
                <w:webHidden/>
              </w:rPr>
              <w:fldChar w:fldCharType="separate"/>
            </w:r>
            <w:r w:rsidR="00FF6EB4">
              <w:rPr>
                <w:noProof/>
                <w:webHidden/>
              </w:rPr>
              <w:t>25</w:t>
            </w:r>
            <w:r w:rsidR="00FF6EB4">
              <w:rPr>
                <w:noProof/>
                <w:webHidden/>
              </w:rPr>
              <w:fldChar w:fldCharType="end"/>
            </w:r>
          </w:hyperlink>
        </w:p>
        <w:p w14:paraId="2E0BF262" w14:textId="364695AA"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8" w:history="1">
            <w:r w:rsidR="00FF6EB4" w:rsidRPr="004617E5">
              <w:rPr>
                <w:rStyle w:val="Hyperlink"/>
                <w:noProof/>
              </w:rPr>
              <w:t>16.</w:t>
            </w:r>
            <w:r w:rsidR="00FF6EB4">
              <w:rPr>
                <w:rFonts w:asciiTheme="minorHAnsi" w:eastAsiaTheme="minorEastAsia" w:hAnsiTheme="minorHAnsi" w:cstheme="minorBidi"/>
                <w:noProof/>
                <w:sz w:val="22"/>
                <w:szCs w:val="22"/>
              </w:rPr>
              <w:tab/>
            </w:r>
            <w:r w:rsidR="00FF6EB4" w:rsidRPr="004617E5">
              <w:rPr>
                <w:rStyle w:val="Hyperlink"/>
                <w:noProof/>
              </w:rPr>
              <w:t>Outline any plans for tabulation and publication of the information</w:t>
            </w:r>
            <w:r w:rsidR="00FF6EB4">
              <w:rPr>
                <w:noProof/>
                <w:webHidden/>
              </w:rPr>
              <w:tab/>
            </w:r>
            <w:r w:rsidR="00FF6EB4">
              <w:rPr>
                <w:noProof/>
                <w:webHidden/>
              </w:rPr>
              <w:fldChar w:fldCharType="begin"/>
            </w:r>
            <w:r w:rsidR="00FF6EB4">
              <w:rPr>
                <w:noProof/>
                <w:webHidden/>
              </w:rPr>
              <w:instrText xml:space="preserve"> PAGEREF _Toc510451628 \h </w:instrText>
            </w:r>
            <w:r w:rsidR="00FF6EB4">
              <w:rPr>
                <w:noProof/>
                <w:webHidden/>
              </w:rPr>
            </w:r>
            <w:r w:rsidR="00FF6EB4">
              <w:rPr>
                <w:noProof/>
                <w:webHidden/>
              </w:rPr>
              <w:fldChar w:fldCharType="separate"/>
            </w:r>
            <w:r w:rsidR="00FF6EB4">
              <w:rPr>
                <w:noProof/>
                <w:webHidden/>
              </w:rPr>
              <w:t>28</w:t>
            </w:r>
            <w:r w:rsidR="00FF6EB4">
              <w:rPr>
                <w:noProof/>
                <w:webHidden/>
              </w:rPr>
              <w:fldChar w:fldCharType="end"/>
            </w:r>
          </w:hyperlink>
        </w:p>
        <w:p w14:paraId="1B5E5805" w14:textId="03D19D31"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29" w:history="1">
            <w:r w:rsidR="00FF6EB4" w:rsidRPr="004617E5">
              <w:rPr>
                <w:rStyle w:val="Hyperlink"/>
                <w:noProof/>
              </w:rPr>
              <w:t>17.</w:t>
            </w:r>
            <w:r w:rsidR="00FF6EB4">
              <w:rPr>
                <w:rFonts w:asciiTheme="minorHAnsi" w:eastAsiaTheme="minorEastAsia" w:hAnsiTheme="minorHAnsi" w:cstheme="minorBidi"/>
                <w:noProof/>
                <w:sz w:val="22"/>
                <w:szCs w:val="22"/>
              </w:rPr>
              <w:tab/>
            </w:r>
            <w:r w:rsidR="00FF6EB4" w:rsidRPr="004617E5">
              <w:rPr>
                <w:rStyle w:val="Hyperlink"/>
                <w:noProof/>
              </w:rPr>
              <w:t>Explain any requests to not display the expiration date of OMB approval</w:t>
            </w:r>
            <w:r w:rsidR="00FF6EB4">
              <w:rPr>
                <w:noProof/>
                <w:webHidden/>
              </w:rPr>
              <w:tab/>
            </w:r>
            <w:r w:rsidR="00FF6EB4">
              <w:rPr>
                <w:noProof/>
                <w:webHidden/>
              </w:rPr>
              <w:fldChar w:fldCharType="begin"/>
            </w:r>
            <w:r w:rsidR="00FF6EB4">
              <w:rPr>
                <w:noProof/>
                <w:webHidden/>
              </w:rPr>
              <w:instrText xml:space="preserve"> PAGEREF _Toc510451629 \h </w:instrText>
            </w:r>
            <w:r w:rsidR="00FF6EB4">
              <w:rPr>
                <w:noProof/>
                <w:webHidden/>
              </w:rPr>
            </w:r>
            <w:r w:rsidR="00FF6EB4">
              <w:rPr>
                <w:noProof/>
                <w:webHidden/>
              </w:rPr>
              <w:fldChar w:fldCharType="separate"/>
            </w:r>
            <w:r w:rsidR="00FF6EB4">
              <w:rPr>
                <w:noProof/>
                <w:webHidden/>
              </w:rPr>
              <w:t>29</w:t>
            </w:r>
            <w:r w:rsidR="00FF6EB4">
              <w:rPr>
                <w:noProof/>
                <w:webHidden/>
              </w:rPr>
              <w:fldChar w:fldCharType="end"/>
            </w:r>
          </w:hyperlink>
        </w:p>
        <w:p w14:paraId="0D63770F" w14:textId="064ECAA6"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30" w:history="1">
            <w:r w:rsidR="00FF6EB4" w:rsidRPr="004617E5">
              <w:rPr>
                <w:rStyle w:val="Hyperlink"/>
                <w:noProof/>
              </w:rPr>
              <w:t>18.</w:t>
            </w:r>
            <w:r w:rsidR="00FF6EB4">
              <w:rPr>
                <w:rFonts w:asciiTheme="minorHAnsi" w:eastAsiaTheme="minorEastAsia" w:hAnsiTheme="minorHAnsi" w:cstheme="minorBidi"/>
                <w:noProof/>
                <w:sz w:val="22"/>
                <w:szCs w:val="22"/>
              </w:rPr>
              <w:tab/>
            </w:r>
            <w:r w:rsidR="00FF6EB4" w:rsidRPr="004617E5">
              <w:rPr>
                <w:rStyle w:val="Hyperlink"/>
                <w:noProof/>
              </w:rPr>
              <w:t>Explain any exceptions to the certification statement 5 CFR 1320.9, “Agency Certifications for Proposed Collections of Information.”</w:t>
            </w:r>
            <w:r w:rsidR="00FF6EB4">
              <w:rPr>
                <w:noProof/>
                <w:webHidden/>
              </w:rPr>
              <w:tab/>
            </w:r>
            <w:r w:rsidR="00FF6EB4">
              <w:rPr>
                <w:noProof/>
                <w:webHidden/>
              </w:rPr>
              <w:fldChar w:fldCharType="begin"/>
            </w:r>
            <w:r w:rsidR="00FF6EB4">
              <w:rPr>
                <w:noProof/>
                <w:webHidden/>
              </w:rPr>
              <w:instrText xml:space="preserve"> PAGEREF _Toc510451630 \h </w:instrText>
            </w:r>
            <w:r w:rsidR="00FF6EB4">
              <w:rPr>
                <w:noProof/>
                <w:webHidden/>
              </w:rPr>
            </w:r>
            <w:r w:rsidR="00FF6EB4">
              <w:rPr>
                <w:noProof/>
                <w:webHidden/>
              </w:rPr>
              <w:fldChar w:fldCharType="separate"/>
            </w:r>
            <w:r w:rsidR="00FF6EB4">
              <w:rPr>
                <w:noProof/>
                <w:webHidden/>
              </w:rPr>
              <w:t>29</w:t>
            </w:r>
            <w:r w:rsidR="00FF6EB4">
              <w:rPr>
                <w:noProof/>
                <w:webHidden/>
              </w:rPr>
              <w:fldChar w:fldCharType="end"/>
            </w:r>
          </w:hyperlink>
        </w:p>
        <w:p w14:paraId="3BDB399D" w14:textId="3827F158" w:rsidR="00FF6EB4" w:rsidRDefault="00523EFF">
          <w:pPr>
            <w:pStyle w:val="TOC1"/>
            <w:rPr>
              <w:rFonts w:asciiTheme="minorHAnsi" w:eastAsiaTheme="minorEastAsia" w:hAnsiTheme="minorHAnsi" w:cstheme="minorBidi"/>
              <w:b w:val="0"/>
              <w:noProof/>
              <w:sz w:val="22"/>
              <w:szCs w:val="22"/>
            </w:rPr>
          </w:pPr>
          <w:hyperlink w:anchor="_Toc510451631" w:history="1">
            <w:r w:rsidR="00FF6EB4" w:rsidRPr="004617E5">
              <w:rPr>
                <w:rStyle w:val="Hyperlink"/>
                <w:noProof/>
              </w:rPr>
              <w:t>B.</w:t>
            </w:r>
            <w:r w:rsidR="00FF6EB4">
              <w:rPr>
                <w:rFonts w:asciiTheme="minorHAnsi" w:eastAsiaTheme="minorEastAsia" w:hAnsiTheme="minorHAnsi" w:cstheme="minorBidi"/>
                <w:b w:val="0"/>
                <w:noProof/>
                <w:sz w:val="22"/>
                <w:szCs w:val="22"/>
              </w:rPr>
              <w:tab/>
            </w:r>
            <w:r w:rsidR="00FF6EB4" w:rsidRPr="004617E5">
              <w:rPr>
                <w:rStyle w:val="Hyperlink"/>
                <w:noProof/>
              </w:rPr>
              <w:t>Statistical Methods (Used for Collection of Information Employing Statistical Methods)</w:t>
            </w:r>
            <w:r w:rsidR="00FF6EB4">
              <w:rPr>
                <w:noProof/>
                <w:webHidden/>
              </w:rPr>
              <w:tab/>
            </w:r>
            <w:r w:rsidR="00FF6EB4">
              <w:rPr>
                <w:noProof/>
                <w:webHidden/>
              </w:rPr>
              <w:fldChar w:fldCharType="begin"/>
            </w:r>
            <w:r w:rsidR="00FF6EB4">
              <w:rPr>
                <w:noProof/>
                <w:webHidden/>
              </w:rPr>
              <w:instrText xml:space="preserve"> PAGEREF _Toc510451631 \h </w:instrText>
            </w:r>
            <w:r w:rsidR="00FF6EB4">
              <w:rPr>
                <w:noProof/>
                <w:webHidden/>
              </w:rPr>
            </w:r>
            <w:r w:rsidR="00FF6EB4">
              <w:rPr>
                <w:noProof/>
                <w:webHidden/>
              </w:rPr>
              <w:fldChar w:fldCharType="separate"/>
            </w:r>
            <w:r w:rsidR="00FF6EB4">
              <w:rPr>
                <w:noProof/>
                <w:webHidden/>
              </w:rPr>
              <w:t>29</w:t>
            </w:r>
            <w:r w:rsidR="00FF6EB4">
              <w:rPr>
                <w:noProof/>
                <w:webHidden/>
              </w:rPr>
              <w:fldChar w:fldCharType="end"/>
            </w:r>
          </w:hyperlink>
        </w:p>
        <w:p w14:paraId="643E1A98" w14:textId="0B64CF87" w:rsidR="00FF6EB4" w:rsidRDefault="00523EFF">
          <w:pPr>
            <w:pStyle w:val="TOC1"/>
            <w:rPr>
              <w:rFonts w:asciiTheme="minorHAnsi" w:eastAsiaTheme="minorEastAsia" w:hAnsiTheme="minorHAnsi" w:cstheme="minorBidi"/>
              <w:b w:val="0"/>
              <w:noProof/>
              <w:sz w:val="22"/>
              <w:szCs w:val="22"/>
            </w:rPr>
          </w:pPr>
          <w:hyperlink w:anchor="_Toc510451632" w:history="1">
            <w:r w:rsidR="00FF6EB4" w:rsidRPr="004617E5">
              <w:rPr>
                <w:rStyle w:val="Hyperlink"/>
                <w:noProof/>
              </w:rPr>
              <w:t>Appendix A—Description of the Information Collected and Methodology for Estimating Respondent Burden and Cost of Collection</w:t>
            </w:r>
            <w:r w:rsidR="00FF6EB4">
              <w:rPr>
                <w:noProof/>
                <w:webHidden/>
              </w:rPr>
              <w:tab/>
            </w:r>
            <w:r w:rsidR="00FF6EB4">
              <w:rPr>
                <w:noProof/>
                <w:webHidden/>
              </w:rPr>
              <w:fldChar w:fldCharType="begin"/>
            </w:r>
            <w:r w:rsidR="00FF6EB4">
              <w:rPr>
                <w:noProof/>
                <w:webHidden/>
              </w:rPr>
              <w:instrText xml:space="preserve"> PAGEREF _Toc510451632 \h </w:instrText>
            </w:r>
            <w:r w:rsidR="00FF6EB4">
              <w:rPr>
                <w:noProof/>
                <w:webHidden/>
              </w:rPr>
            </w:r>
            <w:r w:rsidR="00FF6EB4">
              <w:rPr>
                <w:noProof/>
                <w:webHidden/>
              </w:rPr>
              <w:fldChar w:fldCharType="separate"/>
            </w:r>
            <w:r w:rsidR="00FF6EB4">
              <w:rPr>
                <w:noProof/>
                <w:webHidden/>
              </w:rPr>
              <w:t>30</w:t>
            </w:r>
            <w:r w:rsidR="00FF6EB4">
              <w:rPr>
                <w:noProof/>
                <w:webHidden/>
              </w:rPr>
              <w:fldChar w:fldCharType="end"/>
            </w:r>
          </w:hyperlink>
        </w:p>
        <w:p w14:paraId="3D8F1BE6" w14:textId="45D3AD29"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33" w:history="1">
            <w:r w:rsidR="00FF6EB4" w:rsidRPr="004617E5">
              <w:rPr>
                <w:rStyle w:val="Hyperlink"/>
                <w:noProof/>
              </w:rPr>
              <w:t>A.1.</w:t>
            </w:r>
            <w:r w:rsidR="00FF6EB4">
              <w:rPr>
                <w:rFonts w:asciiTheme="minorHAnsi" w:eastAsiaTheme="minorEastAsia" w:hAnsiTheme="minorHAnsi" w:cstheme="minorBidi"/>
                <w:noProof/>
                <w:sz w:val="22"/>
                <w:szCs w:val="22"/>
              </w:rPr>
              <w:tab/>
            </w:r>
            <w:r w:rsidR="00FF6EB4" w:rsidRPr="004617E5">
              <w:rPr>
                <w:rStyle w:val="Hyperlink"/>
                <w:noProof/>
              </w:rPr>
              <w:t>Estimating Respondent Burden</w:t>
            </w:r>
            <w:r w:rsidR="00FF6EB4">
              <w:rPr>
                <w:noProof/>
                <w:webHidden/>
              </w:rPr>
              <w:tab/>
            </w:r>
            <w:r w:rsidR="00FF6EB4">
              <w:rPr>
                <w:noProof/>
                <w:webHidden/>
              </w:rPr>
              <w:fldChar w:fldCharType="begin"/>
            </w:r>
            <w:r w:rsidR="00FF6EB4">
              <w:rPr>
                <w:noProof/>
                <w:webHidden/>
              </w:rPr>
              <w:instrText xml:space="preserve"> PAGEREF _Toc510451633 \h </w:instrText>
            </w:r>
            <w:r w:rsidR="00FF6EB4">
              <w:rPr>
                <w:noProof/>
                <w:webHidden/>
              </w:rPr>
            </w:r>
            <w:r w:rsidR="00FF6EB4">
              <w:rPr>
                <w:noProof/>
                <w:webHidden/>
              </w:rPr>
              <w:fldChar w:fldCharType="separate"/>
            </w:r>
            <w:r w:rsidR="00FF6EB4">
              <w:rPr>
                <w:noProof/>
                <w:webHidden/>
              </w:rPr>
              <w:t>30</w:t>
            </w:r>
            <w:r w:rsidR="00FF6EB4">
              <w:rPr>
                <w:noProof/>
                <w:webHidden/>
              </w:rPr>
              <w:fldChar w:fldCharType="end"/>
            </w:r>
          </w:hyperlink>
        </w:p>
        <w:p w14:paraId="362E28DD" w14:textId="6B40D7E6" w:rsidR="00FF6EB4" w:rsidRDefault="00523EFF">
          <w:pPr>
            <w:pStyle w:val="TOC3"/>
            <w:tabs>
              <w:tab w:val="left" w:pos="1440"/>
            </w:tabs>
            <w:rPr>
              <w:rFonts w:asciiTheme="minorHAnsi" w:eastAsiaTheme="minorEastAsia" w:hAnsiTheme="minorHAnsi" w:cstheme="minorBidi"/>
              <w:sz w:val="22"/>
              <w:szCs w:val="22"/>
            </w:rPr>
          </w:pPr>
          <w:hyperlink w:anchor="_Toc510451634" w:history="1">
            <w:r w:rsidR="00FF6EB4" w:rsidRPr="004617E5">
              <w:rPr>
                <w:rStyle w:val="Hyperlink"/>
              </w:rPr>
              <w:t>A.1.1.</w:t>
            </w:r>
            <w:r w:rsidR="00FF6EB4">
              <w:rPr>
                <w:rFonts w:asciiTheme="minorHAnsi" w:eastAsiaTheme="minorEastAsia" w:hAnsiTheme="minorHAnsi" w:cstheme="minorBidi"/>
                <w:sz w:val="22"/>
                <w:szCs w:val="22"/>
              </w:rPr>
              <w:tab/>
            </w:r>
            <w:r w:rsidR="00FF6EB4" w:rsidRPr="004617E5">
              <w:rPr>
                <w:rStyle w:val="Hyperlink"/>
              </w:rPr>
              <w:t>Recordkeeping</w:t>
            </w:r>
            <w:r w:rsidR="00FF6EB4">
              <w:rPr>
                <w:webHidden/>
              </w:rPr>
              <w:tab/>
            </w:r>
            <w:r w:rsidR="00FF6EB4">
              <w:rPr>
                <w:webHidden/>
              </w:rPr>
              <w:fldChar w:fldCharType="begin"/>
            </w:r>
            <w:r w:rsidR="00FF6EB4">
              <w:rPr>
                <w:webHidden/>
              </w:rPr>
              <w:instrText xml:space="preserve"> PAGEREF _Toc510451634 \h </w:instrText>
            </w:r>
            <w:r w:rsidR="00FF6EB4">
              <w:rPr>
                <w:webHidden/>
              </w:rPr>
            </w:r>
            <w:r w:rsidR="00FF6EB4">
              <w:rPr>
                <w:webHidden/>
              </w:rPr>
              <w:fldChar w:fldCharType="separate"/>
            </w:r>
            <w:r w:rsidR="00FF6EB4">
              <w:rPr>
                <w:webHidden/>
              </w:rPr>
              <w:t>31</w:t>
            </w:r>
            <w:r w:rsidR="00FF6EB4">
              <w:rPr>
                <w:webHidden/>
              </w:rPr>
              <w:fldChar w:fldCharType="end"/>
            </w:r>
          </w:hyperlink>
        </w:p>
        <w:p w14:paraId="23E265C0" w14:textId="6E44425E" w:rsidR="00FF6EB4" w:rsidRDefault="00523EFF">
          <w:pPr>
            <w:pStyle w:val="TOC3"/>
            <w:tabs>
              <w:tab w:val="left" w:pos="1440"/>
            </w:tabs>
            <w:rPr>
              <w:rFonts w:asciiTheme="minorHAnsi" w:eastAsiaTheme="minorEastAsia" w:hAnsiTheme="minorHAnsi" w:cstheme="minorBidi"/>
              <w:sz w:val="22"/>
              <w:szCs w:val="22"/>
            </w:rPr>
          </w:pPr>
          <w:hyperlink w:anchor="_Toc510451635" w:history="1">
            <w:r w:rsidR="00FF6EB4" w:rsidRPr="004617E5">
              <w:rPr>
                <w:rStyle w:val="Hyperlink"/>
              </w:rPr>
              <w:t>A.1.2.</w:t>
            </w:r>
            <w:r w:rsidR="00FF6EB4">
              <w:rPr>
                <w:rFonts w:asciiTheme="minorHAnsi" w:eastAsiaTheme="minorEastAsia" w:hAnsiTheme="minorHAnsi" w:cstheme="minorBidi"/>
                <w:sz w:val="22"/>
                <w:szCs w:val="22"/>
              </w:rPr>
              <w:tab/>
            </w:r>
            <w:r w:rsidR="00FF6EB4" w:rsidRPr="004617E5">
              <w:rPr>
                <w:rStyle w:val="Hyperlink"/>
              </w:rPr>
              <w:t>Individual Permits</w:t>
            </w:r>
            <w:r w:rsidR="00FF6EB4">
              <w:rPr>
                <w:webHidden/>
              </w:rPr>
              <w:tab/>
            </w:r>
            <w:r w:rsidR="00FF6EB4">
              <w:rPr>
                <w:webHidden/>
              </w:rPr>
              <w:fldChar w:fldCharType="begin"/>
            </w:r>
            <w:r w:rsidR="00FF6EB4">
              <w:rPr>
                <w:webHidden/>
              </w:rPr>
              <w:instrText xml:space="preserve"> PAGEREF _Toc510451635 \h </w:instrText>
            </w:r>
            <w:r w:rsidR="00FF6EB4">
              <w:rPr>
                <w:webHidden/>
              </w:rPr>
            </w:r>
            <w:r w:rsidR="00FF6EB4">
              <w:rPr>
                <w:webHidden/>
              </w:rPr>
              <w:fldChar w:fldCharType="separate"/>
            </w:r>
            <w:r w:rsidR="00FF6EB4">
              <w:rPr>
                <w:webHidden/>
              </w:rPr>
              <w:t>31</w:t>
            </w:r>
            <w:r w:rsidR="00FF6EB4">
              <w:rPr>
                <w:webHidden/>
              </w:rPr>
              <w:fldChar w:fldCharType="end"/>
            </w:r>
          </w:hyperlink>
        </w:p>
        <w:p w14:paraId="3F664AD2" w14:textId="2271355F" w:rsidR="00FF6EB4" w:rsidRDefault="00523EFF">
          <w:pPr>
            <w:pStyle w:val="TOC3"/>
            <w:tabs>
              <w:tab w:val="left" w:pos="1440"/>
            </w:tabs>
            <w:rPr>
              <w:rFonts w:asciiTheme="minorHAnsi" w:eastAsiaTheme="minorEastAsia" w:hAnsiTheme="minorHAnsi" w:cstheme="minorBidi"/>
              <w:sz w:val="22"/>
              <w:szCs w:val="22"/>
            </w:rPr>
          </w:pPr>
          <w:hyperlink w:anchor="_Toc510451636" w:history="1">
            <w:r w:rsidR="00FF6EB4" w:rsidRPr="004617E5">
              <w:rPr>
                <w:rStyle w:val="Hyperlink"/>
              </w:rPr>
              <w:t>A.1.3.</w:t>
            </w:r>
            <w:r w:rsidR="00FF6EB4">
              <w:rPr>
                <w:rFonts w:asciiTheme="minorHAnsi" w:eastAsiaTheme="minorEastAsia" w:hAnsiTheme="minorHAnsi" w:cstheme="minorBidi"/>
                <w:sz w:val="22"/>
                <w:szCs w:val="22"/>
              </w:rPr>
              <w:tab/>
            </w:r>
            <w:r w:rsidR="00FF6EB4" w:rsidRPr="004617E5">
              <w:rPr>
                <w:rStyle w:val="Hyperlink"/>
              </w:rPr>
              <w:t>National Pretreatment Program</w:t>
            </w:r>
            <w:r w:rsidR="00FF6EB4">
              <w:rPr>
                <w:webHidden/>
              </w:rPr>
              <w:tab/>
            </w:r>
            <w:r w:rsidR="00FF6EB4">
              <w:rPr>
                <w:webHidden/>
              </w:rPr>
              <w:fldChar w:fldCharType="begin"/>
            </w:r>
            <w:r w:rsidR="00FF6EB4">
              <w:rPr>
                <w:webHidden/>
              </w:rPr>
              <w:instrText xml:space="preserve"> PAGEREF _Toc510451636 \h </w:instrText>
            </w:r>
            <w:r w:rsidR="00FF6EB4">
              <w:rPr>
                <w:webHidden/>
              </w:rPr>
            </w:r>
            <w:r w:rsidR="00FF6EB4">
              <w:rPr>
                <w:webHidden/>
              </w:rPr>
              <w:fldChar w:fldCharType="separate"/>
            </w:r>
            <w:r w:rsidR="00FF6EB4">
              <w:rPr>
                <w:webHidden/>
              </w:rPr>
              <w:t>38</w:t>
            </w:r>
            <w:r w:rsidR="00FF6EB4">
              <w:rPr>
                <w:webHidden/>
              </w:rPr>
              <w:fldChar w:fldCharType="end"/>
            </w:r>
          </w:hyperlink>
        </w:p>
        <w:p w14:paraId="52512C7C" w14:textId="5228B4B9" w:rsidR="00FF6EB4" w:rsidRDefault="00523EFF">
          <w:pPr>
            <w:pStyle w:val="TOC3"/>
            <w:tabs>
              <w:tab w:val="left" w:pos="1440"/>
            </w:tabs>
            <w:rPr>
              <w:rFonts w:asciiTheme="minorHAnsi" w:eastAsiaTheme="minorEastAsia" w:hAnsiTheme="minorHAnsi" w:cstheme="minorBidi"/>
              <w:sz w:val="22"/>
              <w:szCs w:val="22"/>
            </w:rPr>
          </w:pPr>
          <w:hyperlink w:anchor="_Toc510451637" w:history="1">
            <w:r w:rsidR="00FF6EB4" w:rsidRPr="004617E5">
              <w:rPr>
                <w:rStyle w:val="Hyperlink"/>
              </w:rPr>
              <w:t>A.1.4.</w:t>
            </w:r>
            <w:r w:rsidR="00FF6EB4">
              <w:rPr>
                <w:rFonts w:asciiTheme="minorHAnsi" w:eastAsiaTheme="minorEastAsia" w:hAnsiTheme="minorHAnsi" w:cstheme="minorBidi"/>
                <w:sz w:val="22"/>
                <w:szCs w:val="22"/>
              </w:rPr>
              <w:tab/>
            </w:r>
            <w:r w:rsidR="00FF6EB4" w:rsidRPr="004617E5">
              <w:rPr>
                <w:rStyle w:val="Hyperlink"/>
              </w:rPr>
              <w:t>Stormwater</w:t>
            </w:r>
            <w:r w:rsidR="00FF6EB4">
              <w:rPr>
                <w:webHidden/>
              </w:rPr>
              <w:tab/>
            </w:r>
            <w:r w:rsidR="00FF6EB4">
              <w:rPr>
                <w:webHidden/>
              </w:rPr>
              <w:fldChar w:fldCharType="begin"/>
            </w:r>
            <w:r w:rsidR="00FF6EB4">
              <w:rPr>
                <w:webHidden/>
              </w:rPr>
              <w:instrText xml:space="preserve"> PAGEREF _Toc510451637 \h </w:instrText>
            </w:r>
            <w:r w:rsidR="00FF6EB4">
              <w:rPr>
                <w:webHidden/>
              </w:rPr>
            </w:r>
            <w:r w:rsidR="00FF6EB4">
              <w:rPr>
                <w:webHidden/>
              </w:rPr>
              <w:fldChar w:fldCharType="separate"/>
            </w:r>
            <w:r w:rsidR="00FF6EB4">
              <w:rPr>
                <w:webHidden/>
              </w:rPr>
              <w:t>42</w:t>
            </w:r>
            <w:r w:rsidR="00FF6EB4">
              <w:rPr>
                <w:webHidden/>
              </w:rPr>
              <w:fldChar w:fldCharType="end"/>
            </w:r>
          </w:hyperlink>
        </w:p>
        <w:p w14:paraId="0F2474DB" w14:textId="74B4F816" w:rsidR="00FF6EB4" w:rsidRDefault="00523EFF">
          <w:pPr>
            <w:pStyle w:val="TOC3"/>
            <w:tabs>
              <w:tab w:val="left" w:pos="1440"/>
            </w:tabs>
            <w:rPr>
              <w:rFonts w:asciiTheme="minorHAnsi" w:eastAsiaTheme="minorEastAsia" w:hAnsiTheme="minorHAnsi" w:cstheme="minorBidi"/>
              <w:sz w:val="22"/>
              <w:szCs w:val="22"/>
            </w:rPr>
          </w:pPr>
          <w:hyperlink w:anchor="_Toc510451638" w:history="1">
            <w:r w:rsidR="00FF6EB4" w:rsidRPr="004617E5">
              <w:rPr>
                <w:rStyle w:val="Hyperlink"/>
              </w:rPr>
              <w:t>A.1.5.</w:t>
            </w:r>
            <w:r w:rsidR="00FF6EB4">
              <w:rPr>
                <w:rFonts w:asciiTheme="minorHAnsi" w:eastAsiaTheme="minorEastAsia" w:hAnsiTheme="minorHAnsi" w:cstheme="minorBidi"/>
                <w:sz w:val="22"/>
                <w:szCs w:val="22"/>
              </w:rPr>
              <w:tab/>
            </w:r>
            <w:r w:rsidR="00FF6EB4" w:rsidRPr="004617E5">
              <w:rPr>
                <w:rStyle w:val="Hyperlink"/>
              </w:rPr>
              <w:t>General Permits</w:t>
            </w:r>
            <w:r w:rsidR="00FF6EB4">
              <w:rPr>
                <w:webHidden/>
              </w:rPr>
              <w:tab/>
            </w:r>
            <w:r w:rsidR="00FF6EB4">
              <w:rPr>
                <w:webHidden/>
              </w:rPr>
              <w:fldChar w:fldCharType="begin"/>
            </w:r>
            <w:r w:rsidR="00FF6EB4">
              <w:rPr>
                <w:webHidden/>
              </w:rPr>
              <w:instrText xml:space="preserve"> PAGEREF _Toc510451638 \h </w:instrText>
            </w:r>
            <w:r w:rsidR="00FF6EB4">
              <w:rPr>
                <w:webHidden/>
              </w:rPr>
            </w:r>
            <w:r w:rsidR="00FF6EB4">
              <w:rPr>
                <w:webHidden/>
              </w:rPr>
              <w:fldChar w:fldCharType="separate"/>
            </w:r>
            <w:r w:rsidR="00FF6EB4">
              <w:rPr>
                <w:webHidden/>
              </w:rPr>
              <w:t>43</w:t>
            </w:r>
            <w:r w:rsidR="00FF6EB4">
              <w:rPr>
                <w:webHidden/>
              </w:rPr>
              <w:fldChar w:fldCharType="end"/>
            </w:r>
          </w:hyperlink>
        </w:p>
        <w:p w14:paraId="04A3A6F1" w14:textId="1B25D450" w:rsidR="00FF6EB4" w:rsidRDefault="00523EFF">
          <w:pPr>
            <w:pStyle w:val="TOC3"/>
            <w:tabs>
              <w:tab w:val="left" w:pos="1440"/>
            </w:tabs>
            <w:rPr>
              <w:rFonts w:asciiTheme="minorHAnsi" w:eastAsiaTheme="minorEastAsia" w:hAnsiTheme="minorHAnsi" w:cstheme="minorBidi"/>
              <w:sz w:val="22"/>
              <w:szCs w:val="22"/>
            </w:rPr>
          </w:pPr>
          <w:hyperlink w:anchor="_Toc510451639" w:history="1">
            <w:r w:rsidR="00FF6EB4" w:rsidRPr="004617E5">
              <w:rPr>
                <w:rStyle w:val="Hyperlink"/>
              </w:rPr>
              <w:t>A.1.6.</w:t>
            </w:r>
            <w:r w:rsidR="00FF6EB4">
              <w:rPr>
                <w:rFonts w:asciiTheme="minorHAnsi" w:eastAsiaTheme="minorEastAsia" w:hAnsiTheme="minorHAnsi" w:cstheme="minorBidi"/>
                <w:sz w:val="22"/>
                <w:szCs w:val="22"/>
              </w:rPr>
              <w:tab/>
            </w:r>
            <w:r w:rsidR="00FF6EB4" w:rsidRPr="004617E5">
              <w:rPr>
                <w:rStyle w:val="Hyperlink"/>
              </w:rPr>
              <w:t>Animal Sector</w:t>
            </w:r>
            <w:r w:rsidR="00FF6EB4">
              <w:rPr>
                <w:webHidden/>
              </w:rPr>
              <w:tab/>
            </w:r>
            <w:r w:rsidR="00FF6EB4">
              <w:rPr>
                <w:webHidden/>
              </w:rPr>
              <w:fldChar w:fldCharType="begin"/>
            </w:r>
            <w:r w:rsidR="00FF6EB4">
              <w:rPr>
                <w:webHidden/>
              </w:rPr>
              <w:instrText xml:space="preserve"> PAGEREF _Toc510451639 \h </w:instrText>
            </w:r>
            <w:r w:rsidR="00FF6EB4">
              <w:rPr>
                <w:webHidden/>
              </w:rPr>
            </w:r>
            <w:r w:rsidR="00FF6EB4">
              <w:rPr>
                <w:webHidden/>
              </w:rPr>
              <w:fldChar w:fldCharType="separate"/>
            </w:r>
            <w:r w:rsidR="00FF6EB4">
              <w:rPr>
                <w:webHidden/>
              </w:rPr>
              <w:t>50</w:t>
            </w:r>
            <w:r w:rsidR="00FF6EB4">
              <w:rPr>
                <w:webHidden/>
              </w:rPr>
              <w:fldChar w:fldCharType="end"/>
            </w:r>
          </w:hyperlink>
        </w:p>
        <w:p w14:paraId="15481391" w14:textId="1BE16B35" w:rsidR="00FF6EB4" w:rsidRDefault="00523EFF">
          <w:pPr>
            <w:pStyle w:val="TOC3"/>
            <w:tabs>
              <w:tab w:val="left" w:pos="1440"/>
            </w:tabs>
            <w:rPr>
              <w:rFonts w:asciiTheme="minorHAnsi" w:eastAsiaTheme="minorEastAsia" w:hAnsiTheme="minorHAnsi" w:cstheme="minorBidi"/>
              <w:sz w:val="22"/>
              <w:szCs w:val="22"/>
            </w:rPr>
          </w:pPr>
          <w:hyperlink w:anchor="_Toc510451640" w:history="1">
            <w:r w:rsidR="00FF6EB4" w:rsidRPr="004617E5">
              <w:rPr>
                <w:rStyle w:val="Hyperlink"/>
              </w:rPr>
              <w:t>A.1.7.</w:t>
            </w:r>
            <w:r w:rsidR="00FF6EB4">
              <w:rPr>
                <w:rFonts w:asciiTheme="minorHAnsi" w:eastAsiaTheme="minorEastAsia" w:hAnsiTheme="minorHAnsi" w:cstheme="minorBidi"/>
                <w:sz w:val="22"/>
                <w:szCs w:val="22"/>
              </w:rPr>
              <w:tab/>
            </w:r>
            <w:r w:rsidR="00FF6EB4" w:rsidRPr="004617E5">
              <w:rPr>
                <w:rStyle w:val="Hyperlink"/>
              </w:rPr>
              <w:t>Cooling Water Intake Structures</w:t>
            </w:r>
            <w:r w:rsidR="00FF6EB4">
              <w:rPr>
                <w:webHidden/>
              </w:rPr>
              <w:tab/>
            </w:r>
            <w:r w:rsidR="00FF6EB4">
              <w:rPr>
                <w:webHidden/>
              </w:rPr>
              <w:fldChar w:fldCharType="begin"/>
            </w:r>
            <w:r w:rsidR="00FF6EB4">
              <w:rPr>
                <w:webHidden/>
              </w:rPr>
              <w:instrText xml:space="preserve"> PAGEREF _Toc510451640 \h </w:instrText>
            </w:r>
            <w:r w:rsidR="00FF6EB4">
              <w:rPr>
                <w:webHidden/>
              </w:rPr>
            </w:r>
            <w:r w:rsidR="00FF6EB4">
              <w:rPr>
                <w:webHidden/>
              </w:rPr>
              <w:fldChar w:fldCharType="separate"/>
            </w:r>
            <w:r w:rsidR="00FF6EB4">
              <w:rPr>
                <w:webHidden/>
              </w:rPr>
              <w:t>52</w:t>
            </w:r>
            <w:r w:rsidR="00FF6EB4">
              <w:rPr>
                <w:webHidden/>
              </w:rPr>
              <w:fldChar w:fldCharType="end"/>
            </w:r>
          </w:hyperlink>
        </w:p>
        <w:p w14:paraId="09235501" w14:textId="5D24DF45" w:rsidR="00FF6EB4" w:rsidRDefault="00523EFF">
          <w:pPr>
            <w:pStyle w:val="TOC3"/>
            <w:tabs>
              <w:tab w:val="left" w:pos="1440"/>
            </w:tabs>
            <w:rPr>
              <w:rFonts w:asciiTheme="minorHAnsi" w:eastAsiaTheme="minorEastAsia" w:hAnsiTheme="minorHAnsi" w:cstheme="minorBidi"/>
              <w:sz w:val="22"/>
              <w:szCs w:val="22"/>
            </w:rPr>
          </w:pPr>
          <w:hyperlink w:anchor="_Toc510451641" w:history="1">
            <w:r w:rsidR="00FF6EB4" w:rsidRPr="004617E5">
              <w:rPr>
                <w:rStyle w:val="Hyperlink"/>
              </w:rPr>
              <w:t>A.1.8.</w:t>
            </w:r>
            <w:r w:rsidR="00FF6EB4">
              <w:rPr>
                <w:rFonts w:asciiTheme="minorHAnsi" w:eastAsiaTheme="minorEastAsia" w:hAnsiTheme="minorHAnsi" w:cstheme="minorBidi"/>
                <w:sz w:val="22"/>
                <w:szCs w:val="22"/>
              </w:rPr>
              <w:tab/>
            </w:r>
            <w:r w:rsidR="00FF6EB4" w:rsidRPr="004617E5">
              <w:rPr>
                <w:rStyle w:val="Hyperlink"/>
              </w:rPr>
              <w:t>Other</w:t>
            </w:r>
            <w:r w:rsidR="00FF6EB4">
              <w:rPr>
                <w:webHidden/>
              </w:rPr>
              <w:tab/>
            </w:r>
            <w:r w:rsidR="00FF6EB4">
              <w:rPr>
                <w:webHidden/>
              </w:rPr>
              <w:fldChar w:fldCharType="begin"/>
            </w:r>
            <w:r w:rsidR="00FF6EB4">
              <w:rPr>
                <w:webHidden/>
              </w:rPr>
              <w:instrText xml:space="preserve"> PAGEREF _Toc510451641 \h </w:instrText>
            </w:r>
            <w:r w:rsidR="00FF6EB4">
              <w:rPr>
                <w:webHidden/>
              </w:rPr>
            </w:r>
            <w:r w:rsidR="00FF6EB4">
              <w:rPr>
                <w:webHidden/>
              </w:rPr>
              <w:fldChar w:fldCharType="separate"/>
            </w:r>
            <w:r w:rsidR="00FF6EB4">
              <w:rPr>
                <w:webHidden/>
              </w:rPr>
              <w:t>57</w:t>
            </w:r>
            <w:r w:rsidR="00FF6EB4">
              <w:rPr>
                <w:webHidden/>
              </w:rPr>
              <w:fldChar w:fldCharType="end"/>
            </w:r>
          </w:hyperlink>
        </w:p>
        <w:p w14:paraId="2B80CB1A" w14:textId="58DD823B" w:rsidR="00FF6EB4" w:rsidRDefault="00523EFF">
          <w:pPr>
            <w:pStyle w:val="TOC3"/>
            <w:tabs>
              <w:tab w:val="left" w:pos="1440"/>
            </w:tabs>
            <w:rPr>
              <w:rFonts w:asciiTheme="minorHAnsi" w:eastAsiaTheme="minorEastAsia" w:hAnsiTheme="minorHAnsi" w:cstheme="minorBidi"/>
              <w:sz w:val="22"/>
              <w:szCs w:val="22"/>
            </w:rPr>
          </w:pPr>
          <w:hyperlink w:anchor="_Toc510451642" w:history="1">
            <w:r w:rsidR="00FF6EB4" w:rsidRPr="004617E5">
              <w:rPr>
                <w:rStyle w:val="Hyperlink"/>
              </w:rPr>
              <w:t>A.1.9.</w:t>
            </w:r>
            <w:r w:rsidR="00FF6EB4">
              <w:rPr>
                <w:rFonts w:asciiTheme="minorHAnsi" w:eastAsiaTheme="minorEastAsia" w:hAnsiTheme="minorHAnsi" w:cstheme="minorBidi"/>
                <w:sz w:val="22"/>
                <w:szCs w:val="22"/>
              </w:rPr>
              <w:tab/>
            </w:r>
            <w:r w:rsidR="00FF6EB4" w:rsidRPr="004617E5">
              <w:rPr>
                <w:rStyle w:val="Hyperlink"/>
              </w:rPr>
              <w:t>General State Activities</w:t>
            </w:r>
            <w:r w:rsidR="00FF6EB4">
              <w:rPr>
                <w:webHidden/>
              </w:rPr>
              <w:tab/>
            </w:r>
            <w:r w:rsidR="00FF6EB4">
              <w:rPr>
                <w:webHidden/>
              </w:rPr>
              <w:fldChar w:fldCharType="begin"/>
            </w:r>
            <w:r w:rsidR="00FF6EB4">
              <w:rPr>
                <w:webHidden/>
              </w:rPr>
              <w:instrText xml:space="preserve"> PAGEREF _Toc510451642 \h </w:instrText>
            </w:r>
            <w:r w:rsidR="00FF6EB4">
              <w:rPr>
                <w:webHidden/>
              </w:rPr>
            </w:r>
            <w:r w:rsidR="00FF6EB4">
              <w:rPr>
                <w:webHidden/>
              </w:rPr>
              <w:fldChar w:fldCharType="separate"/>
            </w:r>
            <w:r w:rsidR="00FF6EB4">
              <w:rPr>
                <w:webHidden/>
              </w:rPr>
              <w:t>60</w:t>
            </w:r>
            <w:r w:rsidR="00FF6EB4">
              <w:rPr>
                <w:webHidden/>
              </w:rPr>
              <w:fldChar w:fldCharType="end"/>
            </w:r>
          </w:hyperlink>
        </w:p>
        <w:p w14:paraId="06FC5FB8" w14:textId="73C45899" w:rsidR="00FF6EB4" w:rsidRDefault="00523EFF">
          <w:pPr>
            <w:pStyle w:val="TOC2"/>
            <w:tabs>
              <w:tab w:val="right" w:leader="dot" w:pos="9350"/>
            </w:tabs>
            <w:rPr>
              <w:rFonts w:asciiTheme="minorHAnsi" w:eastAsiaTheme="minorEastAsia" w:hAnsiTheme="minorHAnsi" w:cstheme="minorBidi"/>
              <w:noProof/>
              <w:sz w:val="22"/>
              <w:szCs w:val="22"/>
            </w:rPr>
          </w:pPr>
          <w:hyperlink w:anchor="_Toc510451643" w:history="1">
            <w:r w:rsidR="00FF6EB4" w:rsidRPr="004617E5">
              <w:rPr>
                <w:rStyle w:val="Hyperlink"/>
                <w:noProof/>
              </w:rPr>
              <w:t>A.2. Estimating Respondent Costs</w:t>
            </w:r>
            <w:r w:rsidR="00FF6EB4">
              <w:rPr>
                <w:noProof/>
                <w:webHidden/>
              </w:rPr>
              <w:tab/>
            </w:r>
            <w:r w:rsidR="00FF6EB4">
              <w:rPr>
                <w:noProof/>
                <w:webHidden/>
              </w:rPr>
              <w:fldChar w:fldCharType="begin"/>
            </w:r>
            <w:r w:rsidR="00FF6EB4">
              <w:rPr>
                <w:noProof/>
                <w:webHidden/>
              </w:rPr>
              <w:instrText xml:space="preserve"> PAGEREF _Toc510451643 \h </w:instrText>
            </w:r>
            <w:r w:rsidR="00FF6EB4">
              <w:rPr>
                <w:noProof/>
                <w:webHidden/>
              </w:rPr>
            </w:r>
            <w:r w:rsidR="00FF6EB4">
              <w:rPr>
                <w:noProof/>
                <w:webHidden/>
              </w:rPr>
              <w:fldChar w:fldCharType="separate"/>
            </w:r>
            <w:r w:rsidR="00FF6EB4">
              <w:rPr>
                <w:noProof/>
                <w:webHidden/>
              </w:rPr>
              <w:t>62</w:t>
            </w:r>
            <w:r w:rsidR="00FF6EB4">
              <w:rPr>
                <w:noProof/>
                <w:webHidden/>
              </w:rPr>
              <w:fldChar w:fldCharType="end"/>
            </w:r>
          </w:hyperlink>
        </w:p>
        <w:p w14:paraId="1AF0BCF5" w14:textId="15AE5822" w:rsidR="00FF6EB4" w:rsidRDefault="00523EFF">
          <w:pPr>
            <w:pStyle w:val="TOC3"/>
            <w:rPr>
              <w:rFonts w:asciiTheme="minorHAnsi" w:eastAsiaTheme="minorEastAsia" w:hAnsiTheme="minorHAnsi" w:cstheme="minorBidi"/>
              <w:sz w:val="22"/>
              <w:szCs w:val="22"/>
            </w:rPr>
          </w:pPr>
          <w:hyperlink w:anchor="_Toc510451644" w:history="1">
            <w:r w:rsidR="00FF6EB4" w:rsidRPr="004617E5">
              <w:rPr>
                <w:rStyle w:val="Hyperlink"/>
              </w:rPr>
              <w:t>A.2.1. Estimating Labor Costs</w:t>
            </w:r>
            <w:r w:rsidR="00FF6EB4">
              <w:rPr>
                <w:webHidden/>
              </w:rPr>
              <w:tab/>
            </w:r>
            <w:r w:rsidR="00FF6EB4">
              <w:rPr>
                <w:webHidden/>
              </w:rPr>
              <w:fldChar w:fldCharType="begin"/>
            </w:r>
            <w:r w:rsidR="00FF6EB4">
              <w:rPr>
                <w:webHidden/>
              </w:rPr>
              <w:instrText xml:space="preserve"> PAGEREF _Toc510451644 \h </w:instrText>
            </w:r>
            <w:r w:rsidR="00FF6EB4">
              <w:rPr>
                <w:webHidden/>
              </w:rPr>
            </w:r>
            <w:r w:rsidR="00FF6EB4">
              <w:rPr>
                <w:webHidden/>
              </w:rPr>
              <w:fldChar w:fldCharType="separate"/>
            </w:r>
            <w:r w:rsidR="00FF6EB4">
              <w:rPr>
                <w:webHidden/>
              </w:rPr>
              <w:t>62</w:t>
            </w:r>
            <w:r w:rsidR="00FF6EB4">
              <w:rPr>
                <w:webHidden/>
              </w:rPr>
              <w:fldChar w:fldCharType="end"/>
            </w:r>
          </w:hyperlink>
        </w:p>
        <w:p w14:paraId="208DD5CD" w14:textId="24ABA82B" w:rsidR="00FF6EB4" w:rsidRDefault="00523EFF">
          <w:pPr>
            <w:pStyle w:val="TOC3"/>
            <w:rPr>
              <w:rFonts w:asciiTheme="minorHAnsi" w:eastAsiaTheme="minorEastAsia" w:hAnsiTheme="minorHAnsi" w:cstheme="minorBidi"/>
              <w:sz w:val="22"/>
              <w:szCs w:val="22"/>
            </w:rPr>
          </w:pPr>
          <w:hyperlink w:anchor="_Toc510451645" w:history="1">
            <w:r w:rsidR="00FF6EB4" w:rsidRPr="004617E5">
              <w:rPr>
                <w:rStyle w:val="Hyperlink"/>
              </w:rPr>
              <w:t>A.2.2. Operating and Maintenance (O&amp;M) Costs</w:t>
            </w:r>
            <w:r w:rsidR="00FF6EB4">
              <w:rPr>
                <w:webHidden/>
              </w:rPr>
              <w:tab/>
            </w:r>
            <w:r w:rsidR="00FF6EB4">
              <w:rPr>
                <w:webHidden/>
              </w:rPr>
              <w:fldChar w:fldCharType="begin"/>
            </w:r>
            <w:r w:rsidR="00FF6EB4">
              <w:rPr>
                <w:webHidden/>
              </w:rPr>
              <w:instrText xml:space="preserve"> PAGEREF _Toc510451645 \h </w:instrText>
            </w:r>
            <w:r w:rsidR="00FF6EB4">
              <w:rPr>
                <w:webHidden/>
              </w:rPr>
            </w:r>
            <w:r w:rsidR="00FF6EB4">
              <w:rPr>
                <w:webHidden/>
              </w:rPr>
              <w:fldChar w:fldCharType="separate"/>
            </w:r>
            <w:r w:rsidR="00FF6EB4">
              <w:rPr>
                <w:webHidden/>
              </w:rPr>
              <w:t>63</w:t>
            </w:r>
            <w:r w:rsidR="00FF6EB4">
              <w:rPr>
                <w:webHidden/>
              </w:rPr>
              <w:fldChar w:fldCharType="end"/>
            </w:r>
          </w:hyperlink>
        </w:p>
        <w:p w14:paraId="7C4FE84B" w14:textId="1DBF7962" w:rsidR="00FF6EB4" w:rsidRDefault="00523EFF">
          <w:pPr>
            <w:pStyle w:val="TOC3"/>
            <w:rPr>
              <w:rFonts w:asciiTheme="minorHAnsi" w:eastAsiaTheme="minorEastAsia" w:hAnsiTheme="minorHAnsi" w:cstheme="minorBidi"/>
              <w:sz w:val="22"/>
              <w:szCs w:val="22"/>
            </w:rPr>
          </w:pPr>
          <w:hyperlink w:anchor="_Toc510451646" w:history="1">
            <w:r w:rsidR="00FF6EB4" w:rsidRPr="004617E5">
              <w:rPr>
                <w:rStyle w:val="Hyperlink"/>
              </w:rPr>
              <w:t>A.2.3. Capital/Start-up Costs</w:t>
            </w:r>
            <w:r w:rsidR="00FF6EB4">
              <w:rPr>
                <w:webHidden/>
              </w:rPr>
              <w:tab/>
            </w:r>
            <w:r w:rsidR="00FF6EB4">
              <w:rPr>
                <w:webHidden/>
              </w:rPr>
              <w:fldChar w:fldCharType="begin"/>
            </w:r>
            <w:r w:rsidR="00FF6EB4">
              <w:rPr>
                <w:webHidden/>
              </w:rPr>
              <w:instrText xml:space="preserve"> PAGEREF _Toc510451646 \h </w:instrText>
            </w:r>
            <w:r w:rsidR="00FF6EB4">
              <w:rPr>
                <w:webHidden/>
              </w:rPr>
            </w:r>
            <w:r w:rsidR="00FF6EB4">
              <w:rPr>
                <w:webHidden/>
              </w:rPr>
              <w:fldChar w:fldCharType="separate"/>
            </w:r>
            <w:r w:rsidR="00FF6EB4">
              <w:rPr>
                <w:webHidden/>
              </w:rPr>
              <w:t>67</w:t>
            </w:r>
            <w:r w:rsidR="00FF6EB4">
              <w:rPr>
                <w:webHidden/>
              </w:rPr>
              <w:fldChar w:fldCharType="end"/>
            </w:r>
          </w:hyperlink>
        </w:p>
        <w:p w14:paraId="208F88BF" w14:textId="527751CE" w:rsidR="00FF6EB4" w:rsidRDefault="00523EFF">
          <w:pPr>
            <w:pStyle w:val="TOC1"/>
            <w:rPr>
              <w:rFonts w:asciiTheme="minorHAnsi" w:eastAsiaTheme="minorEastAsia" w:hAnsiTheme="minorHAnsi" w:cstheme="minorBidi"/>
              <w:b w:val="0"/>
              <w:noProof/>
              <w:sz w:val="22"/>
              <w:szCs w:val="22"/>
            </w:rPr>
          </w:pPr>
          <w:hyperlink w:anchor="_Toc510451647" w:history="1">
            <w:r w:rsidR="00FF6EB4" w:rsidRPr="004617E5">
              <w:rPr>
                <w:rStyle w:val="Hyperlink"/>
                <w:noProof/>
              </w:rPr>
              <w:t>Appendix B—Detailed Respondent Burden Results by Category</w:t>
            </w:r>
            <w:r w:rsidR="00FF6EB4">
              <w:rPr>
                <w:noProof/>
                <w:webHidden/>
              </w:rPr>
              <w:tab/>
            </w:r>
            <w:r w:rsidR="00FF6EB4">
              <w:rPr>
                <w:noProof/>
                <w:webHidden/>
              </w:rPr>
              <w:fldChar w:fldCharType="begin"/>
            </w:r>
            <w:r w:rsidR="00FF6EB4">
              <w:rPr>
                <w:noProof/>
                <w:webHidden/>
              </w:rPr>
              <w:instrText xml:space="preserve"> PAGEREF _Toc510451647 \h </w:instrText>
            </w:r>
            <w:r w:rsidR="00FF6EB4">
              <w:rPr>
                <w:noProof/>
                <w:webHidden/>
              </w:rPr>
            </w:r>
            <w:r w:rsidR="00FF6EB4">
              <w:rPr>
                <w:noProof/>
                <w:webHidden/>
              </w:rPr>
              <w:fldChar w:fldCharType="separate"/>
            </w:r>
            <w:r w:rsidR="00FF6EB4">
              <w:rPr>
                <w:noProof/>
                <w:webHidden/>
              </w:rPr>
              <w:t>69</w:t>
            </w:r>
            <w:r w:rsidR="00FF6EB4">
              <w:rPr>
                <w:noProof/>
                <w:webHidden/>
              </w:rPr>
              <w:fldChar w:fldCharType="end"/>
            </w:r>
          </w:hyperlink>
        </w:p>
        <w:p w14:paraId="3D7DD8D6" w14:textId="565D5234" w:rsidR="00FF6EB4" w:rsidRDefault="00523EFF">
          <w:pPr>
            <w:pStyle w:val="TOC1"/>
            <w:rPr>
              <w:rFonts w:asciiTheme="minorHAnsi" w:eastAsiaTheme="minorEastAsia" w:hAnsiTheme="minorHAnsi" w:cstheme="minorBidi"/>
              <w:b w:val="0"/>
              <w:noProof/>
              <w:sz w:val="22"/>
              <w:szCs w:val="22"/>
            </w:rPr>
          </w:pPr>
          <w:hyperlink w:anchor="_Toc510451648" w:history="1">
            <w:r w:rsidR="00FF6EB4" w:rsidRPr="004617E5">
              <w:rPr>
                <w:rStyle w:val="Hyperlink"/>
                <w:noProof/>
              </w:rPr>
              <w:t>Appendix C—Detailed Agency Burden Estimates</w:t>
            </w:r>
            <w:r w:rsidR="00FF6EB4">
              <w:rPr>
                <w:noProof/>
                <w:webHidden/>
              </w:rPr>
              <w:tab/>
            </w:r>
            <w:r w:rsidR="00FF6EB4">
              <w:rPr>
                <w:noProof/>
                <w:webHidden/>
              </w:rPr>
              <w:fldChar w:fldCharType="begin"/>
            </w:r>
            <w:r w:rsidR="00FF6EB4">
              <w:rPr>
                <w:noProof/>
                <w:webHidden/>
              </w:rPr>
              <w:instrText xml:space="preserve"> PAGEREF _Toc510451648 \h </w:instrText>
            </w:r>
            <w:r w:rsidR="00FF6EB4">
              <w:rPr>
                <w:noProof/>
                <w:webHidden/>
              </w:rPr>
            </w:r>
            <w:r w:rsidR="00FF6EB4">
              <w:rPr>
                <w:noProof/>
                <w:webHidden/>
              </w:rPr>
              <w:fldChar w:fldCharType="separate"/>
            </w:r>
            <w:r w:rsidR="00FF6EB4">
              <w:rPr>
                <w:noProof/>
                <w:webHidden/>
              </w:rPr>
              <w:t>70</w:t>
            </w:r>
            <w:r w:rsidR="00FF6EB4">
              <w:rPr>
                <w:noProof/>
                <w:webHidden/>
              </w:rPr>
              <w:fldChar w:fldCharType="end"/>
            </w:r>
          </w:hyperlink>
        </w:p>
        <w:p w14:paraId="1FF44E3B" w14:textId="7F49C142" w:rsidR="00FF6EB4" w:rsidRDefault="00523EFF">
          <w:pPr>
            <w:pStyle w:val="TOC1"/>
            <w:rPr>
              <w:rFonts w:asciiTheme="minorHAnsi" w:eastAsiaTheme="minorEastAsia" w:hAnsiTheme="minorHAnsi" w:cstheme="minorBidi"/>
              <w:b w:val="0"/>
              <w:noProof/>
              <w:sz w:val="22"/>
              <w:szCs w:val="22"/>
            </w:rPr>
          </w:pPr>
          <w:hyperlink w:anchor="_Toc510451649" w:history="1">
            <w:r w:rsidR="00FF6EB4" w:rsidRPr="004617E5">
              <w:rPr>
                <w:rStyle w:val="Hyperlink"/>
                <w:noProof/>
              </w:rPr>
              <w:t>Appendix D—Number of Respondents in Each Input Category</w:t>
            </w:r>
            <w:r w:rsidR="00FF6EB4">
              <w:rPr>
                <w:noProof/>
                <w:webHidden/>
              </w:rPr>
              <w:tab/>
            </w:r>
            <w:r w:rsidR="00FF6EB4">
              <w:rPr>
                <w:noProof/>
                <w:webHidden/>
              </w:rPr>
              <w:fldChar w:fldCharType="begin"/>
            </w:r>
            <w:r w:rsidR="00FF6EB4">
              <w:rPr>
                <w:noProof/>
                <w:webHidden/>
              </w:rPr>
              <w:instrText xml:space="preserve"> PAGEREF _Toc510451649 \h </w:instrText>
            </w:r>
            <w:r w:rsidR="00FF6EB4">
              <w:rPr>
                <w:noProof/>
                <w:webHidden/>
              </w:rPr>
            </w:r>
            <w:r w:rsidR="00FF6EB4">
              <w:rPr>
                <w:noProof/>
                <w:webHidden/>
              </w:rPr>
              <w:fldChar w:fldCharType="separate"/>
            </w:r>
            <w:r w:rsidR="00FF6EB4">
              <w:rPr>
                <w:noProof/>
                <w:webHidden/>
              </w:rPr>
              <w:t>71</w:t>
            </w:r>
            <w:r w:rsidR="00FF6EB4">
              <w:rPr>
                <w:noProof/>
                <w:webHidden/>
              </w:rPr>
              <w:fldChar w:fldCharType="end"/>
            </w:r>
          </w:hyperlink>
        </w:p>
        <w:p w14:paraId="7A69E1A8" w14:textId="710140D3" w:rsidR="00FF6EB4" w:rsidRDefault="00523EFF">
          <w:pPr>
            <w:pStyle w:val="TOC1"/>
            <w:rPr>
              <w:rFonts w:asciiTheme="minorHAnsi" w:eastAsiaTheme="minorEastAsia" w:hAnsiTheme="minorHAnsi" w:cstheme="minorBidi"/>
              <w:b w:val="0"/>
              <w:noProof/>
              <w:sz w:val="22"/>
              <w:szCs w:val="22"/>
            </w:rPr>
          </w:pPr>
          <w:hyperlink w:anchor="_Toc510451650" w:history="1">
            <w:r w:rsidR="00FF6EB4" w:rsidRPr="004617E5">
              <w:rPr>
                <w:rStyle w:val="Hyperlink"/>
                <w:noProof/>
              </w:rPr>
              <w:t>Appendix E—Number of Unique Respondents</w:t>
            </w:r>
            <w:r w:rsidR="00FF6EB4">
              <w:rPr>
                <w:noProof/>
                <w:webHidden/>
              </w:rPr>
              <w:tab/>
            </w:r>
            <w:r w:rsidR="00FF6EB4">
              <w:rPr>
                <w:noProof/>
                <w:webHidden/>
              </w:rPr>
              <w:fldChar w:fldCharType="begin"/>
            </w:r>
            <w:r w:rsidR="00FF6EB4">
              <w:rPr>
                <w:noProof/>
                <w:webHidden/>
              </w:rPr>
              <w:instrText xml:space="preserve"> PAGEREF _Toc510451650 \h </w:instrText>
            </w:r>
            <w:r w:rsidR="00FF6EB4">
              <w:rPr>
                <w:noProof/>
                <w:webHidden/>
              </w:rPr>
            </w:r>
            <w:r w:rsidR="00FF6EB4">
              <w:rPr>
                <w:noProof/>
                <w:webHidden/>
              </w:rPr>
              <w:fldChar w:fldCharType="separate"/>
            </w:r>
            <w:r w:rsidR="00FF6EB4">
              <w:rPr>
                <w:noProof/>
                <w:webHidden/>
              </w:rPr>
              <w:t>72</w:t>
            </w:r>
            <w:r w:rsidR="00FF6EB4">
              <w:rPr>
                <w:noProof/>
                <w:webHidden/>
              </w:rPr>
              <w:fldChar w:fldCharType="end"/>
            </w:r>
          </w:hyperlink>
        </w:p>
        <w:p w14:paraId="4B02DB06" w14:textId="6ECD5741" w:rsidR="00FF6EB4" w:rsidRDefault="00523EFF">
          <w:pPr>
            <w:pStyle w:val="TOC1"/>
            <w:rPr>
              <w:rFonts w:asciiTheme="minorHAnsi" w:eastAsiaTheme="minorEastAsia" w:hAnsiTheme="minorHAnsi" w:cstheme="minorBidi"/>
              <w:b w:val="0"/>
              <w:noProof/>
              <w:sz w:val="22"/>
              <w:szCs w:val="22"/>
            </w:rPr>
          </w:pPr>
          <w:hyperlink w:anchor="_Toc510451651" w:history="1">
            <w:r w:rsidR="00FF6EB4" w:rsidRPr="004617E5">
              <w:rPr>
                <w:rStyle w:val="Hyperlink"/>
                <w:noProof/>
              </w:rPr>
              <w:t>Appendix F—Copy of Regulation Authorizing Data Collection and Federal Register Notice</w:t>
            </w:r>
            <w:r w:rsidR="00FF6EB4">
              <w:rPr>
                <w:noProof/>
                <w:webHidden/>
              </w:rPr>
              <w:tab/>
            </w:r>
            <w:r w:rsidR="00FF6EB4">
              <w:rPr>
                <w:noProof/>
                <w:webHidden/>
              </w:rPr>
              <w:fldChar w:fldCharType="begin"/>
            </w:r>
            <w:r w:rsidR="00FF6EB4">
              <w:rPr>
                <w:noProof/>
                <w:webHidden/>
              </w:rPr>
              <w:instrText xml:space="preserve"> PAGEREF _Toc510451651 \h </w:instrText>
            </w:r>
            <w:r w:rsidR="00FF6EB4">
              <w:rPr>
                <w:noProof/>
                <w:webHidden/>
              </w:rPr>
            </w:r>
            <w:r w:rsidR="00FF6EB4">
              <w:rPr>
                <w:noProof/>
                <w:webHidden/>
              </w:rPr>
              <w:fldChar w:fldCharType="separate"/>
            </w:r>
            <w:r w:rsidR="00FF6EB4">
              <w:rPr>
                <w:noProof/>
                <w:webHidden/>
              </w:rPr>
              <w:t>73</w:t>
            </w:r>
            <w:r w:rsidR="00FF6EB4">
              <w:rPr>
                <w:noProof/>
                <w:webHidden/>
              </w:rPr>
              <w:fldChar w:fldCharType="end"/>
            </w:r>
          </w:hyperlink>
        </w:p>
        <w:p w14:paraId="47994BB9" w14:textId="76152B53"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52" w:history="1">
            <w:r w:rsidR="00FF6EB4" w:rsidRPr="004617E5">
              <w:rPr>
                <w:rStyle w:val="Hyperlink"/>
                <w:noProof/>
              </w:rPr>
              <w:t>F.1</w:t>
            </w:r>
            <w:r w:rsidR="00FF6EB4">
              <w:rPr>
                <w:rFonts w:asciiTheme="minorHAnsi" w:eastAsiaTheme="minorEastAsia" w:hAnsiTheme="minorHAnsi" w:cstheme="minorBidi"/>
                <w:noProof/>
                <w:sz w:val="22"/>
                <w:szCs w:val="22"/>
              </w:rPr>
              <w:tab/>
            </w:r>
            <w:r w:rsidR="00FF6EB4" w:rsidRPr="004617E5">
              <w:rPr>
                <w:rStyle w:val="Hyperlink"/>
                <w:noProof/>
              </w:rPr>
              <w:t>Clean Water Act Section 402</w:t>
            </w:r>
            <w:r w:rsidR="00FF6EB4">
              <w:rPr>
                <w:noProof/>
                <w:webHidden/>
              </w:rPr>
              <w:tab/>
            </w:r>
            <w:r w:rsidR="00FF6EB4">
              <w:rPr>
                <w:noProof/>
                <w:webHidden/>
              </w:rPr>
              <w:fldChar w:fldCharType="begin"/>
            </w:r>
            <w:r w:rsidR="00FF6EB4">
              <w:rPr>
                <w:noProof/>
                <w:webHidden/>
              </w:rPr>
              <w:instrText xml:space="preserve"> PAGEREF _Toc510451652 \h </w:instrText>
            </w:r>
            <w:r w:rsidR="00FF6EB4">
              <w:rPr>
                <w:noProof/>
                <w:webHidden/>
              </w:rPr>
            </w:r>
            <w:r w:rsidR="00FF6EB4">
              <w:rPr>
                <w:noProof/>
                <w:webHidden/>
              </w:rPr>
              <w:fldChar w:fldCharType="separate"/>
            </w:r>
            <w:r w:rsidR="00FF6EB4">
              <w:rPr>
                <w:noProof/>
                <w:webHidden/>
              </w:rPr>
              <w:t>73</w:t>
            </w:r>
            <w:r w:rsidR="00FF6EB4">
              <w:rPr>
                <w:noProof/>
                <w:webHidden/>
              </w:rPr>
              <w:fldChar w:fldCharType="end"/>
            </w:r>
          </w:hyperlink>
        </w:p>
        <w:p w14:paraId="5EFACA2D" w14:textId="7FDC9CCE" w:rsidR="00FF6EB4" w:rsidRDefault="00523EFF">
          <w:pPr>
            <w:pStyle w:val="TOC2"/>
            <w:tabs>
              <w:tab w:val="left" w:pos="1080"/>
              <w:tab w:val="right" w:leader="dot" w:pos="9350"/>
            </w:tabs>
            <w:rPr>
              <w:rFonts w:asciiTheme="minorHAnsi" w:eastAsiaTheme="minorEastAsia" w:hAnsiTheme="minorHAnsi" w:cstheme="minorBidi"/>
              <w:noProof/>
              <w:sz w:val="22"/>
              <w:szCs w:val="22"/>
            </w:rPr>
          </w:pPr>
          <w:hyperlink w:anchor="_Toc510451653" w:history="1">
            <w:r w:rsidR="00FF6EB4" w:rsidRPr="004617E5">
              <w:rPr>
                <w:rStyle w:val="Hyperlink"/>
                <w:noProof/>
              </w:rPr>
              <w:t>F.2</w:t>
            </w:r>
            <w:r w:rsidR="00FF6EB4">
              <w:rPr>
                <w:rFonts w:asciiTheme="minorHAnsi" w:eastAsiaTheme="minorEastAsia" w:hAnsiTheme="minorHAnsi" w:cstheme="minorBidi"/>
                <w:noProof/>
                <w:sz w:val="22"/>
                <w:szCs w:val="22"/>
              </w:rPr>
              <w:tab/>
            </w:r>
            <w:r w:rsidR="00FF6EB4" w:rsidRPr="004617E5">
              <w:rPr>
                <w:rStyle w:val="Hyperlink"/>
                <w:noProof/>
              </w:rPr>
              <w:t>ICR Federal Register Notice</w:t>
            </w:r>
            <w:r w:rsidR="00FF6EB4">
              <w:rPr>
                <w:noProof/>
                <w:webHidden/>
              </w:rPr>
              <w:tab/>
            </w:r>
            <w:r w:rsidR="00FF6EB4">
              <w:rPr>
                <w:noProof/>
                <w:webHidden/>
              </w:rPr>
              <w:fldChar w:fldCharType="begin"/>
            </w:r>
            <w:r w:rsidR="00FF6EB4">
              <w:rPr>
                <w:noProof/>
                <w:webHidden/>
              </w:rPr>
              <w:instrText xml:space="preserve"> PAGEREF _Toc510451653 \h </w:instrText>
            </w:r>
            <w:r w:rsidR="00FF6EB4">
              <w:rPr>
                <w:noProof/>
                <w:webHidden/>
              </w:rPr>
            </w:r>
            <w:r w:rsidR="00FF6EB4">
              <w:rPr>
                <w:noProof/>
                <w:webHidden/>
              </w:rPr>
              <w:fldChar w:fldCharType="separate"/>
            </w:r>
            <w:r w:rsidR="00FF6EB4">
              <w:rPr>
                <w:noProof/>
                <w:webHidden/>
              </w:rPr>
              <w:t>73</w:t>
            </w:r>
            <w:r w:rsidR="00FF6EB4">
              <w:rPr>
                <w:noProof/>
                <w:webHidden/>
              </w:rPr>
              <w:fldChar w:fldCharType="end"/>
            </w:r>
          </w:hyperlink>
        </w:p>
        <w:p w14:paraId="562B159C" w14:textId="0085309E" w:rsidR="00FF6EB4" w:rsidRDefault="00523EFF">
          <w:pPr>
            <w:pStyle w:val="TOC1"/>
            <w:rPr>
              <w:rFonts w:asciiTheme="minorHAnsi" w:eastAsiaTheme="minorEastAsia" w:hAnsiTheme="minorHAnsi" w:cstheme="minorBidi"/>
              <w:b w:val="0"/>
              <w:noProof/>
              <w:sz w:val="22"/>
              <w:szCs w:val="22"/>
            </w:rPr>
          </w:pPr>
          <w:hyperlink w:anchor="_Toc510451654" w:history="1">
            <w:r w:rsidR="00FF6EB4" w:rsidRPr="004617E5">
              <w:rPr>
                <w:rStyle w:val="Hyperlink"/>
                <w:noProof/>
              </w:rPr>
              <w:t>Appendix G—Application Forms</w:t>
            </w:r>
            <w:r w:rsidR="00FF6EB4">
              <w:rPr>
                <w:noProof/>
                <w:webHidden/>
              </w:rPr>
              <w:tab/>
            </w:r>
            <w:r w:rsidR="00FF6EB4">
              <w:rPr>
                <w:noProof/>
                <w:webHidden/>
              </w:rPr>
              <w:fldChar w:fldCharType="begin"/>
            </w:r>
            <w:r w:rsidR="00FF6EB4">
              <w:rPr>
                <w:noProof/>
                <w:webHidden/>
              </w:rPr>
              <w:instrText xml:space="preserve"> PAGEREF _Toc510451654 \h </w:instrText>
            </w:r>
            <w:r w:rsidR="00FF6EB4">
              <w:rPr>
                <w:noProof/>
                <w:webHidden/>
              </w:rPr>
            </w:r>
            <w:r w:rsidR="00FF6EB4">
              <w:rPr>
                <w:noProof/>
                <w:webHidden/>
              </w:rPr>
              <w:fldChar w:fldCharType="separate"/>
            </w:r>
            <w:r w:rsidR="00FF6EB4">
              <w:rPr>
                <w:noProof/>
                <w:webHidden/>
              </w:rPr>
              <w:t>74</w:t>
            </w:r>
            <w:r w:rsidR="00FF6EB4">
              <w:rPr>
                <w:noProof/>
                <w:webHidden/>
              </w:rPr>
              <w:fldChar w:fldCharType="end"/>
            </w:r>
          </w:hyperlink>
        </w:p>
        <w:p w14:paraId="0C1E5C66" w14:textId="1713A6A0" w:rsidR="003D16AA" w:rsidRDefault="00DE1B27">
          <w:r>
            <w:rPr>
              <w:b/>
            </w:rPr>
            <w:fldChar w:fldCharType="end"/>
          </w:r>
        </w:p>
      </w:sdtContent>
    </w:sdt>
    <w:p w14:paraId="599176FC" w14:textId="77777777" w:rsidR="00D1157A" w:rsidRDefault="00D1157A">
      <w:pPr>
        <w:autoSpaceDE/>
        <w:autoSpaceDN/>
        <w:adjustRightInd/>
        <w:spacing w:after="160" w:line="259" w:lineRule="auto"/>
        <w:sectPr w:rsidR="00D1157A" w:rsidSect="00B2001A">
          <w:footerReference w:type="default" r:id="rId13"/>
          <w:pgSz w:w="12240" w:h="15840"/>
          <w:pgMar w:top="1440" w:right="1440" w:bottom="1440" w:left="1440" w:header="720" w:footer="720" w:gutter="0"/>
          <w:cols w:space="720"/>
          <w:titlePg/>
          <w:docGrid w:linePitch="360"/>
        </w:sectPr>
      </w:pPr>
    </w:p>
    <w:p w14:paraId="3BA45364" w14:textId="60B6B626" w:rsidR="007F2877" w:rsidRPr="00B101A0" w:rsidRDefault="007F2877" w:rsidP="00B86DE4">
      <w:pPr>
        <w:pStyle w:val="Heading1"/>
      </w:pPr>
      <w:bookmarkStart w:id="1" w:name="_Toc510451610"/>
      <w:r w:rsidRPr="00DE1B27">
        <w:t>A</w:t>
      </w:r>
      <w:r w:rsidR="001814FD" w:rsidRPr="00DE1B27">
        <w:t>.</w:t>
      </w:r>
      <w:r w:rsidR="001814FD" w:rsidRPr="00DE1B27">
        <w:tab/>
      </w:r>
      <w:r w:rsidRPr="00871F94">
        <w:t>Justification</w:t>
      </w:r>
      <w:bookmarkEnd w:id="1"/>
    </w:p>
    <w:p w14:paraId="2A1FEE8F" w14:textId="49901414" w:rsidR="007F2877" w:rsidRPr="00B101A0" w:rsidRDefault="004E651D" w:rsidP="00B86DE4">
      <w:pPr>
        <w:pStyle w:val="Heading2"/>
      </w:pPr>
      <w:bookmarkStart w:id="2" w:name="_Toc510451611"/>
      <w:r w:rsidRPr="00B101A0">
        <w:t>1</w:t>
      </w:r>
      <w:r w:rsidR="001814FD" w:rsidRPr="00DE1B27">
        <w:t>.</w:t>
      </w:r>
      <w:r w:rsidR="001814FD" w:rsidRPr="00DE1B27">
        <w:tab/>
      </w:r>
      <w:r w:rsidR="007F2877" w:rsidRPr="00DE1B27">
        <w:t xml:space="preserve">Explain the </w:t>
      </w:r>
      <w:r w:rsidR="007F2877" w:rsidRPr="00871F94">
        <w:t>circumstances that make the collection necessary and explain the legal or administrative requirements relevant to the collection and attach a copy of the statute or regulation authorizing the collection</w:t>
      </w:r>
      <w:bookmarkEnd w:id="2"/>
    </w:p>
    <w:p w14:paraId="2D830149" w14:textId="2F267D96" w:rsidR="00F11B46" w:rsidRPr="00B101A0" w:rsidRDefault="00F11B46" w:rsidP="00B101A0">
      <w:pPr>
        <w:pStyle w:val="Heading3"/>
      </w:pPr>
      <w:bookmarkStart w:id="3" w:name="_Ref199565643"/>
      <w:bookmarkStart w:id="4" w:name="_Ref199565647"/>
      <w:bookmarkStart w:id="5" w:name="_Toc300908820"/>
      <w:bookmarkStart w:id="6" w:name="_Toc510451612"/>
      <w:r w:rsidRPr="00B101A0">
        <w:t>1.1</w:t>
      </w:r>
      <w:r w:rsidR="001814FD" w:rsidRPr="00871F94">
        <w:tab/>
      </w:r>
      <w:r w:rsidRPr="00871F94">
        <w:t>Short Characterization/Abstract</w:t>
      </w:r>
      <w:bookmarkEnd w:id="3"/>
      <w:bookmarkEnd w:id="4"/>
      <w:bookmarkEnd w:id="5"/>
      <w:bookmarkEnd w:id="6"/>
    </w:p>
    <w:p w14:paraId="2E359D2A" w14:textId="7D9167CA" w:rsidR="00941A45" w:rsidRDefault="00E0187E" w:rsidP="00B86DE4">
      <w:r>
        <w:t xml:space="preserve">This </w:t>
      </w:r>
      <w:r w:rsidR="00941A45">
        <w:t xml:space="preserve">consolidated </w:t>
      </w:r>
      <w:r>
        <w:t xml:space="preserve">Information Collection Request (ICR) renews </w:t>
      </w:r>
      <w:r w:rsidR="00F47B3D">
        <w:t xml:space="preserve">the </w:t>
      </w:r>
      <w:r>
        <w:t xml:space="preserve">National Pollutant Discharge Elimination System (NPDES) Program </w:t>
      </w:r>
      <w:r w:rsidR="00F47B3D">
        <w:t>ICR</w:t>
      </w:r>
      <w:r>
        <w:t>.</w:t>
      </w:r>
      <w:r w:rsidR="00941A45">
        <w:t xml:space="preserve"> It </w:t>
      </w:r>
      <w:r>
        <w:t>calculates the burden and costs associated with the NPDES program, identifies the types of activities regulated under the NPDES program, describes the roles and responsibilities of state governments and the Agency, and presents the program areas that address the various types of regulated activities</w:t>
      </w:r>
      <w:r w:rsidR="00941A45">
        <w:t>.</w:t>
      </w:r>
    </w:p>
    <w:p w14:paraId="51E6ADE6" w14:textId="2BB78307" w:rsidR="00E0187E" w:rsidRDefault="002E2A3B" w:rsidP="00B86DE4">
      <w:r>
        <w:t>Th</w:t>
      </w:r>
      <w:r w:rsidR="00DC032A">
        <w:t>is</w:t>
      </w:r>
      <w:r>
        <w:t xml:space="preserve"> ICR</w:t>
      </w:r>
      <w:r w:rsidR="002C72C9">
        <w:t xml:space="preserve"> being renewed (Office of Management and Budget [OMB] control </w:t>
      </w:r>
      <w:r w:rsidR="000106BF">
        <w:t>no.</w:t>
      </w:r>
      <w:r w:rsidR="002C72C9">
        <w:t xml:space="preserve"> 2040-0004, EPA ICR </w:t>
      </w:r>
      <w:r w:rsidR="000106BF">
        <w:t>no.</w:t>
      </w:r>
      <w:r w:rsidR="002C72C9">
        <w:t xml:space="preserve"> 0229.21, expiration date 12/31/2017) </w:t>
      </w:r>
      <w:r w:rsidR="00E0187E">
        <w:t xml:space="preserve">consolidated the burden and costs associated with activities previously reported in </w:t>
      </w:r>
      <w:r w:rsidR="00AE3A09">
        <w:t>11</w:t>
      </w:r>
      <w:r w:rsidR="00E0187E">
        <w:t xml:space="preserve"> of the NPDES program or NPDES-related ICRs administered by EPA’s Water Permits Division.</w:t>
      </w:r>
      <w:r w:rsidR="009F3B81">
        <w:t xml:space="preserve"> </w:t>
      </w:r>
      <w:r w:rsidR="00C64938" w:rsidRPr="00C64938">
        <w:t>T</w:t>
      </w:r>
      <w:r w:rsidR="00C64938">
        <w:t>his</w:t>
      </w:r>
      <w:r w:rsidR="00C64938" w:rsidRPr="00C64938">
        <w:t xml:space="preserve"> renewal documents the addition</w:t>
      </w:r>
      <w:r w:rsidR="002C72C9">
        <w:t xml:space="preserve"> </w:t>
      </w:r>
      <w:r w:rsidR="00C64938" w:rsidRPr="00C64938">
        <w:t xml:space="preserve">of the burden and costs for seven more NPDES programs, </w:t>
      </w:r>
      <w:r w:rsidR="00437796">
        <w:t xml:space="preserve">raising the total to 18. Those programs </w:t>
      </w:r>
      <w:r w:rsidR="00C64938" w:rsidRPr="00C64938">
        <w:t xml:space="preserve">were previously </w:t>
      </w:r>
      <w:r w:rsidR="00437796">
        <w:t>addressed by</w:t>
      </w:r>
      <w:r w:rsidR="00C64938" w:rsidRPr="00C64938">
        <w:t xml:space="preserve"> </w:t>
      </w:r>
      <w:r w:rsidR="002C72C9">
        <w:t xml:space="preserve">the following </w:t>
      </w:r>
      <w:r w:rsidR="00C64938" w:rsidRPr="00C64938">
        <w:t>separate ICRs</w:t>
      </w:r>
      <w:r w:rsidR="00DC032A">
        <w:t>.  Once this ren</w:t>
      </w:r>
      <w:r w:rsidR="004B5007">
        <w:t>e</w:t>
      </w:r>
      <w:r w:rsidR="00DC032A">
        <w:t xml:space="preserve">wal ICR is approved and these programs are formally incorporated into this ICR, the </w:t>
      </w:r>
      <w:r w:rsidR="002948D5">
        <w:t xml:space="preserve">following </w:t>
      </w:r>
      <w:r w:rsidR="00DC032A">
        <w:t>ICRs will be discontinued.</w:t>
      </w:r>
    </w:p>
    <w:p w14:paraId="14F089BD" w14:textId="461187E6" w:rsidR="00AE3A09" w:rsidRDefault="00191ED8" w:rsidP="00EF1FFC">
      <w:pPr>
        <w:pStyle w:val="ListParagraph"/>
        <w:numPr>
          <w:ilvl w:val="0"/>
          <w:numId w:val="23"/>
        </w:numPr>
      </w:pPr>
      <w:r w:rsidRPr="00191ED8">
        <w:t xml:space="preserve">Consolidated Animal Sectors </w:t>
      </w:r>
      <w:r>
        <w:t xml:space="preserve">(OMB </w:t>
      </w:r>
      <w:r w:rsidR="002C72C9">
        <w:t xml:space="preserve">control </w:t>
      </w:r>
      <w:r w:rsidR="000106BF">
        <w:t xml:space="preserve">no. </w:t>
      </w:r>
      <w:r w:rsidRPr="00191ED8">
        <w:t>2040-0250</w:t>
      </w:r>
      <w:r w:rsidR="002C72C9">
        <w:t xml:space="preserve">, </w:t>
      </w:r>
      <w:r>
        <w:t xml:space="preserve">EPA ICR </w:t>
      </w:r>
      <w:r w:rsidR="000106BF">
        <w:t>no.</w:t>
      </w:r>
      <w:r w:rsidR="002C72C9">
        <w:t xml:space="preserve"> </w:t>
      </w:r>
      <w:r w:rsidR="00E05965">
        <w:t>1989.</w:t>
      </w:r>
      <w:r w:rsidR="00CA0FC1">
        <w:t>09</w:t>
      </w:r>
      <w:r w:rsidR="002C72C9">
        <w:t xml:space="preserve">, expiration </w:t>
      </w:r>
      <w:r w:rsidR="00C55586">
        <w:t>d</w:t>
      </w:r>
      <w:r w:rsidR="005D2051">
        <w:t>ate 5/31/2019</w:t>
      </w:r>
      <w:r w:rsidR="00444BA1">
        <w:t>)</w:t>
      </w:r>
    </w:p>
    <w:p w14:paraId="34A97D74" w14:textId="2AC15B9E" w:rsidR="00E05965" w:rsidRDefault="00B37079" w:rsidP="00EF1FFC">
      <w:pPr>
        <w:pStyle w:val="ListParagraph"/>
        <w:numPr>
          <w:ilvl w:val="0"/>
          <w:numId w:val="23"/>
        </w:numPr>
      </w:pPr>
      <w:r w:rsidRPr="00B37079">
        <w:t xml:space="preserve">Pesticide </w:t>
      </w:r>
      <w:r>
        <w:t xml:space="preserve">Applicators </w:t>
      </w:r>
      <w:r w:rsidR="00E05965">
        <w:t>(</w:t>
      </w:r>
      <w:r w:rsidR="00E05965" w:rsidRPr="00E05965">
        <w:t xml:space="preserve">OMB </w:t>
      </w:r>
      <w:r w:rsidR="002C72C9">
        <w:t xml:space="preserve">control </w:t>
      </w:r>
      <w:r w:rsidR="000106BF">
        <w:t>no.</w:t>
      </w:r>
      <w:r w:rsidR="002C72C9">
        <w:t xml:space="preserve"> </w:t>
      </w:r>
      <w:r w:rsidR="00E05965" w:rsidRPr="00E05965">
        <w:t>2040-0284</w:t>
      </w:r>
      <w:r w:rsidR="002C72C9">
        <w:t>,</w:t>
      </w:r>
      <w:r w:rsidR="002C72C9" w:rsidRPr="00E05965">
        <w:t xml:space="preserve"> </w:t>
      </w:r>
      <w:r w:rsidR="00E05965" w:rsidRPr="00E05965">
        <w:t xml:space="preserve">EPA ICR </w:t>
      </w:r>
      <w:r w:rsidR="000106BF">
        <w:t>no.</w:t>
      </w:r>
      <w:r w:rsidR="002C72C9">
        <w:t xml:space="preserve"> </w:t>
      </w:r>
      <w:r w:rsidR="00E05965" w:rsidRPr="00E05965">
        <w:t>2397.02</w:t>
      </w:r>
      <w:r w:rsidR="002C72C9">
        <w:t xml:space="preserve">, expiration </w:t>
      </w:r>
      <w:r w:rsidR="00C55586">
        <w:t>d</w:t>
      </w:r>
      <w:r w:rsidR="005D2051" w:rsidRPr="005D2051">
        <w:t>ate</w:t>
      </w:r>
      <w:r w:rsidR="002C72C9">
        <w:t xml:space="preserve"> </w:t>
      </w:r>
      <w:r w:rsidR="00C357D0">
        <w:t>3/31/2019</w:t>
      </w:r>
      <w:r w:rsidR="00E05965">
        <w:t>)</w:t>
      </w:r>
    </w:p>
    <w:p w14:paraId="2682A3B6" w14:textId="6FF269C6" w:rsidR="00277220" w:rsidRDefault="00277220" w:rsidP="00EF1FFC">
      <w:pPr>
        <w:pStyle w:val="ListParagraph"/>
        <w:numPr>
          <w:ilvl w:val="0"/>
          <w:numId w:val="23"/>
        </w:numPr>
      </w:pPr>
      <w:r w:rsidRPr="00277220">
        <w:t>National Pretreatment Program</w:t>
      </w:r>
      <w:r>
        <w:t xml:space="preserve"> (</w:t>
      </w:r>
      <w:r w:rsidRPr="00277220">
        <w:t xml:space="preserve">OMB </w:t>
      </w:r>
      <w:r w:rsidR="002C72C9">
        <w:t>c</w:t>
      </w:r>
      <w:r w:rsidR="002C72C9" w:rsidRPr="00277220">
        <w:t xml:space="preserve">ontrol </w:t>
      </w:r>
      <w:r w:rsidR="000106BF">
        <w:t>no.</w:t>
      </w:r>
      <w:r w:rsidR="002C72C9">
        <w:t xml:space="preserve"> </w:t>
      </w:r>
      <w:r w:rsidR="00AB7402" w:rsidRPr="00AB7402">
        <w:t>2040-0009</w:t>
      </w:r>
      <w:r w:rsidR="002C72C9">
        <w:t>,</w:t>
      </w:r>
      <w:r w:rsidR="002C72C9" w:rsidRPr="00277220">
        <w:t xml:space="preserve"> </w:t>
      </w:r>
      <w:r w:rsidRPr="00277220">
        <w:t xml:space="preserve">EPA ICR </w:t>
      </w:r>
      <w:r w:rsidR="000106BF">
        <w:t>no.</w:t>
      </w:r>
      <w:r w:rsidR="002C72C9" w:rsidRPr="00277220">
        <w:t xml:space="preserve"> </w:t>
      </w:r>
      <w:r w:rsidR="00AB7402" w:rsidRPr="00AB7402">
        <w:t>0002.15</w:t>
      </w:r>
      <w:r w:rsidR="002C72C9">
        <w:t>, e</w:t>
      </w:r>
      <w:r w:rsidR="00C55586">
        <w:t>xpiration d</w:t>
      </w:r>
      <w:r w:rsidR="005D2051" w:rsidRPr="005D2051">
        <w:t>ate</w:t>
      </w:r>
      <w:r w:rsidR="00C357D0">
        <w:t xml:space="preserve"> 4/30/2019</w:t>
      </w:r>
      <w:r w:rsidR="00AB7402">
        <w:t>)</w:t>
      </w:r>
    </w:p>
    <w:p w14:paraId="5DDEF773" w14:textId="442FDC26" w:rsidR="00B17ECF" w:rsidRDefault="00B17ECF" w:rsidP="00EF1FFC">
      <w:pPr>
        <w:pStyle w:val="ListParagraph"/>
        <w:numPr>
          <w:ilvl w:val="0"/>
          <w:numId w:val="23"/>
        </w:numPr>
      </w:pPr>
      <w:r w:rsidRPr="00B17ECF">
        <w:t>Cooling Water Intake Structures Phase I</w:t>
      </w:r>
      <w:r w:rsidR="00437796">
        <w:t>—</w:t>
      </w:r>
      <w:r w:rsidRPr="00B17ECF">
        <w:t xml:space="preserve">New Facilities (OMB </w:t>
      </w:r>
      <w:r w:rsidR="00437796">
        <w:t>control no.</w:t>
      </w:r>
      <w:r w:rsidRPr="00B17ECF">
        <w:t xml:space="preserve"> 2040-0241</w:t>
      </w:r>
      <w:r w:rsidR="00437796">
        <w:t>,</w:t>
      </w:r>
      <w:r w:rsidR="00437796" w:rsidRPr="00B17ECF">
        <w:t xml:space="preserve"> </w:t>
      </w:r>
      <w:r w:rsidRPr="00B17ECF">
        <w:t xml:space="preserve">EPA ICR </w:t>
      </w:r>
      <w:r w:rsidR="000106BF">
        <w:t>no.</w:t>
      </w:r>
      <w:r w:rsidR="000106BF" w:rsidRPr="00B17ECF">
        <w:t xml:space="preserve"> </w:t>
      </w:r>
      <w:r w:rsidRPr="00B17ECF">
        <w:t>1973.06</w:t>
      </w:r>
      <w:r w:rsidR="00437796">
        <w:t>, e</w:t>
      </w:r>
      <w:r w:rsidR="00C55586">
        <w:t>xpiration d</w:t>
      </w:r>
      <w:r w:rsidR="005D2051">
        <w:t>ate</w:t>
      </w:r>
      <w:r w:rsidR="00C357D0">
        <w:t xml:space="preserve"> </w:t>
      </w:r>
      <w:r w:rsidR="00E33DF9">
        <w:t>11/30/2019</w:t>
      </w:r>
      <w:r w:rsidRPr="00B17ECF">
        <w:t>)</w:t>
      </w:r>
    </w:p>
    <w:p w14:paraId="07B49E9E" w14:textId="1164EB3E" w:rsidR="007C404B" w:rsidRDefault="007C404B" w:rsidP="00EF1FFC">
      <w:pPr>
        <w:pStyle w:val="ListParagraph"/>
        <w:numPr>
          <w:ilvl w:val="0"/>
          <w:numId w:val="23"/>
        </w:numPr>
      </w:pPr>
      <w:r w:rsidRPr="007C404B">
        <w:t xml:space="preserve">Cooling Water Intake Structures at Phase III Facilities (OMB </w:t>
      </w:r>
      <w:r w:rsidR="00437796">
        <w:t>control no.</w:t>
      </w:r>
      <w:r w:rsidRPr="007C404B">
        <w:t xml:space="preserve"> 2040-0268, EPA ICR </w:t>
      </w:r>
      <w:r w:rsidR="00437796">
        <w:t>n</w:t>
      </w:r>
      <w:r w:rsidR="00437796" w:rsidRPr="007C404B">
        <w:t>o</w:t>
      </w:r>
      <w:r w:rsidRPr="007C404B">
        <w:t>. 2169.05</w:t>
      </w:r>
      <w:r w:rsidR="00437796">
        <w:t>,</w:t>
      </w:r>
      <w:r w:rsidR="00437796" w:rsidRPr="005D2051">
        <w:t xml:space="preserve"> </w:t>
      </w:r>
      <w:r w:rsidR="00437796">
        <w:t xml:space="preserve">expiration </w:t>
      </w:r>
      <w:r w:rsidR="00C55586">
        <w:t>d</w:t>
      </w:r>
      <w:r w:rsidR="005D2051">
        <w:t>ate</w:t>
      </w:r>
      <w:r w:rsidR="00C357D0">
        <w:t xml:space="preserve"> </w:t>
      </w:r>
      <w:r w:rsidR="00C357D0" w:rsidRPr="00C357D0">
        <w:t>07/31/2017</w:t>
      </w:r>
      <w:r w:rsidRPr="007C404B">
        <w:t>)</w:t>
      </w:r>
    </w:p>
    <w:p w14:paraId="6BFC9AE7" w14:textId="263873DA" w:rsidR="00517B85" w:rsidRDefault="00AB7402" w:rsidP="00EF1FFC">
      <w:pPr>
        <w:pStyle w:val="ListParagraph"/>
        <w:numPr>
          <w:ilvl w:val="0"/>
          <w:numId w:val="23"/>
        </w:numPr>
      </w:pPr>
      <w:r w:rsidRPr="00AB7402">
        <w:t xml:space="preserve">Cooling Water Intake Structures </w:t>
      </w:r>
      <w:r>
        <w:t xml:space="preserve">Existing </w:t>
      </w:r>
      <w:r w:rsidRPr="00AB7402">
        <w:t>Facilities</w:t>
      </w:r>
      <w:r>
        <w:t xml:space="preserve"> (OMB </w:t>
      </w:r>
      <w:r w:rsidR="00437796">
        <w:t>control no.</w:t>
      </w:r>
      <w:r>
        <w:t xml:space="preserve"> 2040-0257</w:t>
      </w:r>
      <w:r w:rsidR="00437796">
        <w:t>,</w:t>
      </w:r>
      <w:r w:rsidR="00437796" w:rsidRPr="00AB7402">
        <w:t xml:space="preserve"> </w:t>
      </w:r>
      <w:r w:rsidRPr="00AB7402">
        <w:t xml:space="preserve">EPA ICR </w:t>
      </w:r>
      <w:r w:rsidR="00437796">
        <w:t>n</w:t>
      </w:r>
      <w:r w:rsidR="00437796" w:rsidRPr="00AB7402">
        <w:t>o</w:t>
      </w:r>
      <w:r w:rsidRPr="00AB7402">
        <w:t>. 2060.07</w:t>
      </w:r>
      <w:r w:rsidR="00437796">
        <w:t>, e</w:t>
      </w:r>
      <w:r w:rsidR="00C55586">
        <w:t>xpiration d</w:t>
      </w:r>
      <w:r w:rsidR="005D2051">
        <w:t>ate</w:t>
      </w:r>
      <w:r w:rsidR="00C357D0">
        <w:t xml:space="preserve"> 10/31/2017</w:t>
      </w:r>
      <w:r>
        <w:t>)</w:t>
      </w:r>
    </w:p>
    <w:p w14:paraId="24561D2A" w14:textId="1DD9E571" w:rsidR="00F87BBA" w:rsidRDefault="00F87BBA" w:rsidP="00EF1FFC">
      <w:pPr>
        <w:pStyle w:val="ListParagraph"/>
        <w:numPr>
          <w:ilvl w:val="0"/>
          <w:numId w:val="23"/>
        </w:numPr>
      </w:pPr>
      <w:r>
        <w:t xml:space="preserve">NPDES </w:t>
      </w:r>
      <w:r w:rsidRPr="00AB7402">
        <w:t>Electronic Reporting Rule</w:t>
      </w:r>
      <w:r>
        <w:t xml:space="preserve"> (</w:t>
      </w:r>
      <w:r w:rsidRPr="00AB7402">
        <w:t xml:space="preserve">OMB </w:t>
      </w:r>
      <w:r w:rsidR="00437796">
        <w:t>control no.</w:t>
      </w:r>
      <w:r w:rsidRPr="00AB7402">
        <w:t xml:space="preserve"> </w:t>
      </w:r>
      <w:r w:rsidRPr="00932519">
        <w:t>2020-0035</w:t>
      </w:r>
      <w:r w:rsidR="00437796">
        <w:t>,</w:t>
      </w:r>
      <w:r w:rsidR="00437796" w:rsidRPr="00AB7402">
        <w:t xml:space="preserve"> </w:t>
      </w:r>
      <w:r w:rsidRPr="00AB7402">
        <w:t xml:space="preserve">EPA ICR </w:t>
      </w:r>
      <w:r w:rsidR="00437796">
        <w:t>n</w:t>
      </w:r>
      <w:r w:rsidR="00437796" w:rsidRPr="00AB7402">
        <w:t>o</w:t>
      </w:r>
      <w:r w:rsidRPr="00AB7402">
        <w:t xml:space="preserve">. </w:t>
      </w:r>
      <w:r w:rsidRPr="00932519">
        <w:t>2468.02</w:t>
      </w:r>
      <w:r w:rsidR="00437796">
        <w:t>,</w:t>
      </w:r>
      <w:r w:rsidR="00437796" w:rsidRPr="005D2051">
        <w:t xml:space="preserve"> </w:t>
      </w:r>
      <w:r w:rsidR="00437796">
        <w:t xml:space="preserve">expiration </w:t>
      </w:r>
      <w:r w:rsidR="00C55586">
        <w:t>d</w:t>
      </w:r>
      <w:r w:rsidR="005D2051">
        <w:t>ate</w:t>
      </w:r>
      <w:r w:rsidR="00C357D0">
        <w:t xml:space="preserve"> 1/31/2019</w:t>
      </w:r>
      <w:r w:rsidRPr="00AB7402">
        <w:t>)</w:t>
      </w:r>
    </w:p>
    <w:p w14:paraId="3339F30F" w14:textId="0DF28395" w:rsidR="00E0187E" w:rsidRDefault="00E0187E" w:rsidP="001814FD">
      <w:r>
        <w:t>The objective of the Clean Water Act (CWA) is to restore and maintain the chemical, physical, and biological integrity of the nation’s waters (CWA section 101). The NPDES program, established under CWA section 402, is an important tool for controlling pollutant discharges. The CWA authorizes the Agency to issue permits for the discharge of pollutants to waters of the United States</w:t>
      </w:r>
      <w:r w:rsidR="00DC0ED1">
        <w:t>; t</w:t>
      </w:r>
      <w:r>
        <w:t xml:space="preserve">he Agency </w:t>
      </w:r>
      <w:r w:rsidR="00DC0ED1">
        <w:t xml:space="preserve">uses the NPDES program to regulate </w:t>
      </w:r>
      <w:r>
        <w:t>point source discharges. CWA section 402(b) allows states (defined to include Indian tribes and U.S. territories) to acquire authority for the NPDES program</w:t>
      </w:r>
      <w:r w:rsidR="00DC0ED1">
        <w:t xml:space="preserve">, enabling </w:t>
      </w:r>
      <w:r>
        <w:t xml:space="preserve">them to issue and administer NPDES permits. At present, 46 states and the U.S. Virgin Islands </w:t>
      </w:r>
      <w:r w:rsidR="00310BCA">
        <w:t xml:space="preserve">are authorized to administer the </w:t>
      </w:r>
      <w:r>
        <w:t xml:space="preserve">NPDES permit program. In states that do not have authority for these programs, the Agency </w:t>
      </w:r>
      <w:r w:rsidR="003C73AD">
        <w:t>administers the program and issues</w:t>
      </w:r>
      <w:r w:rsidR="009E33BB">
        <w:t xml:space="preserve"> </w:t>
      </w:r>
      <w:r>
        <w:t xml:space="preserve">NPDES permits. Because some permit applications are processed by states and some by EPA, this ICR calculates government burden and cost for both </w:t>
      </w:r>
      <w:r w:rsidR="003C4948">
        <w:t xml:space="preserve">authorized </w:t>
      </w:r>
      <w:r>
        <w:t>states and EPA.</w:t>
      </w:r>
      <w:r w:rsidR="00D72092">
        <w:t xml:space="preserve"> See Appendix </w:t>
      </w:r>
      <w:r w:rsidR="004D389C">
        <w:t>F</w:t>
      </w:r>
      <w:r w:rsidR="00D72092">
        <w:t>.1 for a copy of the authorizing regulation.</w:t>
      </w:r>
    </w:p>
    <w:p w14:paraId="4A5B086D" w14:textId="1819760A" w:rsidR="00F11B46" w:rsidRPr="00F11B46" w:rsidRDefault="00F11B46" w:rsidP="00B101A0">
      <w:pPr>
        <w:pStyle w:val="Heading3"/>
      </w:pPr>
      <w:bookmarkStart w:id="7" w:name="_Toc510451613"/>
      <w:r>
        <w:t>1</w:t>
      </w:r>
      <w:r w:rsidR="008F59B8">
        <w:t>.2</w:t>
      </w:r>
      <w:r w:rsidR="001814FD">
        <w:tab/>
      </w:r>
      <w:r w:rsidRPr="00F11B46">
        <w:t>Need/Authority for the Collection</w:t>
      </w:r>
      <w:bookmarkEnd w:id="7"/>
    </w:p>
    <w:p w14:paraId="0DEAC3EE" w14:textId="6721D18E" w:rsidR="006B3066" w:rsidRPr="001814FD" w:rsidRDefault="006B3066" w:rsidP="001814FD">
      <w:pPr>
        <w:pStyle w:val="Heading4"/>
      </w:pPr>
      <w:r w:rsidRPr="001814FD">
        <w:t>General Description of the NPDES Program</w:t>
      </w:r>
    </w:p>
    <w:p w14:paraId="215F103F" w14:textId="3921F602" w:rsidR="00F11B46" w:rsidRDefault="00F11B46" w:rsidP="001814FD">
      <w:r w:rsidRPr="005A1A1F">
        <w:t>CWA section 402(a) establishes the NPDES program to regulate the discharge of any pollutant from point sources</w:t>
      </w:r>
      <w:r w:rsidRPr="005A1A1F">
        <w:rPr>
          <w:rStyle w:val="FootnoteReference"/>
        </w:rPr>
        <w:footnoteReference w:id="1"/>
      </w:r>
      <w:r w:rsidRPr="005A1A1F">
        <w:t xml:space="preserve"> into waters of the United States. Section 402(a) of the CWA, as amended, authorizes the EPA Administrator to issue permits for the discharge of pollutants if those discharges meet:</w:t>
      </w:r>
    </w:p>
    <w:p w14:paraId="0FF3EE50" w14:textId="77777777" w:rsidR="00F11B46" w:rsidRPr="005A1A1F" w:rsidRDefault="00F11B46" w:rsidP="00EF1FFC">
      <w:pPr>
        <w:pStyle w:val="Bullet1"/>
        <w:spacing w:after="240"/>
        <w:ind w:left="720"/>
        <w:contextualSpacing/>
      </w:pPr>
      <w:r w:rsidRPr="005A1A1F">
        <w:t>All applicable requirements of CWA sections 301, 302, 306, 307, 308, and 403; or</w:t>
      </w:r>
    </w:p>
    <w:p w14:paraId="1C0A1D53" w14:textId="77777777" w:rsidR="00F11B46" w:rsidRPr="005A1A1F" w:rsidRDefault="00F11B46" w:rsidP="00EF1FFC">
      <w:pPr>
        <w:pStyle w:val="Bullet1"/>
        <w:spacing w:after="240"/>
        <w:ind w:left="720"/>
        <w:contextualSpacing/>
      </w:pPr>
      <w:r w:rsidRPr="005A1A1F">
        <w:t>Any conditions the Administrator determines are necessary to carry out the provisions and objectives of the CWA.</w:t>
      </w:r>
    </w:p>
    <w:p w14:paraId="4F61D0AC" w14:textId="69AFC4F5" w:rsidR="00F11B46" w:rsidRPr="005A1A1F" w:rsidRDefault="00F11B46" w:rsidP="001814FD">
      <w:r w:rsidRPr="005A1A1F">
        <w:t xml:space="preserve">The </w:t>
      </w:r>
      <w:r w:rsidR="003C4948">
        <w:t xml:space="preserve">initial step in ensuring </w:t>
      </w:r>
      <w:r w:rsidRPr="005A1A1F">
        <w:t xml:space="preserve">that the permits are adequately protective of those requirements is the permit application process. In particular, CWA section 402(a)(2) requires EPA to prescribe permit conditions to </w:t>
      </w:r>
      <w:r w:rsidR="00FD7518">
        <w:t>en</w:t>
      </w:r>
      <w:r w:rsidR="00FD7518" w:rsidRPr="005A1A1F">
        <w:t xml:space="preserve">sure </w:t>
      </w:r>
      <w:r w:rsidRPr="005A1A1F">
        <w:t xml:space="preserve">compliance with requirements “including conditions on data and information collection, reporting and such other requirements as [the Administrator] deemed appropriate.” EPA’s application forms require applicants to submit data that help determine what those </w:t>
      </w:r>
      <w:r w:rsidR="001B5F50">
        <w:t xml:space="preserve">permit </w:t>
      </w:r>
      <w:r w:rsidRPr="005A1A1F">
        <w:t>conditions should be.</w:t>
      </w:r>
    </w:p>
    <w:p w14:paraId="7117D0F9" w14:textId="7772653C" w:rsidR="00F11B46" w:rsidRPr="005A1A1F" w:rsidRDefault="00F11B46" w:rsidP="001814FD">
      <w:r w:rsidRPr="005A1A1F">
        <w:t xml:space="preserve">The CWA also establishes an administrative framework for the NPDES permitting program. </w:t>
      </w:r>
      <w:r w:rsidR="00DD65EB">
        <w:t xml:space="preserve">As noted above, </w:t>
      </w:r>
      <w:r w:rsidRPr="005A1A1F">
        <w:t xml:space="preserve">CWA section 402(b) authorizes </w:t>
      </w:r>
      <w:r w:rsidRPr="00875526">
        <w:t>states</w:t>
      </w:r>
      <w:r w:rsidRPr="005A1A1F">
        <w:t xml:space="preserve"> (which include U.S. territories and Indian tribes that have been authorized in the same manner as a state) to administer the NPDES program once EPA is assured that they meet minimum federal requirements. Authorizations vary by program. Table </w:t>
      </w:r>
      <w:r w:rsidR="00120219">
        <w:t>1</w:t>
      </w:r>
      <w:r w:rsidRPr="005A1A1F">
        <w:t>.1 summarizes the number of states authorized for each major program element</w:t>
      </w:r>
      <w:r w:rsidR="001B5F50">
        <w:t>.</w:t>
      </w:r>
      <w:r w:rsidR="008D2911">
        <w:rPr>
          <w:rStyle w:val="FootnoteReference"/>
        </w:rPr>
        <w:footnoteReference w:id="2"/>
      </w:r>
      <w:r w:rsidRPr="005A1A1F">
        <w:t xml:space="preserve"> Authorized states are considered permitting authorities and are responsible for issuing, administering, and enforcing permits for most point source discharges within their borders. In states without authorized NPDES program</w:t>
      </w:r>
      <w:r w:rsidR="00123B84">
        <w:t>s</w:t>
      </w:r>
      <w:r w:rsidRPr="005A1A1F">
        <w:t>, EPA is the permitting authority and undertakes all permitting activities</w:t>
      </w:r>
      <w:r>
        <w:t>,</w:t>
      </w:r>
      <w:r w:rsidRPr="005A1A1F">
        <w:t xml:space="preserve"> although CWA section 401 requires states to certify that EPA-issued NPDES permits establish “effluent limitations</w:t>
      </w:r>
      <w:r w:rsidR="00123B84">
        <w:t>…</w:t>
      </w:r>
      <w:r w:rsidRPr="005A1A1F">
        <w:t xml:space="preserve">and monitoring requirements necessary to assure that any applicant...will comply with any applicable effluent limitations and other limitations </w:t>
      </w:r>
      <w:r w:rsidR="00243554">
        <w:t>[</w:t>
      </w:r>
      <w:r w:rsidRPr="005A1A1F">
        <w:t xml:space="preserve">pursuant to the </w:t>
      </w:r>
      <w:r w:rsidR="00243554">
        <w:t>CWA]</w:t>
      </w:r>
      <w:r w:rsidRPr="005A1A1F">
        <w:t xml:space="preserve"> and with any other appropriate requirement of state law</w:t>
      </w:r>
      <w:r w:rsidR="00123B84">
        <w:t>…</w:t>
      </w:r>
      <w:r w:rsidR="004E6FA4">
        <w:t xml:space="preserve">” </w:t>
      </w:r>
      <w:r w:rsidR="00123B84">
        <w:t>(</w:t>
      </w:r>
      <w:r w:rsidR="00243554">
        <w:t>States</w:t>
      </w:r>
      <w:r w:rsidRPr="005A1A1F">
        <w:t>, tribes, and U.S. territories may waive their right to certify permits.</w:t>
      </w:r>
      <w:r w:rsidR="00123B84">
        <w:t>)</w:t>
      </w:r>
      <w:r w:rsidRPr="005A1A1F">
        <w:t xml:space="preserve"> CWA section 510 provides that states, tribes, and territories may adopt requirements equal to or more stringent than standards established pursuant to CWA provisions.</w:t>
      </w:r>
    </w:p>
    <w:p w14:paraId="7B186DE4" w14:textId="3A8F456A" w:rsidR="004E651D" w:rsidRPr="00871F94" w:rsidRDefault="004E651D" w:rsidP="00871F94">
      <w:pPr>
        <w:pStyle w:val="Caption"/>
      </w:pPr>
      <w:r w:rsidRPr="00871F94">
        <w:t xml:space="preserve">Table 1.1 States with </w:t>
      </w:r>
      <w:r w:rsidR="00AC7E76" w:rsidRPr="00871F94">
        <w:t>P</w:t>
      </w:r>
      <w:r w:rsidRPr="00871F94">
        <w:t xml:space="preserve">rogram </w:t>
      </w:r>
      <w:r w:rsidR="00AC7E76" w:rsidRPr="00871F94">
        <w:t>A</w:t>
      </w:r>
      <w:r w:rsidRPr="00871F94">
        <w:t xml:space="preserve">uthorization as of </w:t>
      </w:r>
      <w:r w:rsidR="00713999" w:rsidRPr="00871F94">
        <w:t>October</w:t>
      </w:r>
      <w:r w:rsidRPr="00871F94">
        <w:t xml:space="preserve"> 201</w:t>
      </w:r>
      <w:r w:rsidR="00F967AD" w:rsidRPr="00871F94">
        <w:t>6</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tblGrid>
      <w:tr w:rsidR="00F11B46" w:rsidRPr="005A1A1F" w14:paraId="78143EC9" w14:textId="77777777" w:rsidTr="00871F94">
        <w:trPr>
          <w:trHeight w:val="255"/>
        </w:trPr>
        <w:tc>
          <w:tcPr>
            <w:tcW w:w="4320" w:type="dxa"/>
            <w:shd w:val="clear" w:color="auto" w:fill="D9D9D9" w:themeFill="background1" w:themeFillShade="D9"/>
            <w:noWrap/>
            <w:vAlign w:val="bottom"/>
          </w:tcPr>
          <w:p w14:paraId="1724B70F" w14:textId="77777777" w:rsidR="00F11B46" w:rsidRPr="00871F94" w:rsidRDefault="00F11B46" w:rsidP="00871F94">
            <w:pPr>
              <w:pStyle w:val="TableTitle"/>
            </w:pPr>
            <w:r w:rsidRPr="00DE1B27">
              <w:t>Type</w:t>
            </w:r>
          </w:p>
        </w:tc>
        <w:tc>
          <w:tcPr>
            <w:tcW w:w="1440" w:type="dxa"/>
            <w:tcBorders>
              <w:bottom w:val="single" w:sz="4" w:space="0" w:color="auto"/>
            </w:tcBorders>
            <w:shd w:val="clear" w:color="auto" w:fill="D9D9D9" w:themeFill="background1" w:themeFillShade="D9"/>
            <w:noWrap/>
            <w:vAlign w:val="bottom"/>
          </w:tcPr>
          <w:p w14:paraId="768F71F8" w14:textId="77777777" w:rsidR="00F11B46" w:rsidRPr="00DE1B27" w:rsidRDefault="00F11B46" w:rsidP="00DE1B27">
            <w:pPr>
              <w:keepNext/>
              <w:keepLines/>
              <w:spacing w:after="0"/>
              <w:jc w:val="center"/>
              <w:rPr>
                <w:rFonts w:asciiTheme="minorHAnsi" w:hAnsiTheme="minorHAnsi" w:cs="Arial"/>
                <w:b/>
                <w:sz w:val="20"/>
                <w:szCs w:val="20"/>
              </w:rPr>
            </w:pPr>
            <w:r w:rsidRPr="00DE1B27">
              <w:rPr>
                <w:rFonts w:asciiTheme="minorHAnsi" w:hAnsiTheme="minorHAnsi" w:cs="Arial"/>
                <w:b/>
                <w:sz w:val="20"/>
                <w:szCs w:val="20"/>
              </w:rPr>
              <w:t>Number</w:t>
            </w:r>
          </w:p>
        </w:tc>
      </w:tr>
      <w:tr w:rsidR="00F11B46" w:rsidRPr="005A1A1F" w14:paraId="55824E1F" w14:textId="77777777" w:rsidTr="00C9153B">
        <w:trPr>
          <w:trHeight w:val="255"/>
        </w:trPr>
        <w:tc>
          <w:tcPr>
            <w:tcW w:w="4320" w:type="dxa"/>
            <w:tcBorders>
              <w:right w:val="single" w:sz="4" w:space="0" w:color="auto"/>
            </w:tcBorders>
            <w:shd w:val="clear" w:color="auto" w:fill="auto"/>
            <w:noWrap/>
            <w:vAlign w:val="bottom"/>
          </w:tcPr>
          <w:p w14:paraId="3BB9A36D" w14:textId="77777777" w:rsidR="00F11B46" w:rsidRPr="00DE1B27" w:rsidRDefault="00F11B46" w:rsidP="00DE1B27">
            <w:pPr>
              <w:keepNext/>
              <w:keepLines/>
              <w:spacing w:after="0"/>
              <w:rPr>
                <w:rFonts w:asciiTheme="minorHAnsi" w:hAnsiTheme="minorHAnsi" w:cs="Arial"/>
                <w:sz w:val="20"/>
                <w:szCs w:val="20"/>
              </w:rPr>
            </w:pPr>
            <w:r w:rsidRPr="00DE1B27">
              <w:rPr>
                <w:rFonts w:asciiTheme="minorHAnsi" w:hAnsiTheme="minorHAnsi" w:cs="Arial"/>
                <w:sz w:val="20"/>
                <w:szCs w:val="20"/>
              </w:rPr>
              <w:t>NPDES Base Permit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BF508E" w14:textId="755C327F" w:rsidR="00F11B46" w:rsidRPr="00DE1B27" w:rsidRDefault="00F11B46" w:rsidP="00C9153B">
            <w:pPr>
              <w:keepNext/>
              <w:keepLines/>
              <w:tabs>
                <w:tab w:val="decimal" w:pos="567"/>
              </w:tabs>
              <w:spacing w:after="0"/>
              <w:jc w:val="right"/>
              <w:rPr>
                <w:rFonts w:asciiTheme="minorHAnsi" w:hAnsiTheme="minorHAnsi" w:cs="Arial"/>
                <w:sz w:val="20"/>
                <w:szCs w:val="20"/>
              </w:rPr>
            </w:pPr>
            <w:r w:rsidRPr="00DE1B27">
              <w:rPr>
                <w:rFonts w:asciiTheme="minorHAnsi" w:hAnsiTheme="minorHAnsi" w:cs="Arial"/>
                <w:sz w:val="20"/>
                <w:szCs w:val="20"/>
              </w:rPr>
              <w:t>47</w:t>
            </w:r>
            <w:r w:rsidR="00134A7F" w:rsidRPr="008F1ADE">
              <w:rPr>
                <w:rFonts w:asciiTheme="minorHAnsi" w:hAnsiTheme="minorHAnsi" w:cs="Arial"/>
                <w:sz w:val="20"/>
                <w:szCs w:val="20"/>
                <w:vertAlign w:val="superscript"/>
              </w:rPr>
              <w:t>a</w:t>
            </w:r>
          </w:p>
        </w:tc>
      </w:tr>
      <w:tr w:rsidR="00F11B46" w:rsidRPr="005A1A1F" w14:paraId="39CFF1DE" w14:textId="77777777" w:rsidTr="00C9153B">
        <w:trPr>
          <w:trHeight w:val="255"/>
        </w:trPr>
        <w:tc>
          <w:tcPr>
            <w:tcW w:w="4320" w:type="dxa"/>
            <w:tcBorders>
              <w:bottom w:val="single" w:sz="4" w:space="0" w:color="auto"/>
              <w:right w:val="single" w:sz="4" w:space="0" w:color="auto"/>
            </w:tcBorders>
            <w:shd w:val="clear" w:color="auto" w:fill="auto"/>
            <w:noWrap/>
            <w:vAlign w:val="bottom"/>
          </w:tcPr>
          <w:p w14:paraId="5843D103" w14:textId="77777777" w:rsidR="00F11B46" w:rsidRPr="00DE1B27" w:rsidRDefault="00F11B46" w:rsidP="00DE1B27">
            <w:pPr>
              <w:keepNext/>
              <w:keepLines/>
              <w:spacing w:after="0"/>
              <w:rPr>
                <w:rFonts w:asciiTheme="minorHAnsi" w:hAnsiTheme="minorHAnsi" w:cs="Arial"/>
                <w:sz w:val="20"/>
                <w:szCs w:val="20"/>
              </w:rPr>
            </w:pPr>
            <w:r w:rsidRPr="00DE1B27">
              <w:rPr>
                <w:rFonts w:asciiTheme="minorHAnsi" w:hAnsiTheme="minorHAnsi" w:cs="Arial"/>
                <w:sz w:val="20"/>
                <w:szCs w:val="20"/>
              </w:rPr>
              <w:t>General Permits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B65461" w14:textId="65C3095D" w:rsidR="00F11B46" w:rsidRPr="00DE1B27" w:rsidRDefault="00F11B46" w:rsidP="00C9153B">
            <w:pPr>
              <w:keepNext/>
              <w:keepLines/>
              <w:tabs>
                <w:tab w:val="decimal" w:pos="567"/>
              </w:tabs>
              <w:spacing w:after="0"/>
              <w:jc w:val="right"/>
              <w:rPr>
                <w:rFonts w:asciiTheme="minorHAnsi" w:hAnsiTheme="minorHAnsi" w:cs="Arial"/>
                <w:sz w:val="20"/>
                <w:szCs w:val="20"/>
              </w:rPr>
            </w:pPr>
            <w:r w:rsidRPr="00DE1B27">
              <w:rPr>
                <w:rFonts w:asciiTheme="minorHAnsi" w:hAnsiTheme="minorHAnsi" w:cs="Arial"/>
                <w:sz w:val="20"/>
                <w:szCs w:val="20"/>
              </w:rPr>
              <w:t>47</w:t>
            </w:r>
            <w:r w:rsidR="00134A7F" w:rsidRPr="008F1ADE">
              <w:rPr>
                <w:rFonts w:asciiTheme="minorHAnsi" w:hAnsiTheme="minorHAnsi" w:cs="Arial"/>
                <w:sz w:val="20"/>
                <w:szCs w:val="20"/>
                <w:vertAlign w:val="superscript"/>
              </w:rPr>
              <w:t>a</w:t>
            </w:r>
          </w:p>
        </w:tc>
      </w:tr>
      <w:tr w:rsidR="008769C5" w:rsidRPr="005A1A1F" w14:paraId="219F511E" w14:textId="77777777" w:rsidTr="00C9153B">
        <w:trPr>
          <w:trHeight w:val="255"/>
        </w:trPr>
        <w:tc>
          <w:tcPr>
            <w:tcW w:w="4320" w:type="dxa"/>
            <w:tcBorders>
              <w:bottom w:val="single" w:sz="4" w:space="0" w:color="auto"/>
              <w:right w:val="single" w:sz="4" w:space="0" w:color="auto"/>
            </w:tcBorders>
            <w:shd w:val="clear" w:color="auto" w:fill="auto"/>
            <w:noWrap/>
            <w:vAlign w:val="bottom"/>
          </w:tcPr>
          <w:p w14:paraId="357DA5C5" w14:textId="77F7BB2B" w:rsidR="008769C5" w:rsidRPr="00DE1B27" w:rsidRDefault="008769C5" w:rsidP="00DE1B27">
            <w:pPr>
              <w:keepNext/>
              <w:keepLines/>
              <w:spacing w:after="0"/>
              <w:rPr>
                <w:rFonts w:asciiTheme="minorHAnsi" w:hAnsiTheme="minorHAnsi" w:cs="Arial"/>
                <w:sz w:val="20"/>
                <w:szCs w:val="20"/>
              </w:rPr>
            </w:pPr>
            <w:r w:rsidRPr="00DE1B27">
              <w:rPr>
                <w:rFonts w:asciiTheme="minorHAnsi" w:hAnsiTheme="minorHAnsi" w:cs="Arial"/>
                <w:sz w:val="20"/>
                <w:szCs w:val="20"/>
              </w:rPr>
              <w:t>Pretreatment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4D5414" w14:textId="75D46790" w:rsidR="008769C5" w:rsidRPr="00DE1B27" w:rsidRDefault="008769C5" w:rsidP="00C9153B">
            <w:pPr>
              <w:keepNext/>
              <w:keepLines/>
              <w:tabs>
                <w:tab w:val="decimal" w:pos="567"/>
              </w:tabs>
              <w:spacing w:after="0"/>
              <w:jc w:val="right"/>
              <w:rPr>
                <w:rFonts w:asciiTheme="minorHAnsi" w:hAnsiTheme="minorHAnsi" w:cs="Arial"/>
                <w:sz w:val="20"/>
                <w:szCs w:val="20"/>
              </w:rPr>
            </w:pPr>
            <w:r w:rsidRPr="00DE1B27">
              <w:rPr>
                <w:rFonts w:asciiTheme="minorHAnsi" w:hAnsiTheme="minorHAnsi" w:cs="Arial"/>
                <w:sz w:val="20"/>
                <w:szCs w:val="20"/>
              </w:rPr>
              <w:t>36</w:t>
            </w:r>
          </w:p>
        </w:tc>
      </w:tr>
      <w:tr w:rsidR="00F11B46" w:rsidRPr="005A1A1F" w14:paraId="242D7C44" w14:textId="77777777" w:rsidTr="00C9153B">
        <w:trPr>
          <w:trHeight w:val="255"/>
        </w:trPr>
        <w:tc>
          <w:tcPr>
            <w:tcW w:w="4320" w:type="dxa"/>
            <w:tcBorders>
              <w:bottom w:val="single" w:sz="4" w:space="0" w:color="auto"/>
              <w:right w:val="single" w:sz="4" w:space="0" w:color="auto"/>
            </w:tcBorders>
            <w:shd w:val="clear" w:color="auto" w:fill="auto"/>
            <w:noWrap/>
            <w:vAlign w:val="bottom"/>
          </w:tcPr>
          <w:p w14:paraId="797EA950" w14:textId="77777777" w:rsidR="00F11B46" w:rsidRPr="00DE1B27" w:rsidRDefault="00F11B46" w:rsidP="00871F94">
            <w:pPr>
              <w:pStyle w:val="Tables"/>
            </w:pPr>
            <w:r w:rsidRPr="00DE1B27">
              <w:t>Biosolids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324FD6" w14:textId="77777777" w:rsidR="00F11B46" w:rsidRPr="00DE1B27" w:rsidRDefault="00F11B46" w:rsidP="00C9153B">
            <w:pPr>
              <w:keepNext/>
              <w:keepLines/>
              <w:tabs>
                <w:tab w:val="decimal" w:pos="567"/>
              </w:tabs>
              <w:spacing w:after="0"/>
              <w:jc w:val="right"/>
              <w:rPr>
                <w:rFonts w:asciiTheme="minorHAnsi" w:hAnsiTheme="minorHAnsi" w:cs="Arial"/>
                <w:sz w:val="20"/>
                <w:szCs w:val="20"/>
              </w:rPr>
            </w:pPr>
            <w:r w:rsidRPr="00DE1B27">
              <w:rPr>
                <w:rFonts w:asciiTheme="minorHAnsi" w:hAnsiTheme="minorHAnsi" w:cs="Arial"/>
                <w:sz w:val="20"/>
                <w:szCs w:val="20"/>
              </w:rPr>
              <w:t>8</w:t>
            </w:r>
          </w:p>
        </w:tc>
      </w:tr>
      <w:tr w:rsidR="00F11B46" w:rsidRPr="005A1A1F" w14:paraId="793D3FA4" w14:textId="77777777" w:rsidTr="00C9153B">
        <w:trPr>
          <w:trHeight w:val="255"/>
        </w:trPr>
        <w:tc>
          <w:tcPr>
            <w:tcW w:w="4320" w:type="dxa"/>
            <w:tcBorders>
              <w:bottom w:val="single" w:sz="4" w:space="0" w:color="auto"/>
              <w:right w:val="single" w:sz="4" w:space="0" w:color="auto"/>
            </w:tcBorders>
            <w:shd w:val="clear" w:color="auto" w:fill="auto"/>
            <w:noWrap/>
            <w:vAlign w:val="bottom"/>
          </w:tcPr>
          <w:p w14:paraId="00050709" w14:textId="77777777" w:rsidR="00F11B46" w:rsidRPr="00DE1B27" w:rsidRDefault="00F11B46" w:rsidP="00DE1B27">
            <w:pPr>
              <w:keepNext/>
              <w:keepLines/>
              <w:spacing w:after="0"/>
              <w:rPr>
                <w:rFonts w:asciiTheme="minorHAnsi" w:hAnsiTheme="minorHAnsi" w:cs="Arial"/>
                <w:sz w:val="20"/>
                <w:szCs w:val="20"/>
              </w:rPr>
            </w:pPr>
            <w:r w:rsidRPr="00DE1B27">
              <w:rPr>
                <w:rFonts w:asciiTheme="minorHAnsi" w:hAnsiTheme="minorHAnsi" w:cs="Arial"/>
                <w:sz w:val="20"/>
                <w:szCs w:val="20"/>
              </w:rPr>
              <w:t>Federal Facilities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EB9EF0" w14:textId="77777777" w:rsidR="00F11B46" w:rsidRPr="00DE1B27" w:rsidRDefault="00F11B46" w:rsidP="00C9153B">
            <w:pPr>
              <w:keepNext/>
              <w:keepLines/>
              <w:tabs>
                <w:tab w:val="decimal" w:pos="567"/>
              </w:tabs>
              <w:spacing w:after="0"/>
              <w:jc w:val="right"/>
              <w:rPr>
                <w:rFonts w:asciiTheme="minorHAnsi" w:hAnsiTheme="minorHAnsi" w:cs="Arial"/>
                <w:sz w:val="20"/>
                <w:szCs w:val="20"/>
              </w:rPr>
            </w:pPr>
            <w:r w:rsidRPr="00DE1B27">
              <w:rPr>
                <w:rFonts w:asciiTheme="minorHAnsi" w:hAnsiTheme="minorHAnsi" w:cs="Arial"/>
                <w:sz w:val="20"/>
                <w:szCs w:val="20"/>
              </w:rPr>
              <w:t>43</w:t>
            </w:r>
          </w:p>
        </w:tc>
      </w:tr>
    </w:tbl>
    <w:p w14:paraId="62521391" w14:textId="7C4687D2" w:rsidR="00F11B46" w:rsidRPr="00871F94" w:rsidRDefault="00134A7F" w:rsidP="00134A7F">
      <w:pPr>
        <w:pStyle w:val="Tablenote"/>
        <w:ind w:left="180" w:hanging="180"/>
      </w:pPr>
      <w:r w:rsidRPr="008F1ADE">
        <w:rPr>
          <w:vertAlign w:val="superscript"/>
        </w:rPr>
        <w:t>a</w:t>
      </w:r>
      <w:r>
        <w:tab/>
      </w:r>
      <w:r w:rsidR="00123B84" w:rsidRPr="00871F94">
        <w:t xml:space="preserve">Includes </w:t>
      </w:r>
      <w:r w:rsidR="00560FD0" w:rsidRPr="00871F94">
        <w:t>the U.S. Virgin Islands</w:t>
      </w:r>
      <w:r w:rsidR="00123B84" w:rsidRPr="00871F94">
        <w:t>.</w:t>
      </w:r>
    </w:p>
    <w:p w14:paraId="01C5954B" w14:textId="6957C721" w:rsidR="00F11B46" w:rsidRPr="005A1A1F" w:rsidRDefault="00F11B46" w:rsidP="001814FD">
      <w:r w:rsidRPr="005A1A1F">
        <w:t>CWA section 405 prohibits the discharge of pollutants caused by the disposal of sewage sludge</w:t>
      </w:r>
      <w:r w:rsidR="00123B84">
        <w:t>,</w:t>
      </w:r>
      <w:r w:rsidRPr="005A1A1F">
        <w:t xml:space="preserve"> except in accordance with an NPDES permit (or an authorized state permit issued to control such disposal of sewage sludge). </w:t>
      </w:r>
      <w:r w:rsidR="00884698">
        <w:t xml:space="preserve">It also </w:t>
      </w:r>
      <w:r w:rsidRPr="005A1A1F">
        <w:t xml:space="preserve">establishes a comprehensive sewage sludge permitting program and requires EPA to develop technical criteria for controlling sewage sludge disposal and use. CWA section 405 allows states with sludge management authority to issue and modify permits that regulate the use and disposal of sewage sludge. EPA implements CWA </w:t>
      </w:r>
      <w:r>
        <w:t>s</w:t>
      </w:r>
      <w:r w:rsidRPr="005A1A1F">
        <w:t xml:space="preserve">ection 405 through its NPDES </w:t>
      </w:r>
      <w:r w:rsidR="0049204B">
        <w:t>b</w:t>
      </w:r>
      <w:r w:rsidRPr="005A1A1F">
        <w:t>iosolids</w:t>
      </w:r>
      <w:r w:rsidR="0049204B">
        <w:t xml:space="preserve"> p</w:t>
      </w:r>
      <w:r w:rsidRPr="005A1A1F">
        <w:t>rogram.</w:t>
      </w:r>
    </w:p>
    <w:p w14:paraId="702D45E7" w14:textId="216B4D14" w:rsidR="00F11B46" w:rsidRPr="005A1A1F" w:rsidRDefault="00F11B46" w:rsidP="00F11B46">
      <w:r>
        <w:t xml:space="preserve">The 1987 Water Quality Act </w:t>
      </w:r>
      <w:r w:rsidRPr="005A1A1F">
        <w:t>added a provision to the CWA</w:t>
      </w:r>
      <w:r w:rsidR="00884698">
        <w:t>—</w:t>
      </w:r>
      <w:r w:rsidRPr="005A1A1F">
        <w:t>section 402(p</w:t>
      </w:r>
      <w:r w:rsidR="00884698" w:rsidRPr="005A1A1F">
        <w:t>)</w:t>
      </w:r>
      <w:r w:rsidR="00884698">
        <w:t>—</w:t>
      </w:r>
      <w:r w:rsidRPr="005A1A1F">
        <w:t>that</w:t>
      </w:r>
      <w:r w:rsidR="009D4ACC">
        <w:t xml:space="preserve"> </w:t>
      </w:r>
      <w:r w:rsidR="00884698">
        <w:t xml:space="preserve">gives EPA </w:t>
      </w:r>
      <w:r w:rsidR="009D4ACC" w:rsidRPr="005A1A1F">
        <w:t xml:space="preserve">the authority to permit stormwater discharges and identifies the applicable requirements, which in some instances are different </w:t>
      </w:r>
      <w:r w:rsidR="009D4ACC">
        <w:t xml:space="preserve">from </w:t>
      </w:r>
      <w:r w:rsidR="009D4ACC" w:rsidRPr="005A1A1F">
        <w:t>the requirements applicable to other NPDES permittees.</w:t>
      </w:r>
      <w:r w:rsidR="009D4ACC">
        <w:t xml:space="preserve"> </w:t>
      </w:r>
      <w:r w:rsidRPr="005A1A1F">
        <w:t xml:space="preserve">The NPDES </w:t>
      </w:r>
      <w:r w:rsidR="001710DA">
        <w:t>p</w:t>
      </w:r>
      <w:r w:rsidRPr="005A1A1F">
        <w:t xml:space="preserve">rogram requires permits for stormwater discharges from certain municipal separate storm sewer systems (MS4s), industrial activities, and construction activities disturbing one acre or more. </w:t>
      </w:r>
    </w:p>
    <w:p w14:paraId="055420C6" w14:textId="6E8A22FA" w:rsidR="00F11B46" w:rsidRPr="005A1A1F" w:rsidRDefault="00F11B46" w:rsidP="001814FD">
      <w:r w:rsidRPr="005A1A1F">
        <w:t xml:space="preserve">The NPDES program procedures and requirements are codified in Title 40 of the </w:t>
      </w:r>
      <w:r w:rsidRPr="005A1A1F">
        <w:rPr>
          <w:i/>
        </w:rPr>
        <w:t>Code of Federal Regulations</w:t>
      </w:r>
      <w:r w:rsidRPr="005A1A1F">
        <w:t xml:space="preserve"> </w:t>
      </w:r>
      <w:r w:rsidR="00BC4D7F">
        <w:t>(</w:t>
      </w:r>
      <w:r w:rsidRPr="005A1A1F">
        <w:rPr>
          <w:iCs/>
        </w:rPr>
        <w:t>CFR</w:t>
      </w:r>
      <w:r w:rsidR="00BC4D7F">
        <w:rPr>
          <w:iCs/>
        </w:rPr>
        <w:t>)</w:t>
      </w:r>
      <w:r w:rsidRPr="005A1A1F">
        <w:t xml:space="preserve"> Parts 122, 123, 124, and 125 (and Parts 501 and 503 for </w:t>
      </w:r>
      <w:r w:rsidR="009D4ACC">
        <w:t>b</w:t>
      </w:r>
      <w:r w:rsidRPr="005A1A1F">
        <w:t>iosolids). EPA has developed its NPDES discharge</w:t>
      </w:r>
      <w:r w:rsidR="00A87024">
        <w:t>, intake</w:t>
      </w:r>
      <w:r w:rsidR="001B5F50">
        <w:t>,</w:t>
      </w:r>
      <w:r w:rsidRPr="005A1A1F">
        <w:t xml:space="preserve"> and sewage sludge </w:t>
      </w:r>
      <w:r w:rsidR="006A243D">
        <w:t xml:space="preserve">permit </w:t>
      </w:r>
      <w:r w:rsidRPr="005A1A1F">
        <w:t xml:space="preserve">application requirements to ensure that </w:t>
      </w:r>
      <w:r w:rsidR="00527DEC">
        <w:t xml:space="preserve">the permitting authority </w:t>
      </w:r>
      <w:r w:rsidRPr="005A1A1F">
        <w:t xml:space="preserve">obtains adequate information about applicants before it issues permits. Most application requirements are contained in forms developed by EPA. </w:t>
      </w:r>
      <w:r w:rsidRPr="001B3919">
        <w:t xml:space="preserve">Table </w:t>
      </w:r>
      <w:r w:rsidR="0051374E">
        <w:t>2.1</w:t>
      </w:r>
      <w:r w:rsidR="00934D52">
        <w:t xml:space="preserve"> in the next section</w:t>
      </w:r>
      <w:r w:rsidRPr="005A1A1F">
        <w:t xml:space="preserve"> provides an overview of the types of respondents required to submit NPDES application forms and identifies the form(s) that they must submit.</w:t>
      </w:r>
    </w:p>
    <w:p w14:paraId="6EB82568" w14:textId="1A0E8E8D" w:rsidR="00F11B46" w:rsidRDefault="00F11B46" w:rsidP="001814FD">
      <w:r w:rsidRPr="005A1A1F">
        <w:t xml:space="preserve">The specific monitoring, reporting, and recordkeeping requirements for NPDES and biosolids permits are applicable to both EPA- and state-administered NPDES permit programs, NPDES permittees (including stormwater), and treatment works that treat, use, or dispose of sewage sludge. CWA section 308 </w:t>
      </w:r>
      <w:r w:rsidR="007A7B53">
        <w:t>gives</w:t>
      </w:r>
      <w:r w:rsidR="007A7B53" w:rsidRPr="005A1A1F">
        <w:t xml:space="preserve"> </w:t>
      </w:r>
      <w:r w:rsidRPr="005A1A1F">
        <w:t>EPA the authority to request this type of information from permittees. While these provisions establish EPA’s authority and requirement to collect pollutant information, EPA has specific needs for collecting the data. These needs include the following:</w:t>
      </w:r>
    </w:p>
    <w:p w14:paraId="2E70B08A" w14:textId="68C9DBAA" w:rsidR="00F11B46" w:rsidRPr="005A1A1F" w:rsidRDefault="00F11B46" w:rsidP="00EF1FFC">
      <w:pPr>
        <w:pStyle w:val="Bullet1"/>
        <w:spacing w:after="240"/>
        <w:ind w:left="720"/>
        <w:contextualSpacing/>
      </w:pPr>
      <w:r w:rsidRPr="005A1A1F">
        <w:t>To provide information on pollutant discharge trends</w:t>
      </w:r>
      <w:r w:rsidR="0060775A">
        <w:t xml:space="preserve"> for performance measures</w:t>
      </w:r>
      <w:r w:rsidRPr="005A1A1F">
        <w:t>;</w:t>
      </w:r>
    </w:p>
    <w:p w14:paraId="343179FF" w14:textId="77777777" w:rsidR="00F11B46" w:rsidRPr="005A1A1F" w:rsidRDefault="00F11B46" w:rsidP="00EF1FFC">
      <w:pPr>
        <w:pStyle w:val="Bullet1"/>
        <w:spacing w:after="240"/>
        <w:ind w:left="720"/>
        <w:contextualSpacing/>
      </w:pPr>
      <w:r w:rsidRPr="005A1A1F">
        <w:t>To provide information to permitting authorities to prioritize permit activities;</w:t>
      </w:r>
    </w:p>
    <w:p w14:paraId="6921F9A3" w14:textId="77777777" w:rsidR="00F11B46" w:rsidRPr="005A1A1F" w:rsidRDefault="00F11B46" w:rsidP="00EF1FFC">
      <w:pPr>
        <w:pStyle w:val="Bullet1"/>
        <w:spacing w:after="240"/>
        <w:ind w:left="720"/>
        <w:contextualSpacing/>
      </w:pPr>
      <w:r w:rsidRPr="005A1A1F">
        <w:t xml:space="preserve">To determine whether permittees are in compliance with their permit conditions; and </w:t>
      </w:r>
    </w:p>
    <w:p w14:paraId="5772BF6D" w14:textId="3A287778" w:rsidR="00F11B46" w:rsidRPr="005A1A1F" w:rsidRDefault="00F11B46" w:rsidP="00EF1FFC">
      <w:pPr>
        <w:pStyle w:val="Bullet1"/>
        <w:spacing w:after="240"/>
        <w:ind w:left="720"/>
        <w:contextualSpacing/>
      </w:pPr>
      <w:r w:rsidRPr="005A1A1F">
        <w:t>To provide information to the permit writer to determine the need for</w:t>
      </w:r>
      <w:r w:rsidR="0016381C">
        <w:t>, and develop,</w:t>
      </w:r>
      <w:r w:rsidRPr="005A1A1F">
        <w:t xml:space="preserve"> permit limits.</w:t>
      </w:r>
    </w:p>
    <w:p w14:paraId="31AF53BC" w14:textId="515AA996" w:rsidR="00F11B46" w:rsidRPr="005A1A1F" w:rsidRDefault="00F11B46" w:rsidP="001814FD">
      <w:r w:rsidRPr="005A1A1F">
        <w:t>P</w:t>
      </w:r>
      <w:r w:rsidR="00644F4D">
        <w:t>rovisions for p</w:t>
      </w:r>
      <w:r w:rsidRPr="005A1A1F">
        <w:t>ermit modification</w:t>
      </w:r>
      <w:r w:rsidR="004D5815">
        <w:t>s</w:t>
      </w:r>
      <w:r w:rsidRPr="005A1A1F">
        <w:t xml:space="preserve"> and variance</w:t>
      </w:r>
      <w:r w:rsidR="00644F4D">
        <w:t>s from technology standards</w:t>
      </w:r>
      <w:r w:rsidRPr="005A1A1F">
        <w:t xml:space="preserve"> are found in CWA sections 301(c), (g), (h), (k)</w:t>
      </w:r>
      <w:r>
        <w:t>,</w:t>
      </w:r>
      <w:r w:rsidRPr="005A1A1F">
        <w:t xml:space="preserve"> (n); 302(b); and 316(a). Additionally, 40 CFR 122.21, 122.24, 122.41, 122.42, 122.47, 122.62, 122.63, 122.64, 124.5, 125.3, and 501.15 give </w:t>
      </w:r>
      <w:r w:rsidR="00D71C30">
        <w:t>permitting authorities</w:t>
      </w:r>
      <w:r w:rsidRPr="005A1A1F">
        <w:t xml:space="preserve"> the flexibility to respond quickly and efficiently to the dynamic nature of facility operation, technology advancements, and regulatory changes.</w:t>
      </w:r>
    </w:p>
    <w:p w14:paraId="17113E36" w14:textId="193FB00D" w:rsidR="00F11B46" w:rsidRDefault="00F11B46" w:rsidP="001814FD">
      <w:r w:rsidRPr="005A1A1F">
        <w:t xml:space="preserve">Effluent limitations guidelines and standards </w:t>
      </w:r>
      <w:r w:rsidR="00BD4002">
        <w:t xml:space="preserve">(ELGs) </w:t>
      </w:r>
      <w:r w:rsidRPr="005A1A1F">
        <w:t xml:space="preserve">are national wastewater limitations that apply to specific categories of industrial dischargers. The regulations are promulgated by EPA under the authority of </w:t>
      </w:r>
      <w:r>
        <w:t xml:space="preserve">CWA </w:t>
      </w:r>
      <w:r w:rsidRPr="005A1A1F">
        <w:t xml:space="preserve">sections 301, 304, 306, and 307 </w:t>
      </w:r>
      <w:r>
        <w:t>and implemented through NPDES permits</w:t>
      </w:r>
      <w:r w:rsidRPr="005A1A1F">
        <w:t xml:space="preserve">. In some instances, EPA establishes requirements for permittees to provide certification to the permitting authority or develop pollution prevention plans to demonstrate compliance with certain aspects of the </w:t>
      </w:r>
      <w:r w:rsidR="007A7B53">
        <w:t>ELGs</w:t>
      </w:r>
      <w:r w:rsidRPr="005A1A1F">
        <w:t>, often in lieu of monitoring for one or more pollutants. This ICR also integrates those certifications and planning documents.</w:t>
      </w:r>
    </w:p>
    <w:p w14:paraId="645ABDE1" w14:textId="0220B336" w:rsidR="006B3066" w:rsidRPr="00A426DF" w:rsidRDefault="00415591" w:rsidP="001814FD">
      <w:pPr>
        <w:pStyle w:val="Heading4"/>
      </w:pPr>
      <w:r>
        <w:t xml:space="preserve">Specific </w:t>
      </w:r>
      <w:r w:rsidR="006B3066" w:rsidRPr="00A426DF">
        <w:t>NPDES Program</w:t>
      </w:r>
      <w:r w:rsidR="001D79AB">
        <w:t xml:space="preserve"> Areas</w:t>
      </w:r>
    </w:p>
    <w:p w14:paraId="1356E50D" w14:textId="22C2BC75" w:rsidR="00EA0FEA" w:rsidRPr="005A1A1F" w:rsidRDefault="003142F0" w:rsidP="001814FD">
      <w:r>
        <w:t xml:space="preserve">Some </w:t>
      </w:r>
      <w:r w:rsidR="00EA0FEA" w:rsidRPr="00EA0FEA">
        <w:t>NPDES program</w:t>
      </w:r>
      <w:r w:rsidR="008A2B11">
        <w:t xml:space="preserve"> areas </w:t>
      </w:r>
      <w:r w:rsidR="007A7B53">
        <w:t xml:space="preserve">have </w:t>
      </w:r>
      <w:r w:rsidR="008A2B11">
        <w:t>specific</w:t>
      </w:r>
      <w:r w:rsidR="00EA0FEA" w:rsidRPr="00EA0FEA">
        <w:t xml:space="preserve"> components </w:t>
      </w:r>
      <w:r w:rsidR="007A7B53">
        <w:t xml:space="preserve">that </w:t>
      </w:r>
      <w:r w:rsidR="008A2B11">
        <w:t>require unique data</w:t>
      </w:r>
      <w:r w:rsidR="007A7B53">
        <w:t>. These</w:t>
      </w:r>
      <w:r w:rsidR="008A2B11">
        <w:t xml:space="preserve"> </w:t>
      </w:r>
      <w:r w:rsidR="00EA0FEA">
        <w:t xml:space="preserve">are described </w:t>
      </w:r>
      <w:r>
        <w:t xml:space="preserve">in greater detail </w:t>
      </w:r>
      <w:r w:rsidR="00EA0FEA">
        <w:t>below.</w:t>
      </w:r>
    </w:p>
    <w:p w14:paraId="2930CFD3" w14:textId="5D0244CA" w:rsidR="00BE0045" w:rsidRDefault="00C75477" w:rsidP="001814FD">
      <w:r>
        <w:rPr>
          <w:i/>
        </w:rPr>
        <w:t>Stormwater.</w:t>
      </w:r>
      <w:r>
        <w:t xml:space="preserve"> </w:t>
      </w:r>
      <w:r w:rsidR="00975ABE" w:rsidRPr="00975ABE">
        <w:t>The NPDES stormwater program regulates some stormwater discharges from three potential sources</w:t>
      </w:r>
      <w:r w:rsidR="00FF0883">
        <w:t xml:space="preserve"> (</w:t>
      </w:r>
      <w:r w:rsidR="00975ABE" w:rsidRPr="00975ABE">
        <w:t>MS4s, construction activities, and industrial activities</w:t>
      </w:r>
      <w:r w:rsidR="00FF0883">
        <w:t>) and those designated by EPA or the NPDES authority</w:t>
      </w:r>
      <w:r w:rsidR="00975ABE" w:rsidRPr="00975ABE">
        <w:t xml:space="preserve">. </w:t>
      </w:r>
      <w:r w:rsidR="00BE0045" w:rsidRPr="00BE0045">
        <w:t>CWA section 402(p) establishes the authority for EPA to permit stormwater discharges and identifies the applicable requirements, which in some instances are different from the requirements applicable to other NPDES permittees.</w:t>
      </w:r>
    </w:p>
    <w:p w14:paraId="1FD0C5C0" w14:textId="6BE678AE" w:rsidR="00F11B46" w:rsidRPr="005A1A1F" w:rsidRDefault="006B3066" w:rsidP="00AE63F1">
      <w:r>
        <w:rPr>
          <w:i/>
        </w:rPr>
        <w:t xml:space="preserve">Combined </w:t>
      </w:r>
      <w:r w:rsidR="00DF2E36">
        <w:rPr>
          <w:i/>
        </w:rPr>
        <w:t xml:space="preserve">sewer overflows </w:t>
      </w:r>
      <w:r>
        <w:rPr>
          <w:i/>
        </w:rPr>
        <w:t>(</w:t>
      </w:r>
      <w:r w:rsidR="00BD4002">
        <w:rPr>
          <w:i/>
        </w:rPr>
        <w:t>CSOs</w:t>
      </w:r>
      <w:r>
        <w:rPr>
          <w:i/>
        </w:rPr>
        <w:t>)</w:t>
      </w:r>
      <w:r w:rsidR="00BD4002">
        <w:rPr>
          <w:i/>
        </w:rPr>
        <w:t xml:space="preserve">. </w:t>
      </w:r>
      <w:r w:rsidR="00F11B46" w:rsidRPr="005A1A1F">
        <w:t>CWA section 402</w:t>
      </w:r>
      <w:r w:rsidR="00F11B46">
        <w:t>(q)</w:t>
      </w:r>
      <w:r w:rsidR="00F11B46" w:rsidRPr="005A1A1F">
        <w:t xml:space="preserve"> requires that permits, orders, and decrees that include </w:t>
      </w:r>
      <w:r w:rsidR="00F11B46">
        <w:t xml:space="preserve">discharges from combined sewer systems conform to the 1994 Combined Sewer Overflow </w:t>
      </w:r>
      <w:r w:rsidR="00F11B46" w:rsidRPr="005A1A1F">
        <w:t>Control Policy (</w:t>
      </w:r>
      <w:r w:rsidR="00786A73">
        <w:t>59 FR 18688</w:t>
      </w:r>
      <w:r w:rsidR="00864215">
        <w:t xml:space="preserve">, </w:t>
      </w:r>
      <w:r w:rsidR="00AE63F1">
        <w:t>April 19, 1994</w:t>
      </w:r>
      <w:r w:rsidR="00F11B46" w:rsidRPr="005A1A1F">
        <w:t xml:space="preserve">). The information collection activities described in this ICR </w:t>
      </w:r>
      <w:r w:rsidR="00DF2E36">
        <w:t xml:space="preserve">will </w:t>
      </w:r>
      <w:r w:rsidR="00F11B46" w:rsidRPr="005A1A1F">
        <w:t xml:space="preserve">provide the minimum data necessary for EPA to </w:t>
      </w:r>
      <w:r w:rsidR="00F11B46">
        <w:t xml:space="preserve">ensure </w:t>
      </w:r>
      <w:r w:rsidR="00F11B46" w:rsidRPr="005A1A1F">
        <w:t xml:space="preserve">that </w:t>
      </w:r>
      <w:r w:rsidR="00A26708">
        <w:t xml:space="preserve">(1) </w:t>
      </w:r>
      <w:r w:rsidR="00F11B46" w:rsidRPr="005A1A1F">
        <w:t xml:space="preserve">all municipalities with combined sewer systems are developing and implementing </w:t>
      </w:r>
      <w:r w:rsidR="00F11B46">
        <w:t>CSO</w:t>
      </w:r>
      <w:r w:rsidR="00F11B46" w:rsidRPr="005A1A1F">
        <w:t xml:space="preserve"> control programs that are consistent with the CSO Control Policy and (2) these CSO control programs will meet the requirements of the CWA and will achieve compliance with applicable state water quality standards (WQS).</w:t>
      </w:r>
    </w:p>
    <w:p w14:paraId="37F6CA90" w14:textId="388359D5" w:rsidR="00F11B46" w:rsidRPr="00A16FDD" w:rsidRDefault="00BD4002" w:rsidP="00F11B46">
      <w:r>
        <w:rPr>
          <w:i/>
        </w:rPr>
        <w:t xml:space="preserve">Great Lakes. </w:t>
      </w:r>
      <w:r w:rsidR="00F11B46" w:rsidRPr="00A16FDD">
        <w:t xml:space="preserve">On November 16, 1990, Congress enacted the Great Lakes Critical Programs Act. Section 101 of </w:t>
      </w:r>
      <w:r w:rsidR="003B2FEC">
        <w:t xml:space="preserve">this act </w:t>
      </w:r>
      <w:r w:rsidR="00F11B46" w:rsidRPr="00A16FDD">
        <w:t xml:space="preserve">amends </w:t>
      </w:r>
      <w:r w:rsidR="003B2FEC">
        <w:t>s</w:t>
      </w:r>
      <w:r w:rsidR="00F11B46" w:rsidRPr="00A16FDD">
        <w:t>ection 118 of the CWA and directs EPA to publish water quality guidance for the Great Lakes System. Provisions of the Guidance are codified in 40 CFR Part 132. The Guidance establishes minimum water quality criteria, implementation procedures, and antidegradation provisions for the Great Lakes System.</w:t>
      </w:r>
    </w:p>
    <w:p w14:paraId="062A2E4A" w14:textId="4E815E43" w:rsidR="0061653C" w:rsidRPr="00F967AD" w:rsidRDefault="00BD4002" w:rsidP="001814FD">
      <w:r>
        <w:rPr>
          <w:i/>
        </w:rPr>
        <w:t>Vessels.</w:t>
      </w:r>
      <w:r>
        <w:t xml:space="preserve"> </w:t>
      </w:r>
      <w:r w:rsidR="0061653C" w:rsidRPr="00F967AD">
        <w:t xml:space="preserve">In 2008, in response to a court order removing a regulatory exclusion, EPA issued </w:t>
      </w:r>
      <w:r w:rsidR="00B83F45" w:rsidRPr="00F967AD">
        <w:t>(</w:t>
      </w:r>
      <w:r w:rsidR="0061653C" w:rsidRPr="00F967AD">
        <w:t>and has subsequently reissued</w:t>
      </w:r>
      <w:r w:rsidR="00B83F45" w:rsidRPr="00F967AD">
        <w:t>)</w:t>
      </w:r>
      <w:r w:rsidR="0061653C" w:rsidRPr="00F967AD">
        <w:t xml:space="preserve"> the NPDES Vessel General Permit (VGP) covering discharges incidental to the normal operation of a vessel operating as a means of transportation (“incidental discharges”). Specifically, the VGP is available for (1) incidental discharges from</w:t>
      </w:r>
      <w:r w:rsidR="0061653C" w:rsidRPr="00F967AD" w:rsidDel="008E546E">
        <w:t xml:space="preserve"> </w:t>
      </w:r>
      <w:r w:rsidR="0061653C" w:rsidRPr="00F967AD">
        <w:t xml:space="preserve">vessels </w:t>
      </w:r>
      <w:r w:rsidR="003B2FEC">
        <w:t>longer</w:t>
      </w:r>
      <w:r w:rsidR="003B2FEC" w:rsidRPr="00F967AD">
        <w:t xml:space="preserve"> </w:t>
      </w:r>
      <w:r w:rsidR="0061653C" w:rsidRPr="00F967AD">
        <w:t>than 79 feet</w:t>
      </w:r>
      <w:r w:rsidR="003B2FEC">
        <w:t xml:space="preserve"> </w:t>
      </w:r>
      <w:r w:rsidR="0061653C" w:rsidRPr="00F967AD">
        <w:t>and (2) ballast water discharges from vessels of any size. The VGP defines effluent limits for multiple discharge categories and specifies certain practices for various vessel categories.</w:t>
      </w:r>
    </w:p>
    <w:p w14:paraId="7D793EE8" w14:textId="71E40D19" w:rsidR="00753E12" w:rsidRPr="00F967AD" w:rsidRDefault="0061653C" w:rsidP="001814FD">
      <w:r w:rsidRPr="00F967AD">
        <w:t>The types of vessels eligible for coverage under the VGP include, but are not limited to: cruise ships; ferries; barges; oil, petroleum, and chemical tankers; bulk carriers, container ships, and other cargo ships; refrigerant ships; research vessels; commercial fishing vessels; and emergency response vessels.</w:t>
      </w:r>
    </w:p>
    <w:p w14:paraId="79EACA23" w14:textId="759A7E65" w:rsidR="0061653C" w:rsidRPr="00F967AD" w:rsidRDefault="0061653C" w:rsidP="001814FD">
      <w:r w:rsidRPr="00F967AD">
        <w:t xml:space="preserve">In 2014, EPA issued the </w:t>
      </w:r>
      <w:r w:rsidR="005B060B">
        <w:t>S</w:t>
      </w:r>
      <w:r w:rsidRPr="00F967AD">
        <w:t xml:space="preserve">mall Vessel General Permit (sVGP) in anticipation of a requirement for non-military, non-recreational </w:t>
      </w:r>
      <w:r w:rsidR="00B77B36">
        <w:t xml:space="preserve">vessels </w:t>
      </w:r>
      <w:r w:rsidR="003B2FEC">
        <w:t>shorter</w:t>
      </w:r>
      <w:r w:rsidRPr="00F967AD">
        <w:t xml:space="preserve"> than 79 feet to obtain NPDES permit coverage for incidental discharges; however, Congress enacted legislation that extended the incidental discharge permitting moratorium </w:t>
      </w:r>
      <w:r w:rsidR="00B83F45" w:rsidRPr="00F967AD">
        <w:t>(</w:t>
      </w:r>
      <w:r w:rsidRPr="00F967AD">
        <w:t>except for ballast water</w:t>
      </w:r>
      <w:r w:rsidR="00B83F45" w:rsidRPr="00F967AD">
        <w:t>)</w:t>
      </w:r>
      <w:r w:rsidRPr="00F967AD">
        <w:t xml:space="preserve"> for these smaller vessels and for commercial fishing vessels until </w:t>
      </w:r>
      <w:r w:rsidR="00BF759D">
        <w:t xml:space="preserve">January 19, 2018. </w:t>
      </w:r>
      <w:r w:rsidRPr="00F967AD">
        <w:t xml:space="preserve"> </w:t>
      </w:r>
      <w:r w:rsidR="008B6C6A">
        <w:t xml:space="preserve">That moratorium has now ended and as such, these smaller vessels and commercial fishing vessels require NPDES permit coverage.  This ICR assumes this universe of vessels will obtain coverage under the less burdensome sVGP, except for the small percentage of commercial fishing vessels longer than 79 feet that must obtain coverage under the VGP.  </w:t>
      </w:r>
    </w:p>
    <w:p w14:paraId="6679EEAA" w14:textId="14FD687D" w:rsidR="009379E6" w:rsidRDefault="00BD4002" w:rsidP="00E0187E">
      <w:r>
        <w:rPr>
          <w:i/>
        </w:rPr>
        <w:t>Deicing ELG.</w:t>
      </w:r>
      <w:r>
        <w:t xml:space="preserve"> </w:t>
      </w:r>
      <w:r w:rsidR="00864215" w:rsidRPr="00F967AD">
        <w:t xml:space="preserve">In 2012, </w:t>
      </w:r>
      <w:r w:rsidR="00C63CA5" w:rsidRPr="00F967AD">
        <w:t xml:space="preserve">EPA promulgated </w:t>
      </w:r>
      <w:r w:rsidR="006B3066">
        <w:t xml:space="preserve">an </w:t>
      </w:r>
      <w:r>
        <w:t xml:space="preserve">ELG at 40 CFR Part </w:t>
      </w:r>
      <w:r w:rsidR="00702C8D">
        <w:t>449</w:t>
      </w:r>
      <w:r>
        <w:t xml:space="preserve"> </w:t>
      </w:r>
      <w:r w:rsidR="00C63CA5" w:rsidRPr="00F967AD">
        <w:t>for airports that conduct deicing operations. Aircraft are deiced by the spraying of deicing fluids, which contain pollutants. Airports also apply airfield pavement deicing chemicals to runways, taxiways</w:t>
      </w:r>
      <w:r w:rsidR="006B3066">
        <w:t>,</w:t>
      </w:r>
      <w:r w:rsidR="00C63CA5" w:rsidRPr="00F967AD">
        <w:t xml:space="preserve"> and </w:t>
      </w:r>
      <w:r w:rsidR="00792F8F" w:rsidRPr="00F967AD">
        <w:t xml:space="preserve">ramps. </w:t>
      </w:r>
      <w:r w:rsidR="00C63CA5" w:rsidRPr="00F967AD">
        <w:t xml:space="preserve">The rule requires airports to </w:t>
      </w:r>
      <w:r w:rsidR="0017745D" w:rsidRPr="00F967AD">
        <w:t xml:space="preserve">either </w:t>
      </w:r>
      <w:r w:rsidR="00C63CA5" w:rsidRPr="00F967AD">
        <w:t xml:space="preserve">certify that they are not using deicers containing urea for airfield pavement deicing </w:t>
      </w:r>
      <w:r w:rsidR="0017745D" w:rsidRPr="00F967AD">
        <w:t>or monitor their effluent and provide monitoring reports once a year.</w:t>
      </w:r>
      <w:r w:rsidR="00C50109" w:rsidRPr="00F967AD">
        <w:t xml:space="preserve"> EPA anticipates that airports will discontinue urea use and prepare certification letters, because </w:t>
      </w:r>
      <w:r w:rsidR="005C64BC">
        <w:t xml:space="preserve">capturing and treating </w:t>
      </w:r>
      <w:r w:rsidR="00C50109" w:rsidRPr="00F967AD">
        <w:t>airfield runoff is</w:t>
      </w:r>
      <w:r w:rsidR="00667BEB">
        <w:t xml:space="preserve"> considerably more expensive than discontinuing the use of urea</w:t>
      </w:r>
      <w:r w:rsidR="00C50109" w:rsidRPr="00F967AD">
        <w:t>.</w:t>
      </w:r>
    </w:p>
    <w:p w14:paraId="0CFE83DA" w14:textId="0C21F02E" w:rsidR="006B3066" w:rsidRPr="00A426DF" w:rsidRDefault="006B3066" w:rsidP="001814FD">
      <w:pPr>
        <w:pStyle w:val="Heading4"/>
      </w:pPr>
      <w:r w:rsidRPr="00A426DF">
        <w:t>Program Components Consolidated in This ICR</w:t>
      </w:r>
    </w:p>
    <w:p w14:paraId="609A1462" w14:textId="16215E7A" w:rsidR="00D81ACE" w:rsidRDefault="00D81ACE" w:rsidP="00D81ACE">
      <w:r w:rsidRPr="003142F0">
        <w:t xml:space="preserve">As mentioned above, this renewal </w:t>
      </w:r>
      <w:r w:rsidR="00680F49">
        <w:t>incorporates</w:t>
      </w:r>
      <w:r w:rsidRPr="003142F0">
        <w:t xml:space="preserve"> into the consolidated ICR the burden and costs for several NPDES program components which were previously contained in separate ICRs. The remainder of this section describes those program components and their ICRs.</w:t>
      </w:r>
    </w:p>
    <w:p w14:paraId="5CAE6397" w14:textId="040B478E" w:rsidR="00232889" w:rsidRDefault="00BD4002" w:rsidP="00E0187E">
      <w:r>
        <w:rPr>
          <w:i/>
        </w:rPr>
        <w:t>Pretreatment.</w:t>
      </w:r>
      <w:r>
        <w:t xml:space="preserve"> </w:t>
      </w:r>
      <w:r w:rsidR="00232889">
        <w:t>The burden associated with the National Pretreatment Program</w:t>
      </w:r>
      <w:r w:rsidR="008A73BF">
        <w:t>,</w:t>
      </w:r>
      <w:r w:rsidR="00232889">
        <w:t xml:space="preserve"> </w:t>
      </w:r>
      <w:r w:rsidR="00232889" w:rsidRPr="00232889">
        <w:t>previously contained in a separate ICR</w:t>
      </w:r>
      <w:r w:rsidR="00232889">
        <w:t xml:space="preserve"> (</w:t>
      </w:r>
      <w:r w:rsidR="00232889" w:rsidRPr="00232889">
        <w:t xml:space="preserve">OMB </w:t>
      </w:r>
      <w:r w:rsidR="00437796">
        <w:t>control no.</w:t>
      </w:r>
      <w:r w:rsidR="00232889" w:rsidRPr="00232889">
        <w:t xml:space="preserve"> 2040-0009, EPA ICR </w:t>
      </w:r>
      <w:r w:rsidR="00437796">
        <w:t>n</w:t>
      </w:r>
      <w:r w:rsidR="00437796" w:rsidRPr="00232889">
        <w:t>o</w:t>
      </w:r>
      <w:r w:rsidR="00232889" w:rsidRPr="00232889">
        <w:t>. 0002.15</w:t>
      </w:r>
      <w:r w:rsidR="00232889">
        <w:t>)</w:t>
      </w:r>
      <w:r w:rsidR="008A73BF">
        <w:t>,</w:t>
      </w:r>
      <w:r w:rsidR="00232889">
        <w:t xml:space="preserve"> </w:t>
      </w:r>
      <w:r w:rsidR="00232889" w:rsidRPr="00232889">
        <w:t>is being incorporated into this ICR.</w:t>
      </w:r>
      <w:r w:rsidR="00232889">
        <w:t xml:space="preserve"> </w:t>
      </w:r>
      <w:r>
        <w:t>EPA and authorized states implement</w:t>
      </w:r>
      <w:r w:rsidR="00232889" w:rsidRPr="00232889">
        <w:t xml:space="preserve"> the National Pretreatment Program on the basis of requirements first promulgated in the CWA in June 1978. The CWA requires EPA to develop regulations to establish responsibilities among federal, state, and local government</w:t>
      </w:r>
      <w:r w:rsidR="003333F7">
        <w:t>;</w:t>
      </w:r>
      <w:r w:rsidR="003333F7" w:rsidRPr="00232889">
        <w:t xml:space="preserve"> </w:t>
      </w:r>
      <w:r w:rsidR="00232889" w:rsidRPr="00232889">
        <w:t>industry</w:t>
      </w:r>
      <w:r w:rsidR="003333F7">
        <w:t>;</w:t>
      </w:r>
      <w:r w:rsidR="003333F7" w:rsidRPr="00232889">
        <w:t xml:space="preserve"> </w:t>
      </w:r>
      <w:r w:rsidR="00232889" w:rsidRPr="00232889">
        <w:t>and the public to implement pretreatment standards to control pollutants that pass through or interfere</w:t>
      </w:r>
      <w:r w:rsidR="00B77B36">
        <w:t xml:space="preserve"> with</w:t>
      </w:r>
      <w:r w:rsidR="00232889" w:rsidRPr="00232889">
        <w:t xml:space="preserve"> </w:t>
      </w:r>
      <w:r w:rsidR="00F068AB">
        <w:t xml:space="preserve">the treatment processes of </w:t>
      </w:r>
      <w:r w:rsidR="00527DEC">
        <w:t>publicly owned treatment works (POTWs)</w:t>
      </w:r>
      <w:r w:rsidR="00F068AB">
        <w:t xml:space="preserve"> </w:t>
      </w:r>
      <w:r w:rsidR="00232889" w:rsidRPr="00232889">
        <w:t xml:space="preserve">or that </w:t>
      </w:r>
      <w:r w:rsidR="00F068AB" w:rsidRPr="00232889">
        <w:t>m</w:t>
      </w:r>
      <w:r w:rsidR="00F068AB">
        <w:t>ight</w:t>
      </w:r>
      <w:r w:rsidR="00F068AB" w:rsidRPr="00232889">
        <w:t xml:space="preserve"> </w:t>
      </w:r>
      <w:r w:rsidR="00232889" w:rsidRPr="00232889">
        <w:t>contaminate sewage sludge. The regulations have been revised numerous times since they were first published in 1978; currently, they consist of 20 sections and several appendices. The most recent revision, the Streamlining Rule (</w:t>
      </w:r>
      <w:r w:rsidR="00F944C9">
        <w:t xml:space="preserve">70 FR </w:t>
      </w:r>
      <w:r w:rsidR="00232889" w:rsidRPr="00232889">
        <w:t>60134), was published on October 14, 2005, and became effective November 14, 2005.</w:t>
      </w:r>
    </w:p>
    <w:p w14:paraId="4EE8CC8D" w14:textId="3F5DA628" w:rsidR="001C56F9" w:rsidRDefault="008B5158" w:rsidP="00E0187E">
      <w:r>
        <w:rPr>
          <w:i/>
        </w:rPr>
        <w:t>Consolidated animals sector.</w:t>
      </w:r>
      <w:r>
        <w:t xml:space="preserve"> </w:t>
      </w:r>
      <w:r w:rsidR="00232889" w:rsidRPr="00232889">
        <w:t xml:space="preserve">The burden associated with </w:t>
      </w:r>
      <w:r w:rsidR="00F068AB">
        <w:t>this sector,</w:t>
      </w:r>
      <w:r w:rsidR="00232889" w:rsidRPr="00232889">
        <w:t xml:space="preserve"> previously contained in a separate ICR</w:t>
      </w:r>
      <w:r w:rsidR="00232889">
        <w:t xml:space="preserve"> (</w:t>
      </w:r>
      <w:r w:rsidR="00433D40" w:rsidRPr="00433D40">
        <w:t xml:space="preserve">OMB </w:t>
      </w:r>
      <w:r w:rsidR="00437796">
        <w:t>control no.</w:t>
      </w:r>
      <w:r w:rsidR="00433D40" w:rsidRPr="00433D40">
        <w:t xml:space="preserve"> 2040-0250, EPA ICR </w:t>
      </w:r>
      <w:r w:rsidR="00437796">
        <w:t>n</w:t>
      </w:r>
      <w:r w:rsidR="00437796" w:rsidRPr="00433D40">
        <w:t>o</w:t>
      </w:r>
      <w:r w:rsidR="00433D40" w:rsidRPr="00433D40">
        <w:t xml:space="preserve">. </w:t>
      </w:r>
      <w:r w:rsidR="00433D40" w:rsidRPr="00F967AD">
        <w:t>1989.09</w:t>
      </w:r>
      <w:r w:rsidR="00433D40">
        <w:t>)</w:t>
      </w:r>
      <w:r w:rsidR="00F068AB">
        <w:t>,</w:t>
      </w:r>
      <w:r w:rsidR="00433D40" w:rsidRPr="00433D40">
        <w:t xml:space="preserve"> is being incorporated into this ICR. On July 30, 2012, EPA published its most recent revisions to the NPDES </w:t>
      </w:r>
      <w:r w:rsidR="00F068AB">
        <w:t xml:space="preserve">concentrated animal feeding operation </w:t>
      </w:r>
      <w:r w:rsidR="00565193">
        <w:t>(</w:t>
      </w:r>
      <w:r w:rsidR="00433D40" w:rsidRPr="00433D40">
        <w:t>CAFO</w:t>
      </w:r>
      <w:r w:rsidR="00565193">
        <w:t>)</w:t>
      </w:r>
      <w:r w:rsidR="00433D40" w:rsidRPr="00433D40">
        <w:t xml:space="preserve"> regulations (77 FR 44494). These revisions were necessary as a result of a </w:t>
      </w:r>
      <w:r w:rsidR="00F068AB">
        <w:t xml:space="preserve">2011 </w:t>
      </w:r>
      <w:r w:rsidR="00433D40" w:rsidRPr="00433D40">
        <w:t>decision by the United States Court of Appeals for the Fifth Circuit in litigation relating to the NPDES CAFO permitting program (</w:t>
      </w:r>
      <w:r w:rsidR="00433D40" w:rsidRPr="003D16AA">
        <w:rPr>
          <w:i/>
        </w:rPr>
        <w:t>National Pork Producers Council v. EPA</w:t>
      </w:r>
      <w:r w:rsidR="00433D40" w:rsidRPr="00433D40">
        <w:t xml:space="preserve">, 635 F.3d 738, 756 </w:t>
      </w:r>
      <w:r w:rsidR="00F068AB">
        <w:t>[</w:t>
      </w:r>
      <w:r w:rsidR="00433D40" w:rsidRPr="00433D40">
        <w:t>5th Cir. 2011</w:t>
      </w:r>
      <w:r w:rsidR="00F068AB">
        <w:t>]</w:t>
      </w:r>
      <w:r w:rsidR="00F068AB" w:rsidRPr="00433D40">
        <w:t xml:space="preserve">). </w:t>
      </w:r>
      <w:r w:rsidR="00433D40" w:rsidRPr="00433D40">
        <w:t xml:space="preserve">Although the decision narrowed the </w:t>
      </w:r>
      <w:r w:rsidR="00F944C9">
        <w:t>universe</w:t>
      </w:r>
      <w:r w:rsidR="00433D40" w:rsidRPr="00433D40">
        <w:t xml:space="preserve"> of CAFOs that need to seek NPDES permit coverage, the </w:t>
      </w:r>
      <w:r w:rsidR="00CD7029">
        <w:t xml:space="preserve">ELGs </w:t>
      </w:r>
      <w:r w:rsidR="00433D40" w:rsidRPr="00433D40">
        <w:t>for CAFOs and other aspects of the permitting program remain unchanged. Under the terms of the NPDES program, CAFOs are defined as point sources (33 USC Sec</w:t>
      </w:r>
      <w:r w:rsidR="00963800">
        <w:t>tion</w:t>
      </w:r>
      <w:r w:rsidR="00963800" w:rsidRPr="00433D40">
        <w:t xml:space="preserve"> </w:t>
      </w:r>
      <w:r w:rsidR="00433D40" w:rsidRPr="00433D40">
        <w:t>1362). Under 33 USC Section</w:t>
      </w:r>
      <w:r w:rsidR="00963800">
        <w:t>s</w:t>
      </w:r>
      <w:r w:rsidR="00433D40" w:rsidRPr="00433D40">
        <w:t xml:space="preserve"> 1311 and 1342, a discharging CAFO must obtain a</w:t>
      </w:r>
      <w:r w:rsidR="003667B0">
        <w:t>n</w:t>
      </w:r>
      <w:r w:rsidR="00433D40" w:rsidRPr="00433D40">
        <w:t xml:space="preserve"> NPDES permit and comply with the terms of that permit, which may include appropriate conditions on data and information collection.</w:t>
      </w:r>
    </w:p>
    <w:p w14:paraId="0F384FBF" w14:textId="1C7865B5" w:rsidR="00BA5765" w:rsidRDefault="00963800" w:rsidP="00E0187E">
      <w:r w:rsidRPr="00433D40">
        <w:t>EPA</w:t>
      </w:r>
      <w:r>
        <w:t>’</w:t>
      </w:r>
      <w:r w:rsidRPr="00433D40">
        <w:t xml:space="preserve">s </w:t>
      </w:r>
      <w:r w:rsidR="00433D40" w:rsidRPr="00433D40">
        <w:t xml:space="preserve">NPDES regulations also define when a hatchery, fish farm, or other facility is a </w:t>
      </w:r>
      <w:r w:rsidR="00565193">
        <w:t>concentrated aquatic animal production (</w:t>
      </w:r>
      <w:r w:rsidR="00433D40" w:rsidRPr="00433D40">
        <w:t>CAAP</w:t>
      </w:r>
      <w:r w:rsidR="00565193">
        <w:t>)</w:t>
      </w:r>
      <w:r w:rsidR="00433D40" w:rsidRPr="00433D40">
        <w:t xml:space="preserve"> facility and, therefore, a point source subject to the NPDES permit program (40 CFR 122.24).</w:t>
      </w:r>
    </w:p>
    <w:p w14:paraId="3C98B598" w14:textId="119935F3" w:rsidR="00B84AD5" w:rsidRDefault="00C979D4" w:rsidP="00E0187E">
      <w:r>
        <w:rPr>
          <w:i/>
        </w:rPr>
        <w:t>Pesticides.</w:t>
      </w:r>
      <w:r>
        <w:t xml:space="preserve"> </w:t>
      </w:r>
      <w:r w:rsidR="00B84AD5" w:rsidRPr="00B84AD5">
        <w:t xml:space="preserve">The burden associated with </w:t>
      </w:r>
      <w:r w:rsidR="00B37079">
        <w:t xml:space="preserve">general permits for </w:t>
      </w:r>
      <w:r w:rsidR="00666773" w:rsidRPr="00666773">
        <w:t>point source discharges from pesticide applications</w:t>
      </w:r>
      <w:r w:rsidR="00963800">
        <w:t>,</w:t>
      </w:r>
      <w:r w:rsidR="00666773" w:rsidRPr="00666773">
        <w:t xml:space="preserve"> </w:t>
      </w:r>
      <w:r w:rsidR="00B84AD5" w:rsidRPr="00B84AD5">
        <w:t xml:space="preserve">previously contained in a separate ICR (OMB </w:t>
      </w:r>
      <w:r w:rsidR="00437796">
        <w:t>control no.</w:t>
      </w:r>
      <w:r w:rsidR="00B84AD5" w:rsidRPr="00B84AD5">
        <w:t xml:space="preserve"> 2040-0284; EPA ICR </w:t>
      </w:r>
      <w:r w:rsidR="000106BF">
        <w:t>no.</w:t>
      </w:r>
      <w:r w:rsidR="000106BF" w:rsidRPr="00B84AD5">
        <w:t xml:space="preserve"> </w:t>
      </w:r>
      <w:r w:rsidR="00B84AD5" w:rsidRPr="00B84AD5">
        <w:t>2397.</w:t>
      </w:r>
      <w:r w:rsidR="00B84AD5" w:rsidRPr="00382183">
        <w:t>02)</w:t>
      </w:r>
      <w:r w:rsidR="00963800">
        <w:t>,</w:t>
      </w:r>
      <w:r w:rsidR="00B84AD5" w:rsidRPr="00382183">
        <w:t xml:space="preserve"> is</w:t>
      </w:r>
      <w:r w:rsidR="00B84AD5" w:rsidRPr="00B84AD5">
        <w:t xml:space="preserve"> being incorporated into this ICR.</w:t>
      </w:r>
      <w:r w:rsidR="002474A8">
        <w:t xml:space="preserve"> </w:t>
      </w:r>
      <w:r w:rsidR="002474A8" w:rsidRPr="002474A8">
        <w:t xml:space="preserve">As a result of the </w:t>
      </w:r>
      <w:r w:rsidR="00666773" w:rsidRPr="00666773">
        <w:t xml:space="preserve">Sixth Circuit </w:t>
      </w:r>
      <w:r w:rsidR="002474A8" w:rsidRPr="002474A8">
        <w:t>Court</w:t>
      </w:r>
      <w:r w:rsidR="00666773" w:rsidRPr="00666773">
        <w:t xml:space="preserve"> of Appeal</w:t>
      </w:r>
      <w:r w:rsidR="002474A8" w:rsidRPr="002474A8">
        <w:t>’s decision</w:t>
      </w:r>
      <w:r w:rsidR="00666773" w:rsidRPr="00666773">
        <w:t xml:space="preserve"> in 2009 (</w:t>
      </w:r>
      <w:r w:rsidR="00666773" w:rsidRPr="003D16AA">
        <w:rPr>
          <w:i/>
        </w:rPr>
        <w:t>National Cotton Council, et al</w:t>
      </w:r>
      <w:r w:rsidR="00963800">
        <w:rPr>
          <w:i/>
        </w:rPr>
        <w:t>.</w:t>
      </w:r>
      <w:r w:rsidR="00666773" w:rsidRPr="003D16AA">
        <w:rPr>
          <w:i/>
        </w:rPr>
        <w:t>, v. EPA</w:t>
      </w:r>
      <w:r w:rsidR="00666773" w:rsidRPr="00666773">
        <w:t>)</w:t>
      </w:r>
      <w:r w:rsidR="002474A8" w:rsidRPr="002474A8">
        <w:t>, as of October 31, 2011</w:t>
      </w:r>
      <w:r w:rsidR="00F944C9">
        <w:t>,</w:t>
      </w:r>
      <w:r w:rsidR="002474A8" w:rsidRPr="002474A8">
        <w:t xml:space="preserve"> NPDES permits were required for discharges to waters of the United States from the application of biological pesticides and chemical pesticides that leave a residue. Given the vast number of operators requiring NPDES permit coverage, EPA and NPDES-authorized states developed general permits for discharges from the application of pesticides. </w:t>
      </w:r>
      <w:r w:rsidR="00605265">
        <w:t xml:space="preserve">In </w:t>
      </w:r>
      <w:r w:rsidR="009F4BD9">
        <w:t>October</w:t>
      </w:r>
      <w:r w:rsidR="00605265">
        <w:t xml:space="preserve"> 2016, EPA </w:t>
      </w:r>
      <w:r w:rsidR="009F4BD9">
        <w:t>issued the 2016 pesticide general permit (PGP)</w:t>
      </w:r>
      <w:r w:rsidR="00963800">
        <w:t>,</w:t>
      </w:r>
      <w:r w:rsidR="009F4BD9">
        <w:t xml:space="preserve"> which</w:t>
      </w:r>
      <w:r w:rsidR="009F4BD9" w:rsidRPr="009F4BD9">
        <w:t xml:space="preserve"> contains the same requirements and provisions</w:t>
      </w:r>
      <w:r w:rsidR="009F4BD9">
        <w:t xml:space="preserve"> as the </w:t>
      </w:r>
      <w:r w:rsidR="009F4BD9" w:rsidRPr="009F4BD9">
        <w:t>2011 PGP</w:t>
      </w:r>
      <w:r w:rsidR="009F4BD9">
        <w:t xml:space="preserve"> it replaced. The 2016 PGP included </w:t>
      </w:r>
      <w:r w:rsidR="00605265">
        <w:t xml:space="preserve">updated </w:t>
      </w:r>
      <w:r w:rsidR="009F4BD9">
        <w:t xml:space="preserve">versions of </w:t>
      </w:r>
      <w:r w:rsidR="00605265">
        <w:t xml:space="preserve">the </w:t>
      </w:r>
      <w:r w:rsidR="006452EC">
        <w:t>general permit</w:t>
      </w:r>
      <w:r w:rsidR="00605265">
        <w:t xml:space="preserve"> forms with </w:t>
      </w:r>
      <w:r w:rsidR="0075070B">
        <w:t>n</w:t>
      </w:r>
      <w:r w:rsidR="0075070B" w:rsidRPr="0075070B">
        <w:t>o substantive change</w:t>
      </w:r>
      <w:r w:rsidR="003D263B">
        <w:t>s</w:t>
      </w:r>
      <w:r w:rsidR="0075070B" w:rsidRPr="0075070B">
        <w:t xml:space="preserve"> to </w:t>
      </w:r>
      <w:r w:rsidR="0075070B">
        <w:t>the</w:t>
      </w:r>
      <w:r w:rsidR="0075070B" w:rsidRPr="0075070B">
        <w:t xml:space="preserve"> currently approved collection</w:t>
      </w:r>
      <w:r w:rsidR="0075070B">
        <w:t>.</w:t>
      </w:r>
    </w:p>
    <w:p w14:paraId="0B2DCBF9" w14:textId="050B522B" w:rsidR="00087F50" w:rsidRDefault="00087F50" w:rsidP="00AC38A5">
      <w:r>
        <w:rPr>
          <w:i/>
        </w:rPr>
        <w:t xml:space="preserve">Cooling </w:t>
      </w:r>
      <w:r w:rsidR="00963800">
        <w:rPr>
          <w:i/>
        </w:rPr>
        <w:t>water intake structures</w:t>
      </w:r>
      <w:r>
        <w:rPr>
          <w:i/>
        </w:rPr>
        <w:t>.</w:t>
      </w:r>
      <w:r>
        <w:t xml:space="preserve"> </w:t>
      </w:r>
      <w:r w:rsidRPr="00AC38A5">
        <w:t xml:space="preserve">Section 316(b) of the </w:t>
      </w:r>
      <w:r w:rsidR="00CD443C">
        <w:t xml:space="preserve">CWA </w:t>
      </w:r>
      <w:r w:rsidRPr="00AC38A5">
        <w:t>provides that “[a]ny standard established pursuant to [CWA section 301] or [CWA section 306] and applicable to a point source shall require that the location, design, construction, and capacity of cooling water intake structures reflect the best technology available for minimizing adverse environmental impact.”</w:t>
      </w:r>
    </w:p>
    <w:p w14:paraId="6E865C7F" w14:textId="7D2BE7CB" w:rsidR="00517B85" w:rsidRDefault="00087F50" w:rsidP="00AC38A5">
      <w:r w:rsidRPr="00AC38A5">
        <w:t xml:space="preserve">The 316(b) New </w:t>
      </w:r>
      <w:r w:rsidR="001B467C">
        <w:t>Facilities</w:t>
      </w:r>
      <w:r w:rsidRPr="00AC38A5">
        <w:t xml:space="preserve"> </w:t>
      </w:r>
      <w:r w:rsidR="00426F60">
        <w:t xml:space="preserve">Final </w:t>
      </w:r>
      <w:r w:rsidRPr="00AC38A5">
        <w:t>Rule (66 FR 65256; December 18, 2001) and minor amendments (68 FR 36749; June 19, 2003) implement section 316(b) as it applies to new facilities that use cooling wa</w:t>
      </w:r>
      <w:r>
        <w:t>ter intake structures (CWISs).</w:t>
      </w:r>
      <w:r w:rsidR="00655AF7">
        <w:t xml:space="preserve"> </w:t>
      </w:r>
      <w:r w:rsidR="008769C5">
        <w:t xml:space="preserve">The burden associated with </w:t>
      </w:r>
      <w:r w:rsidR="00AC38A5">
        <w:t xml:space="preserve">the </w:t>
      </w:r>
      <w:r>
        <w:t xml:space="preserve">CWIS </w:t>
      </w:r>
      <w:r w:rsidR="00AC38A5">
        <w:t xml:space="preserve">New </w:t>
      </w:r>
      <w:r w:rsidR="001B467C">
        <w:t xml:space="preserve">Facilities </w:t>
      </w:r>
      <w:r w:rsidR="00AC38A5">
        <w:t>Rule</w:t>
      </w:r>
      <w:r>
        <w:t>,</w:t>
      </w:r>
      <w:r w:rsidR="00AC38A5" w:rsidRPr="00AC38A5">
        <w:t xml:space="preserve"> previously contained in a separate ICR (OMB </w:t>
      </w:r>
      <w:r w:rsidR="00437796">
        <w:t>control no.</w:t>
      </w:r>
      <w:r w:rsidR="00AC38A5" w:rsidRPr="00AC38A5">
        <w:t xml:space="preserve"> 2040-0241; EPA ICR </w:t>
      </w:r>
      <w:r w:rsidR="000106BF">
        <w:t>no.</w:t>
      </w:r>
      <w:r w:rsidR="000106BF" w:rsidRPr="00AC38A5">
        <w:t xml:space="preserve"> </w:t>
      </w:r>
      <w:r w:rsidR="00AC38A5" w:rsidRPr="00AC38A5">
        <w:t>1973.06)</w:t>
      </w:r>
      <w:r>
        <w:t>,</w:t>
      </w:r>
      <w:r w:rsidR="00AC38A5" w:rsidRPr="00AC38A5">
        <w:t xml:space="preserve"> </w:t>
      </w:r>
      <w:r w:rsidR="00517B85">
        <w:t>is</w:t>
      </w:r>
      <w:r w:rsidR="00AC38A5" w:rsidRPr="00AC38A5">
        <w:t xml:space="preserve"> being incorporated into this ICR.</w:t>
      </w:r>
      <w:r w:rsidR="00AC38A5">
        <w:t xml:space="preserve"> </w:t>
      </w:r>
    </w:p>
    <w:p w14:paraId="689191A5" w14:textId="5D7D97A1" w:rsidR="007C404B" w:rsidRPr="007C404B" w:rsidRDefault="00087F50" w:rsidP="007C404B">
      <w:r w:rsidRPr="007C404B">
        <w:t xml:space="preserve">The </w:t>
      </w:r>
      <w:r w:rsidR="00426F60">
        <w:t>316(b)</w:t>
      </w:r>
      <w:r>
        <w:t xml:space="preserve"> </w:t>
      </w:r>
      <w:r w:rsidRPr="007C404B">
        <w:t xml:space="preserve">Phase III </w:t>
      </w:r>
      <w:r w:rsidR="00426F60">
        <w:t>Facilities</w:t>
      </w:r>
      <w:r w:rsidRPr="007C404B">
        <w:t xml:space="preserve"> </w:t>
      </w:r>
      <w:r w:rsidR="00426F60">
        <w:t xml:space="preserve">Final </w:t>
      </w:r>
      <w:r w:rsidRPr="007C404B">
        <w:t xml:space="preserve">Rule (71 FR </w:t>
      </w:r>
      <w:r w:rsidR="00CD443C">
        <w:t>35006</w:t>
      </w:r>
      <w:r w:rsidRPr="007C404B">
        <w:t xml:space="preserve">; June 16, 2006) </w:t>
      </w:r>
      <w:r w:rsidR="00D95245">
        <w:t>establishes requirements under Part 125, Subpart N, for</w:t>
      </w:r>
      <w:r w:rsidRPr="007C404B">
        <w:t xml:space="preserve"> new offshore oil and gas facilities that use </w:t>
      </w:r>
      <w:r>
        <w:t>CWISs</w:t>
      </w:r>
      <w:r w:rsidRPr="007C404B">
        <w:t>.</w:t>
      </w:r>
      <w:r>
        <w:t xml:space="preserve"> </w:t>
      </w:r>
      <w:r w:rsidR="007C404B" w:rsidRPr="007C404B">
        <w:t xml:space="preserve">The burden associated with </w:t>
      </w:r>
      <w:r w:rsidR="00426F60">
        <w:t>this rule</w:t>
      </w:r>
      <w:r>
        <w:t>,</w:t>
      </w:r>
      <w:r w:rsidR="007C404B" w:rsidRPr="007C404B">
        <w:t xml:space="preserve"> previously contained in a separate ICR (OMB </w:t>
      </w:r>
      <w:r w:rsidR="00437796">
        <w:t>control no.</w:t>
      </w:r>
      <w:r w:rsidR="007C404B" w:rsidRPr="007C404B">
        <w:t xml:space="preserve"> 2040-0268, EPA ICR </w:t>
      </w:r>
      <w:r w:rsidR="00437796">
        <w:t>n</w:t>
      </w:r>
      <w:r w:rsidR="00437796" w:rsidRPr="007C404B">
        <w:t>o</w:t>
      </w:r>
      <w:r w:rsidR="007C404B" w:rsidRPr="007C404B">
        <w:t>. 2169.05)</w:t>
      </w:r>
      <w:r>
        <w:t>,</w:t>
      </w:r>
      <w:r w:rsidR="007C404B" w:rsidRPr="007C404B">
        <w:t xml:space="preserve"> is being incorporated into this ICR. </w:t>
      </w:r>
    </w:p>
    <w:p w14:paraId="03B29335" w14:textId="3DEA8D0F" w:rsidR="00517B85" w:rsidRDefault="0036374E" w:rsidP="00AC38A5">
      <w:r w:rsidRPr="00517B85">
        <w:t xml:space="preserve">The 316(b) Existing </w:t>
      </w:r>
      <w:r w:rsidR="00426F60">
        <w:t>Facilities Final</w:t>
      </w:r>
      <w:r w:rsidRPr="00517B85">
        <w:t xml:space="preserve"> Rule (79 FR 48300; August 15, 2014) implement</w:t>
      </w:r>
      <w:r w:rsidR="00426F60">
        <w:t>s</w:t>
      </w:r>
      <w:r w:rsidRPr="00517B85">
        <w:t xml:space="preserve"> section 316(b) as it applies to existing </w:t>
      </w:r>
      <w:r>
        <w:t xml:space="preserve">power generating and manufacturing </w:t>
      </w:r>
      <w:r w:rsidRPr="00517B85">
        <w:t xml:space="preserve">facilities that use </w:t>
      </w:r>
      <w:r>
        <w:t>CWISs</w:t>
      </w:r>
      <w:r w:rsidRPr="00517B85">
        <w:t>.</w:t>
      </w:r>
      <w:r>
        <w:t xml:space="preserve"> </w:t>
      </w:r>
      <w:r w:rsidR="00517B85" w:rsidRPr="00517B85">
        <w:t xml:space="preserve">The burden associated with </w:t>
      </w:r>
      <w:r w:rsidR="00426F60">
        <w:t>this rule,</w:t>
      </w:r>
      <w:r w:rsidR="00517B85" w:rsidRPr="00517B85">
        <w:t xml:space="preserve"> previously contained in a separate ICR (OMB </w:t>
      </w:r>
      <w:r w:rsidR="00437796">
        <w:t>control no.</w:t>
      </w:r>
      <w:r w:rsidR="00517B85" w:rsidRPr="00517B85">
        <w:t xml:space="preserve"> 2040-0257; EPA ICR </w:t>
      </w:r>
      <w:r w:rsidR="00437796">
        <w:t>n</w:t>
      </w:r>
      <w:r w:rsidR="00517B85" w:rsidRPr="00517B85">
        <w:t>o. 2060.07)</w:t>
      </w:r>
      <w:r w:rsidR="00426F60">
        <w:t>,</w:t>
      </w:r>
      <w:r w:rsidR="00517B85" w:rsidRPr="00517B85">
        <w:t xml:space="preserve"> </w:t>
      </w:r>
      <w:r w:rsidR="00517B85">
        <w:t>is</w:t>
      </w:r>
      <w:r w:rsidR="00517B85" w:rsidRPr="00517B85">
        <w:t xml:space="preserve"> being incorporated into this ICR. </w:t>
      </w:r>
    </w:p>
    <w:p w14:paraId="24A4DB41" w14:textId="768F05EC" w:rsidR="0048771B" w:rsidRDefault="00426F60" w:rsidP="009B2E92">
      <w:r>
        <w:rPr>
          <w:i/>
        </w:rPr>
        <w:t xml:space="preserve">Electronic </w:t>
      </w:r>
      <w:r w:rsidR="00655AF7">
        <w:rPr>
          <w:i/>
        </w:rPr>
        <w:t>reporting</w:t>
      </w:r>
      <w:r>
        <w:rPr>
          <w:i/>
        </w:rPr>
        <w:t>.</w:t>
      </w:r>
      <w:r>
        <w:t xml:space="preserve"> </w:t>
      </w:r>
      <w:r w:rsidR="00520899" w:rsidRPr="00520899">
        <w:t xml:space="preserve">On October 22, 2015, EPA published the final </w:t>
      </w:r>
      <w:r w:rsidR="00CD443C">
        <w:t xml:space="preserve">NPDES </w:t>
      </w:r>
      <w:r w:rsidR="00520899" w:rsidRPr="00520899">
        <w:t>Electronic Reporting Rule (80 FR 64063)</w:t>
      </w:r>
      <w:r w:rsidR="00520899">
        <w:t xml:space="preserve">. </w:t>
      </w:r>
      <w:r w:rsidR="00154BC9" w:rsidRPr="000854BE">
        <w:t>The NPDES Electronic Reporting Rule replace</w:t>
      </w:r>
      <w:r w:rsidR="00154BC9">
        <w:t>s</w:t>
      </w:r>
      <w:r w:rsidR="00154BC9" w:rsidRPr="000854BE">
        <w:t xml:space="preserve"> select existing paper-based reports with electronic reporting. </w:t>
      </w:r>
      <w:r w:rsidR="00B84AD5" w:rsidRPr="00B84AD5">
        <w:t xml:space="preserve">The </w:t>
      </w:r>
      <w:r w:rsidR="000854BE">
        <w:t xml:space="preserve">ongoing </w:t>
      </w:r>
      <w:r w:rsidR="009B2E92">
        <w:t xml:space="preserve">activities </w:t>
      </w:r>
      <w:r w:rsidR="00A94399">
        <w:t xml:space="preserve">burden and burden reductions component </w:t>
      </w:r>
      <w:r w:rsidR="00B84AD5" w:rsidRPr="00B84AD5">
        <w:t xml:space="preserve">associated with </w:t>
      </w:r>
      <w:r w:rsidR="002409E4">
        <w:t xml:space="preserve">the NPDES </w:t>
      </w:r>
      <w:r w:rsidR="00B84AD5" w:rsidRPr="00B84AD5">
        <w:t>Electronic Reporting Rule</w:t>
      </w:r>
      <w:r>
        <w:t>,</w:t>
      </w:r>
      <w:r w:rsidR="00896938">
        <w:t xml:space="preserve"> </w:t>
      </w:r>
      <w:r w:rsidR="00B84AD5" w:rsidRPr="00B84AD5">
        <w:t>previously contained in a separate ICR (</w:t>
      </w:r>
      <w:r w:rsidR="00932519" w:rsidRPr="00932519">
        <w:t xml:space="preserve">OMB </w:t>
      </w:r>
      <w:r w:rsidR="00437796">
        <w:t>control no.</w:t>
      </w:r>
      <w:r w:rsidR="00932519" w:rsidRPr="00932519">
        <w:t xml:space="preserve"> 2020-0035; EPA ICR </w:t>
      </w:r>
      <w:r w:rsidR="00437796">
        <w:t>n</w:t>
      </w:r>
      <w:r w:rsidR="00932519" w:rsidRPr="00932519">
        <w:t>o. 2468.02</w:t>
      </w:r>
      <w:r w:rsidR="00B84AD5" w:rsidRPr="00B84AD5">
        <w:t>)</w:t>
      </w:r>
      <w:r>
        <w:t>,</w:t>
      </w:r>
      <w:r w:rsidR="00B84AD5" w:rsidRPr="00B84AD5">
        <w:t xml:space="preserve"> </w:t>
      </w:r>
      <w:r w:rsidR="005129E0">
        <w:t>are</w:t>
      </w:r>
      <w:r w:rsidR="005129E0" w:rsidRPr="00B84AD5">
        <w:t xml:space="preserve"> </w:t>
      </w:r>
      <w:r w:rsidR="00B84AD5" w:rsidRPr="00B84AD5">
        <w:t xml:space="preserve">being incorporated into this ICR. </w:t>
      </w:r>
    </w:p>
    <w:p w14:paraId="27CC2726" w14:textId="6A567B29" w:rsidR="007F2877" w:rsidRDefault="00F0499E" w:rsidP="00B101A0">
      <w:pPr>
        <w:pStyle w:val="Heading2"/>
      </w:pPr>
      <w:bookmarkStart w:id="8" w:name="_Toc510451614"/>
      <w:r>
        <w:t>2.</w:t>
      </w:r>
      <w:r>
        <w:tab/>
      </w:r>
      <w:r w:rsidR="007F2877" w:rsidRPr="00673714">
        <w:t>Indicate how, by whom and for what purpose the information is to be used</w:t>
      </w:r>
      <w:bookmarkEnd w:id="8"/>
    </w:p>
    <w:p w14:paraId="4FEC46A4" w14:textId="2D1746CE" w:rsidR="002A3E05" w:rsidRDefault="00990328" w:rsidP="00B101A0">
      <w:r w:rsidRPr="0091115A">
        <w:t>This ICR includes information used primarily by permitting authorities</w:t>
      </w:r>
      <w:r w:rsidR="0091115A" w:rsidRPr="0091115A">
        <w:t>,</w:t>
      </w:r>
      <w:r w:rsidRPr="0091115A">
        <w:t xml:space="preserve"> permittees</w:t>
      </w:r>
      <w:r w:rsidR="0091115A" w:rsidRPr="0091115A">
        <w:t>, and EPA</w:t>
      </w:r>
      <w:r w:rsidRPr="0091115A">
        <w:t xml:space="preserve">. </w:t>
      </w:r>
      <w:r w:rsidR="00F0476C">
        <w:t>EPA anticipates</w:t>
      </w:r>
      <w:r w:rsidR="0091115A" w:rsidRPr="0091115A">
        <w:t xml:space="preserve"> that other government agencies</w:t>
      </w:r>
      <w:r w:rsidR="00363156">
        <w:t xml:space="preserve"> (</w:t>
      </w:r>
      <w:r w:rsidR="00F0476C">
        <w:t xml:space="preserve">both </w:t>
      </w:r>
      <w:r w:rsidR="0091115A" w:rsidRPr="0091115A">
        <w:t>state and federal</w:t>
      </w:r>
      <w:r w:rsidR="00363156">
        <w:t>)</w:t>
      </w:r>
      <w:r w:rsidR="0091115A" w:rsidRPr="0091115A">
        <w:t>, as well as public interest groups, private companies, and individuals</w:t>
      </w:r>
      <w:r w:rsidR="00732FE1">
        <w:t>,</w:t>
      </w:r>
      <w:r w:rsidR="0091115A" w:rsidRPr="0091115A">
        <w:t xml:space="preserve"> will also use the data. </w:t>
      </w:r>
      <w:r w:rsidRPr="0091115A">
        <w:t xml:space="preserve">Much of these data must be submitted to permitting authorities, while other information must be maintained on-site by the permittee. </w:t>
      </w:r>
      <w:r w:rsidR="00E66AE1" w:rsidRPr="00E66AE1">
        <w:t xml:space="preserve">EPA </w:t>
      </w:r>
      <w:r w:rsidR="00C366C2">
        <w:t>will either submit</w:t>
      </w:r>
      <w:r w:rsidR="00E66AE1" w:rsidRPr="00E66AE1">
        <w:t xml:space="preserve"> separate ICRs for any regulatory or permitting changes requiring ICR approval that occur during this ICR’s coverage period</w:t>
      </w:r>
      <w:r w:rsidR="00C366C2">
        <w:t xml:space="preserve"> or revise this ICR, as appropriate</w:t>
      </w:r>
      <w:r w:rsidR="00E66AE1" w:rsidRPr="00E66AE1">
        <w:t xml:space="preserve">. </w:t>
      </w:r>
      <w:r w:rsidR="00C366C2">
        <w:t xml:space="preserve">If EPA creates a separate ICR, it will likely consolidate that ICR into this ICR, as appropriate, </w:t>
      </w:r>
      <w:r w:rsidR="00E66AE1" w:rsidRPr="00E66AE1">
        <w:t>upon its renewal</w:t>
      </w:r>
      <w:r w:rsidR="00E66AE1">
        <w:t xml:space="preserve">. </w:t>
      </w:r>
      <w:r w:rsidRPr="0091115A">
        <w:t xml:space="preserve">The information collection provisions associated with the NPDES </w:t>
      </w:r>
      <w:r w:rsidR="001710DA" w:rsidRPr="0091115A">
        <w:t>p</w:t>
      </w:r>
      <w:r w:rsidRPr="0091115A">
        <w:t>rogram described in Section 1 include the following:</w:t>
      </w:r>
    </w:p>
    <w:p w14:paraId="3D27AB68" w14:textId="79CDD80C" w:rsidR="00990328" w:rsidRPr="0091115A" w:rsidRDefault="00990328" w:rsidP="00EF1FFC">
      <w:pPr>
        <w:pStyle w:val="ListParagraph"/>
        <w:numPr>
          <w:ilvl w:val="0"/>
          <w:numId w:val="58"/>
        </w:numPr>
        <w:ind w:left="720"/>
      </w:pPr>
      <w:r w:rsidRPr="0091115A">
        <w:t>Activities directly related to individual permit applications or notices of intent (NOIs) for coverage under general permits;</w:t>
      </w:r>
    </w:p>
    <w:p w14:paraId="35E797EA" w14:textId="77777777" w:rsidR="00990328" w:rsidRPr="0091115A" w:rsidRDefault="00990328" w:rsidP="00EF1FFC">
      <w:pPr>
        <w:pStyle w:val="ListParagraph"/>
        <w:numPr>
          <w:ilvl w:val="0"/>
          <w:numId w:val="8"/>
        </w:numPr>
      </w:pPr>
      <w:r w:rsidRPr="0091115A">
        <w:t>Activities associated with plan development or special studies;</w:t>
      </w:r>
    </w:p>
    <w:p w14:paraId="10BBAB66" w14:textId="77777777" w:rsidR="00990328" w:rsidRPr="0091115A" w:rsidRDefault="00990328" w:rsidP="00EF1FFC">
      <w:pPr>
        <w:pStyle w:val="ListParagraph"/>
        <w:numPr>
          <w:ilvl w:val="0"/>
          <w:numId w:val="8"/>
        </w:numPr>
      </w:pPr>
      <w:r w:rsidRPr="0091115A">
        <w:t>Monitoring;</w:t>
      </w:r>
    </w:p>
    <w:p w14:paraId="0AAB3529" w14:textId="77777777" w:rsidR="00990328" w:rsidRPr="0091115A" w:rsidRDefault="00990328" w:rsidP="00EF1FFC">
      <w:pPr>
        <w:pStyle w:val="ListParagraph"/>
        <w:numPr>
          <w:ilvl w:val="0"/>
          <w:numId w:val="8"/>
        </w:numPr>
      </w:pPr>
      <w:r w:rsidRPr="0091115A">
        <w:t>Reporting, including certification;</w:t>
      </w:r>
    </w:p>
    <w:p w14:paraId="652315D9" w14:textId="3CCF4BE6" w:rsidR="00990328" w:rsidRPr="0091115A" w:rsidRDefault="00990328" w:rsidP="00EF1FFC">
      <w:pPr>
        <w:pStyle w:val="ListParagraph"/>
        <w:numPr>
          <w:ilvl w:val="0"/>
          <w:numId w:val="8"/>
        </w:numPr>
      </w:pPr>
      <w:r w:rsidRPr="0091115A">
        <w:t>Recordkeeping;</w:t>
      </w:r>
    </w:p>
    <w:p w14:paraId="0E0A0944" w14:textId="77777777" w:rsidR="00990328" w:rsidRPr="0091115A" w:rsidRDefault="00990328" w:rsidP="00EF1FFC">
      <w:pPr>
        <w:pStyle w:val="ListParagraph"/>
        <w:numPr>
          <w:ilvl w:val="0"/>
          <w:numId w:val="8"/>
        </w:numPr>
      </w:pPr>
      <w:r w:rsidRPr="0091115A">
        <w:t>Activities resulting from compliance assessments or enforcement actions; and</w:t>
      </w:r>
    </w:p>
    <w:p w14:paraId="32122A9B" w14:textId="54DAD665" w:rsidR="00990328" w:rsidRPr="0091115A" w:rsidRDefault="00990328" w:rsidP="00EF1FFC">
      <w:pPr>
        <w:pStyle w:val="ListParagraph"/>
        <w:numPr>
          <w:ilvl w:val="0"/>
          <w:numId w:val="8"/>
        </w:numPr>
      </w:pPr>
      <w:r w:rsidRPr="0091115A">
        <w:t>Activities resulting from NPDES program authorization, including modifications, transfer</w:t>
      </w:r>
      <w:r w:rsidR="00FF5B74">
        <w:t>,</w:t>
      </w:r>
      <w:r w:rsidRPr="0091115A">
        <w:t xml:space="preserve"> or withdrawal of authorization.</w:t>
      </w:r>
    </w:p>
    <w:p w14:paraId="5E06AF13" w14:textId="20ADBC25" w:rsidR="00D72AF4" w:rsidRDefault="00D72AF4" w:rsidP="00B101A0">
      <w:r w:rsidRPr="0091115A">
        <w:t xml:space="preserve">Although different </w:t>
      </w:r>
      <w:r w:rsidR="00F0476C">
        <w:t xml:space="preserve">types of </w:t>
      </w:r>
      <w:r w:rsidRPr="0091115A">
        <w:t>permittees submit widely differing information, this information can be categorized into two sets: identification information and information related to the facility’s discharges or practices.</w:t>
      </w:r>
      <w:r w:rsidR="00783A2E">
        <w:t xml:space="preserve"> Identification information is primarily colle</w:t>
      </w:r>
      <w:r w:rsidR="00770DDB">
        <w:t>cted through permit application forms</w:t>
      </w:r>
      <w:r w:rsidR="00783A2E">
        <w:t xml:space="preserve">, NOIs, certifications, and </w:t>
      </w:r>
      <w:r w:rsidR="00770DDB">
        <w:t>other application requirements. I</w:t>
      </w:r>
      <w:r w:rsidR="00770DDB" w:rsidRPr="00770DDB">
        <w:t>nformation related to the facility’s discharges or practices</w:t>
      </w:r>
      <w:r w:rsidR="00F253DA">
        <w:t xml:space="preserve"> is most often collected through discharge monitoring reports but can also be included with submissions of application information, plans and studies, certification requests, inspection results, and other reports. </w:t>
      </w:r>
    </w:p>
    <w:p w14:paraId="60EB209A" w14:textId="0AE0727A" w:rsidR="00AA5B72" w:rsidRPr="00AA5B72" w:rsidRDefault="00FF5B74" w:rsidP="00F0499E">
      <w:r>
        <w:rPr>
          <w:i/>
        </w:rPr>
        <w:t xml:space="preserve">Application </w:t>
      </w:r>
      <w:r w:rsidR="00770DDB">
        <w:rPr>
          <w:i/>
        </w:rPr>
        <w:t xml:space="preserve">and identification </w:t>
      </w:r>
      <w:r>
        <w:rPr>
          <w:i/>
        </w:rPr>
        <w:t>information.</w:t>
      </w:r>
      <w:r>
        <w:t xml:space="preserve"> </w:t>
      </w:r>
      <w:r w:rsidR="00D72AF4">
        <w:t xml:space="preserve">Permitting authorities collect and use </w:t>
      </w:r>
      <w:r w:rsidR="006F144E">
        <w:t xml:space="preserve">identification </w:t>
      </w:r>
      <w:r w:rsidR="00665E98">
        <w:t>information—</w:t>
      </w:r>
      <w:r w:rsidR="00D72AF4">
        <w:t>such as the name</w:t>
      </w:r>
      <w:r w:rsidR="00665E98">
        <w:t>s</w:t>
      </w:r>
      <w:r w:rsidR="00D72AF4">
        <w:t>, location</w:t>
      </w:r>
      <w:r w:rsidR="00665E98">
        <w:t>s</w:t>
      </w:r>
      <w:r w:rsidR="00D72AF4">
        <w:t>, and description</w:t>
      </w:r>
      <w:r w:rsidR="00665E98">
        <w:t>s</w:t>
      </w:r>
      <w:r w:rsidR="00D72AF4">
        <w:t xml:space="preserve"> of </w:t>
      </w:r>
      <w:r w:rsidR="00665E98">
        <w:t>facilities—</w:t>
      </w:r>
      <w:r w:rsidR="00D72AF4">
        <w:t xml:space="preserve">to uniquely identify each applicant seeking individual or general permit coverage and to establish a </w:t>
      </w:r>
      <w:r w:rsidR="00291C40">
        <w:t xml:space="preserve">point of </w:t>
      </w:r>
      <w:r w:rsidR="00D72AF4">
        <w:t>contact. This information varies in detail and scope according to the type of respondent.</w:t>
      </w:r>
      <w:r w:rsidR="001B3919">
        <w:t xml:space="preserve"> </w:t>
      </w:r>
      <w:r w:rsidR="00291C40">
        <w:t>D</w:t>
      </w:r>
      <w:r w:rsidR="001B3919" w:rsidRPr="005A1A1F">
        <w:t>ischarges vary in complexity and character</w:t>
      </w:r>
      <w:r w:rsidR="00291C40">
        <w:t xml:space="preserve">, indicating a need to collect a wide variety of information; however, </w:t>
      </w:r>
      <w:r w:rsidR="001B3919" w:rsidRPr="005A1A1F">
        <w:t xml:space="preserve">discharges and activities from </w:t>
      </w:r>
      <w:r w:rsidR="006F144E">
        <w:t xml:space="preserve">related </w:t>
      </w:r>
      <w:r w:rsidR="001B3919" w:rsidRPr="005A1A1F">
        <w:t>industry groups or treatment works are often similar</w:t>
      </w:r>
      <w:r w:rsidR="00291C40">
        <w:t>, allowing for common means of information collection.</w:t>
      </w:r>
      <w:r w:rsidR="001B3919" w:rsidRPr="005A1A1F">
        <w:t xml:space="preserve"> </w:t>
      </w:r>
      <w:r w:rsidR="00291C40">
        <w:t xml:space="preserve">As a result, </w:t>
      </w:r>
      <w:r w:rsidR="001B3919" w:rsidRPr="005A1A1F">
        <w:t xml:space="preserve">EPA has developed several different NPDES application forms. Table </w:t>
      </w:r>
      <w:r w:rsidR="00D850DA">
        <w:t>2.1</w:t>
      </w:r>
      <w:r w:rsidR="001B3919" w:rsidRPr="005A1A1F">
        <w:t xml:space="preserve"> lists the application forms and other application requirements and </w:t>
      </w:r>
      <w:r w:rsidR="0043004F">
        <w:t>the respondents to the request.</w:t>
      </w:r>
      <w:r w:rsidR="00AA5B72" w:rsidRPr="00AA5B72">
        <w:t xml:space="preserve"> Standardized application forms covered under this ICR include Forms 1, 2A, </w:t>
      </w:r>
      <w:r w:rsidR="00AA5B72">
        <w:t xml:space="preserve">2B, </w:t>
      </w:r>
      <w:r w:rsidR="00AA5B72" w:rsidRPr="00AA5B72">
        <w:t>2C, 2D, 2E, 2F, and 2S</w:t>
      </w:r>
      <w:r w:rsidR="00FE7026">
        <w:t xml:space="preserve"> </w:t>
      </w:r>
      <w:r w:rsidR="00AA5B72" w:rsidRPr="00AA5B72">
        <w:t>and the Uniform Federal Transportation/Utility System Application Form (</w:t>
      </w:r>
      <w:r w:rsidR="00FE7026">
        <w:t>s</w:t>
      </w:r>
      <w:r w:rsidR="00FE7026" w:rsidRPr="00AA5B72">
        <w:t xml:space="preserve">ee </w:t>
      </w:r>
      <w:r w:rsidR="00AA5B72" w:rsidRPr="00AA5B72">
        <w:t xml:space="preserve">Appendix </w:t>
      </w:r>
      <w:r w:rsidR="00654522">
        <w:t>G</w:t>
      </w:r>
      <w:r w:rsidR="00AA5B72" w:rsidRPr="00AA5B72">
        <w:t xml:space="preserve">). </w:t>
      </w:r>
    </w:p>
    <w:p w14:paraId="4B323B66" w14:textId="32DF970F" w:rsidR="004E651D" w:rsidRDefault="004E651D" w:rsidP="00871F94">
      <w:pPr>
        <w:pStyle w:val="Caption"/>
      </w:pPr>
      <w:r>
        <w:t>Table 2.1</w:t>
      </w:r>
      <w:r w:rsidRPr="004E651D">
        <w:t xml:space="preserve"> </w:t>
      </w:r>
      <w:r w:rsidRPr="005A1A1F">
        <w:t xml:space="preserve">Application </w:t>
      </w:r>
      <w:r w:rsidR="008443EA">
        <w:t>F</w:t>
      </w:r>
      <w:r w:rsidRPr="005A1A1F">
        <w:t xml:space="preserve">orms and </w:t>
      </w:r>
      <w:r w:rsidR="008443EA">
        <w:t>I</w:t>
      </w:r>
      <w:r w:rsidRPr="005A1A1F">
        <w:t xml:space="preserve">nformation </w:t>
      </w:r>
      <w:r w:rsidR="008443EA">
        <w:t>R</w:t>
      </w:r>
      <w:r w:rsidRPr="005A1A1F">
        <w:t>equests</w:t>
      </w:r>
      <w:r>
        <w:t xml:space="preserve">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32"/>
        <w:gridCol w:w="6120"/>
      </w:tblGrid>
      <w:tr w:rsidR="005B060B" w:rsidRPr="00F747CB" w14:paraId="56D2B6EE" w14:textId="77777777" w:rsidTr="00871F94">
        <w:trPr>
          <w:cantSplit/>
          <w:trHeight w:val="20"/>
          <w:tblHeader/>
        </w:trPr>
        <w:tc>
          <w:tcPr>
            <w:tcW w:w="3232" w:type="dxa"/>
            <w:shd w:val="clear" w:color="auto" w:fill="D9D9D9" w:themeFill="background1" w:themeFillShade="D9"/>
          </w:tcPr>
          <w:p w14:paraId="56C440A6" w14:textId="4CF6E737" w:rsidR="005B060B" w:rsidRPr="00F747CB" w:rsidRDefault="005B060B" w:rsidP="00EF1FFC">
            <w:pPr>
              <w:pStyle w:val="TableTitle"/>
              <w:keepNext w:val="0"/>
              <w:keepLines w:val="0"/>
            </w:pPr>
            <w:r w:rsidRPr="00F747CB">
              <w:t>Form/Request</w:t>
            </w:r>
          </w:p>
        </w:tc>
        <w:tc>
          <w:tcPr>
            <w:tcW w:w="6120" w:type="dxa"/>
            <w:shd w:val="clear" w:color="auto" w:fill="D9D9D9" w:themeFill="background1" w:themeFillShade="D9"/>
          </w:tcPr>
          <w:p w14:paraId="41F10828" w14:textId="5E95C85D" w:rsidR="005B060B" w:rsidRPr="00F747CB" w:rsidRDefault="005B060B" w:rsidP="00EF1FFC">
            <w:pPr>
              <w:pStyle w:val="TableTitle"/>
              <w:keepNext w:val="0"/>
              <w:keepLines w:val="0"/>
            </w:pPr>
            <w:r w:rsidRPr="00F747CB">
              <w:t xml:space="preserve">Respondent </w:t>
            </w:r>
            <w:r w:rsidR="008443EA" w:rsidRPr="00F747CB">
              <w:t>T</w:t>
            </w:r>
            <w:r w:rsidRPr="00F747CB">
              <w:t>ype</w:t>
            </w:r>
          </w:p>
        </w:tc>
      </w:tr>
      <w:tr w:rsidR="005B060B" w:rsidRPr="00F747CB" w14:paraId="1152BBFC" w14:textId="77777777" w:rsidTr="00871F94">
        <w:trPr>
          <w:cantSplit/>
          <w:trHeight w:val="20"/>
        </w:trPr>
        <w:tc>
          <w:tcPr>
            <w:tcW w:w="3232" w:type="dxa"/>
            <w:shd w:val="clear" w:color="auto" w:fill="auto"/>
          </w:tcPr>
          <w:p w14:paraId="6CC09E7A" w14:textId="4C94CCC4" w:rsidR="005B060B" w:rsidRPr="00F747CB" w:rsidRDefault="005B060B" w:rsidP="00EF1FFC">
            <w:pPr>
              <w:pStyle w:val="Tables"/>
            </w:pPr>
            <w:r w:rsidRPr="00F747CB">
              <w:t>Form 1</w:t>
            </w:r>
            <w:r w:rsidR="005F44FC" w:rsidRPr="001016C9">
              <w:rPr>
                <w:vertAlign w:val="superscript"/>
              </w:rPr>
              <w:t>a</w:t>
            </w:r>
          </w:p>
        </w:tc>
        <w:tc>
          <w:tcPr>
            <w:tcW w:w="6120" w:type="dxa"/>
            <w:shd w:val="clear" w:color="auto" w:fill="auto"/>
          </w:tcPr>
          <w:p w14:paraId="348C9C3E" w14:textId="793743FC" w:rsidR="005B060B" w:rsidRPr="001016C9" w:rsidRDefault="005B060B" w:rsidP="00EF1FFC">
            <w:pPr>
              <w:pStyle w:val="Tables"/>
            </w:pPr>
            <w:r w:rsidRPr="00F747CB">
              <w:t xml:space="preserve">Nonmunicipal NPDES applicants not covered under </w:t>
            </w:r>
            <w:r w:rsidR="00291C40" w:rsidRPr="00F747CB">
              <w:t>F</w:t>
            </w:r>
            <w:r w:rsidRPr="001016C9">
              <w:t>orm 2B</w:t>
            </w:r>
          </w:p>
        </w:tc>
      </w:tr>
      <w:tr w:rsidR="005B060B" w:rsidRPr="00F747CB" w14:paraId="7725BE43" w14:textId="77777777" w:rsidTr="00871F94">
        <w:trPr>
          <w:cantSplit/>
          <w:trHeight w:val="20"/>
        </w:trPr>
        <w:tc>
          <w:tcPr>
            <w:tcW w:w="3232" w:type="dxa"/>
            <w:shd w:val="clear" w:color="auto" w:fill="auto"/>
          </w:tcPr>
          <w:p w14:paraId="2E0274A3" w14:textId="396A46BA" w:rsidR="005B060B" w:rsidRPr="00F747CB" w:rsidRDefault="005B060B" w:rsidP="00EF1FFC">
            <w:pPr>
              <w:pStyle w:val="Tables"/>
            </w:pPr>
            <w:r w:rsidRPr="00F747CB">
              <w:t>Form 2A</w:t>
            </w:r>
            <w:r w:rsidR="005F44FC" w:rsidRPr="00F747CB">
              <w:rPr>
                <w:vertAlign w:val="superscript"/>
              </w:rPr>
              <w:t>a</w:t>
            </w:r>
          </w:p>
        </w:tc>
        <w:tc>
          <w:tcPr>
            <w:tcW w:w="6120" w:type="dxa"/>
            <w:shd w:val="clear" w:color="auto" w:fill="auto"/>
          </w:tcPr>
          <w:p w14:paraId="2F414CA2" w14:textId="033FC561" w:rsidR="005B060B" w:rsidRPr="00F747CB" w:rsidRDefault="005B060B" w:rsidP="00EF1FFC">
            <w:pPr>
              <w:pStyle w:val="Tables"/>
            </w:pPr>
            <w:r w:rsidRPr="00F747CB">
              <w:t xml:space="preserve">All POTWs </w:t>
            </w:r>
          </w:p>
        </w:tc>
      </w:tr>
      <w:tr w:rsidR="005B060B" w:rsidRPr="00F747CB" w14:paraId="3C7CA743" w14:textId="77777777" w:rsidTr="00871F94">
        <w:trPr>
          <w:cantSplit/>
          <w:trHeight w:val="20"/>
        </w:trPr>
        <w:tc>
          <w:tcPr>
            <w:tcW w:w="3232" w:type="dxa"/>
            <w:shd w:val="clear" w:color="auto" w:fill="auto"/>
          </w:tcPr>
          <w:p w14:paraId="7E010141" w14:textId="77777777" w:rsidR="005B060B" w:rsidRPr="00F747CB" w:rsidRDefault="005B060B" w:rsidP="00EF1FFC">
            <w:pPr>
              <w:pStyle w:val="Tables"/>
            </w:pPr>
            <w:r w:rsidRPr="00F747CB">
              <w:t>Additional NPDES Application Requirements for Municipal Dischargers (Section 308 Request)</w:t>
            </w:r>
          </w:p>
        </w:tc>
        <w:tc>
          <w:tcPr>
            <w:tcW w:w="6120" w:type="dxa"/>
            <w:shd w:val="clear" w:color="auto" w:fill="auto"/>
          </w:tcPr>
          <w:p w14:paraId="079A10A1" w14:textId="1991ED03" w:rsidR="005B060B" w:rsidRPr="00F747CB" w:rsidRDefault="005B060B" w:rsidP="00EF1FFC">
            <w:pPr>
              <w:pStyle w:val="Tables"/>
            </w:pPr>
            <w:r w:rsidRPr="00F747CB">
              <w:t>Municipal facilities (i.e., POTWs)</w:t>
            </w:r>
          </w:p>
        </w:tc>
      </w:tr>
      <w:tr w:rsidR="00CF37E4" w:rsidRPr="00F747CB" w14:paraId="4F4FFF1F" w14:textId="77777777" w:rsidTr="00871F94">
        <w:trPr>
          <w:cantSplit/>
          <w:trHeight w:val="20"/>
        </w:trPr>
        <w:tc>
          <w:tcPr>
            <w:tcW w:w="3232" w:type="dxa"/>
            <w:shd w:val="clear" w:color="auto" w:fill="auto"/>
          </w:tcPr>
          <w:p w14:paraId="1B74938E" w14:textId="4E3F895A" w:rsidR="00CF37E4" w:rsidRPr="00F747CB" w:rsidRDefault="00CF37E4" w:rsidP="00EF1FFC">
            <w:pPr>
              <w:pStyle w:val="Tables"/>
            </w:pPr>
            <w:r w:rsidRPr="00F747CB">
              <w:t>Additional NPDES Application Requirements for Nonmunicipal Dischargers (Section 308 Requests)</w:t>
            </w:r>
          </w:p>
        </w:tc>
        <w:tc>
          <w:tcPr>
            <w:tcW w:w="6120" w:type="dxa"/>
            <w:shd w:val="clear" w:color="auto" w:fill="auto"/>
          </w:tcPr>
          <w:p w14:paraId="624D6CB3" w14:textId="76853289" w:rsidR="00CF37E4" w:rsidRPr="00F747CB" w:rsidRDefault="00CF37E4" w:rsidP="00EF1FFC">
            <w:pPr>
              <w:pStyle w:val="Tables"/>
            </w:pPr>
            <w:r w:rsidRPr="00F747CB">
              <w:t>Nonmunicipal facilities</w:t>
            </w:r>
          </w:p>
        </w:tc>
      </w:tr>
      <w:tr w:rsidR="00CF37E4" w:rsidRPr="00F747CB" w14:paraId="2E683059" w14:textId="77777777" w:rsidTr="00871F94">
        <w:trPr>
          <w:cantSplit/>
          <w:trHeight w:val="20"/>
        </w:trPr>
        <w:tc>
          <w:tcPr>
            <w:tcW w:w="3232" w:type="dxa"/>
            <w:shd w:val="clear" w:color="auto" w:fill="auto"/>
          </w:tcPr>
          <w:p w14:paraId="152986B7" w14:textId="048A16A0" w:rsidR="00CF37E4" w:rsidRPr="00F747CB" w:rsidRDefault="00CF37E4" w:rsidP="00EF1FFC">
            <w:pPr>
              <w:pStyle w:val="Tables"/>
            </w:pPr>
            <w:r w:rsidRPr="00F747CB">
              <w:t>Form 2B</w:t>
            </w:r>
            <w:r w:rsidR="005F44FC" w:rsidRPr="00F747CB">
              <w:rPr>
                <w:vertAlign w:val="superscript"/>
              </w:rPr>
              <w:t>a</w:t>
            </w:r>
          </w:p>
        </w:tc>
        <w:tc>
          <w:tcPr>
            <w:tcW w:w="6120" w:type="dxa"/>
            <w:shd w:val="clear" w:color="auto" w:fill="auto"/>
          </w:tcPr>
          <w:p w14:paraId="7521D7FE" w14:textId="58380D90" w:rsidR="00CF37E4" w:rsidRPr="00F747CB" w:rsidRDefault="00CF37E4" w:rsidP="00EF1FFC">
            <w:pPr>
              <w:pStyle w:val="Tables"/>
            </w:pPr>
            <w:r w:rsidRPr="00F747CB">
              <w:t xml:space="preserve">CAFOs and CAAP facilities </w:t>
            </w:r>
          </w:p>
        </w:tc>
      </w:tr>
      <w:tr w:rsidR="00CF37E4" w:rsidRPr="00F747CB" w14:paraId="041BC251" w14:textId="77777777" w:rsidTr="00871F94">
        <w:trPr>
          <w:cantSplit/>
          <w:trHeight w:val="20"/>
        </w:trPr>
        <w:tc>
          <w:tcPr>
            <w:tcW w:w="3232" w:type="dxa"/>
            <w:shd w:val="clear" w:color="auto" w:fill="auto"/>
          </w:tcPr>
          <w:p w14:paraId="6E139095" w14:textId="4A8F16C1" w:rsidR="00CF37E4" w:rsidRPr="00F747CB" w:rsidRDefault="00CF37E4" w:rsidP="00EF1FFC">
            <w:pPr>
              <w:pStyle w:val="Tables"/>
            </w:pPr>
            <w:r w:rsidRPr="00F747CB">
              <w:t>Form 2C</w:t>
            </w:r>
            <w:r w:rsidR="005F44FC" w:rsidRPr="00F747CB">
              <w:rPr>
                <w:vertAlign w:val="superscript"/>
              </w:rPr>
              <w:t>a</w:t>
            </w:r>
          </w:p>
        </w:tc>
        <w:tc>
          <w:tcPr>
            <w:tcW w:w="6120" w:type="dxa"/>
            <w:shd w:val="clear" w:color="auto" w:fill="auto"/>
          </w:tcPr>
          <w:p w14:paraId="7F9EA48D" w14:textId="54D7CE7C" w:rsidR="00CF37E4" w:rsidRPr="00F747CB" w:rsidRDefault="00CF37E4" w:rsidP="00EF1FFC">
            <w:pPr>
              <w:pStyle w:val="Tables"/>
            </w:pPr>
            <w:r w:rsidRPr="00F747CB">
              <w:t>Existing manufacturing, commercial, mining, and silvicultural operations that discharge process wastewater</w:t>
            </w:r>
          </w:p>
        </w:tc>
      </w:tr>
      <w:tr w:rsidR="00CF37E4" w:rsidRPr="00F747CB" w14:paraId="5AD83B7F" w14:textId="77777777" w:rsidTr="00871F94">
        <w:trPr>
          <w:cantSplit/>
          <w:trHeight w:val="20"/>
        </w:trPr>
        <w:tc>
          <w:tcPr>
            <w:tcW w:w="3232" w:type="dxa"/>
            <w:shd w:val="clear" w:color="auto" w:fill="auto"/>
          </w:tcPr>
          <w:p w14:paraId="37FA521A" w14:textId="4F8BFF38" w:rsidR="00CF37E4" w:rsidRPr="00F747CB" w:rsidRDefault="00CF37E4" w:rsidP="00EF1FFC">
            <w:pPr>
              <w:pStyle w:val="Tables"/>
            </w:pPr>
            <w:r w:rsidRPr="00F747CB">
              <w:t>Form 2D</w:t>
            </w:r>
            <w:r w:rsidR="005F44FC" w:rsidRPr="00F747CB">
              <w:rPr>
                <w:vertAlign w:val="superscript"/>
              </w:rPr>
              <w:t>a</w:t>
            </w:r>
          </w:p>
        </w:tc>
        <w:tc>
          <w:tcPr>
            <w:tcW w:w="6120" w:type="dxa"/>
            <w:shd w:val="clear" w:color="auto" w:fill="auto"/>
          </w:tcPr>
          <w:p w14:paraId="192C7D86" w14:textId="41049AB1" w:rsidR="00CF37E4" w:rsidRPr="00F747CB" w:rsidRDefault="00CF37E4" w:rsidP="00EF1FFC">
            <w:pPr>
              <w:pStyle w:val="Tables"/>
            </w:pPr>
            <w:r w:rsidRPr="00F747CB">
              <w:t>New manufacturing and commercial facilities that discharge process wastewater</w:t>
            </w:r>
          </w:p>
        </w:tc>
      </w:tr>
      <w:tr w:rsidR="00CF37E4" w:rsidRPr="00F747CB" w14:paraId="75D7EA77" w14:textId="77777777" w:rsidTr="00871F94">
        <w:trPr>
          <w:cantSplit/>
          <w:trHeight w:val="20"/>
        </w:trPr>
        <w:tc>
          <w:tcPr>
            <w:tcW w:w="3232" w:type="dxa"/>
            <w:shd w:val="clear" w:color="auto" w:fill="auto"/>
          </w:tcPr>
          <w:p w14:paraId="524FA146" w14:textId="6EA88BC2" w:rsidR="00CF37E4" w:rsidRPr="00F747CB" w:rsidRDefault="00CF37E4" w:rsidP="00EF1FFC">
            <w:pPr>
              <w:pStyle w:val="Tables"/>
            </w:pPr>
            <w:r w:rsidRPr="00F747CB">
              <w:t>Form 2E</w:t>
            </w:r>
            <w:r w:rsidR="005F44FC" w:rsidRPr="00F747CB">
              <w:rPr>
                <w:vertAlign w:val="superscript"/>
              </w:rPr>
              <w:t>a</w:t>
            </w:r>
            <w:r w:rsidR="005F44FC" w:rsidRPr="00F747CB" w:rsidDel="005F44FC">
              <w:t xml:space="preserve"> </w:t>
            </w:r>
          </w:p>
        </w:tc>
        <w:tc>
          <w:tcPr>
            <w:tcW w:w="6120" w:type="dxa"/>
            <w:shd w:val="clear" w:color="auto" w:fill="auto"/>
          </w:tcPr>
          <w:p w14:paraId="53EAE820" w14:textId="71855562" w:rsidR="00CF37E4" w:rsidRPr="00F747CB" w:rsidRDefault="00CF37E4" w:rsidP="00EF1FFC">
            <w:pPr>
              <w:pStyle w:val="Tables"/>
            </w:pPr>
            <w:r w:rsidRPr="00F747CB">
              <w:t>New or existing nonmunicipal facilities that discharge only non-process wastewater</w:t>
            </w:r>
          </w:p>
        </w:tc>
      </w:tr>
      <w:tr w:rsidR="00CF37E4" w:rsidRPr="00F747CB" w14:paraId="1E180EA2" w14:textId="77777777" w:rsidTr="00871F94">
        <w:trPr>
          <w:cantSplit/>
          <w:trHeight w:val="20"/>
        </w:trPr>
        <w:tc>
          <w:tcPr>
            <w:tcW w:w="3232" w:type="dxa"/>
            <w:shd w:val="clear" w:color="auto" w:fill="auto"/>
          </w:tcPr>
          <w:p w14:paraId="774AC513" w14:textId="0022A6A6" w:rsidR="00CF37E4" w:rsidRPr="00F747CB" w:rsidRDefault="00CF37E4" w:rsidP="00EF1FFC">
            <w:pPr>
              <w:pStyle w:val="Tables"/>
            </w:pPr>
            <w:r w:rsidRPr="00F747CB">
              <w:t>Form 2F</w:t>
            </w:r>
            <w:r w:rsidR="005F44FC" w:rsidRPr="00F747CB">
              <w:rPr>
                <w:vertAlign w:val="superscript"/>
              </w:rPr>
              <w:t>a</w:t>
            </w:r>
          </w:p>
        </w:tc>
        <w:tc>
          <w:tcPr>
            <w:tcW w:w="6120" w:type="dxa"/>
            <w:shd w:val="clear" w:color="auto" w:fill="auto"/>
          </w:tcPr>
          <w:p w14:paraId="0A774ED6" w14:textId="2BBAF0AF" w:rsidR="00CF37E4" w:rsidRPr="00F747CB" w:rsidRDefault="00CF37E4" w:rsidP="00EF1FFC">
            <w:pPr>
              <w:pStyle w:val="Tables"/>
            </w:pPr>
            <w:r w:rsidRPr="00F747CB">
              <w:t xml:space="preserve">Industrial stormwater dischargers applying for an individual permit </w:t>
            </w:r>
          </w:p>
        </w:tc>
      </w:tr>
      <w:tr w:rsidR="00CF37E4" w:rsidRPr="00F747CB" w14:paraId="26FCE1A2" w14:textId="77777777" w:rsidTr="00871F94">
        <w:trPr>
          <w:cantSplit/>
          <w:trHeight w:val="20"/>
        </w:trPr>
        <w:tc>
          <w:tcPr>
            <w:tcW w:w="3232" w:type="dxa"/>
            <w:shd w:val="clear" w:color="auto" w:fill="auto"/>
          </w:tcPr>
          <w:p w14:paraId="1BF61ABF" w14:textId="31F37C63" w:rsidR="00CF37E4" w:rsidRPr="00F747CB" w:rsidRDefault="00CF37E4" w:rsidP="00EF1FFC">
            <w:pPr>
              <w:pStyle w:val="Tables"/>
            </w:pPr>
            <w:r w:rsidRPr="00F747CB">
              <w:t>Form 2S</w:t>
            </w:r>
            <w:r w:rsidR="005F44FC" w:rsidRPr="00F747CB">
              <w:rPr>
                <w:vertAlign w:val="superscript"/>
              </w:rPr>
              <w:t>a</w:t>
            </w:r>
          </w:p>
        </w:tc>
        <w:tc>
          <w:tcPr>
            <w:tcW w:w="6120" w:type="dxa"/>
            <w:shd w:val="clear" w:color="auto" w:fill="auto"/>
          </w:tcPr>
          <w:p w14:paraId="4B6CC636" w14:textId="4CED61E1" w:rsidR="00CF37E4" w:rsidRPr="00F747CB" w:rsidRDefault="00CF37E4" w:rsidP="00EF1FFC">
            <w:pPr>
              <w:pStyle w:val="Tables"/>
            </w:pPr>
            <w:r w:rsidRPr="00F747CB">
              <w:t>POTWs and other treatment works treating domestic sewage (covers sludge)</w:t>
            </w:r>
          </w:p>
        </w:tc>
      </w:tr>
      <w:tr w:rsidR="00CF37E4" w:rsidRPr="00F747CB" w14:paraId="30C516C4" w14:textId="77777777" w:rsidTr="00871F94">
        <w:trPr>
          <w:cantSplit/>
          <w:trHeight w:val="20"/>
        </w:trPr>
        <w:tc>
          <w:tcPr>
            <w:tcW w:w="3232" w:type="dxa"/>
            <w:shd w:val="clear" w:color="auto" w:fill="auto"/>
          </w:tcPr>
          <w:p w14:paraId="4E68B96D" w14:textId="64B600E1" w:rsidR="00CF37E4" w:rsidRPr="00F747CB" w:rsidRDefault="00CF37E4" w:rsidP="00EF1FFC">
            <w:pPr>
              <w:pStyle w:val="Tables"/>
            </w:pPr>
            <w:r w:rsidRPr="00F747CB">
              <w:t>NOI</w:t>
            </w:r>
            <w:r w:rsidR="00BB2406" w:rsidRPr="00F747CB">
              <w:t>—</w:t>
            </w:r>
            <w:r w:rsidRPr="00F747CB">
              <w:t>Industrial Activity (NOI</w:t>
            </w:r>
            <w:r w:rsidR="00BB2406" w:rsidRPr="00F747CB">
              <w:t>—</w:t>
            </w:r>
            <w:r w:rsidRPr="00F5420D">
              <w:t>Stormwater)</w:t>
            </w:r>
          </w:p>
        </w:tc>
        <w:tc>
          <w:tcPr>
            <w:tcW w:w="6120" w:type="dxa"/>
            <w:shd w:val="clear" w:color="auto" w:fill="auto"/>
          </w:tcPr>
          <w:p w14:paraId="229E5F92" w14:textId="6C7A5D87" w:rsidR="00CF37E4" w:rsidRPr="00F747CB" w:rsidRDefault="00CF37E4" w:rsidP="00EF1FFC">
            <w:pPr>
              <w:pStyle w:val="Tables"/>
            </w:pPr>
            <w:r w:rsidRPr="00F747CB">
              <w:t xml:space="preserve">Industrial stormwater dischargers applying for </w:t>
            </w:r>
            <w:r w:rsidR="002030E4" w:rsidRPr="00F747CB">
              <w:t>the</w:t>
            </w:r>
            <w:r w:rsidRPr="00F747CB">
              <w:t xml:space="preserve"> Multi-Sector General Permit (MSGP)</w:t>
            </w:r>
          </w:p>
        </w:tc>
      </w:tr>
      <w:tr w:rsidR="00CF37E4" w:rsidRPr="00F747CB" w14:paraId="3536AF27" w14:textId="77777777" w:rsidTr="00871F94">
        <w:trPr>
          <w:cantSplit/>
          <w:trHeight w:val="20"/>
        </w:trPr>
        <w:tc>
          <w:tcPr>
            <w:tcW w:w="3232" w:type="dxa"/>
            <w:shd w:val="clear" w:color="auto" w:fill="auto"/>
          </w:tcPr>
          <w:p w14:paraId="140735EC" w14:textId="4E810235" w:rsidR="00CF37E4" w:rsidRPr="00F747CB" w:rsidRDefault="00CF37E4" w:rsidP="00EF1FFC">
            <w:pPr>
              <w:pStyle w:val="Tables"/>
            </w:pPr>
            <w:r w:rsidRPr="00F747CB">
              <w:t xml:space="preserve">Application for Transportation and Utility Systems and Facilities </w:t>
            </w:r>
            <w:r w:rsidR="00BB2406" w:rsidRPr="00F747CB">
              <w:t xml:space="preserve">on </w:t>
            </w:r>
            <w:r w:rsidRPr="00F747CB">
              <w:t>Federal Lands (Alaskan Lands Application)</w:t>
            </w:r>
            <w:r w:rsidR="005F44FC" w:rsidRPr="00F747CB">
              <w:rPr>
                <w:vertAlign w:val="superscript"/>
              </w:rPr>
              <w:t>a</w:t>
            </w:r>
          </w:p>
        </w:tc>
        <w:tc>
          <w:tcPr>
            <w:tcW w:w="6120" w:type="dxa"/>
            <w:shd w:val="clear" w:color="auto" w:fill="auto"/>
          </w:tcPr>
          <w:p w14:paraId="73AC549B" w14:textId="525DB67D" w:rsidR="00CF37E4" w:rsidRPr="00F747CB" w:rsidRDefault="00CF37E4" w:rsidP="00EF1FFC">
            <w:pPr>
              <w:pStyle w:val="Tables"/>
            </w:pPr>
            <w:r w:rsidRPr="00F747CB">
              <w:t>Builders and operators of transportation and utility projects on Alaskan public lands (substitutes for Forms 1, 2B, and 2C)</w:t>
            </w:r>
          </w:p>
        </w:tc>
      </w:tr>
      <w:tr w:rsidR="00CF37E4" w:rsidRPr="00F747CB" w14:paraId="077EE660" w14:textId="77777777" w:rsidTr="00871F94">
        <w:trPr>
          <w:cantSplit/>
          <w:trHeight w:val="20"/>
        </w:trPr>
        <w:tc>
          <w:tcPr>
            <w:tcW w:w="3232" w:type="dxa"/>
            <w:shd w:val="clear" w:color="auto" w:fill="auto"/>
          </w:tcPr>
          <w:p w14:paraId="0DEA33ED" w14:textId="370990B3" w:rsidR="00CF37E4" w:rsidRPr="00F747CB" w:rsidRDefault="00CF37E4" w:rsidP="00EF1FFC">
            <w:pPr>
              <w:pStyle w:val="Tables"/>
            </w:pPr>
            <w:r w:rsidRPr="00F747CB">
              <w:t xml:space="preserve">Application for Phase I </w:t>
            </w:r>
            <w:r w:rsidR="002030E4" w:rsidRPr="00F747CB">
              <w:t>Municipal Separate Storm Sewer Systems (</w:t>
            </w:r>
            <w:r w:rsidRPr="00F747CB">
              <w:t>MS4s</w:t>
            </w:r>
            <w:r w:rsidR="002030E4" w:rsidRPr="00F747CB">
              <w:t>)</w:t>
            </w:r>
          </w:p>
        </w:tc>
        <w:tc>
          <w:tcPr>
            <w:tcW w:w="6120" w:type="dxa"/>
            <w:shd w:val="clear" w:color="auto" w:fill="auto"/>
          </w:tcPr>
          <w:p w14:paraId="6CD6CCE2" w14:textId="491E4140" w:rsidR="00CF37E4" w:rsidRPr="00F747CB" w:rsidRDefault="00CF37E4" w:rsidP="00EF1FFC">
            <w:pPr>
              <w:pStyle w:val="Tables"/>
            </w:pPr>
            <w:r w:rsidRPr="00F747CB">
              <w:t>Phase I MS4s</w:t>
            </w:r>
          </w:p>
        </w:tc>
      </w:tr>
      <w:tr w:rsidR="00CF37E4" w:rsidRPr="00F747CB" w14:paraId="267A2315" w14:textId="77777777" w:rsidTr="00871F94">
        <w:trPr>
          <w:cantSplit/>
          <w:trHeight w:val="20"/>
        </w:trPr>
        <w:tc>
          <w:tcPr>
            <w:tcW w:w="3232" w:type="dxa"/>
            <w:shd w:val="clear" w:color="auto" w:fill="auto"/>
          </w:tcPr>
          <w:p w14:paraId="2A58B67C" w14:textId="26D5AE76" w:rsidR="00CF37E4" w:rsidRPr="00F747CB" w:rsidRDefault="00CF37E4" w:rsidP="00EF1FFC">
            <w:pPr>
              <w:pStyle w:val="Tables"/>
            </w:pPr>
            <w:r w:rsidRPr="00F747CB">
              <w:t xml:space="preserve">Petitions for </w:t>
            </w:r>
            <w:r w:rsidR="00A45610" w:rsidRPr="00F747CB">
              <w:t xml:space="preserve">Stormwater </w:t>
            </w:r>
            <w:r w:rsidRPr="00F747CB">
              <w:t>Individual Permit</w:t>
            </w:r>
            <w:r w:rsidR="00A45610" w:rsidRPr="00F747CB">
              <w:t xml:space="preserve"> Coverage</w:t>
            </w:r>
            <w:r w:rsidRPr="00F747CB">
              <w:t xml:space="preserve"> </w:t>
            </w:r>
          </w:p>
        </w:tc>
        <w:tc>
          <w:tcPr>
            <w:tcW w:w="6120" w:type="dxa"/>
            <w:shd w:val="clear" w:color="auto" w:fill="auto"/>
          </w:tcPr>
          <w:p w14:paraId="285D8312" w14:textId="5D774A7B" w:rsidR="00CF37E4" w:rsidRPr="00F5420D" w:rsidRDefault="00CF37E4" w:rsidP="00EF1FFC">
            <w:pPr>
              <w:pStyle w:val="Tables"/>
            </w:pPr>
            <w:r w:rsidRPr="00F747CB">
              <w:t>Small MS4 operators or any person</w:t>
            </w:r>
            <w:r w:rsidR="00F94CD1" w:rsidRPr="00F747CB">
              <w:t xml:space="preserve"> request</w:t>
            </w:r>
            <w:r w:rsidR="008443EA" w:rsidRPr="00F747CB">
              <w:t>ing that</w:t>
            </w:r>
            <w:r w:rsidR="00F94CD1" w:rsidRPr="00F747CB">
              <w:t xml:space="preserve"> a</w:t>
            </w:r>
            <w:r w:rsidR="00A45610" w:rsidRPr="00F5420D">
              <w:t>n industrial</w:t>
            </w:r>
            <w:r w:rsidR="00F94CD1" w:rsidRPr="00F5420D">
              <w:t xml:space="preserve"> facility </w:t>
            </w:r>
            <w:r w:rsidR="00A45610" w:rsidRPr="00F5420D">
              <w:t>discharging through an MS4 to obtain coverage</w:t>
            </w:r>
            <w:r w:rsidR="00F94CD1" w:rsidRPr="00F5420D">
              <w:t xml:space="preserve"> under an individual permit</w:t>
            </w:r>
          </w:p>
        </w:tc>
      </w:tr>
      <w:tr w:rsidR="00A53F5D" w:rsidRPr="00F747CB" w14:paraId="6861CD58" w14:textId="77777777" w:rsidTr="00871F94">
        <w:trPr>
          <w:cantSplit/>
          <w:trHeight w:val="20"/>
        </w:trPr>
        <w:tc>
          <w:tcPr>
            <w:tcW w:w="3232" w:type="dxa"/>
            <w:shd w:val="clear" w:color="auto" w:fill="auto"/>
          </w:tcPr>
          <w:p w14:paraId="581A6066" w14:textId="7B7C58C2" w:rsidR="00A53F5D" w:rsidRPr="00F747CB" w:rsidDel="00114E70" w:rsidRDefault="00A53F5D" w:rsidP="00EF1FFC">
            <w:pPr>
              <w:pStyle w:val="Tables"/>
            </w:pPr>
            <w:r w:rsidRPr="00F747CB">
              <w:t>NOI</w:t>
            </w:r>
            <w:r w:rsidR="00BB2406" w:rsidRPr="00F747CB">
              <w:t>—</w:t>
            </w:r>
            <w:r w:rsidR="005D1CDE" w:rsidRPr="00F747CB">
              <w:t>State General Permits</w:t>
            </w:r>
          </w:p>
        </w:tc>
        <w:tc>
          <w:tcPr>
            <w:tcW w:w="6120" w:type="dxa"/>
            <w:shd w:val="clear" w:color="auto" w:fill="auto"/>
          </w:tcPr>
          <w:p w14:paraId="06F10BE4" w14:textId="1BAE8411" w:rsidR="00A53F5D" w:rsidRPr="00F5420D" w:rsidRDefault="008443EA" w:rsidP="00EF1FFC">
            <w:pPr>
              <w:pStyle w:val="Tables"/>
            </w:pPr>
            <w:r w:rsidRPr="00F747CB">
              <w:t>F</w:t>
            </w:r>
            <w:r w:rsidR="00DD6C0D" w:rsidRPr="00F747CB">
              <w:t>acility owners/operators applying under various state</w:t>
            </w:r>
            <w:r w:rsidR="00D83786" w:rsidRPr="00F747CB">
              <w:t>- or Regionally-issued</w:t>
            </w:r>
            <w:r w:rsidR="00DD6C0D" w:rsidRPr="00F5420D">
              <w:t xml:space="preserve"> general permits (e.g., CAFOs, CAAPs) </w:t>
            </w:r>
          </w:p>
        </w:tc>
      </w:tr>
      <w:tr w:rsidR="00CF37E4" w:rsidRPr="00F747CB" w14:paraId="29F573AF" w14:textId="77777777" w:rsidTr="00871F94">
        <w:trPr>
          <w:cantSplit/>
          <w:trHeight w:val="20"/>
        </w:trPr>
        <w:tc>
          <w:tcPr>
            <w:tcW w:w="3232" w:type="dxa"/>
            <w:shd w:val="clear" w:color="auto" w:fill="auto"/>
          </w:tcPr>
          <w:p w14:paraId="36A0926E" w14:textId="4EC3E11B" w:rsidR="00CF37E4" w:rsidRPr="00F5420D" w:rsidRDefault="00114E70" w:rsidP="00EF1FFC">
            <w:pPr>
              <w:pStyle w:val="Tables"/>
              <w:rPr>
                <w:lang w:val="es-US"/>
              </w:rPr>
            </w:pPr>
            <w:r w:rsidRPr="00F5420D">
              <w:rPr>
                <w:lang w:val="es-US"/>
              </w:rPr>
              <w:t>NOI</w:t>
            </w:r>
            <w:r w:rsidR="00BB2406" w:rsidRPr="00F747CB">
              <w:rPr>
                <w:lang w:val="es-US"/>
              </w:rPr>
              <w:t>—</w:t>
            </w:r>
            <w:r w:rsidR="005D1CDE" w:rsidRPr="00F5420D">
              <w:rPr>
                <w:lang w:val="es-US"/>
              </w:rPr>
              <w:t>Pesticide General Permit</w:t>
            </w:r>
            <w:r w:rsidR="005E0FCB" w:rsidRPr="00F5420D">
              <w:rPr>
                <w:lang w:val="es-US"/>
              </w:rPr>
              <w:t xml:space="preserve"> (PGP</w:t>
            </w:r>
            <w:r w:rsidR="003A7401" w:rsidRPr="00F5420D">
              <w:rPr>
                <w:lang w:val="es-US"/>
              </w:rPr>
              <w:t>)</w:t>
            </w:r>
            <w:r w:rsidR="005F44FC" w:rsidRPr="00F5420D">
              <w:rPr>
                <w:vertAlign w:val="superscript"/>
                <w:lang w:val="es-US"/>
              </w:rPr>
              <w:t>a</w:t>
            </w:r>
          </w:p>
        </w:tc>
        <w:tc>
          <w:tcPr>
            <w:tcW w:w="6120" w:type="dxa"/>
            <w:shd w:val="clear" w:color="auto" w:fill="auto"/>
          </w:tcPr>
          <w:p w14:paraId="491E4979" w14:textId="4F7F62A7" w:rsidR="00CF37E4" w:rsidRPr="00F747CB" w:rsidRDefault="00EB6335" w:rsidP="00EF1FFC">
            <w:pPr>
              <w:pStyle w:val="Tables"/>
            </w:pPr>
            <w:r w:rsidRPr="00F747CB">
              <w:t>C</w:t>
            </w:r>
            <w:r w:rsidR="00CF37E4" w:rsidRPr="00F747CB">
              <w:t>ertain pesticide applicators applying under the PGP</w:t>
            </w:r>
            <w:r w:rsidR="00CF37E4" w:rsidRPr="00F5420D">
              <w:t xml:space="preserve"> </w:t>
            </w:r>
          </w:p>
        </w:tc>
      </w:tr>
      <w:tr w:rsidR="005D1CDE" w:rsidRPr="00F747CB" w14:paraId="71EB8928" w14:textId="77777777" w:rsidTr="00871F94">
        <w:trPr>
          <w:cantSplit/>
          <w:trHeight w:val="20"/>
        </w:trPr>
        <w:tc>
          <w:tcPr>
            <w:tcW w:w="3232" w:type="dxa"/>
            <w:shd w:val="clear" w:color="auto" w:fill="auto"/>
          </w:tcPr>
          <w:p w14:paraId="6F131D75" w14:textId="7CC5D062" w:rsidR="005D1CDE" w:rsidRPr="00F747CB" w:rsidDel="00114E70" w:rsidRDefault="005D1CDE" w:rsidP="00EF1FFC">
            <w:pPr>
              <w:pStyle w:val="Tables"/>
            </w:pPr>
            <w:r w:rsidRPr="00F747CB">
              <w:t>NOI</w:t>
            </w:r>
            <w:r w:rsidR="00BB2406" w:rsidRPr="00F747CB">
              <w:t>—</w:t>
            </w:r>
            <w:r w:rsidRPr="00F747CB">
              <w:t>Vessels General Permit</w:t>
            </w:r>
            <w:r w:rsidR="005E0FCB" w:rsidRPr="00F747CB">
              <w:t xml:space="preserve"> (VGP)</w:t>
            </w:r>
            <w:r w:rsidR="005F44FC" w:rsidRPr="00F747CB">
              <w:rPr>
                <w:vertAlign w:val="superscript"/>
              </w:rPr>
              <w:t>a</w:t>
            </w:r>
          </w:p>
        </w:tc>
        <w:tc>
          <w:tcPr>
            <w:tcW w:w="6120" w:type="dxa"/>
            <w:shd w:val="clear" w:color="auto" w:fill="auto"/>
          </w:tcPr>
          <w:p w14:paraId="4B5E0B7D" w14:textId="0EBD4D28" w:rsidR="005D1CDE" w:rsidRPr="00F747CB" w:rsidRDefault="00AF3122" w:rsidP="00EF1FFC">
            <w:pPr>
              <w:pStyle w:val="Tables"/>
            </w:pPr>
            <w:r w:rsidRPr="00F747CB">
              <w:t>Vessels applying under the VGP</w:t>
            </w:r>
          </w:p>
        </w:tc>
      </w:tr>
      <w:tr w:rsidR="00AF3122" w:rsidRPr="00F747CB" w14:paraId="268ADC5C" w14:textId="77777777" w:rsidTr="00871F94">
        <w:trPr>
          <w:cantSplit/>
          <w:trHeight w:val="20"/>
        </w:trPr>
        <w:tc>
          <w:tcPr>
            <w:tcW w:w="3232" w:type="dxa"/>
            <w:shd w:val="clear" w:color="auto" w:fill="auto"/>
          </w:tcPr>
          <w:p w14:paraId="503572AA" w14:textId="71345C75" w:rsidR="00AF3122" w:rsidRPr="00F747CB" w:rsidRDefault="00AF3122" w:rsidP="00EF1FFC">
            <w:pPr>
              <w:pStyle w:val="Tables"/>
            </w:pPr>
            <w:r w:rsidRPr="00F747CB">
              <w:t>NOI</w:t>
            </w:r>
            <w:r w:rsidR="00BB2406" w:rsidRPr="00F747CB">
              <w:t>—</w:t>
            </w:r>
            <w:r w:rsidRPr="00F747CB">
              <w:t>Small Vessels General Permit</w:t>
            </w:r>
            <w:r w:rsidR="005E0FCB" w:rsidRPr="00F747CB">
              <w:t xml:space="preserve"> (sVGP)</w:t>
            </w:r>
            <w:r w:rsidR="005F44FC" w:rsidRPr="00F747CB">
              <w:rPr>
                <w:vertAlign w:val="superscript"/>
              </w:rPr>
              <w:t>a</w:t>
            </w:r>
          </w:p>
        </w:tc>
        <w:tc>
          <w:tcPr>
            <w:tcW w:w="6120" w:type="dxa"/>
            <w:shd w:val="clear" w:color="auto" w:fill="auto"/>
          </w:tcPr>
          <w:p w14:paraId="2D7CC47E" w14:textId="4C34B90D" w:rsidR="00AF3122" w:rsidRPr="00F747CB" w:rsidRDefault="00AF3122" w:rsidP="00EF1FFC">
            <w:pPr>
              <w:pStyle w:val="Tables"/>
            </w:pPr>
            <w:r w:rsidRPr="00F747CB">
              <w:t>Vessels applying under the Small VGP</w:t>
            </w:r>
          </w:p>
        </w:tc>
      </w:tr>
      <w:tr w:rsidR="005D1CDE" w:rsidRPr="00F747CB" w14:paraId="7A2CB567" w14:textId="77777777" w:rsidTr="00871F94">
        <w:trPr>
          <w:cantSplit/>
          <w:trHeight w:val="20"/>
        </w:trPr>
        <w:tc>
          <w:tcPr>
            <w:tcW w:w="3232" w:type="dxa"/>
            <w:shd w:val="clear" w:color="auto" w:fill="auto"/>
          </w:tcPr>
          <w:p w14:paraId="6F590FD4" w14:textId="7C6471F0" w:rsidR="005D1CDE" w:rsidRPr="00F747CB" w:rsidRDefault="00CC03BA" w:rsidP="00EF1FFC">
            <w:pPr>
              <w:pStyle w:val="Tables"/>
            </w:pPr>
            <w:r w:rsidRPr="00F747CB">
              <w:t>NOI</w:t>
            </w:r>
            <w:r w:rsidR="00BB2406" w:rsidRPr="00F747CB">
              <w:t>—</w:t>
            </w:r>
            <w:r w:rsidRPr="00F747CB">
              <w:t>Construction General Permit</w:t>
            </w:r>
            <w:r w:rsidR="005E0FCB" w:rsidRPr="00F5420D">
              <w:t xml:space="preserve"> (CGP)</w:t>
            </w:r>
            <w:r w:rsidR="005F44FC" w:rsidRPr="00F747CB">
              <w:rPr>
                <w:vertAlign w:val="superscript"/>
              </w:rPr>
              <w:t>a</w:t>
            </w:r>
          </w:p>
        </w:tc>
        <w:tc>
          <w:tcPr>
            <w:tcW w:w="6120" w:type="dxa"/>
            <w:shd w:val="clear" w:color="auto" w:fill="auto"/>
          </w:tcPr>
          <w:p w14:paraId="46C12171" w14:textId="7AE29162" w:rsidR="005D1CDE" w:rsidRPr="00F747CB" w:rsidRDefault="00EB6335" w:rsidP="00EF1FFC">
            <w:pPr>
              <w:pStyle w:val="Tables"/>
            </w:pPr>
            <w:r w:rsidRPr="00F747CB">
              <w:t xml:space="preserve">Construction site owners/operators applying under </w:t>
            </w:r>
            <w:r w:rsidR="005E0FCB" w:rsidRPr="00F747CB">
              <w:t>the construction general permit</w:t>
            </w:r>
          </w:p>
        </w:tc>
      </w:tr>
      <w:tr w:rsidR="00CC03BA" w:rsidRPr="00F747CB" w14:paraId="0CA2B25B" w14:textId="77777777" w:rsidTr="00871F94">
        <w:trPr>
          <w:cantSplit/>
          <w:trHeight w:val="20"/>
        </w:trPr>
        <w:tc>
          <w:tcPr>
            <w:tcW w:w="3232" w:type="dxa"/>
            <w:shd w:val="clear" w:color="auto" w:fill="auto"/>
          </w:tcPr>
          <w:p w14:paraId="5FE00C72" w14:textId="43D28E46" w:rsidR="00CC03BA" w:rsidRPr="00F747CB" w:rsidRDefault="00CC03BA" w:rsidP="00EF1FFC">
            <w:pPr>
              <w:pStyle w:val="Tables"/>
            </w:pPr>
            <w:r w:rsidRPr="00F747CB">
              <w:t>NOI</w:t>
            </w:r>
            <w:r w:rsidR="00BB2406" w:rsidRPr="00F747CB">
              <w:t>—</w:t>
            </w:r>
            <w:r w:rsidR="005E0FCB" w:rsidRPr="00F747CB">
              <w:t>MSGP</w:t>
            </w:r>
            <w:r w:rsidR="005F44FC" w:rsidRPr="00F747CB">
              <w:rPr>
                <w:vertAlign w:val="superscript"/>
              </w:rPr>
              <w:t>a</w:t>
            </w:r>
          </w:p>
        </w:tc>
        <w:tc>
          <w:tcPr>
            <w:tcW w:w="6120" w:type="dxa"/>
            <w:shd w:val="clear" w:color="auto" w:fill="auto"/>
          </w:tcPr>
          <w:p w14:paraId="314A5B70" w14:textId="38DB479E" w:rsidR="00CC03BA" w:rsidRPr="00F747CB" w:rsidRDefault="005E0FCB" w:rsidP="00EF1FFC">
            <w:pPr>
              <w:pStyle w:val="Tables"/>
            </w:pPr>
            <w:r w:rsidRPr="00F747CB">
              <w:t>Industrial facility owners/operators applying under the MSGP</w:t>
            </w:r>
          </w:p>
        </w:tc>
      </w:tr>
      <w:tr w:rsidR="00CF37E4" w:rsidRPr="00F747CB" w14:paraId="6B914C19" w14:textId="77777777" w:rsidTr="00871F94">
        <w:trPr>
          <w:cantSplit/>
          <w:trHeight w:val="20"/>
        </w:trPr>
        <w:tc>
          <w:tcPr>
            <w:tcW w:w="3232" w:type="dxa"/>
            <w:shd w:val="clear" w:color="auto" w:fill="auto"/>
          </w:tcPr>
          <w:p w14:paraId="4863DA6A" w14:textId="77777777" w:rsidR="00CF37E4" w:rsidRPr="00F747CB" w:rsidRDefault="00CF37E4" w:rsidP="00EF1FFC">
            <w:pPr>
              <w:pStyle w:val="Tables"/>
            </w:pPr>
            <w:r w:rsidRPr="00F747CB">
              <w:t>Permit Consolidation Request</w:t>
            </w:r>
          </w:p>
        </w:tc>
        <w:tc>
          <w:tcPr>
            <w:tcW w:w="6120" w:type="dxa"/>
            <w:shd w:val="clear" w:color="auto" w:fill="auto"/>
          </w:tcPr>
          <w:p w14:paraId="39BEE62E" w14:textId="0CE11DF7" w:rsidR="00CF37E4" w:rsidRPr="00F747CB" w:rsidRDefault="00CF37E4" w:rsidP="00EF1FFC">
            <w:pPr>
              <w:pStyle w:val="Tables"/>
            </w:pPr>
            <w:r w:rsidRPr="00F747CB">
              <w:t>Facilities with multiple permits</w:t>
            </w:r>
          </w:p>
        </w:tc>
      </w:tr>
      <w:tr w:rsidR="00CF37E4" w:rsidRPr="00F747CB" w14:paraId="143F0124" w14:textId="77777777" w:rsidTr="00871F94">
        <w:trPr>
          <w:cantSplit/>
          <w:trHeight w:val="20"/>
        </w:trPr>
        <w:tc>
          <w:tcPr>
            <w:tcW w:w="3232" w:type="dxa"/>
            <w:shd w:val="clear" w:color="auto" w:fill="auto"/>
          </w:tcPr>
          <w:p w14:paraId="40214FAC" w14:textId="2E0C5F87" w:rsidR="00CF37E4" w:rsidRPr="00F747CB" w:rsidRDefault="00CF37E4" w:rsidP="00EF1FFC">
            <w:pPr>
              <w:pStyle w:val="Tables"/>
            </w:pPr>
            <w:bookmarkStart w:id="9" w:name="OLE_LINK6"/>
            <w:bookmarkStart w:id="10" w:name="OLE_LINK7"/>
            <w:r w:rsidRPr="00F747CB">
              <w:t>Notification of Construction</w:t>
            </w:r>
            <w:bookmarkEnd w:id="9"/>
            <w:bookmarkEnd w:id="10"/>
          </w:p>
        </w:tc>
        <w:tc>
          <w:tcPr>
            <w:tcW w:w="6120" w:type="dxa"/>
            <w:shd w:val="clear" w:color="auto" w:fill="auto"/>
          </w:tcPr>
          <w:p w14:paraId="58FA453C" w14:textId="4E0CD338" w:rsidR="00CF37E4" w:rsidRPr="00F747CB" w:rsidRDefault="00CF37E4" w:rsidP="00EF1FFC">
            <w:pPr>
              <w:pStyle w:val="Tables"/>
            </w:pPr>
            <w:r w:rsidRPr="00F747CB">
              <w:t>Facilities classified as new sources</w:t>
            </w:r>
          </w:p>
        </w:tc>
      </w:tr>
      <w:tr w:rsidR="00CF37E4" w:rsidRPr="00F747CB" w14:paraId="79FA9116" w14:textId="77777777" w:rsidTr="00871F94">
        <w:trPr>
          <w:cantSplit/>
          <w:trHeight w:val="20"/>
        </w:trPr>
        <w:tc>
          <w:tcPr>
            <w:tcW w:w="3232" w:type="dxa"/>
            <w:shd w:val="clear" w:color="auto" w:fill="auto"/>
          </w:tcPr>
          <w:p w14:paraId="501B7C99" w14:textId="77777777" w:rsidR="00CF37E4" w:rsidRPr="00F747CB" w:rsidRDefault="00CF37E4" w:rsidP="00EF1FFC">
            <w:pPr>
              <w:pStyle w:val="Tables"/>
            </w:pPr>
            <w:r w:rsidRPr="00F747CB">
              <w:t>Ocean Discharge Information</w:t>
            </w:r>
          </w:p>
        </w:tc>
        <w:tc>
          <w:tcPr>
            <w:tcW w:w="6120" w:type="dxa"/>
            <w:shd w:val="clear" w:color="auto" w:fill="auto"/>
          </w:tcPr>
          <w:p w14:paraId="4987CE1A" w14:textId="48DA6B16" w:rsidR="00CF37E4" w:rsidRPr="00F747CB" w:rsidRDefault="00CF37E4" w:rsidP="00EF1FFC">
            <w:pPr>
              <w:pStyle w:val="Tables"/>
            </w:pPr>
            <w:r w:rsidRPr="00F747CB">
              <w:t>Ocean dischargers</w:t>
            </w:r>
          </w:p>
        </w:tc>
      </w:tr>
      <w:tr w:rsidR="00CF37E4" w:rsidRPr="00F747CB" w14:paraId="3B32626A" w14:textId="77777777" w:rsidTr="00871F94">
        <w:trPr>
          <w:cantSplit/>
          <w:trHeight w:val="20"/>
        </w:trPr>
        <w:tc>
          <w:tcPr>
            <w:tcW w:w="3232" w:type="dxa"/>
            <w:shd w:val="clear" w:color="auto" w:fill="auto"/>
          </w:tcPr>
          <w:p w14:paraId="1C9CEA70" w14:textId="44052B30" w:rsidR="00CF37E4" w:rsidRPr="00F747CB" w:rsidRDefault="00CF37E4" w:rsidP="00EF1FFC">
            <w:pPr>
              <w:pStyle w:val="Tables"/>
            </w:pPr>
            <w:r w:rsidRPr="00F747CB">
              <w:t>Notice of Termination (NOT)</w:t>
            </w:r>
            <w:r w:rsidR="00BB2406" w:rsidRPr="00F747CB">
              <w:t>—</w:t>
            </w:r>
            <w:r w:rsidR="005E0FCB" w:rsidRPr="00F747CB">
              <w:t>PGP</w:t>
            </w:r>
            <w:r w:rsidR="005F44FC" w:rsidRPr="00F747CB">
              <w:rPr>
                <w:vertAlign w:val="superscript"/>
              </w:rPr>
              <w:t>a</w:t>
            </w:r>
          </w:p>
        </w:tc>
        <w:tc>
          <w:tcPr>
            <w:tcW w:w="6120" w:type="dxa"/>
            <w:shd w:val="clear" w:color="auto" w:fill="auto"/>
          </w:tcPr>
          <w:p w14:paraId="4ADA7E76" w14:textId="381E8425" w:rsidR="00CF37E4" w:rsidRPr="00F747CB" w:rsidRDefault="005E0FCB" w:rsidP="00EF1FFC">
            <w:pPr>
              <w:pStyle w:val="Tables"/>
            </w:pPr>
            <w:r w:rsidRPr="00F747CB">
              <w:t>C</w:t>
            </w:r>
            <w:r w:rsidR="00CF37E4" w:rsidRPr="00F747CB">
              <w:t>ertain pesticide applicators applying under the PGP</w:t>
            </w:r>
          </w:p>
        </w:tc>
      </w:tr>
      <w:tr w:rsidR="005E0FCB" w:rsidRPr="00F747CB" w14:paraId="657B7B76" w14:textId="77777777" w:rsidTr="00871F94">
        <w:trPr>
          <w:cantSplit/>
          <w:trHeight w:val="20"/>
        </w:trPr>
        <w:tc>
          <w:tcPr>
            <w:tcW w:w="3232" w:type="dxa"/>
            <w:shd w:val="clear" w:color="auto" w:fill="auto"/>
          </w:tcPr>
          <w:p w14:paraId="6AEAA0C9" w14:textId="1F203E32" w:rsidR="005E0FCB" w:rsidRPr="00F747CB" w:rsidRDefault="005E0FCB" w:rsidP="00EF1FFC">
            <w:pPr>
              <w:pStyle w:val="Tables"/>
            </w:pPr>
            <w:r w:rsidRPr="00F747CB">
              <w:t>NOT</w:t>
            </w:r>
            <w:r w:rsidR="00BB2406" w:rsidRPr="00F747CB">
              <w:t>—</w:t>
            </w:r>
            <w:r w:rsidRPr="00F747CB">
              <w:t>VGP</w:t>
            </w:r>
            <w:r w:rsidR="005F44FC" w:rsidRPr="00F747CB">
              <w:rPr>
                <w:vertAlign w:val="superscript"/>
              </w:rPr>
              <w:t>a</w:t>
            </w:r>
          </w:p>
        </w:tc>
        <w:tc>
          <w:tcPr>
            <w:tcW w:w="6120" w:type="dxa"/>
            <w:shd w:val="clear" w:color="auto" w:fill="auto"/>
          </w:tcPr>
          <w:p w14:paraId="46271C74" w14:textId="2FAE3810" w:rsidR="005E0FCB" w:rsidRPr="00F747CB" w:rsidRDefault="005E0FCB" w:rsidP="00EF1FFC">
            <w:pPr>
              <w:pStyle w:val="Tables"/>
            </w:pPr>
            <w:r w:rsidRPr="00F747CB">
              <w:t>Vessels covered under the VGP</w:t>
            </w:r>
          </w:p>
        </w:tc>
      </w:tr>
      <w:tr w:rsidR="005E0FCB" w:rsidRPr="00F747CB" w14:paraId="48DF7029" w14:textId="77777777" w:rsidTr="00871F94">
        <w:trPr>
          <w:cantSplit/>
          <w:trHeight w:val="20"/>
        </w:trPr>
        <w:tc>
          <w:tcPr>
            <w:tcW w:w="3232" w:type="dxa"/>
            <w:shd w:val="clear" w:color="auto" w:fill="auto"/>
          </w:tcPr>
          <w:p w14:paraId="0FCEAF12" w14:textId="4587128D" w:rsidR="005E0FCB" w:rsidRPr="00F747CB" w:rsidRDefault="005E0FCB" w:rsidP="00EF1FFC">
            <w:pPr>
              <w:pStyle w:val="Tables"/>
            </w:pPr>
            <w:r w:rsidRPr="00F747CB">
              <w:t>NOT</w:t>
            </w:r>
            <w:r w:rsidR="00BB2406" w:rsidRPr="00F747CB">
              <w:t>—</w:t>
            </w:r>
            <w:r w:rsidRPr="00F747CB">
              <w:t>sVGP</w:t>
            </w:r>
            <w:r w:rsidR="005F44FC" w:rsidRPr="00F747CB">
              <w:rPr>
                <w:vertAlign w:val="superscript"/>
              </w:rPr>
              <w:t>a</w:t>
            </w:r>
          </w:p>
        </w:tc>
        <w:tc>
          <w:tcPr>
            <w:tcW w:w="6120" w:type="dxa"/>
            <w:shd w:val="clear" w:color="auto" w:fill="auto"/>
          </w:tcPr>
          <w:p w14:paraId="071EEFBA" w14:textId="08CB1D05" w:rsidR="005E0FCB" w:rsidRPr="00F747CB" w:rsidRDefault="008443EA" w:rsidP="00EF1FFC">
            <w:pPr>
              <w:pStyle w:val="Tables"/>
            </w:pPr>
            <w:r w:rsidRPr="00F747CB">
              <w:t>V</w:t>
            </w:r>
            <w:r w:rsidR="005E0FCB" w:rsidRPr="00F747CB">
              <w:t>essels covered under the sVGP</w:t>
            </w:r>
          </w:p>
        </w:tc>
      </w:tr>
      <w:tr w:rsidR="005E0FCB" w:rsidRPr="00F747CB" w14:paraId="5F971984" w14:textId="77777777" w:rsidTr="00871F94">
        <w:trPr>
          <w:cantSplit/>
          <w:trHeight w:val="20"/>
        </w:trPr>
        <w:tc>
          <w:tcPr>
            <w:tcW w:w="3232" w:type="dxa"/>
            <w:shd w:val="clear" w:color="auto" w:fill="auto"/>
          </w:tcPr>
          <w:p w14:paraId="677BF80A" w14:textId="44AECE09" w:rsidR="005E0FCB" w:rsidRPr="00F747CB" w:rsidRDefault="005E0FCB" w:rsidP="00EF1FFC">
            <w:pPr>
              <w:pStyle w:val="Tables"/>
            </w:pPr>
            <w:r w:rsidRPr="00F747CB">
              <w:t>NOT</w:t>
            </w:r>
            <w:r w:rsidR="00BB2406" w:rsidRPr="00F747CB">
              <w:t>—</w:t>
            </w:r>
            <w:r w:rsidRPr="00F747CB">
              <w:t>CGP</w:t>
            </w:r>
            <w:r w:rsidR="005F44FC" w:rsidRPr="00F747CB">
              <w:rPr>
                <w:vertAlign w:val="superscript"/>
              </w:rPr>
              <w:t>a</w:t>
            </w:r>
          </w:p>
        </w:tc>
        <w:tc>
          <w:tcPr>
            <w:tcW w:w="6120" w:type="dxa"/>
            <w:shd w:val="clear" w:color="auto" w:fill="auto"/>
          </w:tcPr>
          <w:p w14:paraId="19E77598" w14:textId="41572868" w:rsidR="005E0FCB" w:rsidRPr="00F747CB" w:rsidRDefault="005E0FCB" w:rsidP="00EF1FFC">
            <w:pPr>
              <w:pStyle w:val="Tables"/>
            </w:pPr>
            <w:r w:rsidRPr="00F747CB">
              <w:t>Construction permittees covered under the CGP</w:t>
            </w:r>
          </w:p>
        </w:tc>
      </w:tr>
      <w:tr w:rsidR="005E0FCB" w:rsidRPr="00F747CB" w14:paraId="7EFF5EA5" w14:textId="77777777" w:rsidTr="00871F94">
        <w:trPr>
          <w:cantSplit/>
          <w:trHeight w:val="20"/>
        </w:trPr>
        <w:tc>
          <w:tcPr>
            <w:tcW w:w="3232" w:type="dxa"/>
            <w:shd w:val="clear" w:color="auto" w:fill="auto"/>
          </w:tcPr>
          <w:p w14:paraId="65C91DFA" w14:textId="1A8B479D" w:rsidR="005E0FCB" w:rsidRPr="00F747CB" w:rsidRDefault="005E0FCB" w:rsidP="00EF1FFC">
            <w:pPr>
              <w:pStyle w:val="Tables"/>
            </w:pPr>
            <w:r w:rsidRPr="00F747CB">
              <w:t>NOT</w:t>
            </w:r>
            <w:r w:rsidR="00BB2406" w:rsidRPr="00F747CB">
              <w:t>—</w:t>
            </w:r>
            <w:r w:rsidRPr="00F747CB">
              <w:t>MSGP</w:t>
            </w:r>
            <w:r w:rsidR="005F44FC" w:rsidRPr="00F747CB">
              <w:rPr>
                <w:vertAlign w:val="superscript"/>
              </w:rPr>
              <w:t>a</w:t>
            </w:r>
          </w:p>
        </w:tc>
        <w:tc>
          <w:tcPr>
            <w:tcW w:w="6120" w:type="dxa"/>
            <w:shd w:val="clear" w:color="auto" w:fill="auto"/>
          </w:tcPr>
          <w:p w14:paraId="6F8FE98B" w14:textId="45AE807C" w:rsidR="005E0FCB" w:rsidRPr="00F747CB" w:rsidRDefault="005E0FCB" w:rsidP="00EF1FFC">
            <w:pPr>
              <w:pStyle w:val="Tables"/>
            </w:pPr>
            <w:r w:rsidRPr="00F747CB">
              <w:t>Industrial permittees covered under the MSGP</w:t>
            </w:r>
          </w:p>
        </w:tc>
      </w:tr>
      <w:tr w:rsidR="00CF37E4" w:rsidRPr="00F747CB" w14:paraId="0A3B9277" w14:textId="77777777" w:rsidTr="00871F94">
        <w:trPr>
          <w:cantSplit/>
          <w:trHeight w:val="20"/>
        </w:trPr>
        <w:tc>
          <w:tcPr>
            <w:tcW w:w="3232" w:type="dxa"/>
            <w:shd w:val="clear" w:color="auto" w:fill="auto"/>
          </w:tcPr>
          <w:p w14:paraId="16F6456A" w14:textId="676ECF3D" w:rsidR="00CF37E4" w:rsidRPr="00F747CB" w:rsidRDefault="00CF37E4" w:rsidP="00EF1FFC">
            <w:pPr>
              <w:pStyle w:val="Tables"/>
            </w:pPr>
            <w:r w:rsidRPr="00F747CB">
              <w:t>No Exposure Certification (NOE)</w:t>
            </w:r>
          </w:p>
        </w:tc>
        <w:tc>
          <w:tcPr>
            <w:tcW w:w="6120" w:type="dxa"/>
            <w:shd w:val="clear" w:color="auto" w:fill="auto"/>
          </w:tcPr>
          <w:p w14:paraId="00D1C33C" w14:textId="3161B072" w:rsidR="00CF37E4" w:rsidRPr="00F747CB" w:rsidRDefault="00CF37E4" w:rsidP="00EF1FFC">
            <w:pPr>
              <w:pStyle w:val="Tables"/>
            </w:pPr>
            <w:r w:rsidRPr="00F747CB">
              <w:t>Industrial stormwater dischargers</w:t>
            </w:r>
          </w:p>
        </w:tc>
      </w:tr>
      <w:tr w:rsidR="00CF37E4" w:rsidRPr="00F747CB" w14:paraId="67C36CB1" w14:textId="77777777" w:rsidTr="00871F94">
        <w:trPr>
          <w:cantSplit/>
          <w:trHeight w:val="20"/>
        </w:trPr>
        <w:tc>
          <w:tcPr>
            <w:tcW w:w="3232" w:type="dxa"/>
            <w:shd w:val="clear" w:color="auto" w:fill="auto"/>
          </w:tcPr>
          <w:p w14:paraId="2A6EA584" w14:textId="77777777" w:rsidR="00CF37E4" w:rsidRPr="00F747CB" w:rsidRDefault="00CF37E4" w:rsidP="00EF1FFC">
            <w:pPr>
              <w:pStyle w:val="Tables"/>
            </w:pPr>
            <w:r w:rsidRPr="00F747CB">
              <w:t>Low Erosivity Waiver Certification</w:t>
            </w:r>
          </w:p>
        </w:tc>
        <w:tc>
          <w:tcPr>
            <w:tcW w:w="6120" w:type="dxa"/>
            <w:shd w:val="clear" w:color="auto" w:fill="auto"/>
          </w:tcPr>
          <w:p w14:paraId="71D08677" w14:textId="1B966153" w:rsidR="00CF37E4" w:rsidRPr="00F747CB" w:rsidRDefault="00CF37E4" w:rsidP="00EF1FFC">
            <w:pPr>
              <w:pStyle w:val="Tables"/>
            </w:pPr>
            <w:r w:rsidRPr="00F747CB">
              <w:t>Construction stormwater</w:t>
            </w:r>
            <w:r w:rsidR="002030E4" w:rsidRPr="00F747CB">
              <w:t xml:space="preserve"> dischargers</w:t>
            </w:r>
          </w:p>
        </w:tc>
      </w:tr>
      <w:tr w:rsidR="00CF37E4" w:rsidRPr="00F747CB" w14:paraId="79149778" w14:textId="77777777" w:rsidTr="00871F94">
        <w:trPr>
          <w:cantSplit/>
          <w:trHeight w:val="20"/>
        </w:trPr>
        <w:tc>
          <w:tcPr>
            <w:tcW w:w="3232" w:type="dxa"/>
            <w:shd w:val="clear" w:color="auto" w:fill="auto"/>
          </w:tcPr>
          <w:p w14:paraId="658623BE" w14:textId="61C21637" w:rsidR="00CF37E4" w:rsidRPr="00F747CB" w:rsidRDefault="00CF37E4" w:rsidP="00EF1FFC">
            <w:pPr>
              <w:pStyle w:val="Tables"/>
            </w:pPr>
            <w:r w:rsidRPr="00F747CB">
              <w:t>Annual Report</w:t>
            </w:r>
          </w:p>
        </w:tc>
        <w:tc>
          <w:tcPr>
            <w:tcW w:w="6120" w:type="dxa"/>
            <w:shd w:val="clear" w:color="auto" w:fill="auto"/>
          </w:tcPr>
          <w:p w14:paraId="66161AF2" w14:textId="204EDAD4" w:rsidR="00CF37E4" w:rsidRPr="00F747CB" w:rsidRDefault="00CF37E4" w:rsidP="00EF1FFC">
            <w:pPr>
              <w:pStyle w:val="Tables"/>
            </w:pPr>
            <w:r w:rsidRPr="00F747CB">
              <w:t>Vessels under the VGP; and certain pesticide applicators applying under the PGP</w:t>
            </w:r>
          </w:p>
        </w:tc>
      </w:tr>
      <w:tr w:rsidR="00CF37E4" w:rsidRPr="00F747CB" w14:paraId="6996023F" w14:textId="77777777" w:rsidTr="00871F94">
        <w:trPr>
          <w:cantSplit/>
          <w:trHeight w:val="20"/>
        </w:trPr>
        <w:tc>
          <w:tcPr>
            <w:tcW w:w="3232" w:type="dxa"/>
            <w:shd w:val="clear" w:color="auto" w:fill="auto"/>
          </w:tcPr>
          <w:p w14:paraId="1FACF721" w14:textId="05EE1689" w:rsidR="00CF37E4" w:rsidRPr="00F747CB" w:rsidRDefault="00CF37E4" w:rsidP="00EF1FFC">
            <w:pPr>
              <w:pStyle w:val="Tables"/>
            </w:pPr>
            <w:r w:rsidRPr="00F747CB">
              <w:t>Permit Authorization and Record of Inspection (PARI)</w:t>
            </w:r>
            <w:r w:rsidR="005F44FC" w:rsidRPr="00F747CB">
              <w:rPr>
                <w:vertAlign w:val="superscript"/>
              </w:rPr>
              <w:t>a</w:t>
            </w:r>
          </w:p>
        </w:tc>
        <w:tc>
          <w:tcPr>
            <w:tcW w:w="6120" w:type="dxa"/>
            <w:shd w:val="clear" w:color="auto" w:fill="auto"/>
          </w:tcPr>
          <w:p w14:paraId="49916329" w14:textId="6F18A12B" w:rsidR="00CF37E4" w:rsidRPr="00F747CB" w:rsidRDefault="00CF37E4" w:rsidP="00EF1FFC">
            <w:pPr>
              <w:pStyle w:val="Tables"/>
            </w:pPr>
            <w:r w:rsidRPr="00F747CB">
              <w:t>Vessels under the VGP and sVGP</w:t>
            </w:r>
          </w:p>
        </w:tc>
      </w:tr>
      <w:tr w:rsidR="00CF37E4" w:rsidRPr="00F747CB" w14:paraId="427EE957" w14:textId="77777777" w:rsidTr="00871F94">
        <w:trPr>
          <w:cantSplit/>
          <w:trHeight w:val="20"/>
        </w:trPr>
        <w:tc>
          <w:tcPr>
            <w:tcW w:w="3232" w:type="dxa"/>
            <w:shd w:val="clear" w:color="auto" w:fill="auto"/>
          </w:tcPr>
          <w:p w14:paraId="007588AB" w14:textId="3C1679AF" w:rsidR="00CF37E4" w:rsidRPr="00F747CB" w:rsidRDefault="00CF37E4" w:rsidP="00EF1FFC">
            <w:pPr>
              <w:pStyle w:val="Tables"/>
            </w:pPr>
            <w:r w:rsidRPr="00F747CB">
              <w:t>Annual Noncompliance Form</w:t>
            </w:r>
          </w:p>
        </w:tc>
        <w:tc>
          <w:tcPr>
            <w:tcW w:w="6120" w:type="dxa"/>
            <w:shd w:val="clear" w:color="auto" w:fill="auto"/>
          </w:tcPr>
          <w:p w14:paraId="3808BE72" w14:textId="5BC2EB92" w:rsidR="00CF37E4" w:rsidRPr="00F747CB" w:rsidRDefault="00CF37E4" w:rsidP="00EF1FFC">
            <w:pPr>
              <w:pStyle w:val="Tables"/>
            </w:pPr>
            <w:r w:rsidRPr="00F747CB">
              <w:t>Vessels under the sVGP</w:t>
            </w:r>
          </w:p>
        </w:tc>
      </w:tr>
      <w:tr w:rsidR="00CF37E4" w:rsidRPr="00F747CB" w14:paraId="71CA0891" w14:textId="77777777" w:rsidTr="00871F94">
        <w:trPr>
          <w:cantSplit/>
          <w:trHeight w:val="20"/>
        </w:trPr>
        <w:tc>
          <w:tcPr>
            <w:tcW w:w="3232" w:type="dxa"/>
            <w:shd w:val="clear" w:color="auto" w:fill="auto"/>
          </w:tcPr>
          <w:p w14:paraId="16F92B2F" w14:textId="17C57013" w:rsidR="00CF37E4" w:rsidRPr="00F747CB" w:rsidRDefault="00CF37E4" w:rsidP="00EF1FFC">
            <w:pPr>
              <w:pStyle w:val="Tables"/>
            </w:pPr>
            <w:r w:rsidRPr="00F747CB">
              <w:t>Adverse Incident Report</w:t>
            </w:r>
          </w:p>
        </w:tc>
        <w:tc>
          <w:tcPr>
            <w:tcW w:w="6120" w:type="dxa"/>
            <w:shd w:val="clear" w:color="auto" w:fill="auto"/>
          </w:tcPr>
          <w:p w14:paraId="6FFA5634" w14:textId="0C6934E4" w:rsidR="00CF37E4" w:rsidRPr="00F747CB" w:rsidRDefault="00CF37E4" w:rsidP="00EF1FFC">
            <w:pPr>
              <w:pStyle w:val="Tables"/>
            </w:pPr>
            <w:r w:rsidRPr="00F747CB">
              <w:t>Pesticide applicators applying under the PGP</w:t>
            </w:r>
          </w:p>
        </w:tc>
      </w:tr>
      <w:tr w:rsidR="00CF37E4" w:rsidRPr="00F747CB" w14:paraId="6DDB19D1" w14:textId="77777777" w:rsidTr="00871F94">
        <w:trPr>
          <w:cantSplit/>
          <w:trHeight w:val="20"/>
        </w:trPr>
        <w:tc>
          <w:tcPr>
            <w:tcW w:w="3232" w:type="dxa"/>
            <w:shd w:val="clear" w:color="auto" w:fill="auto"/>
          </w:tcPr>
          <w:p w14:paraId="47414FB4" w14:textId="097A60FD" w:rsidR="00CF37E4" w:rsidRPr="00F747CB" w:rsidRDefault="00CF37E4" w:rsidP="00EF1FFC">
            <w:pPr>
              <w:pStyle w:val="Tables"/>
            </w:pPr>
            <w:r w:rsidRPr="00F747CB">
              <w:t>Nutrient Management Plan</w:t>
            </w:r>
          </w:p>
        </w:tc>
        <w:tc>
          <w:tcPr>
            <w:tcW w:w="6120" w:type="dxa"/>
            <w:shd w:val="clear" w:color="auto" w:fill="auto"/>
          </w:tcPr>
          <w:p w14:paraId="7B7C627C" w14:textId="228BC618" w:rsidR="00CF37E4" w:rsidRPr="00F5420D" w:rsidRDefault="00CF37E4" w:rsidP="00EF1FFC">
            <w:pPr>
              <w:pStyle w:val="Tables"/>
            </w:pPr>
            <w:r w:rsidRPr="00F747CB">
              <w:t xml:space="preserve">CAFOs </w:t>
            </w:r>
            <w:r w:rsidR="00114E70" w:rsidRPr="00F747CB">
              <w:t>covered by</w:t>
            </w:r>
            <w:r w:rsidRPr="00F747CB">
              <w:t xml:space="preserve"> an individual permit </w:t>
            </w:r>
            <w:r w:rsidR="00114E70" w:rsidRPr="00F5420D">
              <w:t>or</w:t>
            </w:r>
            <w:r w:rsidRPr="00F5420D">
              <w:t xml:space="preserve"> general permit</w:t>
            </w:r>
          </w:p>
        </w:tc>
      </w:tr>
      <w:tr w:rsidR="00CF37E4" w:rsidRPr="00F747CB" w14:paraId="061BF42A" w14:textId="77777777" w:rsidTr="00871F94">
        <w:trPr>
          <w:cantSplit/>
          <w:trHeight w:val="20"/>
        </w:trPr>
        <w:tc>
          <w:tcPr>
            <w:tcW w:w="3232" w:type="dxa"/>
            <w:shd w:val="clear" w:color="auto" w:fill="auto"/>
          </w:tcPr>
          <w:p w14:paraId="518ADD38" w14:textId="722E81BE" w:rsidR="00CF37E4" w:rsidRPr="00F747CB" w:rsidRDefault="00CF37E4" w:rsidP="00EF1FFC">
            <w:pPr>
              <w:pStyle w:val="Tables"/>
            </w:pPr>
            <w:r w:rsidRPr="00F747CB">
              <w:t>Pesticide Discharge Management Plan</w:t>
            </w:r>
          </w:p>
        </w:tc>
        <w:tc>
          <w:tcPr>
            <w:tcW w:w="6120" w:type="dxa"/>
            <w:shd w:val="clear" w:color="auto" w:fill="auto"/>
          </w:tcPr>
          <w:p w14:paraId="57557FFD" w14:textId="7D344789" w:rsidR="00CF37E4" w:rsidRPr="00F747CB" w:rsidRDefault="00CF37E4" w:rsidP="00EF1FFC">
            <w:pPr>
              <w:pStyle w:val="Tables"/>
            </w:pPr>
            <w:r w:rsidRPr="00F747CB">
              <w:t>Certain pesticide applicators applying under the PGP</w:t>
            </w:r>
          </w:p>
        </w:tc>
      </w:tr>
      <w:tr w:rsidR="00CF37E4" w:rsidRPr="00F747CB" w14:paraId="4B438042" w14:textId="77777777" w:rsidTr="00871F94">
        <w:trPr>
          <w:cantSplit/>
          <w:trHeight w:val="20"/>
        </w:trPr>
        <w:tc>
          <w:tcPr>
            <w:tcW w:w="3232" w:type="dxa"/>
            <w:shd w:val="clear" w:color="auto" w:fill="auto"/>
          </w:tcPr>
          <w:p w14:paraId="69A6BE4D" w14:textId="4EE28F51" w:rsidR="00CF37E4" w:rsidRPr="00F747CB" w:rsidRDefault="00F60B46" w:rsidP="00EF1FFC">
            <w:pPr>
              <w:pStyle w:val="Tables"/>
            </w:pPr>
            <w:r w:rsidRPr="00F747CB">
              <w:t xml:space="preserve">Cooling Water Intake Structures </w:t>
            </w:r>
            <w:r w:rsidR="00CF37E4" w:rsidRPr="00F747CB">
              <w:t>122.21(r)(2)</w:t>
            </w:r>
            <w:r w:rsidRPr="00F747CB">
              <w:t>–4</w:t>
            </w:r>
            <w:r w:rsidR="00CF37E4" w:rsidRPr="00F747CB">
              <w:t xml:space="preserve"> </w:t>
            </w:r>
          </w:p>
        </w:tc>
        <w:tc>
          <w:tcPr>
            <w:tcW w:w="6120" w:type="dxa"/>
            <w:shd w:val="clear" w:color="auto" w:fill="auto"/>
          </w:tcPr>
          <w:p w14:paraId="647A84BF" w14:textId="06FCC805" w:rsidR="00CF37E4" w:rsidRPr="00F747CB" w:rsidRDefault="00CF37E4" w:rsidP="00EF1FFC">
            <w:pPr>
              <w:pStyle w:val="Tables"/>
            </w:pPr>
            <w:r w:rsidRPr="00F747CB">
              <w:t>Facilities with CWIS</w:t>
            </w:r>
            <w:r w:rsidR="006E7278" w:rsidRPr="00F747CB">
              <w:t>s</w:t>
            </w:r>
            <w:r w:rsidRPr="00F747CB">
              <w:t xml:space="preserve"> (Phase I, Phase III</w:t>
            </w:r>
            <w:r w:rsidR="006E7278" w:rsidRPr="00F747CB">
              <w:t>,</w:t>
            </w:r>
            <w:r w:rsidRPr="00F747CB">
              <w:t xml:space="preserve"> and Existing)</w:t>
            </w:r>
          </w:p>
        </w:tc>
      </w:tr>
      <w:tr w:rsidR="00CF37E4" w:rsidRPr="00F747CB" w14:paraId="1079E210" w14:textId="77777777" w:rsidTr="00871F94">
        <w:trPr>
          <w:cantSplit/>
          <w:trHeight w:val="20"/>
        </w:trPr>
        <w:tc>
          <w:tcPr>
            <w:tcW w:w="3232" w:type="dxa"/>
            <w:shd w:val="clear" w:color="auto" w:fill="auto"/>
          </w:tcPr>
          <w:p w14:paraId="59571AC8" w14:textId="4C459EEE" w:rsidR="00CF37E4" w:rsidRPr="00F5420D" w:rsidRDefault="00F60B46" w:rsidP="00EF1FFC">
            <w:pPr>
              <w:pStyle w:val="Tables"/>
            </w:pPr>
            <w:r w:rsidRPr="00F747CB">
              <w:t xml:space="preserve">Cooling Water Intake Structures </w:t>
            </w:r>
            <w:r w:rsidR="00CF37E4" w:rsidRPr="00F747CB">
              <w:t>122.21(r)(</w:t>
            </w:r>
            <w:r w:rsidRPr="00F747CB">
              <w:t>5</w:t>
            </w:r>
            <w:r w:rsidR="00CF37E4" w:rsidRPr="00F747CB">
              <w:t>)</w:t>
            </w:r>
            <w:r w:rsidRPr="00F5420D">
              <w:t>–(8)</w:t>
            </w:r>
          </w:p>
        </w:tc>
        <w:tc>
          <w:tcPr>
            <w:tcW w:w="6120" w:type="dxa"/>
            <w:shd w:val="clear" w:color="auto" w:fill="auto"/>
          </w:tcPr>
          <w:p w14:paraId="2E97CC00" w14:textId="2F595FCF" w:rsidR="00CF37E4" w:rsidRPr="00F747CB" w:rsidRDefault="00F60B46" w:rsidP="00EF1FFC">
            <w:pPr>
              <w:pStyle w:val="Tables"/>
            </w:pPr>
            <w:r w:rsidRPr="00F747CB">
              <w:t>Existing f</w:t>
            </w:r>
            <w:r w:rsidR="00CF37E4" w:rsidRPr="00F747CB">
              <w:t>acilities CWIS</w:t>
            </w:r>
            <w:r w:rsidR="006E7278" w:rsidRPr="00F747CB">
              <w:t>s</w:t>
            </w:r>
          </w:p>
        </w:tc>
      </w:tr>
      <w:tr w:rsidR="00CF37E4" w:rsidRPr="00F747CB" w14:paraId="4CF12BAB" w14:textId="77777777" w:rsidTr="00871F94">
        <w:trPr>
          <w:cantSplit/>
          <w:trHeight w:val="20"/>
        </w:trPr>
        <w:tc>
          <w:tcPr>
            <w:tcW w:w="3232" w:type="dxa"/>
            <w:shd w:val="clear" w:color="auto" w:fill="auto"/>
          </w:tcPr>
          <w:p w14:paraId="5090E4BC" w14:textId="7AB41372" w:rsidR="00CF37E4" w:rsidRPr="00F747CB" w:rsidRDefault="00F60B46" w:rsidP="00EF1FFC">
            <w:pPr>
              <w:pStyle w:val="Tables"/>
            </w:pPr>
            <w:r w:rsidRPr="00F747CB">
              <w:t xml:space="preserve">Cooling Water Intake Structures </w:t>
            </w:r>
            <w:r w:rsidR="00CF37E4" w:rsidRPr="00F747CB">
              <w:t>122.21(r)(9)</w:t>
            </w:r>
            <w:r w:rsidRPr="00F747CB">
              <w:t>–(13)</w:t>
            </w:r>
          </w:p>
        </w:tc>
        <w:tc>
          <w:tcPr>
            <w:tcW w:w="6120" w:type="dxa"/>
            <w:shd w:val="clear" w:color="auto" w:fill="auto"/>
          </w:tcPr>
          <w:p w14:paraId="6689BBA9" w14:textId="5ABBB93A" w:rsidR="00CF37E4" w:rsidRPr="00F747CB" w:rsidRDefault="00CF37E4" w:rsidP="00EF1FFC">
            <w:pPr>
              <w:pStyle w:val="Tables"/>
            </w:pPr>
            <w:r w:rsidRPr="00F747CB">
              <w:t>Existing facilities with CWIS</w:t>
            </w:r>
            <w:r w:rsidR="006E7278" w:rsidRPr="00F747CB">
              <w:t>s</w:t>
            </w:r>
            <w:r w:rsidRPr="00F747CB">
              <w:t xml:space="preserve"> with average intake flow greater than 125 </w:t>
            </w:r>
            <w:r w:rsidR="006E7278" w:rsidRPr="00F747CB">
              <w:t>million gallons per day</w:t>
            </w:r>
          </w:p>
        </w:tc>
      </w:tr>
      <w:tr w:rsidR="00CF37E4" w:rsidRPr="00F747CB" w14:paraId="43B7EFCB" w14:textId="77777777" w:rsidTr="00871F94">
        <w:trPr>
          <w:cantSplit/>
          <w:trHeight w:val="20"/>
        </w:trPr>
        <w:tc>
          <w:tcPr>
            <w:tcW w:w="3232" w:type="dxa"/>
            <w:shd w:val="clear" w:color="auto" w:fill="auto"/>
          </w:tcPr>
          <w:p w14:paraId="4F2DFCF9" w14:textId="60E68A8E" w:rsidR="00CF37E4" w:rsidRPr="00F747CB" w:rsidRDefault="00F60B46" w:rsidP="00EF1FFC">
            <w:pPr>
              <w:pStyle w:val="Tables"/>
            </w:pPr>
            <w:r w:rsidRPr="00F747CB">
              <w:t xml:space="preserve">Cooling Water Intake Structures </w:t>
            </w:r>
            <w:r w:rsidR="00CF37E4" w:rsidRPr="00F747CB">
              <w:t>122.21(r)(14)</w:t>
            </w:r>
          </w:p>
        </w:tc>
        <w:tc>
          <w:tcPr>
            <w:tcW w:w="6120" w:type="dxa"/>
            <w:shd w:val="clear" w:color="auto" w:fill="auto"/>
          </w:tcPr>
          <w:p w14:paraId="102A597E" w14:textId="5AEB0B16" w:rsidR="00CF37E4" w:rsidRPr="00F747CB" w:rsidRDefault="00CF37E4" w:rsidP="00EF1FFC">
            <w:pPr>
              <w:pStyle w:val="Tables"/>
            </w:pPr>
            <w:r w:rsidRPr="00F747CB">
              <w:t>New units at existing facilities with CWIS</w:t>
            </w:r>
            <w:r w:rsidR="006E7278" w:rsidRPr="00F747CB">
              <w:t>s</w:t>
            </w:r>
          </w:p>
        </w:tc>
      </w:tr>
    </w:tbl>
    <w:p w14:paraId="51214A34" w14:textId="3E4E1D28" w:rsidR="00990328" w:rsidRDefault="005F44FC" w:rsidP="005F44FC">
      <w:pPr>
        <w:pStyle w:val="Tablenote"/>
        <w:ind w:left="180" w:hanging="180"/>
      </w:pPr>
      <w:r w:rsidRPr="00887320">
        <w:rPr>
          <w:vertAlign w:val="superscript"/>
        </w:rPr>
        <w:t>a</w:t>
      </w:r>
      <w:r>
        <w:rPr>
          <w:vertAlign w:val="superscript"/>
        </w:rPr>
        <w:tab/>
      </w:r>
      <w:r w:rsidR="003A7401">
        <w:t>These f</w:t>
      </w:r>
      <w:r w:rsidR="003A7401" w:rsidRPr="003A7401">
        <w:t>orms are included in Attachment G</w:t>
      </w:r>
      <w:r w:rsidR="008443EA">
        <w:t>.</w:t>
      </w:r>
    </w:p>
    <w:p w14:paraId="6572D49F" w14:textId="37BA739F" w:rsidR="009974BC" w:rsidRDefault="009974BC" w:rsidP="009974BC">
      <w:r>
        <w:t xml:space="preserve">From the applications and requests for supplemental information, permitting authorities gather information about industrial processes, treatment systems, pollutant characteristics, discharge rates and volumes, sewage sludge use and disposal practices, sewage sludge quality, and other data such as pollution prevention practices. </w:t>
      </w:r>
      <w:r w:rsidR="005E09B2" w:rsidRPr="005E09B2">
        <w:t xml:space="preserve">At times, permitting authorities require additional information, such as more detailed production information or maintenance and operating data for a treatment system, or additional monitoring data to characterize a discharge or receiving water quality, to inform the permitting process. </w:t>
      </w:r>
      <w:r>
        <w:t>Additional information collection requirements that might be necessary to implement state-, tribal-, or EPA-promulgated provisions consistent with the CWA, the Great Lakes Guidance, and other EPA regulatory requirements include monitoring (pollutant-specific and whole effluent toxicity), pollutant minimization programs, bioassays to support the development of water quality criteria, antidegradation policy/demonstrations, and regulatory relief options (e.g., variances from water quality criteria).</w:t>
      </w:r>
    </w:p>
    <w:p w14:paraId="087151D4" w14:textId="3E6DE63A" w:rsidR="009974BC" w:rsidRDefault="009974BC" w:rsidP="009974BC">
      <w:r>
        <w:t xml:space="preserve">The information is used to develop effluent limitations, compliance schedules, and other routine and special conditions in permits. EPA may </w:t>
      </w:r>
      <w:r w:rsidR="00A81AB0">
        <w:t xml:space="preserve">also </w:t>
      </w:r>
      <w:r>
        <w:t>use these data to reevaluate testing requirements or to develop or revise effluent standards on a national basis. Permitting authorities may also use</w:t>
      </w:r>
      <w:r w:rsidR="00477EEC">
        <w:t xml:space="preserve"> data from</w:t>
      </w:r>
      <w:r>
        <w:t xml:space="preserve"> NOI</w:t>
      </w:r>
      <w:r w:rsidR="00477EEC">
        <w:t>s</w:t>
      </w:r>
      <w:r>
        <w:t xml:space="preserve">, </w:t>
      </w:r>
      <w:r w:rsidR="00CE2ED9">
        <w:t xml:space="preserve">Nutrient Management Plans (NMPs), </w:t>
      </w:r>
      <w:r>
        <w:t>Pesticide Discharge Management Plan</w:t>
      </w:r>
      <w:r w:rsidR="00477EEC">
        <w:t>s</w:t>
      </w:r>
      <w:r>
        <w:t xml:space="preserve"> (PDMP</w:t>
      </w:r>
      <w:r w:rsidR="00782980">
        <w:t>s</w:t>
      </w:r>
      <w:r>
        <w:t>)</w:t>
      </w:r>
      <w:r w:rsidR="00A81AB0">
        <w:t>,</w:t>
      </w:r>
      <w:r>
        <w:t xml:space="preserve"> stormwater pollution prevention plan</w:t>
      </w:r>
      <w:r w:rsidR="00477EEC">
        <w:t>s</w:t>
      </w:r>
      <w:r>
        <w:t xml:space="preserve"> (SWPPP</w:t>
      </w:r>
      <w:r w:rsidR="00782980">
        <w:t>s</w:t>
      </w:r>
      <w:r>
        <w:t>)</w:t>
      </w:r>
      <w:r w:rsidR="00477EEC">
        <w:t>, etc.</w:t>
      </w:r>
      <w:r w:rsidR="00782980">
        <w:t>,</w:t>
      </w:r>
      <w:r>
        <w:t xml:space="preserve"> as part of an evaluation to determine whether the permittee adheres to procedures laid out in the documents.</w:t>
      </w:r>
    </w:p>
    <w:p w14:paraId="4DD704B2" w14:textId="3195CFC9" w:rsidR="009974BC" w:rsidRDefault="009974BC" w:rsidP="009974BC">
      <w:r>
        <w:t xml:space="preserve">NPDES permits may not be issued for a period more than five years. The reapplication process is the primary mechanism for obtaining up-to-date information on discharges and sewage sludge quality, particularly for new pollutants. Although existing permittees provide pollutant data from self-monitoring activities in routine reports, these reports are usually limited to pollutants listed in existing permits. Permitting authorities use reapplication data to identify new pollutants or other information that could lead them to specify additional permit limitations, assess compliance with applicable effluent and sewage sludge limits, and </w:t>
      </w:r>
      <w:r w:rsidR="00A81AB0">
        <w:t xml:space="preserve">develop </w:t>
      </w:r>
      <w:r>
        <w:t>appropriate special conditions in permits.</w:t>
      </w:r>
    </w:p>
    <w:p w14:paraId="0FEB4240" w14:textId="54EEBAF8" w:rsidR="00F253DA" w:rsidRDefault="00F253DA" w:rsidP="00F253DA">
      <w:r w:rsidRPr="009B7078">
        <w:rPr>
          <w:i/>
        </w:rPr>
        <w:t>Routine data collection</w:t>
      </w:r>
      <w:r>
        <w:t xml:space="preserve">. Permittees use discharge monitoring data or sewage sludge quality data (in the case of POTWs and </w:t>
      </w:r>
      <w:r w:rsidR="005563BB">
        <w:t>privately</w:t>
      </w:r>
      <w:r w:rsidR="00A23F01">
        <w:t xml:space="preserve"> </w:t>
      </w:r>
      <w:r w:rsidR="005563BB">
        <w:t>ow</w:t>
      </w:r>
      <w:r w:rsidR="00F747CB">
        <w:t>n</w:t>
      </w:r>
      <w:r w:rsidR="005563BB">
        <w:t xml:space="preserve">ed treatment works, or </w:t>
      </w:r>
      <w:r>
        <w:t xml:space="preserve">PrOTWs) to perform routine operations at their facilities and evaluate facility performance. In addition, they might need to collect this information to comply with state-specific program requirements or, in the case of POTWs, to administer pretreatment programs. </w:t>
      </w:r>
    </w:p>
    <w:p w14:paraId="31E76020" w14:textId="0859CB44" w:rsidR="00F253DA" w:rsidRDefault="00F253DA" w:rsidP="00F253DA">
      <w:r>
        <w:t xml:space="preserve">As noted above, discharge monitoring data </w:t>
      </w:r>
      <w:r w:rsidR="00FE7026">
        <w:t xml:space="preserve">give </w:t>
      </w:r>
      <w:r>
        <w:t>permitting authorities the information necessary to assess permittee compliance. Self-monitoring data also help the permitting authority modify or develop permit limits. Permitting authorities may also require other types of monitoring data, such as influent monitoring data to evaluate a plant’s operational aspects</w:t>
      </w:r>
      <w:r w:rsidR="00A629C8">
        <w:t>,</w:t>
      </w:r>
      <w:r>
        <w:t xml:space="preserve"> ambient stream monitoring data to measure a permit’s effectiveness in protecting water quality</w:t>
      </w:r>
      <w:r w:rsidR="00A629C8">
        <w:t xml:space="preserve">, </w:t>
      </w:r>
      <w:r>
        <w:t>internal waste stream data when monitoring at the point of discharge is impractical or infeasible</w:t>
      </w:r>
      <w:r w:rsidR="00A629C8">
        <w:t xml:space="preserve">, </w:t>
      </w:r>
      <w:r>
        <w:t>or visual monitoring (including underwater surveys) that might be necessary to determine compliance with permit limits.</w:t>
      </w:r>
    </w:p>
    <w:p w14:paraId="3078CD6E" w14:textId="4ADD0A92" w:rsidR="00F253DA" w:rsidRDefault="00F253DA" w:rsidP="00F253DA">
      <w:r w:rsidRPr="002C7C4A">
        <w:t xml:space="preserve">A permittee generally informs the permitting authority about its discharge through a </w:t>
      </w:r>
      <w:r w:rsidR="00FE7026">
        <w:t>d</w:t>
      </w:r>
      <w:r w:rsidR="00FE7026" w:rsidRPr="002C7C4A">
        <w:t xml:space="preserve">ischarge </w:t>
      </w:r>
      <w:r w:rsidR="00FE7026">
        <w:t>m</w:t>
      </w:r>
      <w:r w:rsidR="00FE7026" w:rsidRPr="002C7C4A">
        <w:t xml:space="preserve">onitoring </w:t>
      </w:r>
      <w:r w:rsidR="00FE7026">
        <w:t>r</w:t>
      </w:r>
      <w:r w:rsidR="00FE7026" w:rsidRPr="002C7C4A">
        <w:t xml:space="preserve">eport </w:t>
      </w:r>
      <w:r w:rsidRPr="002C7C4A">
        <w:t xml:space="preserve">(DMR). The DMR lists all the results from the permittee’s required self-monitoring of pollutants. The permitting authority reviews this information and compares it with permit limits to determine compliance and/or if there is a need to develop additional limits. In addition to DMRs, permittees may be required to submit reports on violations of </w:t>
      </w:r>
      <w:r>
        <w:t>certain</w:t>
      </w:r>
      <w:r w:rsidRPr="002C7C4A">
        <w:t xml:space="preserve"> discharge limitations</w:t>
      </w:r>
      <w:r>
        <w:t xml:space="preserve"> (e.g., maximum daily)</w:t>
      </w:r>
      <w:r w:rsidRPr="002C7C4A">
        <w:t xml:space="preserve">, as specifically required in their permits. This latter reporting requirement is intended to alert the permitting authority </w:t>
      </w:r>
      <w:r w:rsidR="00A629C8">
        <w:t>to</w:t>
      </w:r>
      <w:r w:rsidR="00A629C8" w:rsidRPr="002C7C4A">
        <w:t xml:space="preserve"> </w:t>
      </w:r>
      <w:r w:rsidRPr="002C7C4A">
        <w:t>potential health or environmental risks that could require a timely response. The data collected by this requirement are more incident-specific than the summary information provided on the DMR.</w:t>
      </w:r>
    </w:p>
    <w:p w14:paraId="0A5C2236" w14:textId="4A422497" w:rsidR="00D72AF4" w:rsidRDefault="003F65D6" w:rsidP="00D72AF4">
      <w:r w:rsidRPr="009B7078">
        <w:rPr>
          <w:i/>
        </w:rPr>
        <w:t>Data management</w:t>
      </w:r>
      <w:r>
        <w:t xml:space="preserve">. </w:t>
      </w:r>
      <w:r w:rsidR="00F51A99">
        <w:t xml:space="preserve">EPA uses </w:t>
      </w:r>
      <w:r w:rsidR="00CC21CC">
        <w:t>the Integrated Compliance Information System (</w:t>
      </w:r>
      <w:r w:rsidR="00525114">
        <w:t>ICIS-NPDES</w:t>
      </w:r>
      <w:r w:rsidR="00CC21CC">
        <w:t>)</w:t>
      </w:r>
      <w:r w:rsidR="00F51A99">
        <w:t xml:space="preserve"> </w:t>
      </w:r>
      <w:r w:rsidR="00CC21CC">
        <w:t xml:space="preserve">as its national system </w:t>
      </w:r>
      <w:r w:rsidR="00F51A99">
        <w:t xml:space="preserve">for </w:t>
      </w:r>
      <w:r w:rsidR="00464509">
        <w:t>managing data</w:t>
      </w:r>
      <w:r w:rsidR="00F51A99">
        <w:t xml:space="preserve">. </w:t>
      </w:r>
      <w:r w:rsidR="00D72AF4">
        <w:t xml:space="preserve">ICIS-NPDES </w:t>
      </w:r>
      <w:r w:rsidR="00F51A99">
        <w:t>is</w:t>
      </w:r>
      <w:r w:rsidR="00D72AF4">
        <w:t xml:space="preserve"> used to track permit limits, permit expiration dates, monitoring data, enforcement and compliance data, and other data</w:t>
      </w:r>
      <w:r w:rsidR="00464509">
        <w:t>. It also</w:t>
      </w:r>
      <w:r w:rsidR="00D72AF4">
        <w:t xml:space="preserve"> provide</w:t>
      </w:r>
      <w:r w:rsidR="00464509">
        <w:t>s</w:t>
      </w:r>
      <w:r w:rsidR="00D72AF4">
        <w:t xml:space="preserve"> EPA with a nationwide inventory of permit holders. EPA and most states store basic information for stormwater permittees in databases separate from ICIS-NPDES. EPA uses </w:t>
      </w:r>
      <w:r w:rsidR="003478FE">
        <w:t>ICIS-NPDES</w:t>
      </w:r>
      <w:r w:rsidR="00D72AF4">
        <w:t xml:space="preserve"> information to develop reports on permit issuance, backlog, and compliance rates. EPA also uses the information to respond to public and congressional inquiries, develop and guide its policies, support enforcement action, formulate its budgets, and manage its programs to ensure national consistency in permitting. For the most part, states and territories are authorized to implement the NPDES permitting program, manage </w:t>
      </w:r>
      <w:r w:rsidR="00A629C8">
        <w:t xml:space="preserve">the data, </w:t>
      </w:r>
      <w:r w:rsidR="00D72AF4">
        <w:t xml:space="preserve">and </w:t>
      </w:r>
      <w:r w:rsidR="007551CA">
        <w:t xml:space="preserve">use them </w:t>
      </w:r>
      <w:r w:rsidR="00D72AF4">
        <w:t>in a similar fashion to EPA</w:t>
      </w:r>
      <w:r>
        <w:t>.</w:t>
      </w:r>
      <w:r w:rsidR="00D72AF4">
        <w:t xml:space="preserve"> </w:t>
      </w:r>
      <w:r>
        <w:t>A</w:t>
      </w:r>
      <w:r w:rsidR="00D72AF4">
        <w:t xml:space="preserve">s a result, </w:t>
      </w:r>
      <w:r>
        <w:t xml:space="preserve">EPA and the states and territories </w:t>
      </w:r>
      <w:r w:rsidR="00D72AF4">
        <w:t>incur similar types of burdens</w:t>
      </w:r>
      <w:r w:rsidR="003478FE">
        <w:t xml:space="preserve"> associated with data collection and management</w:t>
      </w:r>
      <w:r w:rsidR="00D72AF4">
        <w:t>.</w:t>
      </w:r>
    </w:p>
    <w:p w14:paraId="6CE8F5FA" w14:textId="5BEDAF10" w:rsidR="00D72AF4" w:rsidRDefault="00C72E37" w:rsidP="00D72AF4">
      <w:r w:rsidRPr="00C72E37">
        <w:rPr>
          <w:i/>
        </w:rPr>
        <w:t>Data use</w:t>
      </w:r>
      <w:r>
        <w:t xml:space="preserve">. </w:t>
      </w:r>
      <w:r w:rsidR="00F63866" w:rsidRPr="00F63866">
        <w:t xml:space="preserve">For individual permits, </w:t>
      </w:r>
      <w:r w:rsidR="00D72AF4">
        <w:t>EPA and states analyze monitoring data when establishing permit conditions. For example, NPDES permit writers may revise permit requirements on the basis of data from monitoring reports. Furthermore, EPA and states have referred to DMR data on pollutants when developing lists of waters impaired by pollutants and point source dischargers that may cause or contribute to degradation of the quality of those waters.</w:t>
      </w:r>
    </w:p>
    <w:p w14:paraId="41F67109" w14:textId="5D1126A9" w:rsidR="00D72AF4" w:rsidRDefault="00D72AF4" w:rsidP="00D72AF4">
      <w:r>
        <w:t>As public information, monitoring data are used by public groups for a variety of purposes. Citizen groups review monitoring data to independently assess discharger compliance and noncompliance. In some instances, the data form the basis for citizen suits that are authorized under CWA section 505. In addition, environmental groups, academicians, and others use monitoring data to estimate toxic pollutant loading to streams, lakes, oceans, and estuaries.</w:t>
      </w:r>
    </w:p>
    <w:p w14:paraId="13D179B4" w14:textId="7A611634" w:rsidR="00D72AF4" w:rsidRDefault="00D72AF4" w:rsidP="00D72AF4">
      <w:r>
        <w:t>If noncompliance with permit conditions is detected, the permitting authority will</w:t>
      </w:r>
      <w:r w:rsidR="00C16FBF">
        <w:t xml:space="preserve"> use the data to help</w:t>
      </w:r>
      <w:r>
        <w:t xml:space="preserve"> determine the appropriate enforcement response based on the nature and severity of the violation, the overall frequency of noncompliance, and the degree of seriousness of the violation.</w:t>
      </w:r>
    </w:p>
    <w:p w14:paraId="4670B3BD" w14:textId="2F8AE72B" w:rsidR="00D72AF4" w:rsidRDefault="00D72AF4" w:rsidP="00D72AF4">
      <w:r>
        <w:t xml:space="preserve">There are several </w:t>
      </w:r>
      <w:r w:rsidR="00520899">
        <w:t>variations</w:t>
      </w:r>
      <w:r w:rsidR="00543B35">
        <w:t xml:space="preserve"> </w:t>
      </w:r>
      <w:r w:rsidR="007551CA">
        <w:t>in</w:t>
      </w:r>
      <w:r>
        <w:t xml:space="preserve"> the general flow of compliance</w:t>
      </w:r>
      <w:r w:rsidR="00E22EAF">
        <w:t>-</w:t>
      </w:r>
      <w:r w:rsidR="00543B35">
        <w:t>related</w:t>
      </w:r>
      <w:r>
        <w:t xml:space="preserve"> data </w:t>
      </w:r>
      <w:r w:rsidR="00A001E7">
        <w:t xml:space="preserve">from </w:t>
      </w:r>
      <w:r>
        <w:t xml:space="preserve">the permittee to the permitting authority. EPA may require </w:t>
      </w:r>
      <w:r w:rsidR="007551CA">
        <w:t xml:space="preserve">more </w:t>
      </w:r>
      <w:r>
        <w:t>information in the form of a section 308(a) letter</w:t>
      </w:r>
      <w:r w:rsidR="00F11B46">
        <w:t>.</w:t>
      </w:r>
      <w:r w:rsidR="00B33478">
        <w:t xml:space="preserve"> </w:t>
      </w:r>
      <w:r w:rsidR="00A001E7">
        <w:t>I</w:t>
      </w:r>
      <w:r>
        <w:t>n the case of the NPDES stormwater permitting program</w:t>
      </w:r>
      <w:r w:rsidR="007551CA">
        <w:t>,</w:t>
      </w:r>
      <w:r>
        <w:t xml:space="preserve"> the regulatory requirement is for records retention rather than reporting. This </w:t>
      </w:r>
      <w:r w:rsidR="00BE6913">
        <w:t xml:space="preserve">type of </w:t>
      </w:r>
      <w:r>
        <w:t>activity is reflected in this ICR as a recordkeeping activity.</w:t>
      </w:r>
    </w:p>
    <w:p w14:paraId="0FD61846" w14:textId="69218818" w:rsidR="0017745D" w:rsidRPr="005A1A1F" w:rsidRDefault="00DD51FD" w:rsidP="00A42D5C">
      <w:r>
        <w:t>A permit may be modified to change its limits and conditions</w:t>
      </w:r>
      <w:r w:rsidR="0017745D" w:rsidRPr="00A42D5C">
        <w:t xml:space="preserve"> without affecting the permit’s term. Information supporting modification requests is collected during the effective term of the permit. Variances, alternatively, allow effluent limitation requirements or time deadlines to be modified or waived. During the permit development process, the permitting authority collects information from facilities to evaluate variance requests. In each case, the information collected is used to update or supplement permit application data.</w:t>
      </w:r>
    </w:p>
    <w:p w14:paraId="24DECB92" w14:textId="17031339" w:rsidR="00D72AF4" w:rsidRDefault="00D72AF4" w:rsidP="00D72AF4">
      <w:r>
        <w:t>Use of the data provided in each type of modification or variance request varies greatly because the information requirements of these items are so diverse. In general, EPA and authorized states use the information to determine whether the conditions or requirements that would warrant a modification or variance exist, and the progress toward achieving the goals of the CWA continue</w:t>
      </w:r>
      <w:r w:rsidR="00A001E7">
        <w:t>s</w:t>
      </w:r>
      <w:r>
        <w:t xml:space="preserve"> if the modification or variance is granted.</w:t>
      </w:r>
    </w:p>
    <w:p w14:paraId="00239636" w14:textId="4B8B11E6" w:rsidR="00D72AF4" w:rsidRDefault="00436AB4" w:rsidP="00D72AF4">
      <w:r>
        <w:t xml:space="preserve">Reporting </w:t>
      </w:r>
      <w:r w:rsidR="00D72AF4">
        <w:t xml:space="preserve">by municipalities under the CSO Control Policy </w:t>
      </w:r>
      <w:r w:rsidR="00A001E7">
        <w:t xml:space="preserve">gives </w:t>
      </w:r>
      <w:r w:rsidR="00D72AF4">
        <w:t xml:space="preserve">NPDES permitting authorities the information </w:t>
      </w:r>
      <w:r w:rsidR="00A001E7">
        <w:t xml:space="preserve">they need </w:t>
      </w:r>
      <w:r w:rsidR="00D72AF4">
        <w:t>to determine whether a municipality’s CSO control program is adequate to achieve compliance with CWA requirements and applicable state WQS</w:t>
      </w:r>
      <w:r w:rsidR="00A001E7">
        <w:t xml:space="preserve">, </w:t>
      </w:r>
      <w:r w:rsidR="00D72AF4">
        <w:t>to establish permit terms and conditions for CSOs</w:t>
      </w:r>
      <w:r w:rsidR="00A001E7">
        <w:t xml:space="preserve">, </w:t>
      </w:r>
      <w:r w:rsidR="00D72AF4">
        <w:t>to track performance</w:t>
      </w:r>
      <w:r w:rsidR="00A001E7">
        <w:t xml:space="preserve">, </w:t>
      </w:r>
      <w:r w:rsidR="00D72AF4">
        <w:t>to identify and assess violations</w:t>
      </w:r>
      <w:r w:rsidR="00A001E7">
        <w:t xml:space="preserve">, </w:t>
      </w:r>
      <w:r w:rsidR="00D72AF4">
        <w:t xml:space="preserve">and to target inspection and enforcement actions. The information is also used by EPA Regions and states to develop and evaluate the success of their CSO Control Strategies. EPA will also use </w:t>
      </w:r>
      <w:r w:rsidR="00A001E7">
        <w:t xml:space="preserve">these </w:t>
      </w:r>
      <w:r w:rsidR="00D72AF4">
        <w:t>data to measure its performance in achieving the goals of the CSO Control Policy.</w:t>
      </w:r>
    </w:p>
    <w:p w14:paraId="6427037A" w14:textId="415AD9BB" w:rsidR="00632B46" w:rsidRDefault="00C72E37" w:rsidP="00B101A0">
      <w:r w:rsidRPr="00C72E37">
        <w:rPr>
          <w:i/>
        </w:rPr>
        <w:t>Oversight</w:t>
      </w:r>
      <w:r>
        <w:t xml:space="preserve">. </w:t>
      </w:r>
      <w:r w:rsidR="00D72AF4">
        <w:t xml:space="preserve">Information collected by EPA is used to evaluate the adequacy of a state’s NPDES or sludge program, and to </w:t>
      </w:r>
      <w:r w:rsidR="00A001E7">
        <w:t xml:space="preserve">enable </w:t>
      </w:r>
      <w:r w:rsidR="00D72AF4">
        <w:t xml:space="preserve">EPA to fulfill its </w:t>
      </w:r>
      <w:r w:rsidR="00436AB4">
        <w:t xml:space="preserve">statutory </w:t>
      </w:r>
      <w:r w:rsidR="00D72AF4">
        <w:t xml:space="preserve">function of oversight over state program performance and individual permit actions. EPA will also use this information to evaluate states’ requests for full or partial program authorization and program modifications. To evaluate the adequacy of a state’s proposed program, </w:t>
      </w:r>
      <w:r w:rsidR="0018582C">
        <w:t xml:space="preserve">EPA must have </w:t>
      </w:r>
      <w:r w:rsidR="00D72AF4">
        <w:t>appropriate information to ensure that proper procedures, regulations, and statutes are in place and consistent with CWA requirements.</w:t>
      </w:r>
      <w:r w:rsidR="00632B46" w:rsidRPr="00632B46">
        <w:t xml:space="preserve"> </w:t>
      </w:r>
      <w:r w:rsidR="00632B46">
        <w:t>EPA’s ongoing monitoring of authorized state programs ensures continued compliance with the goals and requirements of the CWA and state programs. EPA uses information about permittees’ noncompliance to do the following:</w:t>
      </w:r>
    </w:p>
    <w:p w14:paraId="47BD55DB" w14:textId="0D687333" w:rsidR="00632B46" w:rsidRDefault="00632B46" w:rsidP="00EF1FFC">
      <w:pPr>
        <w:pStyle w:val="ListParagraph"/>
        <w:numPr>
          <w:ilvl w:val="0"/>
          <w:numId w:val="56"/>
        </w:numPr>
        <w:ind w:left="720" w:hanging="360"/>
      </w:pPr>
      <w:r>
        <w:t>Evaluate the effectiveness of state compliance enforcement programs;</w:t>
      </w:r>
    </w:p>
    <w:p w14:paraId="45939A09" w14:textId="20B8BD6A" w:rsidR="00632B46" w:rsidRDefault="00632B46" w:rsidP="00EF1FFC">
      <w:pPr>
        <w:pStyle w:val="ListParagraph"/>
        <w:numPr>
          <w:ilvl w:val="0"/>
          <w:numId w:val="56"/>
        </w:numPr>
        <w:ind w:left="720" w:hanging="360"/>
      </w:pPr>
      <w:r>
        <w:t>Support its own enforcement actions, if any, against dischargers in authorized states; and</w:t>
      </w:r>
    </w:p>
    <w:p w14:paraId="5204BFB0" w14:textId="6A473CBC" w:rsidR="00D72AF4" w:rsidRDefault="00632B46" w:rsidP="00EF1FFC">
      <w:pPr>
        <w:pStyle w:val="ListParagraph"/>
        <w:numPr>
          <w:ilvl w:val="0"/>
          <w:numId w:val="56"/>
        </w:numPr>
        <w:ind w:left="720" w:hanging="360"/>
      </w:pPr>
      <w:r>
        <w:t>Generate and publish noncompliance rates to be used in reports to offices within EPA and to OMB and Congress.</w:t>
      </w:r>
    </w:p>
    <w:p w14:paraId="71C40DCD" w14:textId="51825CD0" w:rsidR="00D72AF4" w:rsidRDefault="00D72AF4" w:rsidP="00F0499E">
      <w:r>
        <w:t>In a Memorandum of Agreement, EPA Regions and authorized states define which permits the Region will and will not</w:t>
      </w:r>
      <w:r w:rsidR="00BF7F5B" w:rsidRPr="00BF7F5B">
        <w:t xml:space="preserve"> be provided for</w:t>
      </w:r>
      <w:r>
        <w:t xml:space="preserve"> review. Generally, the Region must be </w:t>
      </w:r>
      <w:r w:rsidR="0018582C">
        <w:t xml:space="preserve">given </w:t>
      </w:r>
      <w:r>
        <w:t>the opportunity to review all permits for major facilities, all general permits, and a small percentage of permits for minor facilities. The information submitted by states consists of all appropriate data necessary for permit review––application forms, fact sheets, draft permits, and the like. EPA uses the information submitted by states to review state-issued permits for compliance with federal laws. Sewage sludge noncompliance reports serve the same purposes as NPDES effluent noncompliance reports. However, sewage sludge reports are required only annually.</w:t>
      </w:r>
    </w:p>
    <w:p w14:paraId="2E960F74" w14:textId="237F48B1" w:rsidR="00770DDB" w:rsidRDefault="00770DDB" w:rsidP="00770DDB">
      <w:r w:rsidRPr="009B7078">
        <w:rPr>
          <w:i/>
        </w:rPr>
        <w:t>Other regulations</w:t>
      </w:r>
      <w:r>
        <w:t xml:space="preserve">. To meet its obligations under the CWA, National Historic Preservation Act (NHPA), and Endangered Species Act (ESA), and to promote those acts’ goals, EPA must ensure that discharges covered under EPA-issued NPDES permits are protective of historic properties, endangered and threatened species, and critical habitat. </w:t>
      </w:r>
      <w:r w:rsidR="0018582C">
        <w:t>A</w:t>
      </w:r>
      <w:r>
        <w:t>pplicants are required to assess the effects of their discharges on historic properties, federally</w:t>
      </w:r>
      <w:r w:rsidR="0018582C">
        <w:t xml:space="preserve"> </w:t>
      </w:r>
      <w:r>
        <w:t xml:space="preserve">listed endangered and threatened species, and designated critical habitat. Information from this assessment for stormwater or PGP applicants is provided in the </w:t>
      </w:r>
      <w:r w:rsidR="00970263">
        <w:t xml:space="preserve">NOI </w:t>
      </w:r>
      <w:r>
        <w:t>and therefore contained in the NOI database. Authorized states are not required to meet the ESA and NHPA obligations, and therefore no ESA or NHPA burden is associated with state-issued permits.</w:t>
      </w:r>
    </w:p>
    <w:p w14:paraId="6436C972" w14:textId="1FCE1775" w:rsidR="00770DDB" w:rsidRDefault="00770DDB" w:rsidP="00770DDB">
      <w:r>
        <w:t>Recently added NPDES program</w:t>
      </w:r>
      <w:r w:rsidR="00970263">
        <w:t xml:space="preserve"> component</w:t>
      </w:r>
      <w:r>
        <w:t>s are discussed in more detail below.</w:t>
      </w:r>
    </w:p>
    <w:p w14:paraId="5564E195" w14:textId="3BCE33B0" w:rsidR="00C63CA5" w:rsidRDefault="00096FE6" w:rsidP="00D72AF4">
      <w:r>
        <w:rPr>
          <w:i/>
        </w:rPr>
        <w:t xml:space="preserve">Airport deicing. </w:t>
      </w:r>
      <w:r w:rsidR="00C63CA5" w:rsidRPr="00C63CA5">
        <w:t xml:space="preserve">EPA and the states will use </w:t>
      </w:r>
      <w:r w:rsidR="00C63CA5">
        <w:t>i</w:t>
      </w:r>
      <w:r w:rsidR="00C63CA5" w:rsidRPr="00C63CA5">
        <w:t xml:space="preserve">nformation </w:t>
      </w:r>
      <w:r w:rsidR="00C63CA5">
        <w:t>submitted by airports concerning use of urea chemical</w:t>
      </w:r>
      <w:r w:rsidR="00436AB4">
        <w:t>s</w:t>
      </w:r>
      <w:r w:rsidR="00C63CA5">
        <w:t xml:space="preserve"> </w:t>
      </w:r>
      <w:r w:rsidR="00C63CA5" w:rsidRPr="00C63CA5">
        <w:t>to determine permittee</w:t>
      </w:r>
      <w:r w:rsidR="0018582C">
        <w:t>s’</w:t>
      </w:r>
      <w:r w:rsidR="00C63CA5" w:rsidRPr="00C63CA5">
        <w:t xml:space="preserve"> compliance with the regulations and administer enforcement actions if needed.</w:t>
      </w:r>
    </w:p>
    <w:p w14:paraId="0A67EBE7" w14:textId="77BF1AB4" w:rsidR="003F6CB5" w:rsidRDefault="00096FE6" w:rsidP="00B101A0">
      <w:r>
        <w:rPr>
          <w:i/>
        </w:rPr>
        <w:t>Pretreatment.</w:t>
      </w:r>
      <w:r>
        <w:t xml:space="preserve"> </w:t>
      </w:r>
      <w:r w:rsidR="009E33BB" w:rsidRPr="009E33BB">
        <w:t>Unlike other environmental programs that rely on federal or state governments to implement and enforce specific requirements, the National Pretreatment Program places most of the responsibility on local municipalities. These in turn impose information collection</w:t>
      </w:r>
      <w:r w:rsidR="00666EF9">
        <w:t>,</w:t>
      </w:r>
      <w:r w:rsidR="009E33BB" w:rsidRPr="009E33BB">
        <w:t xml:space="preserve"> monitoring</w:t>
      </w:r>
      <w:r w:rsidR="00666EF9">
        <w:t>, and reporting</w:t>
      </w:r>
      <w:r w:rsidR="009E33BB" w:rsidRPr="009E33BB">
        <w:t xml:space="preserve"> requirements on significant industrial users (SIUs) that discharge to POTWs.</w:t>
      </w:r>
      <w:r w:rsidR="009E33BB">
        <w:t xml:space="preserve"> </w:t>
      </w:r>
      <w:r w:rsidR="003142F0">
        <w:t>Thus, the regulation is perceived as indirectly requiring this data collection</w:t>
      </w:r>
      <w:r w:rsidR="003F6CB5">
        <w:t>.</w:t>
      </w:r>
    </w:p>
    <w:p w14:paraId="40ABAFC4" w14:textId="241AE5B1" w:rsidR="00E07935" w:rsidRDefault="002A2CA9" w:rsidP="00B101A0">
      <w:r>
        <w:t>T</w:t>
      </w:r>
      <w:r w:rsidRPr="002A2CA9">
        <w:t xml:space="preserve">he </w:t>
      </w:r>
      <w:r>
        <w:t xml:space="preserve">Pretreatment </w:t>
      </w:r>
      <w:r w:rsidR="00436AB4">
        <w:t>P</w:t>
      </w:r>
      <w:r w:rsidRPr="002A2CA9">
        <w:t>rogram requires all POTWs with design flows of more than 5 million gallons per day (mgd</w:t>
      </w:r>
      <w:r w:rsidR="006066D8" w:rsidRPr="002A2CA9">
        <w:t>)</w:t>
      </w:r>
      <w:r w:rsidR="006066D8">
        <w:t>—</w:t>
      </w:r>
      <w:r w:rsidRPr="002A2CA9">
        <w:t>as well as small POTWs with design flow</w:t>
      </w:r>
      <w:r w:rsidR="00436AB4">
        <w:t>s</w:t>
      </w:r>
      <w:r w:rsidRPr="002A2CA9">
        <w:t xml:space="preserve"> less than 5 mgd that receive discharges from industrial users (IUs)</w:t>
      </w:r>
      <w:r w:rsidR="00F722F9">
        <w:t xml:space="preserve"> that </w:t>
      </w:r>
      <w:r w:rsidRPr="002A2CA9">
        <w:t>may pass through or interfere with the</w:t>
      </w:r>
      <w:r w:rsidR="00F722F9">
        <w:t xml:space="preserve"> POTWs’</w:t>
      </w:r>
      <w:r w:rsidRPr="002A2CA9">
        <w:t xml:space="preserve"> operation, or </w:t>
      </w:r>
      <w:r w:rsidR="00F722F9">
        <w:t>small POTWs</w:t>
      </w:r>
      <w:r w:rsidR="00F722F9" w:rsidRPr="002A2CA9">
        <w:t xml:space="preserve"> </w:t>
      </w:r>
      <w:r w:rsidRPr="002A2CA9">
        <w:t>otherwise subject to National Pretreatment Standards</w:t>
      </w:r>
      <w:r w:rsidR="006066D8">
        <w:t>—</w:t>
      </w:r>
      <w:r w:rsidRPr="002A2CA9">
        <w:t xml:space="preserve">to establish local pretreatment programs. </w:t>
      </w:r>
      <w:r w:rsidR="00436AB4">
        <w:t>POTWs with approved local pretreatment programs</w:t>
      </w:r>
      <w:r w:rsidRPr="002A2CA9">
        <w:t xml:space="preserve"> enforce all national Pretreatment Standards and Requirements, as well as any more stringent local requirements determined necessary to protect </w:t>
      </w:r>
      <w:r w:rsidR="00F722F9">
        <w:t xml:space="preserve">them and their </w:t>
      </w:r>
      <w:r w:rsidRPr="002A2CA9">
        <w:t xml:space="preserve">workers, through local programs. </w:t>
      </w:r>
      <w:r w:rsidR="009A701C">
        <w:t>States that are a</w:t>
      </w:r>
      <w:r w:rsidRPr="002A2CA9">
        <w:t xml:space="preserve">uthorized </w:t>
      </w:r>
      <w:r w:rsidR="009A701C">
        <w:t xml:space="preserve">to administer </w:t>
      </w:r>
      <w:r w:rsidR="009A701C" w:rsidRPr="009A701C">
        <w:t xml:space="preserve">the National Pretreatment </w:t>
      </w:r>
      <w:r w:rsidR="00441DF0" w:rsidRPr="009A701C">
        <w:t xml:space="preserve">Program </w:t>
      </w:r>
      <w:r w:rsidR="00F722F9">
        <w:t>oversee</w:t>
      </w:r>
      <w:r w:rsidR="009A701C">
        <w:t xml:space="preserve"> the approved programs but</w:t>
      </w:r>
      <w:r w:rsidRPr="002A2CA9">
        <w:t xml:space="preserve"> may </w:t>
      </w:r>
      <w:r w:rsidR="009A701C">
        <w:t xml:space="preserve">also </w:t>
      </w:r>
      <w:r w:rsidRPr="002A2CA9">
        <w:t xml:space="preserve">opt to implement statewide pretreatment programs in lieu of requiring POTWs to do so. In statewide pretreatment programs, IUs submit data directly to state control authorities. </w:t>
      </w:r>
      <w:r w:rsidR="009A701C">
        <w:t>In non-authorized s</w:t>
      </w:r>
      <w:r w:rsidR="003F6CB5">
        <w:t>t</w:t>
      </w:r>
      <w:r w:rsidR="009A701C">
        <w:t xml:space="preserve">ates, the EPA </w:t>
      </w:r>
      <w:r w:rsidR="00E22EAF">
        <w:t>R</w:t>
      </w:r>
      <w:r w:rsidR="009A701C">
        <w:t xml:space="preserve">egions </w:t>
      </w:r>
      <w:r w:rsidR="003F6CB5">
        <w:t>oversee</w:t>
      </w:r>
      <w:r w:rsidR="009A701C" w:rsidRPr="009A701C">
        <w:t xml:space="preserve"> approved POTWs </w:t>
      </w:r>
      <w:r w:rsidR="009A701C">
        <w:t xml:space="preserve">and </w:t>
      </w:r>
      <w:r w:rsidR="009A701C" w:rsidRPr="009A701C">
        <w:t>indirect industri</w:t>
      </w:r>
      <w:r w:rsidR="00E22EAF">
        <w:t>al dischargers</w:t>
      </w:r>
      <w:r w:rsidR="009A701C" w:rsidRPr="009A701C">
        <w:t xml:space="preserve"> to POTWs without approved programs</w:t>
      </w:r>
      <w:r w:rsidR="00E07935">
        <w:t>.</w:t>
      </w:r>
    </w:p>
    <w:p w14:paraId="7178D981" w14:textId="3628D512" w:rsidR="002A3E05" w:rsidRDefault="002A2CA9" w:rsidP="00DE1B27">
      <w:r>
        <w:t xml:space="preserve">EPA, together with the various approval authorities and control authorities, implements </w:t>
      </w:r>
      <w:r w:rsidR="00236E21" w:rsidRPr="00236E21">
        <w:t>Pretreatment Standards and Requirements</w:t>
      </w:r>
      <w:r>
        <w:t xml:space="preserve"> through the National Pretreatment Program. These entities need information to:</w:t>
      </w:r>
    </w:p>
    <w:p w14:paraId="60CB025C" w14:textId="655894D9" w:rsidR="002A2CA9" w:rsidRDefault="002A2CA9" w:rsidP="00EF1FFC">
      <w:pPr>
        <w:pStyle w:val="ListParagraph"/>
        <w:numPr>
          <w:ilvl w:val="0"/>
          <w:numId w:val="25"/>
        </w:numPr>
      </w:pPr>
      <w:r>
        <w:t>Authorize state and local programs</w:t>
      </w:r>
      <w:r w:rsidR="00B57D7D">
        <w:t>;</w:t>
      </w:r>
    </w:p>
    <w:p w14:paraId="45D27606" w14:textId="12532838" w:rsidR="002A2CA9" w:rsidRDefault="002A2CA9" w:rsidP="00EF1FFC">
      <w:pPr>
        <w:pStyle w:val="ListParagraph"/>
        <w:numPr>
          <w:ilvl w:val="0"/>
          <w:numId w:val="25"/>
        </w:numPr>
      </w:pPr>
      <w:r>
        <w:t>Monitor and enforce compliance with the national standards</w:t>
      </w:r>
      <w:r w:rsidR="00B57D7D">
        <w:t>;</w:t>
      </w:r>
    </w:p>
    <w:p w14:paraId="61F14F36" w14:textId="1B3AA897" w:rsidR="002A2CA9" w:rsidRDefault="002A2CA9" w:rsidP="00EF1FFC">
      <w:pPr>
        <w:pStyle w:val="ListParagraph"/>
        <w:numPr>
          <w:ilvl w:val="0"/>
          <w:numId w:val="25"/>
        </w:numPr>
      </w:pPr>
      <w:r>
        <w:t>Determine the applicability of categorical standards</w:t>
      </w:r>
      <w:r w:rsidR="00B57D7D">
        <w:t>; and</w:t>
      </w:r>
    </w:p>
    <w:p w14:paraId="75E21BCE" w14:textId="1886CA96" w:rsidR="002A2CA9" w:rsidRDefault="002A2CA9" w:rsidP="00EF1FFC">
      <w:pPr>
        <w:pStyle w:val="ListParagraph"/>
        <w:numPr>
          <w:ilvl w:val="0"/>
          <w:numId w:val="25"/>
        </w:numPr>
      </w:pPr>
      <w:r>
        <w:t>Develop and enforce local limits</w:t>
      </w:r>
      <w:r w:rsidR="00E0458C">
        <w:t>.</w:t>
      </w:r>
    </w:p>
    <w:p w14:paraId="2C496ADF" w14:textId="02090C05" w:rsidR="00A94399" w:rsidRDefault="00096FE6" w:rsidP="00F0499E">
      <w:r>
        <w:rPr>
          <w:i/>
        </w:rPr>
        <w:t xml:space="preserve">CAFOs and CAAPs. </w:t>
      </w:r>
      <w:r w:rsidR="00FD4A0B">
        <w:t xml:space="preserve">Within </w:t>
      </w:r>
      <w:r w:rsidR="009E33BB">
        <w:t xml:space="preserve">the </w:t>
      </w:r>
      <w:r w:rsidR="00FD4A0B">
        <w:t>consolidated animal sector</w:t>
      </w:r>
      <w:r w:rsidR="009E33BB">
        <w:t xml:space="preserve">, </w:t>
      </w:r>
      <w:r w:rsidR="00565193">
        <w:t>i</w:t>
      </w:r>
      <w:r w:rsidR="00565193" w:rsidRPr="00565193">
        <w:t xml:space="preserve">nformation collected by the </w:t>
      </w:r>
      <w:r>
        <w:t>permitting authority</w:t>
      </w:r>
      <w:r w:rsidR="00565193" w:rsidRPr="00565193">
        <w:t xml:space="preserve"> about CAFO facilities and operating procedures is used to develop permit conditions and to </w:t>
      </w:r>
      <w:r w:rsidR="00436AB4">
        <w:t xml:space="preserve">ascertain whether </w:t>
      </w:r>
      <w:r w:rsidR="00565193" w:rsidRPr="00565193">
        <w:t xml:space="preserve">a permittee is in compliance with permit requirements. Information is collected using permit application forms and annual reports and through compliance evaluation inspections. </w:t>
      </w:r>
      <w:r w:rsidR="00565193">
        <w:t>P</w:t>
      </w:r>
      <w:r w:rsidR="00A94399" w:rsidRPr="00A94399">
        <w:t>ermitting authorities collect and use information from CAAP facilities on the use of investigational new animal drugs</w:t>
      </w:r>
      <w:r w:rsidR="00A94399">
        <w:t xml:space="preserve"> </w:t>
      </w:r>
      <w:r w:rsidR="00A94399" w:rsidRPr="00A94399">
        <w:t xml:space="preserve">and extra-label drugs, which may lead to permit requirements to prevent or minimize further discharges. </w:t>
      </w:r>
      <w:r w:rsidR="00FD4A0B">
        <w:t>I</w:t>
      </w:r>
      <w:r w:rsidR="00A94399" w:rsidRPr="00A94399">
        <w:t xml:space="preserve">nformation collected from CAAP facilities on </w:t>
      </w:r>
      <w:r w:rsidR="00FD4A0B">
        <w:t xml:space="preserve">structural integrity </w:t>
      </w:r>
      <w:r w:rsidR="00A94399" w:rsidRPr="00A94399">
        <w:t>failure</w:t>
      </w:r>
      <w:r w:rsidR="00FD4A0B">
        <w:t>s</w:t>
      </w:r>
      <w:r w:rsidR="00A94399" w:rsidRPr="00A94399">
        <w:t xml:space="preserve"> can </w:t>
      </w:r>
      <w:r w:rsidR="00FD4A0B">
        <w:t xml:space="preserve">give </w:t>
      </w:r>
      <w:r w:rsidR="00A94399" w:rsidRPr="00A94399">
        <w:t>the permitting authority some indication of pollutant slugs discharged to the receiving streams.</w:t>
      </w:r>
    </w:p>
    <w:p w14:paraId="3BC050A0" w14:textId="3FF47DB3" w:rsidR="00FF0D49" w:rsidRDefault="00096FE6" w:rsidP="00FF0D49">
      <w:r>
        <w:rPr>
          <w:i/>
        </w:rPr>
        <w:t xml:space="preserve">Cooling </w:t>
      </w:r>
      <w:r w:rsidR="00FD4A0B">
        <w:rPr>
          <w:i/>
        </w:rPr>
        <w:t>water intakes</w:t>
      </w:r>
      <w:r>
        <w:rPr>
          <w:i/>
        </w:rPr>
        <w:t>.</w:t>
      </w:r>
      <w:r>
        <w:t xml:space="preserve"> </w:t>
      </w:r>
      <w:r w:rsidR="00FD3C3B" w:rsidRPr="00FD3C3B">
        <w:t>The C</w:t>
      </w:r>
      <w:r w:rsidR="00FD3C3B">
        <w:t>WIS</w:t>
      </w:r>
      <w:r w:rsidR="00FD3C3B" w:rsidRPr="00FD3C3B">
        <w:t xml:space="preserve"> New Facility Rule</w:t>
      </w:r>
      <w:r w:rsidR="008C4F7B">
        <w:t xml:space="preserve">, </w:t>
      </w:r>
      <w:r w:rsidR="00631D32">
        <w:t xml:space="preserve">CWIS </w:t>
      </w:r>
      <w:r w:rsidR="008C4F7B">
        <w:t>Phase III Rule</w:t>
      </w:r>
      <w:r w:rsidR="00FD4A0B">
        <w:t>,</w:t>
      </w:r>
      <w:r w:rsidR="00FD3C3B" w:rsidRPr="00FD3C3B">
        <w:t xml:space="preserve"> and </w:t>
      </w:r>
      <w:r w:rsidR="00E71392">
        <w:t xml:space="preserve">CWIS </w:t>
      </w:r>
      <w:r w:rsidR="00FD3C3B" w:rsidRPr="00FD3C3B">
        <w:t xml:space="preserve">Existing Facility </w:t>
      </w:r>
      <w:r w:rsidR="00FD3C3B">
        <w:t>R</w:t>
      </w:r>
      <w:r w:rsidR="00FD3C3B" w:rsidRPr="00FD3C3B">
        <w:t xml:space="preserve">ule require facilities to submit several distinct types of information </w:t>
      </w:r>
      <w:r w:rsidR="008C4F7B">
        <w:t xml:space="preserve">related to their use of CWISs </w:t>
      </w:r>
      <w:r w:rsidR="00FD3C3B" w:rsidRPr="00FD3C3B">
        <w:t>as part of their NPDES permit application</w:t>
      </w:r>
      <w:r w:rsidR="00FD4A0B">
        <w:t>s</w:t>
      </w:r>
      <w:r w:rsidR="00FD3C3B" w:rsidRPr="00FD3C3B">
        <w:t xml:space="preserve">. </w:t>
      </w:r>
      <w:r w:rsidR="00FD4A0B">
        <w:t>T</w:t>
      </w:r>
      <w:r w:rsidR="00FD3C3B" w:rsidRPr="00FD3C3B">
        <w:t>he rule</w:t>
      </w:r>
      <w:r w:rsidR="00E71392">
        <w:t>s</w:t>
      </w:r>
      <w:r w:rsidR="00FD3C3B" w:rsidRPr="00FD3C3B">
        <w:t xml:space="preserve"> </w:t>
      </w:r>
      <w:r w:rsidR="00FD4A0B">
        <w:t xml:space="preserve">also </w:t>
      </w:r>
      <w:r w:rsidR="00FD3C3B" w:rsidRPr="00FD3C3B">
        <w:t xml:space="preserve">require facilities to </w:t>
      </w:r>
      <w:r w:rsidR="00E22EAF">
        <w:t>submit</w:t>
      </w:r>
      <w:r w:rsidR="00E22EAF" w:rsidRPr="00FD3C3B">
        <w:t xml:space="preserve"> </w:t>
      </w:r>
      <w:r w:rsidR="00B57D7D">
        <w:t>CWIS-</w:t>
      </w:r>
      <w:r w:rsidR="008C4F7B">
        <w:t xml:space="preserve">related </w:t>
      </w:r>
      <w:r w:rsidR="00FD3C3B" w:rsidRPr="00FD3C3B">
        <w:t xml:space="preserve">monitoring and reporting data as outlined by the </w:t>
      </w:r>
      <w:r w:rsidR="000F496D">
        <w:t xml:space="preserve">permitting </w:t>
      </w:r>
      <w:r w:rsidR="00FD4A0B">
        <w:t>authorities</w:t>
      </w:r>
      <w:r w:rsidR="00FD4A0B" w:rsidRPr="00FD3C3B">
        <w:t xml:space="preserve"> </w:t>
      </w:r>
      <w:r w:rsidR="00FD3C3B" w:rsidRPr="00FD3C3B">
        <w:t>in their NPDES permits.</w:t>
      </w:r>
      <w:r w:rsidR="00FF0D49">
        <w:t xml:space="preserve"> </w:t>
      </w:r>
      <w:r w:rsidR="00FF0D49" w:rsidRPr="00FD3C3B">
        <w:t xml:space="preserve">Information collected will be used by facilities, </w:t>
      </w:r>
      <w:r w:rsidR="00FF0D49">
        <w:t>permitting authorities</w:t>
      </w:r>
      <w:r w:rsidR="00FF0D49" w:rsidRPr="00FD3C3B">
        <w:t>, EPA, and other stakeholders.</w:t>
      </w:r>
    </w:p>
    <w:p w14:paraId="401E9A08" w14:textId="6D902B68" w:rsidR="005A5035" w:rsidRDefault="00FF0D49" w:rsidP="00D72AF4">
      <w:r>
        <w:t xml:space="preserve">Among these groups, the primary users </w:t>
      </w:r>
      <w:r w:rsidR="00FD3C3B" w:rsidRPr="00FD3C3B">
        <w:t xml:space="preserve">will be </w:t>
      </w:r>
      <w:r w:rsidR="000F496D">
        <w:t xml:space="preserve">permitting authorities </w:t>
      </w:r>
      <w:r w:rsidR="00B57D7D">
        <w:t>(</w:t>
      </w:r>
      <w:r w:rsidR="00631D32">
        <w:t>including</w:t>
      </w:r>
      <w:r w:rsidR="00FD3C3B" w:rsidRPr="00FD3C3B">
        <w:t xml:space="preserve"> states authorized to administer the NPDES permitting program</w:t>
      </w:r>
      <w:r w:rsidR="00B57D7D">
        <w:t>)</w:t>
      </w:r>
      <w:r w:rsidR="00FD3C3B" w:rsidRPr="00FD3C3B">
        <w:t xml:space="preserve"> and EPA Regions. Since section 316(b) standards are implemented through NPDES permits, the rule affects </w:t>
      </w:r>
      <w:r w:rsidR="000F496D">
        <w:t>permitting authorities</w:t>
      </w:r>
      <w:r w:rsidR="000F496D" w:rsidRPr="00FD3C3B">
        <w:t xml:space="preserve"> </w:t>
      </w:r>
      <w:r w:rsidR="00FD3C3B" w:rsidRPr="00FD3C3B">
        <w:t xml:space="preserve">in a manner similar to other </w:t>
      </w:r>
      <w:r w:rsidR="00E71392">
        <w:t>N</w:t>
      </w:r>
      <w:r w:rsidR="00FD3C3B" w:rsidRPr="00FD3C3B">
        <w:t xml:space="preserve">PDES program requirements. </w:t>
      </w:r>
      <w:r w:rsidR="00631D32">
        <w:t>T</w:t>
      </w:r>
      <w:r w:rsidR="00FD3C3B" w:rsidRPr="00FD3C3B">
        <w:t>he</w:t>
      </w:r>
      <w:r w:rsidR="003F7669">
        <w:t xml:space="preserve">se authorities </w:t>
      </w:r>
      <w:r w:rsidR="00FD3C3B" w:rsidRPr="00FD3C3B">
        <w:t>will use the information to verify that the NPDES permit application is complete</w:t>
      </w:r>
      <w:r w:rsidR="003F7669">
        <w:t>;</w:t>
      </w:r>
      <w:r w:rsidR="003F7669" w:rsidRPr="00FD3C3B">
        <w:t xml:space="preserve"> </w:t>
      </w:r>
      <w:r w:rsidR="00631D32">
        <w:t xml:space="preserve">to </w:t>
      </w:r>
      <w:r w:rsidR="00FD3C3B" w:rsidRPr="00FD3C3B">
        <w:t xml:space="preserve">assess whether the </w:t>
      </w:r>
      <w:r w:rsidR="003F7669">
        <w:t xml:space="preserve">facility’s chosen </w:t>
      </w:r>
      <w:r w:rsidR="00FD3C3B" w:rsidRPr="00FD3C3B">
        <w:t>compliance alternative is appropriate</w:t>
      </w:r>
      <w:r w:rsidR="003F7669">
        <w:t>;</w:t>
      </w:r>
      <w:r w:rsidR="003F7669" w:rsidRPr="00FD3C3B">
        <w:t xml:space="preserve"> </w:t>
      </w:r>
      <w:r w:rsidR="00FD3C3B" w:rsidRPr="00FD3C3B">
        <w:t xml:space="preserve">and to evaluate monitoring data, annual reports, and other information to confirm that the facility remains in compliance throughout its permit term. </w:t>
      </w:r>
      <w:r w:rsidR="003F7669">
        <w:t>A</w:t>
      </w:r>
      <w:r w:rsidR="003F7669" w:rsidRPr="00FD3C3B">
        <w:t xml:space="preserve"> </w:t>
      </w:r>
      <w:r w:rsidR="000F496D">
        <w:t>permitting authority</w:t>
      </w:r>
      <w:r w:rsidR="000F496D" w:rsidRPr="00FD3C3B">
        <w:t xml:space="preserve"> </w:t>
      </w:r>
      <w:r w:rsidR="00FD3C3B" w:rsidRPr="00FD3C3B">
        <w:t xml:space="preserve">may also use the information to develop special permit conditions, such as additional protections for </w:t>
      </w:r>
      <w:r w:rsidR="00631D32">
        <w:t xml:space="preserve">threatened or </w:t>
      </w:r>
      <w:r w:rsidR="00FD3C3B" w:rsidRPr="00FD3C3B">
        <w:t>endangered species.</w:t>
      </w:r>
    </w:p>
    <w:p w14:paraId="028A2A70" w14:textId="60E66D49" w:rsidR="003F7669" w:rsidRDefault="003F7669" w:rsidP="00D72AF4">
      <w:r>
        <w:t>F</w:t>
      </w:r>
      <w:r w:rsidRPr="00FD3C3B">
        <w:t>acilities</w:t>
      </w:r>
      <w:r>
        <w:t xml:space="preserve">, meanwhile, may use the collected information </w:t>
      </w:r>
      <w:r w:rsidRPr="00FD3C3B">
        <w:t>to monitor their CWIS performance and the performance of design and construction technologies</w:t>
      </w:r>
      <w:r>
        <w:t xml:space="preserve"> they are using</w:t>
      </w:r>
      <w:r w:rsidRPr="00FD3C3B">
        <w:t>.</w:t>
      </w:r>
    </w:p>
    <w:p w14:paraId="54F8722B" w14:textId="19D674EF" w:rsidR="009E68FD" w:rsidRDefault="007F5227" w:rsidP="00D72AF4">
      <w:r>
        <w:rPr>
          <w:i/>
        </w:rPr>
        <w:t xml:space="preserve">Electronic Reporting Rule. </w:t>
      </w:r>
      <w:r w:rsidR="00661B26">
        <w:t>Th</w:t>
      </w:r>
      <w:r w:rsidR="00FF0D49">
        <w:t>is r</w:t>
      </w:r>
      <w:r w:rsidR="00661B26">
        <w:t xml:space="preserve">ule </w:t>
      </w:r>
      <w:r w:rsidR="006F40C9" w:rsidRPr="006F40C9">
        <w:t>reduce</w:t>
      </w:r>
      <w:r w:rsidR="006F40C9">
        <w:t>s</w:t>
      </w:r>
      <w:r w:rsidR="006F40C9" w:rsidRPr="006F40C9">
        <w:t xml:space="preserve"> the </w:t>
      </w:r>
      <w:r w:rsidR="00B57D7D" w:rsidRPr="006F40C9">
        <w:t>reporting</w:t>
      </w:r>
      <w:r w:rsidR="00B57D7D">
        <w:t>-</w:t>
      </w:r>
      <w:r w:rsidR="006F40C9" w:rsidRPr="006F40C9">
        <w:t>related burdens on authorized NPDES programs, EPA, and regulated entities</w:t>
      </w:r>
      <w:r w:rsidR="00F5019F" w:rsidRPr="00F5019F">
        <w:t xml:space="preserve"> </w:t>
      </w:r>
      <w:r w:rsidR="00F5019F">
        <w:t xml:space="preserve">by </w:t>
      </w:r>
      <w:r w:rsidR="00F5019F" w:rsidRPr="00F5019F">
        <w:t>replac</w:t>
      </w:r>
      <w:r w:rsidR="00F5019F">
        <w:t>ing</w:t>
      </w:r>
      <w:r w:rsidR="00F5019F" w:rsidRPr="00F5019F">
        <w:t xml:space="preserve"> </w:t>
      </w:r>
      <w:r w:rsidR="00FF0D49">
        <w:t xml:space="preserve">certain </w:t>
      </w:r>
      <w:r w:rsidR="00F5019F" w:rsidRPr="00F5019F">
        <w:t>paper-based re</w:t>
      </w:r>
      <w:r w:rsidR="00F5019F">
        <w:t>ports with electronic report</w:t>
      </w:r>
      <w:r w:rsidR="00B57D7D">
        <w:t>s</w:t>
      </w:r>
      <w:r w:rsidR="006F40C9">
        <w:t xml:space="preserve">. </w:t>
      </w:r>
      <w:r w:rsidR="00FF0D49">
        <w:t xml:space="preserve">It </w:t>
      </w:r>
      <w:r w:rsidR="00F5019F" w:rsidRPr="00F5019F">
        <w:t>primarily affects regulated entities and state and federal regulators</w:t>
      </w:r>
      <w:r w:rsidR="00436AB4">
        <w:t>,</w:t>
      </w:r>
      <w:r w:rsidR="00F5019F" w:rsidRPr="00F5019F">
        <w:t xml:space="preserve"> saving them time and resources while improving compliance and better protecting the nation’s waters. The rule also require</w:t>
      </w:r>
      <w:r w:rsidR="00436AB4">
        <w:t>s</w:t>
      </w:r>
      <w:r w:rsidR="00F5019F" w:rsidRPr="00F5019F">
        <w:t xml:space="preserve"> EPA Regions, states, territories, and tribes to share with EPA the information reported to authorized program</w:t>
      </w:r>
      <w:r w:rsidR="00FF0D49">
        <w:t xml:space="preserve">s, or information </w:t>
      </w:r>
      <w:r w:rsidR="00F5019F" w:rsidRPr="00F5019F">
        <w:t>generate</w:t>
      </w:r>
      <w:r w:rsidR="00FF0D49">
        <w:t>d</w:t>
      </w:r>
      <w:r w:rsidR="00F5019F" w:rsidRPr="00F5019F">
        <w:t xml:space="preserve"> with respect to regulated entities. </w:t>
      </w:r>
      <w:r w:rsidR="00F5019F">
        <w:t xml:space="preserve">Electronic reporting </w:t>
      </w:r>
      <w:r w:rsidR="00F5019F" w:rsidRPr="00F5019F">
        <w:t>deliver</w:t>
      </w:r>
      <w:r w:rsidR="00F5019F">
        <w:t>s</w:t>
      </w:r>
      <w:r w:rsidR="00F5019F" w:rsidRPr="00F5019F">
        <w:t xml:space="preserve"> </w:t>
      </w:r>
      <w:r w:rsidR="007361FD" w:rsidRPr="00F5019F">
        <w:t>timelier</w:t>
      </w:r>
      <w:r w:rsidR="00F5019F" w:rsidRPr="00F5019F">
        <w:t>, consistent, and accurate information to authorized NPDES programs, EPA, and other stakeholders. The shared information increase</w:t>
      </w:r>
      <w:r w:rsidR="00F5019F">
        <w:t>s</w:t>
      </w:r>
      <w:r w:rsidR="00F5019F" w:rsidRPr="00F5019F">
        <w:t xml:space="preserve"> transparency and accountability, and help</w:t>
      </w:r>
      <w:r w:rsidR="00F5019F">
        <w:t>s</w:t>
      </w:r>
      <w:r w:rsidR="00F5019F" w:rsidRPr="00F5019F">
        <w:t xml:space="preserve"> EPA and authorized NPDES programs monitor compliance with NPDES permits.</w:t>
      </w:r>
    </w:p>
    <w:p w14:paraId="29827809" w14:textId="2562DD53" w:rsidR="007F2877" w:rsidRDefault="00F0499E" w:rsidP="00B101A0">
      <w:pPr>
        <w:pStyle w:val="Heading2"/>
      </w:pPr>
      <w:bookmarkStart w:id="11" w:name="_Toc510451615"/>
      <w:r>
        <w:t>3.</w:t>
      </w:r>
      <w:r>
        <w:tab/>
      </w:r>
      <w:r w:rsidR="007F2877" w:rsidRPr="00673714">
        <w:t>Describe whether and to what extent the collection involves the use of automated processes or information technol</w:t>
      </w:r>
      <w:r w:rsidR="007F2877">
        <w:t>ogy to aid with the collection</w:t>
      </w:r>
      <w:bookmarkEnd w:id="11"/>
    </w:p>
    <w:p w14:paraId="2380E817" w14:textId="39A490ED" w:rsidR="008D63B6" w:rsidRDefault="00520899" w:rsidP="00F0499E">
      <w:r>
        <w:t xml:space="preserve">The </w:t>
      </w:r>
      <w:r w:rsidR="008D63B6" w:rsidRPr="008D63B6">
        <w:t>Electronic Reporting Rule</w:t>
      </w:r>
      <w:r w:rsidR="00D828EB">
        <w:t xml:space="preserve"> </w:t>
      </w:r>
      <w:r w:rsidR="008D63B6" w:rsidRPr="008D63B6">
        <w:t>require</w:t>
      </w:r>
      <w:r w:rsidR="001B6078">
        <w:t>s</w:t>
      </w:r>
      <w:r w:rsidR="008D63B6" w:rsidRPr="008D63B6">
        <w:t xml:space="preserve"> electronic reporting of NPDES information rather than paper-based reports</w:t>
      </w:r>
      <w:r w:rsidR="008D63B6">
        <w:t xml:space="preserve">. </w:t>
      </w:r>
      <w:r w:rsidR="001B6078">
        <w:t>I</w:t>
      </w:r>
      <w:r w:rsidR="008D63B6">
        <w:t xml:space="preserve">mplementation </w:t>
      </w:r>
      <w:r w:rsidR="006F5D74">
        <w:t>is being</w:t>
      </w:r>
      <w:r w:rsidR="008D63B6">
        <w:t xml:space="preserve"> phased in over </w:t>
      </w:r>
      <w:r w:rsidR="00227A7C">
        <w:t xml:space="preserve">the </w:t>
      </w:r>
      <w:r w:rsidR="001B6078">
        <w:t>five</w:t>
      </w:r>
      <w:r w:rsidR="00FF0D49">
        <w:t xml:space="preserve"> </w:t>
      </w:r>
      <w:r w:rsidR="008D63B6">
        <w:t>year</w:t>
      </w:r>
      <w:r w:rsidR="00FF0D49">
        <w:t xml:space="preserve">s </w:t>
      </w:r>
      <w:r w:rsidR="001B6078">
        <w:t xml:space="preserve">following the rule’s </w:t>
      </w:r>
      <w:r w:rsidR="005B1070">
        <w:t xml:space="preserve">December 21, 2015, </w:t>
      </w:r>
      <w:r w:rsidR="001B6078">
        <w:t>effective date</w:t>
      </w:r>
      <w:r w:rsidR="008D63B6">
        <w:t xml:space="preserve">. </w:t>
      </w:r>
      <w:r w:rsidR="00BB7CED">
        <w:t xml:space="preserve">The rule </w:t>
      </w:r>
      <w:r w:rsidR="00AC6528">
        <w:t>required</w:t>
      </w:r>
      <w:r w:rsidR="00BB7CED">
        <w:t xml:space="preserve"> </w:t>
      </w:r>
      <w:r w:rsidR="00FF0D49">
        <w:t xml:space="preserve">electronic submission for </w:t>
      </w:r>
      <w:r w:rsidR="00BB7CED">
        <w:t>all DMRs and certain reports by December 21, 2016</w:t>
      </w:r>
      <w:r w:rsidR="00FF0D49">
        <w:t xml:space="preserve">, and for most </w:t>
      </w:r>
      <w:r w:rsidR="004A65AF">
        <w:t xml:space="preserve">of the remaining NPDES reports and program data by </w:t>
      </w:r>
      <w:r w:rsidR="004A65AF" w:rsidRPr="004A65AF">
        <w:t>December 21, 2020</w:t>
      </w:r>
      <w:r w:rsidR="00FF0D49">
        <w:t>.</w:t>
      </w:r>
      <w:r w:rsidR="004A65AF">
        <w:t xml:space="preserve"> (</w:t>
      </w:r>
      <w:r w:rsidR="00FF0D49">
        <w:t xml:space="preserve">See </w:t>
      </w:r>
      <w:r w:rsidR="004A65AF">
        <w:t>section A.1.8.4 for details</w:t>
      </w:r>
      <w:r w:rsidR="00FF0D49">
        <w:t>.</w:t>
      </w:r>
      <w:r w:rsidR="004A65AF">
        <w:t xml:space="preserve">) </w:t>
      </w:r>
      <w:r w:rsidR="00227A7C">
        <w:t>The burden adjustment associated with the E</w:t>
      </w:r>
      <w:r w:rsidR="00227A7C" w:rsidRPr="00227A7C">
        <w:t xml:space="preserve">lectronic Reporting Rule </w:t>
      </w:r>
      <w:r w:rsidR="00227A7C">
        <w:t>includes both an initial short-lived (several</w:t>
      </w:r>
      <w:r w:rsidR="00AC6528">
        <w:t>-</w:t>
      </w:r>
      <w:r w:rsidR="00227A7C">
        <w:t>year) implementation component</w:t>
      </w:r>
      <w:r w:rsidR="00AC6528">
        <w:t>,</w:t>
      </w:r>
      <w:r w:rsidR="00227A7C">
        <w:t xml:space="preserve"> mostly related to the increased burden associated with start</w:t>
      </w:r>
      <w:r w:rsidR="005F44FC">
        <w:t>-</w:t>
      </w:r>
      <w:r w:rsidR="00227A7C">
        <w:t>up and training activities</w:t>
      </w:r>
      <w:r w:rsidR="00AC6528">
        <w:t>,</w:t>
      </w:r>
      <w:r w:rsidR="00227A7C">
        <w:t xml:space="preserve"> </w:t>
      </w:r>
      <w:r w:rsidR="00227A7C" w:rsidRPr="00636D87">
        <w:t xml:space="preserve">and an ongoing </w:t>
      </w:r>
      <w:r w:rsidR="00825090" w:rsidRPr="00636D87">
        <w:t xml:space="preserve">component </w:t>
      </w:r>
      <w:r w:rsidR="00227A7C" w:rsidRPr="00636D87">
        <w:t>associated with reductions in burden and costs that becomes greater over time as more entities begin to participate</w:t>
      </w:r>
      <w:r w:rsidR="003D1E99" w:rsidRPr="00636D87">
        <w:t>.</w:t>
      </w:r>
      <w:r w:rsidR="00227A7C">
        <w:t xml:space="preserve"> </w:t>
      </w:r>
      <w:r w:rsidR="0074594F">
        <w:t>(</w:t>
      </w:r>
      <w:r w:rsidR="00DF2D46">
        <w:t xml:space="preserve">EPA </w:t>
      </w:r>
      <w:r w:rsidR="006F5D74">
        <w:t>estimates</w:t>
      </w:r>
      <w:r w:rsidR="00DF2D46">
        <w:t xml:space="preserve"> that implement</w:t>
      </w:r>
      <w:r w:rsidR="0074594F">
        <w:t>ing</w:t>
      </w:r>
      <w:r w:rsidR="00DF2D46">
        <w:t xml:space="preserve"> the Electronic Reporting Rule will reduce </w:t>
      </w:r>
      <w:r w:rsidR="00536699">
        <w:t xml:space="preserve">ongoing </w:t>
      </w:r>
      <w:r w:rsidR="00DF2D46">
        <w:t>reporting burdens for all entities involved</w:t>
      </w:r>
      <w:r w:rsidR="00382B58">
        <w:t xml:space="preserve"> over the long term</w:t>
      </w:r>
      <w:r w:rsidR="00DF2D46">
        <w:t>.</w:t>
      </w:r>
      <w:r w:rsidR="0074594F">
        <w:t>)</w:t>
      </w:r>
      <w:r w:rsidR="00D828EB">
        <w:t xml:space="preserve"> Th</w:t>
      </w:r>
      <w:r w:rsidR="006F5D74">
        <w:t>e</w:t>
      </w:r>
      <w:r w:rsidR="00D828EB">
        <w:t xml:space="preserve"> burden </w:t>
      </w:r>
      <w:r w:rsidR="00D473BC">
        <w:t>adjustment</w:t>
      </w:r>
      <w:r w:rsidR="003D1E99">
        <w:t>s</w:t>
      </w:r>
      <w:r w:rsidR="00D473BC">
        <w:t xml:space="preserve"> </w:t>
      </w:r>
      <w:r w:rsidR="00227A7C">
        <w:t xml:space="preserve">for implementation and ongoing activities for </w:t>
      </w:r>
      <w:r w:rsidR="006F5D74">
        <w:t>the</w:t>
      </w:r>
      <w:r w:rsidR="00536699" w:rsidRPr="00536699">
        <w:t xml:space="preserve"> Electronic Reporting Rule</w:t>
      </w:r>
      <w:r w:rsidR="006F5D74">
        <w:t xml:space="preserve"> </w:t>
      </w:r>
      <w:r w:rsidR="003D1E99">
        <w:t>for the three</w:t>
      </w:r>
      <w:r w:rsidR="0074594F">
        <w:t xml:space="preserve"> </w:t>
      </w:r>
      <w:r w:rsidR="003D1E99">
        <w:t>year</w:t>
      </w:r>
      <w:r w:rsidR="0074594F">
        <w:t>s</w:t>
      </w:r>
      <w:r w:rsidR="003D1E99">
        <w:t xml:space="preserve"> after the effective date of the Rule</w:t>
      </w:r>
      <w:r w:rsidR="00777F7F">
        <w:t xml:space="preserve"> </w:t>
      </w:r>
      <w:r w:rsidR="003D1E99">
        <w:t xml:space="preserve">are </w:t>
      </w:r>
      <w:r w:rsidR="00777F7F">
        <w:t>cu</w:t>
      </w:r>
      <w:r w:rsidR="00D828EB">
        <w:t>rrently covered in a separate ICR</w:t>
      </w:r>
      <w:r w:rsidR="00536699">
        <w:t xml:space="preserve"> </w:t>
      </w:r>
      <w:r w:rsidR="00536699" w:rsidRPr="00536699">
        <w:t xml:space="preserve">(OMB </w:t>
      </w:r>
      <w:r w:rsidR="00437796">
        <w:t>control no.</w:t>
      </w:r>
      <w:r w:rsidR="00536699" w:rsidRPr="00536699">
        <w:t xml:space="preserve"> 2020-0035; EPA ICR </w:t>
      </w:r>
      <w:r w:rsidR="00437796">
        <w:t>n</w:t>
      </w:r>
      <w:r w:rsidR="00536699" w:rsidRPr="00536699">
        <w:t>o. 2468.02)</w:t>
      </w:r>
      <w:r w:rsidR="00395C42">
        <w:t xml:space="preserve"> and are being added to this ICR</w:t>
      </w:r>
      <w:r w:rsidR="00D828EB">
        <w:t>.</w:t>
      </w:r>
      <w:r w:rsidR="00536699">
        <w:t xml:space="preserve"> </w:t>
      </w:r>
      <w:r w:rsidR="00FC76B1">
        <w:t>The</w:t>
      </w:r>
      <w:r w:rsidR="00395C42">
        <w:t xml:space="preserve"> estimated</w:t>
      </w:r>
      <w:r w:rsidR="00FC76B1">
        <w:t xml:space="preserve"> burden changes included in this ICR consist mostly of </w:t>
      </w:r>
      <w:r w:rsidR="003D1E99">
        <w:t>t</w:t>
      </w:r>
      <w:r w:rsidR="00536699">
        <w:t xml:space="preserve">he </w:t>
      </w:r>
      <w:r w:rsidR="003D1E99">
        <w:t>o</w:t>
      </w:r>
      <w:r w:rsidR="00536699">
        <w:t xml:space="preserve">ngoing administrative burden and </w:t>
      </w:r>
      <w:r w:rsidR="002E7511">
        <w:t xml:space="preserve">substantial </w:t>
      </w:r>
      <w:r w:rsidR="00536699">
        <w:t>reporting burden reductions.</w:t>
      </w:r>
      <w:r w:rsidR="003D1E99">
        <w:t xml:space="preserve"> </w:t>
      </w:r>
    </w:p>
    <w:p w14:paraId="1359E89C" w14:textId="59FF5C94" w:rsidR="00173BC4" w:rsidRDefault="00173BC4" w:rsidP="00D72AF4">
      <w:r w:rsidRPr="00633264">
        <w:t xml:space="preserve">For activities related to </w:t>
      </w:r>
      <w:r w:rsidR="00D828EB" w:rsidRPr="00633264">
        <w:t>general permit</w:t>
      </w:r>
      <w:r w:rsidR="000C0574" w:rsidRPr="00633264">
        <w:t>s</w:t>
      </w:r>
      <w:r w:rsidR="00F63866">
        <w:t>,</w:t>
      </w:r>
      <w:r w:rsidR="00D828EB" w:rsidRPr="00633264">
        <w:t xml:space="preserve"> </w:t>
      </w:r>
      <w:r w:rsidRPr="00633264">
        <w:t xml:space="preserve">respondents </w:t>
      </w:r>
      <w:r w:rsidR="00F63866" w:rsidRPr="00F63866">
        <w:t xml:space="preserve">for some EPA-issued permits </w:t>
      </w:r>
      <w:r w:rsidRPr="00633264">
        <w:t xml:space="preserve">are </w:t>
      </w:r>
      <w:r w:rsidR="00F63866">
        <w:t xml:space="preserve">currently </w:t>
      </w:r>
      <w:r w:rsidRPr="00633264">
        <w:t>required to submit NOIs electronically via EPA</w:t>
      </w:r>
      <w:r w:rsidR="0074594F">
        <w:t>’</w:t>
      </w:r>
      <w:r w:rsidRPr="00633264">
        <w:t>s electronic Notice of Intent (eNOI) system</w:t>
      </w:r>
      <w:r w:rsidR="002409E4">
        <w:t xml:space="preserve"> or the NPDES eReporting Tool (NeT)</w:t>
      </w:r>
      <w:r w:rsidRPr="00633264">
        <w:t>.</w:t>
      </w:r>
      <w:r w:rsidR="00F63866" w:rsidRPr="00F63866">
        <w:t xml:space="preserve"> These permits, all other EPA-issued permits, and some state-issued permits will transition to submitting NOIs through NeT over the next several years.</w:t>
      </w:r>
    </w:p>
    <w:p w14:paraId="24ED0D78" w14:textId="2CFB55B5" w:rsidR="00DF2D46" w:rsidRDefault="00DF2D46" w:rsidP="00DF2D46">
      <w:r>
        <w:t xml:space="preserve">Currently, </w:t>
      </w:r>
      <w:r w:rsidRPr="00DF2D46">
        <w:t xml:space="preserve">EPA maintains some </w:t>
      </w:r>
      <w:r w:rsidR="00400A0F">
        <w:t>general permit</w:t>
      </w:r>
      <w:r w:rsidRPr="00DF2D46">
        <w:t xml:space="preserve"> data in ICIS-NPDES. </w:t>
      </w:r>
      <w:r w:rsidR="000C0574">
        <w:t>The use of th</w:t>
      </w:r>
      <w:r w:rsidR="003341B7">
        <w:t>i</w:t>
      </w:r>
      <w:r w:rsidR="000C0574">
        <w:t xml:space="preserve">s database is expanding as a result of implementation of the </w:t>
      </w:r>
      <w:r w:rsidR="00382B58">
        <w:t>E</w:t>
      </w:r>
      <w:r w:rsidR="000C0574">
        <w:t xml:space="preserve">lectronic </w:t>
      </w:r>
      <w:r w:rsidR="00382B58">
        <w:t>R</w:t>
      </w:r>
      <w:r w:rsidR="000C0574">
        <w:t xml:space="preserve">eporting </w:t>
      </w:r>
      <w:r w:rsidR="00382B58">
        <w:t>R</w:t>
      </w:r>
      <w:r w:rsidR="000C0574">
        <w:t>ule</w:t>
      </w:r>
      <w:r w:rsidRPr="00DF2D46">
        <w:t>. This technology reduces the burden to EPA and the states for gathering and analyzing national permit and water quality data.</w:t>
      </w:r>
    </w:p>
    <w:p w14:paraId="18137430" w14:textId="22F619F3" w:rsidR="00D72AF4" w:rsidRDefault="00D72AF4" w:rsidP="00D72AF4">
      <w:r>
        <w:t xml:space="preserve">In collecting and analyzing the information associated with NPDES </w:t>
      </w:r>
      <w:r w:rsidR="002409E4">
        <w:t xml:space="preserve">individual </w:t>
      </w:r>
      <w:r>
        <w:t xml:space="preserve">permit applications, EPA will use ICIS-NPDES to ultimately store the </w:t>
      </w:r>
      <w:r w:rsidR="002409E4">
        <w:t xml:space="preserve">relevant facility and permit </w:t>
      </w:r>
      <w:r>
        <w:t xml:space="preserve">information. EPA </w:t>
      </w:r>
      <w:r w:rsidR="00F63866" w:rsidRPr="00F63866">
        <w:t xml:space="preserve">and the </w:t>
      </w:r>
      <w:r w:rsidR="00EE120D">
        <w:t>s</w:t>
      </w:r>
      <w:r w:rsidR="00F63866" w:rsidRPr="00F63866">
        <w:t xml:space="preserve">tates </w:t>
      </w:r>
      <w:r>
        <w:t xml:space="preserve">will ensure accuracy and completeness of the information and </w:t>
      </w:r>
      <w:r w:rsidR="009741CD">
        <w:t xml:space="preserve">are </w:t>
      </w:r>
      <w:r>
        <w:t xml:space="preserve">responsible for ensuring that applicable data are entered into ICIS-NPDES. Any </w:t>
      </w:r>
      <w:r w:rsidR="00DC7374">
        <w:t xml:space="preserve">application </w:t>
      </w:r>
      <w:r>
        <w:t>form that is considered inaccurate or incomplete will not be accepted and will be returned to the sender with a letter requesting the missing or inaccurate information.</w:t>
      </w:r>
    </w:p>
    <w:p w14:paraId="39089E31" w14:textId="5DE237AF" w:rsidR="00D72AF4" w:rsidRDefault="001B6078" w:rsidP="00D72AF4">
      <w:r>
        <w:t>T</w:t>
      </w:r>
      <w:r w:rsidR="00D72AF4">
        <w:t>he public may access certain information via Enforcement and Compliance History Online (ECHO). Some of the information is available to the public through Web-based interfaces</w:t>
      </w:r>
      <w:r w:rsidR="00950D3B">
        <w:t xml:space="preserve"> that pull data from ICIS-NPDES and other EPA data systems</w:t>
      </w:r>
      <w:r w:rsidR="00D72AF4">
        <w:t>.</w:t>
      </w:r>
    </w:p>
    <w:p w14:paraId="775EFDEB" w14:textId="4FBF05EA" w:rsidR="00D72AF4" w:rsidRDefault="00D72AF4" w:rsidP="00D72AF4">
      <w:r>
        <w:t xml:space="preserve">For activities related to </w:t>
      </w:r>
      <w:r w:rsidR="00223D44">
        <w:t xml:space="preserve">requests for </w:t>
      </w:r>
      <w:r>
        <w:t xml:space="preserve">NPDES </w:t>
      </w:r>
      <w:r w:rsidR="00E9259A">
        <w:t xml:space="preserve">permit </w:t>
      </w:r>
      <w:r>
        <w:t>modification</w:t>
      </w:r>
      <w:r w:rsidR="00223D44">
        <w:t>s</w:t>
      </w:r>
      <w:r>
        <w:t xml:space="preserve"> and </w:t>
      </w:r>
      <w:r w:rsidR="00223D44">
        <w:t xml:space="preserve">variances from </w:t>
      </w:r>
      <w:r w:rsidR="00DE0DB7">
        <w:t xml:space="preserve">technology </w:t>
      </w:r>
      <w:r w:rsidR="00223D44">
        <w:t>standards</w:t>
      </w:r>
      <w:r>
        <w:t>, improved information technology does not appear to provide opportunities to minimize respondents’ burden because of the unique nature of the information that respondents must submit as needed.</w:t>
      </w:r>
    </w:p>
    <w:p w14:paraId="52A8E60A" w14:textId="338F205C" w:rsidR="00D72AF4" w:rsidRPr="00D72AF4" w:rsidRDefault="00D72AF4" w:rsidP="00266CAF">
      <w:r>
        <w:t xml:space="preserve">For </w:t>
      </w:r>
      <w:r w:rsidR="00345F8F">
        <w:t>compliance</w:t>
      </w:r>
      <w:r>
        <w:t xml:space="preserve"> reports, EPA and states are moving toward greater automation—for example, </w:t>
      </w:r>
      <w:r w:rsidR="00B8666E">
        <w:t>system</w:t>
      </w:r>
      <w:r>
        <w:t xml:space="preserve">-generated </w:t>
      </w:r>
      <w:r w:rsidR="00B8666E" w:rsidRPr="00B8666E">
        <w:t xml:space="preserve">noncompliance reports in place of the existing </w:t>
      </w:r>
      <w:r w:rsidR="004E57D0" w:rsidRPr="004E57D0">
        <w:t>Quarterly Noncompliance Reports</w:t>
      </w:r>
      <w:r>
        <w:t>.</w:t>
      </w:r>
      <w:r w:rsidR="00A36F66">
        <w:t xml:space="preserve"> This advancement in information technology allows for states to efficiently provide a consistent and accurate set of data while using fewer resources and time.</w:t>
      </w:r>
    </w:p>
    <w:p w14:paraId="348DEA3F" w14:textId="100059E0" w:rsidR="007F2877" w:rsidRDefault="007F2877" w:rsidP="00B101A0">
      <w:pPr>
        <w:pStyle w:val="Heading2"/>
      </w:pPr>
      <w:bookmarkStart w:id="12" w:name="_Toc510451616"/>
      <w:r w:rsidRPr="002D1C59">
        <w:t>4.</w:t>
      </w:r>
      <w:r w:rsidR="00DE1B27">
        <w:tab/>
      </w:r>
      <w:r w:rsidRPr="002D1C59">
        <w:t>Describe the efforts to identify duplication</w:t>
      </w:r>
      <w:bookmarkEnd w:id="12"/>
    </w:p>
    <w:p w14:paraId="09ABC6AD" w14:textId="04CFEC1E" w:rsidR="0048073A" w:rsidRDefault="00CF13B2" w:rsidP="00F0499E">
      <w:r>
        <w:t xml:space="preserve">All information </w:t>
      </w:r>
      <w:r w:rsidR="004919F0">
        <w:t>collection is authorized by the CWA and its implementing regulations</w:t>
      </w:r>
      <w:r w:rsidR="00C9153B">
        <w:t xml:space="preserve">; </w:t>
      </w:r>
      <w:r>
        <w:t xml:space="preserve">in most cases, </w:t>
      </w:r>
      <w:r w:rsidR="00C9153B">
        <w:t xml:space="preserve">it </w:t>
      </w:r>
      <w:r>
        <w:t>is not available from other sources. EPA has examined all other reporting and recordkeeping requirements in the CWA and 40 CFR Parts 122, 123, 124, 125, 403, 501, and 503. EPA also has consulted the following sources of information to determine if similar or duplicate information is available elsewhere:</w:t>
      </w:r>
    </w:p>
    <w:p w14:paraId="5D97EDD5" w14:textId="5B0F9216" w:rsidR="00CF13B2" w:rsidRDefault="00CF13B2" w:rsidP="00EF1FFC">
      <w:pPr>
        <w:pStyle w:val="ListParagraph"/>
        <w:numPr>
          <w:ilvl w:val="0"/>
          <w:numId w:val="10"/>
        </w:numPr>
      </w:pPr>
      <w:r>
        <w:t xml:space="preserve">The EPA </w:t>
      </w:r>
      <w:r w:rsidR="008568B8">
        <w:t>i</w:t>
      </w:r>
      <w:r>
        <w:t>nventory of ICRs;</w:t>
      </w:r>
    </w:p>
    <w:p w14:paraId="288BE078" w14:textId="698351BB" w:rsidR="00CF13B2" w:rsidRDefault="00CF13B2" w:rsidP="00EF1FFC">
      <w:pPr>
        <w:pStyle w:val="ListParagraph"/>
        <w:numPr>
          <w:ilvl w:val="0"/>
          <w:numId w:val="10"/>
        </w:numPr>
      </w:pPr>
      <w:r>
        <w:t>The Government Information Locator Service; and</w:t>
      </w:r>
    </w:p>
    <w:p w14:paraId="192F1823" w14:textId="48D7D05F" w:rsidR="00CF13B2" w:rsidRDefault="00CF13B2" w:rsidP="00EF1FFC">
      <w:pPr>
        <w:pStyle w:val="ListParagraph"/>
        <w:numPr>
          <w:ilvl w:val="0"/>
          <w:numId w:val="10"/>
        </w:numPr>
      </w:pPr>
      <w:r>
        <w:t>The Toxics Release Inventory.</w:t>
      </w:r>
    </w:p>
    <w:p w14:paraId="1F00E290" w14:textId="5CD413AB" w:rsidR="00F04403" w:rsidRDefault="00CF13B2" w:rsidP="00F0499E">
      <w:r>
        <w:t>EPA has also examined potentially similar reporting requirements for notice of spills under the Resource Conservation and Recovery Act (RCRA) for duplication of CWA requirement</w:t>
      </w:r>
      <w:r w:rsidR="00960B12">
        <w:t>s</w:t>
      </w:r>
      <w:r>
        <w:t xml:space="preserve">. EPA believes that any duplication between NPDES and RCRA reporting of pollutant releases is negligible because they focus on different areas of a facility (RCRA focuses on on-site activities, </w:t>
      </w:r>
      <w:r w:rsidR="00960B12">
        <w:t xml:space="preserve">while </w:t>
      </w:r>
      <w:r>
        <w:t>NPDES focuses on discharge outfalls).</w:t>
      </w:r>
      <w:r w:rsidR="00F04403" w:rsidRPr="00F04403">
        <w:t xml:space="preserve"> </w:t>
      </w:r>
    </w:p>
    <w:p w14:paraId="119DB8C8" w14:textId="5340607A" w:rsidR="00CF13B2" w:rsidRPr="00CF13B2" w:rsidRDefault="00F04403" w:rsidP="00F04403">
      <w:r>
        <w:t xml:space="preserve">In addition, EPA has examined potentially similar reporting requirements under </w:t>
      </w:r>
      <w:r w:rsidR="00103DD0">
        <w:t>the Federal Insecticide, Fungicide, and Rodenticide Act (</w:t>
      </w:r>
      <w:r>
        <w:t>FIFRA</w:t>
      </w:r>
      <w:r w:rsidR="00103DD0">
        <w:t>)</w:t>
      </w:r>
      <w:r>
        <w:t xml:space="preserve"> for duplication of CWA requirement</w:t>
      </w:r>
      <w:r w:rsidR="00960B12">
        <w:t>s</w:t>
      </w:r>
      <w:r>
        <w:t xml:space="preserve">. While some of the information required in these general permits may be similar to that already required under FIFRA, the universe of respondents is different or is only a subset of the universe in this ICR. </w:t>
      </w:r>
      <w:r w:rsidR="00EE4792">
        <w:t xml:space="preserve">For example, FIFRA has the same adverse reporting requirements as the permits for pesticide registrants, but not applicators. </w:t>
      </w:r>
      <w:r>
        <w:t xml:space="preserve">EPA believes the expansion of this requirement to applicators provides a much more comprehensive dataset on which to assess potential impacts from activities covered under these general permits. Another example is the ICR for Certification of Pesticide Applicators (OMB </w:t>
      </w:r>
      <w:r w:rsidR="000E2DEF">
        <w:t>control n</w:t>
      </w:r>
      <w:r>
        <w:t>o</w:t>
      </w:r>
      <w:r w:rsidR="000E2DEF">
        <w:t xml:space="preserve">. </w:t>
      </w:r>
      <w:r>
        <w:t xml:space="preserve">2070-0029, EPA </w:t>
      </w:r>
      <w:r w:rsidR="000E2DEF">
        <w:t xml:space="preserve">ICR no. </w:t>
      </w:r>
      <w:r>
        <w:t>0155.09) which requires commercial applicators, who are certified by program</w:t>
      </w:r>
      <w:r w:rsidR="000E2DEF">
        <w:t>s</w:t>
      </w:r>
      <w:r>
        <w:t xml:space="preserve"> administered by non-federal agencies, to keep records on restricted-use pesticides. See 40 CFR </w:t>
      </w:r>
      <w:r w:rsidR="004239F4">
        <w:t xml:space="preserve">Part </w:t>
      </w:r>
      <w:r>
        <w:t xml:space="preserve">171. EPA believes that any duplication between activities required under the NPDES general permits and 40 CFR </w:t>
      </w:r>
      <w:r w:rsidR="004239F4">
        <w:t xml:space="preserve">Part </w:t>
      </w:r>
      <w:r>
        <w:t>171 is negligible. The PGP allows applicators to rely on records and documents developed for other obligations, such as requirements under FIFRA, and state or local pesticide programs to meet the recordkeeping requirements, provided all requirements of the permit are satisfied.</w:t>
      </w:r>
    </w:p>
    <w:p w14:paraId="6AC67F7C" w14:textId="2A633CE9" w:rsidR="007F2877" w:rsidRDefault="007F2877" w:rsidP="00B101A0">
      <w:pPr>
        <w:pStyle w:val="Heading2"/>
      </w:pPr>
      <w:bookmarkStart w:id="13" w:name="_Toc510451617"/>
      <w:r>
        <w:t>5.</w:t>
      </w:r>
      <w:r w:rsidR="00DE1B27">
        <w:tab/>
      </w:r>
      <w:r w:rsidRPr="00673714">
        <w:t>Explain whether or not the collection impacts small entities</w:t>
      </w:r>
      <w:bookmarkEnd w:id="13"/>
    </w:p>
    <w:p w14:paraId="7CD39B68" w14:textId="53BB8AA4" w:rsidR="00694CDF" w:rsidRDefault="00694CDF" w:rsidP="00975AE6">
      <w:r w:rsidRPr="00694CDF">
        <w:t>Of the small businesses that discharge</w:t>
      </w:r>
      <w:r w:rsidR="00F67CCD">
        <w:t xml:space="preserve"> pollutants</w:t>
      </w:r>
      <w:r w:rsidRPr="00694CDF">
        <w:t xml:space="preserve">, many </w:t>
      </w:r>
      <w:r w:rsidR="000E2DEF">
        <w:t xml:space="preserve">discharge indirectly to POTWs rather than directly </w:t>
      </w:r>
      <w:r w:rsidR="00FB12B2">
        <w:t>to waters of the U.S</w:t>
      </w:r>
      <w:r w:rsidRPr="00694CDF">
        <w:t xml:space="preserve">. </w:t>
      </w:r>
      <w:r w:rsidR="0082654C">
        <w:t xml:space="preserve">Indirect dischargers </w:t>
      </w:r>
      <w:r w:rsidRPr="00694CDF">
        <w:t xml:space="preserve">are not required to have NPDES permits and thus are subject </w:t>
      </w:r>
      <w:r w:rsidR="00374D0E">
        <w:t xml:space="preserve">only </w:t>
      </w:r>
      <w:r w:rsidRPr="00694CDF">
        <w:t xml:space="preserve">to the </w:t>
      </w:r>
      <w:r w:rsidR="00FB12B2">
        <w:t xml:space="preserve">pollution control and </w:t>
      </w:r>
      <w:r w:rsidRPr="00694CDF">
        <w:t xml:space="preserve">reporting requirements </w:t>
      </w:r>
      <w:r w:rsidR="00374D0E">
        <w:t xml:space="preserve">associated with the </w:t>
      </w:r>
      <w:r w:rsidR="008568B8">
        <w:t>P</w:t>
      </w:r>
      <w:r w:rsidR="00374D0E">
        <w:t xml:space="preserve">retreatment </w:t>
      </w:r>
      <w:r w:rsidR="008568B8">
        <w:t>P</w:t>
      </w:r>
      <w:r w:rsidR="00374D0E">
        <w:t>rogram</w:t>
      </w:r>
      <w:r w:rsidRPr="00694CDF">
        <w:t>. Although small business</w:t>
      </w:r>
      <w:r w:rsidR="00F67CCD">
        <w:t>es that are</w:t>
      </w:r>
      <w:r w:rsidRPr="00694CDF">
        <w:t xml:space="preserve"> direct dischargers are not treated as a separate class under the NPDES program, efforts to minimize the burdens imposed on them by NPDES information collection activities are implicit in the existing monitoring/reporting framework. Most small businesses permitted under NPDES, except those discharging toxic chemicals, are covered either by permits with less rigorous monitoring and reporting requirements or by general permits. In general, monitoring and reporting requirements are based on many factors, the most important of which are the volume and environmental significance of </w:t>
      </w:r>
      <w:r w:rsidR="004239F4">
        <w:t xml:space="preserve">a </w:t>
      </w:r>
      <w:r w:rsidRPr="00694CDF">
        <w:t xml:space="preserve">wastewater discharge. Because small permittees usually discharge small volumes of wastewater, their monitoring and reporting burdens tend to be </w:t>
      </w:r>
      <w:r w:rsidR="00EF1990">
        <w:t>smaller as well</w:t>
      </w:r>
      <w:r w:rsidRPr="00694CDF">
        <w:t>.</w:t>
      </w:r>
    </w:p>
    <w:p w14:paraId="47935089" w14:textId="6BDD0C1C" w:rsidR="009D57FA" w:rsidRDefault="00975AE6" w:rsidP="00B101A0">
      <w:r>
        <w:t>For many reasons, EPA believes the reporting requirements discussed in this ICR do not place an unreasonable burden on small business</w:t>
      </w:r>
      <w:r w:rsidR="009D57FA">
        <w:t>.</w:t>
      </w:r>
    </w:p>
    <w:p w14:paraId="2D524E0F" w14:textId="08AB38D7" w:rsidR="00E179F6" w:rsidRDefault="00960B12" w:rsidP="00B101A0">
      <w:r>
        <w:t>This ICR consolidates information collection activities fr</w:t>
      </w:r>
      <w:r w:rsidR="00916F1D">
        <w:t>o</w:t>
      </w:r>
      <w:r>
        <w:t xml:space="preserve">m </w:t>
      </w:r>
      <w:r w:rsidR="000E2DEF">
        <w:t xml:space="preserve">several </w:t>
      </w:r>
      <w:r>
        <w:t>other efforts</w:t>
      </w:r>
      <w:r w:rsidR="009D57FA">
        <w:t>,</w:t>
      </w:r>
      <w:r w:rsidR="001A368D">
        <w:t xml:space="preserve"> </w:t>
      </w:r>
      <w:r w:rsidR="009D57FA">
        <w:t xml:space="preserve">each of which </w:t>
      </w:r>
      <w:r w:rsidR="001A368D">
        <w:t xml:space="preserve">sought </w:t>
      </w:r>
      <w:r>
        <w:t>to reduce impacts to small entities</w:t>
      </w:r>
      <w:r w:rsidR="009D57FA">
        <w:t xml:space="preserve">. In these efforts, </w:t>
      </w:r>
      <w:r w:rsidR="00975AE6">
        <w:t>EPA developed several application forms, and promulgated different application requirements to tailor the information collection demands considering, among other factors, the size and complexity of the facility</w:t>
      </w:r>
      <w:r w:rsidR="00292047">
        <w:t>,</w:t>
      </w:r>
      <w:r w:rsidR="00FB12B2">
        <w:t xml:space="preserve"> its discharge</w:t>
      </w:r>
      <w:r w:rsidR="00292047">
        <w:t xml:space="preserve">, and </w:t>
      </w:r>
      <w:r w:rsidR="0082654C">
        <w:t xml:space="preserve">(where applicable) </w:t>
      </w:r>
      <w:r w:rsidR="00292047">
        <w:t>its intake structure</w:t>
      </w:r>
      <w:r w:rsidR="00975AE6">
        <w:t>.</w:t>
      </w:r>
    </w:p>
    <w:p w14:paraId="5F75E560" w14:textId="0F27EC15" w:rsidR="00975AE6" w:rsidRDefault="00975AE6" w:rsidP="00B101A0">
      <w:r>
        <w:t>Generally, as the size of a facility increases, the amount of required information increases correspondingly.</w:t>
      </w:r>
      <w:r w:rsidR="00694CDF">
        <w:t xml:space="preserve"> </w:t>
      </w:r>
      <w:r w:rsidR="00694CDF" w:rsidRPr="00694CDF">
        <w:t>EPA has regularly looked for ways to reduce reporting burdens on businesses of all sizes</w:t>
      </w:r>
      <w:r w:rsidR="008D6167">
        <w:t>;</w:t>
      </w:r>
      <w:r w:rsidR="00694CDF">
        <w:t xml:space="preserve"> approaches </w:t>
      </w:r>
      <w:r w:rsidR="001710DA">
        <w:t xml:space="preserve">used </w:t>
      </w:r>
      <w:r w:rsidR="00694CDF">
        <w:t>to minimize the burden to small entities</w:t>
      </w:r>
      <w:r w:rsidR="001710DA">
        <w:t xml:space="preserve"> </w:t>
      </w:r>
      <w:r w:rsidR="0082654C">
        <w:t>include the following</w:t>
      </w:r>
      <w:r w:rsidR="00694CDF">
        <w:t>:</w:t>
      </w:r>
    </w:p>
    <w:p w14:paraId="59ECBC40" w14:textId="3ED9EAC1" w:rsidR="00975AE6" w:rsidRDefault="00975AE6" w:rsidP="00EF1FFC">
      <w:pPr>
        <w:pStyle w:val="ListParagraph"/>
        <w:numPr>
          <w:ilvl w:val="0"/>
          <w:numId w:val="19"/>
        </w:numPr>
      </w:pPr>
      <w:r>
        <w:t xml:space="preserve">Several of the applications (e.g., Form 1 and NOIs) request minimal information, such as the name and location of the facility, or merely direct the applicant to complete specific sections of the application (e.g., Forms 2A and 2S). Furthermore, facilities submit applications infrequently, typically once every </w:t>
      </w:r>
      <w:r w:rsidR="008D6167">
        <w:t xml:space="preserve">five </w:t>
      </w:r>
      <w:r>
        <w:t>years. The burden represented by these applications cannot be further reduced for small businesses. Permitting authorities need certain basic information to make permitting decisions. This basic information is not dependent on a facility’s size.</w:t>
      </w:r>
    </w:p>
    <w:p w14:paraId="51529260" w14:textId="6222CCD8" w:rsidR="00F46507" w:rsidRPr="00F46507" w:rsidRDefault="00975AE6" w:rsidP="00EF1FFC">
      <w:pPr>
        <w:pStyle w:val="ListParagraph"/>
        <w:numPr>
          <w:ilvl w:val="0"/>
          <w:numId w:val="19"/>
        </w:numPr>
      </w:pPr>
      <w:r>
        <w:t xml:space="preserve">EPA developed general permit procedures to reduce burdens associated with the application </w:t>
      </w:r>
      <w:r w:rsidR="00B8666E" w:rsidRPr="00B8666E">
        <w:t>for coverage and administration of large numbers of dischargers,</w:t>
      </w:r>
      <w:r>
        <w:t xml:space="preserve"> especially the burden associated with stormwater discharges</w:t>
      </w:r>
      <w:r w:rsidR="00F46507" w:rsidRPr="00F46507">
        <w:t xml:space="preserve"> and pesticide discharges</w:t>
      </w:r>
      <w:r>
        <w:t xml:space="preserve">. </w:t>
      </w:r>
      <w:r w:rsidR="00F46507" w:rsidRPr="00F46507">
        <w:t xml:space="preserve">Certain operators </w:t>
      </w:r>
      <w:r w:rsidR="0082654C">
        <w:t>subject to the PGP are covered automatically and need not submit application</w:t>
      </w:r>
      <w:r w:rsidR="008D6167">
        <w:t>s</w:t>
      </w:r>
      <w:r w:rsidR="0082654C">
        <w:t>.</w:t>
      </w:r>
    </w:p>
    <w:p w14:paraId="1A35480A" w14:textId="28800F61" w:rsidR="00975AE6" w:rsidRDefault="00975AE6" w:rsidP="00EF1FFC">
      <w:pPr>
        <w:pStyle w:val="ListParagraph"/>
        <w:keepNext/>
        <w:numPr>
          <w:ilvl w:val="0"/>
          <w:numId w:val="19"/>
        </w:numPr>
      </w:pPr>
      <w:r>
        <w:t xml:space="preserve">NOIs for permit coverage for construction sites </w:t>
      </w:r>
      <w:r w:rsidR="00F46507" w:rsidRPr="00F46507">
        <w:t xml:space="preserve">and pesticide discharge activities </w:t>
      </w:r>
      <w:r>
        <w:t xml:space="preserve">contain minimal information required to characterize the site and activity. NOIs are typically </w:t>
      </w:r>
      <w:r w:rsidR="008D6167">
        <w:t xml:space="preserve">submitted </w:t>
      </w:r>
      <w:r>
        <w:t xml:space="preserve">once </w:t>
      </w:r>
      <w:r w:rsidR="00F46507" w:rsidRPr="00F46507">
        <w:t>every five year</w:t>
      </w:r>
      <w:r w:rsidR="00923A0E">
        <w:t>s</w:t>
      </w:r>
      <w:r w:rsidR="00F46507" w:rsidRPr="00F46507">
        <w:t>. Construction site</w:t>
      </w:r>
      <w:r w:rsidR="00923A0E">
        <w:t>s</w:t>
      </w:r>
      <w:r w:rsidR="00F46507" w:rsidRPr="00F46507">
        <w:t xml:space="preserve"> typically submit </w:t>
      </w:r>
      <w:r w:rsidR="00923A0E">
        <w:t xml:space="preserve">an </w:t>
      </w:r>
      <w:r w:rsidR="00F46507" w:rsidRPr="00F46507">
        <w:t xml:space="preserve">NOI once </w:t>
      </w:r>
      <w:r>
        <w:t>for each construction activity</w:t>
      </w:r>
      <w:r w:rsidR="008D6167">
        <w:t>,</w:t>
      </w:r>
      <w:r>
        <w:t xml:space="preserve"> or twice if the construction activity continues beyond the expiration date of the general permit. Most site-related information is contained in the SWPPP</w:t>
      </w:r>
      <w:r w:rsidR="00F46507" w:rsidRPr="00F46507">
        <w:t xml:space="preserve"> or PDMP if required</w:t>
      </w:r>
      <w:r>
        <w:t xml:space="preserve">, which </w:t>
      </w:r>
      <w:r w:rsidR="008D6167">
        <w:t xml:space="preserve">need not </w:t>
      </w:r>
      <w:r>
        <w:t>be submitted to EPA. Furthermore, the burden represented by these NOIs cannot easily be reduced for small businesses because EPA needs certain basic information</w:t>
      </w:r>
      <w:r w:rsidR="00696E0F">
        <w:t>—not dependent on an organization’s size—</w:t>
      </w:r>
      <w:r>
        <w:t xml:space="preserve">to make permitting decisions. The CGP NOI (EPA </w:t>
      </w:r>
      <w:r w:rsidR="00916F1D">
        <w:t>F</w:t>
      </w:r>
      <w:r>
        <w:t xml:space="preserve">orm 3510-9) was developed specifically to reduce the burden for construction activities. The preexisting NOI form (EPA Form 3510-6) that was replaced in 1998 required more detailed information because </w:t>
      </w:r>
      <w:r w:rsidR="00696E0F">
        <w:t>it</w:t>
      </w:r>
      <w:r>
        <w:t xml:space="preserve"> was also used for industrial activities requesting coverage under a general permit. The current NOI is simplified and requests only relevant information for construction activities.</w:t>
      </w:r>
    </w:p>
    <w:p w14:paraId="2FC89051" w14:textId="2962C376" w:rsidR="00975AE6" w:rsidRDefault="00975AE6" w:rsidP="00EF1FFC">
      <w:pPr>
        <w:pStyle w:val="ListParagraph"/>
        <w:numPr>
          <w:ilvl w:val="0"/>
          <w:numId w:val="19"/>
        </w:numPr>
      </w:pPr>
      <w:r>
        <w:t xml:space="preserve">With regard to small MS4s regulated under the Phase II Rule, EPA believes that the application requirements provide the minimum information required to adequately assess the current and future effects of the small MS4 discharges on waters of the United States. The NOI requirements for regulated small MS4s </w:t>
      </w:r>
      <w:r w:rsidR="00B96675">
        <w:t xml:space="preserve">are substantially less than </w:t>
      </w:r>
      <w:r>
        <w:t xml:space="preserve">those </w:t>
      </w:r>
      <w:r w:rsidR="00B96675">
        <w:t xml:space="preserve">under </w:t>
      </w:r>
      <w:r>
        <w:t>the Phase I stormwater regulation for medium and large MS4s.</w:t>
      </w:r>
      <w:r w:rsidR="00557FE5" w:rsidRPr="00557FE5">
        <w:t xml:space="preserve"> </w:t>
      </w:r>
      <w:r w:rsidR="00557FE5">
        <w:t xml:space="preserve">The application requirements for the small subset requiring an </w:t>
      </w:r>
      <w:r w:rsidR="00557FE5" w:rsidRPr="00557FE5">
        <w:t xml:space="preserve">individual permit </w:t>
      </w:r>
      <w:r w:rsidR="00557FE5">
        <w:t xml:space="preserve">are </w:t>
      </w:r>
      <w:r w:rsidR="00557FE5" w:rsidRPr="00557FE5">
        <w:t>substantially reduced</w:t>
      </w:r>
      <w:r w:rsidR="00557FE5">
        <w:t xml:space="preserve"> as well.</w:t>
      </w:r>
    </w:p>
    <w:p w14:paraId="316513E1" w14:textId="1E95AEA4" w:rsidR="00B8666E" w:rsidRPr="00B8666E" w:rsidRDefault="00975AE6" w:rsidP="00EF1FFC">
      <w:pPr>
        <w:pStyle w:val="ListParagraph"/>
        <w:numPr>
          <w:ilvl w:val="0"/>
          <w:numId w:val="19"/>
        </w:numPr>
      </w:pPr>
      <w:r>
        <w:t xml:space="preserve">In general, the no-exposure provision of the Stormwater Phase II Rule allows regulatory relief for small industrial entities </w:t>
      </w:r>
      <w:r w:rsidR="00FB12B2">
        <w:t>that submit “no exposure” certifications.</w:t>
      </w:r>
      <w:r>
        <w:t xml:space="preserve"> </w:t>
      </w:r>
      <w:r w:rsidR="00B8666E" w:rsidRPr="00B8666E">
        <w:t xml:space="preserve">Small entities that take advantage of this provision </w:t>
      </w:r>
      <w:r w:rsidR="00B96675">
        <w:t xml:space="preserve">to switch </w:t>
      </w:r>
      <w:r w:rsidR="00B8666E" w:rsidRPr="00B8666E">
        <w:t>from a permitted facility to “no exposure” status experience a substantial reduction in burden.</w:t>
      </w:r>
    </w:p>
    <w:p w14:paraId="746DA5F1" w14:textId="1DDDC70F" w:rsidR="00975AE6" w:rsidRDefault="00975AE6" w:rsidP="00EF1FFC">
      <w:pPr>
        <w:pStyle w:val="ListParagraph"/>
        <w:numPr>
          <w:ilvl w:val="0"/>
          <w:numId w:val="19"/>
        </w:numPr>
      </w:pPr>
      <w:r>
        <w:t xml:space="preserve">Some </w:t>
      </w:r>
      <w:r w:rsidR="00FB12B2">
        <w:t xml:space="preserve">industrial </w:t>
      </w:r>
      <w:r>
        <w:t>facilities that do not have toxic pollutants in their effluent are not required to provide as much monitoring information on Form 2C as those with toxic discharges. Under 40 CFR 122.21(g)(8), coal mines with a probable total annual production less than 100,000 tons per year and other applicants with gross total annual sales averaging less than $100,000 per year (in second quarter 1980 dollars) might qualify as a small business and be exempt from the reporting requirements for toxic pollutants.</w:t>
      </w:r>
    </w:p>
    <w:p w14:paraId="3F7BA52C" w14:textId="3144D161" w:rsidR="00975AE6" w:rsidRDefault="00975AE6" w:rsidP="00EF1FFC">
      <w:pPr>
        <w:pStyle w:val="ListParagraph"/>
        <w:numPr>
          <w:ilvl w:val="0"/>
          <w:numId w:val="19"/>
        </w:numPr>
      </w:pPr>
      <w:r>
        <w:t xml:space="preserve">EPA </w:t>
      </w:r>
      <w:r w:rsidR="002A2B5D">
        <w:t>d</w:t>
      </w:r>
      <w:r>
        <w:t>eveloped Form 2E specifically to reduce the reporting burden for certain small businesses. These businesses are new or existing manufacturing, commercial, mining, and silvicultur</w:t>
      </w:r>
      <w:r w:rsidR="00D56550">
        <w:t>e</w:t>
      </w:r>
      <w:r>
        <w:t xml:space="preserve"> NPDES permit applicants that do not discharge process wastewater. This form is easier to complete and requires the submission of existing sampling data (i.e., sampling and analysis is not required to be conducted as part of the application process). </w:t>
      </w:r>
    </w:p>
    <w:p w14:paraId="0F0AB449" w14:textId="701B0158" w:rsidR="00975AE6" w:rsidRDefault="00975AE6" w:rsidP="00EF1FFC">
      <w:pPr>
        <w:pStyle w:val="ListParagraph"/>
        <w:numPr>
          <w:ilvl w:val="0"/>
          <w:numId w:val="19"/>
        </w:numPr>
      </w:pPr>
      <w:r>
        <w:t>EPA</w:t>
      </w:r>
      <w:r w:rsidR="009D57FA">
        <w:t>’</w:t>
      </w:r>
      <w:r>
        <w:t>s guidance materials</w:t>
      </w:r>
      <w:r w:rsidR="009D57FA">
        <w:t>—</w:t>
      </w:r>
      <w:r>
        <w:t xml:space="preserve">such as manuals, fact sheets, and training courses on development of SWPPPs and </w:t>
      </w:r>
      <w:r w:rsidR="00916F1D">
        <w:t>Long Term Control Plans (</w:t>
      </w:r>
      <w:r>
        <w:t>LTCPs</w:t>
      </w:r>
      <w:r w:rsidR="009D57FA">
        <w:t>)—</w:t>
      </w:r>
      <w:r>
        <w:t>also help minimize the burden on small entities by giving them easier access to the specific and streamlined requirements applicable to them.</w:t>
      </w:r>
    </w:p>
    <w:p w14:paraId="41BE46B3" w14:textId="698223F8" w:rsidR="00975AE6" w:rsidRDefault="00975AE6" w:rsidP="00EF1FFC">
      <w:pPr>
        <w:pStyle w:val="ListParagraph"/>
        <w:numPr>
          <w:ilvl w:val="0"/>
          <w:numId w:val="20"/>
        </w:numPr>
      </w:pPr>
      <w:r>
        <w:t>All permittees, regardless of the size of their facilities, are required to report instances of noncompliance and keep records of monitoring data. In most cases, these requirements do not impose a large burden on small businesses because the information required is simple and straightforward.</w:t>
      </w:r>
    </w:p>
    <w:p w14:paraId="3BE4B2F6" w14:textId="53F43BBD" w:rsidR="002A2B5D" w:rsidRDefault="00975AE6" w:rsidP="00EF1FFC">
      <w:pPr>
        <w:pStyle w:val="ListParagraph"/>
        <w:numPr>
          <w:ilvl w:val="0"/>
          <w:numId w:val="20"/>
        </w:numPr>
      </w:pPr>
      <w:r>
        <w:t xml:space="preserve">For activities related to NPDES </w:t>
      </w:r>
      <w:r w:rsidR="00E9259A">
        <w:t xml:space="preserve">permit </w:t>
      </w:r>
      <w:r>
        <w:t xml:space="preserve">modification and variance requests, the NPDES regulations do not specify different modification and variance requirements for small businesses. The burden incurred as a result of variance requests is voluntary. A small business that decides to request a variance from effluent limitations does so on the basis of its assessment that the benefits of receiving such a variance outweigh the burdens associated with preparing the request. The time and effort required to prepare a small facility’s variance request might be less than that required </w:t>
      </w:r>
      <w:r w:rsidR="001445CD">
        <w:t xml:space="preserve">for a larger, more complex facility </w:t>
      </w:r>
      <w:r>
        <w:t>to prepare a similar request.</w:t>
      </w:r>
    </w:p>
    <w:p w14:paraId="3BAB12B3" w14:textId="5BA49787" w:rsidR="00975AE6" w:rsidRDefault="002A2B5D" w:rsidP="00EF1FFC">
      <w:pPr>
        <w:pStyle w:val="ListParagraph"/>
        <w:numPr>
          <w:ilvl w:val="0"/>
          <w:numId w:val="20"/>
        </w:numPr>
      </w:pPr>
      <w:r>
        <w:t xml:space="preserve">EPA and states also have made extensive use of general permits, which tend to have less burdensome monitoring and reporting requirements than individual permits. In fact, the majority of stormwater permittees, which compose more than </w:t>
      </w:r>
      <w:r w:rsidR="00BC5438">
        <w:t>80 percent</w:t>
      </w:r>
      <w:r>
        <w:t xml:space="preserve"> of all NPDES permittees, are covered under general permits.</w:t>
      </w:r>
    </w:p>
    <w:p w14:paraId="7EFA662A" w14:textId="53B9A593" w:rsidR="000F134A" w:rsidRDefault="00975AE6" w:rsidP="00EF1FFC">
      <w:pPr>
        <w:pStyle w:val="ListParagraph"/>
        <w:numPr>
          <w:ilvl w:val="0"/>
          <w:numId w:val="20"/>
        </w:numPr>
      </w:pPr>
      <w:r>
        <w:t xml:space="preserve">To </w:t>
      </w:r>
      <w:r w:rsidR="009D57FA">
        <w:t xml:space="preserve">help </w:t>
      </w:r>
      <w:r>
        <w:t xml:space="preserve">communities with combined sewer systems that serve populations of fewer than 75,000, the CSO Control Policy recommends that NPDES permitting authorities use flexibility when requiring these communities to develop an LTCP. In the </w:t>
      </w:r>
      <w:r w:rsidR="001445CD">
        <w:t>P</w:t>
      </w:r>
      <w:r>
        <w:t xml:space="preserve">olicy, EPA recommends that small systems be required to document implementation of the </w:t>
      </w:r>
      <w:r w:rsidR="00916F1D">
        <w:t>Nine Minimum Controls (</w:t>
      </w:r>
      <w:r>
        <w:t>NMC</w:t>
      </w:r>
      <w:r w:rsidR="00916F1D">
        <w:t>)</w:t>
      </w:r>
      <w:r>
        <w:t xml:space="preserve">, prepare LTCPs that give high priority to controlling overflows to sensitive areas, and </w:t>
      </w:r>
      <w:r w:rsidR="009D57FA">
        <w:t xml:space="preserve">involve the </w:t>
      </w:r>
      <w:r>
        <w:t xml:space="preserve">public in their decision-making. The intent of this recommendation is to focus the limited resources of smaller communities on controlling CSOs. </w:t>
      </w:r>
      <w:r w:rsidR="001445CD">
        <w:t xml:space="preserve">Compliance monitoring should be less extensive for small entities than large entities </w:t>
      </w:r>
      <w:r>
        <w:t xml:space="preserve">because the small systems have fewer CSOs. EPA developed an LTCP Template (LTCP EZ) to help small communities develop LTCPs. LTCP EZ builds on NMC implementation and provides step-by-step instructions for </w:t>
      </w:r>
      <w:r w:rsidR="001445CD">
        <w:t>completing the simple forms</w:t>
      </w:r>
      <w:r>
        <w:t xml:space="preserve"> in hard copy format or electronically.</w:t>
      </w:r>
    </w:p>
    <w:p w14:paraId="7E1F9DF1" w14:textId="769EC0B5" w:rsidR="004B06E2" w:rsidRDefault="00174FBC" w:rsidP="00EF1FFC">
      <w:pPr>
        <w:pStyle w:val="ListParagraph"/>
        <w:numPr>
          <w:ilvl w:val="0"/>
          <w:numId w:val="20"/>
        </w:numPr>
      </w:pPr>
      <w:r w:rsidRPr="00174FBC">
        <w:t xml:space="preserve">EPA believes the burden on small </w:t>
      </w:r>
      <w:r w:rsidR="00386575">
        <w:t>CAFO</w:t>
      </w:r>
      <w:r w:rsidRPr="00174FBC">
        <w:t>s is minimal since reporting is only linked with specific conditions or occurrences at the facility.</w:t>
      </w:r>
    </w:p>
    <w:p w14:paraId="5B9C9B42" w14:textId="6F129039" w:rsidR="000F134A" w:rsidRDefault="000F134A" w:rsidP="00F0499E">
      <w:r w:rsidRPr="000F134A">
        <w:t>The reporting requirements for pretreatment program development affect only state governments and municipal governments (i.e., POTWs). Requirements for pretreatment program implementation and program/categorical determinatio</w:t>
      </w:r>
      <w:r>
        <w:t>ns involve some small business IUs</w:t>
      </w:r>
      <w:r w:rsidRPr="000F134A">
        <w:t>. The information requested</w:t>
      </w:r>
      <w:r w:rsidR="00034D67">
        <w:t xml:space="preserve"> </w:t>
      </w:r>
      <w:r w:rsidRPr="000F134A">
        <w:t>is not available from other sources and is essential for implementing the pretreatment program.</w:t>
      </w:r>
    </w:p>
    <w:p w14:paraId="2056A463" w14:textId="7883935F" w:rsidR="008C4F7B" w:rsidRDefault="00442974" w:rsidP="00F0499E">
      <w:r w:rsidRPr="00442974">
        <w:t xml:space="preserve">In 2001, EPA estimated that over the next 20 years </w:t>
      </w:r>
      <w:r w:rsidR="008A7827">
        <w:t>11</w:t>
      </w:r>
      <w:r w:rsidR="008A7827" w:rsidRPr="00442974">
        <w:t xml:space="preserve"> </w:t>
      </w:r>
      <w:r>
        <w:t xml:space="preserve">new CWIS </w:t>
      </w:r>
      <w:r w:rsidRPr="00442974">
        <w:t>facilities owned by small entities are projected to be subject to the final 316(b) regulation. The exact number of facilities owned by small entities that would be subject to the rule annually is difficult to quantify. If any small entities would be affected, it is estimated</w:t>
      </w:r>
      <w:r w:rsidR="008A7827">
        <w:t>,</w:t>
      </w:r>
      <w:r w:rsidRPr="00442974">
        <w:t xml:space="preserve"> one to two new respondents that are small entities will be added for this three</w:t>
      </w:r>
      <w:r w:rsidR="00034D67">
        <w:t>-</w:t>
      </w:r>
      <w:r w:rsidRPr="00442974">
        <w:t>year ICR renewal period</w:t>
      </w:r>
      <w:r w:rsidR="00034D67">
        <w:t>,</w:t>
      </w:r>
      <w:r w:rsidRPr="00442974">
        <w:t xml:space="preserve"> resulting in an estimated total of </w:t>
      </w:r>
      <w:r w:rsidR="008A7827">
        <w:t>10</w:t>
      </w:r>
      <w:r w:rsidR="008A7827" w:rsidRPr="00442974">
        <w:t xml:space="preserve"> </w:t>
      </w:r>
      <w:r w:rsidRPr="00442974">
        <w:t>respondents that are small entities.</w:t>
      </w:r>
    </w:p>
    <w:p w14:paraId="7E9B099C" w14:textId="0E63A2CD" w:rsidR="004B06E2" w:rsidRDefault="00442974" w:rsidP="00F0499E">
      <w:r w:rsidRPr="00442974">
        <w:t xml:space="preserve">The </w:t>
      </w:r>
      <w:r>
        <w:t>316(b) existing CWIS</w:t>
      </w:r>
      <w:r w:rsidR="00717BB1">
        <w:t xml:space="preserve"> rule</w:t>
      </w:r>
      <w:r>
        <w:t xml:space="preserve"> facility </w:t>
      </w:r>
      <w:r w:rsidRPr="00442974">
        <w:t xml:space="preserve">applicability requirements in </w:t>
      </w:r>
      <w:r w:rsidR="008A7827">
        <w:t>section</w:t>
      </w:r>
      <w:r w:rsidR="008A7827" w:rsidRPr="00442974">
        <w:t xml:space="preserve"> </w:t>
      </w:r>
      <w:r w:rsidRPr="00442974">
        <w:t xml:space="preserve">125.91 exclude most existing small entities from the rule. As a result, the rule affects only a small absolute number of facilities owned by small entities, representing a very small percentage of all facilities owned by small entities in the electric power </w:t>
      </w:r>
      <w:r w:rsidR="004B06E2">
        <w:t xml:space="preserve">and manufacturing </w:t>
      </w:r>
      <w:r w:rsidRPr="00442974">
        <w:t>industr</w:t>
      </w:r>
      <w:r w:rsidR="004B06E2">
        <w:t>ies</w:t>
      </w:r>
      <w:r w:rsidRPr="00442974">
        <w:t xml:space="preserve">. EPA estimates that between 37 and 91 small entities </w:t>
      </w:r>
      <w:r w:rsidR="000C48DC" w:rsidRPr="00442974">
        <w:t xml:space="preserve">in the electric power industry and six primary manufacturing industries </w:t>
      </w:r>
      <w:r w:rsidRPr="00442974">
        <w:t xml:space="preserve">own </w:t>
      </w:r>
      <w:r w:rsidR="008D4628" w:rsidRPr="00442974">
        <w:t xml:space="preserve">facilities </w:t>
      </w:r>
      <w:r w:rsidR="008D4628">
        <w:t>subject</w:t>
      </w:r>
      <w:r w:rsidR="000C48DC">
        <w:t xml:space="preserve"> to this rule</w:t>
      </w:r>
      <w:r w:rsidRPr="00442974">
        <w:t xml:space="preserve">. In addition, EPA estimates that </w:t>
      </w:r>
      <w:r w:rsidR="008A7827">
        <w:t>five</w:t>
      </w:r>
      <w:r w:rsidR="008A7827" w:rsidRPr="00442974">
        <w:t xml:space="preserve"> </w:t>
      </w:r>
      <w:r w:rsidRPr="00442974">
        <w:t>small entities own complying facilities in other industries.</w:t>
      </w:r>
      <w:r w:rsidR="004B06E2">
        <w:t xml:space="preserve"> </w:t>
      </w:r>
    </w:p>
    <w:p w14:paraId="52F17227" w14:textId="6C7244BA" w:rsidR="00442974" w:rsidRDefault="004B06E2" w:rsidP="00D56550">
      <w:r>
        <w:t xml:space="preserve">The 316(b) Phase III Rule applies to new offshore </w:t>
      </w:r>
      <w:r w:rsidR="007358A3">
        <w:t>o</w:t>
      </w:r>
      <w:r>
        <w:t xml:space="preserve">il and </w:t>
      </w:r>
      <w:r w:rsidR="007358A3">
        <w:t>g</w:t>
      </w:r>
      <w:r>
        <w:t>as facilities</w:t>
      </w:r>
      <w:r w:rsidR="008A7827">
        <w:t>,</w:t>
      </w:r>
      <w:r>
        <w:t xml:space="preserve"> and t</w:t>
      </w:r>
      <w:r w:rsidRPr="004B06E2">
        <w:t xml:space="preserve">he minimum design intake flow requirements exclude all but one small entity from the compliance requirements. </w:t>
      </w:r>
    </w:p>
    <w:p w14:paraId="27D4C4ED" w14:textId="4EB37CC2" w:rsidR="00AE63F1" w:rsidRDefault="002A2B5D" w:rsidP="00AE63F1">
      <w:r w:rsidRPr="002A2B5D">
        <w:t>The information reported in this ICR related to state NPDES and sewage sludge programs is limited to state efforts, including EPA review of state information; it does not reflect the burden on the permittee. Therefore, these activities do not affect small businesses.</w:t>
      </w:r>
    </w:p>
    <w:p w14:paraId="5C15A60A" w14:textId="72215CDF" w:rsidR="007F2877" w:rsidRDefault="00BC14BB" w:rsidP="00B101A0">
      <w:pPr>
        <w:pStyle w:val="Heading2"/>
      </w:pPr>
      <w:bookmarkStart w:id="14" w:name="_Toc510451618"/>
      <w:r>
        <w:t>6.</w:t>
      </w:r>
      <w:r>
        <w:tab/>
      </w:r>
      <w:r w:rsidR="007F2877" w:rsidRPr="00673714">
        <w:t xml:space="preserve">Describe the consequences to the program if the collection is not conducted </w:t>
      </w:r>
      <w:r w:rsidR="007F2877">
        <w:t>or is conducted less frequently</w:t>
      </w:r>
      <w:bookmarkEnd w:id="14"/>
    </w:p>
    <w:p w14:paraId="3966C6D0" w14:textId="74B356D9" w:rsidR="002A2B5D" w:rsidRPr="00975AE6" w:rsidRDefault="00633264" w:rsidP="002A2B5D">
      <w:r>
        <w:t xml:space="preserve">In most cases, regulations associated with the NPDES program </w:t>
      </w:r>
      <w:r w:rsidR="00BA080B">
        <w:t xml:space="preserve">are meant to minimize </w:t>
      </w:r>
      <w:r>
        <w:t xml:space="preserve">adverse environmental </w:t>
      </w:r>
      <w:r w:rsidR="00147818">
        <w:t xml:space="preserve">and public health </w:t>
      </w:r>
      <w:r w:rsidR="00EF646C">
        <w:t xml:space="preserve">impacts </w:t>
      </w:r>
      <w:r>
        <w:t xml:space="preserve">associated with the discharge of pollutants or the </w:t>
      </w:r>
      <w:r w:rsidRPr="00633264">
        <w:t xml:space="preserve">mortality of fish and other aquatic </w:t>
      </w:r>
      <w:r w:rsidR="00EF646C">
        <w:t>species</w:t>
      </w:r>
      <w:r w:rsidRPr="00633264">
        <w:t>. Failure to</w:t>
      </w:r>
      <w:r w:rsidR="00B77B36">
        <w:t xml:space="preserve"> collect the necessary data to</w:t>
      </w:r>
      <w:r w:rsidRPr="00633264">
        <w:t xml:space="preserve"> implement th</w:t>
      </w:r>
      <w:r w:rsidR="00147818">
        <w:t>ese</w:t>
      </w:r>
      <w:r w:rsidRPr="00633264">
        <w:t xml:space="preserve"> regulation</w:t>
      </w:r>
      <w:r w:rsidR="00EF646C">
        <w:t>s</w:t>
      </w:r>
      <w:r w:rsidRPr="00633264">
        <w:t xml:space="preserve"> would result in significant adverse </w:t>
      </w:r>
      <w:r w:rsidR="00147818">
        <w:t xml:space="preserve">impacts to the </w:t>
      </w:r>
      <w:r w:rsidRPr="00633264">
        <w:t>environment</w:t>
      </w:r>
      <w:r w:rsidR="00147818">
        <w:t xml:space="preserve"> and to public health</w:t>
      </w:r>
      <w:r w:rsidRPr="00633264">
        <w:t>.</w:t>
      </w:r>
      <w:r>
        <w:t xml:space="preserve"> </w:t>
      </w:r>
      <w:r w:rsidR="00BA080B">
        <w:t xml:space="preserve">As well, </w:t>
      </w:r>
      <w:r w:rsidR="002A2B5D">
        <w:t>t</w:t>
      </w:r>
      <w:r w:rsidR="002A2B5D" w:rsidRPr="00230EC6">
        <w:t>he data collection is mandatory</w:t>
      </w:r>
      <w:r w:rsidR="00BA080B">
        <w:t xml:space="preserve"> in most cases; </w:t>
      </w:r>
      <w:r w:rsidR="002A2B5D" w:rsidRPr="00230EC6">
        <w:t xml:space="preserve">regulated facilities and/or control authorities </w:t>
      </w:r>
      <w:r w:rsidR="00BA080B">
        <w:t xml:space="preserve">that do not collect the data would be failing </w:t>
      </w:r>
      <w:r w:rsidR="002A2B5D" w:rsidRPr="00230EC6">
        <w:t>to comply with the NPDES regulations. Failure to comply could result in enforcement actions including civil or criminal penalties.</w:t>
      </w:r>
    </w:p>
    <w:p w14:paraId="47B99265" w14:textId="5EC6858A" w:rsidR="00975AE6" w:rsidRDefault="00975AE6" w:rsidP="00975AE6">
      <w:r>
        <w:t xml:space="preserve">EPA recognizes the importance of balancing the need for data collection efforts against respondent burden and costs. From the inception of the NPDES program, cost has been </w:t>
      </w:r>
      <w:r w:rsidR="00BA080B">
        <w:t xml:space="preserve">a </w:t>
      </w:r>
      <w:r>
        <w:t>major factor considered in establishing application requirements, monitoring conditions, report content</w:t>
      </w:r>
      <w:r w:rsidR="000C48DC">
        <w:t>,</w:t>
      </w:r>
      <w:r>
        <w:t xml:space="preserve"> and </w:t>
      </w:r>
      <w:r w:rsidR="000C48DC">
        <w:t xml:space="preserve">reporting </w:t>
      </w:r>
      <w:r>
        <w:t xml:space="preserve">frequencies. In </w:t>
      </w:r>
      <w:r w:rsidR="00B50213">
        <w:t>recent</w:t>
      </w:r>
      <w:r>
        <w:t xml:space="preserve"> years, the executive and legislative branches of the U.S. government have stressed the need to evaluate the costs and benefits of regulation and the financial impact on the regulated community, state</w:t>
      </w:r>
      <w:r w:rsidR="00EF646C">
        <w:t>s</w:t>
      </w:r>
      <w:r>
        <w:t>, and local government</w:t>
      </w:r>
      <w:r w:rsidR="00EF646C">
        <w:t>s</w:t>
      </w:r>
      <w:r>
        <w:t>. EPA regularly seeks new opportunities to reduce burden on the regulated community.</w:t>
      </w:r>
    </w:p>
    <w:p w14:paraId="5B055A46" w14:textId="208957E0" w:rsidR="00047193" w:rsidRDefault="00975AE6" w:rsidP="00975AE6">
      <w:r>
        <w:t xml:space="preserve">The information needed to meet permitting, monitoring, reporting, and information collection requirements related to the NPDES </w:t>
      </w:r>
      <w:r w:rsidR="001710DA">
        <w:t>p</w:t>
      </w:r>
      <w:r>
        <w:t xml:space="preserve">rogram is submitted </w:t>
      </w:r>
      <w:r w:rsidR="00B50213">
        <w:t xml:space="preserve">either </w:t>
      </w:r>
      <w:r w:rsidR="00C2425A">
        <w:t xml:space="preserve">once, regularly, or as needed. </w:t>
      </w:r>
      <w:r>
        <w:t xml:space="preserve">EPA and authorized states need current information about permittees, discharge characteristics, enforcement actions, and program performance to fulfill oversight responsibilities. </w:t>
      </w:r>
    </w:p>
    <w:p w14:paraId="5A6B0A00" w14:textId="6F54BFB0" w:rsidR="00975AE6" w:rsidRDefault="00975AE6" w:rsidP="00975AE6">
      <w:r>
        <w:t xml:space="preserve">EPA must track permits, compliance activities, and enforcement actions to ensure that state programs are carrying out the provisions of the CWA in a timely manner. </w:t>
      </w:r>
      <w:r w:rsidR="00EF646C">
        <w:t xml:space="preserve">EPA has determined that the </w:t>
      </w:r>
      <w:r>
        <w:t xml:space="preserve">NPDES burden described in this ICR </w:t>
      </w:r>
      <w:r w:rsidR="00EF646C">
        <w:t xml:space="preserve">is </w:t>
      </w:r>
      <w:r>
        <w:t xml:space="preserve">necessary </w:t>
      </w:r>
      <w:r w:rsidR="00AC064E">
        <w:t>t</w:t>
      </w:r>
      <w:r w:rsidR="00777F7F">
        <w:t xml:space="preserve">o </w:t>
      </w:r>
      <w:r>
        <w:t xml:space="preserve">provide </w:t>
      </w:r>
      <w:r w:rsidR="00AC064E">
        <w:t>sufficient</w:t>
      </w:r>
      <w:r>
        <w:t xml:space="preserve"> data for EPA to effectively provide guidance for state programs, to review or comment on state actions, or to intervene in compliance or enforcement cases.</w:t>
      </w:r>
    </w:p>
    <w:p w14:paraId="1B1460DF" w14:textId="7C2A46E9" w:rsidR="00975AE6" w:rsidRDefault="00975AE6" w:rsidP="00B101A0">
      <w:r>
        <w:t xml:space="preserve">Permitted facilities must reapply for NPDES and sewage sludge management permits before their existing permits expire, generally once every </w:t>
      </w:r>
      <w:r w:rsidR="00C2425A">
        <w:t xml:space="preserve">five </w:t>
      </w:r>
      <w:r>
        <w:t xml:space="preserve">years. The CWA prohibits NPDES permits from having terms longer than </w:t>
      </w:r>
      <w:r w:rsidR="00C2425A">
        <w:t xml:space="preserve">five </w:t>
      </w:r>
      <w:r>
        <w:t xml:space="preserve">years. Less frequent permit applications would not </w:t>
      </w:r>
      <w:r w:rsidR="00C2425A">
        <w:t xml:space="preserve">give </w:t>
      </w:r>
      <w:r>
        <w:t xml:space="preserve">the permitting authority current </w:t>
      </w:r>
      <w:r w:rsidR="00C2425A">
        <w:t xml:space="preserve">enough </w:t>
      </w:r>
      <w:r>
        <w:t>data to establish effective limitations or conditions when reissuing permits. Less frequent permit issuance would also hinder the ability of EPA and the regulated community to take advantage of technological improvements as they occur. Permits must contain conditions that reflect, for example, the following criteria:</w:t>
      </w:r>
    </w:p>
    <w:p w14:paraId="77D512DD" w14:textId="22504B82" w:rsidR="00975AE6" w:rsidRDefault="00E0458C" w:rsidP="00EF1FFC">
      <w:pPr>
        <w:pStyle w:val="ListParagraph"/>
        <w:numPr>
          <w:ilvl w:val="0"/>
          <w:numId w:val="11"/>
        </w:numPr>
      </w:pPr>
      <w:r>
        <w:t>N</w:t>
      </w:r>
      <w:r w:rsidR="00717BB1">
        <w:t>ew industrial processes and waste treatment technologies;</w:t>
      </w:r>
    </w:p>
    <w:p w14:paraId="4441AFE8" w14:textId="7D6D6BFA" w:rsidR="00975AE6" w:rsidRDefault="00E0458C" w:rsidP="00EF1FFC">
      <w:pPr>
        <w:pStyle w:val="ListParagraph"/>
        <w:numPr>
          <w:ilvl w:val="0"/>
          <w:numId w:val="11"/>
        </w:numPr>
      </w:pPr>
      <w:r>
        <w:t>N</w:t>
      </w:r>
      <w:r w:rsidR="00717BB1">
        <w:t>ew kinds of discharges (such as toxic chemicals);</w:t>
      </w:r>
    </w:p>
    <w:p w14:paraId="2706286E" w14:textId="69D45289" w:rsidR="00975AE6" w:rsidRDefault="00E0458C" w:rsidP="00EF1FFC">
      <w:pPr>
        <w:pStyle w:val="ListParagraph"/>
        <w:numPr>
          <w:ilvl w:val="0"/>
          <w:numId w:val="11"/>
        </w:numPr>
      </w:pPr>
      <w:r>
        <w:t>N</w:t>
      </w:r>
      <w:r w:rsidR="00717BB1">
        <w:t>ew detection methods; and</w:t>
      </w:r>
    </w:p>
    <w:p w14:paraId="3249D2F0" w14:textId="116F4BFB" w:rsidR="00975AE6" w:rsidRDefault="00E0458C" w:rsidP="00EF1FFC">
      <w:pPr>
        <w:pStyle w:val="ListParagraph"/>
        <w:numPr>
          <w:ilvl w:val="0"/>
          <w:numId w:val="11"/>
        </w:numPr>
      </w:pPr>
      <w:r>
        <w:t>C</w:t>
      </w:r>
      <w:r w:rsidR="00717BB1">
        <w:t xml:space="preserve">hanges </w:t>
      </w:r>
      <w:r w:rsidR="00975AE6">
        <w:t>in the quality of receiving waters.</w:t>
      </w:r>
    </w:p>
    <w:p w14:paraId="61A511AF" w14:textId="59EBF309" w:rsidR="00975AE6" w:rsidRDefault="00975AE6" w:rsidP="00975AE6">
      <w:r>
        <w:t xml:space="preserve">EPA strives to minimize monitoring-related workloads. For example, </w:t>
      </w:r>
      <w:r w:rsidR="00717BB1">
        <w:t xml:space="preserve">in the past </w:t>
      </w:r>
      <w:r>
        <w:t>EPA developed an automated procedure that preprints relevant permittee information, such as discharger name and address, pollutants to be monitored, and effluent limitations on the DMR form</w:t>
      </w:r>
      <w:r w:rsidR="007A3058">
        <w:t>,</w:t>
      </w:r>
      <w:r>
        <w:t xml:space="preserve"> before sending it to the permittee; </w:t>
      </w:r>
      <w:r w:rsidR="00717BB1">
        <w:t>t</w:t>
      </w:r>
      <w:r w:rsidR="00174FBC">
        <w:t xml:space="preserve">he implementation of the Electronic Reporting Rule </w:t>
      </w:r>
      <w:r w:rsidR="00717BB1">
        <w:t xml:space="preserve">eliminates </w:t>
      </w:r>
      <w:r w:rsidR="00E94CBC">
        <w:t xml:space="preserve">the use of </w:t>
      </w:r>
      <w:r w:rsidR="00717BB1">
        <w:t xml:space="preserve">many paper forms </w:t>
      </w:r>
      <w:r w:rsidR="00E94CBC">
        <w:t>(other than for permittees with a waiver)</w:t>
      </w:r>
      <w:r w:rsidR="00EF646C">
        <w:t>,</w:t>
      </w:r>
      <w:r>
        <w:t xml:space="preserve"> further streamlin</w:t>
      </w:r>
      <w:r w:rsidR="00717BB1">
        <w:t>ing</w:t>
      </w:r>
      <w:r>
        <w:t xml:space="preserve"> reporting. Permittees are required to record only their monitoring results and to report any violations. EPA continues its efforts to minimize permittee burden associated with monitoring data collection and reporting requirements</w:t>
      </w:r>
      <w:r w:rsidR="006C4ECB">
        <w:t>.</w:t>
      </w:r>
    </w:p>
    <w:p w14:paraId="4A20AFFF" w14:textId="159FCC6B" w:rsidR="00174FBC" w:rsidRDefault="00174FBC" w:rsidP="00975AE6">
      <w:r w:rsidRPr="00174FBC">
        <w:t xml:space="preserve">EPA considers the reporting requirements associated with the pretreatment program (both the one-time and ongoing monitoring and reporting requirements) </w:t>
      </w:r>
      <w:r w:rsidR="00814F01">
        <w:t xml:space="preserve">to be </w:t>
      </w:r>
      <w:r w:rsidRPr="00174FBC">
        <w:t xml:space="preserve">the minimum necessary for effective administration of the </w:t>
      </w:r>
      <w:r w:rsidR="00EF646C">
        <w:t xml:space="preserve">pretreatment </w:t>
      </w:r>
      <w:r w:rsidRPr="00174FBC">
        <w:t>program</w:t>
      </w:r>
      <w:r w:rsidR="00EF646C">
        <w:t xml:space="preserve"> as well as </w:t>
      </w:r>
      <w:r w:rsidRPr="00174FBC">
        <w:t>to ensure effective control of hazardous wastes and to implement RCRA section 3018(b). Most alternatives would entail an increase in reporting burden. In addition, EPA considers the specific requirements for SIUs and for reporting the discharge of RCRA hazardous substances preferable to repealing the domestic sewage exclusion. The domestic sewage exclusion is a RCRA provision that excludes domestic sewage and any mixture of domestic sewage and other wastes that pass through a sewer system to a POTW for treatment from being classified as a RCRA hazardous waste.</w:t>
      </w:r>
    </w:p>
    <w:p w14:paraId="7DE5E18E" w14:textId="60E98FE9" w:rsidR="00975AE6" w:rsidRDefault="00975AE6" w:rsidP="00975AE6">
      <w:r>
        <w:t xml:space="preserve">Some of the information in this ICR that is required to be submitted is collected only after the permittee violates a permit condition or after a certain condition occurs. For example, noncompliance reports are submitted when the facility experiences a bypass, an upset, or a violation of a </w:t>
      </w:r>
      <w:r w:rsidR="00BD6F42">
        <w:t>permit</w:t>
      </w:r>
      <w:r>
        <w:t xml:space="preserve"> limit. Responses to section 308(a) letters are submitted only when requested by the Administrator in response to events such as a spill of oil or a hazardous substance, or whenever EPA has reason to believe it needs </w:t>
      </w:r>
      <w:r w:rsidR="007A3058">
        <w:t xml:space="preserve">more </w:t>
      </w:r>
      <w:r>
        <w:t xml:space="preserve">information to determine compliance. Compliance schedule reports are submitted only when a permit contains a compliance schedule and </w:t>
      </w:r>
      <w:r w:rsidR="007F51D2">
        <w:t>it is necessary to ascertain a permittee</w:t>
      </w:r>
      <w:r w:rsidR="007A3058">
        <w:t>’</w:t>
      </w:r>
      <w:r w:rsidR="007F51D2">
        <w:t>s compliance with a milestone in the compliance schedule.</w:t>
      </w:r>
      <w:r>
        <w:t xml:space="preserve"> Also, alternate level reports are submitted only when there is an expected change in the production level at the facility.</w:t>
      </w:r>
    </w:p>
    <w:p w14:paraId="16E952F2" w14:textId="09754146" w:rsidR="00975AE6" w:rsidRDefault="00975AE6" w:rsidP="00A42D5C">
      <w:r>
        <w:t xml:space="preserve">In certain instances, </w:t>
      </w:r>
      <w:r w:rsidR="007F51D2">
        <w:t xml:space="preserve">a permittee </w:t>
      </w:r>
      <w:r>
        <w:t xml:space="preserve">may choose to submit information when requesting a modification or variance from otherwise applicable requirements. The information collection and reporting requirements associated with NPDES permit modifications and variances are specific, would not be supplied in any other report or application, and are submitted as needed. In most cases, the decision to submit information is made by the NPDES permittee or permit applicant. The exceptions are (1) when outside events trigger the need for a permit modification and (2) when the Administrator decides to invoke a reporting requirement, such as a request for permit revocation and reissuance. Because information is submitted only when needed, less frequent data collection would not </w:t>
      </w:r>
      <w:r w:rsidR="007A3058">
        <w:t xml:space="preserve">give </w:t>
      </w:r>
      <w:r>
        <w:t xml:space="preserve">the permitting authority </w:t>
      </w:r>
      <w:r w:rsidR="007A3058">
        <w:t xml:space="preserve">enough </w:t>
      </w:r>
      <w:r>
        <w:t xml:space="preserve">information to meet </w:t>
      </w:r>
      <w:r w:rsidR="007A3058">
        <w:t xml:space="preserve">its </w:t>
      </w:r>
      <w:r>
        <w:t>responsibilities under the CWA.</w:t>
      </w:r>
    </w:p>
    <w:p w14:paraId="458FC059" w14:textId="67726A46" w:rsidR="007F2877" w:rsidRDefault="00BC14BB" w:rsidP="00B101A0">
      <w:pPr>
        <w:pStyle w:val="Heading2"/>
      </w:pPr>
      <w:bookmarkStart w:id="15" w:name="_Toc510451619"/>
      <w:r>
        <w:t>7.</w:t>
      </w:r>
      <w:r>
        <w:tab/>
      </w:r>
      <w:r w:rsidR="007F2877" w:rsidRPr="00673714">
        <w:t>Explain any special circumstances associated with “extraordinar</w:t>
      </w:r>
      <w:r w:rsidR="007F2877">
        <w:t>y burden” placed on respondents</w:t>
      </w:r>
      <w:bookmarkEnd w:id="15"/>
    </w:p>
    <w:p w14:paraId="79D7EAF4" w14:textId="54113BE7" w:rsidR="009B1FA1" w:rsidRPr="00975AE6" w:rsidRDefault="007A3058" w:rsidP="00BC14BB">
      <w:r>
        <w:t>N</w:t>
      </w:r>
      <w:r w:rsidR="009B1FA1" w:rsidRPr="009B1FA1">
        <w:t xml:space="preserve">o special circumstances </w:t>
      </w:r>
      <w:r>
        <w:t>place</w:t>
      </w:r>
      <w:r w:rsidRPr="009B1FA1">
        <w:t xml:space="preserve"> </w:t>
      </w:r>
      <w:r w:rsidR="009B1FA1" w:rsidRPr="009B1FA1">
        <w:t xml:space="preserve">“extraordinary burden” on respondents. </w:t>
      </w:r>
      <w:r>
        <w:t>I</w:t>
      </w:r>
      <w:r w:rsidR="009B1FA1" w:rsidRPr="009B1FA1">
        <w:t xml:space="preserve">nformation is </w:t>
      </w:r>
      <w:r>
        <w:t>collected</w:t>
      </w:r>
      <w:r w:rsidRPr="009B1FA1">
        <w:t xml:space="preserve"> </w:t>
      </w:r>
      <w:r w:rsidR="009B1FA1" w:rsidRPr="009B1FA1">
        <w:t xml:space="preserve">in a manner consistent with the Paperwork Reduction Act </w:t>
      </w:r>
      <w:r>
        <w:t xml:space="preserve">(PRA) </w:t>
      </w:r>
      <w:r w:rsidR="009B1FA1" w:rsidRPr="009B1FA1">
        <w:t xml:space="preserve">guidelines at 5 CFR 1320.5(d)(2). Requests for supplemental information for emergency response or enforcement are exempt from the </w:t>
      </w:r>
      <w:r>
        <w:t>PRA</w:t>
      </w:r>
      <w:r w:rsidR="009B1FA1" w:rsidRPr="009B1FA1">
        <w:t xml:space="preserve"> requirements.</w:t>
      </w:r>
    </w:p>
    <w:p w14:paraId="36D2F3B2" w14:textId="3F1D0026" w:rsidR="007F2877" w:rsidRDefault="00BC14BB" w:rsidP="00B101A0">
      <w:pPr>
        <w:pStyle w:val="Heading2"/>
      </w:pPr>
      <w:bookmarkStart w:id="16" w:name="_Toc510451620"/>
      <w:r>
        <w:t>8.</w:t>
      </w:r>
      <w:r>
        <w:tab/>
      </w:r>
      <w:r w:rsidR="007F2877" w:rsidRPr="00673714">
        <w:t>Provide a copy and identify the date and page number of the</w:t>
      </w:r>
      <w:r w:rsidR="007F2877">
        <w:t xml:space="preserve"> notice in the Federal Register</w:t>
      </w:r>
      <w:r w:rsidR="004A2F42">
        <w:t xml:space="preserve"> and describe efforts to consult with persons outside the agency</w:t>
      </w:r>
      <w:bookmarkEnd w:id="16"/>
    </w:p>
    <w:p w14:paraId="0966F869" w14:textId="6EBC7CB4" w:rsidR="00321D7B" w:rsidRDefault="00EE169C" w:rsidP="00321D7B">
      <w:r>
        <w:t>A notice requesting comment on this ICR</w:t>
      </w:r>
      <w:r w:rsidR="00321D7B">
        <w:t xml:space="preserve"> was published in the Federal Register on </w:t>
      </w:r>
      <w:r w:rsidR="00AF7469">
        <w:t>June 29, 2017</w:t>
      </w:r>
      <w:r w:rsidR="00321D7B">
        <w:t xml:space="preserve"> (</w:t>
      </w:r>
      <w:r w:rsidR="00F713B5">
        <w:t>82 FR 29549</w:t>
      </w:r>
      <w:r w:rsidR="00321D7B" w:rsidRPr="003A2DB8">
        <w:t>)</w:t>
      </w:r>
      <w:r w:rsidR="00321D7B">
        <w:t xml:space="preserve">. The notice included a request for comments on the content and impact of these information collection requirements on the regulated community. </w:t>
      </w:r>
      <w:r w:rsidR="004B5007">
        <w:t xml:space="preserve">EPA did not receive any comments on this ICR. </w:t>
      </w:r>
      <w:r w:rsidR="00321D7B">
        <w:t>A copy of the Federal Register N</w:t>
      </w:r>
      <w:r w:rsidR="00691FA7">
        <w:t xml:space="preserve">otice can be found in Appendix </w:t>
      </w:r>
      <w:r w:rsidR="00E768CE">
        <w:t>F</w:t>
      </w:r>
      <w:r w:rsidR="00D72092">
        <w:t>.2</w:t>
      </w:r>
      <w:r w:rsidR="0093548A">
        <w:t>.</w:t>
      </w:r>
    </w:p>
    <w:p w14:paraId="1B7ADFB3" w14:textId="6345979A" w:rsidR="00321D7B" w:rsidRDefault="00321D7B" w:rsidP="00945D67">
      <w:r>
        <w:t xml:space="preserve">Minimum data collection requirements are mandated and specifically defined by the regulations authorizing collection </w:t>
      </w:r>
      <w:r w:rsidR="00B14EC9">
        <w:t xml:space="preserve">and </w:t>
      </w:r>
      <w:r>
        <w:t>are</w:t>
      </w:r>
      <w:r w:rsidR="00EF1990">
        <w:t xml:space="preserve"> generally</w:t>
      </w:r>
      <w:r>
        <w:t xml:space="preserve"> not subject to change through consultation. These requirements are often incorporated into the NPDES permit</w:t>
      </w:r>
      <w:r w:rsidR="00EF1990">
        <w:t xml:space="preserve"> along with other requirements that may be tailored to specific circumstances</w:t>
      </w:r>
      <w:r>
        <w:t xml:space="preserve">. The </w:t>
      </w:r>
      <w:r w:rsidR="00A44AE7">
        <w:t>permitting authorities</w:t>
      </w:r>
      <w:r>
        <w:t xml:space="preserve"> are primarily responsible for determining which collection method and information management strategy is most appropriate. During initial NPDES permit development and during permit reissuance </w:t>
      </w:r>
      <w:r w:rsidR="00A76623">
        <w:t>(</w:t>
      </w:r>
      <w:r>
        <w:t>which occurs every five years</w:t>
      </w:r>
      <w:r w:rsidR="00A76623">
        <w:t>)</w:t>
      </w:r>
      <w:r w:rsidR="006C4BC4">
        <w:t>,</w:t>
      </w:r>
      <w:r>
        <w:t xml:space="preserve"> a consultation </w:t>
      </w:r>
      <w:r w:rsidR="00BF7F5B">
        <w:t xml:space="preserve">typically </w:t>
      </w:r>
      <w:r>
        <w:t xml:space="preserve">occurs between the </w:t>
      </w:r>
      <w:r w:rsidR="003477F2">
        <w:t xml:space="preserve">permitting authority </w:t>
      </w:r>
      <w:r>
        <w:t xml:space="preserve">and </w:t>
      </w:r>
      <w:r w:rsidR="00056CFB">
        <w:t xml:space="preserve">the </w:t>
      </w:r>
      <w:r>
        <w:t xml:space="preserve">permittee. During this consultation, the permittee has the opportunity to request clarification of instructions, recordkeeping, disclosure, or reporting format and to request changes to the data requirements and the frequency of collection and reporting that may be warranted by changing circumstances. Specific changes can then be incorporated in the renewed permit. The </w:t>
      </w:r>
      <w:r w:rsidR="00A76623">
        <w:t xml:space="preserve">five-year frequency for </w:t>
      </w:r>
      <w:r>
        <w:t xml:space="preserve">permit renewal is mandated by the regulation. </w:t>
      </w:r>
      <w:r w:rsidR="00056CFB">
        <w:t xml:space="preserve">Between renewals, though, </w:t>
      </w:r>
      <w:r>
        <w:t xml:space="preserve">the permittee may consult with the </w:t>
      </w:r>
      <w:r w:rsidR="003477F2">
        <w:t xml:space="preserve">permitting authority </w:t>
      </w:r>
      <w:r>
        <w:t xml:space="preserve">if </w:t>
      </w:r>
      <w:r w:rsidR="00056CFB">
        <w:t xml:space="preserve">its circumstances change significantly </w:t>
      </w:r>
      <w:r w:rsidR="00691FA7">
        <w:t xml:space="preserve">and, if warranted, the </w:t>
      </w:r>
      <w:r w:rsidR="003477F2">
        <w:t xml:space="preserve">permitting authority </w:t>
      </w:r>
      <w:r>
        <w:t>may enact modifications to the permit.</w:t>
      </w:r>
    </w:p>
    <w:p w14:paraId="180C7764" w14:textId="3BA070FC" w:rsidR="00654522" w:rsidRPr="00321D7B" w:rsidRDefault="00654522" w:rsidP="00945D67">
      <w:r w:rsidRPr="00654522">
        <w:t xml:space="preserve">In </w:t>
      </w:r>
      <w:r w:rsidR="00125967">
        <w:t>four</w:t>
      </w:r>
      <w:r w:rsidRPr="00654522">
        <w:t xml:space="preserve"> states, </w:t>
      </w:r>
      <w:r w:rsidR="00125967" w:rsidRPr="00125967">
        <w:t xml:space="preserve">most U.S. </w:t>
      </w:r>
      <w:r w:rsidR="00E617AE">
        <w:t>t</w:t>
      </w:r>
      <w:r w:rsidR="00E617AE" w:rsidRPr="00125967">
        <w:t>erritories</w:t>
      </w:r>
      <w:r w:rsidR="00125967" w:rsidRPr="00125967">
        <w:t xml:space="preserve">, and </w:t>
      </w:r>
      <w:r w:rsidR="002B4132">
        <w:t>f</w:t>
      </w:r>
      <w:r w:rsidR="00125967" w:rsidRPr="00125967">
        <w:t xml:space="preserve">ederal Indian </w:t>
      </w:r>
      <w:r w:rsidR="002B4132">
        <w:t>l</w:t>
      </w:r>
      <w:r w:rsidR="002B4132" w:rsidRPr="00125967">
        <w:t>ands</w:t>
      </w:r>
      <w:r w:rsidR="00125967">
        <w:t xml:space="preserve">, </w:t>
      </w:r>
      <w:r w:rsidRPr="00654522">
        <w:t xml:space="preserve">the </w:t>
      </w:r>
      <w:r w:rsidR="002B4132">
        <w:t>f</w:t>
      </w:r>
      <w:r w:rsidR="002B4132" w:rsidRPr="00654522">
        <w:t xml:space="preserve">ederal </w:t>
      </w:r>
      <w:r w:rsidR="002B4132">
        <w:t>g</w:t>
      </w:r>
      <w:r w:rsidR="002B4132" w:rsidRPr="00654522">
        <w:t xml:space="preserve">overnment </w:t>
      </w:r>
      <w:r w:rsidRPr="00654522">
        <w:t xml:space="preserve">serves as the </w:t>
      </w:r>
      <w:r w:rsidR="00CA2398">
        <w:t>permitting authority</w:t>
      </w:r>
      <w:r w:rsidR="00CA2398" w:rsidRPr="00654522">
        <w:t xml:space="preserve"> </w:t>
      </w:r>
      <w:r w:rsidRPr="00654522">
        <w:t xml:space="preserve">and thus has direct consultations with permittees within those </w:t>
      </w:r>
      <w:r w:rsidR="00125967">
        <w:t>jurisdictions</w:t>
      </w:r>
      <w:r w:rsidR="002B4132">
        <w:t xml:space="preserve">; these are </w:t>
      </w:r>
      <w:r w:rsidRPr="00654522">
        <w:t>an opportunity for direct input regarding changes to the forms, burden</w:t>
      </w:r>
      <w:r w:rsidR="006C4BC4">
        <w:t>,</w:t>
      </w:r>
      <w:r w:rsidRPr="00654522">
        <w:t xml:space="preserve"> or other requirements. The </w:t>
      </w:r>
      <w:r w:rsidR="002B4132">
        <w:t>f</w:t>
      </w:r>
      <w:r w:rsidR="002B4132" w:rsidRPr="00654522">
        <w:t xml:space="preserve">ederal </w:t>
      </w:r>
      <w:r w:rsidR="002B4132">
        <w:t>g</w:t>
      </w:r>
      <w:r w:rsidR="002B4132" w:rsidRPr="00654522">
        <w:t xml:space="preserve">overnment </w:t>
      </w:r>
      <w:r w:rsidRPr="00654522">
        <w:t>provides general oversight of the NPDES program and the approved state programs</w:t>
      </w:r>
      <w:r w:rsidR="00035C1F">
        <w:t xml:space="preserve">, </w:t>
      </w:r>
      <w:r w:rsidR="00035C1F" w:rsidRPr="00654522">
        <w:t>includ</w:t>
      </w:r>
      <w:r w:rsidR="00035C1F">
        <w:t>ing</w:t>
      </w:r>
      <w:r w:rsidR="00035C1F" w:rsidRPr="00654522">
        <w:t xml:space="preserve"> </w:t>
      </w:r>
      <w:r w:rsidRPr="00654522">
        <w:t xml:space="preserve">regular consultation with </w:t>
      </w:r>
      <w:r w:rsidR="006C4BC4">
        <w:t>s</w:t>
      </w:r>
      <w:r w:rsidRPr="00654522">
        <w:t xml:space="preserve">tate </w:t>
      </w:r>
      <w:r w:rsidR="008D4628">
        <w:t>a</w:t>
      </w:r>
      <w:r w:rsidR="008D4628" w:rsidRPr="00654522">
        <w:t>gencies</w:t>
      </w:r>
      <w:r w:rsidRPr="00654522">
        <w:t xml:space="preserve"> in direct contact with individual permittees. EPA Headquarters staff responsible for program oversight were also contacted to provide revised information and data for this ICR.</w:t>
      </w:r>
    </w:p>
    <w:p w14:paraId="55DBB394" w14:textId="09EF6A0F" w:rsidR="007F2877" w:rsidRDefault="007F2877" w:rsidP="00B101A0">
      <w:pPr>
        <w:pStyle w:val="Heading2"/>
      </w:pPr>
      <w:bookmarkStart w:id="17" w:name="_Toc510451621"/>
      <w:r>
        <w:t>9.</w:t>
      </w:r>
      <w:r w:rsidR="00BC14BB">
        <w:tab/>
      </w:r>
      <w:r w:rsidRPr="00673714">
        <w:t>Explain any decision to prov</w:t>
      </w:r>
      <w:r>
        <w:t>ide compensation to respondents</w:t>
      </w:r>
      <w:bookmarkEnd w:id="17"/>
    </w:p>
    <w:p w14:paraId="6F07526C" w14:textId="718E932F" w:rsidR="00975AE6" w:rsidRPr="00975AE6" w:rsidRDefault="009B1FA1" w:rsidP="00945D67">
      <w:r w:rsidRPr="009B1FA1">
        <w:t>No payments or gifts are provided to respondents</w:t>
      </w:r>
      <w:r>
        <w:t>.</w:t>
      </w:r>
    </w:p>
    <w:p w14:paraId="68850C48" w14:textId="0C45E68A" w:rsidR="007F2877" w:rsidRDefault="007F2877" w:rsidP="00B101A0">
      <w:pPr>
        <w:pStyle w:val="Heading2"/>
      </w:pPr>
      <w:bookmarkStart w:id="18" w:name="_Toc510451622"/>
      <w:r>
        <w:t>10.</w:t>
      </w:r>
      <w:r w:rsidR="00BC14BB">
        <w:tab/>
      </w:r>
      <w:r w:rsidRPr="00673714">
        <w:t>Describe any assurance of confiden</w:t>
      </w:r>
      <w:r>
        <w:t>tiality provided to respondents</w:t>
      </w:r>
      <w:bookmarkEnd w:id="18"/>
    </w:p>
    <w:p w14:paraId="109901DB" w14:textId="4553D644" w:rsidR="00975AE6" w:rsidRPr="00975AE6" w:rsidRDefault="00975AE6" w:rsidP="00945D67">
      <w:r w:rsidRPr="00975AE6">
        <w:t xml:space="preserve">Permit applications and other respondent reports </w:t>
      </w:r>
      <w:r w:rsidR="00691FA7">
        <w:t>may</w:t>
      </w:r>
      <w:r w:rsidRPr="00975AE6">
        <w:t xml:space="preserve"> contain confidential business information. If this is the case, the respondent may request that such information be treated as confidential. All confidential data will be handled in accordance with 40 CFR 122.7, 40 CFR Part 2, and EPA’s </w:t>
      </w:r>
      <w:r w:rsidRPr="002C7588">
        <w:rPr>
          <w:i/>
        </w:rPr>
        <w:t>Security Manual</w:t>
      </w:r>
      <w:r w:rsidRPr="00975AE6">
        <w:t xml:space="preserve"> Part III, Chapter 9, dated August 9, 1976. Any claim of confidentiality must be asserted at the time of submission. However, CWA section 308(b) specifically states that effluent data may not be treated as confidential.</w:t>
      </w:r>
    </w:p>
    <w:p w14:paraId="533505FD" w14:textId="08CF141B" w:rsidR="007F2877" w:rsidRDefault="007F2877" w:rsidP="00B101A0">
      <w:pPr>
        <w:pStyle w:val="Heading2"/>
      </w:pPr>
      <w:bookmarkStart w:id="19" w:name="_Toc510451623"/>
      <w:r>
        <w:t>11.</w:t>
      </w:r>
      <w:r w:rsidR="00BC14BB">
        <w:tab/>
      </w:r>
      <w:r w:rsidRPr="00673714">
        <w:t xml:space="preserve">Provide additional justification for any </w:t>
      </w:r>
      <w:r>
        <w:t>questions of a sensitive nature</w:t>
      </w:r>
      <w:bookmarkEnd w:id="19"/>
    </w:p>
    <w:p w14:paraId="72D54B4F" w14:textId="7E26B11A" w:rsidR="004F2E4C" w:rsidRDefault="009B1FA1" w:rsidP="004F2E4C">
      <w:r w:rsidRPr="009B1FA1">
        <w:t>Questions of a sensitive nature</w:t>
      </w:r>
      <w:r w:rsidR="008B42F9">
        <w:t xml:space="preserve"> (including personally identifiable information)</w:t>
      </w:r>
      <w:r w:rsidRPr="009B1FA1">
        <w:t xml:space="preserve"> are not found in this information collection.</w:t>
      </w:r>
    </w:p>
    <w:p w14:paraId="3433A0F7" w14:textId="40A78511" w:rsidR="007F2877" w:rsidRDefault="007F2877" w:rsidP="00B101A0">
      <w:pPr>
        <w:pStyle w:val="Heading2"/>
      </w:pPr>
      <w:bookmarkStart w:id="20" w:name="_Toc510451624"/>
      <w:r>
        <w:t>12.</w:t>
      </w:r>
      <w:r w:rsidR="00BC14BB">
        <w:tab/>
      </w:r>
      <w:r w:rsidRPr="00673714">
        <w:t>Provide estimates of the hour burden o</w:t>
      </w:r>
      <w:r>
        <w:t>f the collection of information</w:t>
      </w:r>
      <w:bookmarkEnd w:id="20"/>
    </w:p>
    <w:p w14:paraId="01221CD2" w14:textId="2EE3F408" w:rsidR="00B33CEF" w:rsidRDefault="005F454E" w:rsidP="00E53E0B">
      <w:r>
        <w:t xml:space="preserve">The estimate of respondent burden hours </w:t>
      </w:r>
      <w:r w:rsidR="001421BC">
        <w:t>covers</w:t>
      </w:r>
      <w:r>
        <w:t xml:space="preserve"> f</w:t>
      </w:r>
      <w:r w:rsidRPr="005F454E">
        <w:t xml:space="preserve">acilities subject to NPDES program requirements </w:t>
      </w:r>
      <w:r>
        <w:t xml:space="preserve">(permittees) </w:t>
      </w:r>
      <w:r w:rsidRPr="005F454E">
        <w:t>and authorized states</w:t>
      </w:r>
      <w:r>
        <w:t>.</w:t>
      </w:r>
      <w:r w:rsidRPr="005F454E">
        <w:t xml:space="preserve"> </w:t>
      </w:r>
      <w:r w:rsidR="004C4096" w:rsidRPr="004C4096">
        <w:t xml:space="preserve">Appendix </w:t>
      </w:r>
      <w:r w:rsidR="004C4096">
        <w:t xml:space="preserve">A </w:t>
      </w:r>
      <w:r w:rsidR="00134A7F">
        <w:t>describes</w:t>
      </w:r>
      <w:r w:rsidR="004C4096" w:rsidRPr="004C4096">
        <w:t xml:space="preserve"> the information collected and </w:t>
      </w:r>
      <w:r w:rsidR="00B33CEF">
        <w:t xml:space="preserve">the </w:t>
      </w:r>
      <w:r w:rsidR="004C4096" w:rsidRPr="004C4096">
        <w:t xml:space="preserve">methodology for estimating respondent burden and costs. </w:t>
      </w:r>
      <w:r w:rsidR="004C4096">
        <w:t>A</w:t>
      </w:r>
      <w:r w:rsidR="004209F1">
        <w:t xml:space="preserve">ppendix B presents a </w:t>
      </w:r>
      <w:r w:rsidRPr="005F454E">
        <w:t>calculated respondent burden estimate grouped by activity type and respondent type</w:t>
      </w:r>
      <w:r>
        <w:t>.</w:t>
      </w:r>
      <w:r w:rsidR="00F768BA" w:rsidRPr="00F768BA">
        <w:t xml:space="preserve"> Table 12.1 summarizes the labor burden and associated </w:t>
      </w:r>
      <w:r>
        <w:t xml:space="preserve">labor </w:t>
      </w:r>
      <w:r w:rsidR="00F768BA" w:rsidRPr="00F768BA">
        <w:t xml:space="preserve">costs for permittees and states with NPDES </w:t>
      </w:r>
      <w:r w:rsidR="001710DA">
        <w:t>p</w:t>
      </w:r>
      <w:r w:rsidR="00F768BA" w:rsidRPr="00F768BA">
        <w:t>rogram authority.</w:t>
      </w:r>
    </w:p>
    <w:p w14:paraId="271F9CF2" w14:textId="29924BF6" w:rsidR="004E651D" w:rsidRDefault="004E651D" w:rsidP="00F747CB">
      <w:pPr>
        <w:pStyle w:val="Caption"/>
      </w:pPr>
      <w:r>
        <w:t xml:space="preserve">Table 12.1 Summary of </w:t>
      </w:r>
      <w:r w:rsidR="00AC7E76">
        <w:t>L</w:t>
      </w:r>
      <w:r>
        <w:t xml:space="preserve">abor </w:t>
      </w:r>
      <w:r w:rsidR="00AC7E76">
        <w:t>B</w:t>
      </w:r>
      <w:r>
        <w:t xml:space="preserve">urden and </w:t>
      </w:r>
      <w:r w:rsidR="00AC7E76">
        <w:t>C</w:t>
      </w:r>
      <w:r>
        <w:t>osts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59"/>
        <w:gridCol w:w="1726"/>
        <w:gridCol w:w="2310"/>
        <w:gridCol w:w="2305"/>
      </w:tblGrid>
      <w:tr w:rsidR="00E53E0B" w:rsidRPr="002C004B" w14:paraId="20204E39" w14:textId="77777777" w:rsidTr="002C7588">
        <w:trPr>
          <w:jc w:val="center"/>
        </w:trPr>
        <w:tc>
          <w:tcPr>
            <w:tcW w:w="3174" w:type="dxa"/>
            <w:shd w:val="clear" w:color="auto" w:fill="D9D9D9" w:themeFill="background1" w:themeFillShade="D9"/>
          </w:tcPr>
          <w:p w14:paraId="74AD519A" w14:textId="77777777" w:rsidR="00E53E0B" w:rsidRPr="002C004B" w:rsidRDefault="00E53E0B">
            <w:pPr>
              <w:pStyle w:val="TableTitle"/>
            </w:pPr>
          </w:p>
        </w:tc>
        <w:tc>
          <w:tcPr>
            <w:tcW w:w="1681" w:type="dxa"/>
            <w:shd w:val="clear" w:color="auto" w:fill="D9D9D9" w:themeFill="background1" w:themeFillShade="D9"/>
          </w:tcPr>
          <w:p w14:paraId="38207084" w14:textId="72B9AF8E" w:rsidR="00E53E0B" w:rsidRPr="002C004B" w:rsidRDefault="00E53E0B">
            <w:pPr>
              <w:pStyle w:val="TableTitle"/>
              <w:rPr>
                <w:bCs/>
              </w:rPr>
            </w:pPr>
            <w:r>
              <w:rPr>
                <w:bCs/>
              </w:rPr>
              <w:t xml:space="preserve">Average </w:t>
            </w:r>
            <w:r w:rsidR="00AC7E76">
              <w:rPr>
                <w:bCs/>
              </w:rPr>
              <w:t>A</w:t>
            </w:r>
            <w:r>
              <w:rPr>
                <w:bCs/>
              </w:rPr>
              <w:t xml:space="preserve">nnual </w:t>
            </w:r>
            <w:r w:rsidR="00AC7E76">
              <w:rPr>
                <w:bCs/>
              </w:rPr>
              <w:t>R</w:t>
            </w:r>
            <w:r>
              <w:rPr>
                <w:bCs/>
              </w:rPr>
              <w:t>espondents</w:t>
            </w:r>
          </w:p>
        </w:tc>
        <w:tc>
          <w:tcPr>
            <w:tcW w:w="2250" w:type="dxa"/>
            <w:shd w:val="clear" w:color="auto" w:fill="D9D9D9" w:themeFill="background1" w:themeFillShade="D9"/>
          </w:tcPr>
          <w:p w14:paraId="4F893D43" w14:textId="2D24AE71" w:rsidR="00E53E0B" w:rsidRPr="002C004B" w:rsidRDefault="00E53E0B">
            <w:pPr>
              <w:pStyle w:val="TableTitle"/>
              <w:rPr>
                <w:bCs/>
              </w:rPr>
            </w:pPr>
            <w:r w:rsidRPr="002C004B">
              <w:rPr>
                <w:bCs/>
              </w:rPr>
              <w:t xml:space="preserve">Average </w:t>
            </w:r>
            <w:r w:rsidR="00AC7E76">
              <w:rPr>
                <w:bCs/>
              </w:rPr>
              <w:t>A</w:t>
            </w:r>
            <w:r w:rsidRPr="002C004B">
              <w:rPr>
                <w:bCs/>
              </w:rPr>
              <w:t xml:space="preserve">nnual </w:t>
            </w:r>
            <w:r w:rsidR="00AC7E76">
              <w:rPr>
                <w:bCs/>
              </w:rPr>
              <w:t>T</w:t>
            </w:r>
            <w:r>
              <w:rPr>
                <w:bCs/>
              </w:rPr>
              <w:t xml:space="preserve">otal </w:t>
            </w:r>
            <w:r w:rsidR="00AC7E76">
              <w:rPr>
                <w:bCs/>
              </w:rPr>
              <w:t>B</w:t>
            </w:r>
            <w:r w:rsidRPr="002C004B">
              <w:rPr>
                <w:bCs/>
              </w:rPr>
              <w:t xml:space="preserve">urden (hours) </w:t>
            </w:r>
          </w:p>
        </w:tc>
        <w:tc>
          <w:tcPr>
            <w:tcW w:w="2245" w:type="dxa"/>
            <w:shd w:val="clear" w:color="auto" w:fill="D9D9D9" w:themeFill="background1" w:themeFillShade="D9"/>
          </w:tcPr>
          <w:p w14:paraId="5F000DDA" w14:textId="37ACFF27" w:rsidR="00E53E0B" w:rsidRPr="002C004B" w:rsidRDefault="00E53E0B">
            <w:pPr>
              <w:pStyle w:val="TableTitle"/>
              <w:rPr>
                <w:bCs/>
              </w:rPr>
            </w:pPr>
            <w:r w:rsidRPr="002C004B">
              <w:rPr>
                <w:bCs/>
              </w:rPr>
              <w:t xml:space="preserve">Average </w:t>
            </w:r>
            <w:r w:rsidR="00AC7E76">
              <w:rPr>
                <w:bCs/>
              </w:rPr>
              <w:t>A</w:t>
            </w:r>
            <w:r w:rsidRPr="002C004B">
              <w:rPr>
                <w:bCs/>
              </w:rPr>
              <w:t xml:space="preserve">nnual </w:t>
            </w:r>
            <w:r w:rsidR="00AC7E76">
              <w:rPr>
                <w:bCs/>
              </w:rPr>
              <w:t>T</w:t>
            </w:r>
            <w:r>
              <w:rPr>
                <w:bCs/>
              </w:rPr>
              <w:t xml:space="preserve">otal </w:t>
            </w:r>
            <w:r w:rsidR="00AC7E76">
              <w:rPr>
                <w:bCs/>
              </w:rPr>
              <w:t>L</w:t>
            </w:r>
            <w:r w:rsidRPr="002C004B">
              <w:rPr>
                <w:bCs/>
              </w:rPr>
              <w:t xml:space="preserve">abor </w:t>
            </w:r>
            <w:r w:rsidR="00AC7E76">
              <w:rPr>
                <w:bCs/>
              </w:rPr>
              <w:t>C</w:t>
            </w:r>
            <w:r w:rsidRPr="002C004B">
              <w:rPr>
                <w:bCs/>
              </w:rPr>
              <w:t>osts (201</w:t>
            </w:r>
            <w:r w:rsidR="00C42FE5">
              <w:rPr>
                <w:bCs/>
              </w:rPr>
              <w:t>6</w:t>
            </w:r>
            <w:r w:rsidRPr="002C004B">
              <w:rPr>
                <w:bCs/>
              </w:rPr>
              <w:t>$)</w:t>
            </w:r>
          </w:p>
        </w:tc>
      </w:tr>
      <w:tr w:rsidR="00C50579" w:rsidRPr="002C004B" w14:paraId="522A7334" w14:textId="77777777" w:rsidTr="002C7588">
        <w:trPr>
          <w:jc w:val="center"/>
        </w:trPr>
        <w:tc>
          <w:tcPr>
            <w:tcW w:w="3174" w:type="dxa"/>
          </w:tcPr>
          <w:p w14:paraId="12659503" w14:textId="13B4E573" w:rsidR="00C50579" w:rsidRPr="002C004B" w:rsidRDefault="00C50579" w:rsidP="002C7588">
            <w:pPr>
              <w:pStyle w:val="Tables"/>
              <w:keepNext/>
            </w:pPr>
            <w:r>
              <w:t xml:space="preserve">Permittees </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E123F52" w14:textId="47577989" w:rsidR="00C50579" w:rsidRPr="002C004B" w:rsidRDefault="00C50579" w:rsidP="002C7588">
            <w:pPr>
              <w:pStyle w:val="Tables"/>
              <w:keepNext/>
              <w:jc w:val="right"/>
            </w:pPr>
            <w:r>
              <w:t xml:space="preserve">934,383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142592" w14:textId="7CBBBBF7" w:rsidR="00C50579" w:rsidRPr="002C004B" w:rsidRDefault="00173081" w:rsidP="002C7588">
            <w:pPr>
              <w:pStyle w:val="Tables"/>
              <w:keepNext/>
              <w:jc w:val="right"/>
            </w:pPr>
            <w:r>
              <w:t>26,385,587</w:t>
            </w:r>
          </w:p>
        </w:tc>
        <w:tc>
          <w:tcPr>
            <w:tcW w:w="2245" w:type="dxa"/>
            <w:tcBorders>
              <w:top w:val="single" w:sz="4" w:space="0" w:color="auto"/>
              <w:left w:val="nil"/>
              <w:bottom w:val="single" w:sz="4" w:space="0" w:color="auto"/>
              <w:right w:val="single" w:sz="4" w:space="0" w:color="auto"/>
            </w:tcBorders>
            <w:shd w:val="clear" w:color="auto" w:fill="auto"/>
          </w:tcPr>
          <w:p w14:paraId="08F24AC1" w14:textId="4926E8BE" w:rsidR="00C50579" w:rsidRPr="002C004B" w:rsidRDefault="00C50579" w:rsidP="002C7588">
            <w:pPr>
              <w:pStyle w:val="Tables"/>
              <w:keepNext/>
              <w:jc w:val="right"/>
            </w:pPr>
            <w:r>
              <w:t>$</w:t>
            </w:r>
            <w:r w:rsidR="00173081">
              <w:t>1,348,910,138</w:t>
            </w:r>
          </w:p>
        </w:tc>
      </w:tr>
      <w:tr w:rsidR="00C50579" w:rsidRPr="002C004B" w14:paraId="44D0A3C3" w14:textId="77777777" w:rsidTr="002C7588">
        <w:trPr>
          <w:jc w:val="center"/>
        </w:trPr>
        <w:tc>
          <w:tcPr>
            <w:tcW w:w="3174" w:type="dxa"/>
          </w:tcPr>
          <w:p w14:paraId="4192685C" w14:textId="18B1D030" w:rsidR="00C50579" w:rsidRPr="002C004B" w:rsidRDefault="00C50579" w:rsidP="002C7588">
            <w:pPr>
              <w:pStyle w:val="Tables"/>
              <w:keepNext/>
            </w:pPr>
            <w:r w:rsidRPr="00535F9E">
              <w:t xml:space="preserve">States, </w:t>
            </w:r>
            <w:r w:rsidR="00134A7F">
              <w:t>t</w:t>
            </w:r>
            <w:r w:rsidR="00134A7F" w:rsidRPr="00535F9E">
              <w:t>ribes</w:t>
            </w:r>
            <w:r w:rsidRPr="00535F9E">
              <w:t>, territories</w:t>
            </w:r>
            <w:r w:rsidR="00134A7F">
              <w:t>,</w:t>
            </w:r>
            <w:r w:rsidRPr="00535F9E">
              <w:t xml:space="preserve"> and D</w:t>
            </w:r>
            <w:r w:rsidR="00134A7F">
              <w:t>.</w:t>
            </w:r>
            <w:r w:rsidRPr="00535F9E">
              <w:t>C</w:t>
            </w:r>
            <w:r w:rsidR="00134A7F">
              <w:t>.</w:t>
            </w:r>
            <w:r w:rsidRPr="007660FD">
              <w:rPr>
                <w:vertAlign w:val="superscript"/>
              </w:rPr>
              <w:t>a</w:t>
            </w:r>
          </w:p>
        </w:tc>
        <w:tc>
          <w:tcPr>
            <w:tcW w:w="1681" w:type="dxa"/>
            <w:tcBorders>
              <w:top w:val="nil"/>
              <w:left w:val="single" w:sz="4" w:space="0" w:color="auto"/>
              <w:bottom w:val="single" w:sz="4" w:space="0" w:color="auto"/>
              <w:right w:val="single" w:sz="4" w:space="0" w:color="auto"/>
            </w:tcBorders>
            <w:shd w:val="clear" w:color="auto" w:fill="auto"/>
          </w:tcPr>
          <w:p w14:paraId="28BA5C6D" w14:textId="19CED421" w:rsidR="00C50579" w:rsidRPr="002C004B" w:rsidRDefault="00C50579" w:rsidP="002C7588">
            <w:pPr>
              <w:pStyle w:val="Tables"/>
              <w:keepNext/>
              <w:jc w:val="right"/>
            </w:pPr>
            <w:r>
              <w:t>637</w:t>
            </w:r>
          </w:p>
        </w:tc>
        <w:tc>
          <w:tcPr>
            <w:tcW w:w="2250" w:type="dxa"/>
            <w:tcBorders>
              <w:top w:val="nil"/>
              <w:left w:val="single" w:sz="4" w:space="0" w:color="auto"/>
              <w:bottom w:val="single" w:sz="4" w:space="0" w:color="auto"/>
              <w:right w:val="single" w:sz="4" w:space="0" w:color="auto"/>
            </w:tcBorders>
            <w:shd w:val="clear" w:color="auto" w:fill="auto"/>
          </w:tcPr>
          <w:p w14:paraId="1078949F" w14:textId="52F4909E" w:rsidR="00C50579" w:rsidRPr="002C004B" w:rsidRDefault="00C50579" w:rsidP="002C7588">
            <w:pPr>
              <w:pStyle w:val="Tables"/>
              <w:keepNext/>
              <w:jc w:val="right"/>
            </w:pPr>
            <w:r>
              <w:t>1,853,675</w:t>
            </w:r>
          </w:p>
        </w:tc>
        <w:tc>
          <w:tcPr>
            <w:tcW w:w="2245" w:type="dxa"/>
            <w:tcBorders>
              <w:top w:val="nil"/>
              <w:left w:val="nil"/>
              <w:bottom w:val="single" w:sz="4" w:space="0" w:color="auto"/>
              <w:right w:val="single" w:sz="4" w:space="0" w:color="auto"/>
            </w:tcBorders>
            <w:shd w:val="clear" w:color="auto" w:fill="auto"/>
          </w:tcPr>
          <w:p w14:paraId="7CEA5520" w14:textId="059A1B3D" w:rsidR="00C50579" w:rsidRPr="002C004B" w:rsidRDefault="00C50579" w:rsidP="002C7588">
            <w:pPr>
              <w:pStyle w:val="Tables"/>
              <w:keepNext/>
              <w:jc w:val="right"/>
            </w:pPr>
            <w:r>
              <w:t>$83,674,896</w:t>
            </w:r>
          </w:p>
        </w:tc>
      </w:tr>
      <w:tr w:rsidR="00C50579" w:rsidRPr="002C004B" w14:paraId="727BB453" w14:textId="77777777" w:rsidTr="002C7588">
        <w:trPr>
          <w:jc w:val="center"/>
        </w:trPr>
        <w:tc>
          <w:tcPr>
            <w:tcW w:w="3174" w:type="dxa"/>
          </w:tcPr>
          <w:p w14:paraId="1327427D" w14:textId="77777777" w:rsidR="00C50579" w:rsidRPr="002C004B" w:rsidRDefault="00C50579" w:rsidP="00871F94">
            <w:pPr>
              <w:pStyle w:val="Tables"/>
            </w:pPr>
            <w:r w:rsidRPr="002C004B">
              <w:t>Totals</w:t>
            </w:r>
          </w:p>
        </w:tc>
        <w:tc>
          <w:tcPr>
            <w:tcW w:w="1681" w:type="dxa"/>
            <w:tcBorders>
              <w:top w:val="nil"/>
              <w:left w:val="single" w:sz="4" w:space="0" w:color="auto"/>
              <w:bottom w:val="single" w:sz="4" w:space="0" w:color="auto"/>
              <w:right w:val="single" w:sz="4" w:space="0" w:color="auto"/>
            </w:tcBorders>
            <w:shd w:val="clear" w:color="auto" w:fill="auto"/>
          </w:tcPr>
          <w:p w14:paraId="642E764C" w14:textId="1D79DB84" w:rsidR="00C50579" w:rsidRPr="002C004B" w:rsidRDefault="00C50579" w:rsidP="002C7588">
            <w:pPr>
              <w:pStyle w:val="Tables"/>
              <w:jc w:val="right"/>
              <w:rPr>
                <w:b/>
              </w:rPr>
            </w:pPr>
            <w:r>
              <w:t xml:space="preserve">935,020 </w:t>
            </w:r>
          </w:p>
        </w:tc>
        <w:tc>
          <w:tcPr>
            <w:tcW w:w="2250" w:type="dxa"/>
            <w:tcBorders>
              <w:top w:val="nil"/>
              <w:left w:val="single" w:sz="4" w:space="0" w:color="auto"/>
              <w:bottom w:val="single" w:sz="4" w:space="0" w:color="auto"/>
              <w:right w:val="single" w:sz="4" w:space="0" w:color="auto"/>
            </w:tcBorders>
            <w:shd w:val="clear" w:color="auto" w:fill="auto"/>
          </w:tcPr>
          <w:p w14:paraId="657D26FC" w14:textId="74BB9E28" w:rsidR="00C50579" w:rsidRPr="002C004B" w:rsidRDefault="00173081" w:rsidP="002C7588">
            <w:pPr>
              <w:pStyle w:val="Tables"/>
              <w:jc w:val="right"/>
              <w:rPr>
                <w:b/>
              </w:rPr>
            </w:pPr>
            <w:r>
              <w:t>28,239,262</w:t>
            </w:r>
            <w:r w:rsidR="00C50579">
              <w:t xml:space="preserve"> </w:t>
            </w:r>
          </w:p>
        </w:tc>
        <w:tc>
          <w:tcPr>
            <w:tcW w:w="2245" w:type="dxa"/>
            <w:tcBorders>
              <w:top w:val="nil"/>
              <w:left w:val="nil"/>
              <w:bottom w:val="single" w:sz="4" w:space="0" w:color="auto"/>
              <w:right w:val="single" w:sz="4" w:space="0" w:color="auto"/>
            </w:tcBorders>
            <w:shd w:val="clear" w:color="auto" w:fill="auto"/>
          </w:tcPr>
          <w:p w14:paraId="0D4D8889" w14:textId="5CAF5C44" w:rsidR="00C50579" w:rsidRPr="002C004B" w:rsidRDefault="00C50579" w:rsidP="002C7588">
            <w:pPr>
              <w:pStyle w:val="Tables"/>
              <w:jc w:val="right"/>
              <w:rPr>
                <w:b/>
              </w:rPr>
            </w:pPr>
            <w:r>
              <w:t>$</w:t>
            </w:r>
            <w:r w:rsidR="00173081">
              <w:t>1,432,585,035</w:t>
            </w:r>
          </w:p>
        </w:tc>
      </w:tr>
    </w:tbl>
    <w:p w14:paraId="68D45144" w14:textId="3057092B" w:rsidR="00023967" w:rsidRPr="00023967" w:rsidRDefault="007660FD" w:rsidP="00134A7F">
      <w:pPr>
        <w:pStyle w:val="Tablenote"/>
        <w:ind w:left="180" w:hanging="180"/>
      </w:pPr>
      <w:r w:rsidRPr="007660FD">
        <w:rPr>
          <w:vertAlign w:val="superscript"/>
        </w:rPr>
        <w:t>a</w:t>
      </w:r>
      <w:r>
        <w:rPr>
          <w:vertAlign w:val="superscript"/>
        </w:rPr>
        <w:t xml:space="preserve"> </w:t>
      </w:r>
      <w:r w:rsidR="00134A7F">
        <w:rPr>
          <w:vertAlign w:val="superscript"/>
        </w:rPr>
        <w:tab/>
      </w:r>
      <w:r w:rsidR="00535F9E" w:rsidRPr="00535F9E">
        <w:t xml:space="preserve">590 of these 637 are not </w:t>
      </w:r>
      <w:r w:rsidR="00015813">
        <w:t>authorized to administer the NPDES program</w:t>
      </w:r>
      <w:r w:rsidR="00535F9E" w:rsidRPr="00535F9E">
        <w:t xml:space="preserve"> and respond to only one information item (certification of EPA-issued permits)</w:t>
      </w:r>
      <w:r w:rsidR="00535F9E">
        <w:t>.</w:t>
      </w:r>
    </w:p>
    <w:p w14:paraId="3BB2E658" w14:textId="6DF7478B" w:rsidR="007F2877" w:rsidRDefault="007F2877" w:rsidP="00B101A0">
      <w:pPr>
        <w:pStyle w:val="Heading2"/>
      </w:pPr>
      <w:bookmarkStart w:id="21" w:name="_Toc510451625"/>
      <w:r>
        <w:t>13.</w:t>
      </w:r>
      <w:r w:rsidR="00BC14BB">
        <w:tab/>
      </w:r>
      <w:r w:rsidRPr="00673714">
        <w:t>Provide an estimate of the total an</w:t>
      </w:r>
      <w:r>
        <w:t>nual cost burden to respondents</w:t>
      </w:r>
      <w:bookmarkEnd w:id="21"/>
    </w:p>
    <w:p w14:paraId="5BD83C67" w14:textId="3B7A0D2F" w:rsidR="008B6A5B" w:rsidRDefault="00291468" w:rsidP="001D1A4B">
      <w:r>
        <w:t>This section presents a</w:t>
      </w:r>
      <w:r w:rsidR="004366C5">
        <w:t xml:space="preserve">n estimate </w:t>
      </w:r>
      <w:r>
        <w:t xml:space="preserve">of annual </w:t>
      </w:r>
      <w:r w:rsidR="00FF6B7C">
        <w:t>operating and maintenance (</w:t>
      </w:r>
      <w:r>
        <w:t>O&amp;M</w:t>
      </w:r>
      <w:r w:rsidR="00FF6B7C">
        <w:t>)</w:t>
      </w:r>
      <w:r>
        <w:t xml:space="preserve"> and capital and start-up costs. </w:t>
      </w:r>
      <w:r w:rsidR="00FC39BC">
        <w:t xml:space="preserve">The majority of the burden and cost </w:t>
      </w:r>
      <w:r w:rsidR="00FC39BC" w:rsidRPr="00FC39BC">
        <w:t xml:space="preserve">calculations in this ICR </w:t>
      </w:r>
      <w:r w:rsidR="00FC39BC">
        <w:t>are the result of</w:t>
      </w:r>
      <w:r w:rsidR="00FC39BC" w:rsidRPr="00FC39BC">
        <w:t xml:space="preserve"> labor costs only. The ICR does, however, account for </w:t>
      </w:r>
      <w:r w:rsidR="00FC39BC">
        <w:t xml:space="preserve">O&amp;M costs for </w:t>
      </w:r>
      <w:r w:rsidR="00FC39BC" w:rsidRPr="00FC39BC">
        <w:t xml:space="preserve">certain testing/analysis </w:t>
      </w:r>
      <w:r w:rsidR="008C7581">
        <w:t xml:space="preserve">plus certain </w:t>
      </w:r>
      <w:r w:rsidR="00FC39BC">
        <w:t>capital</w:t>
      </w:r>
      <w:r w:rsidR="008C7581">
        <w:t xml:space="preserve"> and </w:t>
      </w:r>
      <w:r w:rsidR="00FC39BC">
        <w:t xml:space="preserve">start-up costs </w:t>
      </w:r>
      <w:r w:rsidR="00FC39BC" w:rsidRPr="00FC39BC">
        <w:t xml:space="preserve">incurred by respondents that perform activities outside the normal operation practices. All costs presented have been adjusted </w:t>
      </w:r>
      <w:r w:rsidR="00F768BA">
        <w:t>using</w:t>
      </w:r>
      <w:r w:rsidR="00FC39BC" w:rsidRPr="00FC39BC">
        <w:t xml:space="preserve"> the Consumer Price Index to </w:t>
      </w:r>
      <w:r w:rsidR="00C42FE5">
        <w:t>August</w:t>
      </w:r>
      <w:r w:rsidR="00FC39BC">
        <w:t xml:space="preserve"> 201</w:t>
      </w:r>
      <w:r w:rsidR="00C42FE5">
        <w:t>6</w:t>
      </w:r>
      <w:r w:rsidR="00FC39BC" w:rsidRPr="00FC39BC">
        <w:t xml:space="preserve"> dollars. </w:t>
      </w:r>
      <w:r w:rsidR="008C7581">
        <w:t xml:space="preserve">This ICR estimates that there are no O&amp;M or </w:t>
      </w:r>
      <w:r w:rsidR="004E6FA4">
        <w:t>capital and start-up costs for st</w:t>
      </w:r>
      <w:r w:rsidR="008C7581">
        <w:t xml:space="preserve">ate </w:t>
      </w:r>
      <w:r w:rsidR="004E6FA4">
        <w:t>a</w:t>
      </w:r>
      <w:r w:rsidR="008C7581">
        <w:t xml:space="preserve">gencies or the </w:t>
      </w:r>
      <w:r w:rsidR="00B04107">
        <w:t>federal government</w:t>
      </w:r>
      <w:r w:rsidR="008C7581">
        <w:t>.</w:t>
      </w:r>
      <w:r w:rsidR="002A3E05">
        <w:t xml:space="preserve"> </w:t>
      </w:r>
    </w:p>
    <w:p w14:paraId="70506952" w14:textId="0AA80CF0" w:rsidR="00B33CEF" w:rsidRDefault="008B6A5B" w:rsidP="00BC14BB">
      <w:r>
        <w:rPr>
          <w:i/>
        </w:rPr>
        <w:t xml:space="preserve">Permittee O&amp;M costs. </w:t>
      </w:r>
      <w:r w:rsidR="00FC39BC" w:rsidRPr="00FC39BC">
        <w:t>The</w:t>
      </w:r>
      <w:r w:rsidR="008C7581">
        <w:t xml:space="preserve"> permittee O&amp;M </w:t>
      </w:r>
      <w:r w:rsidR="00FC39BC" w:rsidRPr="00FC39BC">
        <w:t xml:space="preserve">costs are linked to the </w:t>
      </w:r>
      <w:r>
        <w:t xml:space="preserve">following </w:t>
      </w:r>
      <w:r w:rsidR="00FC39BC" w:rsidRPr="00FC39BC">
        <w:t>activities</w:t>
      </w:r>
      <w:r w:rsidR="00B33CEF">
        <w:t>:</w:t>
      </w:r>
    </w:p>
    <w:p w14:paraId="420E8C8F" w14:textId="28368B08" w:rsidR="008C7581" w:rsidRDefault="00642035" w:rsidP="00EF1FFC">
      <w:pPr>
        <w:pStyle w:val="ListParagraph"/>
        <w:numPr>
          <w:ilvl w:val="0"/>
          <w:numId w:val="6"/>
        </w:numPr>
      </w:pPr>
      <w:r>
        <w:t xml:space="preserve">NPDES </w:t>
      </w:r>
      <w:r w:rsidR="009F0A4F">
        <w:t xml:space="preserve">permit </w:t>
      </w:r>
      <w:r w:rsidR="009F0A4F" w:rsidRPr="008C7581">
        <w:t xml:space="preserve">application </w:t>
      </w:r>
      <w:r w:rsidR="009F0A4F">
        <w:t xml:space="preserve">and renewal </w:t>
      </w:r>
      <w:r w:rsidR="009F0A4F" w:rsidRPr="008C7581">
        <w:t>requirements</w:t>
      </w:r>
      <w:r w:rsidR="00A36C97">
        <w:t>;</w:t>
      </w:r>
    </w:p>
    <w:p w14:paraId="1F91DD63" w14:textId="77777777" w:rsidR="003942D4" w:rsidRDefault="003942D4" w:rsidP="003942D4">
      <w:pPr>
        <w:pStyle w:val="ListParagraph"/>
        <w:numPr>
          <w:ilvl w:val="0"/>
          <w:numId w:val="6"/>
        </w:numPr>
      </w:pPr>
      <w:r>
        <w:t>Monitoring and reporting, including, electronic reporting rule cost reductions for printing and mailing.</w:t>
      </w:r>
    </w:p>
    <w:p w14:paraId="38D074DE" w14:textId="77777777" w:rsidR="006640D5" w:rsidRDefault="008C7581" w:rsidP="00EF1FFC">
      <w:pPr>
        <w:pStyle w:val="ListParagraph"/>
        <w:numPr>
          <w:ilvl w:val="0"/>
          <w:numId w:val="6"/>
        </w:numPr>
      </w:pPr>
      <w:r w:rsidRPr="008C7581">
        <w:t xml:space="preserve">Baseline </w:t>
      </w:r>
      <w:r w:rsidR="009F0A4F" w:rsidRPr="008C7581">
        <w:t>determination and estimate of the incremental monitoring burden and cost for remining sites</w:t>
      </w:r>
      <w:r w:rsidR="00A36C97">
        <w:t xml:space="preserve">; </w:t>
      </w:r>
    </w:p>
    <w:p w14:paraId="62D45646" w14:textId="093F1F07" w:rsidR="008C7581" w:rsidRDefault="008C7581" w:rsidP="00EF1FFC">
      <w:pPr>
        <w:pStyle w:val="ListParagraph"/>
        <w:numPr>
          <w:ilvl w:val="0"/>
          <w:numId w:val="6"/>
        </w:numPr>
      </w:pPr>
      <w:r w:rsidRPr="008C7581">
        <w:t xml:space="preserve">Minimum </w:t>
      </w:r>
      <w:r w:rsidR="009F0A4F" w:rsidRPr="008C7581">
        <w:t>monitoring requirements for direct discharging mills in the</w:t>
      </w:r>
      <w:r w:rsidRPr="008C7581">
        <w:t xml:space="preserve"> </w:t>
      </w:r>
      <w:r w:rsidR="00B04107">
        <w:t>“b</w:t>
      </w:r>
      <w:r w:rsidR="00B04107" w:rsidRPr="008C7581">
        <w:t xml:space="preserve">leached </w:t>
      </w:r>
      <w:r w:rsidR="00B04107">
        <w:t>p</w:t>
      </w:r>
      <w:r w:rsidR="00B04107" w:rsidRPr="008C7581">
        <w:t xml:space="preserve">apergrade </w:t>
      </w:r>
      <w:r w:rsidR="00B04107">
        <w:t>k</w:t>
      </w:r>
      <w:r w:rsidR="00B04107" w:rsidRPr="008C7581">
        <w:t xml:space="preserve">raft </w:t>
      </w:r>
      <w:r w:rsidRPr="008C7581">
        <w:t xml:space="preserve">and </w:t>
      </w:r>
      <w:r w:rsidR="00B04107">
        <w:t>s</w:t>
      </w:r>
      <w:r w:rsidR="00B04107" w:rsidRPr="008C7581">
        <w:t>oda</w:t>
      </w:r>
      <w:r w:rsidR="00B04107">
        <w:t>”</w:t>
      </w:r>
      <w:r w:rsidR="00B04107" w:rsidRPr="008C7581">
        <w:t xml:space="preserve"> </w:t>
      </w:r>
      <w:r w:rsidRPr="008C7581">
        <w:t xml:space="preserve">and </w:t>
      </w:r>
      <w:r w:rsidR="00B04107">
        <w:t>“p</w:t>
      </w:r>
      <w:r w:rsidR="00B04107" w:rsidRPr="008C7581">
        <w:t xml:space="preserve">apergrade </w:t>
      </w:r>
      <w:r w:rsidR="00B04107">
        <w:t>s</w:t>
      </w:r>
      <w:r w:rsidR="00B04107" w:rsidRPr="008C7581">
        <w:t>ulfite</w:t>
      </w:r>
      <w:r w:rsidR="00B04107">
        <w:t>”</w:t>
      </w:r>
      <w:r w:rsidR="00B04107" w:rsidRPr="008C7581">
        <w:t xml:space="preserve"> </w:t>
      </w:r>
      <w:r w:rsidR="00B04107">
        <w:t>subcategories</w:t>
      </w:r>
      <w:r w:rsidR="00B04107" w:rsidRPr="008C7581">
        <w:t xml:space="preserve"> </w:t>
      </w:r>
      <w:r w:rsidRPr="008C7581">
        <w:t xml:space="preserve">of the </w:t>
      </w:r>
      <w:r w:rsidR="00B04107">
        <w:t>“p</w:t>
      </w:r>
      <w:r w:rsidR="00B04107" w:rsidRPr="008C7581">
        <w:t>ulp</w:t>
      </w:r>
      <w:r w:rsidRPr="008C7581">
        <w:t xml:space="preserve">, </w:t>
      </w:r>
      <w:r w:rsidR="00B04107">
        <w:t>p</w:t>
      </w:r>
      <w:r w:rsidR="00B04107" w:rsidRPr="008C7581">
        <w:t>aper</w:t>
      </w:r>
      <w:r w:rsidRPr="008C7581">
        <w:t xml:space="preserve">, and </w:t>
      </w:r>
      <w:r w:rsidR="00B04107">
        <w:t>p</w:t>
      </w:r>
      <w:r w:rsidR="00B04107" w:rsidRPr="008C7581">
        <w:t>aperboard</w:t>
      </w:r>
      <w:r w:rsidR="00B04107">
        <w:t>”</w:t>
      </w:r>
      <w:r w:rsidR="00B04107" w:rsidRPr="008C7581">
        <w:t xml:space="preserve"> </w:t>
      </w:r>
      <w:r w:rsidR="00B04107">
        <w:t>p</w:t>
      </w:r>
      <w:r w:rsidR="00B04107" w:rsidRPr="008C7581">
        <w:t xml:space="preserve">oint </w:t>
      </w:r>
      <w:r w:rsidR="00B04107">
        <w:t>s</w:t>
      </w:r>
      <w:r w:rsidR="00B04107" w:rsidRPr="008C7581">
        <w:t xml:space="preserve">ource </w:t>
      </w:r>
      <w:r w:rsidR="00B04107">
        <w:t>c</w:t>
      </w:r>
      <w:r w:rsidR="00B04107" w:rsidRPr="008C7581">
        <w:t>ategory</w:t>
      </w:r>
      <w:r w:rsidR="006640D5">
        <w:t>;</w:t>
      </w:r>
    </w:p>
    <w:p w14:paraId="0BF1AF90" w14:textId="3B8E97FD" w:rsidR="001A1AAE" w:rsidRDefault="001A1AAE" w:rsidP="00EF1FFC">
      <w:pPr>
        <w:pStyle w:val="ListParagraph"/>
        <w:numPr>
          <w:ilvl w:val="0"/>
          <w:numId w:val="6"/>
        </w:numPr>
      </w:pPr>
      <w:r w:rsidRPr="001A1AAE">
        <w:t xml:space="preserve">Animal </w:t>
      </w:r>
      <w:r w:rsidR="009F0A4F" w:rsidRPr="001A1AAE">
        <w:t>sector testing/analysis and public notice costs</w:t>
      </w:r>
      <w:r w:rsidR="006640D5">
        <w:t>;</w:t>
      </w:r>
    </w:p>
    <w:p w14:paraId="5D11D5F1" w14:textId="68698C64" w:rsidR="001A1AAE" w:rsidRDefault="00642035" w:rsidP="00EF1FFC">
      <w:pPr>
        <w:pStyle w:val="ListParagraph"/>
        <w:numPr>
          <w:ilvl w:val="0"/>
          <w:numId w:val="6"/>
        </w:numPr>
      </w:pPr>
      <w:r>
        <w:t>SIU discharge monitoring under the Pretreatment Program</w:t>
      </w:r>
      <w:r w:rsidR="006640D5">
        <w:t>;</w:t>
      </w:r>
    </w:p>
    <w:p w14:paraId="7B141413" w14:textId="33CE0629" w:rsidR="00642035" w:rsidRDefault="00642035" w:rsidP="00EF1FFC">
      <w:pPr>
        <w:pStyle w:val="ListParagraph"/>
        <w:numPr>
          <w:ilvl w:val="0"/>
          <w:numId w:val="6"/>
        </w:numPr>
      </w:pPr>
      <w:r w:rsidRPr="00642035">
        <w:t>CWIS Phase I</w:t>
      </w:r>
      <w:r>
        <w:t xml:space="preserve"> and Existing Facility annual activities such as </w:t>
      </w:r>
      <w:r w:rsidRPr="00642035">
        <w:t xml:space="preserve">operation and upkeep of capital equipment, </w:t>
      </w:r>
      <w:r w:rsidR="00B04107">
        <w:t xml:space="preserve">as well as </w:t>
      </w:r>
      <w:r w:rsidRPr="00642035">
        <w:t xml:space="preserve">purchase of contracted services such as laboratory analyses and other </w:t>
      </w:r>
      <w:r w:rsidR="001F6DBB">
        <w:t>direct costs (</w:t>
      </w:r>
      <w:r w:rsidRPr="00642035">
        <w:t>ODC</w:t>
      </w:r>
      <w:r w:rsidR="008F04BB">
        <w:t>s</w:t>
      </w:r>
      <w:r w:rsidR="001F6DBB">
        <w:t>)</w:t>
      </w:r>
      <w:r w:rsidR="006640D5">
        <w:t>;</w:t>
      </w:r>
    </w:p>
    <w:p w14:paraId="25D86403" w14:textId="4A5FDF24" w:rsidR="00642035" w:rsidRDefault="00642035" w:rsidP="00EF1FFC">
      <w:pPr>
        <w:pStyle w:val="ListParagraph"/>
        <w:numPr>
          <w:ilvl w:val="0"/>
          <w:numId w:val="6"/>
        </w:numPr>
      </w:pPr>
      <w:r>
        <w:t xml:space="preserve">CWIS Phase III (offshore </w:t>
      </w:r>
      <w:r w:rsidR="007358A3">
        <w:t xml:space="preserve">oil </w:t>
      </w:r>
      <w:r w:rsidR="00FF6B7C">
        <w:t xml:space="preserve">and </w:t>
      </w:r>
      <w:r w:rsidR="007358A3">
        <w:t>gas</w:t>
      </w:r>
      <w:r>
        <w:t xml:space="preserve">) facility </w:t>
      </w:r>
      <w:r w:rsidR="009F0A4F" w:rsidRPr="009F0A4F">
        <w:t>entrainment monitoring sample</w:t>
      </w:r>
      <w:r w:rsidR="009F0A4F">
        <w:t xml:space="preserve"> analysis</w:t>
      </w:r>
      <w:r w:rsidR="009F0A4F" w:rsidRPr="009F0A4F">
        <w:t xml:space="preserve"> </w:t>
      </w:r>
      <w:r w:rsidR="00AA2478">
        <w:t>if</w:t>
      </w:r>
      <w:r w:rsidR="009F0A4F" w:rsidRPr="009F0A4F">
        <w:t xml:space="preserve"> performed by an outside laboratory</w:t>
      </w:r>
      <w:r w:rsidR="00DA350B">
        <w:t>;</w:t>
      </w:r>
    </w:p>
    <w:p w14:paraId="5C494440" w14:textId="635BCB7E" w:rsidR="00DA350B" w:rsidRDefault="00DA350B" w:rsidP="00EF1FFC">
      <w:pPr>
        <w:pStyle w:val="ListParagraph"/>
        <w:numPr>
          <w:ilvl w:val="0"/>
          <w:numId w:val="6"/>
        </w:numPr>
      </w:pPr>
      <w:r>
        <w:t>CWIS existing facility equipment O&amp;M, contract services</w:t>
      </w:r>
      <w:r w:rsidR="008F04BB">
        <w:t>,</w:t>
      </w:r>
      <w:r>
        <w:t xml:space="preserve"> and </w:t>
      </w:r>
      <w:r w:rsidRPr="00DA350B">
        <w:t>ODC</w:t>
      </w:r>
      <w:r>
        <w:t>s; and</w:t>
      </w:r>
    </w:p>
    <w:p w14:paraId="6D20A80C" w14:textId="160CEAC0" w:rsidR="008B6A5B" w:rsidRDefault="008C7581" w:rsidP="00BC14BB">
      <w:r>
        <w:t xml:space="preserve">Details </w:t>
      </w:r>
      <w:r w:rsidR="00FF6B7C">
        <w:t xml:space="preserve">on </w:t>
      </w:r>
      <w:r>
        <w:t xml:space="preserve">the methodology used to derive these costs are provided in </w:t>
      </w:r>
      <w:r w:rsidR="00FF6B7C">
        <w:t xml:space="preserve">section </w:t>
      </w:r>
      <w:r>
        <w:t>A.</w:t>
      </w:r>
      <w:r w:rsidR="00F768BA">
        <w:t>2.2</w:t>
      </w:r>
      <w:r>
        <w:t xml:space="preserve"> of Appendix A.</w:t>
      </w:r>
      <w:r w:rsidR="002A3E05">
        <w:t xml:space="preserve"> </w:t>
      </w:r>
    </w:p>
    <w:p w14:paraId="481B6E57" w14:textId="5C41273F" w:rsidR="008C7581" w:rsidRDefault="008B6A5B" w:rsidP="00BC14BB">
      <w:r>
        <w:rPr>
          <w:i/>
        </w:rPr>
        <w:t xml:space="preserve">Permittee capital and start-up costs. </w:t>
      </w:r>
      <w:r w:rsidR="008C7581">
        <w:t xml:space="preserve">The permittee capital and start-up costs </w:t>
      </w:r>
      <w:r w:rsidR="00A64284" w:rsidRPr="00A64284">
        <w:t>are linked to</w:t>
      </w:r>
      <w:r w:rsidR="006640D5">
        <w:t xml:space="preserve"> the </w:t>
      </w:r>
      <w:r w:rsidR="00A64284" w:rsidRPr="00A64284">
        <w:t>activities</w:t>
      </w:r>
      <w:r w:rsidR="00A64284">
        <w:t xml:space="preserve"> listed below</w:t>
      </w:r>
      <w:r w:rsidR="00B33CEF">
        <w:t>:</w:t>
      </w:r>
    </w:p>
    <w:p w14:paraId="03E405DE" w14:textId="46C4BCBE" w:rsidR="00A64284" w:rsidRDefault="00A64284" w:rsidP="00EF1FFC">
      <w:pPr>
        <w:pStyle w:val="ListParagraph"/>
        <w:numPr>
          <w:ilvl w:val="0"/>
          <w:numId w:val="51"/>
        </w:numPr>
      </w:pPr>
      <w:r w:rsidRPr="00A64284">
        <w:t xml:space="preserve">CSO </w:t>
      </w:r>
      <w:r w:rsidR="00500C14">
        <w:t>notification</w:t>
      </w:r>
      <w:r w:rsidR="006640D5">
        <w:t>;</w:t>
      </w:r>
    </w:p>
    <w:p w14:paraId="24DD97DD" w14:textId="0A6119F6" w:rsidR="00FC39BC" w:rsidRDefault="00A64284" w:rsidP="00EF1FFC">
      <w:pPr>
        <w:pStyle w:val="ListParagraph"/>
        <w:numPr>
          <w:ilvl w:val="0"/>
          <w:numId w:val="51"/>
        </w:numPr>
      </w:pPr>
      <w:r w:rsidRPr="00A64284">
        <w:t xml:space="preserve">Baseline </w:t>
      </w:r>
      <w:r w:rsidR="006640D5" w:rsidRPr="00A64284">
        <w:t xml:space="preserve">determination and estimate of the incremental monitoring burden and cost for </w:t>
      </w:r>
      <w:r w:rsidR="008B6A5B">
        <w:t>remining</w:t>
      </w:r>
      <w:r w:rsidR="006640D5" w:rsidRPr="00A64284">
        <w:t xml:space="preserve"> sites</w:t>
      </w:r>
      <w:r w:rsidR="006640D5">
        <w:t>;</w:t>
      </w:r>
    </w:p>
    <w:p w14:paraId="4B805CD6" w14:textId="7B8ADC30" w:rsidR="006640D5" w:rsidRDefault="006640D5" w:rsidP="00EF1FFC">
      <w:pPr>
        <w:pStyle w:val="ListParagraph"/>
        <w:numPr>
          <w:ilvl w:val="0"/>
          <w:numId w:val="51"/>
        </w:numPr>
      </w:pPr>
      <w:r w:rsidRPr="006640D5">
        <w:t xml:space="preserve">Start-up costs for the </w:t>
      </w:r>
      <w:r w:rsidR="00FF6B7C">
        <w:t>a</w:t>
      </w:r>
      <w:r w:rsidR="00FF6B7C" w:rsidRPr="006640D5">
        <w:t xml:space="preserve">nimal </w:t>
      </w:r>
      <w:r w:rsidR="00FF6B7C">
        <w:t>s</w:t>
      </w:r>
      <w:r w:rsidR="00FF6B7C" w:rsidRPr="006640D5">
        <w:t>ector</w:t>
      </w:r>
      <w:r>
        <w:t>;</w:t>
      </w:r>
    </w:p>
    <w:p w14:paraId="0206313A" w14:textId="3F7ECFEA" w:rsidR="006640D5" w:rsidRDefault="006640D5" w:rsidP="00EF1FFC">
      <w:pPr>
        <w:pStyle w:val="ListParagraph"/>
        <w:numPr>
          <w:ilvl w:val="0"/>
          <w:numId w:val="51"/>
        </w:numPr>
      </w:pPr>
      <w:r w:rsidRPr="006640D5">
        <w:t xml:space="preserve">CWIS Phase I purchase </w:t>
      </w:r>
      <w:r w:rsidR="007358A3">
        <w:t>and</w:t>
      </w:r>
      <w:r w:rsidR="007358A3" w:rsidRPr="006640D5">
        <w:t xml:space="preserve"> </w:t>
      </w:r>
      <w:r w:rsidRPr="006640D5">
        <w:t>installation of pilot study technology</w:t>
      </w:r>
      <w:r>
        <w:t>;</w:t>
      </w:r>
      <w:r w:rsidR="003D5168">
        <w:t xml:space="preserve"> and</w:t>
      </w:r>
    </w:p>
    <w:p w14:paraId="7D4728D3" w14:textId="480F87F9" w:rsidR="006640D5" w:rsidRDefault="006640D5" w:rsidP="00EF1FFC">
      <w:pPr>
        <w:pStyle w:val="ListParagraph"/>
        <w:numPr>
          <w:ilvl w:val="0"/>
          <w:numId w:val="51"/>
        </w:numPr>
      </w:pPr>
      <w:r w:rsidRPr="006640D5">
        <w:t xml:space="preserve">CWIS Phase III </w:t>
      </w:r>
      <w:r>
        <w:t>(</w:t>
      </w:r>
      <w:r w:rsidR="007358A3">
        <w:t>o</w:t>
      </w:r>
      <w:r w:rsidRPr="006640D5">
        <w:t xml:space="preserve">ffshore </w:t>
      </w:r>
      <w:r w:rsidR="007358A3">
        <w:t>o</w:t>
      </w:r>
      <w:r w:rsidRPr="006640D5">
        <w:t xml:space="preserve">il &amp; </w:t>
      </w:r>
      <w:r w:rsidR="007358A3">
        <w:t>g</w:t>
      </w:r>
      <w:r w:rsidRPr="006640D5">
        <w:t>as</w:t>
      </w:r>
      <w:r>
        <w:t>) cost for installing remote monitoring devi</w:t>
      </w:r>
      <w:r w:rsidR="007358A3">
        <w:t>c</w:t>
      </w:r>
      <w:r>
        <w:t>es</w:t>
      </w:r>
      <w:r w:rsidR="008B6A5B">
        <w:t>.</w:t>
      </w:r>
    </w:p>
    <w:p w14:paraId="6417CC61" w14:textId="18F17354" w:rsidR="00FC39BC" w:rsidRDefault="00A64284" w:rsidP="00BC14BB">
      <w:r w:rsidRPr="00A64284">
        <w:t xml:space="preserve">Details </w:t>
      </w:r>
      <w:r w:rsidR="00FF6B7C">
        <w:t>on</w:t>
      </w:r>
      <w:r w:rsidR="00FF6B7C" w:rsidRPr="00A64284">
        <w:t xml:space="preserve"> </w:t>
      </w:r>
      <w:r w:rsidRPr="00A64284">
        <w:t xml:space="preserve">the methodology used to derive these costs are provided in </w:t>
      </w:r>
      <w:r w:rsidR="00FF6B7C">
        <w:t>s</w:t>
      </w:r>
      <w:r w:rsidR="00FF6B7C" w:rsidRPr="00A64284">
        <w:t xml:space="preserve">ection </w:t>
      </w:r>
      <w:r w:rsidRPr="00A64284">
        <w:t>A.</w:t>
      </w:r>
      <w:r w:rsidR="00F768BA">
        <w:t>2.3</w:t>
      </w:r>
      <w:r w:rsidRPr="00A64284">
        <w:t xml:space="preserve"> of Appendix A.</w:t>
      </w:r>
      <w:r w:rsidR="00291468">
        <w:t xml:space="preserve"> Table 13.1 </w:t>
      </w:r>
      <w:r w:rsidR="00FF6B7C">
        <w:t>summarizes</w:t>
      </w:r>
      <w:r w:rsidR="00291468">
        <w:t xml:space="preserve"> </w:t>
      </w:r>
      <w:r w:rsidR="00291468" w:rsidRPr="00291468">
        <w:t>annual O&amp;M and capital and start-up costs</w:t>
      </w:r>
      <w:r w:rsidR="00291468">
        <w:t>.</w:t>
      </w:r>
    </w:p>
    <w:p w14:paraId="37D908E9" w14:textId="1F258D41" w:rsidR="0076289A" w:rsidRDefault="0076289A" w:rsidP="00871F94">
      <w:pPr>
        <w:pStyle w:val="Caption"/>
      </w:pPr>
      <w:r>
        <w:t xml:space="preserve">Table </w:t>
      </w:r>
      <w:r w:rsidRPr="0076289A">
        <w:t xml:space="preserve">13.1 Summary of </w:t>
      </w:r>
      <w:r w:rsidR="00AC7E76">
        <w:t>A</w:t>
      </w:r>
      <w:r w:rsidRPr="0076289A">
        <w:t xml:space="preserve">nnual O&amp;M and </w:t>
      </w:r>
      <w:r w:rsidR="00AC7E76">
        <w:t>C</w:t>
      </w:r>
      <w:r w:rsidRPr="0076289A">
        <w:t xml:space="preserve">apital and </w:t>
      </w:r>
      <w:r w:rsidR="00AC7E76">
        <w:t>S</w:t>
      </w:r>
      <w:r w:rsidRPr="0076289A">
        <w:t xml:space="preserve">tart-up </w:t>
      </w:r>
      <w:r w:rsidR="00AC7E76">
        <w:t>C</w:t>
      </w:r>
      <w:r w:rsidRPr="0076289A">
        <w:t>osts</w:t>
      </w:r>
    </w:p>
    <w:tbl>
      <w:tblPr>
        <w:tblW w:w="7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1607"/>
        <w:gridCol w:w="2517"/>
      </w:tblGrid>
      <w:tr w:rsidR="00A64284" w:rsidRPr="005A1A1F" w14:paraId="5A2252EA" w14:textId="77777777" w:rsidTr="00EF1FFC">
        <w:trPr>
          <w:trHeight w:val="255"/>
        </w:trPr>
        <w:tc>
          <w:tcPr>
            <w:tcW w:w="3124" w:type="dxa"/>
            <w:shd w:val="clear" w:color="auto" w:fill="D9D9D9" w:themeFill="background1" w:themeFillShade="D9"/>
            <w:noWrap/>
            <w:vAlign w:val="bottom"/>
          </w:tcPr>
          <w:p w14:paraId="55A056D2" w14:textId="77777777" w:rsidR="00A64284" w:rsidRPr="005A1A1F" w:rsidRDefault="00A64284" w:rsidP="00871F94">
            <w:pPr>
              <w:pStyle w:val="TableTitle"/>
            </w:pPr>
          </w:p>
        </w:tc>
        <w:tc>
          <w:tcPr>
            <w:tcW w:w="1607" w:type="dxa"/>
            <w:shd w:val="clear" w:color="auto" w:fill="D9D9D9" w:themeFill="background1" w:themeFillShade="D9"/>
          </w:tcPr>
          <w:p w14:paraId="032F8724" w14:textId="77777777" w:rsidR="00A64284" w:rsidRPr="005A1A1F" w:rsidRDefault="00A64284" w:rsidP="00871F94">
            <w:pPr>
              <w:pStyle w:val="TableTitle"/>
              <w:rPr>
                <w:color w:val="000000"/>
              </w:rPr>
            </w:pPr>
            <w:r w:rsidRPr="005A1A1F">
              <w:rPr>
                <w:color w:val="000000"/>
              </w:rPr>
              <w:t>Permittees</w:t>
            </w:r>
          </w:p>
        </w:tc>
        <w:tc>
          <w:tcPr>
            <w:tcW w:w="2517" w:type="dxa"/>
            <w:shd w:val="clear" w:color="auto" w:fill="D9D9D9" w:themeFill="background1" w:themeFillShade="D9"/>
            <w:vAlign w:val="center"/>
          </w:tcPr>
          <w:p w14:paraId="5160232E" w14:textId="17A8D1B1" w:rsidR="00A64284" w:rsidRPr="005A1A1F" w:rsidRDefault="00A64284" w:rsidP="00871F94">
            <w:pPr>
              <w:pStyle w:val="TableTitle"/>
              <w:rPr>
                <w:color w:val="000000"/>
              </w:rPr>
            </w:pPr>
            <w:r w:rsidRPr="005A1A1F">
              <w:rPr>
                <w:color w:val="000000"/>
              </w:rPr>
              <w:t>States/</w:t>
            </w:r>
            <w:r w:rsidR="00FC26CC">
              <w:rPr>
                <w:color w:val="000000"/>
              </w:rPr>
              <w:t>T</w:t>
            </w:r>
            <w:r w:rsidRPr="005A1A1F">
              <w:rPr>
                <w:color w:val="000000"/>
              </w:rPr>
              <w:t>ribes/</w:t>
            </w:r>
            <w:r w:rsidR="00FC26CC">
              <w:rPr>
                <w:color w:val="000000"/>
              </w:rPr>
              <w:t>T</w:t>
            </w:r>
            <w:r w:rsidRPr="005A1A1F">
              <w:rPr>
                <w:color w:val="000000"/>
              </w:rPr>
              <w:t>erritories</w:t>
            </w:r>
          </w:p>
        </w:tc>
      </w:tr>
      <w:tr w:rsidR="0016776A" w14:paraId="0EAE3CEF" w14:textId="77777777" w:rsidTr="00110AB2">
        <w:trPr>
          <w:trHeight w:val="255"/>
        </w:trPr>
        <w:tc>
          <w:tcPr>
            <w:tcW w:w="3124" w:type="dxa"/>
            <w:shd w:val="clear" w:color="auto" w:fill="auto"/>
            <w:noWrap/>
            <w:vAlign w:val="bottom"/>
          </w:tcPr>
          <w:p w14:paraId="19966756" w14:textId="35BF170A" w:rsidR="0016776A" w:rsidRPr="005A1A1F" w:rsidRDefault="0016776A" w:rsidP="00871F94">
            <w:pPr>
              <w:pStyle w:val="Tables"/>
            </w:pPr>
            <w:r w:rsidRPr="005A1A1F">
              <w:t>Costs (capital</w:t>
            </w:r>
            <w:r>
              <w:t xml:space="preserve"> and start-up</w:t>
            </w:r>
            <w:r w:rsidRPr="005A1A1F">
              <w:t>)</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3A070ADC" w14:textId="2DE0720C" w:rsidR="0016776A" w:rsidRDefault="0016776A" w:rsidP="00110AB2">
            <w:pPr>
              <w:pStyle w:val="Tables"/>
              <w:jc w:val="right"/>
            </w:pPr>
            <w:r>
              <w:t>$809,813</w:t>
            </w:r>
          </w:p>
        </w:tc>
        <w:tc>
          <w:tcPr>
            <w:tcW w:w="2517" w:type="dxa"/>
            <w:tcBorders>
              <w:top w:val="single" w:sz="4" w:space="0" w:color="auto"/>
              <w:left w:val="nil"/>
              <w:bottom w:val="single" w:sz="4" w:space="0" w:color="auto"/>
              <w:right w:val="single" w:sz="4" w:space="0" w:color="auto"/>
            </w:tcBorders>
            <w:shd w:val="clear" w:color="auto" w:fill="auto"/>
            <w:noWrap/>
          </w:tcPr>
          <w:p w14:paraId="3B3871BD" w14:textId="1973D355" w:rsidR="0016776A" w:rsidRDefault="0016776A" w:rsidP="00110AB2">
            <w:pPr>
              <w:pStyle w:val="Tables"/>
              <w:jc w:val="right"/>
            </w:pPr>
            <w:r>
              <w:t>$0</w:t>
            </w:r>
          </w:p>
        </w:tc>
      </w:tr>
      <w:tr w:rsidR="0016776A" w14:paraId="60654B37" w14:textId="77777777" w:rsidTr="00110AB2">
        <w:trPr>
          <w:trHeight w:val="255"/>
        </w:trPr>
        <w:tc>
          <w:tcPr>
            <w:tcW w:w="3124" w:type="dxa"/>
            <w:tcBorders>
              <w:bottom w:val="single" w:sz="4" w:space="0" w:color="auto"/>
            </w:tcBorders>
            <w:shd w:val="clear" w:color="auto" w:fill="auto"/>
            <w:noWrap/>
            <w:vAlign w:val="bottom"/>
          </w:tcPr>
          <w:p w14:paraId="4D646115" w14:textId="77777777" w:rsidR="0016776A" w:rsidRPr="005A1A1F" w:rsidRDefault="0016776A" w:rsidP="00871F94">
            <w:pPr>
              <w:pStyle w:val="Tables"/>
            </w:pPr>
            <w:r w:rsidRPr="005A1A1F">
              <w:t>Costs (O&amp;M)</w:t>
            </w:r>
          </w:p>
        </w:tc>
        <w:tc>
          <w:tcPr>
            <w:tcW w:w="1607" w:type="dxa"/>
            <w:tcBorders>
              <w:top w:val="nil"/>
              <w:left w:val="single" w:sz="4" w:space="0" w:color="auto"/>
              <w:bottom w:val="single" w:sz="4" w:space="0" w:color="auto"/>
              <w:right w:val="single" w:sz="4" w:space="0" w:color="auto"/>
            </w:tcBorders>
            <w:shd w:val="clear" w:color="auto" w:fill="auto"/>
            <w:noWrap/>
          </w:tcPr>
          <w:p w14:paraId="1EED4EAE" w14:textId="1AC3E3C2" w:rsidR="0016776A" w:rsidRDefault="0016776A" w:rsidP="00110AB2">
            <w:pPr>
              <w:pStyle w:val="Tables"/>
              <w:jc w:val="right"/>
            </w:pPr>
            <w:r>
              <w:t>$</w:t>
            </w:r>
            <w:r w:rsidR="00DC0A8D">
              <w:t>42,537,808</w:t>
            </w:r>
          </w:p>
        </w:tc>
        <w:tc>
          <w:tcPr>
            <w:tcW w:w="2517" w:type="dxa"/>
            <w:tcBorders>
              <w:top w:val="nil"/>
              <w:left w:val="nil"/>
              <w:bottom w:val="single" w:sz="4" w:space="0" w:color="auto"/>
              <w:right w:val="single" w:sz="4" w:space="0" w:color="auto"/>
            </w:tcBorders>
            <w:shd w:val="clear" w:color="auto" w:fill="auto"/>
            <w:noWrap/>
          </w:tcPr>
          <w:p w14:paraId="10F019D8" w14:textId="171E357C" w:rsidR="0016776A" w:rsidRDefault="0016776A" w:rsidP="00110AB2">
            <w:pPr>
              <w:pStyle w:val="Tables"/>
              <w:jc w:val="right"/>
            </w:pPr>
            <w:r>
              <w:t>$359,021</w:t>
            </w:r>
          </w:p>
        </w:tc>
      </w:tr>
      <w:tr w:rsidR="0016776A" w14:paraId="3A2943C5" w14:textId="77777777" w:rsidTr="00110AB2">
        <w:trPr>
          <w:trHeight w:val="255"/>
        </w:trPr>
        <w:tc>
          <w:tcPr>
            <w:tcW w:w="3124" w:type="dxa"/>
            <w:tcBorders>
              <w:bottom w:val="single" w:sz="4" w:space="0" w:color="auto"/>
            </w:tcBorders>
            <w:shd w:val="clear" w:color="auto" w:fill="auto"/>
            <w:noWrap/>
            <w:vAlign w:val="bottom"/>
          </w:tcPr>
          <w:p w14:paraId="29036356" w14:textId="2E174DF3" w:rsidR="0016776A" w:rsidRPr="005A1A1F" w:rsidRDefault="0016776A" w:rsidP="00871F94">
            <w:pPr>
              <w:pStyle w:val="Tables"/>
            </w:pPr>
            <w:r w:rsidRPr="005A1A1F">
              <w:t xml:space="preserve">Total </w:t>
            </w:r>
            <w:r>
              <w:t xml:space="preserve">annual </w:t>
            </w:r>
            <w:r w:rsidRPr="005A1A1F">
              <w:t>costs</w:t>
            </w:r>
          </w:p>
        </w:tc>
        <w:tc>
          <w:tcPr>
            <w:tcW w:w="1607" w:type="dxa"/>
            <w:tcBorders>
              <w:top w:val="nil"/>
              <w:left w:val="single" w:sz="4" w:space="0" w:color="auto"/>
              <w:bottom w:val="single" w:sz="4" w:space="0" w:color="auto"/>
              <w:right w:val="single" w:sz="4" w:space="0" w:color="auto"/>
            </w:tcBorders>
            <w:shd w:val="clear" w:color="auto" w:fill="auto"/>
            <w:noWrap/>
          </w:tcPr>
          <w:p w14:paraId="0206925E" w14:textId="6805480A" w:rsidR="0016776A" w:rsidRDefault="0016776A" w:rsidP="00110AB2">
            <w:pPr>
              <w:pStyle w:val="Tables"/>
              <w:jc w:val="right"/>
            </w:pPr>
            <w:r>
              <w:t>$</w:t>
            </w:r>
            <w:r w:rsidR="00DC0A8D">
              <w:t>43,299,988</w:t>
            </w:r>
          </w:p>
        </w:tc>
        <w:tc>
          <w:tcPr>
            <w:tcW w:w="2517" w:type="dxa"/>
            <w:tcBorders>
              <w:top w:val="nil"/>
              <w:left w:val="nil"/>
              <w:bottom w:val="single" w:sz="4" w:space="0" w:color="auto"/>
              <w:right w:val="single" w:sz="4" w:space="0" w:color="auto"/>
            </w:tcBorders>
            <w:shd w:val="clear" w:color="auto" w:fill="auto"/>
            <w:noWrap/>
          </w:tcPr>
          <w:p w14:paraId="5129D57F" w14:textId="5B1CFDDB" w:rsidR="0016776A" w:rsidRDefault="0016776A" w:rsidP="00110AB2">
            <w:pPr>
              <w:pStyle w:val="Tables"/>
              <w:jc w:val="right"/>
            </w:pPr>
            <w:r>
              <w:t>$359,021</w:t>
            </w:r>
          </w:p>
        </w:tc>
      </w:tr>
    </w:tbl>
    <w:p w14:paraId="593B83CD" w14:textId="4D7C543B" w:rsidR="007F2877" w:rsidRDefault="007F2877" w:rsidP="00B101A0">
      <w:pPr>
        <w:pStyle w:val="Heading2"/>
      </w:pPr>
      <w:bookmarkStart w:id="22" w:name="_Toc510451626"/>
      <w:r>
        <w:t>14.</w:t>
      </w:r>
      <w:r w:rsidR="00BC14BB">
        <w:tab/>
      </w:r>
      <w:r w:rsidRPr="00673714">
        <w:t xml:space="preserve">Provide an estimate of the annualized cost to </w:t>
      </w:r>
      <w:r>
        <w:t xml:space="preserve">the </w:t>
      </w:r>
      <w:r w:rsidR="0030589E">
        <w:t>federal government</w:t>
      </w:r>
      <w:bookmarkEnd w:id="22"/>
    </w:p>
    <w:p w14:paraId="6CF11A90" w14:textId="7ED555CE" w:rsidR="00D105F0" w:rsidRPr="00B101A0" w:rsidRDefault="003C5DAA" w:rsidP="00023967">
      <w:r>
        <w:t xml:space="preserve">The </w:t>
      </w:r>
      <w:r w:rsidR="00FF6B7C">
        <w:t xml:space="preserve">federal government </w:t>
      </w:r>
      <w:r>
        <w:t>burden includes activities related to administration of NPDES permits in non-authorized states</w:t>
      </w:r>
      <w:r w:rsidR="00125967">
        <w:t>,</w:t>
      </w:r>
      <w:r>
        <w:t xml:space="preserve"> territories</w:t>
      </w:r>
      <w:r w:rsidR="00125967">
        <w:t xml:space="preserve">, and </w:t>
      </w:r>
      <w:r w:rsidR="0030589E">
        <w:t xml:space="preserve">federal </w:t>
      </w:r>
      <w:r w:rsidR="00125967">
        <w:t xml:space="preserve">Indian </w:t>
      </w:r>
      <w:r w:rsidR="0030589E">
        <w:t xml:space="preserve">lands </w:t>
      </w:r>
      <w:r>
        <w:t xml:space="preserve">as well as oversight of NPDES programs. </w:t>
      </w:r>
      <w:r w:rsidR="00112C69">
        <w:t xml:space="preserve">In states without approved NPDES </w:t>
      </w:r>
      <w:r w:rsidR="001710DA">
        <w:t>p</w:t>
      </w:r>
      <w:r w:rsidR="00112C69">
        <w:t xml:space="preserve">rograms, the </w:t>
      </w:r>
      <w:r w:rsidR="0030589E">
        <w:t xml:space="preserve">federal government </w:t>
      </w:r>
      <w:r w:rsidR="007B7E3A">
        <w:t>(</w:t>
      </w:r>
      <w:r w:rsidR="00B0213E">
        <w:t xml:space="preserve">through its </w:t>
      </w:r>
      <w:r w:rsidR="00112C69">
        <w:t>EPA Regional Offices</w:t>
      </w:r>
      <w:r w:rsidR="007B7E3A">
        <w:t>)</w:t>
      </w:r>
      <w:r w:rsidR="00112C69">
        <w:t xml:space="preserve"> </w:t>
      </w:r>
      <w:r w:rsidR="00B0213E" w:rsidRPr="00B0213E">
        <w:t>issue</w:t>
      </w:r>
      <w:r w:rsidR="007B7E3A">
        <w:t>s</w:t>
      </w:r>
      <w:r w:rsidR="00B0213E" w:rsidRPr="00B0213E">
        <w:t xml:space="preserve"> and administer</w:t>
      </w:r>
      <w:r w:rsidR="007B7E3A">
        <w:t>s</w:t>
      </w:r>
      <w:r w:rsidR="00B0213E" w:rsidRPr="00B0213E">
        <w:t xml:space="preserve"> NPDES permits</w:t>
      </w:r>
      <w:r w:rsidR="00B0213E">
        <w:t xml:space="preserve">. These burdens are similar to those incurred by the states and are calculated using the same methodology and assumptions. </w:t>
      </w:r>
      <w:r w:rsidR="00AA2478">
        <w:t xml:space="preserve">Appendix A provides program administration </w:t>
      </w:r>
      <w:r w:rsidR="00A24675">
        <w:t xml:space="preserve">burden estimates for </w:t>
      </w:r>
      <w:r w:rsidR="00AA2478">
        <w:t>authorized states</w:t>
      </w:r>
      <w:r w:rsidR="0030589E">
        <w:t xml:space="preserve">; </w:t>
      </w:r>
      <w:r>
        <w:t>in many cases,</w:t>
      </w:r>
      <w:r w:rsidR="00A24675">
        <w:t xml:space="preserve"> </w:t>
      </w:r>
      <w:r w:rsidR="0030589E">
        <w:t xml:space="preserve">these </w:t>
      </w:r>
      <w:r w:rsidR="00A24675">
        <w:t xml:space="preserve">also apply to </w:t>
      </w:r>
      <w:r w:rsidR="00AA2478">
        <w:t xml:space="preserve">the </w:t>
      </w:r>
      <w:r w:rsidR="0030589E">
        <w:t xml:space="preserve">federal government </w:t>
      </w:r>
      <w:r w:rsidR="00AA2478">
        <w:t xml:space="preserve">in non-authorized states. </w:t>
      </w:r>
      <w:r w:rsidR="00261E98" w:rsidRPr="00261E98">
        <w:t xml:space="preserve">Appendix </w:t>
      </w:r>
      <w:r w:rsidR="004D0EF3">
        <w:t>C</w:t>
      </w:r>
      <w:r w:rsidR="00AA2478">
        <w:t>,</w:t>
      </w:r>
      <w:r w:rsidR="004D0EF3">
        <w:t xml:space="preserve"> Table C.1</w:t>
      </w:r>
      <w:r w:rsidR="0030589E">
        <w:t>,</w:t>
      </w:r>
      <w:r w:rsidR="00261E98" w:rsidRPr="00261E98">
        <w:t xml:space="preserve"> presents calculated respondent burden est</w:t>
      </w:r>
      <w:r w:rsidR="00261E98">
        <w:t>imates grouped by activity type</w:t>
      </w:r>
      <w:r w:rsidR="00F27A7C">
        <w:t xml:space="preserve">. </w:t>
      </w:r>
      <w:r w:rsidR="001D56B6">
        <w:t>Details of t</w:t>
      </w:r>
      <w:r w:rsidR="00B0213E">
        <w:t xml:space="preserve">he </w:t>
      </w:r>
      <w:r w:rsidR="0030589E">
        <w:t xml:space="preserve">federal government </w:t>
      </w:r>
      <w:r w:rsidR="001D56B6">
        <w:t>burden and costs associated with</w:t>
      </w:r>
      <w:r w:rsidR="00B0213E">
        <w:t xml:space="preserve"> general oversight </w:t>
      </w:r>
      <w:r w:rsidR="00D60200">
        <w:t xml:space="preserve">of the NPDES </w:t>
      </w:r>
      <w:r w:rsidR="001710DA">
        <w:t>p</w:t>
      </w:r>
      <w:r w:rsidR="00D60200">
        <w:t xml:space="preserve">rogram and the </w:t>
      </w:r>
      <w:r w:rsidR="004E6FA4">
        <w:t>a</w:t>
      </w:r>
      <w:r w:rsidR="00D60200">
        <w:t xml:space="preserve">pproved </w:t>
      </w:r>
      <w:r w:rsidR="004E6FA4">
        <w:t>s</w:t>
      </w:r>
      <w:r w:rsidR="00D60200">
        <w:t xml:space="preserve">tate </w:t>
      </w:r>
      <w:r w:rsidR="004E6FA4">
        <w:t>p</w:t>
      </w:r>
      <w:r w:rsidR="00D60200">
        <w:t xml:space="preserve">rograms are presented in Appendix </w:t>
      </w:r>
      <w:r w:rsidR="00D105F0">
        <w:t>C</w:t>
      </w:r>
      <w:r w:rsidR="00AA2478">
        <w:t>,</w:t>
      </w:r>
      <w:r w:rsidR="004D0EF3">
        <w:t xml:space="preserve"> Table C.2</w:t>
      </w:r>
      <w:r w:rsidR="00D3084F">
        <w:t>.</w:t>
      </w:r>
      <w:r w:rsidR="00A36C97">
        <w:t xml:space="preserve"> </w:t>
      </w:r>
      <w:r w:rsidR="00023967" w:rsidRPr="00023967">
        <w:t xml:space="preserve">Table </w:t>
      </w:r>
      <w:r w:rsidR="00023967">
        <w:t xml:space="preserve">14.1 </w:t>
      </w:r>
      <w:r w:rsidR="0030589E">
        <w:t xml:space="preserve">summarizes </w:t>
      </w:r>
      <w:r w:rsidR="00023967" w:rsidRPr="00023967">
        <w:t xml:space="preserve">the average annual Agency burden hours and costs. </w:t>
      </w:r>
    </w:p>
    <w:p w14:paraId="78DE6B9F" w14:textId="696D3240" w:rsidR="0076289A" w:rsidRDefault="0076289A" w:rsidP="00871F94">
      <w:pPr>
        <w:pStyle w:val="Caption"/>
      </w:pPr>
      <w:r>
        <w:t xml:space="preserve">Table </w:t>
      </w:r>
      <w:r w:rsidRPr="0076289A">
        <w:t xml:space="preserve">14.1 Summary of </w:t>
      </w:r>
      <w:r w:rsidR="00AC7E76">
        <w:t>A</w:t>
      </w:r>
      <w:r w:rsidRPr="0076289A">
        <w:t xml:space="preserve">gency </w:t>
      </w:r>
      <w:r w:rsidR="00AC7E76">
        <w:t>A</w:t>
      </w:r>
      <w:r w:rsidRPr="0076289A">
        <w:t xml:space="preserve">nnualized </w:t>
      </w:r>
      <w:r w:rsidR="00AC7E76">
        <w:t>B</w:t>
      </w:r>
      <w:r w:rsidRPr="0076289A">
        <w:t xml:space="preserve">urden and </w:t>
      </w:r>
      <w:r w:rsidR="00AC7E76">
        <w:t>C</w:t>
      </w:r>
      <w:r w:rsidRPr="0076289A">
        <w:t>osts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3060"/>
        <w:gridCol w:w="2430"/>
        <w:gridCol w:w="1147"/>
      </w:tblGrid>
      <w:tr w:rsidR="00301D0A" w:rsidRPr="00FC26CC" w14:paraId="370BC24B" w14:textId="77777777" w:rsidTr="00110AB2">
        <w:trPr>
          <w:trHeight w:val="255"/>
        </w:trPr>
        <w:tc>
          <w:tcPr>
            <w:tcW w:w="2605" w:type="dxa"/>
            <w:shd w:val="clear" w:color="auto" w:fill="D9D9D9" w:themeFill="background1" w:themeFillShade="D9"/>
            <w:noWrap/>
            <w:vAlign w:val="bottom"/>
          </w:tcPr>
          <w:p w14:paraId="27603033" w14:textId="77777777" w:rsidR="00301D0A" w:rsidRPr="00875526" w:rsidRDefault="00301D0A" w:rsidP="00871F94">
            <w:pPr>
              <w:pStyle w:val="TableTitle"/>
            </w:pP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F6763" w14:textId="3C922435" w:rsidR="00FC26CC" w:rsidRDefault="002A3E05" w:rsidP="00871F94">
            <w:pPr>
              <w:pStyle w:val="TableTitle"/>
            </w:pPr>
            <w:r>
              <w:t xml:space="preserve">NPDES </w:t>
            </w:r>
            <w:r w:rsidR="00301D0A" w:rsidRPr="00875526">
              <w:t xml:space="preserve">Program </w:t>
            </w:r>
            <w:r w:rsidR="00AC7E76">
              <w:t>A</w:t>
            </w:r>
            <w:r w:rsidR="00301D0A" w:rsidRPr="00875526">
              <w:t xml:space="preserve">dministration in </w:t>
            </w:r>
            <w:r w:rsidR="00521AC0">
              <w:t>N</w:t>
            </w:r>
            <w:r w:rsidR="00301D0A" w:rsidRPr="00875526">
              <w:t>on-</w:t>
            </w:r>
            <w:r w:rsidR="00E82C20">
              <w:t>a</w:t>
            </w:r>
            <w:r w:rsidR="00AA2478">
              <w:t>uthorized</w:t>
            </w:r>
            <w:r w:rsidR="00AA2478" w:rsidRPr="00875526">
              <w:t xml:space="preserve"> </w:t>
            </w:r>
            <w:r w:rsidR="00521AC0">
              <w:t>S</w:t>
            </w:r>
            <w:r w:rsidR="00301D0A" w:rsidRPr="00875526">
              <w:t xml:space="preserve">tates </w:t>
            </w:r>
          </w:p>
          <w:p w14:paraId="65D0B16B" w14:textId="15966A7A" w:rsidR="00301D0A" w:rsidRPr="00875526" w:rsidRDefault="00301D0A" w:rsidP="00871F94">
            <w:pPr>
              <w:pStyle w:val="TableTitle"/>
              <w:rPr>
                <w:highlight w:val="yellow"/>
              </w:rPr>
            </w:pPr>
            <w:r w:rsidRPr="00875526">
              <w:t xml:space="preserve">(Appendix </w:t>
            </w:r>
            <w:r w:rsidR="004D0EF3">
              <w:t>C</w:t>
            </w:r>
            <w:r w:rsidR="0030589E">
              <w:t>,</w:t>
            </w:r>
            <w:r w:rsidR="004D0EF3">
              <w:t xml:space="preserve"> Table C.1</w:t>
            </w:r>
            <w:r w:rsidRPr="00875526">
              <w:t>)</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8F27C" w14:textId="7029F6B9" w:rsidR="0030589E" w:rsidRDefault="00301D0A" w:rsidP="00871F94">
            <w:pPr>
              <w:pStyle w:val="TableTitle"/>
            </w:pPr>
            <w:r w:rsidRPr="00875526">
              <w:t xml:space="preserve">NPDES </w:t>
            </w:r>
            <w:r w:rsidR="00521AC0">
              <w:t>P</w:t>
            </w:r>
            <w:r w:rsidRPr="00875526">
              <w:t xml:space="preserve">rogram </w:t>
            </w:r>
            <w:r w:rsidR="00521AC0">
              <w:t>O</w:t>
            </w:r>
            <w:r w:rsidRPr="00875526">
              <w:t>versight</w:t>
            </w:r>
          </w:p>
          <w:p w14:paraId="418F935B" w14:textId="09BFAEFE" w:rsidR="00301D0A" w:rsidRPr="00875526" w:rsidRDefault="00301D0A" w:rsidP="00871F94">
            <w:pPr>
              <w:pStyle w:val="TableTitle"/>
              <w:rPr>
                <w:highlight w:val="yellow"/>
              </w:rPr>
            </w:pPr>
            <w:r w:rsidRPr="00875526">
              <w:t>(Appendix C</w:t>
            </w:r>
            <w:r w:rsidR="0030589E">
              <w:t>,</w:t>
            </w:r>
            <w:r w:rsidR="004D0EF3">
              <w:t xml:space="preserve"> Table C.2</w:t>
            </w:r>
            <w:r w:rsidRPr="00875526">
              <w:t>)</w:t>
            </w:r>
          </w:p>
        </w:tc>
        <w:tc>
          <w:tcPr>
            <w:tcW w:w="1147" w:type="dxa"/>
            <w:shd w:val="clear" w:color="auto" w:fill="D9D9D9" w:themeFill="background1" w:themeFillShade="D9"/>
            <w:noWrap/>
            <w:vAlign w:val="bottom"/>
          </w:tcPr>
          <w:p w14:paraId="3025D93D" w14:textId="31C4ED22" w:rsidR="00301D0A" w:rsidRPr="00875526" w:rsidRDefault="00301D0A" w:rsidP="00871F94">
            <w:pPr>
              <w:pStyle w:val="TableTitle"/>
              <w:rPr>
                <w:highlight w:val="yellow"/>
              </w:rPr>
            </w:pPr>
            <w:r w:rsidRPr="00875526">
              <w:t>Total</w:t>
            </w:r>
          </w:p>
        </w:tc>
      </w:tr>
      <w:tr w:rsidR="0016776A" w:rsidRPr="00023967" w14:paraId="3C6FCABE" w14:textId="77777777" w:rsidTr="00110AB2">
        <w:trPr>
          <w:trHeight w:val="255"/>
        </w:trPr>
        <w:tc>
          <w:tcPr>
            <w:tcW w:w="2605" w:type="dxa"/>
            <w:shd w:val="clear" w:color="auto" w:fill="auto"/>
            <w:noWrap/>
            <w:vAlign w:val="bottom"/>
          </w:tcPr>
          <w:p w14:paraId="64F4CA8E" w14:textId="77777777" w:rsidR="0016776A" w:rsidRPr="00875526" w:rsidRDefault="0016776A" w:rsidP="00871F94">
            <w:pPr>
              <w:pStyle w:val="Tables"/>
            </w:pPr>
            <w:r w:rsidRPr="00875526">
              <w:t>Responses (number)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009BD" w14:textId="5375B0D9" w:rsidR="0016776A" w:rsidRPr="003969C0" w:rsidRDefault="0016776A" w:rsidP="00110AB2">
            <w:pPr>
              <w:pStyle w:val="Tables"/>
              <w:jc w:val="right"/>
            </w:pPr>
            <w:r w:rsidRPr="00D4495F">
              <w:t>411,460</w:t>
            </w:r>
          </w:p>
        </w:tc>
        <w:tc>
          <w:tcPr>
            <w:tcW w:w="2430" w:type="dxa"/>
            <w:tcBorders>
              <w:top w:val="single" w:sz="4" w:space="0" w:color="auto"/>
              <w:left w:val="nil"/>
              <w:bottom w:val="single" w:sz="4" w:space="0" w:color="auto"/>
              <w:right w:val="single" w:sz="4" w:space="0" w:color="auto"/>
            </w:tcBorders>
            <w:shd w:val="clear" w:color="auto" w:fill="auto"/>
          </w:tcPr>
          <w:p w14:paraId="055E63ED" w14:textId="1DB6B830" w:rsidR="0016776A" w:rsidRPr="003969C0" w:rsidRDefault="0016776A" w:rsidP="00110AB2">
            <w:pPr>
              <w:pStyle w:val="Tables"/>
              <w:jc w:val="right"/>
            </w:pPr>
            <w:r w:rsidRPr="00D4495F">
              <w:t>5,761</w:t>
            </w:r>
          </w:p>
        </w:tc>
        <w:tc>
          <w:tcPr>
            <w:tcW w:w="1147" w:type="dxa"/>
            <w:tcBorders>
              <w:top w:val="single" w:sz="4" w:space="0" w:color="auto"/>
              <w:left w:val="nil"/>
              <w:bottom w:val="single" w:sz="4" w:space="0" w:color="auto"/>
              <w:right w:val="single" w:sz="4" w:space="0" w:color="auto"/>
            </w:tcBorders>
            <w:shd w:val="clear" w:color="auto" w:fill="auto"/>
            <w:noWrap/>
          </w:tcPr>
          <w:p w14:paraId="1E0B8EBE" w14:textId="1B72B0D4" w:rsidR="0016776A" w:rsidRPr="003969C0" w:rsidRDefault="0016776A" w:rsidP="00110AB2">
            <w:pPr>
              <w:pStyle w:val="Tables"/>
              <w:jc w:val="right"/>
            </w:pPr>
            <w:r w:rsidRPr="00D4495F">
              <w:t>417,221</w:t>
            </w:r>
          </w:p>
        </w:tc>
      </w:tr>
      <w:tr w:rsidR="0016776A" w:rsidRPr="00023967" w14:paraId="0E9A7E68" w14:textId="77777777" w:rsidTr="00110AB2">
        <w:trPr>
          <w:trHeight w:val="255"/>
        </w:trPr>
        <w:tc>
          <w:tcPr>
            <w:tcW w:w="2605" w:type="dxa"/>
            <w:shd w:val="clear" w:color="auto" w:fill="auto"/>
            <w:noWrap/>
            <w:vAlign w:val="bottom"/>
          </w:tcPr>
          <w:p w14:paraId="27C1ABF3" w14:textId="77777777" w:rsidR="0016776A" w:rsidRPr="00875526" w:rsidRDefault="0016776A" w:rsidP="00871F94">
            <w:pPr>
              <w:pStyle w:val="Tables"/>
            </w:pPr>
            <w:r w:rsidRPr="00875526">
              <w:t>Burden (hours)</w:t>
            </w:r>
          </w:p>
        </w:tc>
        <w:tc>
          <w:tcPr>
            <w:tcW w:w="3060" w:type="dxa"/>
            <w:tcBorders>
              <w:top w:val="nil"/>
              <w:left w:val="single" w:sz="4" w:space="0" w:color="auto"/>
              <w:bottom w:val="single" w:sz="4" w:space="0" w:color="auto"/>
              <w:right w:val="single" w:sz="4" w:space="0" w:color="auto"/>
            </w:tcBorders>
            <w:shd w:val="clear" w:color="auto" w:fill="auto"/>
          </w:tcPr>
          <w:p w14:paraId="0466F026" w14:textId="42A96F8E" w:rsidR="0016776A" w:rsidRPr="003969C0" w:rsidRDefault="0016776A" w:rsidP="00110AB2">
            <w:pPr>
              <w:pStyle w:val="Tables"/>
              <w:jc w:val="right"/>
            </w:pPr>
            <w:r w:rsidRPr="00D4495F">
              <w:t>44,542</w:t>
            </w:r>
          </w:p>
        </w:tc>
        <w:tc>
          <w:tcPr>
            <w:tcW w:w="2430" w:type="dxa"/>
            <w:tcBorders>
              <w:top w:val="nil"/>
              <w:left w:val="nil"/>
              <w:bottom w:val="single" w:sz="4" w:space="0" w:color="auto"/>
              <w:right w:val="single" w:sz="4" w:space="0" w:color="auto"/>
            </w:tcBorders>
            <w:shd w:val="clear" w:color="auto" w:fill="auto"/>
          </w:tcPr>
          <w:p w14:paraId="64ECE720" w14:textId="6103233B" w:rsidR="0016776A" w:rsidRPr="003969C0" w:rsidRDefault="0016776A" w:rsidP="00110AB2">
            <w:pPr>
              <w:pStyle w:val="Tables"/>
              <w:jc w:val="right"/>
            </w:pPr>
            <w:r w:rsidRPr="00D4495F">
              <w:t>27,</w:t>
            </w:r>
            <w:r w:rsidR="00DC0A8D">
              <w:t>758</w:t>
            </w:r>
          </w:p>
        </w:tc>
        <w:tc>
          <w:tcPr>
            <w:tcW w:w="1147" w:type="dxa"/>
            <w:tcBorders>
              <w:top w:val="nil"/>
              <w:left w:val="nil"/>
              <w:bottom w:val="single" w:sz="4" w:space="0" w:color="auto"/>
              <w:right w:val="single" w:sz="4" w:space="0" w:color="auto"/>
            </w:tcBorders>
            <w:shd w:val="clear" w:color="auto" w:fill="auto"/>
            <w:noWrap/>
          </w:tcPr>
          <w:p w14:paraId="4BEE4359" w14:textId="506B7456" w:rsidR="0016776A" w:rsidRPr="003969C0" w:rsidRDefault="00DC0A8D" w:rsidP="00110AB2">
            <w:pPr>
              <w:pStyle w:val="Tables"/>
              <w:jc w:val="right"/>
            </w:pPr>
            <w:r>
              <w:t>72,300</w:t>
            </w:r>
          </w:p>
        </w:tc>
      </w:tr>
      <w:tr w:rsidR="0016776A" w:rsidRPr="00023967" w14:paraId="502F97BC" w14:textId="77777777" w:rsidTr="00110AB2">
        <w:trPr>
          <w:trHeight w:val="255"/>
        </w:trPr>
        <w:tc>
          <w:tcPr>
            <w:tcW w:w="2605" w:type="dxa"/>
            <w:shd w:val="clear" w:color="auto" w:fill="auto"/>
            <w:noWrap/>
            <w:vAlign w:val="bottom"/>
          </w:tcPr>
          <w:p w14:paraId="57F023C9" w14:textId="539A9DFA" w:rsidR="0016776A" w:rsidRPr="00875526" w:rsidRDefault="0016776A" w:rsidP="00871F94">
            <w:pPr>
              <w:pStyle w:val="Tables"/>
            </w:pPr>
            <w:r w:rsidRPr="00875526">
              <w:t>Costs (labor)</w:t>
            </w:r>
          </w:p>
        </w:tc>
        <w:tc>
          <w:tcPr>
            <w:tcW w:w="3060" w:type="dxa"/>
            <w:tcBorders>
              <w:top w:val="nil"/>
              <w:left w:val="single" w:sz="4" w:space="0" w:color="auto"/>
              <w:bottom w:val="single" w:sz="4" w:space="0" w:color="auto"/>
              <w:right w:val="single" w:sz="4" w:space="0" w:color="auto"/>
            </w:tcBorders>
            <w:shd w:val="clear" w:color="auto" w:fill="auto"/>
          </w:tcPr>
          <w:p w14:paraId="326A3E70" w14:textId="7D6261F7" w:rsidR="0016776A" w:rsidRPr="003969C0" w:rsidRDefault="0016776A" w:rsidP="00110AB2">
            <w:pPr>
              <w:pStyle w:val="Tables"/>
              <w:jc w:val="right"/>
            </w:pPr>
            <w:r w:rsidRPr="00D4495F">
              <w:t>$1,907,288</w:t>
            </w:r>
          </w:p>
        </w:tc>
        <w:tc>
          <w:tcPr>
            <w:tcW w:w="2430" w:type="dxa"/>
            <w:tcBorders>
              <w:top w:val="nil"/>
              <w:left w:val="nil"/>
              <w:bottom w:val="single" w:sz="4" w:space="0" w:color="auto"/>
              <w:right w:val="single" w:sz="4" w:space="0" w:color="auto"/>
            </w:tcBorders>
            <w:shd w:val="clear" w:color="auto" w:fill="auto"/>
          </w:tcPr>
          <w:p w14:paraId="1223B6C3" w14:textId="455AE248" w:rsidR="0016776A" w:rsidRPr="003969C0" w:rsidRDefault="0016776A" w:rsidP="00110AB2">
            <w:pPr>
              <w:pStyle w:val="Tables"/>
              <w:jc w:val="right"/>
            </w:pPr>
            <w:r w:rsidRPr="00D4495F">
              <w:t>$</w:t>
            </w:r>
            <w:r w:rsidR="00DC0A8D">
              <w:t>1,188,581</w:t>
            </w:r>
          </w:p>
        </w:tc>
        <w:tc>
          <w:tcPr>
            <w:tcW w:w="1147" w:type="dxa"/>
            <w:tcBorders>
              <w:top w:val="nil"/>
              <w:left w:val="nil"/>
              <w:bottom w:val="single" w:sz="4" w:space="0" w:color="auto"/>
              <w:right w:val="single" w:sz="4" w:space="0" w:color="auto"/>
            </w:tcBorders>
            <w:shd w:val="clear" w:color="auto" w:fill="auto"/>
            <w:noWrap/>
          </w:tcPr>
          <w:p w14:paraId="3299C537" w14:textId="4AA7B23B" w:rsidR="0016776A" w:rsidRPr="003969C0" w:rsidRDefault="0016776A" w:rsidP="00110AB2">
            <w:pPr>
              <w:pStyle w:val="Tables"/>
              <w:jc w:val="right"/>
            </w:pPr>
            <w:r w:rsidRPr="00D4495F">
              <w:t>$</w:t>
            </w:r>
            <w:r w:rsidR="00DC0A8D">
              <w:t>3,095,869</w:t>
            </w:r>
          </w:p>
        </w:tc>
      </w:tr>
      <w:tr w:rsidR="0016776A" w:rsidRPr="00023967" w14:paraId="301E2979" w14:textId="77777777" w:rsidTr="00110AB2">
        <w:trPr>
          <w:trHeight w:val="255"/>
        </w:trPr>
        <w:tc>
          <w:tcPr>
            <w:tcW w:w="2605" w:type="dxa"/>
            <w:shd w:val="clear" w:color="auto" w:fill="auto"/>
            <w:noWrap/>
            <w:vAlign w:val="bottom"/>
          </w:tcPr>
          <w:p w14:paraId="4CDCEF72" w14:textId="77777777" w:rsidR="0016776A" w:rsidRPr="00875526" w:rsidRDefault="0016776A" w:rsidP="00871F94">
            <w:pPr>
              <w:pStyle w:val="Tables"/>
            </w:pPr>
            <w:r w:rsidRPr="00875526">
              <w:t>Costs (capital)</w:t>
            </w:r>
          </w:p>
        </w:tc>
        <w:tc>
          <w:tcPr>
            <w:tcW w:w="3060" w:type="dxa"/>
            <w:tcBorders>
              <w:top w:val="nil"/>
              <w:left w:val="single" w:sz="4" w:space="0" w:color="auto"/>
              <w:bottom w:val="single" w:sz="4" w:space="0" w:color="auto"/>
              <w:right w:val="single" w:sz="4" w:space="0" w:color="auto"/>
            </w:tcBorders>
            <w:shd w:val="clear" w:color="auto" w:fill="auto"/>
          </w:tcPr>
          <w:p w14:paraId="20ABE588" w14:textId="05D04D12" w:rsidR="0016776A" w:rsidRPr="003969C0" w:rsidRDefault="0016776A" w:rsidP="00110AB2">
            <w:pPr>
              <w:pStyle w:val="Tables"/>
              <w:jc w:val="right"/>
            </w:pPr>
            <w:r w:rsidRPr="00D4495F">
              <w:t>$0</w:t>
            </w:r>
          </w:p>
        </w:tc>
        <w:tc>
          <w:tcPr>
            <w:tcW w:w="2430" w:type="dxa"/>
            <w:tcBorders>
              <w:top w:val="nil"/>
              <w:left w:val="nil"/>
              <w:bottom w:val="single" w:sz="4" w:space="0" w:color="auto"/>
              <w:right w:val="single" w:sz="4" w:space="0" w:color="auto"/>
            </w:tcBorders>
            <w:shd w:val="clear" w:color="auto" w:fill="auto"/>
          </w:tcPr>
          <w:p w14:paraId="161A2A3E" w14:textId="731F3445" w:rsidR="0016776A" w:rsidRPr="003969C0" w:rsidRDefault="0016776A" w:rsidP="00110AB2">
            <w:pPr>
              <w:pStyle w:val="Tables"/>
              <w:jc w:val="right"/>
            </w:pPr>
            <w:r w:rsidRPr="00D4495F">
              <w:t>$0</w:t>
            </w:r>
          </w:p>
        </w:tc>
        <w:tc>
          <w:tcPr>
            <w:tcW w:w="1147" w:type="dxa"/>
            <w:tcBorders>
              <w:top w:val="nil"/>
              <w:left w:val="nil"/>
              <w:bottom w:val="single" w:sz="4" w:space="0" w:color="auto"/>
              <w:right w:val="single" w:sz="4" w:space="0" w:color="auto"/>
            </w:tcBorders>
            <w:shd w:val="clear" w:color="auto" w:fill="auto"/>
            <w:noWrap/>
          </w:tcPr>
          <w:p w14:paraId="52DAD4AF" w14:textId="68BAD86E" w:rsidR="0016776A" w:rsidRPr="003969C0" w:rsidRDefault="0016776A" w:rsidP="00110AB2">
            <w:pPr>
              <w:pStyle w:val="Tables"/>
              <w:jc w:val="right"/>
            </w:pPr>
            <w:r w:rsidRPr="00D4495F">
              <w:t>$0</w:t>
            </w:r>
          </w:p>
        </w:tc>
      </w:tr>
      <w:tr w:rsidR="0016776A" w:rsidRPr="00023967" w14:paraId="2844018A" w14:textId="77777777" w:rsidTr="00110AB2">
        <w:trPr>
          <w:trHeight w:val="255"/>
        </w:trPr>
        <w:tc>
          <w:tcPr>
            <w:tcW w:w="2605" w:type="dxa"/>
            <w:shd w:val="clear" w:color="auto" w:fill="auto"/>
            <w:noWrap/>
            <w:vAlign w:val="bottom"/>
          </w:tcPr>
          <w:p w14:paraId="1029D004" w14:textId="77777777" w:rsidR="0016776A" w:rsidRPr="00875526" w:rsidRDefault="0016776A" w:rsidP="00871F94">
            <w:pPr>
              <w:pStyle w:val="Tables"/>
            </w:pPr>
            <w:r w:rsidRPr="00875526">
              <w:t>Costs (O&amp;M)</w:t>
            </w:r>
          </w:p>
        </w:tc>
        <w:tc>
          <w:tcPr>
            <w:tcW w:w="3060" w:type="dxa"/>
            <w:tcBorders>
              <w:top w:val="nil"/>
              <w:left w:val="single" w:sz="4" w:space="0" w:color="auto"/>
              <w:bottom w:val="single" w:sz="4" w:space="0" w:color="auto"/>
              <w:right w:val="single" w:sz="4" w:space="0" w:color="auto"/>
            </w:tcBorders>
            <w:shd w:val="clear" w:color="auto" w:fill="auto"/>
          </w:tcPr>
          <w:p w14:paraId="48EDC3E1" w14:textId="41C44777" w:rsidR="0016776A" w:rsidRPr="003969C0" w:rsidRDefault="0016776A" w:rsidP="00110AB2">
            <w:pPr>
              <w:pStyle w:val="Tables"/>
              <w:jc w:val="right"/>
            </w:pPr>
            <w:r w:rsidRPr="00D4495F">
              <w:t>$322,940</w:t>
            </w:r>
          </w:p>
        </w:tc>
        <w:tc>
          <w:tcPr>
            <w:tcW w:w="2430" w:type="dxa"/>
            <w:tcBorders>
              <w:top w:val="nil"/>
              <w:left w:val="nil"/>
              <w:bottom w:val="single" w:sz="4" w:space="0" w:color="auto"/>
              <w:right w:val="single" w:sz="4" w:space="0" w:color="auto"/>
            </w:tcBorders>
            <w:shd w:val="clear" w:color="auto" w:fill="auto"/>
          </w:tcPr>
          <w:p w14:paraId="36AA18EA" w14:textId="6457F865" w:rsidR="0016776A" w:rsidRPr="003969C0" w:rsidRDefault="0016776A" w:rsidP="00110AB2">
            <w:pPr>
              <w:pStyle w:val="Tables"/>
              <w:jc w:val="right"/>
            </w:pPr>
            <w:r w:rsidRPr="00D4495F">
              <w:t>$312</w:t>
            </w:r>
          </w:p>
        </w:tc>
        <w:tc>
          <w:tcPr>
            <w:tcW w:w="1147" w:type="dxa"/>
            <w:tcBorders>
              <w:top w:val="nil"/>
              <w:left w:val="nil"/>
              <w:bottom w:val="single" w:sz="4" w:space="0" w:color="auto"/>
              <w:right w:val="single" w:sz="4" w:space="0" w:color="auto"/>
            </w:tcBorders>
            <w:shd w:val="clear" w:color="auto" w:fill="auto"/>
            <w:noWrap/>
          </w:tcPr>
          <w:p w14:paraId="2F1DE0C0" w14:textId="76E2219C" w:rsidR="0016776A" w:rsidRPr="003969C0" w:rsidRDefault="0016776A" w:rsidP="00110AB2">
            <w:pPr>
              <w:pStyle w:val="Tables"/>
              <w:jc w:val="right"/>
            </w:pPr>
            <w:r w:rsidRPr="00D4495F">
              <w:t>$323,251</w:t>
            </w:r>
          </w:p>
        </w:tc>
      </w:tr>
      <w:tr w:rsidR="0016776A" w:rsidRPr="00023967" w14:paraId="526456D2" w14:textId="77777777" w:rsidTr="00110AB2">
        <w:trPr>
          <w:trHeight w:val="255"/>
        </w:trPr>
        <w:tc>
          <w:tcPr>
            <w:tcW w:w="2605" w:type="dxa"/>
            <w:shd w:val="clear" w:color="auto" w:fill="auto"/>
            <w:noWrap/>
            <w:vAlign w:val="bottom"/>
          </w:tcPr>
          <w:p w14:paraId="53FBD22A" w14:textId="77777777" w:rsidR="0016776A" w:rsidRPr="00875526" w:rsidRDefault="0016776A" w:rsidP="00871F94">
            <w:pPr>
              <w:pStyle w:val="Tables"/>
            </w:pPr>
            <w:r w:rsidRPr="00875526">
              <w:t>Total costs</w:t>
            </w:r>
          </w:p>
        </w:tc>
        <w:tc>
          <w:tcPr>
            <w:tcW w:w="3060" w:type="dxa"/>
            <w:tcBorders>
              <w:top w:val="nil"/>
              <w:left w:val="single" w:sz="4" w:space="0" w:color="auto"/>
              <w:bottom w:val="single" w:sz="4" w:space="0" w:color="auto"/>
              <w:right w:val="single" w:sz="4" w:space="0" w:color="auto"/>
            </w:tcBorders>
            <w:shd w:val="clear" w:color="auto" w:fill="auto"/>
          </w:tcPr>
          <w:p w14:paraId="2AC063E4" w14:textId="7C62382D" w:rsidR="0016776A" w:rsidRPr="003969C0" w:rsidRDefault="0016776A" w:rsidP="00110AB2">
            <w:pPr>
              <w:pStyle w:val="Tables"/>
              <w:jc w:val="right"/>
            </w:pPr>
            <w:r w:rsidRPr="00D4495F">
              <w:t>$2,230,228</w:t>
            </w:r>
          </w:p>
        </w:tc>
        <w:tc>
          <w:tcPr>
            <w:tcW w:w="2430" w:type="dxa"/>
            <w:tcBorders>
              <w:top w:val="nil"/>
              <w:left w:val="nil"/>
              <w:bottom w:val="single" w:sz="4" w:space="0" w:color="auto"/>
              <w:right w:val="single" w:sz="4" w:space="0" w:color="auto"/>
            </w:tcBorders>
            <w:shd w:val="clear" w:color="auto" w:fill="auto"/>
          </w:tcPr>
          <w:p w14:paraId="7F9BF03E" w14:textId="1E6D659D" w:rsidR="0016776A" w:rsidRPr="003969C0" w:rsidRDefault="0016776A" w:rsidP="00110AB2">
            <w:pPr>
              <w:pStyle w:val="Tables"/>
              <w:jc w:val="right"/>
            </w:pPr>
            <w:r w:rsidRPr="00D4495F">
              <w:t>$</w:t>
            </w:r>
            <w:r w:rsidR="00DC0A8D">
              <w:t>1,188,893</w:t>
            </w:r>
          </w:p>
        </w:tc>
        <w:tc>
          <w:tcPr>
            <w:tcW w:w="1147" w:type="dxa"/>
            <w:tcBorders>
              <w:top w:val="nil"/>
              <w:left w:val="nil"/>
              <w:bottom w:val="single" w:sz="4" w:space="0" w:color="auto"/>
              <w:right w:val="single" w:sz="4" w:space="0" w:color="auto"/>
            </w:tcBorders>
            <w:shd w:val="clear" w:color="auto" w:fill="auto"/>
            <w:noWrap/>
          </w:tcPr>
          <w:p w14:paraId="7EBA7696" w14:textId="65E00C41" w:rsidR="0016776A" w:rsidRPr="003969C0" w:rsidRDefault="0016776A" w:rsidP="00110AB2">
            <w:pPr>
              <w:pStyle w:val="Tables"/>
              <w:jc w:val="right"/>
            </w:pPr>
            <w:r w:rsidRPr="00D4495F">
              <w:t>$</w:t>
            </w:r>
            <w:r w:rsidR="00DC0A8D">
              <w:t>3,419,120</w:t>
            </w:r>
          </w:p>
        </w:tc>
      </w:tr>
    </w:tbl>
    <w:p w14:paraId="5B3C3466" w14:textId="016534AE" w:rsidR="007F2877" w:rsidRDefault="007F2877" w:rsidP="005D6697">
      <w:pPr>
        <w:pStyle w:val="Heading2"/>
      </w:pPr>
      <w:bookmarkStart w:id="23" w:name="_Toc510451627"/>
      <w:r>
        <w:t>15.</w:t>
      </w:r>
      <w:r w:rsidR="00BC14BB">
        <w:tab/>
      </w:r>
      <w:r w:rsidRPr="00673714">
        <w:t xml:space="preserve">Explain the reasons for adjustments reported in </w:t>
      </w:r>
      <w:r>
        <w:t>items 13 or 14 of OMB Form 83-I</w:t>
      </w:r>
      <w:bookmarkEnd w:id="23"/>
    </w:p>
    <w:p w14:paraId="3E434A58" w14:textId="4CB68398" w:rsidR="00FA6190" w:rsidRDefault="00145F14" w:rsidP="00A42D5C">
      <w:r w:rsidRPr="00145F14">
        <w:t xml:space="preserve">The current </w:t>
      </w:r>
      <w:r w:rsidR="008B6A5B">
        <w:t>OMB-</w:t>
      </w:r>
      <w:r w:rsidR="007724D8">
        <w:t xml:space="preserve">approved </w:t>
      </w:r>
      <w:r w:rsidRPr="00145F14">
        <w:t xml:space="preserve">burden for the existing </w:t>
      </w:r>
      <w:r w:rsidR="007660FD">
        <w:t xml:space="preserve">NPDES </w:t>
      </w:r>
      <w:r w:rsidRPr="00145F14">
        <w:t xml:space="preserve">ICR (OMB </w:t>
      </w:r>
      <w:r w:rsidR="00437796">
        <w:t>control no.</w:t>
      </w:r>
      <w:r w:rsidRPr="00145F14">
        <w:t xml:space="preserve"> 2040-0004, EPA ICR </w:t>
      </w:r>
      <w:r w:rsidR="00437796">
        <w:t>n</w:t>
      </w:r>
      <w:r w:rsidRPr="00145F14">
        <w:t>o. 0229.21</w:t>
      </w:r>
      <w:r>
        <w:t>)</w:t>
      </w:r>
      <w:r w:rsidR="0016776A">
        <w:t xml:space="preserve"> </w:t>
      </w:r>
      <w:r w:rsidRPr="00145F14">
        <w:t xml:space="preserve">is </w:t>
      </w:r>
      <w:r w:rsidR="00902C43" w:rsidRPr="00902C43">
        <w:t>21,041,107</w:t>
      </w:r>
      <w:r w:rsidR="00902C43" w:rsidRPr="002F79C6">
        <w:t xml:space="preserve"> </w:t>
      </w:r>
      <w:r w:rsidRPr="00902C43">
        <w:t xml:space="preserve">hours. </w:t>
      </w:r>
      <w:r w:rsidR="007724D8" w:rsidRPr="007724D8">
        <w:t xml:space="preserve">The current </w:t>
      </w:r>
      <w:r w:rsidR="007724D8">
        <w:t xml:space="preserve">combined </w:t>
      </w:r>
      <w:r w:rsidR="008B6A5B">
        <w:t>OMB-</w:t>
      </w:r>
      <w:r w:rsidR="007724D8" w:rsidRPr="007724D8">
        <w:t xml:space="preserve">approved burden </w:t>
      </w:r>
      <w:r w:rsidR="007724D8">
        <w:t xml:space="preserve">for </w:t>
      </w:r>
      <w:r w:rsidR="007724D8" w:rsidRPr="007724D8">
        <w:t xml:space="preserve">the seven ICRs being consolidated into today’s ICR plus the </w:t>
      </w:r>
      <w:r w:rsidR="009C1FCA">
        <w:t xml:space="preserve">current </w:t>
      </w:r>
      <w:r w:rsidR="007724D8" w:rsidRPr="007724D8">
        <w:t>NPDES ICR is 27,</w:t>
      </w:r>
      <w:r w:rsidR="007724D8">
        <w:t>402,973</w:t>
      </w:r>
      <w:r w:rsidR="007724D8" w:rsidRPr="007724D8">
        <w:t xml:space="preserve"> hours</w:t>
      </w:r>
      <w:r w:rsidR="007724D8">
        <w:t xml:space="preserve">. The combined burden requested in </w:t>
      </w:r>
      <w:r w:rsidR="00963650">
        <w:t xml:space="preserve">this consolidated </w:t>
      </w:r>
      <w:r w:rsidR="00007CFD">
        <w:t xml:space="preserve">ICR </w:t>
      </w:r>
      <w:r w:rsidR="00224D1F">
        <w:t xml:space="preserve">is </w:t>
      </w:r>
      <w:r w:rsidR="008708A5">
        <w:t>28,239,262</w:t>
      </w:r>
      <w:r w:rsidR="00D47E71">
        <w:t xml:space="preserve"> </w:t>
      </w:r>
      <w:r w:rsidR="00224D1F">
        <w:t xml:space="preserve">hours. </w:t>
      </w:r>
      <w:r w:rsidR="00FA6190">
        <w:t>Overall, t</w:t>
      </w:r>
      <w:r w:rsidRPr="00902C43">
        <w:t>he burden</w:t>
      </w:r>
      <w:r w:rsidRPr="00145F14">
        <w:t xml:space="preserve"> request in </w:t>
      </w:r>
      <w:r w:rsidR="00963650">
        <w:t xml:space="preserve">this </w:t>
      </w:r>
      <w:r w:rsidRPr="00145F14">
        <w:t xml:space="preserve">ICR is </w:t>
      </w:r>
      <w:r w:rsidR="008708A5">
        <w:t>836,289</w:t>
      </w:r>
      <w:r w:rsidR="005437E9">
        <w:t xml:space="preserve"> </w:t>
      </w:r>
      <w:r w:rsidRPr="00145F14">
        <w:t>hours</w:t>
      </w:r>
      <w:r w:rsidR="00FA6190">
        <w:t xml:space="preserve"> (</w:t>
      </w:r>
      <w:r w:rsidR="008708A5">
        <w:t>3.1</w:t>
      </w:r>
      <w:r w:rsidR="0030589E">
        <w:t>percent</w:t>
      </w:r>
      <w:r w:rsidR="00FA6190">
        <w:t>)</w:t>
      </w:r>
      <w:r w:rsidRPr="00145F14">
        <w:t xml:space="preserve"> </w:t>
      </w:r>
      <w:r w:rsidR="002D7999">
        <w:t>more</w:t>
      </w:r>
      <w:r w:rsidR="00FE562B">
        <w:t xml:space="preserve"> </w:t>
      </w:r>
      <w:r w:rsidRPr="00145F14">
        <w:t xml:space="preserve">than the </w:t>
      </w:r>
      <w:r w:rsidR="00224D1F">
        <w:t xml:space="preserve">combined </w:t>
      </w:r>
      <w:r w:rsidR="00FA6190">
        <w:t>previously</w:t>
      </w:r>
      <w:r w:rsidR="0030589E">
        <w:t xml:space="preserve"> </w:t>
      </w:r>
      <w:r w:rsidRPr="00145F14">
        <w:t>approved burden</w:t>
      </w:r>
      <w:r w:rsidR="00224D1F">
        <w:t>s of the component ICRs</w:t>
      </w:r>
      <w:r w:rsidRPr="005437E9">
        <w:t>.</w:t>
      </w:r>
      <w:r>
        <w:t xml:space="preserve"> </w:t>
      </w:r>
    </w:p>
    <w:p w14:paraId="6763316A" w14:textId="69DDDA22" w:rsidR="004279B7" w:rsidRDefault="00745310" w:rsidP="00BC14BB">
      <w:r>
        <w:t>As indicated below, s</w:t>
      </w:r>
      <w:r w:rsidR="007519FB">
        <w:t xml:space="preserve">ignificant adjustments to the burden estimates occurred within three component ICRs: </w:t>
      </w:r>
      <w:r>
        <w:t xml:space="preserve">NPDES Electronic Reporting Rule, </w:t>
      </w:r>
      <w:r w:rsidRPr="00FA1C26">
        <w:t xml:space="preserve">CWIS </w:t>
      </w:r>
      <w:r>
        <w:t xml:space="preserve">Existing </w:t>
      </w:r>
      <w:r w:rsidRPr="00FA1C26">
        <w:t>Facility</w:t>
      </w:r>
      <w:r>
        <w:t xml:space="preserve">, and </w:t>
      </w:r>
      <w:r w:rsidRPr="008F0A95">
        <w:t>Consolidated Animal Sectors</w:t>
      </w:r>
      <w:r>
        <w:t xml:space="preserve">. </w:t>
      </w:r>
      <w:r w:rsidR="00DF3ADE">
        <w:t xml:space="preserve">Adjustments to the burden estimates </w:t>
      </w:r>
      <w:r w:rsidR="008B6A5B">
        <w:t xml:space="preserve">reflect </w:t>
      </w:r>
      <w:r w:rsidR="003D399F">
        <w:t xml:space="preserve">the following </w:t>
      </w:r>
      <w:r w:rsidR="00500C14">
        <w:t xml:space="preserve">adjustments to </w:t>
      </w:r>
      <w:r w:rsidR="003D399F">
        <w:t>each</w:t>
      </w:r>
      <w:r w:rsidR="00500C14">
        <w:t xml:space="preserve"> </w:t>
      </w:r>
      <w:r w:rsidR="008B6A5B">
        <w:t>component ICR</w:t>
      </w:r>
      <w:r w:rsidR="00DF3ADE">
        <w:t>:</w:t>
      </w:r>
    </w:p>
    <w:p w14:paraId="763CD9AC" w14:textId="43C4B0B1" w:rsidR="00A87F57" w:rsidRDefault="00A87F57" w:rsidP="00EF1FFC">
      <w:pPr>
        <w:pStyle w:val="ListParagraph"/>
        <w:numPr>
          <w:ilvl w:val="0"/>
          <w:numId w:val="24"/>
        </w:numPr>
        <w:ind w:left="720"/>
      </w:pPr>
      <w:r>
        <w:t xml:space="preserve">A burden reduction of 164 percent </w:t>
      </w:r>
      <w:r w:rsidRPr="00FA1C26">
        <w:t>with</w:t>
      </w:r>
      <w:r>
        <w:t>in</w:t>
      </w:r>
      <w:r w:rsidRPr="00FA1C26">
        <w:t xml:space="preserve"> the</w:t>
      </w:r>
      <w:r>
        <w:t xml:space="preserve"> NPDES Electronic Reporting Rule ICR component</w:t>
      </w:r>
      <w:r w:rsidR="00E76ECB">
        <w:t>;</w:t>
      </w:r>
      <w:r w:rsidRPr="00B17ECF">
        <w:t xml:space="preserve"> </w:t>
      </w:r>
    </w:p>
    <w:p w14:paraId="2CFE3D5F" w14:textId="17977E61" w:rsidR="00A87F57" w:rsidRDefault="00A87F57" w:rsidP="00EF1FFC">
      <w:pPr>
        <w:pStyle w:val="ListParagraph"/>
        <w:numPr>
          <w:ilvl w:val="0"/>
          <w:numId w:val="24"/>
        </w:numPr>
        <w:ind w:left="720"/>
      </w:pPr>
      <w:r w:rsidRPr="004279B7">
        <w:t xml:space="preserve">A burden increase of </w:t>
      </w:r>
      <w:r>
        <w:t>140</w:t>
      </w:r>
      <w:r w:rsidRPr="001E7008">
        <w:t xml:space="preserve"> percent </w:t>
      </w:r>
      <w:r w:rsidRPr="00FA1C26">
        <w:t>with</w:t>
      </w:r>
      <w:r>
        <w:t>in</w:t>
      </w:r>
      <w:r w:rsidRPr="00FA1C26">
        <w:t xml:space="preserve"> the CWIS </w:t>
      </w:r>
      <w:r>
        <w:t xml:space="preserve">Existing </w:t>
      </w:r>
      <w:r w:rsidRPr="00FA1C26">
        <w:t>Facility ICR</w:t>
      </w:r>
      <w:r>
        <w:t xml:space="preserve"> component;</w:t>
      </w:r>
    </w:p>
    <w:p w14:paraId="1AA4062F" w14:textId="6F5F0F56" w:rsidR="00A87F57" w:rsidRDefault="00A87F57" w:rsidP="00EF1FFC">
      <w:pPr>
        <w:pStyle w:val="ListParagraph"/>
        <w:numPr>
          <w:ilvl w:val="0"/>
          <w:numId w:val="24"/>
        </w:numPr>
        <w:ind w:left="720"/>
      </w:pPr>
      <w:r>
        <w:t xml:space="preserve">A burden decrease of </w:t>
      </w:r>
      <w:r w:rsidR="008708A5">
        <w:t xml:space="preserve">12 </w:t>
      </w:r>
      <w:r>
        <w:t xml:space="preserve">percent within the </w:t>
      </w:r>
      <w:r w:rsidRPr="008F0A95">
        <w:t>Consolidated Animal Sectors</w:t>
      </w:r>
      <w:r>
        <w:t xml:space="preserve"> ICR component; </w:t>
      </w:r>
      <w:r w:rsidR="00E76ECB">
        <w:t>and</w:t>
      </w:r>
    </w:p>
    <w:p w14:paraId="6D3D6DDD" w14:textId="2CDC3960" w:rsidR="00E76ECB" w:rsidRDefault="00E76ECB" w:rsidP="00EF1FFC">
      <w:pPr>
        <w:pStyle w:val="ListParagraph"/>
        <w:numPr>
          <w:ilvl w:val="0"/>
          <w:numId w:val="24"/>
        </w:numPr>
        <w:ind w:left="720"/>
      </w:pPr>
      <w:r>
        <w:t xml:space="preserve">A </w:t>
      </w:r>
      <w:r w:rsidRPr="00FF1843">
        <w:t xml:space="preserve">burden increase of </w:t>
      </w:r>
      <w:r w:rsidR="001C4C9A">
        <w:t>3</w:t>
      </w:r>
      <w:r w:rsidRPr="00FF1843">
        <w:t xml:space="preserve"> percent</w:t>
      </w:r>
      <w:r>
        <w:t xml:space="preserve"> within the previous Consolidated NPDES ICR component.</w:t>
      </w:r>
    </w:p>
    <w:p w14:paraId="50D0CD2F" w14:textId="63E63FFE" w:rsidR="00AF6FD1" w:rsidRDefault="00AF6FD1" w:rsidP="00AF6FD1">
      <w:r>
        <w:t xml:space="preserve">One minor </w:t>
      </w:r>
      <w:r w:rsidR="004956A4">
        <w:t>part</w:t>
      </w:r>
      <w:r>
        <w:t xml:space="preserve"> of the adjustments to the burden result</w:t>
      </w:r>
      <w:r w:rsidR="004956A4">
        <w:t>s</w:t>
      </w:r>
      <w:r>
        <w:t xml:space="preserve"> </w:t>
      </w:r>
      <w:r w:rsidR="004956A4">
        <w:t xml:space="preserve">from </w:t>
      </w:r>
      <w:r>
        <w:t>changes in the estimated number of respondents in many of the categories shown in Appendix D. Many of these changes reflect updat</w:t>
      </w:r>
      <w:r w:rsidR="004956A4">
        <w:t>es to</w:t>
      </w:r>
      <w:r>
        <w:t xml:space="preserve"> permit entries within the ICIS-NPDES database plus revised EPA estimates. In addition, </w:t>
      </w:r>
      <w:r w:rsidRPr="00972D14">
        <w:t>EPA revised the estimates to</w:t>
      </w:r>
      <w:r>
        <w:t xml:space="preserve"> explicitly</w:t>
      </w:r>
      <w:r w:rsidRPr="00972D14">
        <w:t xml:space="preserve"> include </w:t>
      </w:r>
      <w:r>
        <w:t>the burden for states to conduct c</w:t>
      </w:r>
      <w:r w:rsidRPr="00972D14">
        <w:t xml:space="preserve">ompliance </w:t>
      </w:r>
      <w:r>
        <w:t>e</w:t>
      </w:r>
      <w:r w:rsidRPr="00972D14">
        <w:t xml:space="preserve">valuation </w:t>
      </w:r>
      <w:r>
        <w:t>i</w:t>
      </w:r>
      <w:r w:rsidRPr="00972D14">
        <w:t>nspection</w:t>
      </w:r>
      <w:r>
        <w:t xml:space="preserve">s for stormwater-related permittees, resulting in a 2 percent burden hour increase in the consolidated NPDES component (see </w:t>
      </w:r>
      <w:r w:rsidR="004956A4">
        <w:t>section</w:t>
      </w:r>
      <w:r>
        <w:t xml:space="preserve"> A.1.9.2). </w:t>
      </w:r>
      <w:r w:rsidR="004956A4">
        <w:t>E</w:t>
      </w:r>
      <w:r>
        <w:t>xcept</w:t>
      </w:r>
      <w:r w:rsidR="004956A4">
        <w:t xml:space="preserve"> for </w:t>
      </w:r>
      <w:r>
        <w:t xml:space="preserve">the animal sector and the </w:t>
      </w:r>
      <w:r w:rsidR="004956A4">
        <w:t>E</w:t>
      </w:r>
      <w:r>
        <w:t xml:space="preserve">lectronic </w:t>
      </w:r>
      <w:r w:rsidR="004956A4">
        <w:t>R</w:t>
      </w:r>
      <w:r>
        <w:t xml:space="preserve">eporting </w:t>
      </w:r>
      <w:r w:rsidR="004956A4">
        <w:t>R</w:t>
      </w:r>
      <w:r>
        <w:t xml:space="preserve">ule, these changes resulted in minor adjustments from those approved in the source ICR of up to several percent in the number of responses and burden hours. Also, changes to the capital and O&amp;M cost burden </w:t>
      </w:r>
      <w:r w:rsidRPr="009409E6">
        <w:t>shown in Table 15.3</w:t>
      </w:r>
      <w:r>
        <w:t xml:space="preserve"> include adjustments for inflation to August 2016 dollars</w:t>
      </w:r>
      <w:r w:rsidR="004956A4">
        <w:t>,</w:t>
      </w:r>
      <w:r>
        <w:t xml:space="preserve"> which ranged from 1.2 to </w:t>
      </w:r>
      <w:r w:rsidR="00255BFC">
        <w:t>5</w:t>
      </w:r>
      <w:r>
        <w:t xml:space="preserve">.5 percent depending on the basis year for the source ICR. </w:t>
      </w:r>
    </w:p>
    <w:p w14:paraId="6DB9ABBE" w14:textId="224A35D0" w:rsidR="005505D2" w:rsidRDefault="005505D2" w:rsidP="005505D2">
      <w:r>
        <w:t>Two of the newly added ICR components (</w:t>
      </w:r>
      <w:r w:rsidRPr="00F277C3">
        <w:t>CWIS Existing Facilities</w:t>
      </w:r>
      <w:r>
        <w:t xml:space="preserve"> and </w:t>
      </w:r>
      <w:r w:rsidRPr="00F277C3">
        <w:t>Electronic Reporting Rule</w:t>
      </w:r>
      <w:r>
        <w:t xml:space="preserve">) </w:t>
      </w:r>
      <w:r w:rsidRPr="0079058E">
        <w:t>are still in the implementation phase</w:t>
      </w:r>
      <w:r>
        <w:t>,</w:t>
      </w:r>
      <w:r w:rsidRPr="0079058E">
        <w:t xml:space="preserve"> </w:t>
      </w:r>
      <w:r>
        <w:t xml:space="preserve">which features one-time activities that will, over time, be replaced by recurring activities as respondent participation increases. As a result, the burden adjustments mostly reflect the year-to-year differences corresponding to the different timeframes between the original ICR and this consolidated ICR. These adjustments are described in greater detail below. </w:t>
      </w:r>
    </w:p>
    <w:p w14:paraId="1B3B45E2" w14:textId="5E8A7790" w:rsidR="005505D2" w:rsidRDefault="005505D2" w:rsidP="005505D2">
      <w:r>
        <w:t xml:space="preserve">As described in section </w:t>
      </w:r>
      <w:r w:rsidRPr="009235C9">
        <w:t>A.1.8.4</w:t>
      </w:r>
      <w:r>
        <w:t xml:space="preserve"> of Appendix A, the burden estimated in today’s ICR is for the later portion of years 2 through 4 after rule promulgation and does not include implementation.</w:t>
      </w:r>
    </w:p>
    <w:p w14:paraId="202A97D9" w14:textId="579C7F7D" w:rsidR="00AF6FD1" w:rsidRDefault="00AF6FD1" w:rsidP="00BC14BB">
      <w:r>
        <w:t xml:space="preserve">The implementation of the Electronic Reporting Rule requires respondents to switch from paper-based reporting to electronic reporting. This burden applies to many respondents across different permit types. The major components of the </w:t>
      </w:r>
      <w:r w:rsidRPr="001C6305">
        <w:t>Electronic Reporting Rule</w:t>
      </w:r>
      <w:r>
        <w:t xml:space="preserve"> that contributed to the burden estimates and adjustments include:</w:t>
      </w:r>
    </w:p>
    <w:p w14:paraId="1D1019FB" w14:textId="77777777" w:rsidR="00AF6FD1" w:rsidRDefault="00AF6FD1" w:rsidP="00EF1FFC">
      <w:pPr>
        <w:pStyle w:val="ListParagraph"/>
        <w:numPr>
          <w:ilvl w:val="0"/>
          <w:numId w:val="38"/>
        </w:numPr>
      </w:pPr>
      <w:r>
        <w:t>An initial increase in burden associated with implementation of the electronic reporting system;</w:t>
      </w:r>
    </w:p>
    <w:p w14:paraId="0DC163DD" w14:textId="77777777" w:rsidR="00AF6FD1" w:rsidRDefault="00AF6FD1" w:rsidP="00EF1FFC">
      <w:pPr>
        <w:pStyle w:val="ListParagraph"/>
        <w:numPr>
          <w:ilvl w:val="0"/>
          <w:numId w:val="38"/>
        </w:numPr>
      </w:pPr>
      <w:r>
        <w:t>Significant reductions in the O&amp;M cost burden to permittees associated with reductions in the preparation and mailing of paper-based forms;</w:t>
      </w:r>
    </w:p>
    <w:p w14:paraId="4F20D92B" w14:textId="77777777" w:rsidR="00AF6FD1" w:rsidRDefault="00AF6FD1" w:rsidP="00EF1FFC">
      <w:pPr>
        <w:pStyle w:val="ListParagraph"/>
        <w:numPr>
          <w:ilvl w:val="0"/>
          <w:numId w:val="38"/>
        </w:numPr>
      </w:pPr>
      <w:r>
        <w:t>Significant net reductions in burden associated with a reduction in data entry by permitting authorities (state and federal); and</w:t>
      </w:r>
    </w:p>
    <w:p w14:paraId="3A383631" w14:textId="77777777" w:rsidR="00AF6FD1" w:rsidRDefault="00AF6FD1" w:rsidP="00EF1FFC">
      <w:pPr>
        <w:pStyle w:val="ListParagraph"/>
        <w:numPr>
          <w:ilvl w:val="0"/>
          <w:numId w:val="38"/>
        </w:numPr>
      </w:pPr>
      <w:r>
        <w:t>Significant cost reduction associated with the reductions in the preparation and mailing of blank forms from state agencies to permittees.</w:t>
      </w:r>
    </w:p>
    <w:p w14:paraId="425660D5" w14:textId="0BD7FF15" w:rsidR="00AF6FD1" w:rsidRDefault="00AF6FD1" w:rsidP="00AF6FD1">
      <w:r>
        <w:t xml:space="preserve">The 58 percent increase in the number of responses shown in </w:t>
      </w:r>
      <w:r w:rsidRPr="00AF6FD1">
        <w:t>Table 15.1</w:t>
      </w:r>
      <w:r>
        <w:t xml:space="preserve"> is the result of the substantial increase in the number </w:t>
      </w:r>
      <w:r w:rsidR="00B41D1E">
        <w:t xml:space="preserve">of </w:t>
      </w:r>
      <w:r>
        <w:t xml:space="preserve">DMRs and reports </w:t>
      </w:r>
      <w:r w:rsidRPr="007B7441">
        <w:t>switching from paper submission to electronic transmission and being input in the ICIS database</w:t>
      </w:r>
      <w:r>
        <w:t xml:space="preserve"> after year 1. The net decrease in labor burden shown in Table 15.2 includes an increase in burden associated with facility passcode updates and state activities related to managing data transfer, maintenance of the electronic system, technical support, and programmatic data entry. This increase</w:t>
      </w:r>
      <w:r w:rsidR="00B41D1E">
        <w:t xml:space="preserve"> </w:t>
      </w:r>
      <w:r>
        <w:t xml:space="preserve">is more than offset by reductions in data entry by the states for both DMRs and other reports that will no longer be received via paper submission. Similarly, the reduction in costs shown in Table 15.3 </w:t>
      </w:r>
      <w:r w:rsidR="00B41D1E">
        <w:t>is</w:t>
      </w:r>
      <w:r>
        <w:t xml:space="preserve"> associated with the fact that respondents no longer need to print and mail the DMRs and reports.</w:t>
      </w:r>
    </w:p>
    <w:p w14:paraId="201A685E" w14:textId="519B4120" w:rsidR="00AF6FD1" w:rsidRDefault="00AF6FD1" w:rsidP="00AF6FD1">
      <w:r>
        <w:t>For the</w:t>
      </w:r>
      <w:r w:rsidRPr="00B733E5">
        <w:t xml:space="preserve"> CWIS Existing Facility </w:t>
      </w:r>
      <w:r>
        <w:t xml:space="preserve">component, Tables </w:t>
      </w:r>
      <w:r w:rsidRPr="00D1619D">
        <w:t>15.1</w:t>
      </w:r>
      <w:r>
        <w:t xml:space="preserve"> through 15.3 show an increase in the number of responses, burden hours, and costs of 30, 140, and 79 percent, respectively. These increases were primarily due to the fact that this ICR spans </w:t>
      </w:r>
      <w:r w:rsidR="00B41D1E">
        <w:t>part</w:t>
      </w:r>
      <w:r>
        <w:t xml:space="preserve"> of the implementation phase of the rule</w:t>
      </w:r>
      <w:r w:rsidR="00B41D1E">
        <w:t xml:space="preserve">—a </w:t>
      </w:r>
      <w:r w:rsidR="007D1F75">
        <w:t xml:space="preserve">period </w:t>
      </w:r>
      <w:r>
        <w:t>associated with a high</w:t>
      </w:r>
      <w:r w:rsidR="007D1F75">
        <w:t>er</w:t>
      </w:r>
      <w:r>
        <w:t xml:space="preserve"> burden </w:t>
      </w:r>
      <w:r w:rsidR="007D1F75">
        <w:t>than</w:t>
      </w:r>
      <w:r>
        <w:t xml:space="preserve"> other years. </w:t>
      </w:r>
      <w:r w:rsidR="007D1F75">
        <w:t xml:space="preserve">Much of this </w:t>
      </w:r>
      <w:r>
        <w:t xml:space="preserve">burden involves permittee requirements to perform monitoring and prepare analyses and reports during the first existing permit renewal. In the original ICR, the permittees were not </w:t>
      </w:r>
      <w:r w:rsidR="007D1F75">
        <w:t>expected</w:t>
      </w:r>
      <w:r>
        <w:t xml:space="preserve"> to begin </w:t>
      </w:r>
      <w:r w:rsidR="007D1F75">
        <w:t xml:space="preserve">preparing </w:t>
      </w:r>
      <w:r>
        <w:t>the required CWIS monitoring, biological and engineering analyses</w:t>
      </w:r>
      <w:r w:rsidR="004D38C5">
        <w:t>,</w:t>
      </w:r>
      <w:r>
        <w:t xml:space="preserve"> and related documents until after the first year of the previous ICR period. Also</w:t>
      </w:r>
      <w:r w:rsidR="007D1F75">
        <w:t>,</w:t>
      </w:r>
      <w:r>
        <w:t xml:space="preserve"> several monitoring requirements are estimated to require two years to complete. The permit renewals are staggered over five</w:t>
      </w:r>
      <w:r w:rsidR="007D1F75">
        <w:t xml:space="preserve"> </w:t>
      </w:r>
      <w:r>
        <w:t>year</w:t>
      </w:r>
      <w:r w:rsidR="007D1F75">
        <w:t>s,</w:t>
      </w:r>
      <w:r>
        <w:t xml:space="preserve"> and the first permit renewal will involve the greatest burden. As a result, the burden increases during years 1 and 2</w:t>
      </w:r>
      <w:r w:rsidR="007D1F75">
        <w:t xml:space="preserve"> and is </w:t>
      </w:r>
      <w:r>
        <w:t>highest in years 3, 4, 5, and 6 after promulgation of the rule. This ICR covers year</w:t>
      </w:r>
      <w:r w:rsidR="007D1F75">
        <w:t>s</w:t>
      </w:r>
      <w:r>
        <w:t xml:space="preserve"> 4 through 6, or three of these four high</w:t>
      </w:r>
      <w:r w:rsidR="007D1F75">
        <w:t>-</w:t>
      </w:r>
      <w:r>
        <w:t xml:space="preserve">burden years. </w:t>
      </w:r>
    </w:p>
    <w:p w14:paraId="396E159C" w14:textId="6537222D" w:rsidR="00AF6FD1" w:rsidRDefault="00AF6FD1" w:rsidP="00AF6FD1">
      <w:r w:rsidRPr="001C6D93">
        <w:t xml:space="preserve">For the animal sector, </w:t>
      </w:r>
      <w:r>
        <w:t>o</w:t>
      </w:r>
      <w:r w:rsidRPr="001C6D93">
        <w:t xml:space="preserve">ver time, many of the </w:t>
      </w:r>
      <w:r>
        <w:t xml:space="preserve">activities that were </w:t>
      </w:r>
      <w:r w:rsidRPr="001C6D93">
        <w:t xml:space="preserve">required </w:t>
      </w:r>
      <w:r>
        <w:t xml:space="preserve">in the </w:t>
      </w:r>
      <w:r w:rsidRPr="001C6D93">
        <w:t xml:space="preserve">2003 rule </w:t>
      </w:r>
      <w:r>
        <w:t>h</w:t>
      </w:r>
      <w:r w:rsidRPr="001C6D93">
        <w:t>ave become part of standard business practice</w:t>
      </w:r>
      <w:r>
        <w:t xml:space="preserve"> as many have been incorporated into USDA standards and guidelines. Thus, many activities are no longer directly attributable to the NPDES regulations. </w:t>
      </w:r>
      <w:r w:rsidRPr="00A1017E">
        <w:t xml:space="preserve">In addition, </w:t>
      </w:r>
      <w:r w:rsidR="007D1F75">
        <w:t xml:space="preserve">continuing consolidation in the industry means that </w:t>
      </w:r>
      <w:r w:rsidRPr="00A1017E">
        <w:t>far fewer facilities might be subject to regulation</w:t>
      </w:r>
      <w:r>
        <w:t>. In this ICR, EPA has revised the estimated number of responses, burden hours</w:t>
      </w:r>
      <w:r w:rsidR="007D1F75">
        <w:t>,</w:t>
      </w:r>
      <w:r>
        <w:t xml:space="preserve"> and costs to account for these changes in the industry (see section A.1.6 for more details).</w:t>
      </w:r>
    </w:p>
    <w:p w14:paraId="5BF66F8F" w14:textId="509F04AC" w:rsidR="00007CFD" w:rsidRDefault="00085324" w:rsidP="00085324">
      <w:r>
        <w:t xml:space="preserve">Tables 15.1, 15.2, and 15.3 </w:t>
      </w:r>
      <w:r w:rsidR="007D1F75">
        <w:t xml:space="preserve">summarize </w:t>
      </w:r>
      <w:r>
        <w:t>adjustments in the number of respondents, burden hours, and cost burden. For greater clarity, burden estimates</w:t>
      </w:r>
      <w:r w:rsidR="001709A1">
        <w:t xml:space="preserve"> and the adjustments relative to the source ICR </w:t>
      </w:r>
      <w:r>
        <w:t xml:space="preserve">for each contributing ICR listed above are presented separately. </w:t>
      </w:r>
    </w:p>
    <w:p w14:paraId="0832B75B" w14:textId="03FBD73A" w:rsidR="00085324" w:rsidRDefault="00085324" w:rsidP="00871F94">
      <w:pPr>
        <w:pStyle w:val="Caption"/>
      </w:pPr>
      <w:r>
        <w:t xml:space="preserve">Table </w:t>
      </w:r>
      <w:r w:rsidR="00871F94">
        <w:t>1</w:t>
      </w:r>
      <w:r>
        <w:t xml:space="preserve">5.1 </w:t>
      </w:r>
      <w:r w:rsidRPr="00944A10">
        <w:t xml:space="preserve">Summary of </w:t>
      </w:r>
      <w:r w:rsidR="000C5B2E">
        <w:t>A</w:t>
      </w:r>
      <w:r w:rsidRPr="00944A10">
        <w:t xml:space="preserve">djustment in </w:t>
      </w:r>
      <w:r w:rsidR="000C5B2E">
        <w:t>N</w:t>
      </w:r>
      <w:r>
        <w:t xml:space="preserve">umber of </w:t>
      </w:r>
      <w:r w:rsidR="000C5B2E">
        <w:t>R</w:t>
      </w:r>
      <w:r>
        <w:t xml:space="preserve">esponses </w:t>
      </w:r>
    </w:p>
    <w:tbl>
      <w:tblPr>
        <w:tblStyle w:val="TableGrid"/>
        <w:tblW w:w="5000" w:type="pct"/>
        <w:jc w:val="center"/>
        <w:tblCellMar>
          <w:left w:w="58" w:type="dxa"/>
          <w:right w:w="58" w:type="dxa"/>
        </w:tblCellMar>
        <w:tblLook w:val="04A0" w:firstRow="1" w:lastRow="0" w:firstColumn="1" w:lastColumn="0" w:noHBand="0" w:noVBand="1"/>
      </w:tblPr>
      <w:tblGrid>
        <w:gridCol w:w="2399"/>
        <w:gridCol w:w="1255"/>
        <w:gridCol w:w="1243"/>
        <w:gridCol w:w="890"/>
        <w:gridCol w:w="1412"/>
        <w:gridCol w:w="1238"/>
        <w:gridCol w:w="1039"/>
      </w:tblGrid>
      <w:tr w:rsidR="00ED0CE0" w:rsidRPr="00944A10" w14:paraId="65F41BE4" w14:textId="77777777" w:rsidTr="00EC4695">
        <w:trPr>
          <w:trHeight w:val="288"/>
          <w:tblHeader/>
          <w:jc w:val="center"/>
        </w:trPr>
        <w:tc>
          <w:tcPr>
            <w:tcW w:w="2155" w:type="dxa"/>
            <w:vMerge w:val="restart"/>
            <w:shd w:val="clear" w:color="auto" w:fill="D9D9D9" w:themeFill="background1" w:themeFillShade="D9"/>
            <w:noWrap/>
            <w:vAlign w:val="center"/>
            <w:hideMark/>
          </w:tcPr>
          <w:p w14:paraId="1CB0C313" w14:textId="77777777" w:rsidR="00ED0CE0" w:rsidRPr="00085324" w:rsidRDefault="00ED0CE0" w:rsidP="00871F94">
            <w:pPr>
              <w:pStyle w:val="TableTitle"/>
            </w:pPr>
            <w:r w:rsidRPr="00085324">
              <w:t>Source ICR</w:t>
            </w:r>
          </w:p>
        </w:tc>
        <w:tc>
          <w:tcPr>
            <w:tcW w:w="1128" w:type="dxa"/>
            <w:vMerge w:val="restart"/>
            <w:shd w:val="clear" w:color="auto" w:fill="D9D9D9" w:themeFill="background1" w:themeFillShade="D9"/>
            <w:vAlign w:val="center"/>
          </w:tcPr>
          <w:p w14:paraId="537FFE08" w14:textId="5ADE0F34" w:rsidR="00ED0CE0" w:rsidRPr="00085324" w:rsidRDefault="001E1ADB" w:rsidP="00871F94">
            <w:pPr>
              <w:pStyle w:val="TableTitle"/>
            </w:pPr>
            <w:r>
              <w:t>Previously A</w:t>
            </w:r>
            <w:r w:rsidR="00ED0CE0" w:rsidRPr="00085324">
              <w:t>pproved</w:t>
            </w:r>
          </w:p>
        </w:tc>
        <w:tc>
          <w:tcPr>
            <w:tcW w:w="1117" w:type="dxa"/>
            <w:vMerge w:val="restart"/>
            <w:shd w:val="clear" w:color="auto" w:fill="D9D9D9" w:themeFill="background1" w:themeFillShade="D9"/>
            <w:vAlign w:val="center"/>
            <w:hideMark/>
          </w:tcPr>
          <w:p w14:paraId="44387F67" w14:textId="23720234" w:rsidR="00ED0CE0" w:rsidRPr="00085324" w:rsidRDefault="00ED0CE0" w:rsidP="00871F94">
            <w:pPr>
              <w:pStyle w:val="TableTitle"/>
            </w:pPr>
            <w:r w:rsidRPr="00085324">
              <w:t xml:space="preserve">Total </w:t>
            </w:r>
            <w:r w:rsidR="001E1ADB">
              <w:t>R</w:t>
            </w:r>
            <w:r w:rsidRPr="00085324">
              <w:t xml:space="preserve">esponses </w:t>
            </w:r>
            <w:r w:rsidR="001E1ADB">
              <w:t>R</w:t>
            </w:r>
            <w:r w:rsidRPr="00085324">
              <w:t>equested</w:t>
            </w:r>
          </w:p>
        </w:tc>
        <w:tc>
          <w:tcPr>
            <w:tcW w:w="3182" w:type="dxa"/>
            <w:gridSpan w:val="3"/>
            <w:shd w:val="clear" w:color="auto" w:fill="D9D9D9" w:themeFill="background1" w:themeFillShade="D9"/>
            <w:noWrap/>
            <w:vAlign w:val="center"/>
            <w:hideMark/>
          </w:tcPr>
          <w:p w14:paraId="467C618B" w14:textId="6929AB67" w:rsidR="00ED0CE0" w:rsidRPr="00085324" w:rsidRDefault="00ED0CE0" w:rsidP="00871F94">
            <w:pPr>
              <w:pStyle w:val="TableTitle"/>
            </w:pPr>
            <w:r w:rsidRPr="00085324">
              <w:t xml:space="preserve">Change </w:t>
            </w:r>
            <w:r w:rsidR="001E1ADB">
              <w:t>D</w:t>
            </w:r>
            <w:r w:rsidRPr="00085324">
              <w:t>ue to:</w:t>
            </w:r>
          </w:p>
        </w:tc>
        <w:tc>
          <w:tcPr>
            <w:tcW w:w="934" w:type="dxa"/>
            <w:vMerge w:val="restart"/>
            <w:shd w:val="clear" w:color="auto" w:fill="D9D9D9" w:themeFill="background1" w:themeFillShade="D9"/>
            <w:vAlign w:val="center"/>
          </w:tcPr>
          <w:p w14:paraId="7F5B2053" w14:textId="0762876E" w:rsidR="00ED0CE0" w:rsidRPr="00085324" w:rsidRDefault="00ED0CE0" w:rsidP="00871F94">
            <w:pPr>
              <w:pStyle w:val="TableTitle"/>
            </w:pPr>
            <w:r w:rsidRPr="00085324">
              <w:t>Percent change total</w:t>
            </w:r>
          </w:p>
        </w:tc>
      </w:tr>
      <w:tr w:rsidR="001477FE" w:rsidRPr="00944A10" w14:paraId="21EABF72" w14:textId="77777777" w:rsidTr="00EC4695">
        <w:trPr>
          <w:trHeight w:val="576"/>
          <w:tblHeader/>
          <w:jc w:val="center"/>
        </w:trPr>
        <w:tc>
          <w:tcPr>
            <w:tcW w:w="2155" w:type="dxa"/>
            <w:vMerge/>
            <w:hideMark/>
          </w:tcPr>
          <w:p w14:paraId="60DEF0E3" w14:textId="77777777" w:rsidR="00ED0CE0" w:rsidRPr="0036174E" w:rsidRDefault="00ED0CE0" w:rsidP="00871F94">
            <w:pPr>
              <w:pStyle w:val="TableTitle"/>
            </w:pPr>
          </w:p>
        </w:tc>
        <w:tc>
          <w:tcPr>
            <w:tcW w:w="1128" w:type="dxa"/>
            <w:vMerge/>
          </w:tcPr>
          <w:p w14:paraId="14A0201B" w14:textId="77777777" w:rsidR="00ED0CE0" w:rsidRPr="0036174E" w:rsidRDefault="00ED0CE0" w:rsidP="00871F94">
            <w:pPr>
              <w:pStyle w:val="TableTitle"/>
            </w:pPr>
          </w:p>
        </w:tc>
        <w:tc>
          <w:tcPr>
            <w:tcW w:w="1117" w:type="dxa"/>
            <w:vMerge/>
            <w:vAlign w:val="center"/>
            <w:hideMark/>
          </w:tcPr>
          <w:p w14:paraId="63CC265B" w14:textId="70414FD2" w:rsidR="00ED0CE0" w:rsidRPr="0036174E" w:rsidRDefault="00ED0CE0" w:rsidP="00871F94">
            <w:pPr>
              <w:pStyle w:val="TableTitle"/>
            </w:pPr>
          </w:p>
        </w:tc>
        <w:tc>
          <w:tcPr>
            <w:tcW w:w="800" w:type="dxa"/>
            <w:shd w:val="clear" w:color="auto" w:fill="D9D9D9" w:themeFill="background1" w:themeFillShade="D9"/>
            <w:vAlign w:val="center"/>
            <w:hideMark/>
          </w:tcPr>
          <w:p w14:paraId="29E84E7F" w14:textId="60085A70" w:rsidR="00ED0CE0" w:rsidRPr="00085324" w:rsidRDefault="00ED0CE0" w:rsidP="00871F94">
            <w:pPr>
              <w:pStyle w:val="TableTitle"/>
            </w:pPr>
            <w:r w:rsidRPr="00085324">
              <w:t xml:space="preserve">New </w:t>
            </w:r>
            <w:r w:rsidR="001E1ADB">
              <w:t>S</w:t>
            </w:r>
            <w:r w:rsidRPr="00085324">
              <w:t>tatute</w:t>
            </w:r>
          </w:p>
        </w:tc>
        <w:tc>
          <w:tcPr>
            <w:tcW w:w="1269" w:type="dxa"/>
            <w:shd w:val="clear" w:color="auto" w:fill="D9D9D9" w:themeFill="background1" w:themeFillShade="D9"/>
            <w:vAlign w:val="center"/>
            <w:hideMark/>
          </w:tcPr>
          <w:p w14:paraId="50182505" w14:textId="53D06A02" w:rsidR="00ED0CE0" w:rsidRPr="00085324" w:rsidRDefault="00ED0CE0" w:rsidP="00871F94">
            <w:pPr>
              <w:pStyle w:val="TableTitle"/>
            </w:pPr>
            <w:r w:rsidRPr="00085324">
              <w:t xml:space="preserve">Agency </w:t>
            </w:r>
            <w:r w:rsidR="001E1ADB">
              <w:t>A</w:t>
            </w:r>
            <w:r w:rsidRPr="00085324">
              <w:t>ctions (</w:t>
            </w:r>
            <w:r w:rsidR="007D1F75">
              <w:t>N</w:t>
            </w:r>
            <w:r w:rsidR="007D1F75" w:rsidRPr="00085324">
              <w:t xml:space="preserve">ew </w:t>
            </w:r>
            <w:r w:rsidR="007D1F75">
              <w:t>R</w:t>
            </w:r>
            <w:r w:rsidR="007D1F75" w:rsidRPr="00085324">
              <w:t>ules</w:t>
            </w:r>
            <w:r w:rsidRPr="00085324">
              <w:t xml:space="preserve">, </w:t>
            </w:r>
            <w:r w:rsidR="007D1F75">
              <w:t>E</w:t>
            </w:r>
            <w:r w:rsidR="007D1F75" w:rsidRPr="00085324">
              <w:t>tc</w:t>
            </w:r>
            <w:r w:rsidRPr="00085324">
              <w:t>.)</w:t>
            </w:r>
          </w:p>
        </w:tc>
        <w:tc>
          <w:tcPr>
            <w:tcW w:w="1113" w:type="dxa"/>
            <w:shd w:val="clear" w:color="auto" w:fill="D9D9D9" w:themeFill="background1" w:themeFillShade="D9"/>
            <w:vAlign w:val="center"/>
            <w:hideMark/>
          </w:tcPr>
          <w:p w14:paraId="49510436" w14:textId="2F319CA4" w:rsidR="00ED0CE0" w:rsidRPr="00085324" w:rsidRDefault="00ED0CE0" w:rsidP="00871F94">
            <w:pPr>
              <w:pStyle w:val="TableTitle"/>
            </w:pPr>
            <w:r w:rsidRPr="00085324">
              <w:t xml:space="preserve">Revised </w:t>
            </w:r>
            <w:r w:rsidR="001E1ADB">
              <w:t>E</w:t>
            </w:r>
            <w:r w:rsidRPr="00085324">
              <w:t>stimates</w:t>
            </w:r>
          </w:p>
        </w:tc>
        <w:tc>
          <w:tcPr>
            <w:tcW w:w="934" w:type="dxa"/>
            <w:vMerge/>
            <w:vAlign w:val="center"/>
          </w:tcPr>
          <w:p w14:paraId="6B04602E" w14:textId="77777777" w:rsidR="00ED0CE0" w:rsidRPr="0036174E" w:rsidRDefault="00ED0CE0" w:rsidP="00871F94">
            <w:pPr>
              <w:pStyle w:val="TableTitle"/>
            </w:pPr>
          </w:p>
        </w:tc>
      </w:tr>
      <w:tr w:rsidR="001477FE" w:rsidRPr="00944A10" w14:paraId="25BE4C9B" w14:textId="77777777" w:rsidTr="00D207B2">
        <w:trPr>
          <w:trHeight w:val="288"/>
          <w:jc w:val="center"/>
        </w:trPr>
        <w:tc>
          <w:tcPr>
            <w:tcW w:w="2155" w:type="dxa"/>
          </w:tcPr>
          <w:p w14:paraId="4C36B4D4" w14:textId="40E69E3B" w:rsidR="00AD2B99" w:rsidRPr="00965B02" w:rsidRDefault="00AD2B99" w:rsidP="00871F94">
            <w:pPr>
              <w:pStyle w:val="Tables"/>
            </w:pPr>
            <w:r w:rsidRPr="00965B02">
              <w:t>Electronic Reporting Rule</w:t>
            </w:r>
            <w:r w:rsidR="00874BD4">
              <w:rPr>
                <w:vertAlign w:val="superscript"/>
              </w:rPr>
              <w:t>a</w:t>
            </w:r>
          </w:p>
        </w:tc>
        <w:tc>
          <w:tcPr>
            <w:tcW w:w="1128" w:type="dxa"/>
          </w:tcPr>
          <w:p w14:paraId="69C418BB" w14:textId="26433FAE" w:rsidR="00AD2B99" w:rsidRPr="00C50579" w:rsidRDefault="00AD2B99" w:rsidP="00871F94">
            <w:pPr>
              <w:pStyle w:val="Tables"/>
              <w:jc w:val="right"/>
            </w:pPr>
            <w:r w:rsidRPr="006E2F03">
              <w:t>1,213,854</w:t>
            </w:r>
          </w:p>
        </w:tc>
        <w:tc>
          <w:tcPr>
            <w:tcW w:w="1117" w:type="dxa"/>
            <w:tcBorders>
              <w:top w:val="single" w:sz="4" w:space="0" w:color="auto"/>
              <w:left w:val="single" w:sz="4" w:space="0" w:color="auto"/>
              <w:bottom w:val="single" w:sz="4" w:space="0" w:color="auto"/>
              <w:right w:val="single" w:sz="4" w:space="0" w:color="auto"/>
            </w:tcBorders>
            <w:shd w:val="clear" w:color="auto" w:fill="auto"/>
            <w:noWrap/>
          </w:tcPr>
          <w:p w14:paraId="22F5B778" w14:textId="7CEEC8EE" w:rsidR="00AD2B99" w:rsidRPr="00C50579" w:rsidRDefault="00AD2B99" w:rsidP="00871F94">
            <w:pPr>
              <w:pStyle w:val="Tables"/>
              <w:jc w:val="right"/>
            </w:pPr>
            <w:r w:rsidRPr="006E2F03">
              <w:t>1,916,880</w:t>
            </w:r>
          </w:p>
        </w:tc>
        <w:tc>
          <w:tcPr>
            <w:tcW w:w="800" w:type="dxa"/>
            <w:tcBorders>
              <w:top w:val="single" w:sz="4" w:space="0" w:color="auto"/>
              <w:left w:val="nil"/>
              <w:bottom w:val="single" w:sz="4" w:space="0" w:color="auto"/>
              <w:right w:val="single" w:sz="4" w:space="0" w:color="auto"/>
            </w:tcBorders>
            <w:shd w:val="clear" w:color="auto" w:fill="auto"/>
            <w:noWrap/>
          </w:tcPr>
          <w:p w14:paraId="478C41E6" w14:textId="6F9F40AE" w:rsidR="00AD2B99" w:rsidRPr="00C50579" w:rsidRDefault="00AD2B99" w:rsidP="00871F94">
            <w:pPr>
              <w:pStyle w:val="Tables"/>
              <w:jc w:val="right"/>
            </w:pPr>
            <w:r w:rsidRPr="006E2F03">
              <w:t>0</w:t>
            </w:r>
          </w:p>
        </w:tc>
        <w:tc>
          <w:tcPr>
            <w:tcW w:w="1269" w:type="dxa"/>
            <w:tcBorders>
              <w:top w:val="single" w:sz="4" w:space="0" w:color="auto"/>
              <w:left w:val="nil"/>
              <w:bottom w:val="single" w:sz="4" w:space="0" w:color="auto"/>
              <w:right w:val="single" w:sz="4" w:space="0" w:color="auto"/>
            </w:tcBorders>
            <w:shd w:val="clear" w:color="auto" w:fill="auto"/>
            <w:noWrap/>
          </w:tcPr>
          <w:p w14:paraId="6AC8DD15" w14:textId="4B81348B" w:rsidR="00AD2B99" w:rsidRPr="00C50579" w:rsidRDefault="00AD2B99" w:rsidP="00871F94">
            <w:pPr>
              <w:pStyle w:val="Tables"/>
              <w:jc w:val="right"/>
            </w:pPr>
            <w:r w:rsidRPr="006E2F03">
              <w:t>0</w:t>
            </w:r>
          </w:p>
        </w:tc>
        <w:tc>
          <w:tcPr>
            <w:tcW w:w="1113" w:type="dxa"/>
            <w:tcBorders>
              <w:top w:val="single" w:sz="4" w:space="0" w:color="auto"/>
              <w:left w:val="nil"/>
              <w:bottom w:val="single" w:sz="4" w:space="0" w:color="auto"/>
              <w:right w:val="single" w:sz="4" w:space="0" w:color="auto"/>
            </w:tcBorders>
            <w:shd w:val="clear" w:color="auto" w:fill="auto"/>
            <w:noWrap/>
          </w:tcPr>
          <w:p w14:paraId="36D6683D" w14:textId="36C9908A" w:rsidR="00AD2B99" w:rsidRPr="00C50579" w:rsidRDefault="00AD2B99" w:rsidP="00871F94">
            <w:pPr>
              <w:pStyle w:val="Tables"/>
              <w:jc w:val="right"/>
            </w:pPr>
            <w:r w:rsidRPr="006E2F03">
              <w:t>703,026</w:t>
            </w:r>
          </w:p>
        </w:tc>
        <w:tc>
          <w:tcPr>
            <w:tcW w:w="934" w:type="dxa"/>
            <w:tcBorders>
              <w:top w:val="single" w:sz="4" w:space="0" w:color="auto"/>
              <w:left w:val="nil"/>
              <w:bottom w:val="single" w:sz="4" w:space="0" w:color="auto"/>
              <w:right w:val="single" w:sz="4" w:space="0" w:color="auto"/>
            </w:tcBorders>
            <w:shd w:val="clear" w:color="auto" w:fill="auto"/>
            <w:noWrap/>
          </w:tcPr>
          <w:p w14:paraId="5A69BE81" w14:textId="61A8F699" w:rsidR="00AD2B99" w:rsidRPr="00C50579" w:rsidDel="00F66FE3" w:rsidRDefault="00AD2B99" w:rsidP="00871F94">
            <w:pPr>
              <w:pStyle w:val="Tables"/>
              <w:jc w:val="right"/>
            </w:pPr>
            <w:r>
              <w:t>58%</w:t>
            </w:r>
          </w:p>
        </w:tc>
      </w:tr>
      <w:tr w:rsidR="001477FE" w:rsidRPr="00944A10" w14:paraId="32FB47B5" w14:textId="77777777" w:rsidTr="00D207B2">
        <w:trPr>
          <w:trHeight w:val="288"/>
          <w:jc w:val="center"/>
        </w:trPr>
        <w:tc>
          <w:tcPr>
            <w:tcW w:w="2155" w:type="dxa"/>
            <w:vAlign w:val="center"/>
          </w:tcPr>
          <w:p w14:paraId="4BC1DDB3" w14:textId="6C53D5CD" w:rsidR="00AD2B99" w:rsidRPr="00965B02" w:rsidRDefault="00AD2B99" w:rsidP="00871F94">
            <w:pPr>
              <w:pStyle w:val="Tables"/>
            </w:pPr>
            <w:r w:rsidRPr="00965B02">
              <w:t>CWIS Existing Facilities</w:t>
            </w:r>
            <w:r w:rsidRPr="00F34FEE">
              <w:rPr>
                <w:vertAlign w:val="superscript"/>
              </w:rPr>
              <w:t>b</w:t>
            </w:r>
            <w:r w:rsidRPr="00F34FEE">
              <w:t xml:space="preserve"> </w:t>
            </w:r>
          </w:p>
        </w:tc>
        <w:tc>
          <w:tcPr>
            <w:tcW w:w="1128" w:type="dxa"/>
          </w:tcPr>
          <w:p w14:paraId="6762F45E" w14:textId="673E0718" w:rsidR="00AD2B99" w:rsidRPr="00C50579" w:rsidRDefault="00AD2B99" w:rsidP="00871F94">
            <w:pPr>
              <w:pStyle w:val="Tables"/>
              <w:jc w:val="right"/>
            </w:pPr>
            <w:r w:rsidRPr="006E2F03">
              <w:t>6,684</w:t>
            </w:r>
          </w:p>
        </w:tc>
        <w:tc>
          <w:tcPr>
            <w:tcW w:w="1117" w:type="dxa"/>
            <w:tcBorders>
              <w:top w:val="single" w:sz="4" w:space="0" w:color="auto"/>
              <w:left w:val="single" w:sz="4" w:space="0" w:color="auto"/>
              <w:bottom w:val="single" w:sz="4" w:space="0" w:color="auto"/>
              <w:right w:val="single" w:sz="4" w:space="0" w:color="auto"/>
            </w:tcBorders>
            <w:shd w:val="clear" w:color="auto" w:fill="auto"/>
            <w:noWrap/>
          </w:tcPr>
          <w:p w14:paraId="5A4599E8" w14:textId="51A30A98" w:rsidR="00AD2B99" w:rsidRPr="00C50579" w:rsidRDefault="00AD2B99" w:rsidP="00871F94">
            <w:pPr>
              <w:pStyle w:val="Tables"/>
              <w:jc w:val="right"/>
            </w:pPr>
            <w:r w:rsidRPr="006E2F03">
              <w:t>8,722</w:t>
            </w:r>
          </w:p>
        </w:tc>
        <w:tc>
          <w:tcPr>
            <w:tcW w:w="800" w:type="dxa"/>
            <w:tcBorders>
              <w:top w:val="single" w:sz="4" w:space="0" w:color="auto"/>
              <w:left w:val="nil"/>
              <w:bottom w:val="single" w:sz="4" w:space="0" w:color="auto"/>
              <w:right w:val="single" w:sz="4" w:space="0" w:color="auto"/>
            </w:tcBorders>
            <w:shd w:val="clear" w:color="auto" w:fill="auto"/>
            <w:noWrap/>
          </w:tcPr>
          <w:p w14:paraId="3B2E385E" w14:textId="76DA521E" w:rsidR="00AD2B99" w:rsidRPr="00C50579" w:rsidRDefault="00AD2B99" w:rsidP="00871F94">
            <w:pPr>
              <w:pStyle w:val="Tables"/>
              <w:jc w:val="right"/>
            </w:pPr>
            <w:r w:rsidRPr="006E2F03">
              <w:t>0</w:t>
            </w:r>
          </w:p>
        </w:tc>
        <w:tc>
          <w:tcPr>
            <w:tcW w:w="1269" w:type="dxa"/>
            <w:tcBorders>
              <w:top w:val="single" w:sz="4" w:space="0" w:color="auto"/>
              <w:left w:val="nil"/>
              <w:bottom w:val="single" w:sz="4" w:space="0" w:color="auto"/>
              <w:right w:val="single" w:sz="4" w:space="0" w:color="auto"/>
            </w:tcBorders>
            <w:shd w:val="clear" w:color="auto" w:fill="auto"/>
            <w:noWrap/>
          </w:tcPr>
          <w:p w14:paraId="773534E1" w14:textId="308D2E21" w:rsidR="00AD2B99" w:rsidRPr="00C50579" w:rsidRDefault="00AD2B99" w:rsidP="00871F94">
            <w:pPr>
              <w:pStyle w:val="Tables"/>
              <w:jc w:val="right"/>
            </w:pPr>
            <w:r w:rsidRPr="006E2F03">
              <w:t>0</w:t>
            </w:r>
          </w:p>
        </w:tc>
        <w:tc>
          <w:tcPr>
            <w:tcW w:w="1113" w:type="dxa"/>
            <w:tcBorders>
              <w:top w:val="single" w:sz="4" w:space="0" w:color="auto"/>
              <w:left w:val="nil"/>
              <w:bottom w:val="single" w:sz="4" w:space="0" w:color="auto"/>
              <w:right w:val="single" w:sz="4" w:space="0" w:color="auto"/>
            </w:tcBorders>
            <w:shd w:val="clear" w:color="auto" w:fill="auto"/>
            <w:noWrap/>
          </w:tcPr>
          <w:p w14:paraId="4F3A878F" w14:textId="332F6AC0" w:rsidR="00AD2B99" w:rsidRPr="00C50579" w:rsidRDefault="00AD2B99" w:rsidP="00871F94">
            <w:pPr>
              <w:pStyle w:val="Tables"/>
              <w:jc w:val="right"/>
            </w:pPr>
            <w:r w:rsidRPr="006E2F03">
              <w:t>2,038</w:t>
            </w:r>
          </w:p>
        </w:tc>
        <w:tc>
          <w:tcPr>
            <w:tcW w:w="934" w:type="dxa"/>
            <w:tcBorders>
              <w:top w:val="single" w:sz="4" w:space="0" w:color="auto"/>
              <w:left w:val="nil"/>
              <w:bottom w:val="single" w:sz="4" w:space="0" w:color="auto"/>
              <w:right w:val="single" w:sz="4" w:space="0" w:color="auto"/>
            </w:tcBorders>
            <w:shd w:val="clear" w:color="auto" w:fill="auto"/>
            <w:noWrap/>
          </w:tcPr>
          <w:p w14:paraId="136F617A" w14:textId="2A4CE6FF" w:rsidR="00AD2B99" w:rsidRPr="00C50579" w:rsidDel="00F66FE3" w:rsidRDefault="00AD2B99" w:rsidP="00871F94">
            <w:pPr>
              <w:pStyle w:val="Tables"/>
              <w:jc w:val="right"/>
            </w:pPr>
            <w:r>
              <w:t>30%</w:t>
            </w:r>
          </w:p>
        </w:tc>
      </w:tr>
      <w:tr w:rsidR="001477FE" w:rsidRPr="00944A10" w14:paraId="4DEBA6B3" w14:textId="77777777" w:rsidTr="00D207B2">
        <w:trPr>
          <w:trHeight w:val="288"/>
          <w:jc w:val="center"/>
        </w:trPr>
        <w:tc>
          <w:tcPr>
            <w:tcW w:w="2155" w:type="dxa"/>
            <w:vAlign w:val="center"/>
          </w:tcPr>
          <w:p w14:paraId="5C5D84E1" w14:textId="42BC1967" w:rsidR="00AD2B99" w:rsidRPr="00965B02" w:rsidRDefault="00AD2B99" w:rsidP="00871F94">
            <w:pPr>
              <w:pStyle w:val="Tables"/>
            </w:pPr>
            <w:r w:rsidRPr="00965B02">
              <w:t>Animal Sector</w:t>
            </w:r>
            <w:r w:rsidR="00874BD4">
              <w:rPr>
                <w:vertAlign w:val="superscript"/>
              </w:rPr>
              <w:t>c</w:t>
            </w:r>
          </w:p>
        </w:tc>
        <w:tc>
          <w:tcPr>
            <w:tcW w:w="1128" w:type="dxa"/>
          </w:tcPr>
          <w:p w14:paraId="0ABF8ECC" w14:textId="31DB222E" w:rsidR="00AD2B99" w:rsidRPr="00C50579" w:rsidRDefault="00AD2B99" w:rsidP="00871F94">
            <w:pPr>
              <w:pStyle w:val="Tables"/>
              <w:jc w:val="right"/>
            </w:pPr>
            <w:r w:rsidRPr="006E2F03">
              <w:t>3,167,930</w:t>
            </w:r>
          </w:p>
        </w:tc>
        <w:tc>
          <w:tcPr>
            <w:tcW w:w="1117" w:type="dxa"/>
            <w:tcBorders>
              <w:top w:val="single" w:sz="4" w:space="0" w:color="auto"/>
              <w:left w:val="single" w:sz="4" w:space="0" w:color="auto"/>
              <w:bottom w:val="single" w:sz="4" w:space="0" w:color="auto"/>
              <w:right w:val="single" w:sz="4" w:space="0" w:color="auto"/>
            </w:tcBorders>
            <w:shd w:val="clear" w:color="auto" w:fill="auto"/>
            <w:noWrap/>
          </w:tcPr>
          <w:p w14:paraId="71D5E087" w14:textId="2F760CCD" w:rsidR="00AD2B99" w:rsidRPr="00C50579" w:rsidRDefault="001477FE" w:rsidP="00871F94">
            <w:pPr>
              <w:pStyle w:val="Tables"/>
              <w:jc w:val="right"/>
            </w:pPr>
            <w:r>
              <w:t>1,768,877</w:t>
            </w:r>
          </w:p>
        </w:tc>
        <w:tc>
          <w:tcPr>
            <w:tcW w:w="800" w:type="dxa"/>
            <w:tcBorders>
              <w:top w:val="single" w:sz="4" w:space="0" w:color="auto"/>
              <w:left w:val="nil"/>
              <w:bottom w:val="single" w:sz="4" w:space="0" w:color="auto"/>
              <w:right w:val="single" w:sz="4" w:space="0" w:color="auto"/>
            </w:tcBorders>
            <w:shd w:val="clear" w:color="auto" w:fill="auto"/>
            <w:noWrap/>
          </w:tcPr>
          <w:p w14:paraId="351392A1" w14:textId="2614DFA9" w:rsidR="00AD2B99" w:rsidRPr="00C50579" w:rsidRDefault="00AD2B99" w:rsidP="00871F94">
            <w:pPr>
              <w:pStyle w:val="Tables"/>
              <w:jc w:val="right"/>
            </w:pPr>
            <w:r w:rsidRPr="006E2F03">
              <w:t>0</w:t>
            </w:r>
          </w:p>
        </w:tc>
        <w:tc>
          <w:tcPr>
            <w:tcW w:w="1269" w:type="dxa"/>
            <w:tcBorders>
              <w:top w:val="single" w:sz="4" w:space="0" w:color="auto"/>
              <w:left w:val="nil"/>
              <w:bottom w:val="single" w:sz="4" w:space="0" w:color="auto"/>
              <w:right w:val="single" w:sz="4" w:space="0" w:color="auto"/>
            </w:tcBorders>
            <w:shd w:val="clear" w:color="auto" w:fill="auto"/>
            <w:noWrap/>
          </w:tcPr>
          <w:p w14:paraId="4AED006E" w14:textId="09D52932" w:rsidR="00AD2B99" w:rsidRPr="00C50579" w:rsidRDefault="00AD2B99" w:rsidP="00871F94">
            <w:pPr>
              <w:pStyle w:val="Tables"/>
              <w:jc w:val="right"/>
            </w:pPr>
            <w:r w:rsidRPr="006E2F03">
              <w:t>0</w:t>
            </w:r>
          </w:p>
        </w:tc>
        <w:tc>
          <w:tcPr>
            <w:tcW w:w="1113" w:type="dxa"/>
            <w:tcBorders>
              <w:top w:val="single" w:sz="4" w:space="0" w:color="auto"/>
              <w:left w:val="nil"/>
              <w:bottom w:val="single" w:sz="4" w:space="0" w:color="auto"/>
              <w:right w:val="single" w:sz="4" w:space="0" w:color="auto"/>
            </w:tcBorders>
            <w:shd w:val="clear" w:color="auto" w:fill="auto"/>
            <w:noWrap/>
          </w:tcPr>
          <w:p w14:paraId="013662EB" w14:textId="5ED5D8A8" w:rsidR="00AD2B99" w:rsidRPr="00C50579" w:rsidRDefault="00AD2B99" w:rsidP="00871F94">
            <w:pPr>
              <w:pStyle w:val="Tables"/>
              <w:jc w:val="right"/>
            </w:pPr>
            <w:r w:rsidRPr="006E2F03">
              <w:t>-1,</w:t>
            </w:r>
            <w:r w:rsidR="001477FE">
              <w:t>399,053</w:t>
            </w:r>
          </w:p>
        </w:tc>
        <w:tc>
          <w:tcPr>
            <w:tcW w:w="934" w:type="dxa"/>
            <w:tcBorders>
              <w:top w:val="single" w:sz="4" w:space="0" w:color="auto"/>
              <w:left w:val="nil"/>
              <w:bottom w:val="single" w:sz="4" w:space="0" w:color="auto"/>
              <w:right w:val="single" w:sz="4" w:space="0" w:color="auto"/>
            </w:tcBorders>
            <w:shd w:val="clear" w:color="auto" w:fill="auto"/>
            <w:noWrap/>
          </w:tcPr>
          <w:p w14:paraId="1E7D7484" w14:textId="4CE58A1C" w:rsidR="00AD2B99" w:rsidRPr="00C50579" w:rsidDel="00F66FE3" w:rsidRDefault="00AD2B99" w:rsidP="00871F94">
            <w:pPr>
              <w:pStyle w:val="Tables"/>
              <w:jc w:val="right"/>
            </w:pPr>
            <w:r>
              <w:t>-</w:t>
            </w:r>
            <w:r w:rsidR="001477FE">
              <w:t>44</w:t>
            </w:r>
            <w:r>
              <w:t>%</w:t>
            </w:r>
          </w:p>
        </w:tc>
      </w:tr>
      <w:tr w:rsidR="001477FE" w:rsidRPr="00944A10" w14:paraId="3618483C" w14:textId="77777777" w:rsidTr="00D207B2">
        <w:trPr>
          <w:trHeight w:val="288"/>
          <w:jc w:val="center"/>
        </w:trPr>
        <w:tc>
          <w:tcPr>
            <w:tcW w:w="2155" w:type="dxa"/>
            <w:hideMark/>
          </w:tcPr>
          <w:p w14:paraId="45BF4045" w14:textId="515348DF" w:rsidR="00ED0CE0" w:rsidRPr="00965B02" w:rsidRDefault="00ED0CE0" w:rsidP="00871F94">
            <w:pPr>
              <w:pStyle w:val="Tables"/>
            </w:pPr>
            <w:r w:rsidRPr="00965B02">
              <w:t xml:space="preserve">Consolidated </w:t>
            </w:r>
            <w:r w:rsidRPr="00871F94">
              <w:t>NPDES</w:t>
            </w:r>
            <w:r w:rsidRPr="00965B02">
              <w:t xml:space="preserve"> </w:t>
            </w:r>
            <w:r w:rsidRPr="0050244F">
              <w:t>(2015 Component)</w:t>
            </w:r>
          </w:p>
        </w:tc>
        <w:tc>
          <w:tcPr>
            <w:tcW w:w="1128" w:type="dxa"/>
          </w:tcPr>
          <w:p w14:paraId="36E8B94B" w14:textId="566233CE" w:rsidR="00ED0CE0" w:rsidRPr="00C50579" w:rsidRDefault="00ED0CE0" w:rsidP="00871F94">
            <w:pPr>
              <w:pStyle w:val="Tables"/>
              <w:jc w:val="right"/>
            </w:pPr>
            <w:r w:rsidRPr="00C50579">
              <w:t>5,058,182</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14:paraId="55117853" w14:textId="5DFC662D" w:rsidR="00ED0CE0" w:rsidRPr="00C50579" w:rsidRDefault="00ED0CE0" w:rsidP="00871F94">
            <w:pPr>
              <w:pStyle w:val="Tables"/>
              <w:jc w:val="right"/>
            </w:pPr>
            <w:r w:rsidRPr="00C50579">
              <w:t>5,223,084</w:t>
            </w:r>
          </w:p>
        </w:tc>
        <w:tc>
          <w:tcPr>
            <w:tcW w:w="800" w:type="dxa"/>
            <w:tcBorders>
              <w:top w:val="single" w:sz="4" w:space="0" w:color="auto"/>
              <w:left w:val="nil"/>
              <w:bottom w:val="single" w:sz="4" w:space="0" w:color="auto"/>
              <w:right w:val="single" w:sz="4" w:space="0" w:color="auto"/>
            </w:tcBorders>
            <w:shd w:val="clear" w:color="auto" w:fill="auto"/>
            <w:noWrap/>
            <w:hideMark/>
          </w:tcPr>
          <w:p w14:paraId="1A41D927" w14:textId="3726BAC8" w:rsidR="00ED0CE0" w:rsidRPr="00C50579" w:rsidRDefault="00ED0CE0" w:rsidP="00871F94">
            <w:pPr>
              <w:pStyle w:val="Tables"/>
              <w:jc w:val="right"/>
            </w:pPr>
            <w:r w:rsidRPr="00C50579">
              <w:t>0</w:t>
            </w:r>
          </w:p>
        </w:tc>
        <w:tc>
          <w:tcPr>
            <w:tcW w:w="1269" w:type="dxa"/>
            <w:tcBorders>
              <w:top w:val="single" w:sz="4" w:space="0" w:color="auto"/>
              <w:left w:val="nil"/>
              <w:bottom w:val="single" w:sz="4" w:space="0" w:color="auto"/>
              <w:right w:val="single" w:sz="4" w:space="0" w:color="auto"/>
            </w:tcBorders>
            <w:shd w:val="clear" w:color="auto" w:fill="auto"/>
            <w:noWrap/>
            <w:hideMark/>
          </w:tcPr>
          <w:p w14:paraId="6B346E34" w14:textId="7B7AFD02" w:rsidR="00ED0CE0" w:rsidRPr="00C50579" w:rsidRDefault="00ED0CE0" w:rsidP="00871F94">
            <w:pPr>
              <w:pStyle w:val="Tables"/>
              <w:jc w:val="right"/>
            </w:pPr>
            <w:r w:rsidRPr="00C50579">
              <w:t>0</w:t>
            </w:r>
          </w:p>
        </w:tc>
        <w:tc>
          <w:tcPr>
            <w:tcW w:w="1113" w:type="dxa"/>
            <w:tcBorders>
              <w:top w:val="single" w:sz="4" w:space="0" w:color="auto"/>
              <w:left w:val="nil"/>
              <w:bottom w:val="single" w:sz="4" w:space="0" w:color="auto"/>
              <w:right w:val="single" w:sz="4" w:space="0" w:color="auto"/>
            </w:tcBorders>
            <w:shd w:val="clear" w:color="auto" w:fill="auto"/>
            <w:noWrap/>
            <w:hideMark/>
          </w:tcPr>
          <w:p w14:paraId="5574B434" w14:textId="6CC91012" w:rsidR="00ED0CE0" w:rsidRPr="00C50579" w:rsidRDefault="00ED0CE0" w:rsidP="00871F94">
            <w:pPr>
              <w:pStyle w:val="Tables"/>
              <w:jc w:val="right"/>
            </w:pPr>
            <w:r w:rsidRPr="00C50579">
              <w:t>164,902</w:t>
            </w:r>
          </w:p>
        </w:tc>
        <w:tc>
          <w:tcPr>
            <w:tcW w:w="934" w:type="dxa"/>
            <w:tcBorders>
              <w:top w:val="single" w:sz="4" w:space="0" w:color="auto"/>
              <w:left w:val="nil"/>
              <w:bottom w:val="single" w:sz="4" w:space="0" w:color="auto"/>
              <w:right w:val="single" w:sz="4" w:space="0" w:color="auto"/>
            </w:tcBorders>
            <w:shd w:val="clear" w:color="auto" w:fill="auto"/>
            <w:noWrap/>
          </w:tcPr>
          <w:p w14:paraId="12AA9B66" w14:textId="69F24958" w:rsidR="00ED0CE0" w:rsidRPr="00C50579" w:rsidRDefault="00ED0CE0" w:rsidP="00871F94">
            <w:pPr>
              <w:pStyle w:val="Tables"/>
              <w:jc w:val="right"/>
            </w:pPr>
            <w:r w:rsidRPr="00C50579">
              <w:t>3.3%</w:t>
            </w:r>
          </w:p>
        </w:tc>
      </w:tr>
      <w:tr w:rsidR="001477FE" w:rsidRPr="00944A10" w14:paraId="4DC6B648" w14:textId="77777777" w:rsidTr="00D207B2">
        <w:trPr>
          <w:trHeight w:val="264"/>
          <w:jc w:val="center"/>
        </w:trPr>
        <w:tc>
          <w:tcPr>
            <w:tcW w:w="2155" w:type="dxa"/>
            <w:vAlign w:val="center"/>
            <w:hideMark/>
          </w:tcPr>
          <w:p w14:paraId="0E85A889" w14:textId="77777777" w:rsidR="00ED0CE0" w:rsidRPr="00965B02" w:rsidRDefault="00ED0CE0" w:rsidP="00871F94">
            <w:pPr>
              <w:pStyle w:val="Tables"/>
            </w:pPr>
            <w:r w:rsidRPr="00965B02">
              <w:t>Pesticide Applicators</w:t>
            </w:r>
          </w:p>
        </w:tc>
        <w:tc>
          <w:tcPr>
            <w:tcW w:w="1128" w:type="dxa"/>
          </w:tcPr>
          <w:p w14:paraId="0757D30F" w14:textId="596F869E" w:rsidR="00ED0CE0" w:rsidRPr="006E2F03" w:rsidRDefault="00ED0CE0" w:rsidP="00871F94">
            <w:pPr>
              <w:pStyle w:val="Tables"/>
              <w:jc w:val="right"/>
            </w:pPr>
            <w:r w:rsidRPr="006E2F03">
              <w:t>1,283,531</w:t>
            </w:r>
          </w:p>
        </w:tc>
        <w:tc>
          <w:tcPr>
            <w:tcW w:w="1117" w:type="dxa"/>
            <w:tcBorders>
              <w:top w:val="nil"/>
              <w:left w:val="single" w:sz="4" w:space="0" w:color="auto"/>
              <w:bottom w:val="single" w:sz="4" w:space="0" w:color="auto"/>
              <w:right w:val="single" w:sz="4" w:space="0" w:color="auto"/>
            </w:tcBorders>
            <w:shd w:val="clear" w:color="auto" w:fill="auto"/>
            <w:noWrap/>
            <w:hideMark/>
          </w:tcPr>
          <w:p w14:paraId="389F5442" w14:textId="2D21DE3F" w:rsidR="00ED0CE0" w:rsidRPr="006E2F03" w:rsidRDefault="00ED0CE0" w:rsidP="00871F94">
            <w:pPr>
              <w:pStyle w:val="Tables"/>
              <w:jc w:val="right"/>
            </w:pPr>
            <w:r w:rsidRPr="006E2F03">
              <w:t>1,283,531</w:t>
            </w:r>
          </w:p>
        </w:tc>
        <w:tc>
          <w:tcPr>
            <w:tcW w:w="800" w:type="dxa"/>
            <w:tcBorders>
              <w:top w:val="nil"/>
              <w:left w:val="nil"/>
              <w:bottom w:val="single" w:sz="4" w:space="0" w:color="auto"/>
              <w:right w:val="single" w:sz="4" w:space="0" w:color="auto"/>
            </w:tcBorders>
            <w:shd w:val="clear" w:color="auto" w:fill="auto"/>
            <w:noWrap/>
            <w:hideMark/>
          </w:tcPr>
          <w:p w14:paraId="537027B4" w14:textId="56BF2708" w:rsidR="00ED0CE0" w:rsidRPr="006E2F03" w:rsidRDefault="00ED0CE0" w:rsidP="00871F94">
            <w:pPr>
              <w:pStyle w:val="Tables"/>
              <w:jc w:val="right"/>
            </w:pPr>
            <w:r w:rsidRPr="006E2F03">
              <w:t>0</w:t>
            </w:r>
          </w:p>
        </w:tc>
        <w:tc>
          <w:tcPr>
            <w:tcW w:w="1269" w:type="dxa"/>
            <w:tcBorders>
              <w:top w:val="nil"/>
              <w:left w:val="nil"/>
              <w:bottom w:val="single" w:sz="4" w:space="0" w:color="auto"/>
              <w:right w:val="single" w:sz="4" w:space="0" w:color="auto"/>
            </w:tcBorders>
            <w:shd w:val="clear" w:color="auto" w:fill="auto"/>
            <w:noWrap/>
            <w:hideMark/>
          </w:tcPr>
          <w:p w14:paraId="10AFFDB5" w14:textId="7E4936FE" w:rsidR="00ED0CE0" w:rsidRPr="006E2F03" w:rsidRDefault="00ED0CE0" w:rsidP="00871F94">
            <w:pPr>
              <w:pStyle w:val="Tables"/>
              <w:jc w:val="right"/>
            </w:pPr>
            <w:r w:rsidRPr="006E2F03">
              <w:t>0</w:t>
            </w:r>
          </w:p>
        </w:tc>
        <w:tc>
          <w:tcPr>
            <w:tcW w:w="1113" w:type="dxa"/>
            <w:tcBorders>
              <w:top w:val="nil"/>
              <w:left w:val="nil"/>
              <w:bottom w:val="single" w:sz="4" w:space="0" w:color="auto"/>
              <w:right w:val="single" w:sz="4" w:space="0" w:color="auto"/>
            </w:tcBorders>
            <w:shd w:val="clear" w:color="auto" w:fill="auto"/>
            <w:noWrap/>
            <w:hideMark/>
          </w:tcPr>
          <w:p w14:paraId="4AA4D003" w14:textId="59CFAD5A" w:rsidR="00ED0CE0" w:rsidRPr="006E2F03" w:rsidRDefault="00ED0CE0" w:rsidP="00871F94">
            <w:pPr>
              <w:pStyle w:val="Tables"/>
              <w:jc w:val="right"/>
            </w:pPr>
            <w:r w:rsidRPr="006E2F03">
              <w:t>0</w:t>
            </w:r>
          </w:p>
        </w:tc>
        <w:tc>
          <w:tcPr>
            <w:tcW w:w="934" w:type="dxa"/>
            <w:tcBorders>
              <w:top w:val="nil"/>
              <w:left w:val="nil"/>
              <w:bottom w:val="single" w:sz="4" w:space="0" w:color="auto"/>
              <w:right w:val="single" w:sz="4" w:space="0" w:color="auto"/>
            </w:tcBorders>
            <w:shd w:val="clear" w:color="auto" w:fill="auto"/>
            <w:noWrap/>
          </w:tcPr>
          <w:p w14:paraId="5FC61955" w14:textId="5C756F0D" w:rsidR="00ED0CE0" w:rsidRPr="006E2F03" w:rsidRDefault="00ED0CE0" w:rsidP="00871F94">
            <w:pPr>
              <w:pStyle w:val="Tables"/>
              <w:jc w:val="right"/>
            </w:pPr>
            <w:r w:rsidRPr="006E2F03">
              <w:t>0.0%</w:t>
            </w:r>
          </w:p>
        </w:tc>
      </w:tr>
      <w:tr w:rsidR="001477FE" w:rsidRPr="00944A10" w14:paraId="5F0294A3" w14:textId="77777777" w:rsidTr="00D207B2">
        <w:trPr>
          <w:trHeight w:val="264"/>
          <w:jc w:val="center"/>
        </w:trPr>
        <w:tc>
          <w:tcPr>
            <w:tcW w:w="2155" w:type="dxa"/>
            <w:vAlign w:val="center"/>
            <w:hideMark/>
          </w:tcPr>
          <w:p w14:paraId="5B4BD148" w14:textId="77777777" w:rsidR="00ED0CE0" w:rsidRPr="00965B02" w:rsidRDefault="00ED0CE0" w:rsidP="00871F94">
            <w:pPr>
              <w:pStyle w:val="Tables"/>
            </w:pPr>
            <w:r w:rsidRPr="00965B02">
              <w:t xml:space="preserve">Pretreatment Program </w:t>
            </w:r>
          </w:p>
        </w:tc>
        <w:tc>
          <w:tcPr>
            <w:tcW w:w="1128" w:type="dxa"/>
          </w:tcPr>
          <w:p w14:paraId="2E741436" w14:textId="268C4DF7" w:rsidR="00ED0CE0" w:rsidRPr="006E2F03" w:rsidRDefault="00ED0CE0" w:rsidP="00871F94">
            <w:pPr>
              <w:pStyle w:val="Tables"/>
              <w:jc w:val="right"/>
            </w:pPr>
            <w:r w:rsidRPr="006E2F03">
              <w:t>95,462</w:t>
            </w:r>
          </w:p>
        </w:tc>
        <w:tc>
          <w:tcPr>
            <w:tcW w:w="1117" w:type="dxa"/>
            <w:tcBorders>
              <w:top w:val="nil"/>
              <w:left w:val="single" w:sz="4" w:space="0" w:color="auto"/>
              <w:bottom w:val="single" w:sz="4" w:space="0" w:color="auto"/>
              <w:right w:val="single" w:sz="4" w:space="0" w:color="auto"/>
            </w:tcBorders>
            <w:shd w:val="clear" w:color="auto" w:fill="auto"/>
            <w:noWrap/>
            <w:hideMark/>
          </w:tcPr>
          <w:p w14:paraId="06A88AEE" w14:textId="4F489474" w:rsidR="00ED0CE0" w:rsidRPr="006E2F03" w:rsidRDefault="00ED0CE0" w:rsidP="00871F94">
            <w:pPr>
              <w:pStyle w:val="Tables"/>
              <w:jc w:val="right"/>
            </w:pPr>
            <w:r w:rsidRPr="006E2F03">
              <w:t>95,462</w:t>
            </w:r>
          </w:p>
        </w:tc>
        <w:tc>
          <w:tcPr>
            <w:tcW w:w="800" w:type="dxa"/>
            <w:tcBorders>
              <w:top w:val="nil"/>
              <w:left w:val="nil"/>
              <w:bottom w:val="single" w:sz="4" w:space="0" w:color="auto"/>
              <w:right w:val="single" w:sz="4" w:space="0" w:color="auto"/>
            </w:tcBorders>
            <w:shd w:val="clear" w:color="auto" w:fill="auto"/>
            <w:noWrap/>
            <w:hideMark/>
          </w:tcPr>
          <w:p w14:paraId="0AE682CA" w14:textId="1AE837C4" w:rsidR="00ED0CE0" w:rsidRPr="006E2F03" w:rsidRDefault="00ED0CE0" w:rsidP="00871F94">
            <w:pPr>
              <w:pStyle w:val="Tables"/>
              <w:jc w:val="right"/>
            </w:pPr>
            <w:r w:rsidRPr="006E2F03">
              <w:t>0</w:t>
            </w:r>
          </w:p>
        </w:tc>
        <w:tc>
          <w:tcPr>
            <w:tcW w:w="1269" w:type="dxa"/>
            <w:tcBorders>
              <w:top w:val="nil"/>
              <w:left w:val="nil"/>
              <w:bottom w:val="single" w:sz="4" w:space="0" w:color="auto"/>
              <w:right w:val="single" w:sz="4" w:space="0" w:color="auto"/>
            </w:tcBorders>
            <w:shd w:val="clear" w:color="auto" w:fill="auto"/>
            <w:noWrap/>
            <w:hideMark/>
          </w:tcPr>
          <w:p w14:paraId="483426F2" w14:textId="59B0285A" w:rsidR="00ED0CE0" w:rsidRPr="006E2F03" w:rsidRDefault="00ED0CE0" w:rsidP="00871F94">
            <w:pPr>
              <w:pStyle w:val="Tables"/>
              <w:jc w:val="right"/>
            </w:pPr>
            <w:r w:rsidRPr="006E2F03">
              <w:t>0</w:t>
            </w:r>
          </w:p>
        </w:tc>
        <w:tc>
          <w:tcPr>
            <w:tcW w:w="1113" w:type="dxa"/>
            <w:tcBorders>
              <w:top w:val="nil"/>
              <w:left w:val="nil"/>
              <w:bottom w:val="single" w:sz="4" w:space="0" w:color="auto"/>
              <w:right w:val="single" w:sz="4" w:space="0" w:color="auto"/>
            </w:tcBorders>
            <w:shd w:val="clear" w:color="auto" w:fill="auto"/>
            <w:noWrap/>
            <w:hideMark/>
          </w:tcPr>
          <w:p w14:paraId="13C6E829" w14:textId="5608EFD7" w:rsidR="00ED0CE0" w:rsidRPr="006E2F03" w:rsidRDefault="00ED0CE0" w:rsidP="00871F94">
            <w:pPr>
              <w:pStyle w:val="Tables"/>
              <w:jc w:val="right"/>
            </w:pPr>
            <w:r w:rsidRPr="006E2F03">
              <w:t>0</w:t>
            </w:r>
          </w:p>
        </w:tc>
        <w:tc>
          <w:tcPr>
            <w:tcW w:w="934" w:type="dxa"/>
            <w:tcBorders>
              <w:top w:val="nil"/>
              <w:left w:val="nil"/>
              <w:bottom w:val="single" w:sz="4" w:space="0" w:color="auto"/>
              <w:right w:val="single" w:sz="4" w:space="0" w:color="auto"/>
            </w:tcBorders>
            <w:shd w:val="clear" w:color="auto" w:fill="auto"/>
            <w:noWrap/>
          </w:tcPr>
          <w:p w14:paraId="35DC49A8" w14:textId="20323824" w:rsidR="00ED0CE0" w:rsidRPr="006E2F03" w:rsidRDefault="00ED0CE0" w:rsidP="00871F94">
            <w:pPr>
              <w:pStyle w:val="Tables"/>
              <w:jc w:val="right"/>
            </w:pPr>
            <w:r w:rsidRPr="006E2F03">
              <w:t>0.0%</w:t>
            </w:r>
          </w:p>
        </w:tc>
      </w:tr>
      <w:tr w:rsidR="001477FE" w:rsidRPr="00944A10" w14:paraId="1F596028" w14:textId="77777777" w:rsidTr="00D207B2">
        <w:trPr>
          <w:trHeight w:val="288"/>
          <w:jc w:val="center"/>
        </w:trPr>
        <w:tc>
          <w:tcPr>
            <w:tcW w:w="2155" w:type="dxa"/>
            <w:vAlign w:val="center"/>
            <w:hideMark/>
          </w:tcPr>
          <w:p w14:paraId="010D0C8E" w14:textId="77777777" w:rsidR="00ED0CE0" w:rsidRPr="00965B02" w:rsidRDefault="00ED0CE0" w:rsidP="00871F94">
            <w:pPr>
              <w:pStyle w:val="Tables"/>
            </w:pPr>
            <w:r w:rsidRPr="00965B02">
              <w:t xml:space="preserve">CWIS Phase I </w:t>
            </w:r>
          </w:p>
        </w:tc>
        <w:tc>
          <w:tcPr>
            <w:tcW w:w="1128" w:type="dxa"/>
          </w:tcPr>
          <w:p w14:paraId="246D866E" w14:textId="6F97CC27" w:rsidR="00ED0CE0" w:rsidRPr="006E2F03" w:rsidRDefault="00ED0CE0" w:rsidP="00871F94">
            <w:pPr>
              <w:pStyle w:val="Tables"/>
              <w:jc w:val="right"/>
            </w:pPr>
            <w:r w:rsidRPr="006E2F03">
              <w:t>1,045</w:t>
            </w:r>
          </w:p>
        </w:tc>
        <w:tc>
          <w:tcPr>
            <w:tcW w:w="1117" w:type="dxa"/>
            <w:tcBorders>
              <w:top w:val="nil"/>
              <w:left w:val="single" w:sz="4" w:space="0" w:color="auto"/>
              <w:bottom w:val="single" w:sz="4" w:space="0" w:color="auto"/>
              <w:right w:val="single" w:sz="4" w:space="0" w:color="auto"/>
            </w:tcBorders>
            <w:shd w:val="clear" w:color="auto" w:fill="auto"/>
            <w:noWrap/>
            <w:hideMark/>
          </w:tcPr>
          <w:p w14:paraId="6CA7672B" w14:textId="36382EF0" w:rsidR="00ED0CE0" w:rsidRPr="006E2F03" w:rsidRDefault="00ED0CE0" w:rsidP="00871F94">
            <w:pPr>
              <w:pStyle w:val="Tables"/>
              <w:jc w:val="right"/>
            </w:pPr>
            <w:r w:rsidRPr="006E2F03">
              <w:t>1,045</w:t>
            </w:r>
          </w:p>
        </w:tc>
        <w:tc>
          <w:tcPr>
            <w:tcW w:w="800" w:type="dxa"/>
            <w:tcBorders>
              <w:top w:val="nil"/>
              <w:left w:val="nil"/>
              <w:bottom w:val="single" w:sz="4" w:space="0" w:color="auto"/>
              <w:right w:val="single" w:sz="4" w:space="0" w:color="auto"/>
            </w:tcBorders>
            <w:shd w:val="clear" w:color="auto" w:fill="auto"/>
            <w:noWrap/>
            <w:hideMark/>
          </w:tcPr>
          <w:p w14:paraId="6D2DD6AE" w14:textId="57DD71C8" w:rsidR="00ED0CE0" w:rsidRPr="006E2F03" w:rsidRDefault="00ED0CE0" w:rsidP="00871F94">
            <w:pPr>
              <w:pStyle w:val="Tables"/>
              <w:jc w:val="right"/>
            </w:pPr>
            <w:r w:rsidRPr="006E2F03">
              <w:t>0</w:t>
            </w:r>
          </w:p>
        </w:tc>
        <w:tc>
          <w:tcPr>
            <w:tcW w:w="1269" w:type="dxa"/>
            <w:tcBorders>
              <w:top w:val="nil"/>
              <w:left w:val="nil"/>
              <w:bottom w:val="single" w:sz="4" w:space="0" w:color="auto"/>
              <w:right w:val="single" w:sz="4" w:space="0" w:color="auto"/>
            </w:tcBorders>
            <w:shd w:val="clear" w:color="auto" w:fill="auto"/>
            <w:noWrap/>
            <w:hideMark/>
          </w:tcPr>
          <w:p w14:paraId="1291B28C" w14:textId="6562F539" w:rsidR="00ED0CE0" w:rsidRPr="006E2F03" w:rsidRDefault="00ED0CE0" w:rsidP="00871F94">
            <w:pPr>
              <w:pStyle w:val="Tables"/>
              <w:jc w:val="right"/>
            </w:pPr>
            <w:r w:rsidRPr="006E2F03">
              <w:t>0</w:t>
            </w:r>
          </w:p>
        </w:tc>
        <w:tc>
          <w:tcPr>
            <w:tcW w:w="1113" w:type="dxa"/>
            <w:tcBorders>
              <w:top w:val="nil"/>
              <w:left w:val="nil"/>
              <w:bottom w:val="single" w:sz="4" w:space="0" w:color="auto"/>
              <w:right w:val="single" w:sz="4" w:space="0" w:color="auto"/>
            </w:tcBorders>
            <w:shd w:val="clear" w:color="auto" w:fill="auto"/>
            <w:noWrap/>
            <w:hideMark/>
          </w:tcPr>
          <w:p w14:paraId="7A7B5689" w14:textId="2066774E" w:rsidR="00ED0CE0" w:rsidRPr="006E2F03" w:rsidRDefault="00ED0CE0" w:rsidP="00871F94">
            <w:pPr>
              <w:pStyle w:val="Tables"/>
              <w:jc w:val="right"/>
            </w:pPr>
            <w:r w:rsidRPr="006E2F03">
              <w:t>0</w:t>
            </w:r>
          </w:p>
        </w:tc>
        <w:tc>
          <w:tcPr>
            <w:tcW w:w="934" w:type="dxa"/>
            <w:tcBorders>
              <w:top w:val="nil"/>
              <w:left w:val="nil"/>
              <w:bottom w:val="single" w:sz="4" w:space="0" w:color="auto"/>
              <w:right w:val="single" w:sz="4" w:space="0" w:color="auto"/>
            </w:tcBorders>
            <w:shd w:val="clear" w:color="auto" w:fill="auto"/>
            <w:noWrap/>
          </w:tcPr>
          <w:p w14:paraId="5074792C" w14:textId="41A07E91" w:rsidR="00ED0CE0" w:rsidRPr="006E2F03" w:rsidRDefault="00ED0CE0" w:rsidP="00871F94">
            <w:pPr>
              <w:pStyle w:val="Tables"/>
              <w:jc w:val="right"/>
            </w:pPr>
            <w:r w:rsidRPr="006E2F03">
              <w:t>0.0%</w:t>
            </w:r>
          </w:p>
        </w:tc>
      </w:tr>
      <w:tr w:rsidR="001477FE" w:rsidRPr="00944A10" w14:paraId="4B433E44" w14:textId="77777777" w:rsidTr="00D207B2">
        <w:trPr>
          <w:trHeight w:val="288"/>
          <w:jc w:val="center"/>
        </w:trPr>
        <w:tc>
          <w:tcPr>
            <w:tcW w:w="2155" w:type="dxa"/>
            <w:vAlign w:val="center"/>
          </w:tcPr>
          <w:p w14:paraId="42CAA9D6" w14:textId="77777777" w:rsidR="00ED0CE0" w:rsidRPr="00965B02" w:rsidRDefault="00ED0CE0" w:rsidP="00871F94">
            <w:pPr>
              <w:pStyle w:val="Tables"/>
            </w:pPr>
            <w:r w:rsidRPr="00965B02">
              <w:t>CWIS Phase III</w:t>
            </w:r>
          </w:p>
        </w:tc>
        <w:tc>
          <w:tcPr>
            <w:tcW w:w="1128" w:type="dxa"/>
          </w:tcPr>
          <w:p w14:paraId="3B896D3F" w14:textId="2D7FE2B0" w:rsidR="00ED0CE0" w:rsidRPr="006E2F03" w:rsidRDefault="00ED0CE0" w:rsidP="00871F94">
            <w:pPr>
              <w:pStyle w:val="Tables"/>
              <w:jc w:val="right"/>
            </w:pPr>
            <w:r w:rsidRPr="006E2F03">
              <w:t>251</w:t>
            </w:r>
          </w:p>
        </w:tc>
        <w:tc>
          <w:tcPr>
            <w:tcW w:w="1117" w:type="dxa"/>
            <w:tcBorders>
              <w:top w:val="nil"/>
              <w:left w:val="single" w:sz="4" w:space="0" w:color="auto"/>
              <w:bottom w:val="single" w:sz="4" w:space="0" w:color="auto"/>
              <w:right w:val="single" w:sz="4" w:space="0" w:color="auto"/>
            </w:tcBorders>
            <w:shd w:val="clear" w:color="auto" w:fill="auto"/>
            <w:noWrap/>
          </w:tcPr>
          <w:p w14:paraId="73E23F45" w14:textId="18CAEA41" w:rsidR="00ED0CE0" w:rsidRPr="006E2F03" w:rsidRDefault="00ED0CE0" w:rsidP="00871F94">
            <w:pPr>
              <w:pStyle w:val="Tables"/>
              <w:jc w:val="right"/>
            </w:pPr>
            <w:r w:rsidRPr="006E2F03">
              <w:t>255</w:t>
            </w:r>
          </w:p>
        </w:tc>
        <w:tc>
          <w:tcPr>
            <w:tcW w:w="800" w:type="dxa"/>
            <w:tcBorders>
              <w:top w:val="nil"/>
              <w:left w:val="nil"/>
              <w:bottom w:val="single" w:sz="4" w:space="0" w:color="auto"/>
              <w:right w:val="single" w:sz="4" w:space="0" w:color="auto"/>
            </w:tcBorders>
            <w:shd w:val="clear" w:color="auto" w:fill="auto"/>
            <w:noWrap/>
          </w:tcPr>
          <w:p w14:paraId="49A233AD" w14:textId="012FEC87" w:rsidR="00ED0CE0" w:rsidRPr="006E2F03" w:rsidRDefault="00ED0CE0" w:rsidP="00871F94">
            <w:pPr>
              <w:pStyle w:val="Tables"/>
              <w:jc w:val="right"/>
            </w:pPr>
            <w:r w:rsidRPr="006E2F03">
              <w:t>0</w:t>
            </w:r>
          </w:p>
        </w:tc>
        <w:tc>
          <w:tcPr>
            <w:tcW w:w="1269" w:type="dxa"/>
            <w:tcBorders>
              <w:top w:val="nil"/>
              <w:left w:val="nil"/>
              <w:bottom w:val="single" w:sz="4" w:space="0" w:color="auto"/>
              <w:right w:val="single" w:sz="4" w:space="0" w:color="auto"/>
            </w:tcBorders>
            <w:shd w:val="clear" w:color="auto" w:fill="auto"/>
            <w:noWrap/>
          </w:tcPr>
          <w:p w14:paraId="6EA54631" w14:textId="26919850" w:rsidR="00ED0CE0" w:rsidRPr="006E2F03" w:rsidRDefault="00ED0CE0" w:rsidP="00871F94">
            <w:pPr>
              <w:pStyle w:val="Tables"/>
              <w:jc w:val="right"/>
            </w:pPr>
            <w:r w:rsidRPr="006E2F03">
              <w:t>0</w:t>
            </w:r>
          </w:p>
        </w:tc>
        <w:tc>
          <w:tcPr>
            <w:tcW w:w="1113" w:type="dxa"/>
            <w:tcBorders>
              <w:top w:val="nil"/>
              <w:left w:val="nil"/>
              <w:bottom w:val="single" w:sz="4" w:space="0" w:color="auto"/>
              <w:right w:val="single" w:sz="4" w:space="0" w:color="auto"/>
            </w:tcBorders>
            <w:shd w:val="clear" w:color="auto" w:fill="auto"/>
            <w:noWrap/>
          </w:tcPr>
          <w:p w14:paraId="5582B78A" w14:textId="3A8D016B" w:rsidR="00ED0CE0" w:rsidRPr="006E2F03" w:rsidRDefault="00ED0CE0" w:rsidP="00871F94">
            <w:pPr>
              <w:pStyle w:val="Tables"/>
              <w:jc w:val="right"/>
            </w:pPr>
            <w:r w:rsidRPr="006E2F03">
              <w:t>4</w:t>
            </w:r>
          </w:p>
        </w:tc>
        <w:tc>
          <w:tcPr>
            <w:tcW w:w="934" w:type="dxa"/>
            <w:tcBorders>
              <w:top w:val="nil"/>
              <w:left w:val="nil"/>
              <w:bottom w:val="single" w:sz="4" w:space="0" w:color="auto"/>
              <w:right w:val="single" w:sz="4" w:space="0" w:color="auto"/>
            </w:tcBorders>
            <w:shd w:val="clear" w:color="auto" w:fill="auto"/>
            <w:noWrap/>
          </w:tcPr>
          <w:p w14:paraId="225FAB81" w14:textId="1D471BEC" w:rsidR="00ED0CE0" w:rsidRPr="006E2F03" w:rsidRDefault="00ED0CE0" w:rsidP="00871F94">
            <w:pPr>
              <w:pStyle w:val="Tables"/>
              <w:jc w:val="right"/>
            </w:pPr>
            <w:r w:rsidRPr="006E2F03">
              <w:t>1.7%</w:t>
            </w:r>
          </w:p>
        </w:tc>
      </w:tr>
      <w:tr w:rsidR="001477FE" w:rsidRPr="00944A10" w14:paraId="18BC1C81" w14:textId="77777777" w:rsidTr="00D207B2">
        <w:trPr>
          <w:trHeight w:val="264"/>
          <w:jc w:val="center"/>
        </w:trPr>
        <w:tc>
          <w:tcPr>
            <w:tcW w:w="2155" w:type="dxa"/>
            <w:vAlign w:val="center"/>
            <w:hideMark/>
          </w:tcPr>
          <w:p w14:paraId="718DDC3C" w14:textId="09DFC6D6" w:rsidR="00ED0CE0" w:rsidRPr="00965B02" w:rsidRDefault="00ED0CE0" w:rsidP="00871F94">
            <w:pPr>
              <w:pStyle w:val="Tables"/>
            </w:pPr>
            <w:r w:rsidRPr="00965B02">
              <w:t>Total</w:t>
            </w:r>
            <w:r>
              <w:t xml:space="preserve"> </w:t>
            </w:r>
          </w:p>
        </w:tc>
        <w:tc>
          <w:tcPr>
            <w:tcW w:w="1128" w:type="dxa"/>
          </w:tcPr>
          <w:p w14:paraId="48626972" w14:textId="72D0B37E" w:rsidR="00ED0CE0" w:rsidRPr="00C50579" w:rsidRDefault="00ED0CE0" w:rsidP="00871F94">
            <w:pPr>
              <w:pStyle w:val="Tables"/>
              <w:jc w:val="right"/>
            </w:pPr>
            <w:r w:rsidRPr="00C50579">
              <w:t>10,826,939</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14:paraId="6A46E5CD" w14:textId="623EFD65" w:rsidR="00ED0CE0" w:rsidRPr="00C50579" w:rsidRDefault="001477FE" w:rsidP="00871F94">
            <w:pPr>
              <w:pStyle w:val="Tables"/>
              <w:jc w:val="right"/>
            </w:pPr>
            <w:r>
              <w:t>10,297,856</w:t>
            </w:r>
          </w:p>
        </w:tc>
        <w:tc>
          <w:tcPr>
            <w:tcW w:w="800" w:type="dxa"/>
            <w:tcBorders>
              <w:top w:val="single" w:sz="4" w:space="0" w:color="auto"/>
              <w:left w:val="nil"/>
              <w:bottom w:val="single" w:sz="4" w:space="0" w:color="auto"/>
              <w:right w:val="single" w:sz="4" w:space="0" w:color="auto"/>
            </w:tcBorders>
            <w:shd w:val="clear" w:color="auto" w:fill="auto"/>
            <w:noWrap/>
            <w:hideMark/>
          </w:tcPr>
          <w:p w14:paraId="3CEADAFD" w14:textId="4270AED7" w:rsidR="00ED0CE0" w:rsidRPr="00C50579" w:rsidRDefault="00ED0CE0" w:rsidP="00871F94">
            <w:pPr>
              <w:pStyle w:val="Tables"/>
              <w:jc w:val="right"/>
            </w:pPr>
            <w:r w:rsidRPr="00C50579">
              <w:t>0</w:t>
            </w:r>
          </w:p>
        </w:tc>
        <w:tc>
          <w:tcPr>
            <w:tcW w:w="1269" w:type="dxa"/>
            <w:tcBorders>
              <w:top w:val="single" w:sz="4" w:space="0" w:color="auto"/>
              <w:left w:val="nil"/>
              <w:bottom w:val="single" w:sz="4" w:space="0" w:color="auto"/>
              <w:right w:val="single" w:sz="4" w:space="0" w:color="auto"/>
            </w:tcBorders>
            <w:shd w:val="clear" w:color="auto" w:fill="auto"/>
            <w:noWrap/>
            <w:hideMark/>
          </w:tcPr>
          <w:p w14:paraId="18DFFCDF" w14:textId="5988EF20" w:rsidR="00ED0CE0" w:rsidRPr="00C50579" w:rsidRDefault="00ED0CE0" w:rsidP="00871F94">
            <w:pPr>
              <w:pStyle w:val="Tables"/>
              <w:jc w:val="right"/>
            </w:pPr>
            <w:r w:rsidRPr="00C50579">
              <w:t>0</w:t>
            </w:r>
          </w:p>
        </w:tc>
        <w:tc>
          <w:tcPr>
            <w:tcW w:w="1113" w:type="dxa"/>
            <w:tcBorders>
              <w:top w:val="single" w:sz="4" w:space="0" w:color="auto"/>
              <w:left w:val="nil"/>
              <w:bottom w:val="single" w:sz="4" w:space="0" w:color="auto"/>
              <w:right w:val="single" w:sz="4" w:space="0" w:color="auto"/>
            </w:tcBorders>
            <w:shd w:val="clear" w:color="auto" w:fill="auto"/>
            <w:noWrap/>
            <w:hideMark/>
          </w:tcPr>
          <w:p w14:paraId="63F4AC22" w14:textId="258C08D3" w:rsidR="00ED0CE0" w:rsidRPr="00C50579" w:rsidRDefault="00ED0CE0" w:rsidP="00871F94">
            <w:pPr>
              <w:pStyle w:val="Tables"/>
              <w:jc w:val="right"/>
            </w:pPr>
            <w:r w:rsidRPr="00C50579">
              <w:t>-</w:t>
            </w:r>
            <w:r w:rsidR="001477FE">
              <w:t>529,083</w:t>
            </w:r>
          </w:p>
        </w:tc>
        <w:tc>
          <w:tcPr>
            <w:tcW w:w="934" w:type="dxa"/>
            <w:tcBorders>
              <w:top w:val="single" w:sz="4" w:space="0" w:color="auto"/>
              <w:left w:val="nil"/>
              <w:bottom w:val="single" w:sz="4" w:space="0" w:color="auto"/>
              <w:right w:val="single" w:sz="4" w:space="0" w:color="auto"/>
            </w:tcBorders>
            <w:shd w:val="clear" w:color="auto" w:fill="auto"/>
            <w:noWrap/>
          </w:tcPr>
          <w:p w14:paraId="111CCB9E" w14:textId="083B472B" w:rsidR="00ED0CE0" w:rsidRPr="00C50579" w:rsidRDefault="00ED0CE0" w:rsidP="00871F94">
            <w:pPr>
              <w:pStyle w:val="Tables"/>
              <w:jc w:val="right"/>
            </w:pPr>
            <w:r w:rsidRPr="00C50579">
              <w:t>-</w:t>
            </w:r>
            <w:r w:rsidR="001477FE">
              <w:t>5</w:t>
            </w:r>
            <w:r w:rsidRPr="00C50579">
              <w:t>%</w:t>
            </w:r>
          </w:p>
        </w:tc>
      </w:tr>
    </w:tbl>
    <w:p w14:paraId="58D1BF00" w14:textId="4293F04F" w:rsidR="00AD2B99" w:rsidRPr="00AD2B99" w:rsidRDefault="00AD2B99" w:rsidP="007D1F75">
      <w:pPr>
        <w:pStyle w:val="Tablenote"/>
        <w:ind w:left="180" w:hanging="180"/>
      </w:pPr>
      <w:r w:rsidRPr="00AD2B99">
        <w:rPr>
          <w:vertAlign w:val="superscript"/>
        </w:rPr>
        <w:t>a</w:t>
      </w:r>
      <w:r w:rsidR="007D1F75">
        <w:tab/>
      </w:r>
      <w:r w:rsidRPr="00AD2B99">
        <w:t>Substantial increase was due to the increase</w:t>
      </w:r>
      <w:r w:rsidR="007D1F75">
        <w:t>d</w:t>
      </w:r>
      <w:r w:rsidRPr="00AD2B99">
        <w:t xml:space="preserve"> participation in electronic filing of forms and reports as the rule is implemented.</w:t>
      </w:r>
    </w:p>
    <w:p w14:paraId="22486AE2" w14:textId="542F9255" w:rsidR="007660FD" w:rsidRDefault="007660FD" w:rsidP="007D1F75">
      <w:pPr>
        <w:pStyle w:val="Tablenote"/>
        <w:ind w:left="180" w:hanging="180"/>
      </w:pPr>
      <w:r w:rsidRPr="001B116D">
        <w:rPr>
          <w:vertAlign w:val="superscript"/>
        </w:rPr>
        <w:t>b</w:t>
      </w:r>
      <w:r w:rsidR="007D1F75">
        <w:tab/>
      </w:r>
      <w:r w:rsidR="00007CFD" w:rsidRPr="001B116D">
        <w:t>S</w:t>
      </w:r>
      <w:r w:rsidRPr="001B116D">
        <w:t xml:space="preserve">ubstantial increase was due to the coincidence of </w:t>
      </w:r>
      <w:r w:rsidR="00F34FEE" w:rsidRPr="001B116D">
        <w:t xml:space="preserve">the </w:t>
      </w:r>
      <w:r w:rsidRPr="001B116D">
        <w:t xml:space="preserve">period of greatest implementation burden with </w:t>
      </w:r>
      <w:r w:rsidR="007D1F75">
        <w:t xml:space="preserve">the </w:t>
      </w:r>
      <w:r w:rsidRPr="001B116D">
        <w:t>three</w:t>
      </w:r>
      <w:r w:rsidR="007D1F75">
        <w:t>-</w:t>
      </w:r>
      <w:r w:rsidRPr="001B116D">
        <w:t>year ICR period</w:t>
      </w:r>
      <w:r w:rsidR="00007CFD" w:rsidRPr="001B116D">
        <w:t>.</w:t>
      </w:r>
    </w:p>
    <w:p w14:paraId="7E4C33BD" w14:textId="1B60C138" w:rsidR="00212898" w:rsidRPr="001B116D" w:rsidRDefault="00AD2B99" w:rsidP="007D1F75">
      <w:pPr>
        <w:pStyle w:val="Tablenote"/>
        <w:ind w:left="180" w:hanging="180"/>
      </w:pPr>
      <w:r w:rsidRPr="00AD2B99">
        <w:rPr>
          <w:vertAlign w:val="superscript"/>
        </w:rPr>
        <w:t>c</w:t>
      </w:r>
      <w:r w:rsidR="007D1F75">
        <w:tab/>
      </w:r>
      <w:r w:rsidRPr="00AD2B99">
        <w:t>Substantial decrease was due to revised EPA estimates based on changes in industry practice, development of USDA guidelines, and industry consolidation</w:t>
      </w:r>
      <w:r>
        <w:t>.</w:t>
      </w:r>
    </w:p>
    <w:p w14:paraId="7BF6C1D9" w14:textId="4FBAE180" w:rsidR="00085324" w:rsidRDefault="00085324" w:rsidP="00871F94">
      <w:pPr>
        <w:pStyle w:val="Caption"/>
      </w:pPr>
      <w:r>
        <w:t>Table 15.</w:t>
      </w:r>
      <w:r w:rsidR="00871F94">
        <w:t>2</w:t>
      </w:r>
      <w:r>
        <w:t xml:space="preserve"> </w:t>
      </w:r>
      <w:r w:rsidRPr="005A26C1">
        <w:t xml:space="preserve">Summary of </w:t>
      </w:r>
      <w:r w:rsidR="00F707B1">
        <w:t>A</w:t>
      </w:r>
      <w:r w:rsidRPr="005A26C1">
        <w:t xml:space="preserve">djustment in </w:t>
      </w:r>
      <w:r w:rsidR="00F707B1">
        <w:t>N</w:t>
      </w:r>
      <w:r w:rsidRPr="005A26C1">
        <w:t xml:space="preserve">umber of </w:t>
      </w:r>
      <w:r w:rsidR="00F707B1">
        <w:t>B</w:t>
      </w:r>
      <w:r>
        <w:t xml:space="preserve">urden </w:t>
      </w:r>
      <w:r w:rsidR="00F707B1">
        <w:t>H</w:t>
      </w:r>
      <w:r>
        <w:t>ours</w:t>
      </w:r>
      <w:r w:rsidRPr="005A26C1">
        <w:t xml:space="preserve"> </w:t>
      </w:r>
    </w:p>
    <w:tbl>
      <w:tblPr>
        <w:tblStyle w:val="TableGrid"/>
        <w:tblW w:w="5000" w:type="pct"/>
        <w:jc w:val="center"/>
        <w:tblLayout w:type="fixed"/>
        <w:tblCellMar>
          <w:left w:w="58" w:type="dxa"/>
          <w:right w:w="58" w:type="dxa"/>
        </w:tblCellMar>
        <w:tblLook w:val="04A0" w:firstRow="1" w:lastRow="0" w:firstColumn="1" w:lastColumn="0" w:noHBand="0" w:noVBand="1"/>
      </w:tblPr>
      <w:tblGrid>
        <w:gridCol w:w="2266"/>
        <w:gridCol w:w="1284"/>
        <w:gridCol w:w="1284"/>
        <w:gridCol w:w="988"/>
        <w:gridCol w:w="1383"/>
        <w:gridCol w:w="1185"/>
        <w:gridCol w:w="1086"/>
      </w:tblGrid>
      <w:tr w:rsidR="00F66FE3" w:rsidRPr="00944A10" w14:paraId="1CEB0DEF" w14:textId="77777777" w:rsidTr="007F5D04">
        <w:trPr>
          <w:trHeight w:val="288"/>
          <w:jc w:val="center"/>
        </w:trPr>
        <w:tc>
          <w:tcPr>
            <w:tcW w:w="2065" w:type="dxa"/>
            <w:vMerge w:val="restart"/>
            <w:shd w:val="clear" w:color="auto" w:fill="D9D9D9" w:themeFill="background1" w:themeFillShade="D9"/>
            <w:noWrap/>
            <w:vAlign w:val="center"/>
            <w:hideMark/>
          </w:tcPr>
          <w:p w14:paraId="4477990B" w14:textId="77777777" w:rsidR="00F66FE3" w:rsidRPr="00965B02" w:rsidRDefault="00F66FE3" w:rsidP="00871F94">
            <w:pPr>
              <w:pStyle w:val="TableTitle"/>
            </w:pPr>
            <w:r w:rsidRPr="00965B02">
              <w:t>Source ICR</w:t>
            </w:r>
          </w:p>
        </w:tc>
        <w:tc>
          <w:tcPr>
            <w:tcW w:w="1170" w:type="dxa"/>
            <w:vMerge w:val="restart"/>
            <w:shd w:val="clear" w:color="auto" w:fill="D9D9D9" w:themeFill="background1" w:themeFillShade="D9"/>
            <w:vAlign w:val="center"/>
          </w:tcPr>
          <w:p w14:paraId="5C35B932" w14:textId="3AF253D8" w:rsidR="00F66FE3" w:rsidRPr="00085324" w:rsidRDefault="00F66FE3" w:rsidP="00871F94">
            <w:pPr>
              <w:pStyle w:val="TableTitle"/>
            </w:pPr>
            <w:r w:rsidRPr="00085324">
              <w:t xml:space="preserve">Previously </w:t>
            </w:r>
            <w:r w:rsidR="001E1ADB">
              <w:t>A</w:t>
            </w:r>
            <w:r w:rsidRPr="00085324">
              <w:t>pproved</w:t>
            </w:r>
          </w:p>
        </w:tc>
        <w:tc>
          <w:tcPr>
            <w:tcW w:w="1170" w:type="dxa"/>
            <w:vMerge w:val="restart"/>
            <w:shd w:val="clear" w:color="auto" w:fill="D9D9D9" w:themeFill="background1" w:themeFillShade="D9"/>
            <w:vAlign w:val="center"/>
            <w:hideMark/>
          </w:tcPr>
          <w:p w14:paraId="3B371489" w14:textId="516EC7F7" w:rsidR="00F66FE3" w:rsidRPr="00085324" w:rsidRDefault="00F66FE3" w:rsidP="00871F94">
            <w:pPr>
              <w:pStyle w:val="TableTitle"/>
            </w:pPr>
            <w:r w:rsidRPr="00085324">
              <w:t xml:space="preserve">Total </w:t>
            </w:r>
            <w:r w:rsidR="001E1ADB">
              <w:t>H</w:t>
            </w:r>
            <w:r w:rsidRPr="00085324">
              <w:t xml:space="preserve">ours </w:t>
            </w:r>
            <w:r w:rsidR="001E1ADB">
              <w:t>R</w:t>
            </w:r>
            <w:r w:rsidRPr="00085324">
              <w:t>equested</w:t>
            </w:r>
          </w:p>
        </w:tc>
        <w:tc>
          <w:tcPr>
            <w:tcW w:w="3240" w:type="dxa"/>
            <w:gridSpan w:val="3"/>
            <w:shd w:val="clear" w:color="auto" w:fill="D9D9D9" w:themeFill="background1" w:themeFillShade="D9"/>
            <w:noWrap/>
            <w:vAlign w:val="center"/>
            <w:hideMark/>
          </w:tcPr>
          <w:p w14:paraId="4B1BA7EE" w14:textId="0B082221" w:rsidR="00F66FE3" w:rsidRPr="00BA5ECA" w:rsidRDefault="00F66FE3" w:rsidP="00871F94">
            <w:pPr>
              <w:pStyle w:val="TableTitle"/>
            </w:pPr>
            <w:r w:rsidRPr="00BA5ECA">
              <w:t xml:space="preserve">Change </w:t>
            </w:r>
            <w:r w:rsidR="001E1ADB">
              <w:t>D</w:t>
            </w:r>
            <w:r w:rsidRPr="00BA5ECA">
              <w:t>ue to:</w:t>
            </w:r>
          </w:p>
        </w:tc>
        <w:tc>
          <w:tcPr>
            <w:tcW w:w="990" w:type="dxa"/>
            <w:vMerge w:val="restart"/>
            <w:shd w:val="clear" w:color="auto" w:fill="D9D9D9" w:themeFill="background1" w:themeFillShade="D9"/>
            <w:vAlign w:val="center"/>
          </w:tcPr>
          <w:p w14:paraId="2DB892F8" w14:textId="542E28D8" w:rsidR="00F66FE3" w:rsidRPr="00680F49" w:rsidRDefault="00F66FE3" w:rsidP="00871F94">
            <w:pPr>
              <w:pStyle w:val="TableTitle"/>
            </w:pPr>
            <w:r w:rsidRPr="00EF1990">
              <w:t xml:space="preserve">Percent </w:t>
            </w:r>
            <w:r w:rsidRPr="00500C14">
              <w:t>change t</w:t>
            </w:r>
            <w:r w:rsidRPr="00680F49">
              <w:t>otal</w:t>
            </w:r>
          </w:p>
        </w:tc>
      </w:tr>
      <w:tr w:rsidR="00F66FE3" w:rsidRPr="00944A10" w14:paraId="525B4EC1" w14:textId="77777777" w:rsidTr="007F5D04">
        <w:trPr>
          <w:trHeight w:val="576"/>
          <w:jc w:val="center"/>
        </w:trPr>
        <w:tc>
          <w:tcPr>
            <w:tcW w:w="2065" w:type="dxa"/>
            <w:vMerge/>
            <w:shd w:val="clear" w:color="auto" w:fill="D9D9D9" w:themeFill="background1" w:themeFillShade="D9"/>
            <w:hideMark/>
          </w:tcPr>
          <w:p w14:paraId="00825B80" w14:textId="77777777" w:rsidR="00F66FE3" w:rsidRPr="0036174E" w:rsidRDefault="00F66FE3" w:rsidP="00871F94">
            <w:pPr>
              <w:pStyle w:val="TableTitle"/>
            </w:pPr>
          </w:p>
        </w:tc>
        <w:tc>
          <w:tcPr>
            <w:tcW w:w="1170" w:type="dxa"/>
            <w:vMerge/>
            <w:shd w:val="clear" w:color="auto" w:fill="D9D9D9" w:themeFill="background1" w:themeFillShade="D9"/>
          </w:tcPr>
          <w:p w14:paraId="10FE861A" w14:textId="77777777" w:rsidR="00F66FE3" w:rsidRPr="0036174E" w:rsidRDefault="00F66FE3" w:rsidP="00871F94">
            <w:pPr>
              <w:pStyle w:val="TableTitle"/>
            </w:pPr>
          </w:p>
        </w:tc>
        <w:tc>
          <w:tcPr>
            <w:tcW w:w="1170" w:type="dxa"/>
            <w:vMerge/>
            <w:shd w:val="clear" w:color="auto" w:fill="D9D9D9" w:themeFill="background1" w:themeFillShade="D9"/>
            <w:vAlign w:val="center"/>
            <w:hideMark/>
          </w:tcPr>
          <w:p w14:paraId="23FCF087" w14:textId="140EA5E2" w:rsidR="00F66FE3" w:rsidRPr="0036174E" w:rsidRDefault="00F66FE3" w:rsidP="00871F94">
            <w:pPr>
              <w:pStyle w:val="TableTitle"/>
            </w:pPr>
          </w:p>
        </w:tc>
        <w:tc>
          <w:tcPr>
            <w:tcW w:w="900" w:type="dxa"/>
            <w:shd w:val="clear" w:color="auto" w:fill="D9D9D9" w:themeFill="background1" w:themeFillShade="D9"/>
            <w:vAlign w:val="center"/>
            <w:hideMark/>
          </w:tcPr>
          <w:p w14:paraId="39A43945" w14:textId="29407BD9" w:rsidR="00F66FE3" w:rsidRPr="00085324" w:rsidRDefault="00F66FE3" w:rsidP="00871F94">
            <w:pPr>
              <w:pStyle w:val="TableTitle"/>
            </w:pPr>
            <w:r w:rsidRPr="00085324">
              <w:t xml:space="preserve">New </w:t>
            </w:r>
            <w:r w:rsidR="001E1ADB">
              <w:t>S</w:t>
            </w:r>
            <w:r w:rsidRPr="00085324">
              <w:t>tatute</w:t>
            </w:r>
          </w:p>
        </w:tc>
        <w:tc>
          <w:tcPr>
            <w:tcW w:w="1260" w:type="dxa"/>
            <w:shd w:val="clear" w:color="auto" w:fill="D9D9D9" w:themeFill="background1" w:themeFillShade="D9"/>
            <w:vAlign w:val="center"/>
            <w:hideMark/>
          </w:tcPr>
          <w:p w14:paraId="6C35E351" w14:textId="7CCC69F7" w:rsidR="00F66FE3" w:rsidRPr="00085324" w:rsidRDefault="00F66FE3" w:rsidP="00871F94">
            <w:pPr>
              <w:pStyle w:val="TableTitle"/>
            </w:pPr>
            <w:r w:rsidRPr="00085324">
              <w:t xml:space="preserve">Agency </w:t>
            </w:r>
            <w:r w:rsidR="001E1ADB">
              <w:t>A</w:t>
            </w:r>
            <w:r w:rsidRPr="00085324">
              <w:t>ctions (</w:t>
            </w:r>
            <w:r w:rsidR="007D1F75">
              <w:t>N</w:t>
            </w:r>
            <w:r w:rsidR="007D1F75" w:rsidRPr="00085324">
              <w:t xml:space="preserve">ew </w:t>
            </w:r>
            <w:r w:rsidR="007D1F75">
              <w:t>R</w:t>
            </w:r>
            <w:r w:rsidR="007D1F75" w:rsidRPr="00085324">
              <w:t>ules</w:t>
            </w:r>
            <w:r w:rsidRPr="00085324">
              <w:t xml:space="preserve">, </w:t>
            </w:r>
            <w:r w:rsidR="007D1F75">
              <w:t>E</w:t>
            </w:r>
            <w:r w:rsidR="007D1F75" w:rsidRPr="00085324">
              <w:t>tc</w:t>
            </w:r>
            <w:r w:rsidRPr="00085324">
              <w:t>.)</w:t>
            </w:r>
          </w:p>
        </w:tc>
        <w:tc>
          <w:tcPr>
            <w:tcW w:w="1080" w:type="dxa"/>
            <w:shd w:val="clear" w:color="auto" w:fill="D9D9D9" w:themeFill="background1" w:themeFillShade="D9"/>
            <w:vAlign w:val="center"/>
            <w:hideMark/>
          </w:tcPr>
          <w:p w14:paraId="6A5E9B73" w14:textId="49782D4C" w:rsidR="00F66FE3" w:rsidRPr="00085324" w:rsidRDefault="00F66FE3" w:rsidP="00871F94">
            <w:pPr>
              <w:pStyle w:val="TableTitle"/>
            </w:pPr>
            <w:r w:rsidRPr="00085324">
              <w:t xml:space="preserve">Revised </w:t>
            </w:r>
            <w:r w:rsidR="001E1ADB">
              <w:t>E</w:t>
            </w:r>
            <w:r w:rsidRPr="00085324">
              <w:t>stimates</w:t>
            </w:r>
          </w:p>
        </w:tc>
        <w:tc>
          <w:tcPr>
            <w:tcW w:w="990" w:type="dxa"/>
            <w:vMerge/>
            <w:shd w:val="clear" w:color="auto" w:fill="D9D9D9" w:themeFill="background1" w:themeFillShade="D9"/>
            <w:vAlign w:val="center"/>
          </w:tcPr>
          <w:p w14:paraId="72701ED2" w14:textId="77777777" w:rsidR="00F66FE3" w:rsidRPr="0036174E" w:rsidRDefault="00F66FE3" w:rsidP="00871F94">
            <w:pPr>
              <w:pStyle w:val="TableTitle"/>
            </w:pPr>
          </w:p>
        </w:tc>
      </w:tr>
      <w:tr w:rsidR="009C632C" w:rsidRPr="00944A10" w14:paraId="289C22EE" w14:textId="77777777" w:rsidTr="007F5D04">
        <w:trPr>
          <w:trHeight w:val="264"/>
          <w:jc w:val="center"/>
        </w:trPr>
        <w:tc>
          <w:tcPr>
            <w:tcW w:w="2065" w:type="dxa"/>
            <w:vAlign w:val="center"/>
          </w:tcPr>
          <w:p w14:paraId="52F4A1D7" w14:textId="6A9CBCFD" w:rsidR="009C632C" w:rsidRPr="00965B02" w:rsidRDefault="009C632C" w:rsidP="00871F94">
            <w:pPr>
              <w:pStyle w:val="Tables"/>
            </w:pPr>
            <w:r w:rsidRPr="00965B02">
              <w:t>Electronic Reporting Rule</w:t>
            </w:r>
            <w:r w:rsidR="00B76D3E">
              <w:rPr>
                <w:vertAlign w:val="superscript"/>
              </w:rPr>
              <w:t>a</w:t>
            </w:r>
          </w:p>
        </w:tc>
        <w:tc>
          <w:tcPr>
            <w:tcW w:w="1170" w:type="dxa"/>
          </w:tcPr>
          <w:p w14:paraId="0DF1A6C6" w14:textId="0836DE7B" w:rsidR="009C632C" w:rsidRPr="00C50579" w:rsidRDefault="009C632C" w:rsidP="00871F94">
            <w:pPr>
              <w:pStyle w:val="Tables"/>
              <w:jc w:val="right"/>
            </w:pPr>
            <w:r w:rsidRPr="00C50579">
              <w:t>-197,236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97C277" w14:textId="3C01D2BA" w:rsidR="009C632C" w:rsidRPr="00C50579" w:rsidRDefault="009C632C" w:rsidP="00871F94">
            <w:pPr>
              <w:pStyle w:val="Tables"/>
              <w:jc w:val="right"/>
            </w:pPr>
            <w:r w:rsidRPr="00C50579">
              <w:t>-521,053</w:t>
            </w:r>
          </w:p>
        </w:tc>
        <w:tc>
          <w:tcPr>
            <w:tcW w:w="900" w:type="dxa"/>
            <w:tcBorders>
              <w:top w:val="single" w:sz="4" w:space="0" w:color="auto"/>
              <w:left w:val="nil"/>
              <w:bottom w:val="single" w:sz="4" w:space="0" w:color="auto"/>
              <w:right w:val="single" w:sz="4" w:space="0" w:color="auto"/>
            </w:tcBorders>
            <w:shd w:val="clear" w:color="auto" w:fill="auto"/>
            <w:noWrap/>
          </w:tcPr>
          <w:p w14:paraId="7B0BFC1C" w14:textId="2CFE0354" w:rsidR="009C632C" w:rsidRPr="00C50579" w:rsidRDefault="009C632C" w:rsidP="00871F94">
            <w:pPr>
              <w:pStyle w:val="Tables"/>
              <w:jc w:val="right"/>
            </w:pPr>
            <w:r w:rsidRPr="00C50579">
              <w:t>0</w:t>
            </w:r>
          </w:p>
        </w:tc>
        <w:tc>
          <w:tcPr>
            <w:tcW w:w="1260" w:type="dxa"/>
            <w:tcBorders>
              <w:top w:val="single" w:sz="4" w:space="0" w:color="auto"/>
              <w:left w:val="nil"/>
              <w:bottom w:val="single" w:sz="4" w:space="0" w:color="auto"/>
              <w:right w:val="single" w:sz="4" w:space="0" w:color="auto"/>
            </w:tcBorders>
            <w:shd w:val="clear" w:color="auto" w:fill="auto"/>
            <w:noWrap/>
          </w:tcPr>
          <w:p w14:paraId="15D3B6CF" w14:textId="27D268F0" w:rsidR="009C632C" w:rsidRPr="00C50579" w:rsidRDefault="009C632C" w:rsidP="00871F94">
            <w:pPr>
              <w:pStyle w:val="Tables"/>
              <w:jc w:val="right"/>
            </w:pPr>
            <w:r w:rsidRPr="00C50579">
              <w:t>0</w:t>
            </w:r>
          </w:p>
        </w:tc>
        <w:tc>
          <w:tcPr>
            <w:tcW w:w="1080" w:type="dxa"/>
            <w:tcBorders>
              <w:top w:val="single" w:sz="4" w:space="0" w:color="auto"/>
              <w:left w:val="nil"/>
              <w:bottom w:val="single" w:sz="4" w:space="0" w:color="auto"/>
              <w:right w:val="single" w:sz="4" w:space="0" w:color="auto"/>
            </w:tcBorders>
            <w:shd w:val="clear" w:color="auto" w:fill="auto"/>
            <w:noWrap/>
          </w:tcPr>
          <w:p w14:paraId="7618E7C1" w14:textId="4E10743C" w:rsidR="009C632C" w:rsidRPr="00C50579" w:rsidRDefault="009C632C" w:rsidP="00871F94">
            <w:pPr>
              <w:pStyle w:val="Tables"/>
              <w:jc w:val="right"/>
            </w:pPr>
            <w:r w:rsidRPr="00C50579">
              <w:t>-323,817</w:t>
            </w:r>
          </w:p>
        </w:tc>
        <w:tc>
          <w:tcPr>
            <w:tcW w:w="990" w:type="dxa"/>
            <w:tcBorders>
              <w:top w:val="single" w:sz="4" w:space="0" w:color="auto"/>
              <w:left w:val="nil"/>
              <w:bottom w:val="single" w:sz="4" w:space="0" w:color="auto"/>
              <w:right w:val="single" w:sz="4" w:space="0" w:color="auto"/>
            </w:tcBorders>
            <w:shd w:val="clear" w:color="auto" w:fill="auto"/>
            <w:noWrap/>
          </w:tcPr>
          <w:p w14:paraId="347FDF09" w14:textId="0751B7BD" w:rsidR="009C632C" w:rsidRPr="00C50579" w:rsidDel="00F66FE3" w:rsidRDefault="009C632C" w:rsidP="00871F94">
            <w:pPr>
              <w:pStyle w:val="Tables"/>
              <w:jc w:val="right"/>
            </w:pPr>
            <w:r>
              <w:t>-164%</w:t>
            </w:r>
          </w:p>
        </w:tc>
      </w:tr>
      <w:tr w:rsidR="009C632C" w:rsidRPr="00944A10" w14:paraId="79537391" w14:textId="77777777" w:rsidTr="007F5D04">
        <w:trPr>
          <w:trHeight w:val="264"/>
          <w:jc w:val="center"/>
        </w:trPr>
        <w:tc>
          <w:tcPr>
            <w:tcW w:w="2065" w:type="dxa"/>
            <w:vAlign w:val="center"/>
          </w:tcPr>
          <w:p w14:paraId="08F4C2F4" w14:textId="0F8F2F86" w:rsidR="009C632C" w:rsidRPr="00965B02" w:rsidRDefault="009C632C" w:rsidP="00871F94">
            <w:pPr>
              <w:pStyle w:val="Tables"/>
            </w:pPr>
            <w:r w:rsidRPr="00965B02">
              <w:t>CWIS Existing Facilities</w:t>
            </w:r>
            <w:r w:rsidRPr="00DA0A68">
              <w:rPr>
                <w:vertAlign w:val="superscript"/>
              </w:rPr>
              <w:t>b</w:t>
            </w:r>
          </w:p>
        </w:tc>
        <w:tc>
          <w:tcPr>
            <w:tcW w:w="1170" w:type="dxa"/>
          </w:tcPr>
          <w:p w14:paraId="30E7D0DA" w14:textId="031ED371" w:rsidR="009C632C" w:rsidRPr="00C50579" w:rsidRDefault="009C632C" w:rsidP="00871F94">
            <w:pPr>
              <w:pStyle w:val="Tables"/>
              <w:jc w:val="right"/>
            </w:pPr>
            <w:r w:rsidRPr="00C50579">
              <w:t>634,596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843F63D" w14:textId="50A24C86" w:rsidR="009C632C" w:rsidRPr="00C50579" w:rsidRDefault="009C632C" w:rsidP="00871F94">
            <w:pPr>
              <w:pStyle w:val="Tables"/>
              <w:jc w:val="right"/>
            </w:pPr>
            <w:r w:rsidRPr="00C50579">
              <w:t>1,522,660</w:t>
            </w:r>
          </w:p>
        </w:tc>
        <w:tc>
          <w:tcPr>
            <w:tcW w:w="900" w:type="dxa"/>
            <w:tcBorders>
              <w:top w:val="single" w:sz="4" w:space="0" w:color="auto"/>
              <w:left w:val="nil"/>
              <w:bottom w:val="single" w:sz="4" w:space="0" w:color="auto"/>
              <w:right w:val="single" w:sz="4" w:space="0" w:color="auto"/>
            </w:tcBorders>
            <w:shd w:val="clear" w:color="auto" w:fill="auto"/>
            <w:noWrap/>
          </w:tcPr>
          <w:p w14:paraId="724A6117" w14:textId="7D5E8C8A" w:rsidR="009C632C" w:rsidRPr="00C50579" w:rsidRDefault="009C632C" w:rsidP="00871F94">
            <w:pPr>
              <w:pStyle w:val="Tables"/>
              <w:jc w:val="right"/>
            </w:pPr>
            <w:r w:rsidRPr="00C50579">
              <w:t>0</w:t>
            </w:r>
          </w:p>
        </w:tc>
        <w:tc>
          <w:tcPr>
            <w:tcW w:w="1260" w:type="dxa"/>
            <w:tcBorders>
              <w:top w:val="single" w:sz="4" w:space="0" w:color="auto"/>
              <w:left w:val="nil"/>
              <w:bottom w:val="single" w:sz="4" w:space="0" w:color="auto"/>
              <w:right w:val="single" w:sz="4" w:space="0" w:color="auto"/>
            </w:tcBorders>
            <w:shd w:val="clear" w:color="auto" w:fill="auto"/>
            <w:noWrap/>
          </w:tcPr>
          <w:p w14:paraId="2A7BB4E1" w14:textId="2F429580" w:rsidR="009C632C" w:rsidRPr="00C50579" w:rsidRDefault="009C632C" w:rsidP="00871F94">
            <w:pPr>
              <w:pStyle w:val="Tables"/>
              <w:jc w:val="right"/>
            </w:pPr>
            <w:r w:rsidRPr="00C50579">
              <w:t>0</w:t>
            </w:r>
          </w:p>
        </w:tc>
        <w:tc>
          <w:tcPr>
            <w:tcW w:w="1080" w:type="dxa"/>
            <w:tcBorders>
              <w:top w:val="single" w:sz="4" w:space="0" w:color="auto"/>
              <w:left w:val="nil"/>
              <w:bottom w:val="single" w:sz="4" w:space="0" w:color="auto"/>
              <w:right w:val="single" w:sz="4" w:space="0" w:color="auto"/>
            </w:tcBorders>
            <w:shd w:val="clear" w:color="auto" w:fill="auto"/>
            <w:noWrap/>
          </w:tcPr>
          <w:p w14:paraId="66D6E996" w14:textId="286E23A5" w:rsidR="009C632C" w:rsidRPr="00C50579" w:rsidRDefault="009C632C" w:rsidP="00871F94">
            <w:pPr>
              <w:pStyle w:val="Tables"/>
              <w:jc w:val="right"/>
            </w:pPr>
            <w:r w:rsidRPr="00C50579">
              <w:t>888,064</w:t>
            </w:r>
          </w:p>
        </w:tc>
        <w:tc>
          <w:tcPr>
            <w:tcW w:w="990" w:type="dxa"/>
            <w:tcBorders>
              <w:top w:val="single" w:sz="4" w:space="0" w:color="auto"/>
              <w:left w:val="nil"/>
              <w:bottom w:val="single" w:sz="4" w:space="0" w:color="auto"/>
              <w:right w:val="single" w:sz="4" w:space="0" w:color="auto"/>
            </w:tcBorders>
            <w:shd w:val="clear" w:color="auto" w:fill="auto"/>
            <w:noWrap/>
          </w:tcPr>
          <w:p w14:paraId="5DCC1521" w14:textId="75E309B9" w:rsidR="009C632C" w:rsidRPr="00C50579" w:rsidDel="00F66FE3" w:rsidRDefault="009C632C" w:rsidP="00871F94">
            <w:pPr>
              <w:pStyle w:val="Tables"/>
              <w:jc w:val="right"/>
            </w:pPr>
            <w:r>
              <w:t>140%</w:t>
            </w:r>
          </w:p>
        </w:tc>
      </w:tr>
      <w:tr w:rsidR="009C632C" w:rsidRPr="00944A10" w14:paraId="31B1DF8F" w14:textId="77777777" w:rsidTr="007F5D04">
        <w:trPr>
          <w:trHeight w:val="264"/>
          <w:jc w:val="center"/>
        </w:trPr>
        <w:tc>
          <w:tcPr>
            <w:tcW w:w="2065" w:type="dxa"/>
            <w:vAlign w:val="center"/>
          </w:tcPr>
          <w:p w14:paraId="1185870D" w14:textId="4E398ABE" w:rsidR="009C632C" w:rsidRPr="00965B02" w:rsidRDefault="009C632C" w:rsidP="00871F94">
            <w:pPr>
              <w:pStyle w:val="Tables"/>
            </w:pPr>
            <w:r w:rsidRPr="00965B02">
              <w:t>Animal Sector</w:t>
            </w:r>
            <w:r w:rsidR="00B76D3E">
              <w:rPr>
                <w:vertAlign w:val="superscript"/>
              </w:rPr>
              <w:t>c</w:t>
            </w:r>
          </w:p>
        </w:tc>
        <w:tc>
          <w:tcPr>
            <w:tcW w:w="1170" w:type="dxa"/>
          </w:tcPr>
          <w:p w14:paraId="4A9ABD7C" w14:textId="2255C82E" w:rsidR="009C632C" w:rsidRPr="00C50579" w:rsidRDefault="009C632C" w:rsidP="00871F94">
            <w:pPr>
              <w:pStyle w:val="Tables"/>
              <w:jc w:val="right"/>
            </w:pPr>
            <w:r w:rsidRPr="00C50579">
              <w:t>3,136,800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D642DFE" w14:textId="6525FF28" w:rsidR="009C632C" w:rsidRPr="00C50579" w:rsidRDefault="009C632C" w:rsidP="00871F94">
            <w:pPr>
              <w:pStyle w:val="Tables"/>
              <w:jc w:val="right"/>
            </w:pPr>
            <w:r w:rsidRPr="00C50579">
              <w:t>2,</w:t>
            </w:r>
            <w:r w:rsidR="00F37F07">
              <w:t>775,871</w:t>
            </w:r>
          </w:p>
        </w:tc>
        <w:tc>
          <w:tcPr>
            <w:tcW w:w="900" w:type="dxa"/>
            <w:tcBorders>
              <w:top w:val="single" w:sz="4" w:space="0" w:color="auto"/>
              <w:left w:val="nil"/>
              <w:bottom w:val="single" w:sz="4" w:space="0" w:color="auto"/>
              <w:right w:val="single" w:sz="4" w:space="0" w:color="auto"/>
            </w:tcBorders>
            <w:shd w:val="clear" w:color="auto" w:fill="auto"/>
            <w:noWrap/>
          </w:tcPr>
          <w:p w14:paraId="77452AFC" w14:textId="5E4B0602" w:rsidR="009C632C" w:rsidRPr="00C50579" w:rsidRDefault="009C632C" w:rsidP="00871F94">
            <w:pPr>
              <w:pStyle w:val="Tables"/>
              <w:jc w:val="right"/>
            </w:pPr>
            <w:r w:rsidRPr="00C50579">
              <w:t>0</w:t>
            </w:r>
          </w:p>
        </w:tc>
        <w:tc>
          <w:tcPr>
            <w:tcW w:w="1260" w:type="dxa"/>
            <w:tcBorders>
              <w:top w:val="single" w:sz="4" w:space="0" w:color="auto"/>
              <w:left w:val="nil"/>
              <w:bottom w:val="single" w:sz="4" w:space="0" w:color="auto"/>
              <w:right w:val="single" w:sz="4" w:space="0" w:color="auto"/>
            </w:tcBorders>
            <w:shd w:val="clear" w:color="auto" w:fill="auto"/>
            <w:noWrap/>
          </w:tcPr>
          <w:p w14:paraId="338EEADA" w14:textId="7F3273F5" w:rsidR="009C632C" w:rsidRPr="00C50579" w:rsidRDefault="009C632C" w:rsidP="00871F94">
            <w:pPr>
              <w:pStyle w:val="Tables"/>
              <w:jc w:val="right"/>
            </w:pPr>
            <w:r w:rsidRPr="00C50579">
              <w:t>0</w:t>
            </w:r>
          </w:p>
        </w:tc>
        <w:tc>
          <w:tcPr>
            <w:tcW w:w="1080" w:type="dxa"/>
            <w:tcBorders>
              <w:top w:val="single" w:sz="4" w:space="0" w:color="auto"/>
              <w:left w:val="nil"/>
              <w:bottom w:val="single" w:sz="4" w:space="0" w:color="auto"/>
              <w:right w:val="single" w:sz="4" w:space="0" w:color="auto"/>
            </w:tcBorders>
            <w:shd w:val="clear" w:color="auto" w:fill="auto"/>
            <w:noWrap/>
          </w:tcPr>
          <w:p w14:paraId="0CD476DA" w14:textId="7DBA86C2" w:rsidR="009C632C" w:rsidRPr="00C50579" w:rsidRDefault="009C632C" w:rsidP="00871F94">
            <w:pPr>
              <w:pStyle w:val="Tables"/>
              <w:jc w:val="right"/>
            </w:pPr>
            <w:r w:rsidRPr="00C50579">
              <w:t>-</w:t>
            </w:r>
            <w:r w:rsidR="00F37F07">
              <w:t>360,929</w:t>
            </w:r>
          </w:p>
        </w:tc>
        <w:tc>
          <w:tcPr>
            <w:tcW w:w="990" w:type="dxa"/>
            <w:tcBorders>
              <w:top w:val="single" w:sz="4" w:space="0" w:color="auto"/>
              <w:left w:val="nil"/>
              <w:bottom w:val="single" w:sz="4" w:space="0" w:color="auto"/>
              <w:right w:val="single" w:sz="4" w:space="0" w:color="auto"/>
            </w:tcBorders>
            <w:shd w:val="clear" w:color="auto" w:fill="auto"/>
            <w:noWrap/>
          </w:tcPr>
          <w:p w14:paraId="4DE051E0" w14:textId="5E58BA24" w:rsidR="009C632C" w:rsidRPr="00C50579" w:rsidDel="00F66FE3" w:rsidRDefault="00B21BD7" w:rsidP="00871F94">
            <w:pPr>
              <w:pStyle w:val="Tables"/>
              <w:jc w:val="right"/>
            </w:pPr>
            <w:r w:rsidRPr="00BF4F66">
              <w:t>-12%</w:t>
            </w:r>
          </w:p>
        </w:tc>
      </w:tr>
      <w:tr w:rsidR="00F66FE3" w:rsidRPr="00944A10" w14:paraId="4285846A" w14:textId="77777777" w:rsidTr="007F5D04">
        <w:trPr>
          <w:trHeight w:val="264"/>
          <w:jc w:val="center"/>
        </w:trPr>
        <w:tc>
          <w:tcPr>
            <w:tcW w:w="2065" w:type="dxa"/>
            <w:vAlign w:val="center"/>
            <w:hideMark/>
          </w:tcPr>
          <w:p w14:paraId="13E934AF" w14:textId="77777777" w:rsidR="00F66FE3" w:rsidRPr="00965B02" w:rsidRDefault="00F66FE3" w:rsidP="00871F94">
            <w:pPr>
              <w:pStyle w:val="Tables"/>
            </w:pPr>
            <w:r w:rsidRPr="00965B02">
              <w:t>Consolidated NPDES</w:t>
            </w:r>
          </w:p>
        </w:tc>
        <w:tc>
          <w:tcPr>
            <w:tcW w:w="1170" w:type="dxa"/>
          </w:tcPr>
          <w:p w14:paraId="2369C7F1" w14:textId="568DD8FB" w:rsidR="00F66FE3" w:rsidRPr="00C50579" w:rsidRDefault="00F66FE3" w:rsidP="00871F94">
            <w:pPr>
              <w:pStyle w:val="Tables"/>
              <w:jc w:val="right"/>
            </w:pPr>
            <w:r w:rsidRPr="00C50579">
              <w:t>21,041,107</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7496C6A2" w14:textId="77D0A986" w:rsidR="00F66FE3" w:rsidRPr="00C50579" w:rsidRDefault="00F66FE3" w:rsidP="00871F94">
            <w:pPr>
              <w:pStyle w:val="Tables"/>
              <w:jc w:val="right"/>
            </w:pPr>
            <w:r w:rsidRPr="00C50579">
              <w:t>21,</w:t>
            </w:r>
            <w:r w:rsidR="00F37F07">
              <w:t>672,817</w:t>
            </w:r>
          </w:p>
        </w:tc>
        <w:tc>
          <w:tcPr>
            <w:tcW w:w="900" w:type="dxa"/>
            <w:tcBorders>
              <w:top w:val="single" w:sz="4" w:space="0" w:color="auto"/>
              <w:left w:val="nil"/>
              <w:bottom w:val="single" w:sz="4" w:space="0" w:color="auto"/>
              <w:right w:val="single" w:sz="4" w:space="0" w:color="auto"/>
            </w:tcBorders>
            <w:shd w:val="clear" w:color="auto" w:fill="auto"/>
            <w:noWrap/>
            <w:hideMark/>
          </w:tcPr>
          <w:p w14:paraId="574F235F" w14:textId="3BFB1CB1" w:rsidR="00F66FE3" w:rsidRPr="00C50579" w:rsidRDefault="00F66FE3" w:rsidP="00871F94">
            <w:pPr>
              <w:pStyle w:val="Tables"/>
              <w:jc w:val="right"/>
            </w:pPr>
            <w:r w:rsidRPr="00C50579">
              <w:t>0</w:t>
            </w:r>
          </w:p>
        </w:tc>
        <w:tc>
          <w:tcPr>
            <w:tcW w:w="1260" w:type="dxa"/>
            <w:tcBorders>
              <w:top w:val="single" w:sz="4" w:space="0" w:color="auto"/>
              <w:left w:val="nil"/>
              <w:bottom w:val="single" w:sz="4" w:space="0" w:color="auto"/>
              <w:right w:val="single" w:sz="4" w:space="0" w:color="auto"/>
            </w:tcBorders>
            <w:shd w:val="clear" w:color="auto" w:fill="auto"/>
            <w:noWrap/>
            <w:hideMark/>
          </w:tcPr>
          <w:p w14:paraId="120CCA5B" w14:textId="31DC6296" w:rsidR="00F66FE3" w:rsidRPr="00C50579" w:rsidRDefault="00F66FE3" w:rsidP="00871F94">
            <w:pPr>
              <w:pStyle w:val="Tables"/>
              <w:jc w:val="right"/>
            </w:pPr>
            <w:r w:rsidRPr="00C50579">
              <w:t>0</w:t>
            </w:r>
          </w:p>
        </w:tc>
        <w:tc>
          <w:tcPr>
            <w:tcW w:w="1080" w:type="dxa"/>
            <w:tcBorders>
              <w:top w:val="single" w:sz="4" w:space="0" w:color="auto"/>
              <w:left w:val="nil"/>
              <w:bottom w:val="single" w:sz="4" w:space="0" w:color="auto"/>
              <w:right w:val="single" w:sz="4" w:space="0" w:color="auto"/>
            </w:tcBorders>
            <w:shd w:val="clear" w:color="auto" w:fill="auto"/>
            <w:noWrap/>
            <w:hideMark/>
          </w:tcPr>
          <w:p w14:paraId="0FBBCC8B" w14:textId="1B046CFF" w:rsidR="00F66FE3" w:rsidRPr="00C50579" w:rsidRDefault="00F37F07" w:rsidP="00871F94">
            <w:pPr>
              <w:pStyle w:val="Tables"/>
              <w:jc w:val="right"/>
            </w:pPr>
            <w:r>
              <w:t>631,711</w:t>
            </w:r>
          </w:p>
        </w:tc>
        <w:tc>
          <w:tcPr>
            <w:tcW w:w="990" w:type="dxa"/>
            <w:tcBorders>
              <w:top w:val="single" w:sz="4" w:space="0" w:color="auto"/>
              <w:left w:val="nil"/>
              <w:bottom w:val="single" w:sz="4" w:space="0" w:color="auto"/>
              <w:right w:val="single" w:sz="4" w:space="0" w:color="auto"/>
            </w:tcBorders>
            <w:shd w:val="clear" w:color="auto" w:fill="auto"/>
            <w:noWrap/>
          </w:tcPr>
          <w:p w14:paraId="261D0640" w14:textId="13D63B18" w:rsidR="00F66FE3" w:rsidRPr="00C50579" w:rsidRDefault="00F37F07" w:rsidP="00871F94">
            <w:pPr>
              <w:pStyle w:val="Tables"/>
              <w:jc w:val="right"/>
            </w:pPr>
            <w:r>
              <w:t>3</w:t>
            </w:r>
            <w:r w:rsidR="000849B3">
              <w:t>.0</w:t>
            </w:r>
            <w:r w:rsidR="00F66FE3" w:rsidRPr="00C50579">
              <w:t>%</w:t>
            </w:r>
          </w:p>
        </w:tc>
      </w:tr>
      <w:tr w:rsidR="00F66FE3" w:rsidRPr="00944A10" w14:paraId="765DA67E" w14:textId="77777777" w:rsidTr="007F5D04">
        <w:trPr>
          <w:trHeight w:val="264"/>
          <w:jc w:val="center"/>
        </w:trPr>
        <w:tc>
          <w:tcPr>
            <w:tcW w:w="2065" w:type="dxa"/>
            <w:vAlign w:val="center"/>
            <w:hideMark/>
          </w:tcPr>
          <w:p w14:paraId="5B4997F1" w14:textId="77777777" w:rsidR="00F66FE3" w:rsidRPr="00965B02" w:rsidRDefault="00F66FE3" w:rsidP="00871F94">
            <w:pPr>
              <w:pStyle w:val="Tables"/>
            </w:pPr>
            <w:r w:rsidRPr="00965B02">
              <w:t>Pesticide Applicators</w:t>
            </w:r>
          </w:p>
        </w:tc>
        <w:tc>
          <w:tcPr>
            <w:tcW w:w="1170" w:type="dxa"/>
          </w:tcPr>
          <w:p w14:paraId="7E794FF4" w14:textId="53D47D75" w:rsidR="00F66FE3" w:rsidRPr="00C50579" w:rsidRDefault="00F66FE3" w:rsidP="00871F94">
            <w:pPr>
              <w:pStyle w:val="Tables"/>
              <w:jc w:val="right"/>
            </w:pPr>
            <w:r w:rsidRPr="00C50579">
              <w:t>834,756</w:t>
            </w:r>
          </w:p>
        </w:tc>
        <w:tc>
          <w:tcPr>
            <w:tcW w:w="1170" w:type="dxa"/>
            <w:tcBorders>
              <w:top w:val="nil"/>
              <w:left w:val="single" w:sz="4" w:space="0" w:color="auto"/>
              <w:bottom w:val="single" w:sz="4" w:space="0" w:color="auto"/>
              <w:right w:val="single" w:sz="4" w:space="0" w:color="auto"/>
            </w:tcBorders>
            <w:shd w:val="clear" w:color="auto" w:fill="auto"/>
            <w:noWrap/>
            <w:hideMark/>
          </w:tcPr>
          <w:p w14:paraId="3156D65D" w14:textId="203DD0A0" w:rsidR="00F66FE3" w:rsidRPr="00C50579" w:rsidRDefault="00F66FE3" w:rsidP="00871F94">
            <w:pPr>
              <w:pStyle w:val="Tables"/>
              <w:jc w:val="right"/>
            </w:pPr>
            <w:r w:rsidRPr="00C50579">
              <w:t>834,756</w:t>
            </w:r>
          </w:p>
        </w:tc>
        <w:tc>
          <w:tcPr>
            <w:tcW w:w="900" w:type="dxa"/>
            <w:tcBorders>
              <w:top w:val="nil"/>
              <w:left w:val="nil"/>
              <w:bottom w:val="single" w:sz="4" w:space="0" w:color="auto"/>
              <w:right w:val="single" w:sz="4" w:space="0" w:color="auto"/>
            </w:tcBorders>
            <w:shd w:val="clear" w:color="auto" w:fill="auto"/>
            <w:noWrap/>
            <w:hideMark/>
          </w:tcPr>
          <w:p w14:paraId="6B6A7125" w14:textId="7B109A44" w:rsidR="00F66FE3" w:rsidRPr="00C50579" w:rsidRDefault="00F66FE3" w:rsidP="00871F94">
            <w:pPr>
              <w:pStyle w:val="Tables"/>
              <w:jc w:val="right"/>
            </w:pPr>
            <w:r w:rsidRPr="00C50579">
              <w:t>0</w:t>
            </w:r>
          </w:p>
        </w:tc>
        <w:tc>
          <w:tcPr>
            <w:tcW w:w="1260" w:type="dxa"/>
            <w:tcBorders>
              <w:top w:val="nil"/>
              <w:left w:val="nil"/>
              <w:bottom w:val="single" w:sz="4" w:space="0" w:color="auto"/>
              <w:right w:val="single" w:sz="4" w:space="0" w:color="auto"/>
            </w:tcBorders>
            <w:shd w:val="clear" w:color="auto" w:fill="auto"/>
            <w:noWrap/>
            <w:hideMark/>
          </w:tcPr>
          <w:p w14:paraId="6D837D98" w14:textId="2AC7D3AC" w:rsidR="00F66FE3" w:rsidRPr="00C50579" w:rsidRDefault="00F66FE3" w:rsidP="00871F94">
            <w:pPr>
              <w:pStyle w:val="Tables"/>
              <w:jc w:val="right"/>
            </w:pPr>
            <w:r w:rsidRPr="00C50579">
              <w:t>0</w:t>
            </w:r>
          </w:p>
        </w:tc>
        <w:tc>
          <w:tcPr>
            <w:tcW w:w="1080" w:type="dxa"/>
            <w:tcBorders>
              <w:top w:val="nil"/>
              <w:left w:val="nil"/>
              <w:bottom w:val="single" w:sz="4" w:space="0" w:color="auto"/>
              <w:right w:val="single" w:sz="4" w:space="0" w:color="auto"/>
            </w:tcBorders>
            <w:shd w:val="clear" w:color="auto" w:fill="auto"/>
            <w:noWrap/>
            <w:hideMark/>
          </w:tcPr>
          <w:p w14:paraId="68761273" w14:textId="67894267" w:rsidR="00F66FE3" w:rsidRPr="00C50579" w:rsidRDefault="00F66FE3" w:rsidP="00871F94">
            <w:pPr>
              <w:pStyle w:val="Tables"/>
              <w:jc w:val="right"/>
            </w:pPr>
            <w:r w:rsidRPr="00C50579">
              <w:t>0</w:t>
            </w:r>
          </w:p>
        </w:tc>
        <w:tc>
          <w:tcPr>
            <w:tcW w:w="990" w:type="dxa"/>
            <w:tcBorders>
              <w:top w:val="nil"/>
              <w:left w:val="nil"/>
              <w:bottom w:val="single" w:sz="4" w:space="0" w:color="auto"/>
              <w:right w:val="single" w:sz="4" w:space="0" w:color="auto"/>
            </w:tcBorders>
            <w:shd w:val="clear" w:color="auto" w:fill="auto"/>
            <w:noWrap/>
          </w:tcPr>
          <w:p w14:paraId="0AF1B948" w14:textId="44B5A159" w:rsidR="00F66FE3" w:rsidRPr="00C50579" w:rsidRDefault="00F66FE3" w:rsidP="00871F94">
            <w:pPr>
              <w:pStyle w:val="Tables"/>
              <w:jc w:val="right"/>
            </w:pPr>
            <w:r w:rsidRPr="00C50579">
              <w:t>0.0%</w:t>
            </w:r>
          </w:p>
        </w:tc>
      </w:tr>
      <w:tr w:rsidR="00F66FE3" w:rsidRPr="00944A10" w14:paraId="2E1BB5BA" w14:textId="77777777" w:rsidTr="007F5D04">
        <w:trPr>
          <w:trHeight w:val="264"/>
          <w:jc w:val="center"/>
        </w:trPr>
        <w:tc>
          <w:tcPr>
            <w:tcW w:w="2065" w:type="dxa"/>
            <w:vAlign w:val="center"/>
            <w:hideMark/>
          </w:tcPr>
          <w:p w14:paraId="01C9177A" w14:textId="77777777" w:rsidR="00F66FE3" w:rsidRPr="00965B02" w:rsidRDefault="00F66FE3" w:rsidP="00871F94">
            <w:pPr>
              <w:pStyle w:val="Tables"/>
            </w:pPr>
            <w:r w:rsidRPr="00965B02">
              <w:t>Pretreatment Program</w:t>
            </w:r>
          </w:p>
        </w:tc>
        <w:tc>
          <w:tcPr>
            <w:tcW w:w="1170" w:type="dxa"/>
          </w:tcPr>
          <w:p w14:paraId="26C9F414" w14:textId="19DDD636" w:rsidR="00F66FE3" w:rsidRPr="00C50579" w:rsidRDefault="00F66FE3" w:rsidP="00871F94">
            <w:pPr>
              <w:pStyle w:val="Tables"/>
              <w:jc w:val="right"/>
            </w:pPr>
            <w:r w:rsidRPr="00C50579">
              <w:t>1,744,406</w:t>
            </w:r>
          </w:p>
        </w:tc>
        <w:tc>
          <w:tcPr>
            <w:tcW w:w="1170" w:type="dxa"/>
            <w:tcBorders>
              <w:top w:val="nil"/>
              <w:left w:val="single" w:sz="4" w:space="0" w:color="auto"/>
              <w:bottom w:val="single" w:sz="4" w:space="0" w:color="auto"/>
              <w:right w:val="single" w:sz="4" w:space="0" w:color="auto"/>
            </w:tcBorders>
            <w:shd w:val="clear" w:color="auto" w:fill="auto"/>
            <w:noWrap/>
            <w:hideMark/>
          </w:tcPr>
          <w:p w14:paraId="1A9665C9" w14:textId="0EFD4EF0" w:rsidR="00F66FE3" w:rsidRPr="00C50579" w:rsidRDefault="00F66FE3" w:rsidP="00871F94">
            <w:pPr>
              <w:pStyle w:val="Tables"/>
              <w:jc w:val="right"/>
            </w:pPr>
            <w:r w:rsidRPr="00C50579">
              <w:t>1,744,406</w:t>
            </w:r>
          </w:p>
        </w:tc>
        <w:tc>
          <w:tcPr>
            <w:tcW w:w="900" w:type="dxa"/>
            <w:tcBorders>
              <w:top w:val="nil"/>
              <w:left w:val="nil"/>
              <w:bottom w:val="single" w:sz="4" w:space="0" w:color="auto"/>
              <w:right w:val="single" w:sz="4" w:space="0" w:color="auto"/>
            </w:tcBorders>
            <w:shd w:val="clear" w:color="auto" w:fill="auto"/>
            <w:noWrap/>
            <w:hideMark/>
          </w:tcPr>
          <w:p w14:paraId="16CB87EC" w14:textId="5FEFCE55" w:rsidR="00F66FE3" w:rsidRPr="00C50579" w:rsidRDefault="00F66FE3" w:rsidP="00871F94">
            <w:pPr>
              <w:pStyle w:val="Tables"/>
              <w:jc w:val="right"/>
            </w:pPr>
            <w:r w:rsidRPr="00C50579">
              <w:t>0</w:t>
            </w:r>
          </w:p>
        </w:tc>
        <w:tc>
          <w:tcPr>
            <w:tcW w:w="1260" w:type="dxa"/>
            <w:tcBorders>
              <w:top w:val="nil"/>
              <w:left w:val="nil"/>
              <w:bottom w:val="single" w:sz="4" w:space="0" w:color="auto"/>
              <w:right w:val="single" w:sz="4" w:space="0" w:color="auto"/>
            </w:tcBorders>
            <w:shd w:val="clear" w:color="auto" w:fill="auto"/>
            <w:noWrap/>
            <w:hideMark/>
          </w:tcPr>
          <w:p w14:paraId="192A202F" w14:textId="0DCB7B42" w:rsidR="00F66FE3" w:rsidRPr="00C50579" w:rsidRDefault="00F66FE3" w:rsidP="00871F94">
            <w:pPr>
              <w:pStyle w:val="Tables"/>
              <w:jc w:val="right"/>
            </w:pPr>
            <w:r w:rsidRPr="00C50579">
              <w:t>0</w:t>
            </w:r>
          </w:p>
        </w:tc>
        <w:tc>
          <w:tcPr>
            <w:tcW w:w="1080" w:type="dxa"/>
            <w:tcBorders>
              <w:top w:val="nil"/>
              <w:left w:val="nil"/>
              <w:bottom w:val="single" w:sz="4" w:space="0" w:color="auto"/>
              <w:right w:val="single" w:sz="4" w:space="0" w:color="auto"/>
            </w:tcBorders>
            <w:shd w:val="clear" w:color="auto" w:fill="auto"/>
            <w:noWrap/>
            <w:hideMark/>
          </w:tcPr>
          <w:p w14:paraId="00216E70" w14:textId="5244476D" w:rsidR="00F66FE3" w:rsidRPr="00C50579" w:rsidRDefault="00F66FE3" w:rsidP="00871F94">
            <w:pPr>
              <w:pStyle w:val="Tables"/>
              <w:jc w:val="right"/>
            </w:pPr>
            <w:r w:rsidRPr="00C50579">
              <w:t>0</w:t>
            </w:r>
          </w:p>
        </w:tc>
        <w:tc>
          <w:tcPr>
            <w:tcW w:w="990" w:type="dxa"/>
            <w:tcBorders>
              <w:top w:val="nil"/>
              <w:left w:val="nil"/>
              <w:bottom w:val="single" w:sz="4" w:space="0" w:color="auto"/>
              <w:right w:val="single" w:sz="4" w:space="0" w:color="auto"/>
            </w:tcBorders>
            <w:shd w:val="clear" w:color="auto" w:fill="auto"/>
            <w:noWrap/>
          </w:tcPr>
          <w:p w14:paraId="31589367" w14:textId="06FB9B44" w:rsidR="00F66FE3" w:rsidRPr="00C50579" w:rsidRDefault="00F66FE3" w:rsidP="00871F94">
            <w:pPr>
              <w:pStyle w:val="Tables"/>
              <w:jc w:val="right"/>
            </w:pPr>
            <w:r w:rsidRPr="00C50579">
              <w:t>0.0%</w:t>
            </w:r>
          </w:p>
        </w:tc>
      </w:tr>
      <w:tr w:rsidR="00F66FE3" w:rsidRPr="00944A10" w14:paraId="12685B11" w14:textId="77777777" w:rsidTr="007F5D04">
        <w:trPr>
          <w:trHeight w:val="288"/>
          <w:jc w:val="center"/>
        </w:trPr>
        <w:tc>
          <w:tcPr>
            <w:tcW w:w="2065" w:type="dxa"/>
            <w:vAlign w:val="center"/>
            <w:hideMark/>
          </w:tcPr>
          <w:p w14:paraId="78177C34" w14:textId="77777777" w:rsidR="00F66FE3" w:rsidRPr="00965B02" w:rsidRDefault="00F66FE3" w:rsidP="00871F94">
            <w:pPr>
              <w:pStyle w:val="Tables"/>
            </w:pPr>
            <w:r w:rsidRPr="00965B02">
              <w:t>CWIS Phase I</w:t>
            </w:r>
          </w:p>
        </w:tc>
        <w:tc>
          <w:tcPr>
            <w:tcW w:w="1170" w:type="dxa"/>
          </w:tcPr>
          <w:p w14:paraId="5F8D16B8" w14:textId="6E6F8DE3" w:rsidR="00F66FE3" w:rsidRPr="00C50579" w:rsidRDefault="00F66FE3" w:rsidP="00871F94">
            <w:pPr>
              <w:pStyle w:val="Tables"/>
              <w:jc w:val="right"/>
            </w:pPr>
            <w:r w:rsidRPr="00C50579">
              <w:t>151,789</w:t>
            </w:r>
          </w:p>
        </w:tc>
        <w:tc>
          <w:tcPr>
            <w:tcW w:w="1170" w:type="dxa"/>
            <w:tcBorders>
              <w:top w:val="nil"/>
              <w:left w:val="single" w:sz="4" w:space="0" w:color="auto"/>
              <w:bottom w:val="single" w:sz="4" w:space="0" w:color="auto"/>
              <w:right w:val="single" w:sz="4" w:space="0" w:color="auto"/>
            </w:tcBorders>
            <w:shd w:val="clear" w:color="auto" w:fill="auto"/>
            <w:noWrap/>
            <w:hideMark/>
          </w:tcPr>
          <w:p w14:paraId="3804DCB7" w14:textId="2CA56128" w:rsidR="00F66FE3" w:rsidRPr="00C50579" w:rsidRDefault="00F66FE3" w:rsidP="00871F94">
            <w:pPr>
              <w:pStyle w:val="Tables"/>
              <w:jc w:val="right"/>
            </w:pPr>
            <w:r w:rsidRPr="00C50579">
              <w:t>151,789</w:t>
            </w:r>
          </w:p>
        </w:tc>
        <w:tc>
          <w:tcPr>
            <w:tcW w:w="900" w:type="dxa"/>
            <w:tcBorders>
              <w:top w:val="nil"/>
              <w:left w:val="nil"/>
              <w:bottom w:val="single" w:sz="4" w:space="0" w:color="auto"/>
              <w:right w:val="single" w:sz="4" w:space="0" w:color="auto"/>
            </w:tcBorders>
            <w:shd w:val="clear" w:color="auto" w:fill="auto"/>
            <w:noWrap/>
            <w:hideMark/>
          </w:tcPr>
          <w:p w14:paraId="2D941BD8" w14:textId="01156F34" w:rsidR="00F66FE3" w:rsidRPr="00C50579" w:rsidRDefault="00F66FE3" w:rsidP="00871F94">
            <w:pPr>
              <w:pStyle w:val="Tables"/>
              <w:jc w:val="right"/>
            </w:pPr>
            <w:r w:rsidRPr="00C50579">
              <w:t>0</w:t>
            </w:r>
          </w:p>
        </w:tc>
        <w:tc>
          <w:tcPr>
            <w:tcW w:w="1260" w:type="dxa"/>
            <w:tcBorders>
              <w:top w:val="nil"/>
              <w:left w:val="nil"/>
              <w:bottom w:val="single" w:sz="4" w:space="0" w:color="auto"/>
              <w:right w:val="single" w:sz="4" w:space="0" w:color="auto"/>
            </w:tcBorders>
            <w:shd w:val="clear" w:color="auto" w:fill="auto"/>
            <w:noWrap/>
            <w:hideMark/>
          </w:tcPr>
          <w:p w14:paraId="25FCEC43" w14:textId="2E57C42E" w:rsidR="00F66FE3" w:rsidRPr="00C50579" w:rsidRDefault="00F66FE3" w:rsidP="00871F94">
            <w:pPr>
              <w:pStyle w:val="Tables"/>
              <w:jc w:val="right"/>
            </w:pPr>
            <w:r w:rsidRPr="00C50579">
              <w:t>0</w:t>
            </w:r>
          </w:p>
        </w:tc>
        <w:tc>
          <w:tcPr>
            <w:tcW w:w="1080" w:type="dxa"/>
            <w:tcBorders>
              <w:top w:val="nil"/>
              <w:left w:val="nil"/>
              <w:bottom w:val="single" w:sz="4" w:space="0" w:color="auto"/>
              <w:right w:val="single" w:sz="4" w:space="0" w:color="auto"/>
            </w:tcBorders>
            <w:shd w:val="clear" w:color="auto" w:fill="auto"/>
            <w:noWrap/>
            <w:hideMark/>
          </w:tcPr>
          <w:p w14:paraId="7300820E" w14:textId="780DEB94" w:rsidR="00F66FE3" w:rsidRPr="00C50579" w:rsidRDefault="00F66FE3" w:rsidP="00871F94">
            <w:pPr>
              <w:pStyle w:val="Tables"/>
              <w:jc w:val="right"/>
            </w:pPr>
            <w:r w:rsidRPr="00C50579">
              <w:t>0</w:t>
            </w:r>
          </w:p>
        </w:tc>
        <w:tc>
          <w:tcPr>
            <w:tcW w:w="990" w:type="dxa"/>
            <w:tcBorders>
              <w:top w:val="nil"/>
              <w:left w:val="nil"/>
              <w:bottom w:val="single" w:sz="4" w:space="0" w:color="auto"/>
              <w:right w:val="single" w:sz="4" w:space="0" w:color="auto"/>
            </w:tcBorders>
            <w:shd w:val="clear" w:color="auto" w:fill="auto"/>
            <w:noWrap/>
          </w:tcPr>
          <w:p w14:paraId="5553FEF2" w14:textId="7D804190" w:rsidR="00F66FE3" w:rsidRPr="00C50579" w:rsidRDefault="00F66FE3" w:rsidP="00871F94">
            <w:pPr>
              <w:pStyle w:val="Tables"/>
              <w:jc w:val="right"/>
            </w:pPr>
            <w:r w:rsidRPr="00C50579">
              <w:t>0.0%</w:t>
            </w:r>
          </w:p>
        </w:tc>
      </w:tr>
      <w:tr w:rsidR="00F66FE3" w:rsidRPr="00944A10" w14:paraId="18DD3842" w14:textId="77777777" w:rsidTr="007F5D04">
        <w:trPr>
          <w:trHeight w:val="288"/>
          <w:jc w:val="center"/>
        </w:trPr>
        <w:tc>
          <w:tcPr>
            <w:tcW w:w="2065" w:type="dxa"/>
            <w:vAlign w:val="center"/>
          </w:tcPr>
          <w:p w14:paraId="487A43C9" w14:textId="77777777" w:rsidR="00F66FE3" w:rsidRPr="00965B02" w:rsidRDefault="00F66FE3" w:rsidP="00871F94">
            <w:pPr>
              <w:pStyle w:val="Tables"/>
            </w:pPr>
            <w:r w:rsidRPr="00965B02">
              <w:t>CWIS Phase III</w:t>
            </w:r>
          </w:p>
        </w:tc>
        <w:tc>
          <w:tcPr>
            <w:tcW w:w="1170" w:type="dxa"/>
          </w:tcPr>
          <w:p w14:paraId="1235E980" w14:textId="48A3271D" w:rsidR="00F66FE3" w:rsidRPr="00C50579" w:rsidRDefault="00F66FE3" w:rsidP="00871F94">
            <w:pPr>
              <w:pStyle w:val="Tables"/>
              <w:jc w:val="right"/>
            </w:pPr>
            <w:r w:rsidRPr="00C50579">
              <w:t>56,755</w:t>
            </w:r>
          </w:p>
        </w:tc>
        <w:tc>
          <w:tcPr>
            <w:tcW w:w="1170" w:type="dxa"/>
            <w:tcBorders>
              <w:top w:val="nil"/>
              <w:left w:val="single" w:sz="4" w:space="0" w:color="auto"/>
              <w:bottom w:val="single" w:sz="4" w:space="0" w:color="auto"/>
              <w:right w:val="single" w:sz="4" w:space="0" w:color="auto"/>
            </w:tcBorders>
            <w:shd w:val="clear" w:color="auto" w:fill="auto"/>
            <w:noWrap/>
          </w:tcPr>
          <w:p w14:paraId="15876118" w14:textId="42AD6CDB" w:rsidR="00F66FE3" w:rsidRPr="00C50579" w:rsidRDefault="00F66FE3" w:rsidP="00871F94">
            <w:pPr>
              <w:pStyle w:val="Tables"/>
              <w:jc w:val="right"/>
            </w:pPr>
            <w:r w:rsidRPr="00C50579">
              <w:t>58,016</w:t>
            </w:r>
          </w:p>
        </w:tc>
        <w:tc>
          <w:tcPr>
            <w:tcW w:w="900" w:type="dxa"/>
            <w:tcBorders>
              <w:top w:val="nil"/>
              <w:left w:val="nil"/>
              <w:bottom w:val="single" w:sz="4" w:space="0" w:color="auto"/>
              <w:right w:val="single" w:sz="4" w:space="0" w:color="auto"/>
            </w:tcBorders>
            <w:shd w:val="clear" w:color="auto" w:fill="auto"/>
            <w:noWrap/>
          </w:tcPr>
          <w:p w14:paraId="05A49EDA" w14:textId="07AB8775" w:rsidR="00F66FE3" w:rsidRPr="00C50579" w:rsidRDefault="00F66FE3" w:rsidP="00871F94">
            <w:pPr>
              <w:pStyle w:val="Tables"/>
              <w:jc w:val="right"/>
            </w:pPr>
            <w:r w:rsidRPr="00C50579">
              <w:t>0</w:t>
            </w:r>
          </w:p>
        </w:tc>
        <w:tc>
          <w:tcPr>
            <w:tcW w:w="1260" w:type="dxa"/>
            <w:tcBorders>
              <w:top w:val="nil"/>
              <w:left w:val="nil"/>
              <w:bottom w:val="single" w:sz="4" w:space="0" w:color="auto"/>
              <w:right w:val="single" w:sz="4" w:space="0" w:color="auto"/>
            </w:tcBorders>
            <w:shd w:val="clear" w:color="auto" w:fill="auto"/>
            <w:noWrap/>
          </w:tcPr>
          <w:p w14:paraId="176ECF77" w14:textId="5A785AAF" w:rsidR="00F66FE3" w:rsidRPr="00C50579" w:rsidRDefault="00F66FE3" w:rsidP="00871F94">
            <w:pPr>
              <w:pStyle w:val="Tables"/>
              <w:jc w:val="right"/>
            </w:pPr>
            <w:r w:rsidRPr="00C50579">
              <w:t>0</w:t>
            </w:r>
          </w:p>
        </w:tc>
        <w:tc>
          <w:tcPr>
            <w:tcW w:w="1080" w:type="dxa"/>
            <w:tcBorders>
              <w:top w:val="nil"/>
              <w:left w:val="nil"/>
              <w:bottom w:val="single" w:sz="4" w:space="0" w:color="auto"/>
              <w:right w:val="single" w:sz="4" w:space="0" w:color="auto"/>
            </w:tcBorders>
            <w:shd w:val="clear" w:color="auto" w:fill="auto"/>
            <w:noWrap/>
          </w:tcPr>
          <w:p w14:paraId="1119B989" w14:textId="563BDAD7" w:rsidR="00F66FE3" w:rsidRPr="00C50579" w:rsidRDefault="00F66FE3" w:rsidP="00871F94">
            <w:pPr>
              <w:pStyle w:val="Tables"/>
              <w:jc w:val="right"/>
            </w:pPr>
            <w:r w:rsidRPr="00C50579">
              <w:t>1,261</w:t>
            </w:r>
          </w:p>
        </w:tc>
        <w:tc>
          <w:tcPr>
            <w:tcW w:w="990" w:type="dxa"/>
            <w:tcBorders>
              <w:top w:val="nil"/>
              <w:left w:val="nil"/>
              <w:bottom w:val="single" w:sz="4" w:space="0" w:color="auto"/>
              <w:right w:val="single" w:sz="4" w:space="0" w:color="auto"/>
            </w:tcBorders>
            <w:shd w:val="clear" w:color="auto" w:fill="auto"/>
            <w:noWrap/>
          </w:tcPr>
          <w:p w14:paraId="59AE9028" w14:textId="3C60248E" w:rsidR="00F66FE3" w:rsidRPr="00C50579" w:rsidRDefault="00F66FE3" w:rsidP="00871F94">
            <w:pPr>
              <w:pStyle w:val="Tables"/>
              <w:jc w:val="right"/>
            </w:pPr>
            <w:r w:rsidRPr="00C50579">
              <w:t>2.2%</w:t>
            </w:r>
          </w:p>
        </w:tc>
      </w:tr>
      <w:tr w:rsidR="00F66FE3" w:rsidRPr="00944A10" w14:paraId="02B832E8" w14:textId="77777777" w:rsidTr="007F5D04">
        <w:trPr>
          <w:trHeight w:val="264"/>
          <w:jc w:val="center"/>
        </w:trPr>
        <w:tc>
          <w:tcPr>
            <w:tcW w:w="2065" w:type="dxa"/>
            <w:vAlign w:val="center"/>
            <w:hideMark/>
          </w:tcPr>
          <w:p w14:paraId="1288EAD0" w14:textId="4E8AA4B2" w:rsidR="00F66FE3" w:rsidRPr="00965B02" w:rsidRDefault="00F66FE3" w:rsidP="00871F94">
            <w:pPr>
              <w:pStyle w:val="Tables"/>
            </w:pPr>
            <w:r w:rsidRPr="00965B02">
              <w:t>Total</w:t>
            </w:r>
            <w:r>
              <w:t xml:space="preserve"> </w:t>
            </w:r>
          </w:p>
        </w:tc>
        <w:tc>
          <w:tcPr>
            <w:tcW w:w="1170" w:type="dxa"/>
          </w:tcPr>
          <w:p w14:paraId="355C8588" w14:textId="1D4E8EB1" w:rsidR="00F66FE3" w:rsidRPr="00C50579" w:rsidRDefault="00F66FE3" w:rsidP="00871F94">
            <w:pPr>
              <w:pStyle w:val="Tables"/>
              <w:jc w:val="right"/>
            </w:pPr>
            <w:r w:rsidRPr="00C50579">
              <w:t>27,402,973</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9A4E922" w14:textId="1CA5D400" w:rsidR="00F66FE3" w:rsidRPr="00C50579" w:rsidRDefault="00F37F07" w:rsidP="00871F94">
            <w:pPr>
              <w:pStyle w:val="Tables"/>
              <w:jc w:val="right"/>
            </w:pPr>
            <w:r>
              <w:t>28,239,262</w:t>
            </w:r>
          </w:p>
        </w:tc>
        <w:tc>
          <w:tcPr>
            <w:tcW w:w="900" w:type="dxa"/>
            <w:tcBorders>
              <w:top w:val="single" w:sz="4" w:space="0" w:color="auto"/>
              <w:left w:val="nil"/>
              <w:bottom w:val="single" w:sz="4" w:space="0" w:color="auto"/>
              <w:right w:val="single" w:sz="4" w:space="0" w:color="auto"/>
            </w:tcBorders>
            <w:shd w:val="clear" w:color="auto" w:fill="auto"/>
            <w:noWrap/>
            <w:hideMark/>
          </w:tcPr>
          <w:p w14:paraId="36908057" w14:textId="5CECB7D2" w:rsidR="00F66FE3" w:rsidRPr="00C50579" w:rsidRDefault="00F66FE3" w:rsidP="00871F94">
            <w:pPr>
              <w:pStyle w:val="Tables"/>
              <w:jc w:val="right"/>
            </w:pPr>
            <w:r w:rsidRPr="00C50579">
              <w:t>0</w:t>
            </w:r>
          </w:p>
        </w:tc>
        <w:tc>
          <w:tcPr>
            <w:tcW w:w="1260" w:type="dxa"/>
            <w:tcBorders>
              <w:top w:val="single" w:sz="4" w:space="0" w:color="auto"/>
              <w:left w:val="nil"/>
              <w:bottom w:val="single" w:sz="4" w:space="0" w:color="auto"/>
              <w:right w:val="single" w:sz="4" w:space="0" w:color="auto"/>
            </w:tcBorders>
            <w:shd w:val="clear" w:color="auto" w:fill="auto"/>
            <w:noWrap/>
            <w:hideMark/>
          </w:tcPr>
          <w:p w14:paraId="60984BEA" w14:textId="5284832F" w:rsidR="00F66FE3" w:rsidRPr="00C50579" w:rsidRDefault="00F66FE3" w:rsidP="00871F94">
            <w:pPr>
              <w:pStyle w:val="Tables"/>
              <w:jc w:val="right"/>
            </w:pPr>
            <w:r w:rsidRPr="00C50579">
              <w:t>0</w:t>
            </w:r>
          </w:p>
        </w:tc>
        <w:tc>
          <w:tcPr>
            <w:tcW w:w="1080" w:type="dxa"/>
            <w:tcBorders>
              <w:top w:val="single" w:sz="4" w:space="0" w:color="auto"/>
              <w:left w:val="nil"/>
              <w:bottom w:val="single" w:sz="4" w:space="0" w:color="auto"/>
              <w:right w:val="single" w:sz="4" w:space="0" w:color="auto"/>
            </w:tcBorders>
            <w:shd w:val="clear" w:color="auto" w:fill="auto"/>
            <w:noWrap/>
            <w:hideMark/>
          </w:tcPr>
          <w:p w14:paraId="4DA546B2" w14:textId="20C2B408" w:rsidR="00F66FE3" w:rsidRPr="00C50579" w:rsidRDefault="00F37F07" w:rsidP="00871F94">
            <w:pPr>
              <w:pStyle w:val="Tables"/>
              <w:jc w:val="right"/>
            </w:pPr>
            <w:r>
              <w:t>836,289</w:t>
            </w:r>
          </w:p>
        </w:tc>
        <w:tc>
          <w:tcPr>
            <w:tcW w:w="990" w:type="dxa"/>
            <w:tcBorders>
              <w:top w:val="single" w:sz="4" w:space="0" w:color="auto"/>
              <w:left w:val="nil"/>
              <w:bottom w:val="single" w:sz="4" w:space="0" w:color="auto"/>
              <w:right w:val="single" w:sz="4" w:space="0" w:color="auto"/>
            </w:tcBorders>
            <w:shd w:val="clear" w:color="auto" w:fill="auto"/>
            <w:noWrap/>
          </w:tcPr>
          <w:p w14:paraId="0A33DD29" w14:textId="68815AF0" w:rsidR="00F66FE3" w:rsidRPr="00C50579" w:rsidRDefault="00F37F07" w:rsidP="00871F94">
            <w:pPr>
              <w:pStyle w:val="Tables"/>
              <w:jc w:val="right"/>
            </w:pPr>
            <w:r>
              <w:t>3.1</w:t>
            </w:r>
            <w:r w:rsidR="00F66FE3" w:rsidRPr="00C50579">
              <w:t>%</w:t>
            </w:r>
          </w:p>
        </w:tc>
      </w:tr>
    </w:tbl>
    <w:p w14:paraId="214A2AD7" w14:textId="57132FA7" w:rsidR="00B76D3E" w:rsidRDefault="00B76D3E" w:rsidP="007D1F75">
      <w:pPr>
        <w:pStyle w:val="Tablenote"/>
        <w:ind w:left="180" w:hanging="180"/>
      </w:pPr>
      <w:r>
        <w:rPr>
          <w:vertAlign w:val="superscript"/>
        </w:rPr>
        <w:t>a</w:t>
      </w:r>
      <w:r w:rsidRPr="00DA0A68">
        <w:t xml:space="preserve"> </w:t>
      </w:r>
      <w:r w:rsidR="007D1F75">
        <w:tab/>
      </w:r>
      <w:r w:rsidR="00007CFD">
        <w:t>S</w:t>
      </w:r>
      <w:r w:rsidR="00F34FEE" w:rsidRPr="00DA0A68">
        <w:t xml:space="preserve">ubstantial </w:t>
      </w:r>
      <w:r w:rsidR="00F34FEE">
        <w:t>de</w:t>
      </w:r>
      <w:r w:rsidR="00F34FEE" w:rsidRPr="00DA0A68">
        <w:t xml:space="preserve">crease was due to the </w:t>
      </w:r>
      <w:r w:rsidR="00F34FEE">
        <w:t xml:space="preserve">reduced </w:t>
      </w:r>
      <w:r w:rsidR="00DB4B30">
        <w:t>duplication of activities</w:t>
      </w:r>
      <w:r w:rsidR="00D823DB">
        <w:t xml:space="preserve"> and effort required to generate reporting forms</w:t>
      </w:r>
      <w:r w:rsidR="00DB4B30">
        <w:t xml:space="preserve"> </w:t>
      </w:r>
      <w:r w:rsidR="00F34FEE">
        <w:t xml:space="preserve">due to </w:t>
      </w:r>
      <w:r w:rsidR="00A623A1">
        <w:t xml:space="preserve">permittees’ </w:t>
      </w:r>
      <w:r w:rsidR="00F34FEE" w:rsidRPr="00DA0A68">
        <w:t>participation in electronic filing of forms and reports as the rule is implemented</w:t>
      </w:r>
      <w:r w:rsidR="00007CFD">
        <w:t>.</w:t>
      </w:r>
    </w:p>
    <w:p w14:paraId="296F5752" w14:textId="610DE241" w:rsidR="00B76D3E" w:rsidRDefault="007D1F75" w:rsidP="007D1F75">
      <w:pPr>
        <w:pStyle w:val="Tablenote"/>
        <w:ind w:left="180" w:hanging="180"/>
        <w:rPr>
          <w:vertAlign w:val="superscript"/>
        </w:rPr>
      </w:pPr>
      <w:r w:rsidRPr="00DA0A68">
        <w:rPr>
          <w:vertAlign w:val="superscript"/>
        </w:rPr>
        <w:t>b</w:t>
      </w:r>
      <w:r>
        <w:tab/>
      </w:r>
      <w:r w:rsidR="00B76D3E">
        <w:t>S</w:t>
      </w:r>
      <w:r w:rsidR="00B76D3E" w:rsidRPr="00DA0A68">
        <w:t xml:space="preserve">ubstantial increase was due to the coincidence of the period of greatest implementation burden with </w:t>
      </w:r>
      <w:r>
        <w:t xml:space="preserve">the </w:t>
      </w:r>
      <w:r w:rsidR="00B76D3E" w:rsidRPr="00DA0A68">
        <w:t>three</w:t>
      </w:r>
      <w:r>
        <w:t>-</w:t>
      </w:r>
      <w:r w:rsidR="00B76D3E" w:rsidRPr="00DA0A68">
        <w:t>year ICR period</w:t>
      </w:r>
      <w:r w:rsidR="00B76D3E">
        <w:t>.</w:t>
      </w:r>
    </w:p>
    <w:p w14:paraId="7647ADE1" w14:textId="280318B1" w:rsidR="00085324" w:rsidRPr="00B101A0" w:rsidRDefault="00B76D3E" w:rsidP="007D1F75">
      <w:pPr>
        <w:pStyle w:val="Tablenote"/>
        <w:ind w:left="180" w:hanging="180"/>
      </w:pPr>
      <w:r>
        <w:rPr>
          <w:vertAlign w:val="superscript"/>
        </w:rPr>
        <w:t>c</w:t>
      </w:r>
      <w:r w:rsidR="007D1F75">
        <w:tab/>
      </w:r>
      <w:r>
        <w:t>S</w:t>
      </w:r>
      <w:r w:rsidRPr="00DA0A68">
        <w:t xml:space="preserve">ubstantial decrease was due to </w:t>
      </w:r>
      <w:r>
        <w:t xml:space="preserve">revised EPA universe estimates based on </w:t>
      </w:r>
      <w:r w:rsidRPr="0067107B">
        <w:t>changes in industry practice</w:t>
      </w:r>
      <w:r>
        <w:t>,</w:t>
      </w:r>
      <w:r w:rsidRPr="0067107B">
        <w:t xml:space="preserve"> </w:t>
      </w:r>
      <w:r>
        <w:t>development of USDA guidelines, and industry consolidation.</w:t>
      </w:r>
      <w:r w:rsidRPr="00B76D3E">
        <w:t xml:space="preserve"> </w:t>
      </w:r>
    </w:p>
    <w:p w14:paraId="36E680E8" w14:textId="07A0D9BE" w:rsidR="00085324" w:rsidRDefault="00085324" w:rsidP="00871F94">
      <w:pPr>
        <w:pStyle w:val="Caption"/>
      </w:pPr>
      <w:r w:rsidRPr="00212898">
        <w:t>Table</w:t>
      </w:r>
      <w:r>
        <w:t xml:space="preserve"> 15.</w:t>
      </w:r>
      <w:r w:rsidR="00871F94">
        <w:t>3</w:t>
      </w:r>
      <w:r w:rsidRPr="009D2F89">
        <w:t xml:space="preserve"> Summary of </w:t>
      </w:r>
      <w:r w:rsidR="00F707B1">
        <w:t>A</w:t>
      </w:r>
      <w:r w:rsidRPr="009D2F89">
        <w:t xml:space="preserve">djustment in </w:t>
      </w:r>
      <w:r>
        <w:t xml:space="preserve">the </w:t>
      </w:r>
      <w:r w:rsidR="00F707B1">
        <w:t>C</w:t>
      </w:r>
      <w:r w:rsidR="0083691D">
        <w:t>apital/</w:t>
      </w:r>
      <w:r w:rsidR="00F707B1">
        <w:t>S</w:t>
      </w:r>
      <w:r w:rsidR="0083691D">
        <w:t xml:space="preserve">tartup and O&amp;M </w:t>
      </w:r>
      <w:r w:rsidR="00F707B1">
        <w:t>C</w:t>
      </w:r>
      <w:r>
        <w:t>ost</w:t>
      </w:r>
      <w:r w:rsidRPr="009D2F89">
        <w:t xml:space="preserve"> </w:t>
      </w:r>
      <w:r w:rsidR="00F707B1">
        <w:t>B</w:t>
      </w:r>
      <w:r w:rsidRPr="009D2F89">
        <w:t>urden</w:t>
      </w:r>
    </w:p>
    <w:tbl>
      <w:tblPr>
        <w:tblStyle w:val="TableGrid"/>
        <w:tblW w:w="0" w:type="auto"/>
        <w:tblCellMar>
          <w:left w:w="58" w:type="dxa"/>
          <w:right w:w="58" w:type="dxa"/>
        </w:tblCellMar>
        <w:tblLook w:val="04A0" w:firstRow="1" w:lastRow="0" w:firstColumn="1" w:lastColumn="0" w:noHBand="0" w:noVBand="1"/>
      </w:tblPr>
      <w:tblGrid>
        <w:gridCol w:w="1705"/>
        <w:gridCol w:w="1170"/>
        <w:gridCol w:w="1260"/>
        <w:gridCol w:w="810"/>
        <w:gridCol w:w="1260"/>
        <w:gridCol w:w="1080"/>
        <w:gridCol w:w="756"/>
        <w:gridCol w:w="1345"/>
      </w:tblGrid>
      <w:tr w:rsidR="00626B24" w:rsidRPr="00944A10" w14:paraId="1C636161" w14:textId="5A7A6766" w:rsidTr="00626B24">
        <w:trPr>
          <w:trHeight w:val="288"/>
          <w:tblHeader/>
        </w:trPr>
        <w:tc>
          <w:tcPr>
            <w:tcW w:w="1705" w:type="dxa"/>
            <w:vMerge w:val="restart"/>
            <w:shd w:val="clear" w:color="auto" w:fill="D9D9D9" w:themeFill="background1" w:themeFillShade="D9"/>
            <w:noWrap/>
            <w:vAlign w:val="center"/>
            <w:hideMark/>
          </w:tcPr>
          <w:p w14:paraId="43EC1AF9" w14:textId="77777777" w:rsidR="005B268F" w:rsidRPr="00A32D5E" w:rsidRDefault="005B268F" w:rsidP="00871F94">
            <w:pPr>
              <w:pStyle w:val="TableTitle"/>
            </w:pPr>
            <w:r w:rsidRPr="00A32D5E">
              <w:t>Source ICR</w:t>
            </w:r>
          </w:p>
        </w:tc>
        <w:tc>
          <w:tcPr>
            <w:tcW w:w="1170" w:type="dxa"/>
            <w:vMerge w:val="restart"/>
            <w:shd w:val="clear" w:color="auto" w:fill="D9D9D9" w:themeFill="background1" w:themeFillShade="D9"/>
            <w:vAlign w:val="center"/>
          </w:tcPr>
          <w:p w14:paraId="0D1242E0" w14:textId="473ADA9B" w:rsidR="005B268F" w:rsidRPr="00A32D5E" w:rsidRDefault="005B268F" w:rsidP="00871F94">
            <w:pPr>
              <w:pStyle w:val="TableTitle"/>
            </w:pPr>
            <w:r w:rsidRPr="00A32D5E">
              <w:t xml:space="preserve">Previously </w:t>
            </w:r>
            <w:r w:rsidR="001E1ADB">
              <w:t>A</w:t>
            </w:r>
            <w:r w:rsidRPr="00A32D5E">
              <w:t>pproved</w:t>
            </w:r>
          </w:p>
        </w:tc>
        <w:tc>
          <w:tcPr>
            <w:tcW w:w="1260" w:type="dxa"/>
            <w:vMerge w:val="restart"/>
            <w:shd w:val="clear" w:color="auto" w:fill="D9D9D9" w:themeFill="background1" w:themeFillShade="D9"/>
            <w:vAlign w:val="center"/>
            <w:hideMark/>
          </w:tcPr>
          <w:p w14:paraId="53D3A25D" w14:textId="1A1DAC85" w:rsidR="005B268F" w:rsidRPr="00A32D5E" w:rsidRDefault="005B268F" w:rsidP="00871F94">
            <w:pPr>
              <w:pStyle w:val="TableTitle"/>
            </w:pPr>
            <w:r w:rsidRPr="00A32D5E">
              <w:t xml:space="preserve">Total </w:t>
            </w:r>
            <w:r w:rsidR="001E1ADB">
              <w:t>C</w:t>
            </w:r>
            <w:r w:rsidRPr="00A32D5E">
              <w:t xml:space="preserve">ost </w:t>
            </w:r>
            <w:r w:rsidR="001E1ADB">
              <w:t>B</w:t>
            </w:r>
            <w:r w:rsidRPr="00A32D5E">
              <w:t xml:space="preserve">urden </w:t>
            </w:r>
            <w:r w:rsidR="001E1ADB">
              <w:t>R</w:t>
            </w:r>
            <w:r w:rsidRPr="00A32D5E">
              <w:t>equested</w:t>
            </w:r>
          </w:p>
        </w:tc>
        <w:tc>
          <w:tcPr>
            <w:tcW w:w="3150" w:type="dxa"/>
            <w:gridSpan w:val="3"/>
            <w:shd w:val="clear" w:color="auto" w:fill="D9D9D9" w:themeFill="background1" w:themeFillShade="D9"/>
            <w:noWrap/>
            <w:vAlign w:val="center"/>
            <w:hideMark/>
          </w:tcPr>
          <w:p w14:paraId="7908B6CD" w14:textId="77777777" w:rsidR="005B268F" w:rsidRPr="00A32D5E" w:rsidRDefault="005B268F" w:rsidP="00871F94">
            <w:pPr>
              <w:pStyle w:val="TableTitle"/>
            </w:pPr>
            <w:r w:rsidRPr="00A32D5E">
              <w:t>Change due to:</w:t>
            </w:r>
          </w:p>
        </w:tc>
        <w:tc>
          <w:tcPr>
            <w:tcW w:w="720" w:type="dxa"/>
            <w:vMerge w:val="restart"/>
            <w:shd w:val="clear" w:color="auto" w:fill="D9D9D9" w:themeFill="background1" w:themeFillShade="D9"/>
            <w:vAlign w:val="center"/>
          </w:tcPr>
          <w:p w14:paraId="393409A9" w14:textId="3BB54DBF" w:rsidR="005B268F" w:rsidRPr="00A32D5E" w:rsidRDefault="005B268F" w:rsidP="00871F94">
            <w:pPr>
              <w:pStyle w:val="TableTitle"/>
            </w:pPr>
            <w:r w:rsidRPr="00A32D5E">
              <w:t>Percent change total</w:t>
            </w:r>
          </w:p>
        </w:tc>
        <w:tc>
          <w:tcPr>
            <w:tcW w:w="1345" w:type="dxa"/>
            <w:vMerge w:val="restart"/>
            <w:shd w:val="clear" w:color="auto" w:fill="D9D9D9" w:themeFill="background1" w:themeFillShade="D9"/>
            <w:vAlign w:val="center"/>
          </w:tcPr>
          <w:p w14:paraId="24DD9025" w14:textId="282A0F45" w:rsidR="005B268F" w:rsidRPr="00A32D5E" w:rsidRDefault="005B268F" w:rsidP="00F747CB">
            <w:pPr>
              <w:pStyle w:val="TableTitle"/>
            </w:pPr>
            <w:r w:rsidRPr="00A32D5E">
              <w:t xml:space="preserve">Previous ICR </w:t>
            </w:r>
            <w:r w:rsidR="001E1ADB">
              <w:t>C</w:t>
            </w:r>
            <w:r w:rsidRPr="00A32D5E">
              <w:t xml:space="preserve">ost </w:t>
            </w:r>
            <w:r w:rsidR="001E1ADB">
              <w:t>B</w:t>
            </w:r>
            <w:r w:rsidRPr="00A32D5E">
              <w:t>asis</w:t>
            </w:r>
          </w:p>
        </w:tc>
      </w:tr>
      <w:tr w:rsidR="00EF7F1B" w:rsidRPr="00944A10" w14:paraId="45A39BD1" w14:textId="62EF97FB" w:rsidTr="00EC4695">
        <w:trPr>
          <w:trHeight w:val="576"/>
          <w:tblHeader/>
        </w:trPr>
        <w:tc>
          <w:tcPr>
            <w:tcW w:w="1705" w:type="dxa"/>
            <w:vMerge/>
            <w:hideMark/>
          </w:tcPr>
          <w:p w14:paraId="2B9B7692" w14:textId="77777777" w:rsidR="005B268F" w:rsidRPr="00A32D5E" w:rsidRDefault="005B268F" w:rsidP="00871F94">
            <w:pPr>
              <w:pStyle w:val="TableTitle"/>
            </w:pPr>
          </w:p>
        </w:tc>
        <w:tc>
          <w:tcPr>
            <w:tcW w:w="1170" w:type="dxa"/>
            <w:vMerge/>
            <w:vAlign w:val="center"/>
          </w:tcPr>
          <w:p w14:paraId="54DC2619" w14:textId="77777777" w:rsidR="005B268F" w:rsidRPr="00A32D5E" w:rsidRDefault="005B268F" w:rsidP="00871F94">
            <w:pPr>
              <w:pStyle w:val="TableTitle"/>
            </w:pPr>
          </w:p>
        </w:tc>
        <w:tc>
          <w:tcPr>
            <w:tcW w:w="1260" w:type="dxa"/>
            <w:vMerge/>
            <w:vAlign w:val="center"/>
            <w:hideMark/>
          </w:tcPr>
          <w:p w14:paraId="06207896" w14:textId="247C02BE" w:rsidR="005B268F" w:rsidRPr="00A32D5E" w:rsidRDefault="005B268F" w:rsidP="00871F94">
            <w:pPr>
              <w:pStyle w:val="TableTitle"/>
            </w:pPr>
          </w:p>
        </w:tc>
        <w:tc>
          <w:tcPr>
            <w:tcW w:w="810" w:type="dxa"/>
            <w:shd w:val="clear" w:color="auto" w:fill="D9D9D9" w:themeFill="background1" w:themeFillShade="D9"/>
            <w:vAlign w:val="center"/>
            <w:hideMark/>
          </w:tcPr>
          <w:p w14:paraId="26BED927" w14:textId="0A90ED7C" w:rsidR="005B268F" w:rsidRPr="00A32D5E" w:rsidRDefault="005B268F" w:rsidP="00871F94">
            <w:pPr>
              <w:pStyle w:val="TableTitle"/>
            </w:pPr>
            <w:r w:rsidRPr="00A32D5E">
              <w:t xml:space="preserve">New </w:t>
            </w:r>
            <w:r w:rsidR="001E1ADB">
              <w:t>S</w:t>
            </w:r>
            <w:r w:rsidRPr="00A32D5E">
              <w:t>tatute</w:t>
            </w:r>
          </w:p>
        </w:tc>
        <w:tc>
          <w:tcPr>
            <w:tcW w:w="1260" w:type="dxa"/>
            <w:shd w:val="clear" w:color="auto" w:fill="D9D9D9" w:themeFill="background1" w:themeFillShade="D9"/>
            <w:vAlign w:val="center"/>
            <w:hideMark/>
          </w:tcPr>
          <w:p w14:paraId="029D6BAA" w14:textId="72A5C674" w:rsidR="005B268F" w:rsidRPr="00A32D5E" w:rsidRDefault="005B268F" w:rsidP="00871F94">
            <w:pPr>
              <w:pStyle w:val="TableTitle"/>
            </w:pPr>
            <w:r w:rsidRPr="00A32D5E">
              <w:t xml:space="preserve">Agency </w:t>
            </w:r>
            <w:r w:rsidR="001E1ADB">
              <w:t>A</w:t>
            </w:r>
            <w:r w:rsidRPr="00A32D5E">
              <w:t>ctions (</w:t>
            </w:r>
            <w:r w:rsidR="007D1F75">
              <w:t>N</w:t>
            </w:r>
            <w:r w:rsidRPr="00A32D5E">
              <w:t xml:space="preserve">ew </w:t>
            </w:r>
            <w:r w:rsidR="007D1F75">
              <w:t>R</w:t>
            </w:r>
            <w:r w:rsidR="007D1F75" w:rsidRPr="00A32D5E">
              <w:t>ules</w:t>
            </w:r>
            <w:r w:rsidRPr="00A32D5E">
              <w:t xml:space="preserve">, </w:t>
            </w:r>
            <w:r w:rsidR="007D1F75">
              <w:t>E</w:t>
            </w:r>
            <w:r w:rsidR="007D1F75" w:rsidRPr="00A32D5E">
              <w:t>tc</w:t>
            </w:r>
            <w:r w:rsidRPr="00A32D5E">
              <w:t>.)</w:t>
            </w:r>
          </w:p>
        </w:tc>
        <w:tc>
          <w:tcPr>
            <w:tcW w:w="1080" w:type="dxa"/>
            <w:shd w:val="clear" w:color="auto" w:fill="D9D9D9" w:themeFill="background1" w:themeFillShade="D9"/>
            <w:vAlign w:val="center"/>
            <w:hideMark/>
          </w:tcPr>
          <w:p w14:paraId="6C37F89A" w14:textId="2F856B72" w:rsidR="005B268F" w:rsidRPr="00A32D5E" w:rsidRDefault="005B268F" w:rsidP="00871F94">
            <w:pPr>
              <w:pStyle w:val="TableTitle"/>
            </w:pPr>
            <w:r w:rsidRPr="00A32D5E">
              <w:t xml:space="preserve">Revised </w:t>
            </w:r>
            <w:r w:rsidR="001E1ADB">
              <w:t>E</w:t>
            </w:r>
            <w:r w:rsidRPr="00A32D5E">
              <w:t>stimates</w:t>
            </w:r>
          </w:p>
        </w:tc>
        <w:tc>
          <w:tcPr>
            <w:tcW w:w="720" w:type="dxa"/>
            <w:vMerge/>
            <w:vAlign w:val="center"/>
          </w:tcPr>
          <w:p w14:paraId="1F922BB6" w14:textId="77777777" w:rsidR="005B268F" w:rsidRPr="00A32D5E" w:rsidRDefault="005B268F" w:rsidP="00871F94">
            <w:pPr>
              <w:pStyle w:val="TableTitle"/>
            </w:pPr>
          </w:p>
        </w:tc>
        <w:tc>
          <w:tcPr>
            <w:tcW w:w="1345" w:type="dxa"/>
            <w:vMerge/>
          </w:tcPr>
          <w:p w14:paraId="1CA66F66" w14:textId="77777777" w:rsidR="005B268F" w:rsidRPr="00A32D5E" w:rsidRDefault="005B268F" w:rsidP="00871F94">
            <w:pPr>
              <w:pStyle w:val="TableTitle"/>
            </w:pPr>
          </w:p>
        </w:tc>
      </w:tr>
      <w:tr w:rsidR="00EF7F1B" w:rsidRPr="00944A10" w14:paraId="09E31EEF" w14:textId="77777777" w:rsidTr="00871F94">
        <w:trPr>
          <w:trHeight w:val="264"/>
        </w:trPr>
        <w:tc>
          <w:tcPr>
            <w:tcW w:w="1705" w:type="dxa"/>
            <w:vAlign w:val="center"/>
          </w:tcPr>
          <w:p w14:paraId="65791052" w14:textId="651B8134" w:rsidR="00921002" w:rsidRPr="00A32D5E" w:rsidRDefault="00921002" w:rsidP="00871F94">
            <w:pPr>
              <w:pStyle w:val="Tables"/>
            </w:pPr>
            <w:r w:rsidRPr="00A32D5E">
              <w:t>Electronic Reporting Rule</w:t>
            </w:r>
            <w:r w:rsidR="004B0FBB">
              <w:rPr>
                <w:vertAlign w:val="superscript"/>
              </w:rPr>
              <w:t>a</w:t>
            </w:r>
          </w:p>
        </w:tc>
        <w:tc>
          <w:tcPr>
            <w:tcW w:w="1170" w:type="dxa"/>
          </w:tcPr>
          <w:p w14:paraId="70741678" w14:textId="576CBD36" w:rsidR="00921002" w:rsidRPr="00856C62" w:rsidRDefault="00921002" w:rsidP="00871F94">
            <w:pPr>
              <w:pStyle w:val="Tables"/>
              <w:jc w:val="right"/>
            </w:pPr>
            <w:r w:rsidRPr="00856C62">
              <w:t>-$1,075,782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8EDD06" w14:textId="01A3B822" w:rsidR="00921002" w:rsidRPr="00856C62" w:rsidRDefault="00921002" w:rsidP="00871F94">
            <w:pPr>
              <w:pStyle w:val="Tables"/>
              <w:jc w:val="right"/>
            </w:pPr>
            <w:r w:rsidRPr="00856C62">
              <w:t>-$1,325,498</w:t>
            </w:r>
          </w:p>
        </w:tc>
        <w:tc>
          <w:tcPr>
            <w:tcW w:w="810" w:type="dxa"/>
            <w:tcBorders>
              <w:top w:val="single" w:sz="4" w:space="0" w:color="auto"/>
              <w:left w:val="nil"/>
              <w:bottom w:val="single" w:sz="4" w:space="0" w:color="auto"/>
              <w:right w:val="single" w:sz="4" w:space="0" w:color="auto"/>
            </w:tcBorders>
            <w:shd w:val="clear" w:color="auto" w:fill="auto"/>
            <w:noWrap/>
          </w:tcPr>
          <w:p w14:paraId="73C20A84" w14:textId="00DB98F8" w:rsidR="00921002" w:rsidRPr="00856C62" w:rsidRDefault="00921002" w:rsidP="00871F94">
            <w:pPr>
              <w:pStyle w:val="Tables"/>
              <w:jc w:val="right"/>
            </w:pPr>
            <w:r w:rsidRPr="00856C62">
              <w:t>$0</w:t>
            </w:r>
          </w:p>
        </w:tc>
        <w:tc>
          <w:tcPr>
            <w:tcW w:w="1260" w:type="dxa"/>
            <w:tcBorders>
              <w:top w:val="single" w:sz="4" w:space="0" w:color="auto"/>
              <w:left w:val="nil"/>
              <w:bottom w:val="single" w:sz="4" w:space="0" w:color="auto"/>
              <w:right w:val="single" w:sz="4" w:space="0" w:color="auto"/>
            </w:tcBorders>
            <w:shd w:val="clear" w:color="auto" w:fill="auto"/>
            <w:noWrap/>
          </w:tcPr>
          <w:p w14:paraId="761A53E6" w14:textId="03880072" w:rsidR="00921002" w:rsidRPr="00856C62" w:rsidRDefault="00921002" w:rsidP="00871F94">
            <w:pPr>
              <w:pStyle w:val="Tables"/>
              <w:jc w:val="right"/>
            </w:pPr>
            <w:r w:rsidRPr="00856C62">
              <w:t>$0</w:t>
            </w:r>
          </w:p>
        </w:tc>
        <w:tc>
          <w:tcPr>
            <w:tcW w:w="1080" w:type="dxa"/>
            <w:tcBorders>
              <w:top w:val="single" w:sz="4" w:space="0" w:color="auto"/>
              <w:left w:val="nil"/>
              <w:bottom w:val="single" w:sz="4" w:space="0" w:color="auto"/>
              <w:right w:val="single" w:sz="4" w:space="0" w:color="auto"/>
            </w:tcBorders>
            <w:shd w:val="clear" w:color="auto" w:fill="auto"/>
            <w:noWrap/>
          </w:tcPr>
          <w:p w14:paraId="6B1198C3" w14:textId="1385C3AF" w:rsidR="00921002" w:rsidRPr="00856C62" w:rsidRDefault="00921002" w:rsidP="00871F94">
            <w:pPr>
              <w:pStyle w:val="Tables"/>
              <w:jc w:val="right"/>
            </w:pPr>
            <w:r w:rsidRPr="00856C62">
              <w:t>-$249,717</w:t>
            </w:r>
          </w:p>
        </w:tc>
        <w:tc>
          <w:tcPr>
            <w:tcW w:w="720" w:type="dxa"/>
            <w:tcBorders>
              <w:top w:val="single" w:sz="4" w:space="0" w:color="auto"/>
              <w:left w:val="nil"/>
              <w:bottom w:val="single" w:sz="4" w:space="0" w:color="auto"/>
              <w:right w:val="single" w:sz="4" w:space="0" w:color="auto"/>
            </w:tcBorders>
            <w:shd w:val="clear" w:color="auto" w:fill="auto"/>
            <w:noWrap/>
          </w:tcPr>
          <w:p w14:paraId="1D1E5492" w14:textId="7E054F43" w:rsidR="00921002" w:rsidRPr="00856C62" w:rsidDel="00D35427" w:rsidRDefault="00921002" w:rsidP="00871F94">
            <w:pPr>
              <w:pStyle w:val="Tables"/>
              <w:jc w:val="right"/>
            </w:pPr>
            <w:r>
              <w:t>-23%</w:t>
            </w:r>
          </w:p>
        </w:tc>
        <w:tc>
          <w:tcPr>
            <w:tcW w:w="1345" w:type="dxa"/>
            <w:tcBorders>
              <w:top w:val="single" w:sz="4" w:space="0" w:color="auto"/>
              <w:left w:val="nil"/>
              <w:bottom w:val="single" w:sz="4" w:space="0" w:color="auto"/>
              <w:right w:val="single" w:sz="4" w:space="0" w:color="auto"/>
            </w:tcBorders>
            <w:shd w:val="clear" w:color="auto" w:fill="auto"/>
            <w:vAlign w:val="center"/>
          </w:tcPr>
          <w:p w14:paraId="2F9F35E3" w14:textId="0DB0C67F" w:rsidR="00921002" w:rsidRPr="00566E77" w:rsidRDefault="00921002" w:rsidP="00871F94">
            <w:pPr>
              <w:pStyle w:val="Tables"/>
            </w:pPr>
            <w:r w:rsidRPr="00566E77">
              <w:t>Mar</w:t>
            </w:r>
            <w:r>
              <w:t>.</w:t>
            </w:r>
            <w:r w:rsidRPr="00566E77">
              <w:t xml:space="preserve"> 2015</w:t>
            </w:r>
          </w:p>
        </w:tc>
      </w:tr>
      <w:tr w:rsidR="00EF7F1B" w:rsidRPr="00944A10" w14:paraId="4076EEEE" w14:textId="77777777" w:rsidTr="00871F94">
        <w:trPr>
          <w:trHeight w:val="264"/>
        </w:trPr>
        <w:tc>
          <w:tcPr>
            <w:tcW w:w="1705" w:type="dxa"/>
            <w:vAlign w:val="center"/>
          </w:tcPr>
          <w:p w14:paraId="3D812C17" w14:textId="03053116" w:rsidR="00921002" w:rsidRPr="00A32D5E" w:rsidRDefault="00921002" w:rsidP="00871F94">
            <w:pPr>
              <w:pStyle w:val="Tables"/>
            </w:pPr>
            <w:r w:rsidRPr="00A32D5E">
              <w:t>CWIS Existing Facilities</w:t>
            </w:r>
            <w:r w:rsidRPr="00DA0A68">
              <w:rPr>
                <w:vertAlign w:val="superscript"/>
              </w:rPr>
              <w:t>b</w:t>
            </w:r>
          </w:p>
        </w:tc>
        <w:tc>
          <w:tcPr>
            <w:tcW w:w="1170" w:type="dxa"/>
          </w:tcPr>
          <w:p w14:paraId="1F85371D" w14:textId="7938C9B1" w:rsidR="00921002" w:rsidRPr="00856C62" w:rsidRDefault="00921002" w:rsidP="00871F94">
            <w:pPr>
              <w:pStyle w:val="Tables"/>
              <w:jc w:val="right"/>
            </w:pPr>
            <w:r w:rsidRPr="00856C62">
              <w:t>$8,525,907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A01552" w14:textId="129E8E0E" w:rsidR="00921002" w:rsidRPr="00856C62" w:rsidRDefault="00921002" w:rsidP="00871F94">
            <w:pPr>
              <w:pStyle w:val="Tables"/>
              <w:jc w:val="right"/>
            </w:pPr>
            <w:r w:rsidRPr="00856C62">
              <w:t>$15,265,236</w:t>
            </w:r>
          </w:p>
        </w:tc>
        <w:tc>
          <w:tcPr>
            <w:tcW w:w="810" w:type="dxa"/>
            <w:tcBorders>
              <w:top w:val="single" w:sz="4" w:space="0" w:color="auto"/>
              <w:left w:val="nil"/>
              <w:bottom w:val="single" w:sz="4" w:space="0" w:color="auto"/>
              <w:right w:val="single" w:sz="4" w:space="0" w:color="auto"/>
            </w:tcBorders>
            <w:shd w:val="clear" w:color="auto" w:fill="auto"/>
            <w:noWrap/>
          </w:tcPr>
          <w:p w14:paraId="1C5ED710" w14:textId="67BC7824" w:rsidR="00921002" w:rsidRPr="00856C62" w:rsidRDefault="00921002" w:rsidP="00871F94">
            <w:pPr>
              <w:pStyle w:val="Tables"/>
              <w:jc w:val="right"/>
            </w:pPr>
            <w:r w:rsidRPr="00856C62">
              <w:t>$0</w:t>
            </w:r>
          </w:p>
        </w:tc>
        <w:tc>
          <w:tcPr>
            <w:tcW w:w="1260" w:type="dxa"/>
            <w:tcBorders>
              <w:top w:val="single" w:sz="4" w:space="0" w:color="auto"/>
              <w:left w:val="nil"/>
              <w:bottom w:val="single" w:sz="4" w:space="0" w:color="auto"/>
              <w:right w:val="single" w:sz="4" w:space="0" w:color="auto"/>
            </w:tcBorders>
            <w:shd w:val="clear" w:color="auto" w:fill="auto"/>
            <w:noWrap/>
          </w:tcPr>
          <w:p w14:paraId="7D6D4658" w14:textId="4459DABD" w:rsidR="00921002" w:rsidRPr="00856C62" w:rsidRDefault="00921002" w:rsidP="00871F94">
            <w:pPr>
              <w:pStyle w:val="Tables"/>
              <w:jc w:val="right"/>
            </w:pPr>
            <w:r w:rsidRPr="00856C62">
              <w:t>$0</w:t>
            </w:r>
          </w:p>
        </w:tc>
        <w:tc>
          <w:tcPr>
            <w:tcW w:w="1080" w:type="dxa"/>
            <w:tcBorders>
              <w:top w:val="single" w:sz="4" w:space="0" w:color="auto"/>
              <w:left w:val="nil"/>
              <w:bottom w:val="single" w:sz="4" w:space="0" w:color="auto"/>
              <w:right w:val="single" w:sz="4" w:space="0" w:color="auto"/>
            </w:tcBorders>
            <w:shd w:val="clear" w:color="auto" w:fill="auto"/>
            <w:noWrap/>
          </w:tcPr>
          <w:p w14:paraId="64308D63" w14:textId="46296072" w:rsidR="00921002" w:rsidRPr="00856C62" w:rsidRDefault="00921002" w:rsidP="00871F94">
            <w:pPr>
              <w:pStyle w:val="Tables"/>
              <w:jc w:val="right"/>
            </w:pPr>
            <w:r w:rsidRPr="00856C62">
              <w:t>$6,739,329</w:t>
            </w:r>
          </w:p>
        </w:tc>
        <w:tc>
          <w:tcPr>
            <w:tcW w:w="720" w:type="dxa"/>
            <w:tcBorders>
              <w:top w:val="single" w:sz="4" w:space="0" w:color="auto"/>
              <w:left w:val="nil"/>
              <w:bottom w:val="single" w:sz="4" w:space="0" w:color="auto"/>
              <w:right w:val="single" w:sz="4" w:space="0" w:color="auto"/>
            </w:tcBorders>
            <w:shd w:val="clear" w:color="auto" w:fill="auto"/>
            <w:noWrap/>
          </w:tcPr>
          <w:p w14:paraId="35ACECB3" w14:textId="3449FE2D" w:rsidR="00921002" w:rsidRPr="00856C62" w:rsidDel="00D35427" w:rsidRDefault="00921002" w:rsidP="00871F94">
            <w:pPr>
              <w:pStyle w:val="Tables"/>
              <w:jc w:val="right"/>
            </w:pPr>
            <w:r>
              <w:t>79%</w:t>
            </w:r>
          </w:p>
        </w:tc>
        <w:tc>
          <w:tcPr>
            <w:tcW w:w="1345" w:type="dxa"/>
            <w:tcBorders>
              <w:top w:val="single" w:sz="4" w:space="0" w:color="auto"/>
              <w:left w:val="nil"/>
              <w:bottom w:val="single" w:sz="4" w:space="0" w:color="auto"/>
              <w:right w:val="single" w:sz="4" w:space="0" w:color="auto"/>
            </w:tcBorders>
            <w:shd w:val="clear" w:color="auto" w:fill="auto"/>
            <w:vAlign w:val="center"/>
          </w:tcPr>
          <w:p w14:paraId="460171C8" w14:textId="3C65E2CF" w:rsidR="00921002" w:rsidRPr="00566E77" w:rsidRDefault="00921002" w:rsidP="00871F94">
            <w:pPr>
              <w:pStyle w:val="Tables"/>
            </w:pPr>
            <w:r w:rsidRPr="00566E77">
              <w:t>Oct</w:t>
            </w:r>
            <w:r>
              <w:t>.</w:t>
            </w:r>
            <w:r w:rsidRPr="00566E77">
              <w:t xml:space="preserve"> 2014</w:t>
            </w:r>
          </w:p>
        </w:tc>
      </w:tr>
      <w:tr w:rsidR="00EF7F1B" w:rsidRPr="00944A10" w14:paraId="4A4334E3" w14:textId="77777777" w:rsidTr="00871F94">
        <w:trPr>
          <w:trHeight w:val="264"/>
        </w:trPr>
        <w:tc>
          <w:tcPr>
            <w:tcW w:w="1705" w:type="dxa"/>
            <w:vAlign w:val="center"/>
          </w:tcPr>
          <w:p w14:paraId="43F09563" w14:textId="0FE7C08F" w:rsidR="00921002" w:rsidRPr="00A32D5E" w:rsidRDefault="00921002" w:rsidP="00871F94">
            <w:pPr>
              <w:pStyle w:val="Tables"/>
            </w:pPr>
            <w:r w:rsidRPr="00A32D5E">
              <w:t>Animal Sector</w:t>
            </w:r>
            <w:r w:rsidR="004B0FBB">
              <w:rPr>
                <w:vertAlign w:val="superscript"/>
              </w:rPr>
              <w:t>c</w:t>
            </w:r>
          </w:p>
        </w:tc>
        <w:tc>
          <w:tcPr>
            <w:tcW w:w="1170" w:type="dxa"/>
          </w:tcPr>
          <w:p w14:paraId="7F9FD200" w14:textId="69B4D95E" w:rsidR="00921002" w:rsidRPr="00856C62" w:rsidRDefault="00921002" w:rsidP="00871F94">
            <w:pPr>
              <w:pStyle w:val="Tables"/>
              <w:jc w:val="right"/>
            </w:pPr>
            <w:r w:rsidRPr="00856C62">
              <w:t>$8,607,000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483E71" w14:textId="458AA6B1" w:rsidR="00921002" w:rsidRPr="00856C62" w:rsidRDefault="00921002" w:rsidP="00871F94">
            <w:pPr>
              <w:pStyle w:val="Tables"/>
              <w:jc w:val="right"/>
            </w:pPr>
            <w:r w:rsidRPr="00856C62">
              <w:t>$2,</w:t>
            </w:r>
            <w:r w:rsidR="00EF7F1B">
              <w:t>730,272</w:t>
            </w:r>
          </w:p>
        </w:tc>
        <w:tc>
          <w:tcPr>
            <w:tcW w:w="810" w:type="dxa"/>
            <w:tcBorders>
              <w:top w:val="single" w:sz="4" w:space="0" w:color="auto"/>
              <w:left w:val="nil"/>
              <w:bottom w:val="single" w:sz="4" w:space="0" w:color="auto"/>
              <w:right w:val="single" w:sz="4" w:space="0" w:color="auto"/>
            </w:tcBorders>
            <w:shd w:val="clear" w:color="auto" w:fill="auto"/>
            <w:noWrap/>
          </w:tcPr>
          <w:p w14:paraId="3B903304" w14:textId="5ECB4DFC" w:rsidR="00921002" w:rsidRPr="00856C62" w:rsidRDefault="00921002" w:rsidP="00871F94">
            <w:pPr>
              <w:pStyle w:val="Tables"/>
              <w:jc w:val="right"/>
            </w:pPr>
            <w:r w:rsidRPr="00856C62">
              <w:t>$0</w:t>
            </w:r>
          </w:p>
        </w:tc>
        <w:tc>
          <w:tcPr>
            <w:tcW w:w="1260" w:type="dxa"/>
            <w:tcBorders>
              <w:top w:val="single" w:sz="4" w:space="0" w:color="auto"/>
              <w:left w:val="nil"/>
              <w:bottom w:val="single" w:sz="4" w:space="0" w:color="auto"/>
              <w:right w:val="single" w:sz="4" w:space="0" w:color="auto"/>
            </w:tcBorders>
            <w:shd w:val="clear" w:color="auto" w:fill="auto"/>
            <w:noWrap/>
          </w:tcPr>
          <w:p w14:paraId="2602029C" w14:textId="387B93B0" w:rsidR="00921002" w:rsidRPr="00856C62" w:rsidRDefault="00921002" w:rsidP="00871F94">
            <w:pPr>
              <w:pStyle w:val="Tables"/>
              <w:jc w:val="right"/>
            </w:pPr>
            <w:r w:rsidRPr="00856C62">
              <w:t>$0</w:t>
            </w:r>
          </w:p>
        </w:tc>
        <w:tc>
          <w:tcPr>
            <w:tcW w:w="1080" w:type="dxa"/>
            <w:tcBorders>
              <w:top w:val="single" w:sz="4" w:space="0" w:color="auto"/>
              <w:left w:val="nil"/>
              <w:bottom w:val="single" w:sz="4" w:space="0" w:color="auto"/>
              <w:right w:val="single" w:sz="4" w:space="0" w:color="auto"/>
            </w:tcBorders>
            <w:shd w:val="clear" w:color="auto" w:fill="auto"/>
            <w:noWrap/>
          </w:tcPr>
          <w:p w14:paraId="362AF290" w14:textId="7329B7A7" w:rsidR="00921002" w:rsidRPr="00856C62" w:rsidRDefault="00921002" w:rsidP="00871F94">
            <w:pPr>
              <w:pStyle w:val="Tables"/>
              <w:jc w:val="right"/>
            </w:pPr>
            <w:r w:rsidRPr="00856C62">
              <w:t>$</w:t>
            </w:r>
            <w:r w:rsidR="00EF7F1B">
              <w:t>5,876,728</w:t>
            </w:r>
          </w:p>
        </w:tc>
        <w:tc>
          <w:tcPr>
            <w:tcW w:w="720" w:type="dxa"/>
            <w:tcBorders>
              <w:top w:val="single" w:sz="4" w:space="0" w:color="auto"/>
              <w:left w:val="nil"/>
              <w:bottom w:val="single" w:sz="4" w:space="0" w:color="auto"/>
              <w:right w:val="single" w:sz="4" w:space="0" w:color="auto"/>
            </w:tcBorders>
            <w:shd w:val="clear" w:color="auto" w:fill="auto"/>
            <w:noWrap/>
          </w:tcPr>
          <w:p w14:paraId="28A85AA0" w14:textId="22777C54" w:rsidR="00921002" w:rsidRPr="00856C62" w:rsidDel="00D35427" w:rsidRDefault="00921002" w:rsidP="00871F94">
            <w:pPr>
              <w:pStyle w:val="Tables"/>
              <w:jc w:val="right"/>
            </w:pPr>
            <w:r>
              <w:t>-6</w:t>
            </w:r>
            <w:r w:rsidR="00EF7F1B">
              <w:t>8</w:t>
            </w:r>
            <w:r>
              <w:t>%</w:t>
            </w:r>
          </w:p>
        </w:tc>
        <w:tc>
          <w:tcPr>
            <w:tcW w:w="1345" w:type="dxa"/>
            <w:tcBorders>
              <w:top w:val="single" w:sz="4" w:space="0" w:color="auto"/>
              <w:left w:val="nil"/>
              <w:bottom w:val="single" w:sz="4" w:space="0" w:color="auto"/>
              <w:right w:val="single" w:sz="4" w:space="0" w:color="auto"/>
            </w:tcBorders>
            <w:shd w:val="clear" w:color="auto" w:fill="auto"/>
            <w:vAlign w:val="center"/>
          </w:tcPr>
          <w:p w14:paraId="5DA97D92" w14:textId="0DDAD38B" w:rsidR="00921002" w:rsidRPr="00566E77" w:rsidRDefault="00921002" w:rsidP="00871F94">
            <w:pPr>
              <w:pStyle w:val="Tables"/>
            </w:pPr>
            <w:r w:rsidRPr="00566E77">
              <w:t>Mar</w:t>
            </w:r>
            <w:r>
              <w:t>.</w:t>
            </w:r>
            <w:r w:rsidRPr="00566E77">
              <w:t xml:space="preserve"> 2013</w:t>
            </w:r>
          </w:p>
        </w:tc>
      </w:tr>
      <w:tr w:rsidR="00EF7F1B" w:rsidRPr="00944A10" w14:paraId="55BEF58C" w14:textId="380C4F28" w:rsidTr="00871F94">
        <w:trPr>
          <w:trHeight w:val="264"/>
        </w:trPr>
        <w:tc>
          <w:tcPr>
            <w:tcW w:w="1705" w:type="dxa"/>
            <w:vAlign w:val="center"/>
            <w:hideMark/>
          </w:tcPr>
          <w:p w14:paraId="309D6B55" w14:textId="77777777" w:rsidR="005B268F" w:rsidRPr="00A32D5E" w:rsidRDefault="005B268F" w:rsidP="00871F94">
            <w:pPr>
              <w:pStyle w:val="Tables"/>
            </w:pPr>
            <w:r w:rsidRPr="00A32D5E">
              <w:t>Consolidated NPDES</w:t>
            </w:r>
          </w:p>
        </w:tc>
        <w:tc>
          <w:tcPr>
            <w:tcW w:w="1170" w:type="dxa"/>
          </w:tcPr>
          <w:p w14:paraId="6D8EF0C9" w14:textId="06D127D9" w:rsidR="005B268F" w:rsidRPr="00856C62" w:rsidRDefault="005B268F" w:rsidP="00871F94">
            <w:pPr>
              <w:pStyle w:val="Tables"/>
              <w:jc w:val="right"/>
            </w:pPr>
            <w:r w:rsidRPr="00856C62">
              <w:t>$20,234,453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22B5D85" w14:textId="4B26181D" w:rsidR="005B268F" w:rsidRPr="00856C62" w:rsidRDefault="005B268F" w:rsidP="00871F94">
            <w:pPr>
              <w:pStyle w:val="Tables"/>
              <w:jc w:val="right"/>
              <w:rPr>
                <w:sz w:val="18"/>
                <w:szCs w:val="18"/>
              </w:rPr>
            </w:pPr>
            <w:r w:rsidRPr="00856C62">
              <w:t>$21,113,711</w:t>
            </w:r>
          </w:p>
        </w:tc>
        <w:tc>
          <w:tcPr>
            <w:tcW w:w="810" w:type="dxa"/>
            <w:tcBorders>
              <w:top w:val="single" w:sz="4" w:space="0" w:color="auto"/>
              <w:left w:val="nil"/>
              <w:bottom w:val="single" w:sz="4" w:space="0" w:color="auto"/>
              <w:right w:val="single" w:sz="4" w:space="0" w:color="auto"/>
            </w:tcBorders>
            <w:shd w:val="clear" w:color="auto" w:fill="auto"/>
            <w:noWrap/>
          </w:tcPr>
          <w:p w14:paraId="74AF6F49" w14:textId="03080DC4" w:rsidR="005B268F" w:rsidRPr="00856C62" w:rsidRDefault="005B268F" w:rsidP="00871F94">
            <w:pPr>
              <w:pStyle w:val="Tables"/>
              <w:jc w:val="right"/>
              <w:rPr>
                <w:sz w:val="18"/>
                <w:szCs w:val="18"/>
              </w:rPr>
            </w:pPr>
            <w:r w:rsidRPr="00856C62">
              <w:t>$0</w:t>
            </w:r>
          </w:p>
        </w:tc>
        <w:tc>
          <w:tcPr>
            <w:tcW w:w="1260" w:type="dxa"/>
            <w:tcBorders>
              <w:top w:val="single" w:sz="4" w:space="0" w:color="auto"/>
              <w:left w:val="nil"/>
              <w:bottom w:val="single" w:sz="4" w:space="0" w:color="auto"/>
              <w:right w:val="single" w:sz="4" w:space="0" w:color="auto"/>
            </w:tcBorders>
            <w:shd w:val="clear" w:color="auto" w:fill="auto"/>
            <w:noWrap/>
          </w:tcPr>
          <w:p w14:paraId="094D37A9" w14:textId="6704D63E" w:rsidR="005B268F" w:rsidRPr="00856C62" w:rsidRDefault="005B268F" w:rsidP="00871F94">
            <w:pPr>
              <w:pStyle w:val="Tables"/>
              <w:jc w:val="right"/>
              <w:rPr>
                <w:sz w:val="18"/>
                <w:szCs w:val="18"/>
              </w:rPr>
            </w:pPr>
            <w:r w:rsidRPr="00856C62">
              <w:t>$0</w:t>
            </w:r>
          </w:p>
        </w:tc>
        <w:tc>
          <w:tcPr>
            <w:tcW w:w="1080" w:type="dxa"/>
            <w:tcBorders>
              <w:top w:val="single" w:sz="4" w:space="0" w:color="auto"/>
              <w:left w:val="nil"/>
              <w:bottom w:val="single" w:sz="4" w:space="0" w:color="auto"/>
              <w:right w:val="single" w:sz="4" w:space="0" w:color="auto"/>
            </w:tcBorders>
            <w:shd w:val="clear" w:color="auto" w:fill="auto"/>
            <w:noWrap/>
          </w:tcPr>
          <w:p w14:paraId="725D16D9" w14:textId="3F9BF1A7" w:rsidR="005B268F" w:rsidRPr="00856C62" w:rsidRDefault="005B268F" w:rsidP="00871F94">
            <w:pPr>
              <w:pStyle w:val="Tables"/>
              <w:jc w:val="right"/>
              <w:rPr>
                <w:sz w:val="18"/>
                <w:szCs w:val="18"/>
              </w:rPr>
            </w:pPr>
            <w:r w:rsidRPr="00856C62">
              <w:t>$879,258</w:t>
            </w:r>
          </w:p>
        </w:tc>
        <w:tc>
          <w:tcPr>
            <w:tcW w:w="720" w:type="dxa"/>
            <w:tcBorders>
              <w:top w:val="single" w:sz="4" w:space="0" w:color="auto"/>
              <w:left w:val="nil"/>
              <w:bottom w:val="single" w:sz="4" w:space="0" w:color="auto"/>
              <w:right w:val="single" w:sz="4" w:space="0" w:color="auto"/>
            </w:tcBorders>
            <w:shd w:val="clear" w:color="auto" w:fill="auto"/>
            <w:noWrap/>
          </w:tcPr>
          <w:p w14:paraId="28A17980" w14:textId="3574608B" w:rsidR="005B268F" w:rsidRPr="00856C62" w:rsidRDefault="005B268F" w:rsidP="00871F94">
            <w:pPr>
              <w:pStyle w:val="Tables"/>
              <w:jc w:val="right"/>
              <w:rPr>
                <w:sz w:val="18"/>
                <w:szCs w:val="18"/>
              </w:rPr>
            </w:pPr>
            <w:r w:rsidRPr="00856C62">
              <w:t>4.3%</w:t>
            </w:r>
          </w:p>
        </w:tc>
        <w:tc>
          <w:tcPr>
            <w:tcW w:w="1345" w:type="dxa"/>
            <w:tcBorders>
              <w:top w:val="single" w:sz="4" w:space="0" w:color="auto"/>
              <w:left w:val="nil"/>
              <w:bottom w:val="single" w:sz="4" w:space="0" w:color="auto"/>
              <w:right w:val="single" w:sz="4" w:space="0" w:color="auto"/>
            </w:tcBorders>
            <w:shd w:val="clear" w:color="auto" w:fill="auto"/>
            <w:vAlign w:val="center"/>
          </w:tcPr>
          <w:p w14:paraId="4B4586B9" w14:textId="092D2519" w:rsidR="005B268F" w:rsidRPr="00566E77" w:rsidRDefault="005B268F" w:rsidP="00871F94">
            <w:pPr>
              <w:pStyle w:val="Tables"/>
            </w:pPr>
            <w:r w:rsidRPr="00566E77">
              <w:t>Nov</w:t>
            </w:r>
            <w:r>
              <w:t>.</w:t>
            </w:r>
            <w:r w:rsidRPr="00566E77">
              <w:t xml:space="preserve"> 2014</w:t>
            </w:r>
          </w:p>
        </w:tc>
      </w:tr>
      <w:tr w:rsidR="00EF7F1B" w:rsidRPr="00944A10" w14:paraId="1EADBDCA" w14:textId="2A3CBFE3" w:rsidTr="00871F94">
        <w:trPr>
          <w:trHeight w:val="264"/>
        </w:trPr>
        <w:tc>
          <w:tcPr>
            <w:tcW w:w="1705" w:type="dxa"/>
            <w:vAlign w:val="center"/>
            <w:hideMark/>
          </w:tcPr>
          <w:p w14:paraId="247D9ECA" w14:textId="77777777" w:rsidR="005B268F" w:rsidRPr="00A32D5E" w:rsidRDefault="005B268F" w:rsidP="00871F94">
            <w:pPr>
              <w:pStyle w:val="Tables"/>
            </w:pPr>
            <w:r w:rsidRPr="00A32D5E">
              <w:t>Pesticide Applicators</w:t>
            </w:r>
          </w:p>
        </w:tc>
        <w:tc>
          <w:tcPr>
            <w:tcW w:w="1170" w:type="dxa"/>
          </w:tcPr>
          <w:p w14:paraId="4D2B8C24" w14:textId="0C7FAEE5" w:rsidR="005B268F" w:rsidRPr="00856C62" w:rsidRDefault="005B268F" w:rsidP="00871F94">
            <w:pPr>
              <w:pStyle w:val="Tables"/>
              <w:jc w:val="right"/>
            </w:pPr>
            <w:r w:rsidRPr="00856C62">
              <w:t>$0</w:t>
            </w:r>
          </w:p>
        </w:tc>
        <w:tc>
          <w:tcPr>
            <w:tcW w:w="1260" w:type="dxa"/>
            <w:tcBorders>
              <w:top w:val="nil"/>
              <w:left w:val="single" w:sz="4" w:space="0" w:color="auto"/>
              <w:bottom w:val="single" w:sz="4" w:space="0" w:color="auto"/>
              <w:right w:val="single" w:sz="4" w:space="0" w:color="auto"/>
            </w:tcBorders>
            <w:shd w:val="clear" w:color="auto" w:fill="auto"/>
            <w:noWrap/>
          </w:tcPr>
          <w:p w14:paraId="02417FC2" w14:textId="10DD9866" w:rsidR="005B268F" w:rsidRPr="00856C62" w:rsidRDefault="005B268F" w:rsidP="00871F94">
            <w:pPr>
              <w:pStyle w:val="Tables"/>
              <w:jc w:val="right"/>
              <w:rPr>
                <w:sz w:val="18"/>
                <w:szCs w:val="18"/>
              </w:rPr>
            </w:pPr>
            <w:r w:rsidRPr="00856C62">
              <w:t>$0</w:t>
            </w:r>
          </w:p>
        </w:tc>
        <w:tc>
          <w:tcPr>
            <w:tcW w:w="810" w:type="dxa"/>
            <w:tcBorders>
              <w:top w:val="nil"/>
              <w:left w:val="nil"/>
              <w:bottom w:val="single" w:sz="4" w:space="0" w:color="auto"/>
              <w:right w:val="single" w:sz="4" w:space="0" w:color="auto"/>
            </w:tcBorders>
            <w:shd w:val="clear" w:color="auto" w:fill="auto"/>
            <w:noWrap/>
          </w:tcPr>
          <w:p w14:paraId="25CED6D2" w14:textId="4586D853" w:rsidR="005B268F" w:rsidRPr="00856C62" w:rsidRDefault="005B268F" w:rsidP="00871F94">
            <w:pPr>
              <w:pStyle w:val="Tables"/>
              <w:jc w:val="right"/>
              <w:rPr>
                <w:sz w:val="18"/>
                <w:szCs w:val="18"/>
              </w:rPr>
            </w:pPr>
            <w:r w:rsidRPr="00856C62">
              <w:t>$0</w:t>
            </w:r>
          </w:p>
        </w:tc>
        <w:tc>
          <w:tcPr>
            <w:tcW w:w="1260" w:type="dxa"/>
            <w:tcBorders>
              <w:top w:val="nil"/>
              <w:left w:val="nil"/>
              <w:bottom w:val="single" w:sz="4" w:space="0" w:color="auto"/>
              <w:right w:val="single" w:sz="4" w:space="0" w:color="auto"/>
            </w:tcBorders>
            <w:shd w:val="clear" w:color="auto" w:fill="auto"/>
            <w:noWrap/>
          </w:tcPr>
          <w:p w14:paraId="0B14099D" w14:textId="6125BA32" w:rsidR="005B268F" w:rsidRPr="00856C62" w:rsidRDefault="005B268F" w:rsidP="00871F94">
            <w:pPr>
              <w:pStyle w:val="Tables"/>
              <w:jc w:val="right"/>
              <w:rPr>
                <w:sz w:val="18"/>
                <w:szCs w:val="18"/>
              </w:rPr>
            </w:pPr>
            <w:r w:rsidRPr="00856C62">
              <w:t>$0</w:t>
            </w:r>
          </w:p>
        </w:tc>
        <w:tc>
          <w:tcPr>
            <w:tcW w:w="1080" w:type="dxa"/>
            <w:tcBorders>
              <w:top w:val="nil"/>
              <w:left w:val="nil"/>
              <w:bottom w:val="single" w:sz="4" w:space="0" w:color="auto"/>
              <w:right w:val="single" w:sz="4" w:space="0" w:color="auto"/>
            </w:tcBorders>
            <w:shd w:val="clear" w:color="auto" w:fill="auto"/>
            <w:noWrap/>
          </w:tcPr>
          <w:p w14:paraId="1AC195EB" w14:textId="7F650C64" w:rsidR="005B268F" w:rsidRPr="00856C62" w:rsidRDefault="005B268F" w:rsidP="00871F94">
            <w:pPr>
              <w:pStyle w:val="Tables"/>
              <w:jc w:val="right"/>
              <w:rPr>
                <w:sz w:val="18"/>
                <w:szCs w:val="18"/>
              </w:rPr>
            </w:pPr>
            <w:r w:rsidRPr="00856C62">
              <w:t>$0</w:t>
            </w:r>
          </w:p>
        </w:tc>
        <w:tc>
          <w:tcPr>
            <w:tcW w:w="720" w:type="dxa"/>
            <w:tcBorders>
              <w:top w:val="nil"/>
              <w:left w:val="nil"/>
              <w:bottom w:val="single" w:sz="4" w:space="0" w:color="auto"/>
              <w:right w:val="single" w:sz="4" w:space="0" w:color="auto"/>
            </w:tcBorders>
            <w:shd w:val="clear" w:color="auto" w:fill="auto"/>
            <w:noWrap/>
          </w:tcPr>
          <w:p w14:paraId="30E00F0A" w14:textId="78F37037" w:rsidR="005B268F" w:rsidRPr="00856C62" w:rsidRDefault="005B268F" w:rsidP="00871F94">
            <w:pPr>
              <w:pStyle w:val="Tables"/>
              <w:jc w:val="right"/>
              <w:rPr>
                <w:sz w:val="18"/>
                <w:szCs w:val="18"/>
              </w:rPr>
            </w:pPr>
            <w:r w:rsidRPr="00856C62">
              <w:t>0.0%</w:t>
            </w:r>
          </w:p>
        </w:tc>
        <w:tc>
          <w:tcPr>
            <w:tcW w:w="1345" w:type="dxa"/>
            <w:tcBorders>
              <w:top w:val="nil"/>
              <w:left w:val="nil"/>
              <w:bottom w:val="single" w:sz="4" w:space="0" w:color="auto"/>
              <w:right w:val="single" w:sz="4" w:space="0" w:color="auto"/>
            </w:tcBorders>
            <w:shd w:val="clear" w:color="auto" w:fill="auto"/>
            <w:vAlign w:val="center"/>
          </w:tcPr>
          <w:p w14:paraId="779A2760" w14:textId="38D6B0C9" w:rsidR="005B268F" w:rsidRPr="00566E77" w:rsidRDefault="005B268F" w:rsidP="00871F94">
            <w:pPr>
              <w:pStyle w:val="Tables"/>
            </w:pPr>
            <w:r w:rsidRPr="00566E77">
              <w:t>NA</w:t>
            </w:r>
          </w:p>
        </w:tc>
      </w:tr>
      <w:tr w:rsidR="00EF7F1B" w:rsidRPr="00944A10" w14:paraId="73CF8425" w14:textId="6FE58BC0" w:rsidTr="00871F94">
        <w:trPr>
          <w:trHeight w:val="264"/>
        </w:trPr>
        <w:tc>
          <w:tcPr>
            <w:tcW w:w="1705" w:type="dxa"/>
            <w:vAlign w:val="center"/>
            <w:hideMark/>
          </w:tcPr>
          <w:p w14:paraId="0A56A8FB" w14:textId="77777777" w:rsidR="005B268F" w:rsidRPr="00A32D5E" w:rsidRDefault="005B268F" w:rsidP="00871F94">
            <w:pPr>
              <w:pStyle w:val="Tables"/>
            </w:pPr>
            <w:r w:rsidRPr="00A32D5E">
              <w:t>Pretreatment Program</w:t>
            </w:r>
          </w:p>
        </w:tc>
        <w:tc>
          <w:tcPr>
            <w:tcW w:w="1170" w:type="dxa"/>
          </w:tcPr>
          <w:p w14:paraId="59EFFFC1" w14:textId="19653606" w:rsidR="005B268F" w:rsidRPr="00856C62" w:rsidRDefault="005B268F" w:rsidP="00871F94">
            <w:pPr>
              <w:pStyle w:val="Tables"/>
              <w:jc w:val="right"/>
            </w:pPr>
            <w:r w:rsidRPr="00856C62">
              <w:t>$2,515,470</w:t>
            </w:r>
          </w:p>
        </w:tc>
        <w:tc>
          <w:tcPr>
            <w:tcW w:w="1260" w:type="dxa"/>
            <w:tcBorders>
              <w:top w:val="nil"/>
              <w:left w:val="single" w:sz="4" w:space="0" w:color="auto"/>
              <w:bottom w:val="single" w:sz="4" w:space="0" w:color="auto"/>
              <w:right w:val="single" w:sz="4" w:space="0" w:color="auto"/>
            </w:tcBorders>
            <w:shd w:val="clear" w:color="auto" w:fill="auto"/>
            <w:noWrap/>
          </w:tcPr>
          <w:p w14:paraId="399D5A4F" w14:textId="5E51EFC3" w:rsidR="005B268F" w:rsidRPr="00856C62" w:rsidRDefault="005B268F" w:rsidP="00871F94">
            <w:pPr>
              <w:pStyle w:val="Tables"/>
              <w:jc w:val="right"/>
              <w:rPr>
                <w:sz w:val="18"/>
                <w:szCs w:val="18"/>
              </w:rPr>
            </w:pPr>
            <w:r w:rsidRPr="00856C62">
              <w:t>$2,568,121</w:t>
            </w:r>
          </w:p>
        </w:tc>
        <w:tc>
          <w:tcPr>
            <w:tcW w:w="810" w:type="dxa"/>
            <w:tcBorders>
              <w:top w:val="nil"/>
              <w:left w:val="nil"/>
              <w:bottom w:val="single" w:sz="4" w:space="0" w:color="auto"/>
              <w:right w:val="single" w:sz="4" w:space="0" w:color="auto"/>
            </w:tcBorders>
            <w:shd w:val="clear" w:color="auto" w:fill="auto"/>
            <w:noWrap/>
          </w:tcPr>
          <w:p w14:paraId="649E5A38" w14:textId="652650C6" w:rsidR="005B268F" w:rsidRPr="00856C62" w:rsidRDefault="005B268F" w:rsidP="00871F94">
            <w:pPr>
              <w:pStyle w:val="Tables"/>
              <w:jc w:val="right"/>
              <w:rPr>
                <w:sz w:val="18"/>
                <w:szCs w:val="18"/>
              </w:rPr>
            </w:pPr>
            <w:r w:rsidRPr="00856C62">
              <w:t>$0</w:t>
            </w:r>
          </w:p>
        </w:tc>
        <w:tc>
          <w:tcPr>
            <w:tcW w:w="1260" w:type="dxa"/>
            <w:tcBorders>
              <w:top w:val="nil"/>
              <w:left w:val="nil"/>
              <w:bottom w:val="single" w:sz="4" w:space="0" w:color="auto"/>
              <w:right w:val="single" w:sz="4" w:space="0" w:color="auto"/>
            </w:tcBorders>
            <w:shd w:val="clear" w:color="auto" w:fill="auto"/>
            <w:noWrap/>
          </w:tcPr>
          <w:p w14:paraId="29F80829" w14:textId="09F59A45" w:rsidR="005B268F" w:rsidRPr="00856C62" w:rsidRDefault="005B268F" w:rsidP="00871F94">
            <w:pPr>
              <w:pStyle w:val="Tables"/>
              <w:jc w:val="right"/>
              <w:rPr>
                <w:sz w:val="18"/>
                <w:szCs w:val="18"/>
              </w:rPr>
            </w:pPr>
            <w:r w:rsidRPr="00856C62">
              <w:t>$0</w:t>
            </w:r>
          </w:p>
        </w:tc>
        <w:tc>
          <w:tcPr>
            <w:tcW w:w="1080" w:type="dxa"/>
            <w:tcBorders>
              <w:top w:val="nil"/>
              <w:left w:val="nil"/>
              <w:bottom w:val="single" w:sz="4" w:space="0" w:color="auto"/>
              <w:right w:val="single" w:sz="4" w:space="0" w:color="auto"/>
            </w:tcBorders>
            <w:shd w:val="clear" w:color="auto" w:fill="auto"/>
            <w:noWrap/>
          </w:tcPr>
          <w:p w14:paraId="2B5DE35D" w14:textId="2E2BF07B" w:rsidR="005B268F" w:rsidRPr="00856C62" w:rsidRDefault="005B268F" w:rsidP="00871F94">
            <w:pPr>
              <w:pStyle w:val="Tables"/>
              <w:jc w:val="right"/>
              <w:rPr>
                <w:sz w:val="18"/>
                <w:szCs w:val="18"/>
              </w:rPr>
            </w:pPr>
            <w:r w:rsidRPr="00856C62">
              <w:t>$52,651</w:t>
            </w:r>
          </w:p>
        </w:tc>
        <w:tc>
          <w:tcPr>
            <w:tcW w:w="720" w:type="dxa"/>
            <w:tcBorders>
              <w:top w:val="nil"/>
              <w:left w:val="nil"/>
              <w:bottom w:val="single" w:sz="4" w:space="0" w:color="auto"/>
              <w:right w:val="single" w:sz="4" w:space="0" w:color="auto"/>
            </w:tcBorders>
            <w:shd w:val="clear" w:color="auto" w:fill="auto"/>
            <w:noWrap/>
          </w:tcPr>
          <w:p w14:paraId="25CAE568" w14:textId="2E24D6E2" w:rsidR="005B268F" w:rsidRPr="00856C62" w:rsidRDefault="005B268F" w:rsidP="00871F94">
            <w:pPr>
              <w:pStyle w:val="Tables"/>
              <w:jc w:val="right"/>
              <w:rPr>
                <w:sz w:val="18"/>
                <w:szCs w:val="18"/>
              </w:rPr>
            </w:pPr>
            <w:r w:rsidRPr="00856C62">
              <w:t>2.1%</w:t>
            </w:r>
          </w:p>
        </w:tc>
        <w:tc>
          <w:tcPr>
            <w:tcW w:w="1345" w:type="dxa"/>
            <w:tcBorders>
              <w:top w:val="nil"/>
              <w:left w:val="nil"/>
              <w:bottom w:val="single" w:sz="4" w:space="0" w:color="auto"/>
              <w:right w:val="single" w:sz="4" w:space="0" w:color="auto"/>
            </w:tcBorders>
            <w:shd w:val="clear" w:color="auto" w:fill="auto"/>
            <w:vAlign w:val="center"/>
          </w:tcPr>
          <w:p w14:paraId="542F4AF2" w14:textId="23F4DBD8" w:rsidR="005B268F" w:rsidRPr="00566E77" w:rsidRDefault="005B268F" w:rsidP="00871F94">
            <w:pPr>
              <w:pStyle w:val="Tables"/>
            </w:pPr>
            <w:r w:rsidRPr="00566E77">
              <w:t>Nov</w:t>
            </w:r>
            <w:r>
              <w:t>.</w:t>
            </w:r>
            <w:r w:rsidRPr="00566E77">
              <w:t xml:space="preserve"> 2014</w:t>
            </w:r>
          </w:p>
        </w:tc>
      </w:tr>
      <w:tr w:rsidR="00EF7F1B" w:rsidRPr="00944A10" w14:paraId="20169877" w14:textId="355B0C0B" w:rsidTr="00871F94">
        <w:trPr>
          <w:trHeight w:val="288"/>
        </w:trPr>
        <w:tc>
          <w:tcPr>
            <w:tcW w:w="1705" w:type="dxa"/>
            <w:vAlign w:val="center"/>
            <w:hideMark/>
          </w:tcPr>
          <w:p w14:paraId="7B0D7693" w14:textId="77777777" w:rsidR="005B268F" w:rsidRPr="00A32D5E" w:rsidRDefault="005B268F" w:rsidP="00871F94">
            <w:pPr>
              <w:pStyle w:val="Tables"/>
            </w:pPr>
            <w:r w:rsidRPr="00A32D5E">
              <w:t>CWIS Phase I</w:t>
            </w:r>
          </w:p>
        </w:tc>
        <w:tc>
          <w:tcPr>
            <w:tcW w:w="1170" w:type="dxa"/>
          </w:tcPr>
          <w:p w14:paraId="3C2874F9" w14:textId="5AD64BCF" w:rsidR="005B268F" w:rsidRPr="00856C62" w:rsidRDefault="005B268F" w:rsidP="00871F94">
            <w:pPr>
              <w:pStyle w:val="Tables"/>
              <w:jc w:val="right"/>
            </w:pPr>
            <w:r w:rsidRPr="00856C62">
              <w:t>$2,267,728</w:t>
            </w:r>
          </w:p>
        </w:tc>
        <w:tc>
          <w:tcPr>
            <w:tcW w:w="1260" w:type="dxa"/>
            <w:tcBorders>
              <w:top w:val="nil"/>
              <w:left w:val="single" w:sz="4" w:space="0" w:color="auto"/>
              <w:bottom w:val="single" w:sz="4" w:space="0" w:color="auto"/>
              <w:right w:val="single" w:sz="4" w:space="0" w:color="auto"/>
            </w:tcBorders>
            <w:shd w:val="clear" w:color="auto" w:fill="auto"/>
            <w:noWrap/>
          </w:tcPr>
          <w:p w14:paraId="4E8ADE69" w14:textId="16CBBFE6" w:rsidR="005B268F" w:rsidRPr="00856C62" w:rsidRDefault="005B268F" w:rsidP="00871F94">
            <w:pPr>
              <w:pStyle w:val="Tables"/>
              <w:jc w:val="right"/>
              <w:rPr>
                <w:sz w:val="18"/>
                <w:szCs w:val="18"/>
              </w:rPr>
            </w:pPr>
            <w:r w:rsidRPr="00856C62">
              <w:t>$2,294,962</w:t>
            </w:r>
          </w:p>
        </w:tc>
        <w:tc>
          <w:tcPr>
            <w:tcW w:w="810" w:type="dxa"/>
            <w:tcBorders>
              <w:top w:val="nil"/>
              <w:left w:val="nil"/>
              <w:bottom w:val="single" w:sz="4" w:space="0" w:color="auto"/>
              <w:right w:val="single" w:sz="4" w:space="0" w:color="auto"/>
            </w:tcBorders>
            <w:shd w:val="clear" w:color="auto" w:fill="auto"/>
            <w:noWrap/>
          </w:tcPr>
          <w:p w14:paraId="40834979" w14:textId="3891F6C5" w:rsidR="005B268F" w:rsidRPr="00856C62" w:rsidRDefault="005B268F" w:rsidP="00871F94">
            <w:pPr>
              <w:pStyle w:val="Tables"/>
              <w:jc w:val="right"/>
              <w:rPr>
                <w:sz w:val="18"/>
                <w:szCs w:val="18"/>
              </w:rPr>
            </w:pPr>
            <w:r w:rsidRPr="00856C62">
              <w:t>$0</w:t>
            </w:r>
          </w:p>
        </w:tc>
        <w:tc>
          <w:tcPr>
            <w:tcW w:w="1260" w:type="dxa"/>
            <w:tcBorders>
              <w:top w:val="nil"/>
              <w:left w:val="nil"/>
              <w:bottom w:val="single" w:sz="4" w:space="0" w:color="auto"/>
              <w:right w:val="single" w:sz="4" w:space="0" w:color="auto"/>
            </w:tcBorders>
            <w:shd w:val="clear" w:color="auto" w:fill="auto"/>
            <w:noWrap/>
          </w:tcPr>
          <w:p w14:paraId="07A66CF2" w14:textId="52B4C1C0" w:rsidR="005B268F" w:rsidRPr="00856C62" w:rsidRDefault="005B268F" w:rsidP="00871F94">
            <w:pPr>
              <w:pStyle w:val="Tables"/>
              <w:jc w:val="right"/>
              <w:rPr>
                <w:sz w:val="18"/>
                <w:szCs w:val="18"/>
              </w:rPr>
            </w:pPr>
            <w:r w:rsidRPr="00856C62">
              <w:t>$0</w:t>
            </w:r>
          </w:p>
        </w:tc>
        <w:tc>
          <w:tcPr>
            <w:tcW w:w="1080" w:type="dxa"/>
            <w:tcBorders>
              <w:top w:val="nil"/>
              <w:left w:val="nil"/>
              <w:bottom w:val="single" w:sz="4" w:space="0" w:color="auto"/>
              <w:right w:val="single" w:sz="4" w:space="0" w:color="auto"/>
            </w:tcBorders>
            <w:shd w:val="clear" w:color="auto" w:fill="auto"/>
            <w:noWrap/>
          </w:tcPr>
          <w:p w14:paraId="16AE260E" w14:textId="7B79C8F3" w:rsidR="005B268F" w:rsidRPr="00856C62" w:rsidRDefault="005B268F" w:rsidP="00871F94">
            <w:pPr>
              <w:pStyle w:val="Tables"/>
              <w:jc w:val="right"/>
              <w:rPr>
                <w:sz w:val="18"/>
                <w:szCs w:val="18"/>
              </w:rPr>
            </w:pPr>
            <w:r w:rsidRPr="00856C62">
              <w:t>$27,234</w:t>
            </w:r>
          </w:p>
        </w:tc>
        <w:tc>
          <w:tcPr>
            <w:tcW w:w="720" w:type="dxa"/>
            <w:tcBorders>
              <w:top w:val="nil"/>
              <w:left w:val="nil"/>
              <w:bottom w:val="single" w:sz="4" w:space="0" w:color="auto"/>
              <w:right w:val="single" w:sz="4" w:space="0" w:color="auto"/>
            </w:tcBorders>
            <w:shd w:val="clear" w:color="auto" w:fill="auto"/>
            <w:noWrap/>
          </w:tcPr>
          <w:p w14:paraId="5F3219DA" w14:textId="56545AF7" w:rsidR="005B268F" w:rsidRPr="00856C62" w:rsidRDefault="005B268F" w:rsidP="00871F94">
            <w:pPr>
              <w:pStyle w:val="Tables"/>
              <w:jc w:val="right"/>
              <w:rPr>
                <w:sz w:val="18"/>
                <w:szCs w:val="18"/>
              </w:rPr>
            </w:pPr>
            <w:r w:rsidRPr="00856C62">
              <w:t>1.2%</w:t>
            </w:r>
          </w:p>
        </w:tc>
        <w:tc>
          <w:tcPr>
            <w:tcW w:w="1345" w:type="dxa"/>
            <w:tcBorders>
              <w:top w:val="nil"/>
              <w:left w:val="nil"/>
              <w:bottom w:val="single" w:sz="4" w:space="0" w:color="auto"/>
              <w:right w:val="single" w:sz="4" w:space="0" w:color="auto"/>
            </w:tcBorders>
            <w:shd w:val="clear" w:color="auto" w:fill="auto"/>
            <w:vAlign w:val="center"/>
          </w:tcPr>
          <w:p w14:paraId="00E9CB94" w14:textId="03A2A3F2" w:rsidR="005B268F" w:rsidRPr="00566E77" w:rsidRDefault="005B268F" w:rsidP="00871F94">
            <w:pPr>
              <w:pStyle w:val="Tables"/>
            </w:pPr>
            <w:r w:rsidRPr="00566E77">
              <w:t>Sept</w:t>
            </w:r>
            <w:r>
              <w:t>.</w:t>
            </w:r>
            <w:r w:rsidRPr="00566E77">
              <w:t xml:space="preserve"> 2014</w:t>
            </w:r>
          </w:p>
        </w:tc>
      </w:tr>
      <w:tr w:rsidR="00EF7F1B" w:rsidRPr="00944A10" w14:paraId="4101CC39" w14:textId="2433AE7B" w:rsidTr="00871F94">
        <w:trPr>
          <w:trHeight w:val="288"/>
        </w:trPr>
        <w:tc>
          <w:tcPr>
            <w:tcW w:w="1705" w:type="dxa"/>
            <w:vAlign w:val="center"/>
          </w:tcPr>
          <w:p w14:paraId="1DE3BFA9" w14:textId="77777777" w:rsidR="005B268F" w:rsidRPr="00A32D5E" w:rsidRDefault="005B268F" w:rsidP="00871F94">
            <w:pPr>
              <w:pStyle w:val="Tables"/>
            </w:pPr>
            <w:r w:rsidRPr="00A32D5E">
              <w:t>CWIS Phase III</w:t>
            </w:r>
          </w:p>
        </w:tc>
        <w:tc>
          <w:tcPr>
            <w:tcW w:w="1170" w:type="dxa"/>
          </w:tcPr>
          <w:p w14:paraId="157899D3" w14:textId="6A2736EA" w:rsidR="005B268F" w:rsidRPr="00856C62" w:rsidRDefault="005B268F" w:rsidP="00871F94">
            <w:pPr>
              <w:pStyle w:val="Tables"/>
              <w:jc w:val="right"/>
            </w:pPr>
            <w:r w:rsidRPr="00856C62">
              <w:t>$959,190</w:t>
            </w:r>
          </w:p>
        </w:tc>
        <w:tc>
          <w:tcPr>
            <w:tcW w:w="1260" w:type="dxa"/>
            <w:tcBorders>
              <w:top w:val="nil"/>
              <w:left w:val="single" w:sz="4" w:space="0" w:color="auto"/>
              <w:bottom w:val="single" w:sz="4" w:space="0" w:color="auto"/>
              <w:right w:val="single" w:sz="4" w:space="0" w:color="auto"/>
            </w:tcBorders>
            <w:shd w:val="clear" w:color="auto" w:fill="auto"/>
            <w:noWrap/>
          </w:tcPr>
          <w:p w14:paraId="453C733C" w14:textId="52BBEA78" w:rsidR="005B268F" w:rsidRPr="00856C62" w:rsidRDefault="005B268F" w:rsidP="00871F94">
            <w:pPr>
              <w:pStyle w:val="Tables"/>
              <w:jc w:val="right"/>
              <w:rPr>
                <w:sz w:val="18"/>
                <w:szCs w:val="18"/>
              </w:rPr>
            </w:pPr>
            <w:r w:rsidRPr="00856C62">
              <w:t>$1,012,205</w:t>
            </w:r>
          </w:p>
        </w:tc>
        <w:tc>
          <w:tcPr>
            <w:tcW w:w="810" w:type="dxa"/>
            <w:tcBorders>
              <w:top w:val="nil"/>
              <w:left w:val="nil"/>
              <w:bottom w:val="single" w:sz="4" w:space="0" w:color="auto"/>
              <w:right w:val="single" w:sz="4" w:space="0" w:color="auto"/>
            </w:tcBorders>
            <w:shd w:val="clear" w:color="auto" w:fill="auto"/>
            <w:noWrap/>
          </w:tcPr>
          <w:p w14:paraId="3B1DB185" w14:textId="23E940C1" w:rsidR="005B268F" w:rsidRPr="00856C62" w:rsidRDefault="005B268F" w:rsidP="00871F94">
            <w:pPr>
              <w:pStyle w:val="Tables"/>
              <w:jc w:val="right"/>
              <w:rPr>
                <w:sz w:val="18"/>
                <w:szCs w:val="18"/>
              </w:rPr>
            </w:pPr>
            <w:r w:rsidRPr="00856C62">
              <w:t>$0</w:t>
            </w:r>
          </w:p>
        </w:tc>
        <w:tc>
          <w:tcPr>
            <w:tcW w:w="1260" w:type="dxa"/>
            <w:tcBorders>
              <w:top w:val="nil"/>
              <w:left w:val="nil"/>
              <w:bottom w:val="single" w:sz="4" w:space="0" w:color="auto"/>
              <w:right w:val="single" w:sz="4" w:space="0" w:color="auto"/>
            </w:tcBorders>
            <w:shd w:val="clear" w:color="auto" w:fill="auto"/>
            <w:noWrap/>
          </w:tcPr>
          <w:p w14:paraId="7D30044B" w14:textId="4665E0A3" w:rsidR="005B268F" w:rsidRPr="00856C62" w:rsidRDefault="005B268F" w:rsidP="00871F94">
            <w:pPr>
              <w:pStyle w:val="Tables"/>
              <w:jc w:val="right"/>
              <w:rPr>
                <w:sz w:val="18"/>
                <w:szCs w:val="18"/>
              </w:rPr>
            </w:pPr>
            <w:r w:rsidRPr="00856C62">
              <w:t>$0</w:t>
            </w:r>
          </w:p>
        </w:tc>
        <w:tc>
          <w:tcPr>
            <w:tcW w:w="1080" w:type="dxa"/>
            <w:tcBorders>
              <w:top w:val="nil"/>
              <w:left w:val="nil"/>
              <w:bottom w:val="single" w:sz="4" w:space="0" w:color="auto"/>
              <w:right w:val="single" w:sz="4" w:space="0" w:color="auto"/>
            </w:tcBorders>
            <w:shd w:val="clear" w:color="auto" w:fill="auto"/>
            <w:noWrap/>
          </w:tcPr>
          <w:p w14:paraId="3621AE4D" w14:textId="4D67B3B7" w:rsidR="005B268F" w:rsidRPr="00856C62" w:rsidRDefault="005B268F" w:rsidP="00871F94">
            <w:pPr>
              <w:pStyle w:val="Tables"/>
              <w:jc w:val="right"/>
              <w:rPr>
                <w:sz w:val="18"/>
                <w:szCs w:val="18"/>
              </w:rPr>
            </w:pPr>
            <w:r w:rsidRPr="00856C62">
              <w:t>$53,015</w:t>
            </w:r>
          </w:p>
        </w:tc>
        <w:tc>
          <w:tcPr>
            <w:tcW w:w="720" w:type="dxa"/>
            <w:tcBorders>
              <w:top w:val="nil"/>
              <w:left w:val="nil"/>
              <w:bottom w:val="single" w:sz="4" w:space="0" w:color="auto"/>
              <w:right w:val="single" w:sz="4" w:space="0" w:color="auto"/>
            </w:tcBorders>
            <w:shd w:val="clear" w:color="auto" w:fill="auto"/>
            <w:noWrap/>
          </w:tcPr>
          <w:p w14:paraId="428D47A1" w14:textId="7D329EC7" w:rsidR="005B268F" w:rsidRPr="00856C62" w:rsidRDefault="005B268F" w:rsidP="00871F94">
            <w:pPr>
              <w:pStyle w:val="Tables"/>
              <w:jc w:val="right"/>
              <w:rPr>
                <w:sz w:val="18"/>
                <w:szCs w:val="18"/>
              </w:rPr>
            </w:pPr>
            <w:r w:rsidRPr="00856C62">
              <w:t>5.5%</w:t>
            </w:r>
          </w:p>
        </w:tc>
        <w:tc>
          <w:tcPr>
            <w:tcW w:w="1345" w:type="dxa"/>
            <w:tcBorders>
              <w:top w:val="nil"/>
              <w:left w:val="nil"/>
              <w:bottom w:val="single" w:sz="4" w:space="0" w:color="auto"/>
              <w:right w:val="single" w:sz="4" w:space="0" w:color="auto"/>
            </w:tcBorders>
            <w:shd w:val="clear" w:color="auto" w:fill="auto"/>
            <w:vAlign w:val="center"/>
          </w:tcPr>
          <w:p w14:paraId="6DB9639F" w14:textId="218AA38E" w:rsidR="005B268F" w:rsidRPr="00566E77" w:rsidRDefault="005B268F" w:rsidP="00871F94">
            <w:pPr>
              <w:pStyle w:val="Tables"/>
            </w:pPr>
            <w:r w:rsidRPr="00566E77">
              <w:t>Mar</w:t>
            </w:r>
            <w:r>
              <w:t>.</w:t>
            </w:r>
            <w:r w:rsidRPr="00566E77">
              <w:t xml:space="preserve"> 2013</w:t>
            </w:r>
          </w:p>
        </w:tc>
      </w:tr>
      <w:tr w:rsidR="00EF7F1B" w:rsidRPr="00944A10" w14:paraId="4217A989" w14:textId="5556B122" w:rsidTr="00871F94">
        <w:trPr>
          <w:trHeight w:val="264"/>
        </w:trPr>
        <w:tc>
          <w:tcPr>
            <w:tcW w:w="1705" w:type="dxa"/>
            <w:vAlign w:val="center"/>
            <w:hideMark/>
          </w:tcPr>
          <w:p w14:paraId="536D9CD7" w14:textId="433FE157" w:rsidR="005B268F" w:rsidRPr="00856C62" w:rsidRDefault="005B268F" w:rsidP="00871F94">
            <w:pPr>
              <w:pStyle w:val="Tables"/>
            </w:pPr>
            <w:r w:rsidRPr="00856C62">
              <w:t xml:space="preserve">Total </w:t>
            </w:r>
          </w:p>
        </w:tc>
        <w:tc>
          <w:tcPr>
            <w:tcW w:w="1170" w:type="dxa"/>
          </w:tcPr>
          <w:p w14:paraId="0B16812B" w14:textId="799EA530" w:rsidR="005B268F" w:rsidRPr="00856C62" w:rsidRDefault="005B268F" w:rsidP="00871F94">
            <w:pPr>
              <w:pStyle w:val="Tables"/>
              <w:jc w:val="right"/>
            </w:pPr>
            <w:r w:rsidRPr="00856C62">
              <w:t>$42,033,966</w:t>
            </w:r>
          </w:p>
        </w:tc>
        <w:tc>
          <w:tcPr>
            <w:tcW w:w="1260" w:type="dxa"/>
            <w:tcBorders>
              <w:top w:val="nil"/>
              <w:left w:val="single" w:sz="4" w:space="0" w:color="auto"/>
              <w:bottom w:val="single" w:sz="4" w:space="0" w:color="auto"/>
              <w:right w:val="single" w:sz="4" w:space="0" w:color="auto"/>
            </w:tcBorders>
            <w:shd w:val="clear" w:color="auto" w:fill="auto"/>
            <w:noWrap/>
          </w:tcPr>
          <w:p w14:paraId="2F26CFA1" w14:textId="5CE96354" w:rsidR="005B268F" w:rsidRPr="00856C62" w:rsidRDefault="005B268F" w:rsidP="00871F94">
            <w:pPr>
              <w:pStyle w:val="Tables"/>
              <w:jc w:val="right"/>
              <w:rPr>
                <w:sz w:val="18"/>
                <w:szCs w:val="18"/>
              </w:rPr>
            </w:pPr>
            <w:r w:rsidRPr="00856C62">
              <w:t>$</w:t>
            </w:r>
            <w:r w:rsidR="00EF7F1B">
              <w:t>43,659,009</w:t>
            </w:r>
          </w:p>
        </w:tc>
        <w:tc>
          <w:tcPr>
            <w:tcW w:w="810" w:type="dxa"/>
            <w:tcBorders>
              <w:top w:val="nil"/>
              <w:left w:val="nil"/>
              <w:bottom w:val="single" w:sz="4" w:space="0" w:color="auto"/>
              <w:right w:val="single" w:sz="4" w:space="0" w:color="auto"/>
            </w:tcBorders>
            <w:shd w:val="clear" w:color="auto" w:fill="auto"/>
            <w:noWrap/>
          </w:tcPr>
          <w:p w14:paraId="7EF82010" w14:textId="61714415" w:rsidR="005B268F" w:rsidRPr="00856C62" w:rsidRDefault="005B268F" w:rsidP="00871F94">
            <w:pPr>
              <w:pStyle w:val="Tables"/>
              <w:jc w:val="right"/>
              <w:rPr>
                <w:sz w:val="18"/>
                <w:szCs w:val="18"/>
              </w:rPr>
            </w:pPr>
            <w:r w:rsidRPr="00856C62">
              <w:t>$0</w:t>
            </w:r>
          </w:p>
        </w:tc>
        <w:tc>
          <w:tcPr>
            <w:tcW w:w="1260" w:type="dxa"/>
            <w:tcBorders>
              <w:top w:val="nil"/>
              <w:left w:val="nil"/>
              <w:bottom w:val="single" w:sz="4" w:space="0" w:color="auto"/>
              <w:right w:val="single" w:sz="4" w:space="0" w:color="auto"/>
            </w:tcBorders>
            <w:shd w:val="clear" w:color="auto" w:fill="auto"/>
            <w:noWrap/>
          </w:tcPr>
          <w:p w14:paraId="0FF2F815" w14:textId="514DC1C7" w:rsidR="005B268F" w:rsidRPr="00856C62" w:rsidRDefault="005B268F" w:rsidP="00871F94">
            <w:pPr>
              <w:pStyle w:val="Tables"/>
              <w:jc w:val="right"/>
              <w:rPr>
                <w:sz w:val="18"/>
                <w:szCs w:val="18"/>
              </w:rPr>
            </w:pPr>
            <w:r w:rsidRPr="00856C62">
              <w:t>$0</w:t>
            </w:r>
          </w:p>
        </w:tc>
        <w:tc>
          <w:tcPr>
            <w:tcW w:w="1080" w:type="dxa"/>
            <w:tcBorders>
              <w:top w:val="nil"/>
              <w:left w:val="nil"/>
              <w:bottom w:val="single" w:sz="4" w:space="0" w:color="auto"/>
              <w:right w:val="single" w:sz="4" w:space="0" w:color="auto"/>
            </w:tcBorders>
            <w:shd w:val="clear" w:color="auto" w:fill="auto"/>
            <w:noWrap/>
          </w:tcPr>
          <w:p w14:paraId="7723F140" w14:textId="00946BEE" w:rsidR="005B268F" w:rsidRPr="00856C62" w:rsidRDefault="005B268F" w:rsidP="00871F94">
            <w:pPr>
              <w:pStyle w:val="Tables"/>
              <w:jc w:val="right"/>
              <w:rPr>
                <w:sz w:val="18"/>
                <w:szCs w:val="18"/>
              </w:rPr>
            </w:pPr>
            <w:r w:rsidRPr="00856C62">
              <w:t>$</w:t>
            </w:r>
            <w:r w:rsidR="00D53709">
              <w:t>1,625,043</w:t>
            </w:r>
          </w:p>
        </w:tc>
        <w:tc>
          <w:tcPr>
            <w:tcW w:w="720" w:type="dxa"/>
            <w:tcBorders>
              <w:top w:val="nil"/>
              <w:left w:val="nil"/>
              <w:bottom w:val="single" w:sz="4" w:space="0" w:color="auto"/>
              <w:right w:val="single" w:sz="4" w:space="0" w:color="auto"/>
            </w:tcBorders>
            <w:shd w:val="clear" w:color="auto" w:fill="auto"/>
            <w:noWrap/>
          </w:tcPr>
          <w:p w14:paraId="30BF9DDB" w14:textId="58FD37D7" w:rsidR="005B268F" w:rsidRPr="00856C62" w:rsidRDefault="00D53709" w:rsidP="00871F94">
            <w:pPr>
              <w:pStyle w:val="Tables"/>
              <w:jc w:val="right"/>
              <w:rPr>
                <w:sz w:val="18"/>
                <w:szCs w:val="18"/>
              </w:rPr>
            </w:pPr>
            <w:r>
              <w:t>3.9</w:t>
            </w:r>
            <w:r w:rsidR="005B268F" w:rsidRPr="00856C62">
              <w:t>%</w:t>
            </w:r>
          </w:p>
        </w:tc>
        <w:tc>
          <w:tcPr>
            <w:tcW w:w="1345" w:type="dxa"/>
            <w:tcBorders>
              <w:top w:val="nil"/>
              <w:left w:val="nil"/>
              <w:bottom w:val="single" w:sz="4" w:space="0" w:color="auto"/>
              <w:right w:val="single" w:sz="4" w:space="0" w:color="auto"/>
            </w:tcBorders>
            <w:shd w:val="clear" w:color="auto" w:fill="auto"/>
            <w:vAlign w:val="center"/>
          </w:tcPr>
          <w:p w14:paraId="79D63D04" w14:textId="20F9CB26" w:rsidR="005B268F" w:rsidRPr="00856C62" w:rsidRDefault="005B268F" w:rsidP="00871F94">
            <w:pPr>
              <w:pStyle w:val="Tables"/>
            </w:pPr>
            <w:r>
              <w:t>NA</w:t>
            </w:r>
          </w:p>
        </w:tc>
      </w:tr>
    </w:tbl>
    <w:p w14:paraId="3BED0DEF" w14:textId="79A62401" w:rsidR="00921002" w:rsidRPr="00921002" w:rsidRDefault="00921002" w:rsidP="00F747CB">
      <w:pPr>
        <w:pStyle w:val="Tablenote"/>
        <w:ind w:left="180" w:hanging="180"/>
      </w:pPr>
      <w:r>
        <w:rPr>
          <w:vertAlign w:val="superscript"/>
        </w:rPr>
        <w:t>a</w:t>
      </w:r>
      <w:r w:rsidRPr="001B116D">
        <w:t xml:space="preserve"> </w:t>
      </w:r>
      <w:r w:rsidR="00F747CB">
        <w:tab/>
      </w:r>
      <w:r w:rsidRPr="001B116D">
        <w:t>Substantial decrease was due to the reduced need for mailing of forms due to increased participation in electronic filing of forms and reports as the rule is implemented.</w:t>
      </w:r>
    </w:p>
    <w:p w14:paraId="2730AAA0" w14:textId="7716DAD7" w:rsidR="00F34FEE" w:rsidRDefault="00F34FEE" w:rsidP="00F747CB">
      <w:pPr>
        <w:pStyle w:val="Tablenote"/>
        <w:ind w:left="180" w:hanging="180"/>
      </w:pPr>
      <w:r w:rsidRPr="001B116D">
        <w:rPr>
          <w:vertAlign w:val="superscript"/>
        </w:rPr>
        <w:t>b</w:t>
      </w:r>
      <w:r w:rsidRPr="001B116D">
        <w:t xml:space="preserve"> </w:t>
      </w:r>
      <w:r w:rsidR="00F747CB">
        <w:tab/>
      </w:r>
      <w:r w:rsidR="00007CFD" w:rsidRPr="001B116D">
        <w:t>S</w:t>
      </w:r>
      <w:r w:rsidRPr="001B116D">
        <w:t xml:space="preserve">ubstantial increase was due to the coincidence of the period of greatest implementation burden with </w:t>
      </w:r>
      <w:r w:rsidR="00F747CB">
        <w:t xml:space="preserve">the </w:t>
      </w:r>
      <w:r w:rsidRPr="001B116D">
        <w:t>three</w:t>
      </w:r>
      <w:r w:rsidR="00F747CB">
        <w:t>-</w:t>
      </w:r>
      <w:r w:rsidRPr="001B116D">
        <w:t>year ICR period</w:t>
      </w:r>
      <w:r w:rsidR="00007CFD" w:rsidRPr="001B116D">
        <w:t>.</w:t>
      </w:r>
    </w:p>
    <w:p w14:paraId="58781814" w14:textId="14ADF93D" w:rsidR="00921002" w:rsidRPr="001B116D" w:rsidRDefault="00921002" w:rsidP="00F747CB">
      <w:pPr>
        <w:pStyle w:val="Tablenote"/>
        <w:ind w:left="180" w:hanging="180"/>
      </w:pPr>
      <w:r>
        <w:rPr>
          <w:vertAlign w:val="superscript"/>
        </w:rPr>
        <w:t>c</w:t>
      </w:r>
      <w:r w:rsidRPr="001B116D">
        <w:t xml:space="preserve"> </w:t>
      </w:r>
      <w:r w:rsidR="00F747CB">
        <w:tab/>
      </w:r>
      <w:r w:rsidRPr="001B116D">
        <w:t xml:space="preserve">Substantial decrease was due to revised EPA </w:t>
      </w:r>
      <w:r w:rsidR="00E223BA">
        <w:t xml:space="preserve">universe </w:t>
      </w:r>
      <w:r w:rsidRPr="001B116D">
        <w:t>estimates based on changes in industry practice, development of USDA guidelines, and industry consolidation.</w:t>
      </w:r>
    </w:p>
    <w:p w14:paraId="3DE19A9C" w14:textId="762C6C76" w:rsidR="0083691D" w:rsidRDefault="00AF6FD1" w:rsidP="00BC14BB">
      <w:r>
        <w:t xml:space="preserve">EPA </w:t>
      </w:r>
      <w:r w:rsidRPr="00F85EE1">
        <w:t xml:space="preserve">promulgated </w:t>
      </w:r>
      <w:r>
        <w:t xml:space="preserve">revised </w:t>
      </w:r>
      <w:r w:rsidRPr="001B13C7">
        <w:t xml:space="preserve">regulations for the </w:t>
      </w:r>
      <w:r w:rsidR="00F747CB">
        <w:t>“s</w:t>
      </w:r>
      <w:r w:rsidRPr="001B13C7">
        <w:t xml:space="preserve">team </w:t>
      </w:r>
      <w:r w:rsidR="00F747CB">
        <w:t>e</w:t>
      </w:r>
      <w:r w:rsidRPr="001B13C7">
        <w:t xml:space="preserve">lectric </w:t>
      </w:r>
      <w:r w:rsidR="00F747CB">
        <w:t>p</w:t>
      </w:r>
      <w:r w:rsidRPr="001B13C7">
        <w:t xml:space="preserve">ower </w:t>
      </w:r>
      <w:r w:rsidR="00F747CB">
        <w:t>g</w:t>
      </w:r>
      <w:r w:rsidRPr="001B13C7">
        <w:t>enerating</w:t>
      </w:r>
      <w:r w:rsidR="00F747CB">
        <w:t>”</w:t>
      </w:r>
      <w:r w:rsidRPr="001B13C7">
        <w:t xml:space="preserve"> category</w:t>
      </w:r>
      <w:r>
        <w:t xml:space="preserve"> on </w:t>
      </w:r>
      <w:r>
        <w:rPr>
          <w:lang w:val="en"/>
        </w:rPr>
        <w:t>September 30, 2015</w:t>
      </w:r>
      <w:r w:rsidRPr="001B13C7">
        <w:t xml:space="preserve">. </w:t>
      </w:r>
      <w:r>
        <w:t>No ICR was associated with this rule because EPA concluded that the burden was already covered under the existing NPDES ICR and the Pretreatment ICR that is being incorporated as discussed above. Thus, there was no additional burden to be incorporated into this ICR.</w:t>
      </w:r>
    </w:p>
    <w:p w14:paraId="2FB32098" w14:textId="46AB12CC" w:rsidR="007F2877" w:rsidRDefault="007F2877" w:rsidP="00B101A0">
      <w:pPr>
        <w:pStyle w:val="Heading2"/>
      </w:pPr>
      <w:bookmarkStart w:id="24" w:name="_Toc510451628"/>
      <w:r>
        <w:t>16.</w:t>
      </w:r>
      <w:r w:rsidR="00BC14BB">
        <w:tab/>
      </w:r>
      <w:r w:rsidRPr="00673714">
        <w:t>Outline any plans for tabulation and</w:t>
      </w:r>
      <w:r>
        <w:t xml:space="preserve"> publication of the information</w:t>
      </w:r>
      <w:bookmarkEnd w:id="24"/>
    </w:p>
    <w:p w14:paraId="68A3F442" w14:textId="787DC5D1" w:rsidR="00D3634A" w:rsidRDefault="00023967" w:rsidP="00BC14BB">
      <w:r w:rsidRPr="00023967">
        <w:t xml:space="preserve">EPA maintains some application data in databases such as ICIS-NPDES and the </w:t>
      </w:r>
      <w:r w:rsidR="00211607">
        <w:t>e</w:t>
      </w:r>
      <w:r w:rsidRPr="00023967">
        <w:t xml:space="preserve">NOI database. These systems provide EPA with a nationwide inventory of all permit holders. EPA </w:t>
      </w:r>
      <w:r w:rsidR="00A1431A">
        <w:t>H</w:t>
      </w:r>
      <w:r w:rsidRPr="00023967">
        <w:t>eadquarters uses this information to assess permit compliance. This technology also reduces the burden to EPA and the states for gathering and analyzing national permit and water quality data.</w:t>
      </w:r>
      <w:r w:rsidR="00D3634A">
        <w:t xml:space="preserve"> ICIS is the national computerized management information system that automates entry</w:t>
      </w:r>
      <w:r w:rsidR="00324DCF">
        <w:t xml:space="preserve"> of</w:t>
      </w:r>
      <w:r w:rsidR="00D3634A">
        <w:t xml:space="preserve">, updates, and facilitates retrieval of NPDES data and tracks permit issuance, permit limits and monitoring data, and other data </w:t>
      </w:r>
      <w:r w:rsidR="00F747CB">
        <w:t xml:space="preserve">on </w:t>
      </w:r>
      <w:r w:rsidR="00D3634A">
        <w:t xml:space="preserve">facilities regulated under NPDES. </w:t>
      </w:r>
      <w:r w:rsidR="00F747CB">
        <w:t>The public can access p</w:t>
      </w:r>
      <w:r w:rsidR="00D3634A">
        <w:t>ermit data in t</w:t>
      </w:r>
      <w:r w:rsidR="00B73D5D">
        <w:t>hree</w:t>
      </w:r>
      <w:r w:rsidR="00D3634A">
        <w:t xml:space="preserve"> ways:</w:t>
      </w:r>
    </w:p>
    <w:p w14:paraId="28710142" w14:textId="041C686F" w:rsidR="00B73D5D" w:rsidRDefault="00F747CB" w:rsidP="00EF1FFC">
      <w:pPr>
        <w:pStyle w:val="ListParagraph"/>
        <w:numPr>
          <w:ilvl w:val="0"/>
          <w:numId w:val="50"/>
        </w:numPr>
      </w:pPr>
      <w:r>
        <w:t>U</w:t>
      </w:r>
      <w:r w:rsidR="00EF7DEC">
        <w:t xml:space="preserve">sing EPA’s Envirofacts Data Warehouse and Applications website at </w:t>
      </w:r>
      <w:hyperlink r:id="rId14" w:history="1">
        <w:r w:rsidR="00B7083D" w:rsidRPr="00B7083D">
          <w:rPr>
            <w:rStyle w:val="Hyperlink"/>
          </w:rPr>
          <w:t>https://www3.epa.gov/enviro/</w:t>
        </w:r>
      </w:hyperlink>
      <w:r w:rsidR="00EF7DEC">
        <w:t xml:space="preserve">. Envirofacts </w:t>
      </w:r>
      <w:r>
        <w:t xml:space="preserve">lets users </w:t>
      </w:r>
      <w:r w:rsidR="00EF7DEC">
        <w:t>combine ICIS data with other EPA databases and mapping tools</w:t>
      </w:r>
      <w:r>
        <w:t>.</w:t>
      </w:r>
    </w:p>
    <w:p w14:paraId="2B35E1F3" w14:textId="570F2D06" w:rsidR="00B73D5D" w:rsidRPr="00023967" w:rsidRDefault="00F747CB" w:rsidP="00EF1FFC">
      <w:pPr>
        <w:pStyle w:val="ListParagraph"/>
        <w:numPr>
          <w:ilvl w:val="0"/>
          <w:numId w:val="50"/>
        </w:numPr>
      </w:pPr>
      <w:r>
        <w:t>U</w:t>
      </w:r>
      <w:r w:rsidR="00B73D5D" w:rsidRPr="00B73D5D">
        <w:t>sing EPA’s</w:t>
      </w:r>
      <w:r w:rsidR="00B73D5D">
        <w:t xml:space="preserve"> Enforcement and Compliance History Online (ECHO) website at </w:t>
      </w:r>
      <w:hyperlink r:id="rId15" w:history="1">
        <w:r w:rsidR="00B73D5D" w:rsidRPr="0098025E">
          <w:rPr>
            <w:rStyle w:val="Hyperlink"/>
          </w:rPr>
          <w:t>https://echo.epa.gov/</w:t>
        </w:r>
      </w:hyperlink>
      <w:r w:rsidR="00B73D5D">
        <w:t xml:space="preserve">. ECHO </w:t>
      </w:r>
      <w:r>
        <w:t xml:space="preserve">gives </w:t>
      </w:r>
      <w:r w:rsidR="00B73D5D">
        <w:t xml:space="preserve">the public </w:t>
      </w:r>
      <w:r w:rsidR="00485DBB">
        <w:t xml:space="preserve">access </w:t>
      </w:r>
      <w:r>
        <w:t xml:space="preserve">to </w:t>
      </w:r>
      <w:r w:rsidR="00B73D5D">
        <w:t>compliance</w:t>
      </w:r>
      <w:r>
        <w:t>-</w:t>
      </w:r>
      <w:r w:rsidR="00B73D5D">
        <w:t>history</w:t>
      </w:r>
      <w:r w:rsidR="00E22EAF">
        <w:t>-</w:t>
      </w:r>
      <w:r w:rsidR="00485DBB">
        <w:t xml:space="preserve">related data for </w:t>
      </w:r>
      <w:r w:rsidR="00B73D5D">
        <w:t>permittees by geographic area</w:t>
      </w:r>
      <w:r>
        <w:t>.</w:t>
      </w:r>
    </w:p>
    <w:p w14:paraId="74DE6975" w14:textId="7177B3BD" w:rsidR="00D3634A" w:rsidRDefault="009324E4" w:rsidP="00EF1FFC">
      <w:pPr>
        <w:pStyle w:val="ListParagraph"/>
        <w:numPr>
          <w:ilvl w:val="0"/>
          <w:numId w:val="50"/>
        </w:numPr>
      </w:pPr>
      <w:r>
        <w:t>V</w:t>
      </w:r>
      <w:r w:rsidR="00D3634A">
        <w:t>ia the Freedom of Information Act by subm</w:t>
      </w:r>
      <w:r w:rsidR="004E6FA4">
        <w:t>itting a request to EPA or the s</w:t>
      </w:r>
      <w:r w:rsidR="00D3634A">
        <w:t>tate.</w:t>
      </w:r>
    </w:p>
    <w:p w14:paraId="05F64482" w14:textId="45438C11" w:rsidR="007F2877" w:rsidRDefault="007F2877" w:rsidP="00B101A0">
      <w:pPr>
        <w:pStyle w:val="Heading2"/>
      </w:pPr>
      <w:bookmarkStart w:id="25" w:name="_Toc510451629"/>
      <w:r>
        <w:t>17.</w:t>
      </w:r>
      <w:r w:rsidR="00BC14BB">
        <w:tab/>
      </w:r>
      <w:r w:rsidRPr="00673714">
        <w:t>Explain any requests to not display the expiration date of OMB approval</w:t>
      </w:r>
      <w:bookmarkEnd w:id="25"/>
    </w:p>
    <w:p w14:paraId="1A176340" w14:textId="2F44B49F" w:rsidR="009B1FA1" w:rsidRPr="00D3634A" w:rsidRDefault="009B1FA1" w:rsidP="00BC14BB">
      <w:r w:rsidRPr="009B1FA1">
        <w:t>EPA has not made a request regarding display of the expiration date.</w:t>
      </w:r>
    </w:p>
    <w:p w14:paraId="53AEE82C" w14:textId="33C1848E" w:rsidR="007F2877" w:rsidRDefault="007F2877" w:rsidP="00B101A0">
      <w:pPr>
        <w:pStyle w:val="Heading2"/>
      </w:pPr>
      <w:bookmarkStart w:id="26" w:name="_Toc510451630"/>
      <w:r>
        <w:t>18.</w:t>
      </w:r>
      <w:r w:rsidR="00BC14BB">
        <w:tab/>
      </w:r>
      <w:r w:rsidRPr="00673714">
        <w:t>Explain any exceptions to the certification statement 5 CFR 1320.9, “Agency Certifications for Proposed Collections of Information.”</w:t>
      </w:r>
      <w:bookmarkEnd w:id="26"/>
    </w:p>
    <w:p w14:paraId="03404F40" w14:textId="49CEA584" w:rsidR="009B1FA1" w:rsidRPr="003634A5" w:rsidRDefault="009B1FA1" w:rsidP="00A42D5C">
      <w:r w:rsidRPr="009B1FA1">
        <w:t xml:space="preserve">The agency is able to certify compliance with all provisions under </w:t>
      </w:r>
      <w:r w:rsidR="00F747CB">
        <w:t>i</w:t>
      </w:r>
      <w:r w:rsidR="00F747CB" w:rsidRPr="009B1FA1">
        <w:t xml:space="preserve">tem </w:t>
      </w:r>
      <w:r w:rsidRPr="009B1FA1">
        <w:t>19 of OMB Form 83-I.B.</w:t>
      </w:r>
    </w:p>
    <w:p w14:paraId="780DBB9E" w14:textId="7BE6DB1E" w:rsidR="007F2877" w:rsidRDefault="007F2877" w:rsidP="00B101A0">
      <w:pPr>
        <w:pStyle w:val="Heading1"/>
      </w:pPr>
      <w:bookmarkStart w:id="27" w:name="_Toc510451631"/>
      <w:r w:rsidRPr="00673714">
        <w:t>B.</w:t>
      </w:r>
      <w:r w:rsidR="00BC14BB">
        <w:tab/>
      </w:r>
      <w:r w:rsidRPr="00673714">
        <w:t>Statistical Methods</w:t>
      </w:r>
      <w:r>
        <w:t xml:space="preserve"> </w:t>
      </w:r>
      <w:r w:rsidRPr="00673714">
        <w:t>(</w:t>
      </w:r>
      <w:r w:rsidR="00F747CB">
        <w:t>U</w:t>
      </w:r>
      <w:r w:rsidR="00F747CB" w:rsidRPr="00673714">
        <w:t xml:space="preserve">sed </w:t>
      </w:r>
      <w:r w:rsidRPr="00673714">
        <w:t xml:space="preserve">for </w:t>
      </w:r>
      <w:r w:rsidR="00F747CB">
        <w:t>C</w:t>
      </w:r>
      <w:r w:rsidR="00F747CB" w:rsidRPr="00673714">
        <w:t xml:space="preserve">ollection </w:t>
      </w:r>
      <w:r w:rsidRPr="00673714">
        <w:t xml:space="preserve">of </w:t>
      </w:r>
      <w:r w:rsidR="00F747CB">
        <w:t>I</w:t>
      </w:r>
      <w:r w:rsidR="00F747CB" w:rsidRPr="00673714">
        <w:t xml:space="preserve">nformation </w:t>
      </w:r>
      <w:r w:rsidR="00F747CB">
        <w:t>E</w:t>
      </w:r>
      <w:r w:rsidR="00F747CB" w:rsidRPr="00673714">
        <w:t xml:space="preserve">mploying </w:t>
      </w:r>
      <w:r w:rsidR="00F747CB">
        <w:t>S</w:t>
      </w:r>
      <w:r w:rsidR="00F747CB" w:rsidRPr="00673714">
        <w:t xml:space="preserve">tatistical </w:t>
      </w:r>
      <w:r w:rsidR="00F747CB">
        <w:t>M</w:t>
      </w:r>
      <w:r w:rsidR="00F747CB" w:rsidRPr="00673714">
        <w:t>ethods</w:t>
      </w:r>
      <w:r w:rsidRPr="00673714">
        <w:t>)</w:t>
      </w:r>
      <w:bookmarkEnd w:id="27"/>
    </w:p>
    <w:p w14:paraId="62CBA221" w14:textId="3D21636B" w:rsidR="00A64B9D" w:rsidRDefault="009B1FA1" w:rsidP="00A42D5C">
      <w:r w:rsidRPr="009B1FA1">
        <w:t>Statistical methods are not used with this collection.</w:t>
      </w:r>
    </w:p>
    <w:p w14:paraId="7475EF6A" w14:textId="77777777" w:rsidR="00C04949" w:rsidRDefault="00C04949">
      <w:pPr>
        <w:autoSpaceDE/>
        <w:autoSpaceDN/>
        <w:adjustRightInd/>
        <w:spacing w:after="160" w:line="259" w:lineRule="auto"/>
        <w:rPr>
          <w:rFonts w:ascii="Arial" w:hAnsi="Arial" w:cs="Arial"/>
          <w:b/>
          <w:bCs/>
          <w:kern w:val="32"/>
          <w:sz w:val="32"/>
          <w:szCs w:val="32"/>
        </w:rPr>
      </w:pPr>
      <w:r>
        <w:br w:type="page"/>
      </w:r>
    </w:p>
    <w:p w14:paraId="3917C2AD" w14:textId="510551F3" w:rsidR="00A64B9D" w:rsidRDefault="00A64B9D" w:rsidP="00B101A0">
      <w:pPr>
        <w:pStyle w:val="Heading1"/>
      </w:pPr>
      <w:bookmarkStart w:id="28" w:name="_Toc510451632"/>
      <w:r>
        <w:t>Appendix A</w:t>
      </w:r>
      <w:r w:rsidR="00BB2406">
        <w:t>—</w:t>
      </w:r>
      <w:r w:rsidRPr="00A64B9D">
        <w:t>Description of the Information Collected and Methodology for Estimating Respondent Burden and Cost of Collection</w:t>
      </w:r>
      <w:bookmarkEnd w:id="28"/>
    </w:p>
    <w:p w14:paraId="261C6BD3" w14:textId="3A5DE5D1" w:rsidR="00A42E82" w:rsidRDefault="00D7286A" w:rsidP="00A42D5C">
      <w:r>
        <w:t xml:space="preserve">This appendix provides </w:t>
      </w:r>
      <w:r w:rsidR="006C18EA">
        <w:t>detail</w:t>
      </w:r>
      <w:r w:rsidR="00E62DDB">
        <w:t>ed information</w:t>
      </w:r>
      <w:r w:rsidR="006C18EA">
        <w:t xml:space="preserve"> regarding the methodology for </w:t>
      </w:r>
      <w:r w:rsidR="006C18EA" w:rsidRPr="006C18EA">
        <w:t xml:space="preserve">estimating respondent burden </w:t>
      </w:r>
      <w:r w:rsidR="006C18EA">
        <w:t xml:space="preserve">and costs. Section A.1 provides the methodology for deriving respondent burden and </w:t>
      </w:r>
      <w:r w:rsidR="006C18EA" w:rsidRPr="006C18EA">
        <w:t>breakdown of capital/start-up cost</w:t>
      </w:r>
      <w:r w:rsidR="000772BC">
        <w:t xml:space="preserve">, while the </w:t>
      </w:r>
      <w:r w:rsidR="006C18EA" w:rsidRPr="006C18EA">
        <w:t xml:space="preserve">derivation of costs is provided in </w:t>
      </w:r>
      <w:r w:rsidR="000772BC">
        <w:t xml:space="preserve">section </w:t>
      </w:r>
      <w:r w:rsidR="006C18EA" w:rsidRPr="006C18EA">
        <w:t>A.2</w:t>
      </w:r>
      <w:r w:rsidR="000772BC">
        <w:t>.</w:t>
      </w:r>
    </w:p>
    <w:p w14:paraId="624A6F21" w14:textId="4F4A29FC" w:rsidR="00A42E82" w:rsidRPr="005A1A1F" w:rsidRDefault="006D0395" w:rsidP="00F9752C">
      <w:pPr>
        <w:pStyle w:val="Heading2"/>
      </w:pPr>
      <w:bookmarkStart w:id="29" w:name="_Toc137695359"/>
      <w:bookmarkStart w:id="30" w:name="_Toc137695826"/>
      <w:bookmarkStart w:id="31" w:name="_Toc198342252"/>
      <w:bookmarkStart w:id="32" w:name="_Toc300908848"/>
      <w:bookmarkStart w:id="33" w:name="_Toc510451633"/>
      <w:r>
        <w:t>A.1</w:t>
      </w:r>
      <w:r w:rsidR="00C04949">
        <w:t>.</w:t>
      </w:r>
      <w:r w:rsidR="004366AF">
        <w:tab/>
      </w:r>
      <w:r w:rsidR="00A42E82" w:rsidRPr="005A1A1F">
        <w:t>Estimating Respondent Burden</w:t>
      </w:r>
      <w:bookmarkEnd w:id="29"/>
      <w:bookmarkEnd w:id="30"/>
      <w:bookmarkEnd w:id="31"/>
      <w:bookmarkEnd w:id="32"/>
      <w:bookmarkEnd w:id="33"/>
    </w:p>
    <w:p w14:paraId="5C962711" w14:textId="4C64D863" w:rsidR="00A42E82" w:rsidRDefault="00A42E82" w:rsidP="00A42E82">
      <w:pPr>
        <w:keepNext/>
        <w:keepLines/>
        <w:numPr>
          <w:ilvl w:val="12"/>
          <w:numId w:val="0"/>
        </w:numPr>
      </w:pPr>
      <w:r w:rsidRPr="005A1A1F">
        <w:t xml:space="preserve">This section </w:t>
      </w:r>
      <w:r w:rsidR="00B9255F">
        <w:t>describes</w:t>
      </w:r>
      <w:r w:rsidR="00D7286A">
        <w:t xml:space="preserve"> </w:t>
      </w:r>
      <w:r w:rsidRPr="005A1A1F">
        <w:t xml:space="preserve">the </w:t>
      </w:r>
      <w:r w:rsidR="003B787D">
        <w:t xml:space="preserve">methodology for </w:t>
      </w:r>
      <w:r w:rsidRPr="005A1A1F">
        <w:t>estimat</w:t>
      </w:r>
      <w:r w:rsidR="003B787D">
        <w:t>ing</w:t>
      </w:r>
      <w:r w:rsidRPr="005A1A1F">
        <w:t xml:space="preserve"> respondent burden for </w:t>
      </w:r>
      <w:r w:rsidR="00D7286A">
        <w:t>the</w:t>
      </w:r>
      <w:r w:rsidRPr="005A1A1F">
        <w:t xml:space="preserve"> information request</w:t>
      </w:r>
      <w:r w:rsidR="00D7286A">
        <w:t>s</w:t>
      </w:r>
      <w:r w:rsidRPr="005A1A1F">
        <w:t xml:space="preserve">. Facilities subject to NPDES program requirements </w:t>
      </w:r>
      <w:r w:rsidR="006C18EA">
        <w:t>(</w:t>
      </w:r>
      <w:r w:rsidR="000772BC">
        <w:t xml:space="preserve">also referred to as </w:t>
      </w:r>
      <w:r w:rsidR="009B0DBF">
        <w:t>permit holder</w:t>
      </w:r>
      <w:r w:rsidR="000772BC">
        <w:t>s</w:t>
      </w:r>
      <w:r w:rsidR="009B0DBF">
        <w:t xml:space="preserve"> or </w:t>
      </w:r>
      <w:r w:rsidR="006C18EA">
        <w:t xml:space="preserve">permittees) </w:t>
      </w:r>
      <w:r w:rsidRPr="005A1A1F">
        <w:t xml:space="preserve">and authorized states are included as respondents in this section. </w:t>
      </w:r>
      <w:r w:rsidR="00D7286A">
        <w:t xml:space="preserve">Methodologies that apply to </w:t>
      </w:r>
      <w:r w:rsidR="00B9255F">
        <w:t>NPDES-</w:t>
      </w:r>
      <w:r w:rsidR="00D7286A">
        <w:t xml:space="preserve">authorized states also apply to </w:t>
      </w:r>
      <w:r w:rsidR="00F07E08">
        <w:t xml:space="preserve">federal burden associated with </w:t>
      </w:r>
      <w:r w:rsidR="00D7286A">
        <w:t>EPA Regions acting as permitting authority in non-</w:t>
      </w:r>
      <w:r w:rsidR="00B9255F">
        <w:t>NPDES-</w:t>
      </w:r>
      <w:r w:rsidR="00D7286A">
        <w:t>authorized st</w:t>
      </w:r>
      <w:r w:rsidR="006C18EA">
        <w:t xml:space="preserve">ates. </w:t>
      </w:r>
      <w:r w:rsidR="000772BC">
        <w:t>However, t</w:t>
      </w:r>
      <w:r w:rsidR="006C18EA">
        <w:t>he EPA permitting authority burden and costs are not included in the respondent burden and cost estimates.</w:t>
      </w:r>
    </w:p>
    <w:p w14:paraId="1AE7505E" w14:textId="6ED44670" w:rsidR="00A42E82" w:rsidRDefault="00A42E82" w:rsidP="00A42E82">
      <w:r w:rsidRPr="005A1A1F">
        <w:t xml:space="preserve">This ICR calculates annual burden and costs to respondents. These calculations are complicated because there are two types of permittee respondents discussed in this section: </w:t>
      </w:r>
      <w:r w:rsidR="00B9255F">
        <w:t xml:space="preserve">permittees </w:t>
      </w:r>
      <w:r w:rsidRPr="005A1A1F">
        <w:t xml:space="preserve">renewing existing permits and applicants for new permits. Applications for </w:t>
      </w:r>
      <w:r w:rsidR="0082689C">
        <w:t xml:space="preserve">NPDES </w:t>
      </w:r>
      <w:r w:rsidRPr="005A1A1F">
        <w:t>permit renewal must be submitted every 5 years. For these respondents, the ICR assumes that the number of applicants renewing per year equals one-fifth of the total number of existing permitted facilities.</w:t>
      </w:r>
      <w:r w:rsidR="000E18C6">
        <w:t xml:space="preserve"> </w:t>
      </w:r>
      <w:r w:rsidR="00E62DDB">
        <w:t>For new permits, r</w:t>
      </w:r>
      <w:r w:rsidR="000E18C6">
        <w:t>espondents will apply for each type of new permit only once and the annual number is estimated based on the expected average number of new permit applications that will be submitted over the three</w:t>
      </w:r>
      <w:r w:rsidR="00EE08A4">
        <w:t>-</w:t>
      </w:r>
      <w:r w:rsidR="000E18C6">
        <w:t>year period covered by this ICR.</w:t>
      </w:r>
      <w:r w:rsidR="00E62DDB">
        <w:t xml:space="preserve"> In subsequent ICRs, new permits will transition to renewal permits.</w:t>
      </w:r>
    </w:p>
    <w:p w14:paraId="080DAD2A" w14:textId="1A639700" w:rsidR="003E71A0" w:rsidRDefault="003E71A0" w:rsidP="00A42E82">
      <w:r>
        <w:t>Th</w:t>
      </w:r>
      <w:r w:rsidR="00506C9B">
        <w:t>is</w:t>
      </w:r>
      <w:r>
        <w:t xml:space="preserve"> section summarizes the input data </w:t>
      </w:r>
      <w:r w:rsidR="009B0DBF">
        <w:t xml:space="preserve">and assumptions </w:t>
      </w:r>
      <w:r>
        <w:t xml:space="preserve">for each </w:t>
      </w:r>
      <w:r w:rsidR="00FF2166">
        <w:t>category of respondent activity</w:t>
      </w:r>
      <w:r>
        <w:t xml:space="preserve"> shown in Appendix B. In some cases, </w:t>
      </w:r>
      <w:r w:rsidR="00A17927">
        <w:t xml:space="preserve">the “total number of respondents” </w:t>
      </w:r>
      <w:r w:rsidR="00747AEF">
        <w:t>and “a</w:t>
      </w:r>
      <w:r w:rsidR="00747AEF" w:rsidRPr="00747AEF">
        <w:t xml:space="preserve">nnual </w:t>
      </w:r>
      <w:r w:rsidR="00747AEF">
        <w:t>n</w:t>
      </w:r>
      <w:r w:rsidR="00747AEF" w:rsidRPr="00747AEF">
        <w:t xml:space="preserve">umber of </w:t>
      </w:r>
      <w:r w:rsidR="00747AEF">
        <w:t>r</w:t>
      </w:r>
      <w:r w:rsidR="00747AEF" w:rsidRPr="00747AEF">
        <w:t>espondents</w:t>
      </w:r>
      <w:r w:rsidR="00747AEF">
        <w:t xml:space="preserve">” </w:t>
      </w:r>
      <w:r w:rsidR="00A17927">
        <w:t xml:space="preserve">shown in Appendix B may </w:t>
      </w:r>
      <w:r w:rsidR="00FF2166">
        <w:t xml:space="preserve">reflect </w:t>
      </w:r>
      <w:r w:rsidR="00A17927">
        <w:t>double</w:t>
      </w:r>
      <w:r w:rsidR="00FF2166">
        <w:t>-</w:t>
      </w:r>
      <w:r w:rsidR="00A17927">
        <w:t xml:space="preserve">counting of individual respondents because </w:t>
      </w:r>
      <w:r w:rsidR="003F019B">
        <w:t xml:space="preserve">the respondent values are summed values within </w:t>
      </w:r>
      <w:r w:rsidR="00A17927">
        <w:t xml:space="preserve">the category </w:t>
      </w:r>
      <w:r w:rsidR="003F019B">
        <w:t xml:space="preserve">which </w:t>
      </w:r>
      <w:r w:rsidR="00A17927">
        <w:t>may include multiple activities</w:t>
      </w:r>
      <w:r w:rsidR="009153E0">
        <w:t xml:space="preserve"> for the same respondent</w:t>
      </w:r>
      <w:r w:rsidR="00A17927">
        <w:t>. For example, a permittee may be required to submit different types of notices</w:t>
      </w:r>
      <w:r w:rsidR="00E97CE4">
        <w:t xml:space="preserve"> to the permitting authority</w:t>
      </w:r>
      <w:r w:rsidR="00A17927">
        <w:t>. This is particularly true for recordkeeping</w:t>
      </w:r>
      <w:r w:rsidR="00AE0F1F">
        <w:t>,</w:t>
      </w:r>
      <w:r w:rsidR="00A17927">
        <w:t xml:space="preserve"> which can involve multiple </w:t>
      </w:r>
      <w:r w:rsidR="00E97CE4">
        <w:t xml:space="preserve">types </w:t>
      </w:r>
      <w:r w:rsidR="00AE0F1F">
        <w:t xml:space="preserve">of </w:t>
      </w:r>
      <w:r w:rsidR="00A17927">
        <w:t>recordkeeping activities.</w:t>
      </w:r>
    </w:p>
    <w:p w14:paraId="2828F1F9" w14:textId="495F363D" w:rsidR="009665CE" w:rsidRDefault="0069551A" w:rsidP="00A42E82">
      <w:r>
        <w:t>T</w:t>
      </w:r>
      <w:r w:rsidR="009665CE">
        <w:t>o simplif</w:t>
      </w:r>
      <w:r w:rsidR="00374959">
        <w:t>y the burden estimati</w:t>
      </w:r>
      <w:r w:rsidR="00E62DDB">
        <w:t>o</w:t>
      </w:r>
      <w:r w:rsidR="00374959">
        <w:t xml:space="preserve">n process, </w:t>
      </w:r>
      <w:r w:rsidR="00FF2166">
        <w:t xml:space="preserve">Appendix A identifies </w:t>
      </w:r>
      <w:r w:rsidR="00EA3BDE">
        <w:t>respondent categories that c</w:t>
      </w:r>
      <w:r>
        <w:t>an</w:t>
      </w:r>
      <w:r w:rsidR="00EA3BDE">
        <w:t xml:space="preserve"> be used as input values to adjust the burden estimates during each ICR cycle. For each respondent input category, estimates for number of responses, labor hours, O&amp;M costs, and capital/start-up costs </w:t>
      </w:r>
      <w:r>
        <w:t>are</w:t>
      </w:r>
      <w:r w:rsidR="00EA3BDE">
        <w:t xml:space="preserve"> derived from previous ICR estimates. </w:t>
      </w:r>
      <w:r w:rsidR="00D44A92">
        <w:t xml:space="preserve">These </w:t>
      </w:r>
      <w:r>
        <w:t>previous ICR estimates</w:t>
      </w:r>
      <w:r w:rsidR="00D44A92">
        <w:t xml:space="preserve"> </w:t>
      </w:r>
      <w:r>
        <w:t xml:space="preserve">are </w:t>
      </w:r>
      <w:r w:rsidR="00D44A92">
        <w:t xml:space="preserve">then </w:t>
      </w:r>
      <w:r>
        <w:t xml:space="preserve">adjusted based </w:t>
      </w:r>
      <w:r w:rsidR="00506C9B">
        <w:t xml:space="preserve">on </w:t>
      </w:r>
      <w:r w:rsidR="00C061D7">
        <w:t>revisions to the</w:t>
      </w:r>
      <w:r>
        <w:t xml:space="preserve"> </w:t>
      </w:r>
      <w:r w:rsidR="00D44A92">
        <w:t>number of respondents in each respondent input category</w:t>
      </w:r>
      <w:r w:rsidR="0082689C" w:rsidRPr="0082689C">
        <w:t xml:space="preserve"> </w:t>
      </w:r>
      <w:r w:rsidR="0082689C">
        <w:t xml:space="preserve">and </w:t>
      </w:r>
      <w:r w:rsidR="0082689C" w:rsidRPr="0082689C">
        <w:t>wherever underlying assumptions change</w:t>
      </w:r>
      <w:r w:rsidR="00D44A92">
        <w:t>. The revised number</w:t>
      </w:r>
      <w:r w:rsidR="00EA3BDE">
        <w:t xml:space="preserve"> of respondents in each </w:t>
      </w:r>
      <w:r w:rsidR="00D44A92">
        <w:t xml:space="preserve">input category are listed in Appendix D and represent </w:t>
      </w:r>
      <w:r>
        <w:t xml:space="preserve">various </w:t>
      </w:r>
      <w:r w:rsidR="00D44A92">
        <w:t xml:space="preserve">subsets of </w:t>
      </w:r>
      <w:r w:rsidR="00EA3BDE">
        <w:t xml:space="preserve">the unique </w:t>
      </w:r>
      <w:r w:rsidR="00D44A92">
        <w:t xml:space="preserve">respondents listed in Appendix E. </w:t>
      </w:r>
      <w:r w:rsidR="0082689C">
        <w:t>T</w:t>
      </w:r>
      <w:r>
        <w:t>he basic assumptions used to derive the ICR estimates are described below.</w:t>
      </w:r>
    </w:p>
    <w:p w14:paraId="68216823" w14:textId="3C408C03" w:rsidR="003E71A0" w:rsidRDefault="003E71A0" w:rsidP="00B101A0">
      <w:pPr>
        <w:pStyle w:val="Heading3"/>
      </w:pPr>
      <w:bookmarkStart w:id="34" w:name="_Toc510451634"/>
      <w:r>
        <w:t>A.1.1.</w:t>
      </w:r>
      <w:r w:rsidR="004366AF">
        <w:tab/>
      </w:r>
      <w:r>
        <w:t>Recordkeeping</w:t>
      </w:r>
      <w:bookmarkEnd w:id="34"/>
    </w:p>
    <w:p w14:paraId="7E974896" w14:textId="2D196310" w:rsidR="00747AEF" w:rsidRDefault="00B61CF2" w:rsidP="003E71A0">
      <w:r w:rsidRPr="00B61CF2">
        <w:rPr>
          <w:i/>
        </w:rPr>
        <w:t>Permittees.</w:t>
      </w:r>
      <w:r>
        <w:t xml:space="preserve"> </w:t>
      </w:r>
      <w:r w:rsidR="00747AEF">
        <w:t xml:space="preserve">Recordkeeping activities include those associated with data collected, DMRs, permit documents, notices, and correspondence. </w:t>
      </w:r>
      <w:r w:rsidR="001547DA">
        <w:t xml:space="preserve">NPDES regulations require permittees to maintain records and periodically report on monitoring activities. NPDES permits, in accordance with 40 CFR 122.41(j), require permittees to retain permit records for at least three years. Recordkeeping requirements for sewage sludge and CAFOs require records must be kept for five years. </w:t>
      </w:r>
      <w:r w:rsidR="001A0437">
        <w:t xml:space="preserve">NPDES regulations at 40 CFR 122.41(l)(4)(i) require that monitoring results must be reported on a DMR. In addition, regulations at 40 CFR 122.44(i)(2) require permittees to submit reports </w:t>
      </w:r>
      <w:r w:rsidR="007318B5">
        <w:t xml:space="preserve">(on discharges and sludge use or disposal) </w:t>
      </w:r>
      <w:r w:rsidR="001A0437">
        <w:t xml:space="preserve">at least annually; however, because NPDES regulations state that monitoring and reporting frequencies should be dependent on the nature of the discharge, reporting may be more frequent than annually. </w:t>
      </w:r>
      <w:r w:rsidR="00AE4D70">
        <w:t xml:space="preserve">NPDES permits may require the submittal of </w:t>
      </w:r>
      <w:r w:rsidR="00AF3A2A">
        <w:t xml:space="preserve">other required </w:t>
      </w:r>
      <w:r w:rsidR="00AE4D70">
        <w:t>information</w:t>
      </w:r>
      <w:r w:rsidR="00AF3A2A">
        <w:t>, e.g., notices and permit documents</w:t>
      </w:r>
      <w:r w:rsidR="00AE4D70">
        <w:t xml:space="preserve"> (aside from </w:t>
      </w:r>
      <w:r w:rsidR="00AF3A2A">
        <w:t xml:space="preserve">reports on </w:t>
      </w:r>
      <w:r w:rsidR="00AE4D70">
        <w:t>discharge and sludge use/disposal)</w:t>
      </w:r>
      <w:r w:rsidR="00AF3A2A">
        <w:t>,</w:t>
      </w:r>
      <w:r w:rsidR="00AE4D70">
        <w:t xml:space="preserve"> on other frequencies. </w:t>
      </w:r>
      <w:r w:rsidR="00747AEF">
        <w:t xml:space="preserve">Frequency may range from ongoing to once every five years. </w:t>
      </w:r>
      <w:r w:rsidR="00F1524A">
        <w:t>The</w:t>
      </w:r>
      <w:r w:rsidR="00B347FB">
        <w:t xml:space="preserve"> </w:t>
      </w:r>
      <w:r w:rsidR="00FF43AB">
        <w:t>estimated time required</w:t>
      </w:r>
      <w:r w:rsidR="00661542">
        <w:t xml:space="preserve"> per response range</w:t>
      </w:r>
      <w:r w:rsidR="00B347FB">
        <w:t>s</w:t>
      </w:r>
      <w:r w:rsidR="00661542">
        <w:t xml:space="preserve"> from </w:t>
      </w:r>
      <w:r w:rsidR="009153E0">
        <w:t>10 minutes (</w:t>
      </w:r>
      <w:r w:rsidR="00661542">
        <w:t>0.17</w:t>
      </w:r>
      <w:r w:rsidR="009153E0">
        <w:t xml:space="preserve"> hours)</w:t>
      </w:r>
      <w:r w:rsidR="00661542">
        <w:t xml:space="preserve"> for sludge permits to 6-7 hours for general stormwater and major industrial NPDES permits. </w:t>
      </w:r>
    </w:p>
    <w:p w14:paraId="37701558" w14:textId="645B0280" w:rsidR="00661542" w:rsidRDefault="00B61CF2" w:rsidP="003E71A0">
      <w:r w:rsidRPr="00B61CF2">
        <w:rPr>
          <w:i/>
        </w:rPr>
        <w:t>States.</w:t>
      </w:r>
      <w:r>
        <w:t xml:space="preserve"> </w:t>
      </w:r>
      <w:r w:rsidR="000F5166">
        <w:t xml:space="preserve">The </w:t>
      </w:r>
      <w:r w:rsidR="00FF43AB">
        <w:t>estimated time required</w:t>
      </w:r>
      <w:r w:rsidR="00D80F07" w:rsidRPr="00D80F07">
        <w:t xml:space="preserve"> </w:t>
      </w:r>
      <w:r w:rsidR="00654B8B">
        <w:t>for</w:t>
      </w:r>
      <w:r w:rsidR="00D80F07" w:rsidRPr="00D80F07">
        <w:t xml:space="preserve"> state respondent</w:t>
      </w:r>
      <w:r w:rsidR="00654B8B">
        <w:t>s</w:t>
      </w:r>
      <w:r w:rsidR="00D80F07" w:rsidRPr="00D80F07">
        <w:t xml:space="preserve"> for permit oversight</w:t>
      </w:r>
      <w:r w:rsidR="00D80F07">
        <w:t xml:space="preserve"> recordkeeping ranges from a</w:t>
      </w:r>
      <w:r w:rsidR="00654B8B">
        <w:t xml:space="preserve"> per</w:t>
      </w:r>
      <w:r w:rsidR="00FF2166">
        <w:t>-</w:t>
      </w:r>
      <w:r w:rsidR="00654B8B">
        <w:t>state</w:t>
      </w:r>
      <w:r w:rsidR="00D80F07">
        <w:t xml:space="preserve"> aggregate of 0.33 hours for </w:t>
      </w:r>
      <w:r w:rsidR="009153E0">
        <w:t xml:space="preserve">the </w:t>
      </w:r>
      <w:r w:rsidR="00D80F07">
        <w:t>CSO program to 50 hours for sludge programs to 300 hours for the NPDES program</w:t>
      </w:r>
      <w:r w:rsidR="00FF2166">
        <w:t>.</w:t>
      </w:r>
    </w:p>
    <w:p w14:paraId="632B7B23" w14:textId="47670010" w:rsidR="00FA0F58" w:rsidRDefault="003E71A0" w:rsidP="00B101A0">
      <w:pPr>
        <w:pStyle w:val="Heading3"/>
      </w:pPr>
      <w:bookmarkStart w:id="35" w:name="_Toc510451635"/>
      <w:r>
        <w:t>A.1.2.</w:t>
      </w:r>
      <w:r w:rsidR="004366AF">
        <w:tab/>
      </w:r>
      <w:r w:rsidR="00FA0F58">
        <w:t>Individual Permits</w:t>
      </w:r>
      <w:bookmarkEnd w:id="35"/>
    </w:p>
    <w:p w14:paraId="2A3DD496" w14:textId="4B03E620" w:rsidR="003E71A0" w:rsidRDefault="00FA0F58" w:rsidP="00DE1B27">
      <w:pPr>
        <w:pStyle w:val="Heading4"/>
      </w:pPr>
      <w:r>
        <w:t>A.1.2.1</w:t>
      </w:r>
      <w:r w:rsidR="00506C9B">
        <w:t>.</w:t>
      </w:r>
      <w:r>
        <w:t xml:space="preserve"> </w:t>
      </w:r>
      <w:r w:rsidR="003E71A0">
        <w:t>Application Forms</w:t>
      </w:r>
    </w:p>
    <w:p w14:paraId="2F613D99" w14:textId="5A56F211" w:rsidR="00FA0F58" w:rsidRDefault="00D600D2" w:rsidP="00AC7F9B">
      <w:r>
        <w:t xml:space="preserve">Below </w:t>
      </w:r>
      <w:r w:rsidR="002D1079">
        <w:t xml:space="preserve">are NPDES application forms that are submitted </w:t>
      </w:r>
      <w:r w:rsidR="009153E0">
        <w:t xml:space="preserve">initially </w:t>
      </w:r>
      <w:r w:rsidR="002D1079">
        <w:t xml:space="preserve">for new permits and resubmitted upon permit renewal every five years. </w:t>
      </w:r>
      <w:r w:rsidR="00481DE1">
        <w:t xml:space="preserve">NPDES regulations </w:t>
      </w:r>
      <w:r w:rsidR="00DF53EF">
        <w:t xml:space="preserve">at 40 CFR 122.21(a) </w:t>
      </w:r>
      <w:r w:rsidR="00481DE1">
        <w:t xml:space="preserve">require </w:t>
      </w:r>
      <w:r w:rsidR="00DF53EF">
        <w:t xml:space="preserve">that any person, except those covered by general permits, who discharges pollutants or proposes to discharge pollutants to waters of the United States must apply for a permit. Further, 40 CFR 122.21(e) prohibits the permitting authority from issuing an individual permit until and unless a prospective discharger provided a complete application. </w:t>
      </w:r>
      <w:r w:rsidR="009153E0">
        <w:t xml:space="preserve">These forms and the facilities </w:t>
      </w:r>
      <w:r w:rsidR="00915217">
        <w:t xml:space="preserve">that submit them </w:t>
      </w:r>
      <w:r w:rsidR="009153E0">
        <w:t>are included in Table 2.1</w:t>
      </w:r>
      <w:r w:rsidR="00E2670A">
        <w:t xml:space="preserve"> in </w:t>
      </w:r>
      <w:r w:rsidR="00E16FA4">
        <w:t xml:space="preserve">Item 2 of </w:t>
      </w:r>
      <w:r w:rsidR="00792F8F">
        <w:t>S</w:t>
      </w:r>
      <w:r w:rsidR="00E2670A">
        <w:t>ection A</w:t>
      </w:r>
      <w:r w:rsidR="00E16FA4">
        <w:t xml:space="preserve"> (Justification)</w:t>
      </w:r>
      <w:r w:rsidR="00E2670A">
        <w:t xml:space="preserve"> </w:t>
      </w:r>
      <w:r w:rsidR="00915217">
        <w:t>above</w:t>
      </w:r>
      <w:r w:rsidR="009153E0">
        <w:t xml:space="preserve">. </w:t>
      </w:r>
      <w:r w:rsidR="00086457">
        <w:t>40 CFR 122</w:t>
      </w:r>
      <w:r w:rsidR="00E55075">
        <w:t>, Subpart B</w:t>
      </w:r>
      <w:r w:rsidR="00086457">
        <w:t xml:space="preserve"> </w:t>
      </w:r>
      <w:r w:rsidR="00175205">
        <w:t xml:space="preserve">establishes </w:t>
      </w:r>
      <w:r w:rsidR="00E447A5">
        <w:t xml:space="preserve">NPDES permit </w:t>
      </w:r>
      <w:r w:rsidR="00175205">
        <w:t xml:space="preserve">application </w:t>
      </w:r>
      <w:r w:rsidR="00E447A5">
        <w:t>requirements</w:t>
      </w:r>
      <w:r w:rsidR="00E55075">
        <w:t>. A</w:t>
      </w:r>
      <w:r w:rsidR="002057FE">
        <w:t xml:space="preserve">pplication </w:t>
      </w:r>
      <w:r w:rsidR="00E447A5">
        <w:t xml:space="preserve">requirements </w:t>
      </w:r>
      <w:r w:rsidR="002057FE">
        <w:t>are specific to the type of facility and discharge</w:t>
      </w:r>
      <w:r w:rsidR="00175205">
        <w:t xml:space="preserve">. </w:t>
      </w:r>
      <w:r w:rsidR="00C8246E">
        <w:t>D</w:t>
      </w:r>
      <w:r w:rsidR="00C8246E" w:rsidRPr="00C8246E">
        <w:t>ue to the wide variety in response times</w:t>
      </w:r>
      <w:r w:rsidR="00C8246E">
        <w:t>, t</w:t>
      </w:r>
      <w:r w:rsidR="00F40706">
        <w:t xml:space="preserve">he burdens for </w:t>
      </w:r>
      <w:r w:rsidR="00C8246E">
        <w:t xml:space="preserve">different types of </w:t>
      </w:r>
      <w:r w:rsidR="00F40706">
        <w:t xml:space="preserve">application forms </w:t>
      </w:r>
      <w:r w:rsidR="009153E0">
        <w:t>are discussed separately below.</w:t>
      </w:r>
      <w:r w:rsidR="001E583A" w:rsidRPr="00C04949">
        <w:t xml:space="preserve"> </w:t>
      </w:r>
    </w:p>
    <w:p w14:paraId="611619CC" w14:textId="4084E70E" w:rsidR="00B347FB" w:rsidRPr="004366AF" w:rsidRDefault="00B347FB" w:rsidP="004366AF">
      <w:pPr>
        <w:pStyle w:val="Heading5"/>
      </w:pPr>
      <w:r w:rsidRPr="004366AF">
        <w:t>Form 1</w:t>
      </w:r>
    </w:p>
    <w:p w14:paraId="485E3CDA" w14:textId="2F466EA6" w:rsidR="00B347FB" w:rsidRDefault="00B61CF2" w:rsidP="008E40C4">
      <w:r w:rsidRPr="00B61CF2">
        <w:rPr>
          <w:i/>
        </w:rPr>
        <w:t>Permittees.</w:t>
      </w:r>
      <w:r>
        <w:rPr>
          <w:i/>
        </w:rPr>
        <w:t xml:space="preserve"> </w:t>
      </w:r>
      <w:r w:rsidR="003C0B30" w:rsidRPr="00AC7F9B">
        <w:t>Form 1</w:t>
      </w:r>
      <w:r w:rsidR="003C0B30">
        <w:rPr>
          <w:i/>
        </w:rPr>
        <w:t xml:space="preserve"> </w:t>
      </w:r>
      <w:r w:rsidR="003C0B30">
        <w:t xml:space="preserve">requirements apply to all nonmunicipal individual permits and individual stormwater permits. </w:t>
      </w:r>
      <w:r w:rsidR="00F1524A">
        <w:t xml:space="preserve">The </w:t>
      </w:r>
      <w:r w:rsidR="00FF43AB">
        <w:t>estimated time required</w:t>
      </w:r>
      <w:r w:rsidR="0096057B">
        <w:t xml:space="preserve"> per </w:t>
      </w:r>
      <w:r w:rsidR="00150883">
        <w:t>permittee respondent</w:t>
      </w:r>
      <w:r w:rsidR="0096057B">
        <w:t xml:space="preserve"> for Form 1 ranges from 1 to 3 hours.</w:t>
      </w:r>
    </w:p>
    <w:p w14:paraId="2ABA67F8" w14:textId="0365E1E0" w:rsidR="00ED6608" w:rsidRDefault="00B61CF2" w:rsidP="008E40C4">
      <w:r w:rsidRPr="00B61CF2">
        <w:rPr>
          <w:i/>
        </w:rPr>
        <w:t>States</w:t>
      </w:r>
      <w:r w:rsidR="00F07E08">
        <w:rPr>
          <w:i/>
        </w:rPr>
        <w:t>/federal</w:t>
      </w:r>
      <w:r w:rsidRPr="00B61CF2">
        <w:rPr>
          <w:i/>
        </w:rPr>
        <w:t>.</w:t>
      </w:r>
      <w:r>
        <w:t xml:space="preserve"> </w:t>
      </w:r>
      <w:r w:rsidR="00F1524A">
        <w:t>The e</w:t>
      </w:r>
      <w:r w:rsidR="00ED6608" w:rsidRPr="00ED6608">
        <w:t>stimated burden hours for state</w:t>
      </w:r>
      <w:r w:rsidR="00F07E08">
        <w:t>/federal</w:t>
      </w:r>
      <w:r w:rsidR="00ED6608" w:rsidRPr="00ED6608">
        <w:t xml:space="preserve"> respondent</w:t>
      </w:r>
      <w:r w:rsidR="00F07E08">
        <w:t>s</w:t>
      </w:r>
      <w:r w:rsidR="00ED6608" w:rsidRPr="00ED6608">
        <w:t xml:space="preserve"> </w:t>
      </w:r>
      <w:r w:rsidR="00150883">
        <w:t>to review</w:t>
      </w:r>
      <w:r w:rsidR="00ED6608" w:rsidRPr="00ED6608">
        <w:t xml:space="preserve"> </w:t>
      </w:r>
      <w:r w:rsidR="00ED6608">
        <w:t>Form 1 is 0.5 hours per</w:t>
      </w:r>
      <w:r w:rsidR="00792F8F">
        <w:t xml:space="preserve"> </w:t>
      </w:r>
      <w:r w:rsidR="0049478E">
        <w:t>form</w:t>
      </w:r>
      <w:r w:rsidR="00A36C97">
        <w:t>.</w:t>
      </w:r>
    </w:p>
    <w:p w14:paraId="2F2BCF9A" w14:textId="2FC4E3BB" w:rsidR="00B347FB" w:rsidRDefault="00B347FB" w:rsidP="004366AF">
      <w:pPr>
        <w:pStyle w:val="Heading5"/>
      </w:pPr>
      <w:r w:rsidRPr="00AC7F9B">
        <w:t>Forms 2C-2F</w:t>
      </w:r>
    </w:p>
    <w:p w14:paraId="1CEAA82F" w14:textId="494C9574" w:rsidR="00ED6608" w:rsidRDefault="00B61CF2" w:rsidP="008E40C4">
      <w:r w:rsidRPr="00B61CF2">
        <w:rPr>
          <w:i/>
        </w:rPr>
        <w:t>Permittees.</w:t>
      </w:r>
      <w:r>
        <w:rPr>
          <w:i/>
        </w:rPr>
        <w:t xml:space="preserve"> </w:t>
      </w:r>
      <w:r w:rsidR="00F1524A">
        <w:t xml:space="preserve">The </w:t>
      </w:r>
      <w:r w:rsidR="00FF43AB">
        <w:t>estimated time required</w:t>
      </w:r>
      <w:r w:rsidR="0096057B">
        <w:t xml:space="preserve"> per </w:t>
      </w:r>
      <w:r w:rsidR="00150883">
        <w:t>permittee respondent</w:t>
      </w:r>
      <w:r w:rsidR="0096057B">
        <w:t xml:space="preserve"> for F</w:t>
      </w:r>
      <w:r w:rsidR="0096057B" w:rsidRPr="0096057B">
        <w:t xml:space="preserve">orms 2C-2F </w:t>
      </w:r>
      <w:r w:rsidR="0096057B">
        <w:t>ranges from 14 hours for Form 2E to 46 hours for Form 2D.</w:t>
      </w:r>
    </w:p>
    <w:p w14:paraId="58DAC103" w14:textId="3B225979" w:rsidR="00ED6608" w:rsidRDefault="00B61CF2" w:rsidP="008E40C4">
      <w:r w:rsidRPr="00B61CF2">
        <w:rPr>
          <w:i/>
        </w:rPr>
        <w:t>States</w:t>
      </w:r>
      <w:r w:rsidR="00F07E08">
        <w:rPr>
          <w:i/>
        </w:rPr>
        <w:t>/federal</w:t>
      </w:r>
      <w:r w:rsidRPr="00B61CF2">
        <w:rPr>
          <w:i/>
        </w:rPr>
        <w:t>.</w:t>
      </w:r>
      <w:r>
        <w:t xml:space="preserve"> </w:t>
      </w:r>
      <w:r w:rsidR="00ED6608" w:rsidRPr="00ED6608">
        <w:t>Estimated burden hours for state</w:t>
      </w:r>
      <w:r w:rsidR="00F07E08">
        <w:t>/federal</w:t>
      </w:r>
      <w:r w:rsidR="00ED6608" w:rsidRPr="00ED6608">
        <w:t xml:space="preserve"> respondent</w:t>
      </w:r>
      <w:r w:rsidR="00F07E08">
        <w:t>s</w:t>
      </w:r>
      <w:r w:rsidR="00ED6608" w:rsidRPr="00ED6608">
        <w:t xml:space="preserve"> </w:t>
      </w:r>
      <w:r w:rsidR="00654B8B">
        <w:t>to</w:t>
      </w:r>
      <w:r w:rsidR="00ED6608" w:rsidRPr="00ED6608">
        <w:t xml:space="preserve"> review Form</w:t>
      </w:r>
      <w:r w:rsidR="00ED6608">
        <w:t xml:space="preserve">s 2C-2F </w:t>
      </w:r>
      <w:r w:rsidR="001E583A">
        <w:t>ranges from 0.5 hours to 2 hours per form.</w:t>
      </w:r>
    </w:p>
    <w:p w14:paraId="663ED9DB" w14:textId="50CA1583" w:rsidR="00ED6608" w:rsidRPr="00F2144A" w:rsidRDefault="00ED6608" w:rsidP="004366AF">
      <w:pPr>
        <w:pStyle w:val="Heading5"/>
      </w:pPr>
      <w:r w:rsidRPr="00AC7F9B">
        <w:t>Forms fo</w:t>
      </w:r>
      <w:r w:rsidRPr="004366AF">
        <w:rPr>
          <w:rStyle w:val="Heading5Char"/>
        </w:rPr>
        <w:t xml:space="preserve">r </w:t>
      </w:r>
      <w:r w:rsidRPr="00AC7F9B">
        <w:t xml:space="preserve">POTWs </w:t>
      </w:r>
      <w:r w:rsidR="007358A3">
        <w:t>and</w:t>
      </w:r>
      <w:r w:rsidR="007358A3" w:rsidRPr="00AC7F9B">
        <w:t xml:space="preserve"> </w:t>
      </w:r>
      <w:r w:rsidRPr="00AC7F9B">
        <w:t>PrOTWs</w:t>
      </w:r>
    </w:p>
    <w:p w14:paraId="38F50A47" w14:textId="762B42BC" w:rsidR="00B347FB" w:rsidRDefault="00B61CF2" w:rsidP="008E40C4">
      <w:r w:rsidRPr="00B61CF2">
        <w:rPr>
          <w:i/>
        </w:rPr>
        <w:t>Permittees.</w:t>
      </w:r>
      <w:r>
        <w:rPr>
          <w:i/>
        </w:rPr>
        <w:t xml:space="preserve"> </w:t>
      </w:r>
      <w:r w:rsidR="00F1524A">
        <w:t xml:space="preserve">The </w:t>
      </w:r>
      <w:r w:rsidR="00FF43AB">
        <w:t>estimated time required</w:t>
      </w:r>
      <w:r w:rsidR="008E40C4" w:rsidRPr="008E40C4">
        <w:t xml:space="preserve"> per </w:t>
      </w:r>
      <w:r w:rsidR="0046075E">
        <w:t>permittee respondent</w:t>
      </w:r>
      <w:r w:rsidR="008E40C4" w:rsidRPr="008E40C4">
        <w:t xml:space="preserve"> for Forms for POTWs </w:t>
      </w:r>
      <w:r w:rsidR="007358A3">
        <w:t>and</w:t>
      </w:r>
      <w:r w:rsidR="007358A3" w:rsidRPr="008E40C4">
        <w:t xml:space="preserve"> </w:t>
      </w:r>
      <w:r w:rsidR="008E40C4" w:rsidRPr="008E40C4">
        <w:t xml:space="preserve">PrOTWs </w:t>
      </w:r>
      <w:r w:rsidR="008E40C4">
        <w:t>(Form 2A</w:t>
      </w:r>
      <w:r w:rsidR="00B347FB">
        <w:t xml:space="preserve"> -</w:t>
      </w:r>
      <w:r w:rsidR="008E40C4">
        <w:t xml:space="preserve"> Basic, Form 2A</w:t>
      </w:r>
      <w:r w:rsidR="00B347FB">
        <w:t xml:space="preserve"> -</w:t>
      </w:r>
      <w:r w:rsidR="008E40C4">
        <w:t xml:space="preserve"> Part D, Form 2A</w:t>
      </w:r>
      <w:r w:rsidR="00B347FB">
        <w:t xml:space="preserve"> -</w:t>
      </w:r>
      <w:r w:rsidR="008E40C4">
        <w:t xml:space="preserve"> Part E, Form 2A</w:t>
      </w:r>
      <w:r w:rsidR="00B347FB">
        <w:t xml:space="preserve"> -</w:t>
      </w:r>
      <w:r w:rsidR="008E40C4">
        <w:t xml:space="preserve"> Part F, Form 2A</w:t>
      </w:r>
      <w:r w:rsidR="00B347FB">
        <w:t xml:space="preserve"> -</w:t>
      </w:r>
      <w:r w:rsidR="008E40C4">
        <w:t xml:space="preserve"> Part G)</w:t>
      </w:r>
      <w:r w:rsidR="008E40C4" w:rsidRPr="008E40C4">
        <w:t xml:space="preserve"> range</w:t>
      </w:r>
      <w:r w:rsidR="00175B0E">
        <w:t>s</w:t>
      </w:r>
      <w:r w:rsidR="008E40C4" w:rsidRPr="008E40C4">
        <w:t xml:space="preserve"> </w:t>
      </w:r>
      <w:r w:rsidR="008E40C4">
        <w:t xml:space="preserve">from 4 to 18 hours. </w:t>
      </w:r>
      <w:r w:rsidR="0096057B">
        <w:t>There</w:t>
      </w:r>
      <w:r w:rsidR="002D1079">
        <w:t xml:space="preserve"> are non-labor </w:t>
      </w:r>
      <w:r w:rsidR="00B347FB">
        <w:t xml:space="preserve">operating </w:t>
      </w:r>
      <w:r w:rsidR="002D1079">
        <w:t xml:space="preserve">costs associated with </w:t>
      </w:r>
      <w:r w:rsidR="002D1079" w:rsidRPr="002D1079">
        <w:t xml:space="preserve">Forms for POTWs </w:t>
      </w:r>
      <w:r w:rsidR="007358A3">
        <w:t>and</w:t>
      </w:r>
      <w:r w:rsidR="002D1079" w:rsidRPr="002D1079">
        <w:t xml:space="preserve"> PrOTWs </w:t>
      </w:r>
      <w:r w:rsidR="002D1079">
        <w:t>due to requirements for testing and analysis. See section A.2 for details</w:t>
      </w:r>
      <w:r w:rsidR="0055679E">
        <w:t>.</w:t>
      </w:r>
    </w:p>
    <w:p w14:paraId="5AF6E6AA" w14:textId="1E204F75" w:rsidR="001E583A" w:rsidRDefault="00B61CF2" w:rsidP="008E40C4">
      <w:r w:rsidRPr="00B61CF2">
        <w:rPr>
          <w:i/>
        </w:rPr>
        <w:t>States.</w:t>
      </w:r>
      <w:r>
        <w:t xml:space="preserve"> </w:t>
      </w:r>
      <w:r w:rsidR="001E583A" w:rsidRPr="001E583A">
        <w:t xml:space="preserve">Estimated burden hours for </w:t>
      </w:r>
      <w:r w:rsidR="0046075E">
        <w:t xml:space="preserve">a </w:t>
      </w:r>
      <w:r w:rsidR="001E583A" w:rsidRPr="001E583A">
        <w:t>state respondent</w:t>
      </w:r>
      <w:r w:rsidR="00654B8B">
        <w:t xml:space="preserve"> to</w:t>
      </w:r>
      <w:r w:rsidR="001E583A" w:rsidRPr="001E583A">
        <w:t xml:space="preserve"> review Forms </w:t>
      </w:r>
      <w:r w:rsidR="001E583A">
        <w:t xml:space="preserve">for </w:t>
      </w:r>
      <w:r w:rsidR="001E583A" w:rsidRPr="001E583A">
        <w:t xml:space="preserve">POTWs </w:t>
      </w:r>
      <w:r w:rsidR="007358A3">
        <w:t>and</w:t>
      </w:r>
      <w:r w:rsidR="001E583A" w:rsidRPr="001E583A">
        <w:t xml:space="preserve"> PrOTWs ranges from 0.</w:t>
      </w:r>
      <w:r w:rsidR="001E583A">
        <w:t>67</w:t>
      </w:r>
      <w:r w:rsidR="001E583A" w:rsidRPr="001E583A">
        <w:t xml:space="preserve"> hours to </w:t>
      </w:r>
      <w:r w:rsidR="001E583A">
        <w:t>4</w:t>
      </w:r>
      <w:r w:rsidR="001E583A" w:rsidRPr="001E583A">
        <w:t xml:space="preserve"> hours</w:t>
      </w:r>
      <w:r w:rsidR="001E583A">
        <w:t xml:space="preserve"> per application.</w:t>
      </w:r>
    </w:p>
    <w:p w14:paraId="4F8F821B" w14:textId="486B52EF" w:rsidR="00ED6608" w:rsidRPr="00F2144A" w:rsidRDefault="00ED6608" w:rsidP="004366AF">
      <w:pPr>
        <w:pStyle w:val="Heading5"/>
      </w:pPr>
      <w:r w:rsidRPr="00AC7F9B">
        <w:t>Ocean Discharge Application</w:t>
      </w:r>
    </w:p>
    <w:p w14:paraId="7D6C174A" w14:textId="5F0A917C" w:rsidR="0055679E" w:rsidRDefault="00B61CF2" w:rsidP="008E40C4">
      <w:r w:rsidRPr="00B61CF2">
        <w:rPr>
          <w:i/>
        </w:rPr>
        <w:t>Permittees.</w:t>
      </w:r>
      <w:r>
        <w:rPr>
          <w:i/>
        </w:rPr>
        <w:t xml:space="preserve"> </w:t>
      </w:r>
      <w:r w:rsidR="0055679E">
        <w:t xml:space="preserve">The </w:t>
      </w:r>
      <w:r w:rsidR="00ED6608" w:rsidRPr="00ED6608">
        <w:t xml:space="preserve">estimated </w:t>
      </w:r>
      <w:r w:rsidR="0055679E">
        <w:t xml:space="preserve">total hours per </w:t>
      </w:r>
      <w:r w:rsidR="0046075E">
        <w:t>permittee respondent</w:t>
      </w:r>
      <w:r w:rsidR="0055679E">
        <w:t xml:space="preserve"> for applications for ocean discharges </w:t>
      </w:r>
      <w:r w:rsidR="00654B8B">
        <w:t>is</w:t>
      </w:r>
      <w:r w:rsidR="0096057B">
        <w:t xml:space="preserve"> </w:t>
      </w:r>
      <w:r w:rsidR="008E40C4">
        <w:t xml:space="preserve">778 hours </w:t>
      </w:r>
      <w:r w:rsidR="0055679E">
        <w:t>but no applications are anticipated for the three year</w:t>
      </w:r>
      <w:r w:rsidR="0046075E">
        <w:t>-</w:t>
      </w:r>
      <w:r w:rsidR="0055679E">
        <w:t>period for this ICR renewal.</w:t>
      </w:r>
    </w:p>
    <w:p w14:paraId="763EA5DF" w14:textId="2FCF37C5" w:rsidR="0055679E" w:rsidRDefault="00B61CF2">
      <w:r w:rsidRPr="00B61CF2">
        <w:rPr>
          <w:i/>
        </w:rPr>
        <w:t>States</w:t>
      </w:r>
      <w:r w:rsidR="00844293">
        <w:rPr>
          <w:i/>
        </w:rPr>
        <w:t>/federal</w:t>
      </w:r>
      <w:r w:rsidRPr="00B61CF2">
        <w:rPr>
          <w:i/>
        </w:rPr>
        <w:t>.</w:t>
      </w:r>
      <w:r>
        <w:t xml:space="preserve"> </w:t>
      </w:r>
      <w:r w:rsidR="001E583A" w:rsidRPr="001E583A">
        <w:t>Estimated burden hours for state</w:t>
      </w:r>
      <w:r w:rsidR="00844293">
        <w:t>/federal</w:t>
      </w:r>
      <w:r w:rsidR="001E583A" w:rsidRPr="001E583A">
        <w:t xml:space="preserve"> respondent</w:t>
      </w:r>
      <w:r w:rsidR="00844293">
        <w:t>s</w:t>
      </w:r>
      <w:r w:rsidR="00654B8B">
        <w:t xml:space="preserve"> to</w:t>
      </w:r>
      <w:r w:rsidR="001E583A" w:rsidRPr="001E583A">
        <w:t xml:space="preserve"> review applications for ocean discharges is </w:t>
      </w:r>
      <w:r w:rsidR="001E583A">
        <w:t>88</w:t>
      </w:r>
      <w:r w:rsidR="001E583A" w:rsidRPr="001E583A">
        <w:t xml:space="preserve"> hours per application</w:t>
      </w:r>
      <w:r w:rsidR="00654B8B">
        <w:t>.</w:t>
      </w:r>
      <w:r>
        <w:t xml:space="preserve"> As stated above, no applications are anticipated for the three years covered by this ICR renewal.</w:t>
      </w:r>
    </w:p>
    <w:p w14:paraId="6112BCD3" w14:textId="6FA04166" w:rsidR="006A329B" w:rsidRDefault="00A70CE4" w:rsidP="00B101A0">
      <w:pPr>
        <w:pStyle w:val="Heading4"/>
      </w:pPr>
      <w:r>
        <w:t>A.1.2.2</w:t>
      </w:r>
      <w:r w:rsidR="00506C9B">
        <w:t>.</w:t>
      </w:r>
      <w:r w:rsidR="008A5B46">
        <w:t xml:space="preserve"> </w:t>
      </w:r>
      <w:r w:rsidR="008A5B46" w:rsidRPr="00A70CE4">
        <w:t>DMRs</w:t>
      </w:r>
    </w:p>
    <w:p w14:paraId="1187F576" w14:textId="5E678FAD" w:rsidR="008A5B46" w:rsidRPr="008A5B46" w:rsidRDefault="008A5B46" w:rsidP="008A5B46">
      <w:r w:rsidRPr="008A5B46">
        <w:rPr>
          <w:i/>
        </w:rPr>
        <w:t>Permittees.</w:t>
      </w:r>
      <w:r w:rsidRPr="008A5B46">
        <w:t xml:space="preserve"> </w:t>
      </w:r>
      <w:r w:rsidR="00066787">
        <w:t xml:space="preserve">NPDES regulations at 40 CFR 122.41(l)(4)(i) require that monitoring results must be reported on a DMR. In addition, regulations at 40 CFR 122.44(i)(2) require permittees to submit reports (on discharges and sludge use or disposal) at least annually; however, because NPDES regulations state that monitoring and reporting frequencies should be dependent on the nature of the discharge, reporting may be more frequent than annually. </w:t>
      </w:r>
      <w:r w:rsidRPr="008A5B46">
        <w:t xml:space="preserve">DMR preparation is expected to require about 2 hours per outfall. Some permittees, especially industrial facilities, have multiple outfalls. The required frequency of DMR reporting (monthly, bimonthly, quarterly, semi-annually, or yearly) depends on facility type and permit type. The implementation of the Electronic Reporting Rule is not expected to change the time necessary to prepare the DMR but will reduce mailing costs. These cost adjustments are calculated separately (see section </w:t>
      </w:r>
      <w:r w:rsidRPr="00A70CE4">
        <w:t>A.1.</w:t>
      </w:r>
      <w:r w:rsidR="00A70CE4">
        <w:t>8.4</w:t>
      </w:r>
      <w:r w:rsidRPr="008A5B46">
        <w:t>) and deducted from the total cost burden estimate.</w:t>
      </w:r>
    </w:p>
    <w:p w14:paraId="66B1B43E" w14:textId="0E22D883" w:rsidR="008A5B46" w:rsidRPr="008A5B46" w:rsidRDefault="008A5B46" w:rsidP="008A5B46">
      <w:r w:rsidRPr="008A5B46">
        <w:rPr>
          <w:i/>
        </w:rPr>
        <w:t>States</w:t>
      </w:r>
      <w:r w:rsidR="00844293">
        <w:rPr>
          <w:i/>
        </w:rPr>
        <w:t>/federal</w:t>
      </w:r>
      <w:r w:rsidRPr="008A5B46">
        <w:rPr>
          <w:i/>
        </w:rPr>
        <w:t>.</w:t>
      </w:r>
      <w:r w:rsidRPr="008A5B46">
        <w:t xml:space="preserve"> The estimated time required for state</w:t>
      </w:r>
      <w:r w:rsidR="00844293">
        <w:t>/federal</w:t>
      </w:r>
      <w:r w:rsidRPr="008A5B46">
        <w:t xml:space="preserve"> respondent</w:t>
      </w:r>
      <w:r w:rsidR="00844293">
        <w:t>s</w:t>
      </w:r>
      <w:r w:rsidRPr="008A5B46">
        <w:t xml:space="preserve"> to review and process DMRs non-electronically is 10 minutes per DMR per outfall; additionally, 20 percent of the submitted DMRs are expected to require 30 minutes for follow-up. The adjustments in burden due to implementation of the Electronic Reporting Rule requirements affect these estimates and are calculated separately and deducted from the total based on pre-rule estimates (see sections A.1.</w:t>
      </w:r>
      <w:r w:rsidR="00A70CE4">
        <w:t>8.4</w:t>
      </w:r>
      <w:r w:rsidRPr="008A5B46">
        <w:t xml:space="preserve"> </w:t>
      </w:r>
      <w:r w:rsidRPr="00B32AB1">
        <w:t>and A.2.2.9).</w:t>
      </w:r>
    </w:p>
    <w:p w14:paraId="1430E822" w14:textId="71F9D5D8" w:rsidR="003E71A0" w:rsidRDefault="008A5B46" w:rsidP="00B101A0">
      <w:pPr>
        <w:pStyle w:val="Heading4"/>
      </w:pPr>
      <w:r>
        <w:t>A.1.2.3</w:t>
      </w:r>
      <w:r w:rsidR="00506C9B">
        <w:t>.</w:t>
      </w:r>
      <w:r w:rsidR="003E71A0">
        <w:t xml:space="preserve"> </w:t>
      </w:r>
      <w:r w:rsidR="00735449">
        <w:t>Reports</w:t>
      </w:r>
    </w:p>
    <w:p w14:paraId="33461939" w14:textId="61546CCD" w:rsidR="003E71A0" w:rsidRDefault="007310B9" w:rsidP="00455338">
      <w:r>
        <w:t xml:space="preserve">NPDES permits may require the submittal of other reports or required information, e.g., notices and permit documents (aside from reports on discharge and sludge use/disposal). </w:t>
      </w:r>
      <w:r w:rsidR="00735449">
        <w:t>Report</w:t>
      </w:r>
      <w:r w:rsidR="00455338">
        <w:t xml:space="preserve"> activities </w:t>
      </w:r>
      <w:r w:rsidR="00C8246E">
        <w:t xml:space="preserve">in this category </w:t>
      </w:r>
      <w:r w:rsidR="00455338">
        <w:t>can include submission of notices to the permitting authority concerning the following:</w:t>
      </w:r>
      <w:r w:rsidR="002D1079">
        <w:t xml:space="preserve"> </w:t>
      </w:r>
    </w:p>
    <w:p w14:paraId="3A81B8FC" w14:textId="4FB8E5AA" w:rsidR="002D1079" w:rsidRDefault="0055679E" w:rsidP="00EF1FFC">
      <w:pPr>
        <w:pStyle w:val="ListParagraph"/>
        <w:numPr>
          <w:ilvl w:val="0"/>
          <w:numId w:val="12"/>
        </w:numPr>
      </w:pPr>
      <w:r w:rsidRPr="0055679E">
        <w:t>Facility and Permit Transfer Report</w:t>
      </w:r>
      <w:r w:rsidR="00915217">
        <w:t>;</w:t>
      </w:r>
    </w:p>
    <w:p w14:paraId="7E366DAE" w14:textId="034F7A1C" w:rsidR="0055679E" w:rsidRDefault="0055679E" w:rsidP="00EF1FFC">
      <w:pPr>
        <w:pStyle w:val="ListParagraph"/>
        <w:numPr>
          <w:ilvl w:val="0"/>
          <w:numId w:val="12"/>
        </w:numPr>
      </w:pPr>
      <w:r w:rsidRPr="0055679E">
        <w:t>Permittee Report of Inaccurate Previous Information</w:t>
      </w:r>
      <w:r w:rsidR="00915217">
        <w:t>;</w:t>
      </w:r>
    </w:p>
    <w:p w14:paraId="0C738006" w14:textId="1B0C455D" w:rsidR="0055679E" w:rsidRDefault="0055679E" w:rsidP="00EF1FFC">
      <w:pPr>
        <w:pStyle w:val="ListParagraph"/>
        <w:numPr>
          <w:ilvl w:val="0"/>
          <w:numId w:val="12"/>
        </w:numPr>
      </w:pPr>
      <w:r w:rsidRPr="0055679E">
        <w:t>Alternate Level Reports</w:t>
      </w:r>
      <w:r w:rsidR="00915217">
        <w:t>;</w:t>
      </w:r>
    </w:p>
    <w:p w14:paraId="67894107" w14:textId="40CDB550" w:rsidR="0055679E" w:rsidRDefault="0055679E" w:rsidP="00EF1FFC">
      <w:pPr>
        <w:pStyle w:val="ListParagraph"/>
        <w:numPr>
          <w:ilvl w:val="0"/>
          <w:numId w:val="12"/>
        </w:numPr>
      </w:pPr>
      <w:r w:rsidRPr="0055679E">
        <w:t>Permittee Report of Planned Facility Changes</w:t>
      </w:r>
      <w:r w:rsidR="00915217">
        <w:t>;</w:t>
      </w:r>
    </w:p>
    <w:p w14:paraId="06D963FE" w14:textId="4923D20D" w:rsidR="0055679E" w:rsidRDefault="0055679E" w:rsidP="00EF1FFC">
      <w:pPr>
        <w:pStyle w:val="ListParagraph"/>
        <w:numPr>
          <w:ilvl w:val="0"/>
          <w:numId w:val="12"/>
        </w:numPr>
      </w:pPr>
      <w:r w:rsidRPr="0055679E">
        <w:t>Request for Water Quality</w:t>
      </w:r>
      <w:r w:rsidR="00202584">
        <w:t>-</w:t>
      </w:r>
      <w:r w:rsidR="00A8376D">
        <w:t>Based</w:t>
      </w:r>
      <w:r w:rsidRPr="0055679E">
        <w:t xml:space="preserve"> Effluent Limitations Modification</w:t>
      </w:r>
      <w:r w:rsidR="00915217">
        <w:t>;</w:t>
      </w:r>
    </w:p>
    <w:p w14:paraId="3AAAFFB5" w14:textId="650CFEC7" w:rsidR="00A1055F" w:rsidRDefault="00A1055F" w:rsidP="00EF1FFC">
      <w:pPr>
        <w:pStyle w:val="ListParagraph"/>
        <w:numPr>
          <w:ilvl w:val="0"/>
          <w:numId w:val="12"/>
        </w:numPr>
      </w:pPr>
      <w:r>
        <w:t>Non-compliance Reports</w:t>
      </w:r>
      <w:r w:rsidR="00915217">
        <w:t>;</w:t>
      </w:r>
    </w:p>
    <w:p w14:paraId="77B6DE4B" w14:textId="0EFB63E4" w:rsidR="00A1055F" w:rsidRDefault="00A1055F" w:rsidP="00EF1FFC">
      <w:pPr>
        <w:pStyle w:val="ListParagraph"/>
        <w:numPr>
          <w:ilvl w:val="0"/>
          <w:numId w:val="12"/>
        </w:numPr>
      </w:pPr>
      <w:r>
        <w:t>Compliance Schedule Reports</w:t>
      </w:r>
      <w:r w:rsidR="00915217">
        <w:t>; and</w:t>
      </w:r>
    </w:p>
    <w:p w14:paraId="2BA304E9" w14:textId="5D33D9F3" w:rsidR="00A1055F" w:rsidRDefault="00A1055F" w:rsidP="00EF1FFC">
      <w:pPr>
        <w:pStyle w:val="ListParagraph"/>
        <w:numPr>
          <w:ilvl w:val="0"/>
          <w:numId w:val="12"/>
        </w:numPr>
      </w:pPr>
      <w:r>
        <w:t>Unanticipated Bypass/Upset Reports</w:t>
      </w:r>
      <w:r w:rsidR="00915217">
        <w:t>.</w:t>
      </w:r>
    </w:p>
    <w:p w14:paraId="1133FBC0" w14:textId="570F7548" w:rsidR="00455338" w:rsidRDefault="00B61CF2" w:rsidP="00455338">
      <w:r w:rsidRPr="00B61CF2">
        <w:rPr>
          <w:i/>
        </w:rPr>
        <w:t>Permittees.</w:t>
      </w:r>
      <w:r>
        <w:rPr>
          <w:i/>
        </w:rPr>
        <w:t xml:space="preserve"> </w:t>
      </w:r>
      <w:r w:rsidR="00C8246E">
        <w:t>In general, t</w:t>
      </w:r>
      <w:r w:rsidR="00F1524A">
        <w:t xml:space="preserve">he </w:t>
      </w:r>
      <w:r w:rsidR="00FF43AB">
        <w:t>estimated time required</w:t>
      </w:r>
      <w:r w:rsidR="00DF7211" w:rsidRPr="00DF7211">
        <w:t xml:space="preserve"> per response for </w:t>
      </w:r>
      <w:r w:rsidR="00455338">
        <w:t xml:space="preserve">these activities </w:t>
      </w:r>
      <w:r w:rsidR="00DF7211">
        <w:t>range</w:t>
      </w:r>
      <w:r w:rsidR="00654B8B">
        <w:t>s</w:t>
      </w:r>
      <w:r w:rsidR="00DF7211">
        <w:t xml:space="preserve"> from 1 to </w:t>
      </w:r>
      <w:r w:rsidR="00A1055F">
        <w:t>5</w:t>
      </w:r>
      <w:r w:rsidR="00DF7211">
        <w:t xml:space="preserve"> hours.</w:t>
      </w:r>
      <w:r w:rsidR="00455338">
        <w:t xml:space="preserve"> There is no set frequency because these activities are often triggered by un</w:t>
      </w:r>
      <w:r w:rsidR="00FA1280">
        <w:t>planned</w:t>
      </w:r>
      <w:r w:rsidR="00455338">
        <w:t xml:space="preserve"> events. The frequencies use</w:t>
      </w:r>
      <w:r w:rsidR="00FA1280">
        <w:t>d</w:t>
      </w:r>
      <w:r w:rsidR="00455338">
        <w:t xml:space="preserve"> to derive the burden estimates are based on experience and assumptions regarding expected occurrence of each.</w:t>
      </w:r>
      <w:r w:rsidR="00C8246E">
        <w:t xml:space="preserve"> T</w:t>
      </w:r>
      <w:r w:rsidR="00C8246E" w:rsidRPr="00C8246E">
        <w:t>he estimated time required per respondent for preparing and submitting compliance schedule reports is 0.75 hours and occurs on an annual basis</w:t>
      </w:r>
      <w:r w:rsidR="00C8246E">
        <w:t>.</w:t>
      </w:r>
    </w:p>
    <w:p w14:paraId="167ABBA9" w14:textId="412869FC" w:rsidR="00DF7211" w:rsidRDefault="00B61CF2" w:rsidP="00455338">
      <w:r w:rsidRPr="00B61CF2">
        <w:rPr>
          <w:i/>
        </w:rPr>
        <w:t>States</w:t>
      </w:r>
      <w:r w:rsidR="00844293">
        <w:rPr>
          <w:i/>
        </w:rPr>
        <w:t>/federal</w:t>
      </w:r>
      <w:r w:rsidRPr="00B61CF2">
        <w:rPr>
          <w:i/>
        </w:rPr>
        <w:t>.</w:t>
      </w:r>
      <w:r>
        <w:t xml:space="preserve"> </w:t>
      </w:r>
      <w:r w:rsidR="000F5166">
        <w:t xml:space="preserve">The </w:t>
      </w:r>
      <w:r w:rsidR="00FF43AB">
        <w:t>estimated time required</w:t>
      </w:r>
      <w:r w:rsidR="00DF7211" w:rsidRPr="00DF7211">
        <w:t xml:space="preserve"> </w:t>
      </w:r>
      <w:r w:rsidR="00A27D46">
        <w:t xml:space="preserve">for </w:t>
      </w:r>
      <w:r w:rsidR="00DF7211" w:rsidRPr="00DF7211">
        <w:t>state</w:t>
      </w:r>
      <w:r w:rsidR="00844293">
        <w:t>/federal</w:t>
      </w:r>
      <w:r w:rsidR="00DF7211" w:rsidRPr="00DF7211">
        <w:t xml:space="preserve"> respondent</w:t>
      </w:r>
      <w:r w:rsidR="00654B8B">
        <w:t>s to review and process notifications</w:t>
      </w:r>
      <w:r w:rsidR="00DF7211" w:rsidRPr="00DF7211">
        <w:t xml:space="preserve"> is typically 4 hours </w:t>
      </w:r>
      <w:r w:rsidR="00A27D46">
        <w:t xml:space="preserve">per notification </w:t>
      </w:r>
      <w:r w:rsidR="00DF7211">
        <w:t xml:space="preserve">but can </w:t>
      </w:r>
      <w:r w:rsidR="00CA2398">
        <w:t>take up</w:t>
      </w:r>
      <w:r w:rsidR="00DF7211">
        <w:t xml:space="preserve"> to 20 hours</w:t>
      </w:r>
      <w:r w:rsidR="00DF7211" w:rsidRPr="00DF7211">
        <w:t xml:space="preserve"> </w:t>
      </w:r>
      <w:r w:rsidR="00DF7211">
        <w:t xml:space="preserve">for </w:t>
      </w:r>
      <w:r w:rsidR="00DF7211" w:rsidRPr="00DF7211">
        <w:t>Permittee Report of Planned Facility Changes</w:t>
      </w:r>
      <w:r w:rsidR="00DF7211">
        <w:t>.</w:t>
      </w:r>
      <w:r w:rsidR="00C8246E" w:rsidRPr="00C8246E">
        <w:t xml:space="preserve"> The estimated time required for state</w:t>
      </w:r>
      <w:r w:rsidR="00844293">
        <w:t>/federal</w:t>
      </w:r>
      <w:r w:rsidR="00C8246E" w:rsidRPr="00C8246E">
        <w:t xml:space="preserve"> respondents to review and process compliance schedule reports is 0.25 hours for municipal and 4 hours for nonmunicipal permits.</w:t>
      </w:r>
    </w:p>
    <w:p w14:paraId="6C749A69" w14:textId="4623D210" w:rsidR="009665CE" w:rsidRDefault="008A5B46" w:rsidP="00B101A0">
      <w:pPr>
        <w:pStyle w:val="Heading4"/>
      </w:pPr>
      <w:r>
        <w:t>A.1.2.4</w:t>
      </w:r>
      <w:r w:rsidR="00506C9B">
        <w:t>.</w:t>
      </w:r>
      <w:r>
        <w:t xml:space="preserve"> </w:t>
      </w:r>
      <w:r w:rsidR="00504780">
        <w:t xml:space="preserve">Permittee </w:t>
      </w:r>
      <w:r>
        <w:t>Monitoring</w:t>
      </w:r>
    </w:p>
    <w:p w14:paraId="411B97F9" w14:textId="629AFD5E" w:rsidR="00A55378" w:rsidRPr="00F2144A" w:rsidRDefault="001F6782" w:rsidP="004366AF">
      <w:pPr>
        <w:pStyle w:val="Heading5"/>
      </w:pPr>
      <w:r w:rsidRPr="00AC7F9B">
        <w:t>Sampling</w:t>
      </w:r>
    </w:p>
    <w:p w14:paraId="23F5F449" w14:textId="0A394C83" w:rsidR="001A3283" w:rsidRDefault="002742BA" w:rsidP="003E71A0">
      <w:r>
        <w:rPr>
          <w:i/>
        </w:rPr>
        <w:t>Permittees.</w:t>
      </w:r>
      <w:r>
        <w:t xml:space="preserve"> </w:t>
      </w:r>
      <w:r w:rsidR="007310B9">
        <w:t xml:space="preserve">NPDES regulations </w:t>
      </w:r>
      <w:r w:rsidR="00FA3B45">
        <w:t xml:space="preserve">at 40 CFR 122.44(i) and 122.48 </w:t>
      </w:r>
      <w:r w:rsidR="007310B9">
        <w:t xml:space="preserve">require facilities discharging pollutants to waters of the United States to periodically evaluate compliance with the effluent limitations established in their permits and provide the results to the permitting authority. </w:t>
      </w:r>
      <w:r w:rsidR="001A3283">
        <w:t xml:space="preserve">Estimates of the hours per response for DMR sampling are </w:t>
      </w:r>
      <w:r w:rsidR="00141859">
        <w:t xml:space="preserve">generally </w:t>
      </w:r>
      <w:r w:rsidR="001A3283">
        <w:t xml:space="preserve">based </w:t>
      </w:r>
      <w:r w:rsidR="00141859">
        <w:t xml:space="preserve">on number of outfalls, </w:t>
      </w:r>
      <w:r w:rsidR="001A3283">
        <w:t>reporting frequency</w:t>
      </w:r>
      <w:r w:rsidR="00D5283D">
        <w:t>, and</w:t>
      </w:r>
      <w:r w:rsidR="001A3283">
        <w:t xml:space="preserve"> </w:t>
      </w:r>
      <w:r w:rsidR="00141859">
        <w:t xml:space="preserve">duration and </w:t>
      </w:r>
      <w:r w:rsidR="001A3283">
        <w:t xml:space="preserve">number </w:t>
      </w:r>
      <w:r w:rsidR="00141859">
        <w:t>o</w:t>
      </w:r>
      <w:r w:rsidR="001A3283">
        <w:t xml:space="preserve">f sampling episodes </w:t>
      </w:r>
      <w:r w:rsidR="00141859">
        <w:t>per reporting period</w:t>
      </w:r>
      <w:r w:rsidR="001A3283">
        <w:t>.</w:t>
      </w:r>
      <w:r w:rsidR="00141859">
        <w:t xml:space="preserve"> Typical sampling episodes are estimated to require </w:t>
      </w:r>
      <w:r w:rsidR="006C476D">
        <w:t xml:space="preserve">about </w:t>
      </w:r>
      <w:r w:rsidR="00141859">
        <w:t>2 to 2.75 hours</w:t>
      </w:r>
      <w:r w:rsidR="00D5283D">
        <w:t xml:space="preserve"> each</w:t>
      </w:r>
      <w:r w:rsidR="00141859">
        <w:t>.</w:t>
      </w:r>
    </w:p>
    <w:p w14:paraId="2E5C4000" w14:textId="7D9416E6" w:rsidR="00141859" w:rsidRDefault="002742BA" w:rsidP="003E71A0">
      <w:r w:rsidRPr="00B61CF2">
        <w:rPr>
          <w:i/>
        </w:rPr>
        <w:t>States.</w:t>
      </w:r>
      <w:r w:rsidR="00A8376D">
        <w:rPr>
          <w:i/>
        </w:rPr>
        <w:t xml:space="preserve"> </w:t>
      </w:r>
      <w:r w:rsidR="009C3D0F">
        <w:t xml:space="preserve">Any </w:t>
      </w:r>
      <w:r w:rsidR="00646ADE">
        <w:t xml:space="preserve">state activities related to </w:t>
      </w:r>
      <w:r w:rsidR="009C3D0F">
        <w:t xml:space="preserve">monitoring </w:t>
      </w:r>
      <w:r w:rsidR="00646ADE">
        <w:t xml:space="preserve">data </w:t>
      </w:r>
      <w:r w:rsidR="00EE0EE7">
        <w:t>are</w:t>
      </w:r>
      <w:r w:rsidR="00646ADE">
        <w:t xml:space="preserve"> </w:t>
      </w:r>
      <w:r w:rsidR="009C3D0F">
        <w:t xml:space="preserve">covered under </w:t>
      </w:r>
      <w:r w:rsidR="00E01AAC">
        <w:t xml:space="preserve">the analyses </w:t>
      </w:r>
      <w:r w:rsidR="009C3D0F">
        <w:t xml:space="preserve">section </w:t>
      </w:r>
      <w:r w:rsidR="00E01AAC">
        <w:t>below</w:t>
      </w:r>
      <w:r w:rsidR="00646ADE">
        <w:t>.</w:t>
      </w:r>
    </w:p>
    <w:p w14:paraId="7E2F2405" w14:textId="6965EDE8" w:rsidR="00141859" w:rsidRDefault="00141859" w:rsidP="004366AF">
      <w:pPr>
        <w:pStyle w:val="Heading5"/>
      </w:pPr>
      <w:r w:rsidRPr="00AC7F9B">
        <w:t>Analyses</w:t>
      </w:r>
    </w:p>
    <w:p w14:paraId="76196ABA" w14:textId="77349E7D" w:rsidR="00141859" w:rsidRDefault="00F22E66" w:rsidP="00141859">
      <w:r>
        <w:rPr>
          <w:i/>
        </w:rPr>
        <w:t xml:space="preserve">Permittees. </w:t>
      </w:r>
      <w:r w:rsidR="006C476D">
        <w:t xml:space="preserve">This category refers to chemical analyses that are conducted in-house. </w:t>
      </w:r>
      <w:r w:rsidR="00141859" w:rsidRPr="00141859">
        <w:t xml:space="preserve">Estimates of </w:t>
      </w:r>
      <w:r w:rsidR="00141859">
        <w:t>the hours per response for DMR analyses</w:t>
      </w:r>
      <w:r w:rsidR="00141859" w:rsidRPr="00141859">
        <w:t xml:space="preserve"> </w:t>
      </w:r>
      <w:r w:rsidR="00141859">
        <w:t xml:space="preserve">are </w:t>
      </w:r>
      <w:r w:rsidR="00141859" w:rsidRPr="00141859">
        <w:t xml:space="preserve">generally </w:t>
      </w:r>
      <w:r w:rsidR="00141859">
        <w:t xml:space="preserve">based on </w:t>
      </w:r>
      <w:r w:rsidR="0019709A">
        <w:t xml:space="preserve">0.5 hours per parameter </w:t>
      </w:r>
      <w:r w:rsidR="004A59C2">
        <w:t>analyzed</w:t>
      </w:r>
      <w:r w:rsidR="0019709A">
        <w:t xml:space="preserve"> </w:t>
      </w:r>
      <w:r w:rsidR="00735449">
        <w:t>multiplied by</w:t>
      </w:r>
      <w:r w:rsidR="0019709A">
        <w:t xml:space="preserve"> the estimated number of outfalls</w:t>
      </w:r>
      <w:r w:rsidR="00141859">
        <w:t>, number of samples per response and number of parameters per sample.</w:t>
      </w:r>
    </w:p>
    <w:p w14:paraId="660D743A" w14:textId="12F932BC" w:rsidR="00141859" w:rsidRDefault="00F22E66" w:rsidP="003E71A0">
      <w:r>
        <w:rPr>
          <w:i/>
        </w:rPr>
        <w:t>States</w:t>
      </w:r>
      <w:r w:rsidR="00F12EF4">
        <w:rPr>
          <w:i/>
        </w:rPr>
        <w:t>/federal</w:t>
      </w:r>
      <w:r>
        <w:rPr>
          <w:i/>
        </w:rPr>
        <w:t xml:space="preserve">. </w:t>
      </w:r>
      <w:r w:rsidR="000839CA" w:rsidRPr="00AC7F9B">
        <w:t>The estimated time required for state</w:t>
      </w:r>
      <w:r w:rsidR="00F12EF4">
        <w:t>/federal</w:t>
      </w:r>
      <w:r w:rsidR="000839CA" w:rsidRPr="00AC7F9B">
        <w:t xml:space="preserve"> respondent</w:t>
      </w:r>
      <w:r w:rsidR="00F12EF4">
        <w:t>s</w:t>
      </w:r>
      <w:r w:rsidR="000839CA" w:rsidRPr="00AC7F9B">
        <w:t xml:space="preserve"> to review and process monitoring reports is 10 minutes and 0.5 hours for follow-up</w:t>
      </w:r>
      <w:r w:rsidR="000839CA">
        <w:t>.</w:t>
      </w:r>
      <w:r w:rsidR="000839CA" w:rsidRPr="00AC7F9B">
        <w:t xml:space="preserve"> </w:t>
      </w:r>
      <w:r w:rsidR="00E94ECE">
        <w:t>The e</w:t>
      </w:r>
      <w:r w:rsidR="00141859" w:rsidRPr="00141859">
        <w:t xml:space="preserve">stimate of </w:t>
      </w:r>
      <w:r w:rsidR="00E94ECE">
        <w:t>10</w:t>
      </w:r>
      <w:r w:rsidR="00141859" w:rsidRPr="00141859">
        <w:t xml:space="preserve"> hours </w:t>
      </w:r>
      <w:r w:rsidR="009137B7">
        <w:t>for</w:t>
      </w:r>
      <w:r w:rsidR="00141859" w:rsidRPr="00141859">
        <w:t xml:space="preserve"> state respondent</w:t>
      </w:r>
      <w:r w:rsidR="009137B7">
        <w:t>s</w:t>
      </w:r>
      <w:r w:rsidR="00141859" w:rsidRPr="00141859">
        <w:t xml:space="preserve"> </w:t>
      </w:r>
      <w:r w:rsidR="00141859">
        <w:t>appl</w:t>
      </w:r>
      <w:r w:rsidR="00D600D2">
        <w:t>ies</w:t>
      </w:r>
      <w:r w:rsidR="00141859">
        <w:t xml:space="preserve"> only to </w:t>
      </w:r>
      <w:r w:rsidR="00951060">
        <w:t>r</w:t>
      </w:r>
      <w:r w:rsidR="00951060" w:rsidRPr="00951060">
        <w:t>eview of post-baseline monitoring data</w:t>
      </w:r>
      <w:r w:rsidR="00951060">
        <w:t xml:space="preserve"> for coal remining permits</w:t>
      </w:r>
      <w:r w:rsidR="009137B7">
        <w:t>.</w:t>
      </w:r>
    </w:p>
    <w:p w14:paraId="106EB135" w14:textId="673E798A" w:rsidR="000839CA" w:rsidRPr="00AC7F9B" w:rsidRDefault="000839CA" w:rsidP="004366AF">
      <w:pPr>
        <w:pStyle w:val="Heading5"/>
      </w:pPr>
      <w:r w:rsidRPr="00AC7F9B">
        <w:t xml:space="preserve">CSO </w:t>
      </w:r>
      <w:r w:rsidR="00504780">
        <w:t xml:space="preserve">Permittee </w:t>
      </w:r>
      <w:r w:rsidRPr="00AC7F9B">
        <w:t>Monitoring</w:t>
      </w:r>
    </w:p>
    <w:p w14:paraId="0190FC60" w14:textId="70D49C28" w:rsidR="000839CA" w:rsidRDefault="000839CA" w:rsidP="000839CA">
      <w:r w:rsidRPr="00AC7F9B">
        <w:rPr>
          <w:i/>
        </w:rPr>
        <w:t>Permittees</w:t>
      </w:r>
      <w:r>
        <w:t xml:space="preserve">. </w:t>
      </w:r>
      <w:r w:rsidR="00786F01">
        <w:t>EPA’s CSO Policy requires monitoring to characterize the combined sewer system</w:t>
      </w:r>
      <w:r w:rsidR="00067F02">
        <w:t xml:space="preserve">, support development of a long-term control plan, and demonstrate compliance with permit requirements. </w:t>
      </w:r>
      <w:r>
        <w:t>The estimated time required per respondent for CSO monitoring is 27 hours, 18 hours, 20 hours, and 2 hours for sampling, analysis, estimating flow parameters, and reporting, respectively. The frequency is semi-annually.</w:t>
      </w:r>
    </w:p>
    <w:p w14:paraId="363E6522" w14:textId="0EF9937F" w:rsidR="004D50B4" w:rsidRDefault="004D50B4" w:rsidP="000839CA">
      <w:r w:rsidRPr="004D50B4">
        <w:rPr>
          <w:i/>
        </w:rPr>
        <w:t>States</w:t>
      </w:r>
      <w:r>
        <w:t>.</w:t>
      </w:r>
      <w:r w:rsidR="00646ADE">
        <w:t xml:space="preserve"> </w:t>
      </w:r>
      <w:r w:rsidR="00646ADE" w:rsidRPr="00646ADE">
        <w:t xml:space="preserve">Any state activities related to </w:t>
      </w:r>
      <w:r w:rsidR="00646ADE">
        <w:t xml:space="preserve">CSO </w:t>
      </w:r>
      <w:r w:rsidR="00646ADE" w:rsidRPr="00646ADE">
        <w:t xml:space="preserve">monitoring data </w:t>
      </w:r>
      <w:r w:rsidR="00EE0EE7">
        <w:t>are</w:t>
      </w:r>
      <w:r w:rsidR="00646ADE" w:rsidRPr="00646ADE">
        <w:t xml:space="preserve"> covered under section A.1.2.2 </w:t>
      </w:r>
      <w:r w:rsidR="00A8376D">
        <w:t>(DMRs)</w:t>
      </w:r>
      <w:r w:rsidRPr="004D50B4">
        <w:t>.</w:t>
      </w:r>
    </w:p>
    <w:p w14:paraId="723A1038" w14:textId="110A7AB8" w:rsidR="00831C69" w:rsidRDefault="00831C69" w:rsidP="00B101A0">
      <w:pPr>
        <w:pStyle w:val="Heading4"/>
      </w:pPr>
      <w:r>
        <w:t>A.1.2.5</w:t>
      </w:r>
      <w:r w:rsidR="00506C9B">
        <w:t>.</w:t>
      </w:r>
      <w:r>
        <w:t xml:space="preserve"> CSO Notification</w:t>
      </w:r>
    </w:p>
    <w:p w14:paraId="2B1793C9" w14:textId="2FB22072" w:rsidR="00831C69" w:rsidRDefault="00831C69" w:rsidP="00831C69">
      <w:r>
        <w:rPr>
          <w:i/>
        </w:rPr>
        <w:t xml:space="preserve">Permittees. </w:t>
      </w:r>
      <w:r>
        <w:t>The estimated time required</w:t>
      </w:r>
      <w:r w:rsidRPr="00F53B59">
        <w:t xml:space="preserve"> per respondent</w:t>
      </w:r>
      <w:r>
        <w:t xml:space="preserve"> for CSO notification is </w:t>
      </w:r>
      <w:r w:rsidR="00634EDE">
        <w:t>0.5</w:t>
      </w:r>
      <w:r>
        <w:t xml:space="preserve"> hours </w:t>
      </w:r>
      <w:r w:rsidR="00634EDE">
        <w:t xml:space="preserve">per sign </w:t>
      </w:r>
      <w:r>
        <w:t xml:space="preserve">for </w:t>
      </w:r>
      <w:r w:rsidR="00634EDE">
        <w:t xml:space="preserve">inspection and maintenance of notification </w:t>
      </w:r>
      <w:r>
        <w:t xml:space="preserve">signs and 5 hours for public advisories with a frequency of </w:t>
      </w:r>
      <w:r w:rsidR="000F01BF">
        <w:t>10 times per year for public advisories</w:t>
      </w:r>
      <w:r>
        <w:t xml:space="preserve">. There are capital costs for </w:t>
      </w:r>
      <w:r w:rsidR="00634EDE">
        <w:t>replacement</w:t>
      </w:r>
      <w:r>
        <w:t xml:space="preserve"> of signs (</w:t>
      </w:r>
      <w:r w:rsidR="00915217">
        <w:t>s</w:t>
      </w:r>
      <w:r>
        <w:t>ee section A.2 for details).</w:t>
      </w:r>
    </w:p>
    <w:p w14:paraId="414AB322" w14:textId="1F62DC00" w:rsidR="00831C69" w:rsidRDefault="00831C69" w:rsidP="00831C69">
      <w:r w:rsidRPr="00B61CF2">
        <w:rPr>
          <w:i/>
        </w:rPr>
        <w:t>States.</w:t>
      </w:r>
      <w:r w:rsidR="00646ADE">
        <w:t xml:space="preserve"> </w:t>
      </w:r>
      <w:r w:rsidR="000C32BA">
        <w:t>The estimated time for s</w:t>
      </w:r>
      <w:r w:rsidR="00646ADE">
        <w:t xml:space="preserve">tate oversight of CSO notification </w:t>
      </w:r>
      <w:r w:rsidR="000C32BA">
        <w:t xml:space="preserve">is 4 </w:t>
      </w:r>
      <w:r w:rsidR="00A8376D">
        <w:t>hours</w:t>
      </w:r>
      <w:r w:rsidR="000C32BA">
        <w:t xml:space="preserve"> per permit every 5 years</w:t>
      </w:r>
      <w:r>
        <w:t>.</w:t>
      </w:r>
    </w:p>
    <w:p w14:paraId="6EF6FBD4" w14:textId="5A128E5A" w:rsidR="008A5B46" w:rsidRDefault="008A5B46" w:rsidP="00B101A0">
      <w:pPr>
        <w:pStyle w:val="Heading4"/>
      </w:pPr>
      <w:r>
        <w:t>A.1.2</w:t>
      </w:r>
      <w:r w:rsidR="00831C69">
        <w:t>.6</w:t>
      </w:r>
      <w:r w:rsidR="00506C9B">
        <w:t>.</w:t>
      </w:r>
      <w:r>
        <w:t xml:space="preserve"> </w:t>
      </w:r>
      <w:r w:rsidRPr="008A5B46">
        <w:t>Other</w:t>
      </w:r>
    </w:p>
    <w:p w14:paraId="68E41572" w14:textId="1629BABA" w:rsidR="00D316EF" w:rsidRDefault="00DB6FCD">
      <w:r>
        <w:t xml:space="preserve">Activities in this category include: </w:t>
      </w:r>
    </w:p>
    <w:p w14:paraId="264B7D74" w14:textId="50CFA009" w:rsidR="00DB6FCD" w:rsidRPr="005077DF" w:rsidRDefault="00DB6FCD" w:rsidP="00EF1FFC">
      <w:pPr>
        <w:pStyle w:val="ListParagraph"/>
        <w:numPr>
          <w:ilvl w:val="0"/>
          <w:numId w:val="47"/>
        </w:numPr>
      </w:pPr>
      <w:r w:rsidRPr="005077DF">
        <w:t>Request for Modification, Revocation and Reissuance, or Termination</w:t>
      </w:r>
      <w:r w:rsidR="00915217">
        <w:t>;</w:t>
      </w:r>
    </w:p>
    <w:p w14:paraId="39189D43" w14:textId="483B61F2" w:rsidR="00DB6FCD" w:rsidRPr="00E45F7F" w:rsidRDefault="00DB6FCD" w:rsidP="00EF1FFC">
      <w:pPr>
        <w:pStyle w:val="ListParagraph"/>
        <w:numPr>
          <w:ilvl w:val="0"/>
          <w:numId w:val="47"/>
        </w:numPr>
      </w:pPr>
      <w:r w:rsidRPr="00E45F7F">
        <w:t>Section 308(a) Letters</w:t>
      </w:r>
      <w:r w:rsidR="00915217">
        <w:t>;</w:t>
      </w:r>
    </w:p>
    <w:p w14:paraId="045E1923" w14:textId="2929513D" w:rsidR="001A3D24" w:rsidRPr="005077DF" w:rsidRDefault="001A3D24" w:rsidP="00EF1FFC">
      <w:pPr>
        <w:pStyle w:val="ListParagraph"/>
        <w:numPr>
          <w:ilvl w:val="0"/>
          <w:numId w:val="47"/>
        </w:numPr>
      </w:pPr>
      <w:r w:rsidRPr="005077DF">
        <w:t>New Introduction of Pollutants to POTWs</w:t>
      </w:r>
      <w:r w:rsidR="00915217">
        <w:t>;</w:t>
      </w:r>
    </w:p>
    <w:p w14:paraId="14FF66E1" w14:textId="67166888" w:rsidR="001F2C49" w:rsidRPr="005077DF" w:rsidRDefault="001A3D24" w:rsidP="00EF1FFC">
      <w:pPr>
        <w:pStyle w:val="ListParagraph"/>
        <w:numPr>
          <w:ilvl w:val="0"/>
          <w:numId w:val="47"/>
        </w:numPr>
      </w:pPr>
      <w:r w:rsidRPr="005077DF">
        <w:t>Notification of New or Increased Discharge</w:t>
      </w:r>
      <w:r w:rsidR="00915217">
        <w:t>;</w:t>
      </w:r>
    </w:p>
    <w:p w14:paraId="74FB8BDE" w14:textId="755DC34B" w:rsidR="003C2170" w:rsidRPr="005077DF" w:rsidRDefault="001F2C49" w:rsidP="00EF1FFC">
      <w:pPr>
        <w:pStyle w:val="ListParagraph"/>
        <w:numPr>
          <w:ilvl w:val="0"/>
          <w:numId w:val="47"/>
        </w:numPr>
      </w:pPr>
      <w:r w:rsidRPr="005077DF">
        <w:t>Permittee Notice of Regulated Discharge Cessation</w:t>
      </w:r>
      <w:r w:rsidR="00915217">
        <w:t>;</w:t>
      </w:r>
    </w:p>
    <w:p w14:paraId="521B1E6F" w14:textId="2919FF9F" w:rsidR="001F2C49" w:rsidRPr="005077DF" w:rsidRDefault="001F2C49" w:rsidP="00EF1FFC">
      <w:pPr>
        <w:pStyle w:val="ListParagraph"/>
        <w:numPr>
          <w:ilvl w:val="0"/>
          <w:numId w:val="47"/>
        </w:numPr>
      </w:pPr>
      <w:r w:rsidRPr="005077DF">
        <w:t>Variance Request</w:t>
      </w:r>
      <w:r w:rsidR="00915217">
        <w:t>;</w:t>
      </w:r>
      <w:r w:rsidRPr="005077DF">
        <w:t xml:space="preserve"> </w:t>
      </w:r>
    </w:p>
    <w:p w14:paraId="582D6588" w14:textId="6570357A" w:rsidR="00DB6FCD" w:rsidRPr="005077DF" w:rsidRDefault="00DB6FCD" w:rsidP="00EF1FFC">
      <w:pPr>
        <w:pStyle w:val="ListParagraph"/>
        <w:numPr>
          <w:ilvl w:val="0"/>
          <w:numId w:val="47"/>
        </w:numPr>
      </w:pPr>
      <w:r w:rsidRPr="005077DF">
        <w:t>Certifications</w:t>
      </w:r>
      <w:r w:rsidR="00915217">
        <w:t>;</w:t>
      </w:r>
    </w:p>
    <w:p w14:paraId="307DDD9B" w14:textId="1CC06470" w:rsidR="00DB6FCD" w:rsidRPr="005077DF" w:rsidRDefault="00DB6FCD" w:rsidP="00EF1FFC">
      <w:pPr>
        <w:pStyle w:val="ListParagraph"/>
        <w:numPr>
          <w:ilvl w:val="0"/>
          <w:numId w:val="47"/>
        </w:numPr>
      </w:pPr>
      <w:r w:rsidRPr="005077DF">
        <w:t>Documenting Nine Minimum Control Measures</w:t>
      </w:r>
      <w:r w:rsidR="00915217">
        <w:t>;</w:t>
      </w:r>
    </w:p>
    <w:p w14:paraId="2706C711" w14:textId="1BD9CB5F" w:rsidR="00DB6FCD" w:rsidRPr="005077DF" w:rsidRDefault="00DB6FCD" w:rsidP="00EF1FFC">
      <w:pPr>
        <w:pStyle w:val="ListParagraph"/>
        <w:numPr>
          <w:ilvl w:val="0"/>
          <w:numId w:val="47"/>
        </w:numPr>
      </w:pPr>
      <w:r w:rsidRPr="005077DF">
        <w:t>Writing Long-term Control Plans</w:t>
      </w:r>
      <w:r w:rsidR="00915217">
        <w:t>;</w:t>
      </w:r>
    </w:p>
    <w:p w14:paraId="2C0834A6" w14:textId="0D5BB536" w:rsidR="00DB6FCD" w:rsidRPr="005077DF" w:rsidRDefault="00DB6FCD" w:rsidP="00EF1FFC">
      <w:pPr>
        <w:pStyle w:val="ListParagraph"/>
        <w:numPr>
          <w:ilvl w:val="0"/>
          <w:numId w:val="47"/>
        </w:numPr>
      </w:pPr>
      <w:r w:rsidRPr="005077DF">
        <w:t>Part 435 Certification Oil and Gas Extraction</w:t>
      </w:r>
      <w:r w:rsidR="00915217">
        <w:t>; and</w:t>
      </w:r>
    </w:p>
    <w:p w14:paraId="50D0EB9A" w14:textId="124386DA" w:rsidR="00F2144A" w:rsidRPr="005077DF" w:rsidRDefault="00F2144A" w:rsidP="00EF1FFC">
      <w:pPr>
        <w:pStyle w:val="ListParagraph"/>
        <w:numPr>
          <w:ilvl w:val="0"/>
          <w:numId w:val="47"/>
        </w:numPr>
      </w:pPr>
      <w:r w:rsidRPr="005077DF">
        <w:t>BMP Development</w:t>
      </w:r>
      <w:r w:rsidR="00915217">
        <w:t>.</w:t>
      </w:r>
    </w:p>
    <w:p w14:paraId="1A78D395" w14:textId="77777777" w:rsidR="001A3D24" w:rsidRPr="00F2144A" w:rsidRDefault="001A3D24" w:rsidP="004366AF">
      <w:pPr>
        <w:pStyle w:val="Heading5"/>
      </w:pPr>
      <w:r w:rsidRPr="00AC7F9B">
        <w:t>Request for Modification, Revocation and Reissuance, or Termination</w:t>
      </w:r>
    </w:p>
    <w:p w14:paraId="2859B619" w14:textId="2BA5A746" w:rsidR="001A3D24" w:rsidRDefault="001A3D24" w:rsidP="001A3D24">
      <w:r>
        <w:rPr>
          <w:i/>
        </w:rPr>
        <w:t xml:space="preserve">Permittees. </w:t>
      </w:r>
      <w:r w:rsidR="008B4BAD">
        <w:t xml:space="preserve">Permittees may make a request for modification, revocation and reissuance, or termination of the NPDES permit. </w:t>
      </w:r>
      <w:r>
        <w:t>The estimated time required</w:t>
      </w:r>
      <w:r w:rsidRPr="00E91754">
        <w:t xml:space="preserve"> per respondent for preparing and submitting </w:t>
      </w:r>
      <w:r>
        <w:t xml:space="preserve">a </w:t>
      </w:r>
      <w:r w:rsidRPr="00E91754">
        <w:t>request for modification, revocation and reissuance, or termination</w:t>
      </w:r>
      <w:r>
        <w:t xml:space="preserve"> is 5 hours and occurs on an as</w:t>
      </w:r>
      <w:r w:rsidR="00506C9B">
        <w:t>-</w:t>
      </w:r>
      <w:r>
        <w:t>needed basis.</w:t>
      </w:r>
    </w:p>
    <w:p w14:paraId="1A4D70A4" w14:textId="0B2B66D6" w:rsidR="001A3D24" w:rsidRDefault="001A3D24" w:rsidP="001A3D24">
      <w:r w:rsidRPr="00B61CF2">
        <w:rPr>
          <w:i/>
        </w:rPr>
        <w:t>States</w:t>
      </w:r>
      <w:r w:rsidR="00F12EF4">
        <w:rPr>
          <w:i/>
        </w:rPr>
        <w:t>/federal</w:t>
      </w:r>
      <w:r w:rsidRPr="00B61CF2">
        <w:rPr>
          <w:i/>
        </w:rPr>
        <w:t>.</w:t>
      </w:r>
      <w:r>
        <w:t xml:space="preserve"> </w:t>
      </w:r>
      <w:r w:rsidRPr="00E91754">
        <w:t xml:space="preserve">The </w:t>
      </w:r>
      <w:r>
        <w:t>estimated time required</w:t>
      </w:r>
      <w:r w:rsidRPr="00E91754">
        <w:t xml:space="preserve"> </w:t>
      </w:r>
      <w:r>
        <w:t>for</w:t>
      </w:r>
      <w:r w:rsidRPr="00E91754">
        <w:t xml:space="preserve"> state</w:t>
      </w:r>
      <w:r w:rsidR="00F12EF4">
        <w:t>/federal</w:t>
      </w:r>
      <w:r w:rsidRPr="00E91754">
        <w:t xml:space="preserve"> respondent</w:t>
      </w:r>
      <w:r>
        <w:t>s</w:t>
      </w:r>
      <w:r w:rsidRPr="00E91754">
        <w:t xml:space="preserve"> </w:t>
      </w:r>
      <w:r>
        <w:t>to</w:t>
      </w:r>
      <w:r w:rsidRPr="00E91754">
        <w:t xml:space="preserve"> review and process request for modification, revocation and reissuance, or termination</w:t>
      </w:r>
      <w:r>
        <w:t xml:space="preserve"> </w:t>
      </w:r>
      <w:r w:rsidR="00A8376D">
        <w:t>is</w:t>
      </w:r>
      <w:r>
        <w:t xml:space="preserve"> 40 hours for each request.</w:t>
      </w:r>
    </w:p>
    <w:p w14:paraId="25C659F6" w14:textId="77777777" w:rsidR="001A3D24" w:rsidRPr="007D6E15" w:rsidRDefault="001A3D24" w:rsidP="004366AF">
      <w:pPr>
        <w:pStyle w:val="Heading5"/>
      </w:pPr>
      <w:r w:rsidRPr="007D6E15">
        <w:t>Section 308 Requests</w:t>
      </w:r>
    </w:p>
    <w:p w14:paraId="4575FF2B" w14:textId="07C3BC65" w:rsidR="001A3D24" w:rsidRDefault="001A3D24" w:rsidP="001A3D24">
      <w:r>
        <w:rPr>
          <w:i/>
        </w:rPr>
        <w:t xml:space="preserve">Permittees. </w:t>
      </w:r>
      <w:r w:rsidR="0093655F">
        <w:t>Section 308 of the CWA authorizes EPA to require the owner or operator of any point source to make reports and provide information as may be reasonably r</w:t>
      </w:r>
      <w:r w:rsidR="00652EC9">
        <w:t xml:space="preserve">equired to carry out the objectives of the CWA, including but not limited to developing effluent limitations, determining compliance with any such effluent limitation or standard. </w:t>
      </w:r>
      <w:r>
        <w:t>The time required</w:t>
      </w:r>
      <w:r w:rsidRPr="00790B0E">
        <w:t xml:space="preserve"> per respondent for</w:t>
      </w:r>
      <w:r>
        <w:t xml:space="preserve"> preparing responses to Section 308 requests can vary considerably and is estimated to be 5-8 hours, 50 hours, and 1,000 hours </w:t>
      </w:r>
      <w:r w:rsidRPr="00262A2D">
        <w:t>for routine requests and letters</w:t>
      </w:r>
      <w:r>
        <w:t>,</w:t>
      </w:r>
      <w:r w:rsidRPr="00262A2D">
        <w:t xml:space="preserve"> medium complexity</w:t>
      </w:r>
      <w:r>
        <w:t xml:space="preserve"> requests, and </w:t>
      </w:r>
      <w:r w:rsidRPr="00E94ECE">
        <w:t xml:space="preserve">complex </w:t>
      </w:r>
      <w:r>
        <w:t>municipal facility requests, respectively. The frequency is on an as</w:t>
      </w:r>
      <w:r w:rsidR="00506C9B">
        <w:t>-</w:t>
      </w:r>
      <w:r>
        <w:t>needed basis.</w:t>
      </w:r>
    </w:p>
    <w:p w14:paraId="37364A83" w14:textId="1F53460E" w:rsidR="001A3D24" w:rsidRDefault="001A3D24" w:rsidP="001A3D24">
      <w:r w:rsidRPr="00B61CF2">
        <w:rPr>
          <w:i/>
        </w:rPr>
        <w:t>States</w:t>
      </w:r>
      <w:r w:rsidR="00F12EF4">
        <w:rPr>
          <w:i/>
        </w:rPr>
        <w:t>/federal</w:t>
      </w:r>
      <w:r w:rsidRPr="00B61CF2">
        <w:rPr>
          <w:i/>
        </w:rPr>
        <w:t>.</w:t>
      </w:r>
      <w:r>
        <w:t xml:space="preserve"> </w:t>
      </w:r>
      <w:r w:rsidRPr="00E94ECE">
        <w:t xml:space="preserve">The </w:t>
      </w:r>
      <w:r>
        <w:t>estimated time required</w:t>
      </w:r>
      <w:r w:rsidRPr="00E94ECE">
        <w:t xml:space="preserve"> </w:t>
      </w:r>
      <w:r>
        <w:t>for</w:t>
      </w:r>
      <w:r w:rsidRPr="00E94ECE">
        <w:t xml:space="preserve"> state</w:t>
      </w:r>
      <w:r w:rsidR="00F12EF4">
        <w:t>/federal</w:t>
      </w:r>
      <w:r w:rsidRPr="00E94ECE">
        <w:t xml:space="preserve"> respondent</w:t>
      </w:r>
      <w:r>
        <w:t>s</w:t>
      </w:r>
      <w:r w:rsidRPr="00E94ECE">
        <w:t xml:space="preserve"> </w:t>
      </w:r>
      <w:r>
        <w:t>to</w:t>
      </w:r>
      <w:r w:rsidRPr="00E94ECE">
        <w:t xml:space="preserve"> review and process</w:t>
      </w:r>
      <w:r>
        <w:t xml:space="preserve"> submitted information ranges from 1 to 20 hours depending on permit type.</w:t>
      </w:r>
    </w:p>
    <w:p w14:paraId="1AE262DA" w14:textId="0218C012" w:rsidR="001A3D24" w:rsidRDefault="00E046A2" w:rsidP="004366AF">
      <w:pPr>
        <w:pStyle w:val="Heading5"/>
      </w:pPr>
      <w:r w:rsidRPr="00AC7F9B">
        <w:t>New Introduction of Pollutants to POTWs</w:t>
      </w:r>
    </w:p>
    <w:p w14:paraId="6451551E" w14:textId="0FC64EB2" w:rsidR="00E046A2" w:rsidRDefault="00E046A2" w:rsidP="00AC7F9B">
      <w:r w:rsidRPr="00AC7F9B">
        <w:rPr>
          <w:i/>
        </w:rPr>
        <w:t xml:space="preserve">Permittees. </w:t>
      </w:r>
      <w:r w:rsidR="00FA6EC8">
        <w:t>NPDES regulations at 40 CFR 122.42(b)</w:t>
      </w:r>
      <w:r w:rsidR="00B22807">
        <w:t xml:space="preserve">(1) require notification of any new introduction of pollutants into the POTW. </w:t>
      </w:r>
      <w:r>
        <w:t xml:space="preserve">The time required per respondent to prepare and submit </w:t>
      </w:r>
      <w:r w:rsidR="005E2EB2">
        <w:t xml:space="preserve">to the </w:t>
      </w:r>
      <w:r w:rsidR="00CA2398">
        <w:t xml:space="preserve">permitting authority </w:t>
      </w:r>
      <w:r>
        <w:t xml:space="preserve">a notice of </w:t>
      </w:r>
      <w:r w:rsidR="005E2EB2" w:rsidRPr="005E2EB2">
        <w:t xml:space="preserve">substantial change in the volume or character of pollutants being introduced into that POTW </w:t>
      </w:r>
      <w:r>
        <w:t>is estimated to be 3 hours and occurs at an approximate frequency of 200 per year.</w:t>
      </w:r>
    </w:p>
    <w:p w14:paraId="1D378E5B" w14:textId="58B348CC" w:rsidR="00E046A2" w:rsidRDefault="00E046A2" w:rsidP="00AC7F9B">
      <w:r w:rsidRPr="00AC7F9B">
        <w:rPr>
          <w:i/>
        </w:rPr>
        <w:t>States</w:t>
      </w:r>
      <w:r w:rsidR="00F12EF4">
        <w:rPr>
          <w:i/>
        </w:rPr>
        <w:t>/federal</w:t>
      </w:r>
      <w:r w:rsidRPr="00AC7F9B">
        <w:rPr>
          <w:i/>
        </w:rPr>
        <w:t>.</w:t>
      </w:r>
      <w:r>
        <w:rPr>
          <w:i/>
        </w:rPr>
        <w:t xml:space="preserve"> </w:t>
      </w:r>
      <w:r>
        <w:t xml:space="preserve">The time required to review and process </w:t>
      </w:r>
      <w:r w:rsidR="005E2EB2">
        <w:t xml:space="preserve">each notice </w:t>
      </w:r>
      <w:r>
        <w:t xml:space="preserve">is 4 hours. </w:t>
      </w:r>
    </w:p>
    <w:p w14:paraId="7F62709B" w14:textId="714A8EB1" w:rsidR="00E046A2" w:rsidRDefault="001F2C49" w:rsidP="004366AF">
      <w:pPr>
        <w:pStyle w:val="Heading5"/>
      </w:pPr>
      <w:r w:rsidRPr="00AC7F9B">
        <w:t>Notification of</w:t>
      </w:r>
      <w:r w:rsidRPr="001F2C49">
        <w:t xml:space="preserve"> New or Increased Discharge</w:t>
      </w:r>
    </w:p>
    <w:p w14:paraId="528DB032" w14:textId="4F4DB813" w:rsidR="001F2C49" w:rsidRDefault="001F2C49" w:rsidP="001F2C49">
      <w:r w:rsidRPr="001E3498">
        <w:rPr>
          <w:i/>
        </w:rPr>
        <w:t xml:space="preserve">Permittees. </w:t>
      </w:r>
      <w:r w:rsidR="00B22807">
        <w:t xml:space="preserve">NPDES regulations at 40 CFR 122.41(l) require permittees to provide notification of a new or increased discharge. </w:t>
      </w:r>
      <w:r>
        <w:t xml:space="preserve">The time required per respondent to prepare and submit to the </w:t>
      </w:r>
      <w:r w:rsidR="00CA2398">
        <w:t xml:space="preserve">permitting authority </w:t>
      </w:r>
      <w:r>
        <w:t xml:space="preserve">a notice of </w:t>
      </w:r>
      <w:r w:rsidRPr="001F2C49">
        <w:t xml:space="preserve">new or increased discharge </w:t>
      </w:r>
      <w:r>
        <w:t xml:space="preserve">is estimated to be 4 hours and occurs for </w:t>
      </w:r>
      <w:r w:rsidRPr="001F2C49">
        <w:t>5 percent of all major and 3 pe</w:t>
      </w:r>
      <w:r>
        <w:t>rcent of all minor nonmunicipal permits.</w:t>
      </w:r>
    </w:p>
    <w:p w14:paraId="1554D9B8" w14:textId="00D0CF58" w:rsidR="001F2C49" w:rsidRDefault="001F2C49" w:rsidP="001F2C49">
      <w:r w:rsidRPr="001E3498">
        <w:rPr>
          <w:i/>
        </w:rPr>
        <w:t>States</w:t>
      </w:r>
      <w:r w:rsidR="00F12EF4" w:rsidRPr="00F12EF4">
        <w:rPr>
          <w:i/>
        </w:rPr>
        <w:t>/federal</w:t>
      </w:r>
      <w:r w:rsidRPr="001E3498">
        <w:rPr>
          <w:i/>
        </w:rPr>
        <w:t>.</w:t>
      </w:r>
      <w:r>
        <w:rPr>
          <w:i/>
        </w:rPr>
        <w:t xml:space="preserve"> </w:t>
      </w:r>
      <w:r>
        <w:t xml:space="preserve">The time required to review and process each notice is 4 hours. </w:t>
      </w:r>
    </w:p>
    <w:p w14:paraId="1B156ED7" w14:textId="4E0FAC28" w:rsidR="001F2C49" w:rsidRPr="00A64A1F" w:rsidRDefault="003C2170" w:rsidP="004366AF">
      <w:pPr>
        <w:pStyle w:val="Heading5"/>
      </w:pPr>
      <w:r w:rsidRPr="003C2170">
        <w:t>Permittee Notice of Regulated Discharge Cessatio</w:t>
      </w:r>
      <w:r>
        <w:t>n</w:t>
      </w:r>
    </w:p>
    <w:p w14:paraId="4EC15BC9" w14:textId="37A1F9D7" w:rsidR="003C2170" w:rsidRPr="00AC7F9B" w:rsidRDefault="003C2170" w:rsidP="003C2170">
      <w:r w:rsidRPr="00AC7F9B">
        <w:rPr>
          <w:i/>
        </w:rPr>
        <w:t>Permittees</w:t>
      </w:r>
      <w:r w:rsidRPr="00AC7F9B">
        <w:t xml:space="preserve">. </w:t>
      </w:r>
      <w:r w:rsidR="00BF5653">
        <w:t xml:space="preserve">Permittees are required to notify the permitting authority when a discharge has ceased. </w:t>
      </w:r>
      <w:r w:rsidRPr="00AC7F9B">
        <w:t xml:space="preserve">The time required per respondent to prepare and submit to the </w:t>
      </w:r>
      <w:r w:rsidR="00CA2398">
        <w:t>permitting authority</w:t>
      </w:r>
      <w:r w:rsidR="00CA2398" w:rsidRPr="00AC7F9B">
        <w:t xml:space="preserve"> </w:t>
      </w:r>
      <w:r w:rsidRPr="00AC7F9B">
        <w:t xml:space="preserve">a notice of </w:t>
      </w:r>
      <w:r w:rsidR="002B20E1">
        <w:t>cessation of a regulated</w:t>
      </w:r>
      <w:r w:rsidRPr="00AC7F9B">
        <w:t xml:space="preserve"> discharge is estimated to be 4 hours and occurs annually for </w:t>
      </w:r>
      <w:r w:rsidR="0015409A">
        <w:t>2</w:t>
      </w:r>
      <w:r w:rsidR="0015409A" w:rsidRPr="00AC7F9B">
        <w:t xml:space="preserve"> </w:t>
      </w:r>
      <w:r w:rsidRPr="00AC7F9B">
        <w:t xml:space="preserve">percent of all major and </w:t>
      </w:r>
      <w:r w:rsidR="0015409A">
        <w:t>0.8</w:t>
      </w:r>
      <w:r w:rsidR="0015409A" w:rsidRPr="00AC7F9B">
        <w:t xml:space="preserve"> </w:t>
      </w:r>
      <w:r w:rsidRPr="00AC7F9B">
        <w:t>percent of all minor nonmunicipal permits.</w:t>
      </w:r>
    </w:p>
    <w:p w14:paraId="6CA6D9AF" w14:textId="5FF5559A" w:rsidR="003C2170" w:rsidRDefault="003C2170" w:rsidP="00AC7F9B">
      <w:r w:rsidRPr="00AC7F9B">
        <w:rPr>
          <w:i/>
        </w:rPr>
        <w:t>States</w:t>
      </w:r>
      <w:r w:rsidR="00F12EF4" w:rsidRPr="00F12EF4">
        <w:rPr>
          <w:i/>
        </w:rPr>
        <w:t>/federal</w:t>
      </w:r>
      <w:r w:rsidRPr="00AC7F9B">
        <w:rPr>
          <w:i/>
        </w:rPr>
        <w:t>.</w:t>
      </w:r>
      <w:r w:rsidRPr="003C2170">
        <w:t xml:space="preserve"> The time required to review and process each notice is 4 hours</w:t>
      </w:r>
      <w:r w:rsidRPr="003C2170">
        <w:rPr>
          <w:b/>
        </w:rPr>
        <w:t>.</w:t>
      </w:r>
    </w:p>
    <w:p w14:paraId="47252F4A" w14:textId="77777777" w:rsidR="00DB6FCD" w:rsidRPr="00F2144A" w:rsidRDefault="00DB6FCD" w:rsidP="004366AF">
      <w:pPr>
        <w:pStyle w:val="Heading5"/>
      </w:pPr>
      <w:r w:rsidRPr="00AC7F9B">
        <w:t>Variance Request</w:t>
      </w:r>
    </w:p>
    <w:p w14:paraId="111792CE" w14:textId="54A8365B" w:rsidR="00D316EF" w:rsidRDefault="004D50B4" w:rsidP="00DB6FCD">
      <w:r w:rsidRPr="004D50B4">
        <w:rPr>
          <w:i/>
        </w:rPr>
        <w:t>Permittees</w:t>
      </w:r>
      <w:r w:rsidRPr="004D50B4">
        <w:t>.</w:t>
      </w:r>
      <w:r>
        <w:t xml:space="preserve"> </w:t>
      </w:r>
      <w:r w:rsidR="007D231F">
        <w:t>NPDES regulations allow p</w:t>
      </w:r>
      <w:r w:rsidR="00BF5653">
        <w:t xml:space="preserve">ermittees </w:t>
      </w:r>
      <w:r w:rsidR="007D231F">
        <w:t>to</w:t>
      </w:r>
      <w:r w:rsidR="00BF5653">
        <w:t xml:space="preserve"> request </w:t>
      </w:r>
      <w:r w:rsidR="007D231F">
        <w:t xml:space="preserve">variances from </w:t>
      </w:r>
      <w:r w:rsidR="00AF46B4">
        <w:t>technology or water quality</w:t>
      </w:r>
      <w:r w:rsidR="007D231F">
        <w:t xml:space="preserve"> standards. </w:t>
      </w:r>
      <w:r w:rsidR="00DB6FCD">
        <w:t>Variance requests</w:t>
      </w:r>
      <w:r>
        <w:t xml:space="preserve"> for individual permits</w:t>
      </w:r>
      <w:r w:rsidR="00DB6FCD">
        <w:t xml:space="preserve"> include the following:</w:t>
      </w:r>
    </w:p>
    <w:p w14:paraId="4BFAFDCA" w14:textId="77777777" w:rsidR="00DB6FCD" w:rsidRDefault="00DB6FCD" w:rsidP="00EF1FFC">
      <w:pPr>
        <w:pStyle w:val="ListParagraph"/>
        <w:numPr>
          <w:ilvl w:val="0"/>
          <w:numId w:val="13"/>
        </w:numPr>
      </w:pPr>
      <w:r>
        <w:t xml:space="preserve">Great Lakes Modification and variance request. </w:t>
      </w:r>
      <w:r w:rsidRPr="004D7F6F">
        <w:t xml:space="preserve">The estimated burden </w:t>
      </w:r>
      <w:r>
        <w:t>is 418 hours.</w:t>
      </w:r>
    </w:p>
    <w:p w14:paraId="76E71BED" w14:textId="77777777" w:rsidR="00DB6FCD" w:rsidRDefault="00DB6FCD" w:rsidP="00EF1FFC">
      <w:pPr>
        <w:pStyle w:val="ListParagraph"/>
        <w:numPr>
          <w:ilvl w:val="0"/>
          <w:numId w:val="13"/>
        </w:numPr>
      </w:pPr>
      <w:r>
        <w:t xml:space="preserve">Variance Request for Fundamentally Different Factors. </w:t>
      </w:r>
      <w:r w:rsidRPr="00800DD5">
        <w:t>The estimated burden</w:t>
      </w:r>
      <w:r>
        <w:t xml:space="preserve"> is 160 hours.</w:t>
      </w:r>
    </w:p>
    <w:p w14:paraId="1B27425E" w14:textId="77777777" w:rsidR="00DB6FCD" w:rsidRDefault="00DB6FCD" w:rsidP="00EF1FFC">
      <w:pPr>
        <w:pStyle w:val="ListParagraph"/>
        <w:numPr>
          <w:ilvl w:val="0"/>
          <w:numId w:val="13"/>
        </w:numPr>
      </w:pPr>
      <w:r>
        <w:t xml:space="preserve">Variance Request for Nonconventional Pollutants. </w:t>
      </w:r>
      <w:r w:rsidRPr="00800DD5">
        <w:t>The estimated burden</w:t>
      </w:r>
      <w:r>
        <w:t xml:space="preserve"> is 150 hours.</w:t>
      </w:r>
    </w:p>
    <w:p w14:paraId="4C29DFF2" w14:textId="77777777" w:rsidR="00DB6FCD" w:rsidRDefault="00DB6FCD" w:rsidP="00EF1FFC">
      <w:pPr>
        <w:pStyle w:val="ListParagraph"/>
        <w:numPr>
          <w:ilvl w:val="0"/>
          <w:numId w:val="13"/>
        </w:numPr>
      </w:pPr>
      <w:r>
        <w:t>Variance Request for Innovative Pollution Control Technology.</w:t>
      </w:r>
      <w:r w:rsidRPr="00800DD5">
        <w:t xml:space="preserve"> The estimated burden</w:t>
      </w:r>
      <w:r>
        <w:t xml:space="preserve"> is 60 hours.</w:t>
      </w:r>
    </w:p>
    <w:p w14:paraId="7D8131E9" w14:textId="77777777" w:rsidR="00DB6FCD" w:rsidRDefault="00DB6FCD" w:rsidP="00EF1FFC">
      <w:pPr>
        <w:pStyle w:val="ListParagraph"/>
        <w:numPr>
          <w:ilvl w:val="0"/>
          <w:numId w:val="13"/>
        </w:numPr>
      </w:pPr>
      <w:r>
        <w:t xml:space="preserve">Variance Request Regarding Thermal Discharges (New). </w:t>
      </w:r>
      <w:r w:rsidRPr="00800DD5">
        <w:t>The estimated burden</w:t>
      </w:r>
      <w:r>
        <w:t xml:space="preserve"> is 400 hours.</w:t>
      </w:r>
    </w:p>
    <w:p w14:paraId="6064A02B" w14:textId="77777777" w:rsidR="00DB6FCD" w:rsidRDefault="00DB6FCD" w:rsidP="00EF1FFC">
      <w:pPr>
        <w:pStyle w:val="ListParagraph"/>
        <w:numPr>
          <w:ilvl w:val="0"/>
          <w:numId w:val="13"/>
        </w:numPr>
      </w:pPr>
      <w:r>
        <w:t xml:space="preserve">Variance Request Regarding Thermal Discharges (Renewal). </w:t>
      </w:r>
      <w:r w:rsidRPr="00800DD5">
        <w:t>The estimated burden</w:t>
      </w:r>
      <w:r>
        <w:t xml:space="preserve"> is 4 hours.</w:t>
      </w:r>
    </w:p>
    <w:p w14:paraId="29A345AD" w14:textId="1F3FD0E0" w:rsidR="00DB6FCD" w:rsidRDefault="00DB6FCD" w:rsidP="00DB6FCD">
      <w:r>
        <w:t>The number of respondents for each type is based on assumed percentages of different types of permits. The frequency of occurrence is on an as</w:t>
      </w:r>
      <w:r w:rsidR="00506C9B">
        <w:t>-</w:t>
      </w:r>
      <w:r>
        <w:t>needed basis.</w:t>
      </w:r>
    </w:p>
    <w:p w14:paraId="6CE92D75" w14:textId="6E3CE2EF" w:rsidR="00DB6FCD" w:rsidRDefault="00DB6FCD" w:rsidP="00DB6FCD">
      <w:r w:rsidRPr="00B61CF2">
        <w:rPr>
          <w:i/>
        </w:rPr>
        <w:t>States</w:t>
      </w:r>
      <w:r w:rsidR="00F12EF4" w:rsidRPr="00F12EF4">
        <w:rPr>
          <w:i/>
        </w:rPr>
        <w:t>/federal</w:t>
      </w:r>
      <w:r w:rsidRPr="00B61CF2">
        <w:rPr>
          <w:i/>
        </w:rPr>
        <w:t>.</w:t>
      </w:r>
      <w:r>
        <w:t xml:space="preserve"> </w:t>
      </w:r>
      <w:r w:rsidRPr="009378EC">
        <w:t xml:space="preserve">The </w:t>
      </w:r>
      <w:r>
        <w:t>estimated time required</w:t>
      </w:r>
      <w:r w:rsidRPr="009378EC">
        <w:t xml:space="preserve"> </w:t>
      </w:r>
      <w:r>
        <w:t>for</w:t>
      </w:r>
      <w:r w:rsidRPr="009378EC">
        <w:t xml:space="preserve"> state</w:t>
      </w:r>
      <w:r w:rsidR="00F12EF4" w:rsidRPr="00F12EF4">
        <w:t>/federal</w:t>
      </w:r>
      <w:r w:rsidRPr="009378EC">
        <w:t xml:space="preserve"> respondent</w:t>
      </w:r>
      <w:r>
        <w:t xml:space="preserve">s to </w:t>
      </w:r>
      <w:r w:rsidRPr="009378EC">
        <w:t>review and process</w:t>
      </w:r>
      <w:r>
        <w:t xml:space="preserve"> variance requests ranges from 44 to 520 hours for each type of variance request.</w:t>
      </w:r>
      <w:r w:rsidR="00F12EF4">
        <w:t xml:space="preserve"> Time for </w:t>
      </w:r>
      <w:r w:rsidR="00101E17">
        <w:t>r</w:t>
      </w:r>
      <w:r w:rsidR="00F12EF4" w:rsidRPr="009378EC">
        <w:t>eview and process</w:t>
      </w:r>
      <w:r w:rsidR="00101E17">
        <w:t>ing</w:t>
      </w:r>
      <w:r w:rsidR="00F12EF4">
        <w:t xml:space="preserve"> of thermal discharge variance renewals is 1 hour.</w:t>
      </w:r>
    </w:p>
    <w:p w14:paraId="41D49158" w14:textId="45D63A2A" w:rsidR="00DB6FCD" w:rsidRPr="00F2144A" w:rsidRDefault="00DB6FCD" w:rsidP="004366AF">
      <w:pPr>
        <w:pStyle w:val="Heading5"/>
      </w:pPr>
      <w:r w:rsidRPr="00AC7F9B">
        <w:t>Long-term Control Plans (LTCP</w:t>
      </w:r>
      <w:r w:rsidR="00101E17">
        <w:t>s</w:t>
      </w:r>
      <w:r w:rsidRPr="00AC7F9B">
        <w:t>)</w:t>
      </w:r>
    </w:p>
    <w:p w14:paraId="1BC51916" w14:textId="57D5F811" w:rsidR="00DB6FCD" w:rsidRDefault="00DB6FCD" w:rsidP="00DB6FCD">
      <w:r>
        <w:rPr>
          <w:i/>
        </w:rPr>
        <w:t xml:space="preserve">Permittees. </w:t>
      </w:r>
      <w:r w:rsidR="00757EC9">
        <w:t xml:space="preserve">Consistent with EPA’s CSO Policy, permittees </w:t>
      </w:r>
      <w:r w:rsidR="007B339F">
        <w:t>are responsible for</w:t>
      </w:r>
      <w:r w:rsidR="00757EC9">
        <w:t xml:space="preserve"> develop</w:t>
      </w:r>
      <w:r w:rsidR="007B339F">
        <w:t>ing and implementing</w:t>
      </w:r>
      <w:r w:rsidR="00757EC9">
        <w:t xml:space="preserve"> LTCPs</w:t>
      </w:r>
      <w:r w:rsidR="007B339F">
        <w:t xml:space="preserve"> that will ultimately result in compliance with the requirements of the CWA.</w:t>
      </w:r>
      <w:r w:rsidR="00757EC9">
        <w:t xml:space="preserve"> </w:t>
      </w:r>
      <w:r>
        <w:t>The estimated time required</w:t>
      </w:r>
      <w:r w:rsidRPr="00874C6E">
        <w:t xml:space="preserve"> per respondent </w:t>
      </w:r>
      <w:r>
        <w:t xml:space="preserve">to write an LTCP varies considerably depending </w:t>
      </w:r>
      <w:r w:rsidR="00915217">
        <w:t xml:space="preserve">on </w:t>
      </w:r>
      <w:r>
        <w:t xml:space="preserve">system size and on whether the system has already conducted studies. Respondent time can range from </w:t>
      </w:r>
      <w:r w:rsidRPr="00C319B5">
        <w:t xml:space="preserve">300 hours for </w:t>
      </w:r>
      <w:r>
        <w:t xml:space="preserve">a </w:t>
      </w:r>
      <w:r w:rsidRPr="00C319B5">
        <w:t xml:space="preserve">small system that </w:t>
      </w:r>
      <w:r>
        <w:t>has</w:t>
      </w:r>
      <w:r w:rsidRPr="00C319B5">
        <w:t xml:space="preserve"> existing studies to 6,000 hours for </w:t>
      </w:r>
      <w:r>
        <w:t xml:space="preserve">a </w:t>
      </w:r>
      <w:r w:rsidRPr="00C319B5">
        <w:t xml:space="preserve">large </w:t>
      </w:r>
      <w:r>
        <w:t xml:space="preserve">system without existing studies. </w:t>
      </w:r>
    </w:p>
    <w:p w14:paraId="485FCCDE" w14:textId="57C99374" w:rsidR="00DB6FCD" w:rsidRDefault="00DB6FCD" w:rsidP="00DB6FCD">
      <w:r w:rsidRPr="00B61CF2">
        <w:rPr>
          <w:i/>
        </w:rPr>
        <w:t>States</w:t>
      </w:r>
      <w:r w:rsidR="00464961">
        <w:rPr>
          <w:i/>
        </w:rPr>
        <w:t>/federal</w:t>
      </w:r>
      <w:r w:rsidRPr="00B61CF2">
        <w:rPr>
          <w:i/>
        </w:rPr>
        <w:t>.</w:t>
      </w:r>
      <w:r>
        <w:t xml:space="preserve"> </w:t>
      </w:r>
      <w:r w:rsidRPr="00C319B5">
        <w:t xml:space="preserve">The </w:t>
      </w:r>
      <w:r>
        <w:t>estimated time required</w:t>
      </w:r>
      <w:r w:rsidRPr="00C319B5">
        <w:t xml:space="preserve"> </w:t>
      </w:r>
      <w:r>
        <w:t>for</w:t>
      </w:r>
      <w:r w:rsidRPr="00C319B5">
        <w:t xml:space="preserve"> state</w:t>
      </w:r>
      <w:r w:rsidR="00464961" w:rsidRPr="00464961">
        <w:t xml:space="preserve">/federal </w:t>
      </w:r>
      <w:r w:rsidRPr="00C319B5">
        <w:t>respondent</w:t>
      </w:r>
      <w:r>
        <w:t>s to</w:t>
      </w:r>
      <w:r w:rsidRPr="00C319B5">
        <w:t xml:space="preserve"> review and process</w:t>
      </w:r>
      <w:r>
        <w:t xml:space="preserve"> LTCPs is 20, 33, and 53 hours for small, medium, and large combined sewer systems, respectively.</w:t>
      </w:r>
    </w:p>
    <w:p w14:paraId="6DAA6FDE" w14:textId="0BEA72DF" w:rsidR="001A3D24" w:rsidRDefault="001A3D24" w:rsidP="004366AF">
      <w:pPr>
        <w:pStyle w:val="Heading5"/>
      </w:pPr>
      <w:r w:rsidRPr="00AC7F9B">
        <w:t xml:space="preserve">Documenting Nine Minimum Control </w:t>
      </w:r>
      <w:r w:rsidR="00101E17">
        <w:t xml:space="preserve">(NMC) </w:t>
      </w:r>
      <w:r w:rsidRPr="00AC7F9B">
        <w:t>Measures</w:t>
      </w:r>
    </w:p>
    <w:p w14:paraId="60E6A81C" w14:textId="54D9B430" w:rsidR="001A3D24" w:rsidRDefault="001A3D24" w:rsidP="001A3D24">
      <w:r w:rsidRPr="00AC7F9B">
        <w:rPr>
          <w:i/>
        </w:rPr>
        <w:t>Permittees</w:t>
      </w:r>
      <w:r w:rsidR="005077DF">
        <w:rPr>
          <w:i/>
        </w:rPr>
        <w:t>.</w:t>
      </w:r>
      <w:r>
        <w:t xml:space="preserve"> </w:t>
      </w:r>
      <w:r w:rsidR="00AC0B7C">
        <w:t xml:space="preserve">Consistent with EPA’s CSO Policy, permittees should submit appropriate documentation demonstrating implementation of the NMC measures. </w:t>
      </w:r>
      <w:r>
        <w:t>The estimated time required</w:t>
      </w:r>
      <w:r w:rsidRPr="00B251FD">
        <w:t xml:space="preserve"> per respondent </w:t>
      </w:r>
      <w:r>
        <w:t>for collecting necessary information f</w:t>
      </w:r>
      <w:r w:rsidRPr="00B251FD">
        <w:t xml:space="preserve">or </w:t>
      </w:r>
      <w:r w:rsidR="004D50B4">
        <w:t xml:space="preserve">small, medium and </w:t>
      </w:r>
      <w:r w:rsidRPr="00B251FD">
        <w:t>large</w:t>
      </w:r>
      <w:r>
        <w:t xml:space="preserve"> </w:t>
      </w:r>
      <w:r w:rsidRPr="00B251FD">
        <w:t xml:space="preserve">systems </w:t>
      </w:r>
      <w:r>
        <w:t>is</w:t>
      </w:r>
      <w:r w:rsidRPr="00B251FD">
        <w:t xml:space="preserve"> </w:t>
      </w:r>
      <w:r w:rsidR="004D50B4">
        <w:t xml:space="preserve">29 hours, 43 hours and </w:t>
      </w:r>
      <w:r w:rsidRPr="00B251FD">
        <w:t>200 hours</w:t>
      </w:r>
      <w:r>
        <w:t>, respectively. EPA estimates that no m</w:t>
      </w:r>
      <w:r w:rsidRPr="004D5D28">
        <w:t>unicipalities will submit NMC documentation in the next 3 years</w:t>
      </w:r>
      <w:r w:rsidR="00101E17">
        <w:t>.</w:t>
      </w:r>
    </w:p>
    <w:p w14:paraId="0247841C" w14:textId="37FD3A40" w:rsidR="005077DF" w:rsidRDefault="005077DF" w:rsidP="005077DF">
      <w:r w:rsidRPr="00B61CF2">
        <w:rPr>
          <w:i/>
        </w:rPr>
        <w:t>States.</w:t>
      </w:r>
      <w:r>
        <w:t xml:space="preserve"> No state respondent burden is anticipated for this activity.</w:t>
      </w:r>
    </w:p>
    <w:p w14:paraId="2DF91805" w14:textId="0E40B0BD" w:rsidR="00CD50D1" w:rsidRDefault="00CD50D1" w:rsidP="004366AF">
      <w:pPr>
        <w:pStyle w:val="Heading5"/>
      </w:pPr>
      <w:r w:rsidRPr="00AC7F9B">
        <w:t>Certification for Exemption from Monitoring and Notification of Process Changes</w:t>
      </w:r>
    </w:p>
    <w:p w14:paraId="1984F177" w14:textId="1320D316" w:rsidR="00903623" w:rsidRDefault="00903623" w:rsidP="00903623">
      <w:r w:rsidRPr="00903623">
        <w:t>The effluent limitations guidelines and standards regulations for 14 industrial categories (12 categories and 2 subcategories) allow dischargers to submit a certification to exempt them from monitoring one or more pollutants</w:t>
      </w:r>
      <w:r>
        <w:t>.</w:t>
      </w:r>
    </w:p>
    <w:p w14:paraId="481B53C1" w14:textId="77777777" w:rsidR="00CD50D1" w:rsidRDefault="00CD50D1" w:rsidP="00CD50D1">
      <w:r>
        <w:rPr>
          <w:i/>
        </w:rPr>
        <w:t xml:space="preserve">Permittees. </w:t>
      </w:r>
      <w:r>
        <w:t>The estimated time required</w:t>
      </w:r>
      <w:r w:rsidRPr="00D80F07">
        <w:t xml:space="preserve"> per respondent for preparing</w:t>
      </w:r>
      <w:r>
        <w:t xml:space="preserve"> certification for exemption documents will typically be one hour and with a frequency of once per year.</w:t>
      </w:r>
    </w:p>
    <w:p w14:paraId="629C46B8" w14:textId="700C48F2" w:rsidR="00CD50D1" w:rsidRDefault="00CD50D1" w:rsidP="00CD50D1">
      <w:r w:rsidRPr="00B61CF2">
        <w:rPr>
          <w:i/>
        </w:rPr>
        <w:t>States</w:t>
      </w:r>
      <w:r w:rsidR="00464961" w:rsidRPr="00464961">
        <w:rPr>
          <w:i/>
        </w:rPr>
        <w:t>/federal</w:t>
      </w:r>
      <w:r w:rsidRPr="00B61CF2">
        <w:rPr>
          <w:i/>
        </w:rPr>
        <w:t>.</w:t>
      </w:r>
      <w:r>
        <w:t xml:space="preserve"> </w:t>
      </w:r>
      <w:r w:rsidRPr="009378EC">
        <w:t xml:space="preserve">The </w:t>
      </w:r>
      <w:r>
        <w:t>estimated time required</w:t>
      </w:r>
      <w:r w:rsidRPr="009378EC">
        <w:t xml:space="preserve"> </w:t>
      </w:r>
      <w:r>
        <w:t>for</w:t>
      </w:r>
      <w:r w:rsidRPr="009378EC">
        <w:t xml:space="preserve"> state</w:t>
      </w:r>
      <w:r w:rsidR="00464961" w:rsidRPr="00464961">
        <w:t>/federal</w:t>
      </w:r>
      <w:r w:rsidRPr="009378EC">
        <w:t xml:space="preserve"> respondent</w:t>
      </w:r>
      <w:r>
        <w:t>s</w:t>
      </w:r>
      <w:r w:rsidRPr="009378EC">
        <w:t xml:space="preserve"> </w:t>
      </w:r>
      <w:r>
        <w:t>to</w:t>
      </w:r>
      <w:r w:rsidRPr="009378EC">
        <w:t xml:space="preserve"> review and process</w:t>
      </w:r>
      <w:r>
        <w:t xml:space="preserve"> certification documents is 1 hour for each certification.</w:t>
      </w:r>
    </w:p>
    <w:p w14:paraId="2051D990" w14:textId="03A4BE3D" w:rsidR="00CD50D1" w:rsidRDefault="00CD50D1" w:rsidP="004366AF">
      <w:pPr>
        <w:pStyle w:val="Heading5"/>
      </w:pPr>
      <w:r w:rsidRPr="00D141CC">
        <w:t>Part 435 Certification Oil and Gas Extraction</w:t>
      </w:r>
      <w:r w:rsidR="00786C04">
        <w:t xml:space="preserve"> (</w:t>
      </w:r>
      <w:r w:rsidR="00786C04" w:rsidRPr="00786C04">
        <w:t>Synthetic Based Drilling Fluid</w:t>
      </w:r>
      <w:r w:rsidR="00786C04">
        <w:t>)</w:t>
      </w:r>
    </w:p>
    <w:p w14:paraId="7F141F2F" w14:textId="16975D07" w:rsidR="00CD50D1" w:rsidRDefault="00CD50D1" w:rsidP="00CD50D1">
      <w:r>
        <w:rPr>
          <w:i/>
        </w:rPr>
        <w:t xml:space="preserve">Permittees. </w:t>
      </w:r>
      <w:r w:rsidR="00321E11" w:rsidRPr="00321E11">
        <w:t xml:space="preserve">Under 40 CFR Part 435, operators may elect to use BMPs </w:t>
      </w:r>
      <w:r w:rsidR="00C73667">
        <w:t>for control of discharges of s</w:t>
      </w:r>
      <w:r w:rsidR="00C73667" w:rsidRPr="00B340F2">
        <w:t>ynthetic-</w:t>
      </w:r>
      <w:r w:rsidR="00C73667">
        <w:t>b</w:t>
      </w:r>
      <w:r w:rsidR="00C73667" w:rsidRPr="00B340F2">
        <w:t xml:space="preserve">ased </w:t>
      </w:r>
      <w:r w:rsidR="00C73667">
        <w:t>drilling f</w:t>
      </w:r>
      <w:r w:rsidR="00C73667" w:rsidRPr="00B340F2">
        <w:t xml:space="preserve">luids </w:t>
      </w:r>
      <w:r w:rsidR="00C73667">
        <w:t>cuttings</w:t>
      </w:r>
      <w:r w:rsidR="00321E11" w:rsidRPr="00321E11">
        <w:t>. Permittees are required to certify that its BMP plan is complete, on-site, and available upon request to EPA or the NPDES permitting authority.</w:t>
      </w:r>
      <w:r w:rsidR="00321E11">
        <w:rPr>
          <w:i/>
        </w:rPr>
        <w:t xml:space="preserve"> </w:t>
      </w:r>
      <w:r>
        <w:t>The estimated time required</w:t>
      </w:r>
      <w:r w:rsidRPr="009378EC">
        <w:t xml:space="preserve"> per respondent for </w:t>
      </w:r>
      <w:r>
        <w:t xml:space="preserve">activities associated with </w:t>
      </w:r>
      <w:r w:rsidRPr="00476925">
        <w:t xml:space="preserve">certification of </w:t>
      </w:r>
      <w:r>
        <w:t xml:space="preserve">preparation and implementation of </w:t>
      </w:r>
      <w:r w:rsidRPr="00476925">
        <w:t xml:space="preserve">BMP </w:t>
      </w:r>
      <w:r>
        <w:t>plans for control of discharges of s</w:t>
      </w:r>
      <w:r w:rsidRPr="00B340F2">
        <w:t>ynthetic-</w:t>
      </w:r>
      <w:r>
        <w:t>b</w:t>
      </w:r>
      <w:r w:rsidRPr="00B340F2">
        <w:t xml:space="preserve">ased </w:t>
      </w:r>
      <w:r>
        <w:t>drilling f</w:t>
      </w:r>
      <w:r w:rsidRPr="00B340F2">
        <w:t xml:space="preserve">luids </w:t>
      </w:r>
      <w:r>
        <w:t xml:space="preserve">cuttings </w:t>
      </w:r>
      <w:r w:rsidRPr="00B340F2">
        <w:t xml:space="preserve">under 40 CFR Part 435 </w:t>
      </w:r>
      <w:r>
        <w:t>for o</w:t>
      </w:r>
      <w:r w:rsidRPr="009378EC">
        <w:t xml:space="preserve">il and </w:t>
      </w:r>
      <w:r>
        <w:t>g</w:t>
      </w:r>
      <w:r w:rsidRPr="009378EC">
        <w:t xml:space="preserve">as </w:t>
      </w:r>
      <w:r>
        <w:t>e</w:t>
      </w:r>
      <w:r w:rsidRPr="009378EC">
        <w:t>xtraction</w:t>
      </w:r>
      <w:r>
        <w:t xml:space="preserve"> permits is 787 hours and occurs at a frequency of once per year.</w:t>
      </w:r>
    </w:p>
    <w:p w14:paraId="4D00470E" w14:textId="7D90A3E0" w:rsidR="00C95663" w:rsidRPr="00C95663" w:rsidRDefault="00C95663" w:rsidP="00CD50D1">
      <w:r>
        <w:rPr>
          <w:i/>
        </w:rPr>
        <w:t>F</w:t>
      </w:r>
      <w:r w:rsidRPr="009616EC">
        <w:rPr>
          <w:i/>
        </w:rPr>
        <w:t>ederal</w:t>
      </w:r>
      <w:r>
        <w:rPr>
          <w:i/>
        </w:rPr>
        <w:t xml:space="preserve">. </w:t>
      </w:r>
      <w:r w:rsidRPr="009616EC">
        <w:t xml:space="preserve">The estimated time required for federal respondents to review and process certification documents is </w:t>
      </w:r>
      <w:r>
        <w:t>5.7</w:t>
      </w:r>
      <w:r w:rsidRPr="009616EC">
        <w:t xml:space="preserve"> hour for each certification</w:t>
      </w:r>
      <w:r>
        <w:t>.</w:t>
      </w:r>
    </w:p>
    <w:p w14:paraId="02572D67" w14:textId="61B51500" w:rsidR="007F6EA9" w:rsidRPr="001E3498" w:rsidRDefault="007F6EA9" w:rsidP="004366AF">
      <w:pPr>
        <w:pStyle w:val="Heading5"/>
      </w:pPr>
      <w:r w:rsidRPr="001E3498">
        <w:t xml:space="preserve">Pollution Prevention Alternative Certification (Pesticides Packaging </w:t>
      </w:r>
      <w:r w:rsidR="007358A3" w:rsidRPr="007358A3">
        <w:t>and</w:t>
      </w:r>
      <w:r w:rsidRPr="001E3498">
        <w:t xml:space="preserve"> Repackaging</w:t>
      </w:r>
      <w:r w:rsidR="005077DF">
        <w:t>)</w:t>
      </w:r>
    </w:p>
    <w:p w14:paraId="65756809" w14:textId="43C2EF7A" w:rsidR="007F6EA9" w:rsidRDefault="007F6EA9" w:rsidP="007F6EA9">
      <w:r>
        <w:rPr>
          <w:i/>
        </w:rPr>
        <w:t xml:space="preserve">Permittees. </w:t>
      </w:r>
      <w:r w:rsidR="00C136B2" w:rsidRPr="00ED080E">
        <w:t>The ELGs</w:t>
      </w:r>
      <w:r w:rsidR="00C136B2">
        <w:rPr>
          <w:i/>
        </w:rPr>
        <w:t xml:space="preserve"> </w:t>
      </w:r>
      <w:r w:rsidR="000357C1">
        <w:t xml:space="preserve">for the PFPR industry includes an option for a pollution prevention alternative discharge allowance. </w:t>
      </w:r>
      <w:r w:rsidR="00ED080E">
        <w:t>In accordance with 40 CFR 455.41, p</w:t>
      </w:r>
      <w:r w:rsidR="000357C1">
        <w:t xml:space="preserve">ermittees are required to provide certifications </w:t>
      </w:r>
      <w:r w:rsidR="00ED080E">
        <w:t>that the pollution prevention alternative is being implemented in the manner set forth in the permit</w:t>
      </w:r>
      <w:r w:rsidR="000357C1">
        <w:t xml:space="preserve">. </w:t>
      </w:r>
      <w:r>
        <w:t>The estimated time required</w:t>
      </w:r>
      <w:r w:rsidRPr="007055A5">
        <w:t xml:space="preserve"> per respondent for preparing pollution prevention alternative certifications </w:t>
      </w:r>
      <w:r>
        <w:t xml:space="preserve">for </w:t>
      </w:r>
      <w:r w:rsidRPr="004D7F6F">
        <w:t xml:space="preserve">pesticides formulating, packaging, and repackaging </w:t>
      </w:r>
      <w:r>
        <w:t xml:space="preserve">category facilities </w:t>
      </w:r>
      <w:r w:rsidRPr="007055A5">
        <w:t>is 20 hours and</w:t>
      </w:r>
      <w:r>
        <w:t xml:space="preserve"> occurs annually.</w:t>
      </w:r>
    </w:p>
    <w:p w14:paraId="59309F7E" w14:textId="7462AC25" w:rsidR="00D629CD" w:rsidRPr="00D629CD" w:rsidRDefault="00D629CD" w:rsidP="007F6EA9">
      <w:r w:rsidRPr="00E50BEE">
        <w:rPr>
          <w:i/>
        </w:rPr>
        <w:t>States</w:t>
      </w:r>
      <w:r w:rsidR="00C95663">
        <w:rPr>
          <w:i/>
        </w:rPr>
        <w:t>/federal</w:t>
      </w:r>
      <w:r w:rsidRPr="00E50BEE">
        <w:rPr>
          <w:i/>
        </w:rPr>
        <w:t xml:space="preserve">. </w:t>
      </w:r>
      <w:r w:rsidRPr="00E50BEE">
        <w:t>The estimated time required for state</w:t>
      </w:r>
      <w:r w:rsidR="00C95663" w:rsidRPr="00C95663">
        <w:t>/federal</w:t>
      </w:r>
      <w:r w:rsidRPr="00E50BEE">
        <w:t xml:space="preserve"> respondents to review and process certification documents is 1 hour for each certification</w:t>
      </w:r>
      <w:r>
        <w:t>.</w:t>
      </w:r>
    </w:p>
    <w:p w14:paraId="5FC28D00" w14:textId="77777777" w:rsidR="00F2144A" w:rsidRPr="00786C04" w:rsidRDefault="00F2144A" w:rsidP="004366AF">
      <w:pPr>
        <w:pStyle w:val="Heading5"/>
      </w:pPr>
      <w:r w:rsidRPr="00786C04">
        <w:t>BMP Development</w:t>
      </w:r>
    </w:p>
    <w:p w14:paraId="45A8134A" w14:textId="2C056892" w:rsidR="00F2144A" w:rsidRDefault="00F2144A" w:rsidP="00F2144A">
      <w:r>
        <w:rPr>
          <w:i/>
        </w:rPr>
        <w:t xml:space="preserve">Permittees. </w:t>
      </w:r>
      <w:r w:rsidR="002C724C">
        <w:t>NPDES permits for certain industrial facilities may require the development and implementation of BMP Plans</w:t>
      </w:r>
      <w:r w:rsidR="00947A64">
        <w:t>, which may include review and amendment of the BMP Plan as well as refresher training</w:t>
      </w:r>
      <w:r w:rsidR="002C724C">
        <w:t xml:space="preserve">. </w:t>
      </w:r>
      <w:r>
        <w:t>The estimated time required</w:t>
      </w:r>
      <w:r w:rsidRPr="00D10CF5">
        <w:t xml:space="preserve"> per respondent </w:t>
      </w:r>
      <w:r>
        <w:t xml:space="preserve">is 50 hours </w:t>
      </w:r>
      <w:r w:rsidRPr="00D10CF5">
        <w:t xml:space="preserve">for </w:t>
      </w:r>
      <w:r>
        <w:t>a</w:t>
      </w:r>
      <w:r w:rsidRPr="00D10CF5">
        <w:t xml:space="preserve">mendment and </w:t>
      </w:r>
      <w:r>
        <w:t>r</w:t>
      </w:r>
      <w:r w:rsidRPr="00D10CF5">
        <w:t>eview of BMP Plan</w:t>
      </w:r>
      <w:r>
        <w:t>s for certain industrial permits and 40 hours for associated refresher training. Recurrence is on an as-needed basis for the BMP plan and semi-annually for the training.</w:t>
      </w:r>
    </w:p>
    <w:p w14:paraId="73C38E06" w14:textId="77777777" w:rsidR="00F2144A" w:rsidRDefault="00F2144A" w:rsidP="00F2144A">
      <w:r w:rsidRPr="00B61CF2">
        <w:rPr>
          <w:i/>
        </w:rPr>
        <w:t>States.</w:t>
      </w:r>
      <w:r>
        <w:t xml:space="preserve"> </w:t>
      </w:r>
      <w:r w:rsidRPr="00D10CF5">
        <w:t xml:space="preserve">The </w:t>
      </w:r>
      <w:r>
        <w:t>estimated time required</w:t>
      </w:r>
      <w:r w:rsidRPr="00D10CF5">
        <w:t xml:space="preserve"> </w:t>
      </w:r>
      <w:r>
        <w:t xml:space="preserve">for </w:t>
      </w:r>
      <w:r w:rsidRPr="00D10CF5">
        <w:t>state respondent</w:t>
      </w:r>
      <w:r>
        <w:t>s for BMP plan review is 5 hours.</w:t>
      </w:r>
    </w:p>
    <w:p w14:paraId="1DFDA800" w14:textId="14EC04AA" w:rsidR="009C3AE3" w:rsidRDefault="009C3AE3" w:rsidP="00B101A0">
      <w:pPr>
        <w:pStyle w:val="Heading4"/>
      </w:pPr>
      <w:r>
        <w:t>A.1.2.7</w:t>
      </w:r>
      <w:r w:rsidR="00506C9B">
        <w:t>.</w:t>
      </w:r>
      <w:r>
        <w:t xml:space="preserve"> </w:t>
      </w:r>
      <w:r w:rsidRPr="009C3AE3">
        <w:t>Great Lakes</w:t>
      </w:r>
    </w:p>
    <w:p w14:paraId="06573BCA" w14:textId="56C8B0F1" w:rsidR="009C3AE3" w:rsidRDefault="009C3AE3" w:rsidP="009C3AE3">
      <w:r>
        <w:t xml:space="preserve">The activities in this category apply to NPDES </w:t>
      </w:r>
      <w:r w:rsidR="00124354">
        <w:t>permittees</w:t>
      </w:r>
      <w:r>
        <w:t xml:space="preserve"> that discharge within the Great Lake</w:t>
      </w:r>
      <w:r w:rsidR="00101E17">
        <w:t>s</w:t>
      </w:r>
      <w:r>
        <w:t xml:space="preserve"> watershed and </w:t>
      </w:r>
      <w:r w:rsidR="00AC6BF6">
        <w:t>are subject to</w:t>
      </w:r>
      <w:r>
        <w:t xml:space="preserve"> EPA’s Great Lakes</w:t>
      </w:r>
      <w:r w:rsidRPr="002F1ADA">
        <w:t xml:space="preserve"> Water Quality Guidance</w:t>
      </w:r>
      <w:r>
        <w:t xml:space="preserve">. </w:t>
      </w:r>
    </w:p>
    <w:p w14:paraId="34C129D4" w14:textId="7879BD20" w:rsidR="009C3AE3" w:rsidRDefault="009C3AE3" w:rsidP="009C3AE3">
      <w:r w:rsidRPr="00786C04">
        <w:rPr>
          <w:i/>
        </w:rPr>
        <w:t>Permittees</w:t>
      </w:r>
      <w:r>
        <w:t xml:space="preserve">. Activities </w:t>
      </w:r>
      <w:r w:rsidRPr="002F1ADA">
        <w:t>include</w:t>
      </w:r>
      <w:r>
        <w:t>:</w:t>
      </w:r>
    </w:p>
    <w:p w14:paraId="716E77DD" w14:textId="60A9011C" w:rsidR="009C3AE3" w:rsidRDefault="009C3AE3" w:rsidP="00EF1FFC">
      <w:pPr>
        <w:pStyle w:val="ListParagraph"/>
        <w:numPr>
          <w:ilvl w:val="0"/>
          <w:numId w:val="16"/>
        </w:numPr>
      </w:pPr>
      <w:r w:rsidRPr="00000AF0">
        <w:t>Great Lakes Antidegradation Demonstration</w:t>
      </w:r>
      <w:r>
        <w:t xml:space="preserve"> with </w:t>
      </w:r>
      <w:r w:rsidR="00124354">
        <w:t>bioaccumulative chemicals of concern (</w:t>
      </w:r>
      <w:r>
        <w:t>BCCs</w:t>
      </w:r>
      <w:r w:rsidR="00124354">
        <w:t>)</w:t>
      </w:r>
      <w:r>
        <w:t>.</w:t>
      </w:r>
      <w:r>
        <w:rPr>
          <w:rStyle w:val="FootnoteReference"/>
        </w:rPr>
        <w:footnoteReference w:id="3"/>
      </w:r>
      <w:r>
        <w:t xml:space="preserve"> The estimated burden is 22.2 hours</w:t>
      </w:r>
      <w:r w:rsidRPr="004A098B">
        <w:t xml:space="preserve"> </w:t>
      </w:r>
      <w:r>
        <w:t xml:space="preserve">and 11.1 </w:t>
      </w:r>
      <w:r w:rsidRPr="004A098B">
        <w:t>hours for municipal and nonmunicipal permits, respectively</w:t>
      </w:r>
      <w:r>
        <w:t>.</w:t>
      </w:r>
    </w:p>
    <w:p w14:paraId="35F94EEC" w14:textId="77777777" w:rsidR="009C3AE3" w:rsidRDefault="009C3AE3" w:rsidP="00EF1FFC">
      <w:pPr>
        <w:pStyle w:val="ListParagraph"/>
        <w:numPr>
          <w:ilvl w:val="0"/>
          <w:numId w:val="16"/>
        </w:numPr>
      </w:pPr>
      <w:r w:rsidRPr="004A098B">
        <w:t>Great Lakes Antidegradation Demonstration with</w:t>
      </w:r>
      <w:r>
        <w:t>out</w:t>
      </w:r>
      <w:r w:rsidRPr="004A098B">
        <w:t xml:space="preserve"> BCCs. The estimated burden is </w:t>
      </w:r>
      <w:r>
        <w:t xml:space="preserve">14.8 </w:t>
      </w:r>
      <w:r w:rsidRPr="004A098B">
        <w:t>hours</w:t>
      </w:r>
      <w:r>
        <w:t xml:space="preserve"> and 7.4</w:t>
      </w:r>
      <w:r w:rsidRPr="004A098B">
        <w:t xml:space="preserve"> hours for municipal and nonmunicipal permits, respectively</w:t>
      </w:r>
      <w:r>
        <w:t>.</w:t>
      </w:r>
    </w:p>
    <w:p w14:paraId="38559478" w14:textId="2092E02D" w:rsidR="009C3AE3" w:rsidRDefault="009C3AE3" w:rsidP="00EF1FFC">
      <w:pPr>
        <w:pStyle w:val="ListParagraph"/>
        <w:numPr>
          <w:ilvl w:val="0"/>
          <w:numId w:val="16"/>
        </w:numPr>
      </w:pPr>
      <w:r>
        <w:t xml:space="preserve">Great Lakes </w:t>
      </w:r>
      <w:r w:rsidR="00124354">
        <w:t>pollutant minimization plan (</w:t>
      </w:r>
      <w:r>
        <w:t>PMP</w:t>
      </w:r>
      <w:r w:rsidR="00124354">
        <w:t>)</w:t>
      </w:r>
      <w:r>
        <w:t xml:space="preserve"> Implementation</w:t>
      </w:r>
      <w:r w:rsidRPr="004A098B">
        <w:t xml:space="preserve">. The estimated burden is </w:t>
      </w:r>
      <w:r>
        <w:t xml:space="preserve">1.2 </w:t>
      </w:r>
      <w:r w:rsidRPr="004A098B">
        <w:t>hours</w:t>
      </w:r>
      <w:r>
        <w:t xml:space="preserve"> and 1.4</w:t>
      </w:r>
      <w:r w:rsidRPr="004A098B">
        <w:t xml:space="preserve"> hours for municipal and nonmunicipal permits, respectively.</w:t>
      </w:r>
    </w:p>
    <w:p w14:paraId="462D862D" w14:textId="77777777" w:rsidR="009C3AE3" w:rsidRDefault="009C3AE3" w:rsidP="00EF1FFC">
      <w:pPr>
        <w:pStyle w:val="ListParagraph"/>
        <w:numPr>
          <w:ilvl w:val="0"/>
          <w:numId w:val="16"/>
        </w:numPr>
      </w:pPr>
      <w:r>
        <w:t>Great Lakes Approvable Strategy</w:t>
      </w:r>
      <w:r w:rsidRPr="004A098B">
        <w:t xml:space="preserve">. The estimated burden is </w:t>
      </w:r>
      <w:r>
        <w:t xml:space="preserve">104 </w:t>
      </w:r>
      <w:r w:rsidRPr="004A098B">
        <w:t xml:space="preserve">hours </w:t>
      </w:r>
      <w:r>
        <w:t xml:space="preserve">and 142 </w:t>
      </w:r>
      <w:r w:rsidRPr="004A098B">
        <w:t>hours for municipal and nonmunicipal permits, respectively.</w:t>
      </w:r>
    </w:p>
    <w:p w14:paraId="5B814A3B" w14:textId="77777777" w:rsidR="009C3AE3" w:rsidRDefault="009C3AE3" w:rsidP="00EF1FFC">
      <w:pPr>
        <w:pStyle w:val="ListParagraph"/>
        <w:numPr>
          <w:ilvl w:val="0"/>
          <w:numId w:val="16"/>
        </w:numPr>
      </w:pPr>
      <w:r>
        <w:t>Great Lakes Annual Report</w:t>
      </w:r>
      <w:r w:rsidRPr="004A098B">
        <w:t xml:space="preserve">. The estimated burden is </w:t>
      </w:r>
      <w:r>
        <w:t xml:space="preserve">20.9 hours and 32.4 </w:t>
      </w:r>
      <w:r w:rsidRPr="004A098B">
        <w:t>hours</w:t>
      </w:r>
      <w:r>
        <w:t xml:space="preserve"> for municipal and nonmunicipal permits, respectively</w:t>
      </w:r>
      <w:r w:rsidRPr="004A098B">
        <w:t>.</w:t>
      </w:r>
    </w:p>
    <w:p w14:paraId="0A09AA21" w14:textId="672BDC30" w:rsidR="009C3AE3" w:rsidRDefault="009C3AE3" w:rsidP="00EF1FFC">
      <w:pPr>
        <w:pStyle w:val="ListParagraph"/>
        <w:numPr>
          <w:ilvl w:val="0"/>
          <w:numId w:val="16"/>
        </w:numPr>
      </w:pPr>
      <w:r>
        <w:t>Great Lakes Bioconcentration Studies</w:t>
      </w:r>
      <w:r w:rsidRPr="004A098B">
        <w:t xml:space="preserve">. The estimated burden is </w:t>
      </w:r>
      <w:r>
        <w:t xml:space="preserve">73 </w:t>
      </w:r>
      <w:r w:rsidRPr="004A098B">
        <w:t>hours</w:t>
      </w:r>
      <w:r w:rsidR="00AC6BF6">
        <w:t>.</w:t>
      </w:r>
    </w:p>
    <w:p w14:paraId="2FD06EA9" w14:textId="77777777" w:rsidR="009C3AE3" w:rsidRDefault="009C3AE3" w:rsidP="00EF1FFC">
      <w:pPr>
        <w:pStyle w:val="ListParagraph"/>
        <w:numPr>
          <w:ilvl w:val="0"/>
          <w:numId w:val="16"/>
        </w:numPr>
      </w:pPr>
      <w:r>
        <w:t>Great Lakes Collecting Data and Monitoring for WET Limits</w:t>
      </w:r>
      <w:r w:rsidRPr="004A098B">
        <w:t xml:space="preserve">. The estimated burden is </w:t>
      </w:r>
      <w:r>
        <w:t xml:space="preserve">10,877 </w:t>
      </w:r>
      <w:r w:rsidRPr="004A098B">
        <w:t xml:space="preserve">hours </w:t>
      </w:r>
      <w:r>
        <w:t xml:space="preserve">total and 6,841 </w:t>
      </w:r>
      <w:r w:rsidRPr="004A098B">
        <w:t xml:space="preserve">hours </w:t>
      </w:r>
      <w:r>
        <w:t xml:space="preserve">total </w:t>
      </w:r>
      <w:r w:rsidRPr="004A098B">
        <w:t xml:space="preserve">for </w:t>
      </w:r>
      <w:r>
        <w:t xml:space="preserve">all </w:t>
      </w:r>
      <w:r w:rsidRPr="004A098B">
        <w:t>municipal and nonmunicipal permits, respectively.</w:t>
      </w:r>
    </w:p>
    <w:p w14:paraId="6A32057C" w14:textId="77777777" w:rsidR="009C3AE3" w:rsidRDefault="009C3AE3" w:rsidP="00EF1FFC">
      <w:pPr>
        <w:pStyle w:val="ListParagraph"/>
        <w:numPr>
          <w:ilvl w:val="0"/>
          <w:numId w:val="16"/>
        </w:numPr>
      </w:pPr>
      <w:r>
        <w:t>Great Lakes WQBEL Compliance Monitoring</w:t>
      </w:r>
      <w:r w:rsidRPr="004A098B">
        <w:t xml:space="preserve">. The estimated burden is </w:t>
      </w:r>
      <w:r>
        <w:t xml:space="preserve">0.5 </w:t>
      </w:r>
      <w:r w:rsidRPr="004A098B">
        <w:t>hours.</w:t>
      </w:r>
    </w:p>
    <w:p w14:paraId="2DC74C64" w14:textId="352F882A" w:rsidR="009C3AE3" w:rsidRDefault="009C3AE3" w:rsidP="009C3AE3">
      <w:r>
        <w:t>Frequency ranges from ongoing for PMP implementation to annually for monitoring and strategies/studies/reports to once every 5 years for antidegradation demonstrations.</w:t>
      </w:r>
    </w:p>
    <w:p w14:paraId="5D823930" w14:textId="77777777" w:rsidR="009C3AE3" w:rsidRDefault="009C3AE3" w:rsidP="009C3AE3">
      <w:r w:rsidRPr="00B61CF2">
        <w:rPr>
          <w:i/>
        </w:rPr>
        <w:t>States.</w:t>
      </w:r>
      <w:r>
        <w:t xml:space="preserve"> </w:t>
      </w:r>
      <w:r w:rsidRPr="00F57F0A">
        <w:t xml:space="preserve">The </w:t>
      </w:r>
      <w:r>
        <w:t>burden applies only to the 7 Great Lake states and the estimated time required</w:t>
      </w:r>
      <w:r w:rsidRPr="001B284D">
        <w:t xml:space="preserve"> per state respondent</w:t>
      </w:r>
      <w:r>
        <w:t xml:space="preserve"> ranges from 4 to 8 hours for each item.</w:t>
      </w:r>
    </w:p>
    <w:p w14:paraId="22CDE9D1" w14:textId="1D3F0BB3" w:rsidR="00C6520E" w:rsidRDefault="00C6520E" w:rsidP="00B101A0">
      <w:pPr>
        <w:pStyle w:val="Heading3"/>
      </w:pPr>
      <w:bookmarkStart w:id="36" w:name="_Toc510451636"/>
      <w:r>
        <w:t>A.1.3</w:t>
      </w:r>
      <w:r w:rsidR="00863F96">
        <w:t>.</w:t>
      </w:r>
      <w:r w:rsidR="00DE1B27">
        <w:tab/>
      </w:r>
      <w:r w:rsidRPr="0048771B">
        <w:t>National Pretreatment Program</w:t>
      </w:r>
      <w:bookmarkEnd w:id="36"/>
    </w:p>
    <w:p w14:paraId="50679AE3" w14:textId="70E256F4" w:rsidR="00D316EF" w:rsidRDefault="00C6520E" w:rsidP="00C6520E">
      <w:r w:rsidRPr="00F732C1">
        <w:t xml:space="preserve">The activities in this category </w:t>
      </w:r>
      <w:r w:rsidR="00A60B49">
        <w:t>are</w:t>
      </w:r>
      <w:r w:rsidRPr="00F732C1">
        <w:t xml:space="preserve"> related to</w:t>
      </w:r>
      <w:r>
        <w:t xml:space="preserve"> the administration of the pretreatment program </w:t>
      </w:r>
      <w:r w:rsidRPr="008130D0">
        <w:t>included in the</w:t>
      </w:r>
      <w:r>
        <w:t xml:space="preserve"> </w:t>
      </w:r>
      <w:r w:rsidRPr="008130D0">
        <w:t xml:space="preserve">National Pretreatment Program </w:t>
      </w:r>
      <w:r>
        <w:t xml:space="preserve">ICR Supporting Statement </w:t>
      </w:r>
      <w:r w:rsidRPr="008130D0">
        <w:t xml:space="preserve">(OMB </w:t>
      </w:r>
      <w:r w:rsidR="00437796">
        <w:t>control no.</w:t>
      </w:r>
      <w:r w:rsidRPr="008130D0">
        <w:t xml:space="preserve"> 2040-0009; EPA ICR </w:t>
      </w:r>
      <w:r w:rsidR="000106BF">
        <w:t>no.</w:t>
      </w:r>
      <w:r w:rsidR="000106BF" w:rsidRPr="008130D0">
        <w:t xml:space="preserve"> </w:t>
      </w:r>
      <w:r w:rsidRPr="008130D0">
        <w:t>0002.15</w:t>
      </w:r>
      <w:r w:rsidR="00A60B49">
        <w:t>)</w:t>
      </w:r>
      <w:r>
        <w:t xml:space="preserve">. </w:t>
      </w:r>
      <w:r w:rsidRPr="008F47C9">
        <w:t xml:space="preserve">All activities were </w:t>
      </w:r>
      <w:r>
        <w:t>grouped</w:t>
      </w:r>
      <w:r w:rsidRPr="008F47C9">
        <w:t xml:space="preserve"> and allocated on the basis of the type of respondent. Below is a list of the possible types of </w:t>
      </w:r>
      <w:r>
        <w:t>input variables:</w:t>
      </w:r>
    </w:p>
    <w:p w14:paraId="353AE40D" w14:textId="1075F238" w:rsidR="00C6520E" w:rsidRDefault="00C6520E" w:rsidP="00EF1FFC">
      <w:pPr>
        <w:pStyle w:val="ListParagraph"/>
        <w:numPr>
          <w:ilvl w:val="0"/>
          <w:numId w:val="35"/>
        </w:numPr>
      </w:pPr>
      <w:r>
        <w:t xml:space="preserve">Total </w:t>
      </w:r>
      <w:r w:rsidR="00EE120D">
        <w:t>n</w:t>
      </w:r>
      <w:r>
        <w:t>umber of SIUs</w:t>
      </w:r>
      <w:r w:rsidR="00AC6BF6">
        <w:t>;</w:t>
      </w:r>
    </w:p>
    <w:p w14:paraId="2F4BA881" w14:textId="17DA0E56" w:rsidR="00C6520E" w:rsidRDefault="00C6520E" w:rsidP="00EF1FFC">
      <w:pPr>
        <w:pStyle w:val="ListParagraph"/>
        <w:numPr>
          <w:ilvl w:val="0"/>
          <w:numId w:val="29"/>
        </w:numPr>
      </w:pPr>
      <w:r>
        <w:t xml:space="preserve">Total </w:t>
      </w:r>
      <w:r w:rsidR="00EE120D">
        <w:t>n</w:t>
      </w:r>
      <w:r>
        <w:t>umber of CIUs</w:t>
      </w:r>
      <w:r w:rsidR="00AC6BF6">
        <w:t>;</w:t>
      </w:r>
    </w:p>
    <w:p w14:paraId="048C3848" w14:textId="7637C7C3" w:rsidR="00C6520E" w:rsidRDefault="00C6520E" w:rsidP="00EF1FFC">
      <w:pPr>
        <w:pStyle w:val="ListParagraph"/>
        <w:numPr>
          <w:ilvl w:val="0"/>
          <w:numId w:val="29"/>
        </w:numPr>
      </w:pPr>
      <w:r>
        <w:t xml:space="preserve">Total </w:t>
      </w:r>
      <w:r w:rsidR="00EE120D">
        <w:t>n</w:t>
      </w:r>
      <w:r>
        <w:t xml:space="preserve">umber of </w:t>
      </w:r>
      <w:r w:rsidR="00EE120D">
        <w:t>a</w:t>
      </w:r>
      <w:r>
        <w:t xml:space="preserve">pproved </w:t>
      </w:r>
      <w:r w:rsidR="00EE120D">
        <w:t>p</w:t>
      </w:r>
      <w:r>
        <w:t xml:space="preserve">retreatment </w:t>
      </w:r>
      <w:r w:rsidR="00EE120D">
        <w:t>p</w:t>
      </w:r>
      <w:r>
        <w:t>rograms</w:t>
      </w:r>
      <w:r w:rsidR="00AC6BF6">
        <w:t>;</w:t>
      </w:r>
    </w:p>
    <w:p w14:paraId="1257C65A" w14:textId="363B2FA0" w:rsidR="00C6520E" w:rsidRDefault="00C6520E" w:rsidP="00EF1FFC">
      <w:pPr>
        <w:pStyle w:val="ListParagraph"/>
        <w:numPr>
          <w:ilvl w:val="0"/>
          <w:numId w:val="29"/>
        </w:numPr>
      </w:pPr>
      <w:r>
        <w:t xml:space="preserve">Number of </w:t>
      </w:r>
      <w:r w:rsidR="00EE120D">
        <w:t>a</w:t>
      </w:r>
      <w:r>
        <w:t xml:space="preserve">pproved </w:t>
      </w:r>
      <w:r w:rsidR="00EE120D">
        <w:t>s</w:t>
      </w:r>
      <w:r>
        <w:t>tates</w:t>
      </w:r>
      <w:r w:rsidR="00AC6BF6">
        <w:t>; and</w:t>
      </w:r>
    </w:p>
    <w:p w14:paraId="4C6113E8" w14:textId="621DD654" w:rsidR="00C6520E" w:rsidRDefault="00C6520E" w:rsidP="00EF1FFC">
      <w:pPr>
        <w:pStyle w:val="ListParagraph"/>
        <w:numPr>
          <w:ilvl w:val="0"/>
          <w:numId w:val="29"/>
        </w:numPr>
      </w:pPr>
      <w:r>
        <w:t xml:space="preserve">Estimated </w:t>
      </w:r>
      <w:r w:rsidR="00EE120D">
        <w:t>n</w:t>
      </w:r>
      <w:r>
        <w:t xml:space="preserve">umber of </w:t>
      </w:r>
      <w:r w:rsidR="00EE120D">
        <w:t>n</w:t>
      </w:r>
      <w:r>
        <w:t xml:space="preserve">ew </w:t>
      </w:r>
      <w:r w:rsidR="00EE120D">
        <w:t>p</w:t>
      </w:r>
      <w:r>
        <w:t xml:space="preserve">retreatment </w:t>
      </w:r>
      <w:r w:rsidR="00EE120D">
        <w:t>p</w:t>
      </w:r>
      <w:r>
        <w:t xml:space="preserve">rograms over the </w:t>
      </w:r>
      <w:r w:rsidR="00EE120D">
        <w:t>n</w:t>
      </w:r>
      <w:r>
        <w:t xml:space="preserve">ext </w:t>
      </w:r>
      <w:r w:rsidR="00EE120D">
        <w:t>t</w:t>
      </w:r>
      <w:r>
        <w:t xml:space="preserve">hree </w:t>
      </w:r>
      <w:r w:rsidR="00EE120D">
        <w:t>y</w:t>
      </w:r>
      <w:r>
        <w:t>ears</w:t>
      </w:r>
      <w:r w:rsidR="00AC6BF6">
        <w:t>.</w:t>
      </w:r>
    </w:p>
    <w:p w14:paraId="31ADDD31" w14:textId="7D899656" w:rsidR="00D316EF" w:rsidRDefault="00C6520E" w:rsidP="00C6520E">
      <w:r>
        <w:t>B</w:t>
      </w:r>
      <w:r w:rsidRPr="003573E0">
        <w:t xml:space="preserve">urden estimates for each respondent type in the </w:t>
      </w:r>
      <w:r w:rsidR="00A60B49">
        <w:t xml:space="preserve">Pretreatment </w:t>
      </w:r>
      <w:r w:rsidRPr="003573E0">
        <w:t>ICR</w:t>
      </w:r>
      <w:r>
        <w:t xml:space="preserve"> </w:t>
      </w:r>
      <w:r w:rsidRPr="003573E0">
        <w:t xml:space="preserve">were </w:t>
      </w:r>
      <w:r>
        <w:t>u</w:t>
      </w:r>
      <w:r w:rsidRPr="003573E0">
        <w:t>pdated using the current estimate of the number of each respondent type listed above</w:t>
      </w:r>
      <w:r>
        <w:t xml:space="preserve"> (see Appendix D)</w:t>
      </w:r>
      <w:r w:rsidRPr="008F47C9">
        <w:t xml:space="preserve">. </w:t>
      </w:r>
      <w:r>
        <w:t>Historically</w:t>
      </w:r>
      <w:r w:rsidR="00AC6BF6">
        <w:t>,</w:t>
      </w:r>
      <w:r>
        <w:t xml:space="preserve"> ICIS has been a poor source of information regarding respondent numbers related to the pretreatment program. Consequently</w:t>
      </w:r>
      <w:r w:rsidR="00737190">
        <w:t>,</w:t>
      </w:r>
      <w:r>
        <w:t xml:space="preserve"> the updated estimates were verified through consultation </w:t>
      </w:r>
      <w:r w:rsidRPr="00C461EB">
        <w:t xml:space="preserve">with the Regional and State pretreatment coordinators. </w:t>
      </w:r>
      <w:r w:rsidRPr="008F47C9">
        <w:t xml:space="preserve">There </w:t>
      </w:r>
      <w:r w:rsidR="00AC6BF6">
        <w:t>a</w:t>
      </w:r>
      <w:r w:rsidR="00AC6BF6" w:rsidRPr="008F47C9">
        <w:t xml:space="preserve">re </w:t>
      </w:r>
      <w:r w:rsidRPr="008F47C9">
        <w:t>no capital or start-up costs.</w:t>
      </w:r>
      <w:r w:rsidRPr="00D6469F">
        <w:t xml:space="preserve"> </w:t>
      </w:r>
      <w:r>
        <w:t>B</w:t>
      </w:r>
      <w:r w:rsidRPr="00627C20">
        <w:t xml:space="preserve">urden estimates </w:t>
      </w:r>
      <w:r>
        <w:t>for POTWs, IUs</w:t>
      </w:r>
      <w:r w:rsidR="00E75860">
        <w:t>,</w:t>
      </w:r>
      <w:r>
        <w:t xml:space="preserve"> </w:t>
      </w:r>
      <w:r w:rsidR="00E75860">
        <w:t>s</w:t>
      </w:r>
      <w:r>
        <w:t>tate</w:t>
      </w:r>
      <w:r w:rsidR="00E75860">
        <w:t>, and federal government</w:t>
      </w:r>
      <w:r>
        <w:t xml:space="preserve"> are associated with</w:t>
      </w:r>
      <w:r w:rsidR="00A60B49">
        <w:t xml:space="preserve"> </w:t>
      </w:r>
      <w:r>
        <w:t xml:space="preserve">the following </w:t>
      </w:r>
      <w:r w:rsidRPr="00627C20">
        <w:t xml:space="preserve">types of activities related to the </w:t>
      </w:r>
      <w:r>
        <w:t>Pretreatment</w:t>
      </w:r>
      <w:r w:rsidRPr="00627C20">
        <w:t xml:space="preserve"> </w:t>
      </w:r>
      <w:r>
        <w:t>P</w:t>
      </w:r>
      <w:r w:rsidRPr="00627C20">
        <w:t>rogram:</w:t>
      </w:r>
    </w:p>
    <w:p w14:paraId="5E1246AE" w14:textId="25148AEF" w:rsidR="00C6520E" w:rsidRDefault="00C6520E" w:rsidP="00EF1FFC">
      <w:pPr>
        <w:pStyle w:val="ListParagraph"/>
        <w:numPr>
          <w:ilvl w:val="0"/>
          <w:numId w:val="30"/>
        </w:numPr>
      </w:pPr>
      <w:r w:rsidRPr="00627C20">
        <w:t xml:space="preserve">Program </w:t>
      </w:r>
      <w:r w:rsidR="00EE120D">
        <w:t>d</w:t>
      </w:r>
      <w:r w:rsidRPr="00627C20">
        <w:t>evelopment</w:t>
      </w:r>
      <w:r>
        <w:t xml:space="preserve"> (POTW</w:t>
      </w:r>
      <w:r w:rsidR="00A60B49">
        <w:t>s</w:t>
      </w:r>
      <w:r>
        <w:t xml:space="preserve"> and </w:t>
      </w:r>
      <w:r w:rsidR="008A7EBE">
        <w:t>s</w:t>
      </w:r>
      <w:r>
        <w:t>tate</w:t>
      </w:r>
      <w:r w:rsidR="00E75860">
        <w:t>/federal</w:t>
      </w:r>
      <w:r>
        <w:t>)</w:t>
      </w:r>
      <w:r w:rsidR="00AC6BF6">
        <w:t>;</w:t>
      </w:r>
    </w:p>
    <w:p w14:paraId="7E2E6310" w14:textId="0165E0AC" w:rsidR="00C6520E" w:rsidRDefault="00C6520E" w:rsidP="00EF1FFC">
      <w:pPr>
        <w:pStyle w:val="ListParagraph"/>
        <w:numPr>
          <w:ilvl w:val="0"/>
          <w:numId w:val="30"/>
        </w:numPr>
      </w:pPr>
      <w:r w:rsidRPr="00627C20">
        <w:t xml:space="preserve">Program </w:t>
      </w:r>
      <w:r w:rsidR="00EE120D">
        <w:t>i</w:t>
      </w:r>
      <w:r w:rsidRPr="00627C20">
        <w:t>mplementation</w:t>
      </w:r>
      <w:r>
        <w:t xml:space="preserve"> (POTWs, IUs and </w:t>
      </w:r>
      <w:r w:rsidR="008A7EBE">
        <w:t>s</w:t>
      </w:r>
      <w:r>
        <w:t>tate</w:t>
      </w:r>
      <w:r w:rsidR="00E75860">
        <w:t>/federal</w:t>
      </w:r>
      <w:r>
        <w:t>)</w:t>
      </w:r>
      <w:r w:rsidR="00AC6BF6">
        <w:t>;</w:t>
      </w:r>
    </w:p>
    <w:p w14:paraId="549B658E" w14:textId="076300A1" w:rsidR="00C6520E" w:rsidRDefault="003D04FB" w:rsidP="00EF1FFC">
      <w:pPr>
        <w:pStyle w:val="ListParagraph"/>
        <w:numPr>
          <w:ilvl w:val="0"/>
          <w:numId w:val="30"/>
        </w:numPr>
      </w:pPr>
      <w:r>
        <w:t>Limits m</w:t>
      </w:r>
      <w:r w:rsidR="00D751EF">
        <w:t xml:space="preserve">odification </w:t>
      </w:r>
      <w:r>
        <w:t>r</w:t>
      </w:r>
      <w:r w:rsidR="00D751EF">
        <w:t xml:space="preserve">equests and </w:t>
      </w:r>
      <w:r>
        <w:t>r</w:t>
      </w:r>
      <w:r w:rsidR="009C77F7">
        <w:t>emoval credits</w:t>
      </w:r>
      <w:r w:rsidR="00C6520E">
        <w:t xml:space="preserve"> </w:t>
      </w:r>
      <w:r w:rsidR="00C6520E" w:rsidRPr="00E1183D">
        <w:t>(POTWs</w:t>
      </w:r>
      <w:r w:rsidR="00D751EF">
        <w:t xml:space="preserve"> and</w:t>
      </w:r>
      <w:r w:rsidR="00C6520E" w:rsidRPr="00E1183D">
        <w:t xml:space="preserve"> IUs)</w:t>
      </w:r>
      <w:r w:rsidR="00AC6BF6">
        <w:t>;</w:t>
      </w:r>
    </w:p>
    <w:p w14:paraId="6893E574" w14:textId="1EB4A912" w:rsidR="00C6520E" w:rsidRDefault="00C6520E" w:rsidP="00EF1FFC">
      <w:pPr>
        <w:pStyle w:val="ListParagraph"/>
        <w:numPr>
          <w:ilvl w:val="0"/>
          <w:numId w:val="30"/>
        </w:numPr>
      </w:pPr>
      <w:r w:rsidRPr="00627C20">
        <w:t xml:space="preserve">POTWs as </w:t>
      </w:r>
      <w:r w:rsidR="008A7EBE">
        <w:t>u</w:t>
      </w:r>
      <w:r w:rsidRPr="00627C20">
        <w:t xml:space="preserve">sers of the </w:t>
      </w:r>
      <w:r w:rsidR="008A7EBE">
        <w:t>d</w:t>
      </w:r>
      <w:r w:rsidRPr="00627C20">
        <w:t>ata</w:t>
      </w:r>
      <w:r>
        <w:t xml:space="preserve"> (POTWs)</w:t>
      </w:r>
      <w:r w:rsidR="00AC6BF6">
        <w:t>;</w:t>
      </w:r>
    </w:p>
    <w:p w14:paraId="1E6F4DB0" w14:textId="590D3078" w:rsidR="00C6520E" w:rsidRDefault="00C6520E" w:rsidP="00EF1FFC">
      <w:pPr>
        <w:pStyle w:val="ListParagraph"/>
        <w:numPr>
          <w:ilvl w:val="0"/>
          <w:numId w:val="30"/>
        </w:numPr>
      </w:pPr>
      <w:r w:rsidRPr="00627C20">
        <w:t>Recordkeeping</w:t>
      </w:r>
      <w:r>
        <w:t xml:space="preserve"> </w:t>
      </w:r>
      <w:r w:rsidRPr="00E1183D">
        <w:t>(POTWs, IUs</w:t>
      </w:r>
      <w:r>
        <w:t xml:space="preserve"> and</w:t>
      </w:r>
      <w:r w:rsidRPr="00E1183D">
        <w:t xml:space="preserve"> </w:t>
      </w:r>
      <w:r w:rsidR="008A7EBE">
        <w:t>s</w:t>
      </w:r>
      <w:r w:rsidRPr="00E1183D">
        <w:t>tates)</w:t>
      </w:r>
      <w:r w:rsidR="00AC6BF6">
        <w:t>;</w:t>
      </w:r>
    </w:p>
    <w:p w14:paraId="2F04133C" w14:textId="3A191CFF" w:rsidR="00C6520E" w:rsidRDefault="00C6520E" w:rsidP="00EF1FFC">
      <w:pPr>
        <w:pStyle w:val="ListParagraph"/>
        <w:numPr>
          <w:ilvl w:val="0"/>
          <w:numId w:val="32"/>
        </w:numPr>
      </w:pPr>
      <w:r w:rsidRPr="00E1183D">
        <w:t xml:space="preserve">States as </w:t>
      </w:r>
      <w:r w:rsidR="008A7EBE">
        <w:t>u</w:t>
      </w:r>
      <w:r w:rsidRPr="00E1183D">
        <w:t xml:space="preserve">sers of the </w:t>
      </w:r>
      <w:r w:rsidR="008A7EBE">
        <w:t>d</w:t>
      </w:r>
      <w:r w:rsidRPr="00E1183D">
        <w:t>ata</w:t>
      </w:r>
      <w:r w:rsidR="00AC6BF6">
        <w:t>; and</w:t>
      </w:r>
    </w:p>
    <w:p w14:paraId="4A62A469" w14:textId="41061D96" w:rsidR="00C6520E" w:rsidRDefault="00C6520E" w:rsidP="00EF1FFC">
      <w:pPr>
        <w:pStyle w:val="ListParagraph"/>
        <w:numPr>
          <w:ilvl w:val="0"/>
          <w:numId w:val="32"/>
        </w:numPr>
      </w:pPr>
      <w:r w:rsidRPr="00E1183D">
        <w:t>Recordkeeping</w:t>
      </w:r>
      <w:r w:rsidR="00AC6BF6">
        <w:t>.</w:t>
      </w:r>
    </w:p>
    <w:p w14:paraId="310DA5D1" w14:textId="09776DA5" w:rsidR="00C6520E" w:rsidRDefault="00A24675" w:rsidP="00C6520E">
      <w:r w:rsidRPr="00786C04">
        <w:rPr>
          <w:i/>
        </w:rPr>
        <w:t xml:space="preserve">Industrial Users. </w:t>
      </w:r>
      <w:r w:rsidR="00D629CD">
        <w:t>The u</w:t>
      </w:r>
      <w:r w:rsidR="00D629CD" w:rsidRPr="00E50BEE">
        <w:t xml:space="preserve">nderlying assumptions regarding burden estimates </w:t>
      </w:r>
      <w:r w:rsidR="00D629CD">
        <w:t xml:space="preserve">for industrial users </w:t>
      </w:r>
      <w:r w:rsidR="00D629CD" w:rsidRPr="00E50BEE">
        <w:t>are summarized in Table A.1</w:t>
      </w:r>
      <w:r w:rsidR="00737190">
        <w:t>.</w:t>
      </w:r>
      <w:r w:rsidR="00A80F93">
        <w:t xml:space="preserve"> Certain industrial user activities are presented as percentages to reflect that they are projections, based on the industrial user universe. In some cases, values are based on </w:t>
      </w:r>
      <w:r w:rsidR="00A80F93" w:rsidRPr="004B15F7">
        <w:t>estimates</w:t>
      </w:r>
      <w:r w:rsidR="00A80F93">
        <w:t xml:space="preserve"> that EPA developed</w:t>
      </w:r>
      <w:r w:rsidR="00A80F93" w:rsidRPr="004B15F7">
        <w:t xml:space="preserve"> for a previous ICR</w:t>
      </w:r>
      <w:r w:rsidR="00A80F93">
        <w:t>; values were not r</w:t>
      </w:r>
      <w:r w:rsidR="00A80F93" w:rsidRPr="004B15F7">
        <w:t>ecalculate</w:t>
      </w:r>
      <w:r w:rsidR="00A80F93">
        <w:t>d</w:t>
      </w:r>
      <w:r w:rsidR="00A80F93" w:rsidRPr="004B15F7">
        <w:t xml:space="preserve"> as there is no </w:t>
      </w:r>
      <w:r w:rsidR="00A80F93">
        <w:t xml:space="preserve">readily available source or </w:t>
      </w:r>
      <w:r w:rsidR="00A80F93" w:rsidRPr="004B15F7">
        <w:t xml:space="preserve">indication </w:t>
      </w:r>
      <w:r w:rsidR="00A80F93">
        <w:t xml:space="preserve">that </w:t>
      </w:r>
      <w:r w:rsidR="00A80F93" w:rsidRPr="004B15F7">
        <w:t>these assumptions are incorrect or require revision</w:t>
      </w:r>
      <w:r w:rsidR="00A80F93">
        <w:t>.</w:t>
      </w:r>
    </w:p>
    <w:p w14:paraId="739F139F" w14:textId="5C20423C" w:rsidR="00C6520E" w:rsidRDefault="00352E6F" w:rsidP="00871F94">
      <w:pPr>
        <w:pStyle w:val="Caption"/>
      </w:pPr>
      <w:r>
        <w:t>Table A.1</w:t>
      </w:r>
      <w:r w:rsidR="00C6520E">
        <w:t xml:space="preserve"> Summary of </w:t>
      </w:r>
      <w:r w:rsidR="00E02336">
        <w:t>B</w:t>
      </w:r>
      <w:r w:rsidR="00C6520E">
        <w:t xml:space="preserve">urden </w:t>
      </w:r>
      <w:r w:rsidR="00E02336">
        <w:t>A</w:t>
      </w:r>
      <w:r w:rsidR="00C6520E">
        <w:t>ssumption</w:t>
      </w:r>
      <w:r w:rsidR="00E02336">
        <w:t>s</w:t>
      </w:r>
      <w:r w:rsidR="00C6520E">
        <w:t xml:space="preserve"> </w:t>
      </w:r>
      <w:r w:rsidR="00E02336">
        <w:t>R</w:t>
      </w:r>
      <w:r w:rsidR="00C6520E">
        <w:t xml:space="preserve">elated to </w:t>
      </w:r>
      <w:r w:rsidR="00E02336">
        <w:t>I</w:t>
      </w:r>
      <w:r w:rsidR="00C6520E">
        <w:t xml:space="preserve">ndustrial </w:t>
      </w:r>
      <w:r w:rsidR="00E02336">
        <w:t>U</w:t>
      </w:r>
      <w:r w:rsidR="00C6520E">
        <w:t>sers</w:t>
      </w:r>
    </w:p>
    <w:tbl>
      <w:tblPr>
        <w:tblStyle w:val="TableGrid"/>
        <w:tblW w:w="0" w:type="auto"/>
        <w:tblLook w:val="04A0" w:firstRow="1" w:lastRow="0" w:firstColumn="1" w:lastColumn="0" w:noHBand="0" w:noVBand="1"/>
      </w:tblPr>
      <w:tblGrid>
        <w:gridCol w:w="3865"/>
        <w:gridCol w:w="4562"/>
        <w:gridCol w:w="923"/>
      </w:tblGrid>
      <w:tr w:rsidR="00C6520E" w14:paraId="3BA703B2" w14:textId="77777777" w:rsidTr="00EF1FFC">
        <w:trPr>
          <w:tblHeader/>
        </w:trPr>
        <w:tc>
          <w:tcPr>
            <w:tcW w:w="3865" w:type="dxa"/>
            <w:shd w:val="clear" w:color="auto" w:fill="D9D9D9" w:themeFill="background1" w:themeFillShade="D9"/>
          </w:tcPr>
          <w:p w14:paraId="38C0ACA7" w14:textId="503BABB3" w:rsidR="00C6520E" w:rsidRPr="004D50B4" w:rsidRDefault="00C6520E" w:rsidP="00EF1FFC">
            <w:pPr>
              <w:pStyle w:val="TableTitle"/>
            </w:pPr>
            <w:r w:rsidRPr="004D50B4">
              <w:t xml:space="preserve">Industrial </w:t>
            </w:r>
            <w:r w:rsidR="00E02336">
              <w:t>U</w:t>
            </w:r>
            <w:r w:rsidRPr="004D50B4">
              <w:t xml:space="preserve">ser </w:t>
            </w:r>
            <w:r w:rsidR="00E02336">
              <w:t>A</w:t>
            </w:r>
            <w:r w:rsidRPr="004D50B4">
              <w:t>ctivity</w:t>
            </w:r>
          </w:p>
        </w:tc>
        <w:tc>
          <w:tcPr>
            <w:tcW w:w="4562" w:type="dxa"/>
            <w:shd w:val="clear" w:color="auto" w:fill="D9D9D9" w:themeFill="background1" w:themeFillShade="D9"/>
          </w:tcPr>
          <w:p w14:paraId="52AC601A" w14:textId="77777777" w:rsidR="00C6520E" w:rsidRPr="004D50B4" w:rsidRDefault="00C6520E" w:rsidP="00EF1FFC">
            <w:pPr>
              <w:pStyle w:val="TableTitle"/>
            </w:pPr>
            <w:r w:rsidRPr="004D50B4">
              <w:t>Frequency</w:t>
            </w:r>
          </w:p>
        </w:tc>
        <w:tc>
          <w:tcPr>
            <w:tcW w:w="923" w:type="dxa"/>
            <w:shd w:val="clear" w:color="auto" w:fill="D9D9D9" w:themeFill="background1" w:themeFillShade="D9"/>
          </w:tcPr>
          <w:p w14:paraId="39EFB2B1" w14:textId="77777777" w:rsidR="00C6520E" w:rsidRPr="004D50B4" w:rsidRDefault="00C6520E" w:rsidP="00EF1FFC">
            <w:pPr>
              <w:pStyle w:val="TableTitle"/>
            </w:pPr>
            <w:r w:rsidRPr="004D50B4">
              <w:t>Burden (hours)</w:t>
            </w:r>
          </w:p>
        </w:tc>
      </w:tr>
      <w:tr w:rsidR="00C6520E" w14:paraId="053FB85C" w14:textId="77777777" w:rsidTr="00EF1FFC">
        <w:tc>
          <w:tcPr>
            <w:tcW w:w="3865" w:type="dxa"/>
          </w:tcPr>
          <w:p w14:paraId="1145A3E0" w14:textId="0E05A4F4" w:rsidR="00C6520E" w:rsidRPr="004D50B4" w:rsidRDefault="00C6520E" w:rsidP="00EF1FFC">
            <w:pPr>
              <w:pStyle w:val="Tables"/>
            </w:pPr>
            <w:r w:rsidRPr="004D50B4">
              <w:t xml:space="preserve">Baseline </w:t>
            </w:r>
            <w:r w:rsidR="00AC6BF6" w:rsidRPr="004D50B4">
              <w:t>m</w:t>
            </w:r>
            <w:r w:rsidRPr="004D50B4">
              <w:t xml:space="preserve">onitoring and </w:t>
            </w:r>
            <w:r w:rsidR="00AC6BF6" w:rsidRPr="004D50B4">
              <w:t>r</w:t>
            </w:r>
            <w:r w:rsidRPr="004D50B4">
              <w:t>eport</w:t>
            </w:r>
          </w:p>
        </w:tc>
        <w:tc>
          <w:tcPr>
            <w:tcW w:w="4562" w:type="dxa"/>
          </w:tcPr>
          <w:p w14:paraId="37AC848B" w14:textId="77777777" w:rsidR="00C6520E" w:rsidRPr="004D50B4" w:rsidRDefault="00C6520E" w:rsidP="00EF1FFC">
            <w:pPr>
              <w:pStyle w:val="Tables"/>
            </w:pPr>
            <w:r w:rsidRPr="004D50B4">
              <w:t>New sources equivalent to 2 percent of CIUs per year</w:t>
            </w:r>
          </w:p>
        </w:tc>
        <w:tc>
          <w:tcPr>
            <w:tcW w:w="923" w:type="dxa"/>
          </w:tcPr>
          <w:p w14:paraId="70659CDD" w14:textId="77777777" w:rsidR="00C6520E" w:rsidRPr="004D50B4" w:rsidRDefault="00C6520E" w:rsidP="00EF1FFC">
            <w:pPr>
              <w:pStyle w:val="Tables"/>
              <w:jc w:val="right"/>
            </w:pPr>
            <w:r w:rsidRPr="004D50B4">
              <w:t>42.3</w:t>
            </w:r>
          </w:p>
        </w:tc>
      </w:tr>
      <w:tr w:rsidR="00C6520E" w14:paraId="1941A2A8" w14:textId="77777777" w:rsidTr="00EF1FFC">
        <w:tc>
          <w:tcPr>
            <w:tcW w:w="3865" w:type="dxa"/>
          </w:tcPr>
          <w:p w14:paraId="78904E73" w14:textId="3A0E65CF" w:rsidR="00C6520E" w:rsidRPr="004D50B4" w:rsidRDefault="00C6520E" w:rsidP="00EF1FFC">
            <w:pPr>
              <w:pStyle w:val="Tables"/>
            </w:pPr>
            <w:r w:rsidRPr="004D50B4">
              <w:t xml:space="preserve">IU </w:t>
            </w:r>
            <w:r w:rsidR="00AC6BF6" w:rsidRPr="004D50B4">
              <w:t>c</w:t>
            </w:r>
            <w:r w:rsidRPr="004D50B4">
              <w:t xml:space="preserve">ompliance </w:t>
            </w:r>
            <w:r w:rsidR="00AC6BF6" w:rsidRPr="004D50B4">
              <w:t>s</w:t>
            </w:r>
            <w:r w:rsidRPr="004D50B4">
              <w:t xml:space="preserve">chedule </w:t>
            </w:r>
            <w:r w:rsidR="00AC6BF6" w:rsidRPr="004D50B4">
              <w:t>p</w:t>
            </w:r>
            <w:r w:rsidRPr="004D50B4">
              <w:t xml:space="preserve">rogress </w:t>
            </w:r>
            <w:r w:rsidR="00AC6BF6" w:rsidRPr="004D50B4">
              <w:t>r</w:t>
            </w:r>
            <w:r w:rsidRPr="004D50B4">
              <w:t>eport</w:t>
            </w:r>
          </w:p>
        </w:tc>
        <w:tc>
          <w:tcPr>
            <w:tcW w:w="4562" w:type="dxa"/>
          </w:tcPr>
          <w:p w14:paraId="531E9859" w14:textId="591861A2" w:rsidR="00C6520E" w:rsidRPr="004D50B4" w:rsidRDefault="002F0421" w:rsidP="00EF1FFC">
            <w:pPr>
              <w:pStyle w:val="Tables"/>
            </w:pPr>
            <w:r>
              <w:t>25</w:t>
            </w:r>
            <w:r w:rsidR="00C6520E" w:rsidRPr="004D50B4">
              <w:t xml:space="preserve"> percent of new sources per year</w:t>
            </w:r>
          </w:p>
        </w:tc>
        <w:tc>
          <w:tcPr>
            <w:tcW w:w="923" w:type="dxa"/>
          </w:tcPr>
          <w:p w14:paraId="57C770DD" w14:textId="77777777" w:rsidR="00C6520E" w:rsidRPr="004D50B4" w:rsidRDefault="00C6520E" w:rsidP="00EF1FFC">
            <w:pPr>
              <w:pStyle w:val="Tables"/>
              <w:jc w:val="right"/>
            </w:pPr>
            <w:r w:rsidRPr="004D50B4">
              <w:t>4</w:t>
            </w:r>
          </w:p>
        </w:tc>
      </w:tr>
      <w:tr w:rsidR="00C6520E" w14:paraId="59B606E3" w14:textId="77777777" w:rsidTr="00EF1FFC">
        <w:tc>
          <w:tcPr>
            <w:tcW w:w="3865" w:type="dxa"/>
          </w:tcPr>
          <w:p w14:paraId="0609CEBE" w14:textId="16699141" w:rsidR="00C6520E" w:rsidRPr="004D50B4" w:rsidRDefault="00C6520E" w:rsidP="00EF1FFC">
            <w:pPr>
              <w:pStyle w:val="Tables"/>
            </w:pPr>
            <w:r w:rsidRPr="004D50B4">
              <w:t xml:space="preserve">IU </w:t>
            </w:r>
            <w:r w:rsidR="00AC6BF6" w:rsidRPr="004D50B4">
              <w:t>compliance attainment a</w:t>
            </w:r>
            <w:r w:rsidRPr="004D50B4">
              <w:t xml:space="preserve">nalysis and </w:t>
            </w:r>
            <w:r w:rsidR="00AC6BF6" w:rsidRPr="004D50B4">
              <w:t>report</w:t>
            </w:r>
          </w:p>
        </w:tc>
        <w:tc>
          <w:tcPr>
            <w:tcW w:w="4562" w:type="dxa"/>
          </w:tcPr>
          <w:p w14:paraId="414CFBFB" w14:textId="77777777" w:rsidR="00C6520E" w:rsidRPr="004D50B4" w:rsidRDefault="00C6520E" w:rsidP="00EF1FFC">
            <w:pPr>
              <w:pStyle w:val="Tables"/>
            </w:pPr>
            <w:r w:rsidRPr="004D50B4">
              <w:t>New sources equivalent to 2 percent of CIUs per year</w:t>
            </w:r>
          </w:p>
        </w:tc>
        <w:tc>
          <w:tcPr>
            <w:tcW w:w="923" w:type="dxa"/>
          </w:tcPr>
          <w:p w14:paraId="416BA56C" w14:textId="77777777" w:rsidR="00C6520E" w:rsidRPr="004D50B4" w:rsidRDefault="00C6520E" w:rsidP="00EF1FFC">
            <w:pPr>
              <w:pStyle w:val="Tables"/>
              <w:jc w:val="right"/>
            </w:pPr>
            <w:r w:rsidRPr="004D50B4">
              <w:t>34.3</w:t>
            </w:r>
          </w:p>
        </w:tc>
      </w:tr>
      <w:tr w:rsidR="00C6520E" w14:paraId="16D2F950" w14:textId="77777777" w:rsidTr="00EF1FFC">
        <w:tc>
          <w:tcPr>
            <w:tcW w:w="3865" w:type="dxa"/>
          </w:tcPr>
          <w:p w14:paraId="37330676" w14:textId="4379B3F8" w:rsidR="00C6520E" w:rsidRPr="004D50B4" w:rsidRDefault="00C6520E" w:rsidP="00EF1FFC">
            <w:pPr>
              <w:pStyle w:val="Tables"/>
            </w:pPr>
            <w:r w:rsidRPr="004D50B4">
              <w:t xml:space="preserve">IU </w:t>
            </w:r>
            <w:r w:rsidR="00AC6BF6" w:rsidRPr="004D50B4">
              <w:t>resampling c</w:t>
            </w:r>
            <w:r w:rsidRPr="004D50B4">
              <w:t xml:space="preserve">ompliance </w:t>
            </w:r>
            <w:r w:rsidR="00AC6BF6" w:rsidRPr="004D50B4">
              <w:t>report</w:t>
            </w:r>
          </w:p>
        </w:tc>
        <w:tc>
          <w:tcPr>
            <w:tcW w:w="4562" w:type="dxa"/>
          </w:tcPr>
          <w:p w14:paraId="3B8BA819" w14:textId="27E3091B" w:rsidR="00C6520E" w:rsidRPr="004D50B4" w:rsidRDefault="002F0421" w:rsidP="00EF1FFC">
            <w:pPr>
              <w:pStyle w:val="Tables"/>
            </w:pPr>
            <w:r>
              <w:t>10</w:t>
            </w:r>
            <w:r w:rsidRPr="004D50B4">
              <w:t xml:space="preserve"> </w:t>
            </w:r>
            <w:r w:rsidR="00C6520E" w:rsidRPr="004D50B4">
              <w:t>percent of all IUs per year excluding 1,500 Pesticides Formulating Packaging &amp; Repackaging (PFP</w:t>
            </w:r>
            <w:r w:rsidR="003E5304">
              <w:t>R</w:t>
            </w:r>
            <w:r w:rsidR="00C6520E" w:rsidRPr="004D50B4">
              <w:t>) facilities</w:t>
            </w:r>
          </w:p>
        </w:tc>
        <w:tc>
          <w:tcPr>
            <w:tcW w:w="923" w:type="dxa"/>
          </w:tcPr>
          <w:p w14:paraId="77BC88A4" w14:textId="77777777" w:rsidR="00C6520E" w:rsidRPr="004D50B4" w:rsidRDefault="00C6520E" w:rsidP="00EF1FFC">
            <w:pPr>
              <w:pStyle w:val="Tables"/>
              <w:jc w:val="right"/>
            </w:pPr>
            <w:r w:rsidRPr="004D50B4">
              <w:t>17</w:t>
            </w:r>
          </w:p>
        </w:tc>
      </w:tr>
      <w:tr w:rsidR="00C6520E" w14:paraId="6EBE3235" w14:textId="77777777" w:rsidTr="00EF1FFC">
        <w:tc>
          <w:tcPr>
            <w:tcW w:w="3865" w:type="dxa"/>
          </w:tcPr>
          <w:p w14:paraId="36B31DBF" w14:textId="22F35DA2" w:rsidR="00C6520E" w:rsidRPr="003E5304" w:rsidRDefault="00C6520E" w:rsidP="00EF1FFC">
            <w:pPr>
              <w:pStyle w:val="Tables"/>
              <w:rPr>
                <w:vertAlign w:val="superscript"/>
              </w:rPr>
            </w:pPr>
            <w:r w:rsidRPr="004D50B4">
              <w:t xml:space="preserve">IU </w:t>
            </w:r>
            <w:r w:rsidR="00AC6BF6" w:rsidRPr="004D50B4">
              <w:t>self</w:t>
            </w:r>
            <w:r w:rsidRPr="004D50B4">
              <w:t>-</w:t>
            </w:r>
            <w:r w:rsidR="00AC6BF6" w:rsidRPr="004D50B4">
              <w:t>monitoring c</w:t>
            </w:r>
            <w:r w:rsidRPr="004D50B4">
              <w:t xml:space="preserve">ompliance </w:t>
            </w:r>
            <w:r w:rsidR="00AC6BF6" w:rsidRPr="004D50B4">
              <w:t xml:space="preserve">sampling </w:t>
            </w:r>
            <w:r w:rsidRPr="004D50B4">
              <w:t xml:space="preserve">and </w:t>
            </w:r>
            <w:r w:rsidR="004F230D" w:rsidRPr="004D50B4">
              <w:t>report</w:t>
            </w:r>
            <w:r w:rsidR="004F230D">
              <w:rPr>
                <w:vertAlign w:val="superscript"/>
              </w:rPr>
              <w:t>a</w:t>
            </w:r>
          </w:p>
        </w:tc>
        <w:tc>
          <w:tcPr>
            <w:tcW w:w="4562" w:type="dxa"/>
          </w:tcPr>
          <w:p w14:paraId="1088FE42" w14:textId="66F466F2" w:rsidR="00C6520E" w:rsidRPr="004D50B4" w:rsidRDefault="00C6520E" w:rsidP="00EF1FFC">
            <w:pPr>
              <w:pStyle w:val="Tables"/>
            </w:pPr>
            <w:r w:rsidRPr="004D50B4">
              <w:t>Once every 5 years excluding PFP</w:t>
            </w:r>
            <w:r w:rsidR="003E5304">
              <w:t>R</w:t>
            </w:r>
            <w:r w:rsidRPr="004D50B4">
              <w:t xml:space="preserve"> facilities</w:t>
            </w:r>
          </w:p>
        </w:tc>
        <w:tc>
          <w:tcPr>
            <w:tcW w:w="923" w:type="dxa"/>
          </w:tcPr>
          <w:p w14:paraId="728EE398" w14:textId="125C3D11" w:rsidR="00C6520E" w:rsidRPr="004D50B4" w:rsidRDefault="00C6520E" w:rsidP="00EF1FFC">
            <w:pPr>
              <w:pStyle w:val="Tables"/>
              <w:jc w:val="right"/>
            </w:pPr>
            <w:r w:rsidRPr="004D50B4">
              <w:t>14.5–16.6</w:t>
            </w:r>
          </w:p>
        </w:tc>
      </w:tr>
      <w:tr w:rsidR="00C6520E" w14:paraId="6E20019D" w14:textId="77777777" w:rsidTr="00EF1FFC">
        <w:tc>
          <w:tcPr>
            <w:tcW w:w="3865" w:type="dxa"/>
          </w:tcPr>
          <w:p w14:paraId="1198FBFD" w14:textId="7F1F74BF" w:rsidR="00C6520E" w:rsidRPr="004D50B4" w:rsidRDefault="00C6520E" w:rsidP="00EF1FFC">
            <w:pPr>
              <w:pStyle w:val="Tables"/>
            </w:pPr>
            <w:r w:rsidRPr="004D50B4">
              <w:t xml:space="preserve">Pollution </w:t>
            </w:r>
            <w:r w:rsidR="00AC6BF6" w:rsidRPr="004D50B4">
              <w:t>prevention plans</w:t>
            </w:r>
          </w:p>
        </w:tc>
        <w:tc>
          <w:tcPr>
            <w:tcW w:w="4562" w:type="dxa"/>
          </w:tcPr>
          <w:p w14:paraId="3507DF92" w14:textId="73405B70" w:rsidR="00C6520E" w:rsidRPr="004D50B4" w:rsidRDefault="002F0421" w:rsidP="00EF1FFC">
            <w:pPr>
              <w:pStyle w:val="Tables"/>
            </w:pPr>
            <w:r>
              <w:t>10</w:t>
            </w:r>
            <w:r w:rsidRPr="004D50B4">
              <w:t xml:space="preserve"> </w:t>
            </w:r>
            <w:r w:rsidR="00C6520E" w:rsidRPr="004D50B4">
              <w:t>percent of PFP</w:t>
            </w:r>
            <w:r w:rsidR="003E5304">
              <w:t>R</w:t>
            </w:r>
            <w:r w:rsidR="00C6520E" w:rsidRPr="004D50B4">
              <w:t xml:space="preserve"> facilities per year</w:t>
            </w:r>
          </w:p>
        </w:tc>
        <w:tc>
          <w:tcPr>
            <w:tcW w:w="923" w:type="dxa"/>
          </w:tcPr>
          <w:p w14:paraId="0A18A288" w14:textId="77777777" w:rsidR="00C6520E" w:rsidRPr="004D50B4" w:rsidRDefault="00C6520E" w:rsidP="00EF1FFC">
            <w:pPr>
              <w:pStyle w:val="Tables"/>
              <w:jc w:val="right"/>
            </w:pPr>
            <w:r w:rsidRPr="004D50B4">
              <w:t>20</w:t>
            </w:r>
          </w:p>
        </w:tc>
      </w:tr>
      <w:tr w:rsidR="00C6520E" w14:paraId="57D59574" w14:textId="77777777" w:rsidTr="00EF1FFC">
        <w:tc>
          <w:tcPr>
            <w:tcW w:w="3865" w:type="dxa"/>
          </w:tcPr>
          <w:p w14:paraId="5CEAC571" w14:textId="3CB09854" w:rsidR="00C6520E" w:rsidRPr="004D50B4" w:rsidRDefault="00C6520E" w:rsidP="00EF1FFC">
            <w:pPr>
              <w:pStyle w:val="Tables"/>
            </w:pPr>
            <w:r w:rsidRPr="004D50B4">
              <w:t xml:space="preserve">Minimum </w:t>
            </w:r>
            <w:r w:rsidR="00AC6BF6" w:rsidRPr="004D50B4">
              <w:t xml:space="preserve">monitoring requirements </w:t>
            </w:r>
            <w:r w:rsidRPr="004D50B4">
              <w:t>for Paper Mills in specific categories</w:t>
            </w:r>
          </w:p>
        </w:tc>
        <w:tc>
          <w:tcPr>
            <w:tcW w:w="4562" w:type="dxa"/>
          </w:tcPr>
          <w:p w14:paraId="35A55EFC" w14:textId="4FDADDA4" w:rsidR="00C6520E" w:rsidRPr="004D50B4" w:rsidRDefault="002F0421" w:rsidP="00EF1FFC">
            <w:pPr>
              <w:pStyle w:val="Tables"/>
            </w:pPr>
            <w:r>
              <w:t>10</w:t>
            </w:r>
            <w:r w:rsidRPr="004D50B4">
              <w:t xml:space="preserve"> </w:t>
            </w:r>
            <w:r w:rsidR="00C6520E" w:rsidRPr="004D50B4">
              <w:t>mills per year</w:t>
            </w:r>
          </w:p>
        </w:tc>
        <w:tc>
          <w:tcPr>
            <w:tcW w:w="923" w:type="dxa"/>
          </w:tcPr>
          <w:p w14:paraId="2439C8B5" w14:textId="77777777" w:rsidR="00C6520E" w:rsidRPr="004D50B4" w:rsidRDefault="00C6520E" w:rsidP="00EF1FFC">
            <w:pPr>
              <w:pStyle w:val="Tables"/>
              <w:jc w:val="right"/>
            </w:pPr>
            <w:r w:rsidRPr="004D50B4">
              <w:t>826</w:t>
            </w:r>
          </w:p>
        </w:tc>
      </w:tr>
      <w:tr w:rsidR="00C6520E" w14:paraId="56F91A03" w14:textId="77777777" w:rsidTr="00EF1FFC">
        <w:tc>
          <w:tcPr>
            <w:tcW w:w="3865" w:type="dxa"/>
          </w:tcPr>
          <w:p w14:paraId="37D36AD8" w14:textId="7F4CEB78" w:rsidR="00C6520E" w:rsidRPr="004D50B4" w:rsidRDefault="00C6520E" w:rsidP="00EF1FFC">
            <w:pPr>
              <w:pStyle w:val="Tables"/>
            </w:pPr>
            <w:r w:rsidRPr="004D50B4">
              <w:t xml:space="preserve">Pollution </w:t>
            </w:r>
            <w:r w:rsidR="00AC6BF6" w:rsidRPr="004D50B4">
              <w:t>prevention c</w:t>
            </w:r>
            <w:r w:rsidRPr="004D50B4">
              <w:t xml:space="preserve">ompliance </w:t>
            </w:r>
            <w:r w:rsidR="00AC6BF6" w:rsidRPr="004D50B4">
              <w:t>alternative</w:t>
            </w:r>
            <w:r w:rsidRPr="004D50B4">
              <w:t xml:space="preserve">; </w:t>
            </w:r>
            <w:r w:rsidR="00927F89" w:rsidRPr="004D50B4">
              <w:t xml:space="preserve">transportation equipment cleaning </w:t>
            </w:r>
          </w:p>
        </w:tc>
        <w:tc>
          <w:tcPr>
            <w:tcW w:w="4562" w:type="dxa"/>
          </w:tcPr>
          <w:p w14:paraId="44B6A2EE" w14:textId="1A75BD50" w:rsidR="00C6520E" w:rsidRPr="004D50B4" w:rsidRDefault="002F0421" w:rsidP="00EF1FFC">
            <w:pPr>
              <w:pStyle w:val="Tables"/>
            </w:pPr>
            <w:r>
              <w:t>84</w:t>
            </w:r>
            <w:r w:rsidR="00C6520E" w:rsidRPr="004D50B4">
              <w:t xml:space="preserve"> facilities per year</w:t>
            </w:r>
          </w:p>
        </w:tc>
        <w:tc>
          <w:tcPr>
            <w:tcW w:w="923" w:type="dxa"/>
          </w:tcPr>
          <w:p w14:paraId="2D9562B9" w14:textId="77777777" w:rsidR="00C6520E" w:rsidRPr="004D50B4" w:rsidRDefault="00C6520E" w:rsidP="00EF1FFC">
            <w:pPr>
              <w:pStyle w:val="Tables"/>
              <w:jc w:val="right"/>
            </w:pPr>
            <w:r w:rsidRPr="004D50B4">
              <w:t>209 - 235</w:t>
            </w:r>
          </w:p>
        </w:tc>
      </w:tr>
      <w:tr w:rsidR="00C6520E" w14:paraId="16CC39C6" w14:textId="77777777" w:rsidTr="00EF1FFC">
        <w:tc>
          <w:tcPr>
            <w:tcW w:w="3865" w:type="dxa"/>
          </w:tcPr>
          <w:p w14:paraId="2D67D7E2" w14:textId="1F392561" w:rsidR="00C6520E" w:rsidRPr="004D50B4" w:rsidRDefault="00C6520E" w:rsidP="00EF1FFC">
            <w:pPr>
              <w:pStyle w:val="Tables"/>
            </w:pPr>
            <w:r w:rsidRPr="004D50B4">
              <w:t xml:space="preserve">Best </w:t>
            </w:r>
            <w:r w:rsidR="00927F89" w:rsidRPr="004D50B4">
              <w:t xml:space="preserve">management </w:t>
            </w:r>
            <w:r w:rsidR="00AC6BF6" w:rsidRPr="004D50B4">
              <w:t xml:space="preserve">practices </w:t>
            </w:r>
            <w:r w:rsidRPr="004D50B4">
              <w:t xml:space="preserve">for Paper Mills in specific categories </w:t>
            </w:r>
          </w:p>
        </w:tc>
        <w:tc>
          <w:tcPr>
            <w:tcW w:w="4562" w:type="dxa"/>
          </w:tcPr>
          <w:p w14:paraId="03D1B712" w14:textId="31EC6CA5" w:rsidR="00C6520E" w:rsidRPr="004D50B4" w:rsidRDefault="002F0421" w:rsidP="00EF1FFC">
            <w:pPr>
              <w:pStyle w:val="Tables"/>
            </w:pPr>
            <w:r>
              <w:t>10</w:t>
            </w:r>
            <w:r w:rsidRPr="004D50B4">
              <w:t xml:space="preserve"> </w:t>
            </w:r>
            <w:r w:rsidR="00C6520E" w:rsidRPr="004D50B4">
              <w:t>facilities per year</w:t>
            </w:r>
          </w:p>
        </w:tc>
        <w:tc>
          <w:tcPr>
            <w:tcW w:w="923" w:type="dxa"/>
          </w:tcPr>
          <w:p w14:paraId="1F68E956" w14:textId="77777777" w:rsidR="00C6520E" w:rsidRPr="004D50B4" w:rsidRDefault="00C6520E" w:rsidP="00EF1FFC">
            <w:pPr>
              <w:pStyle w:val="Tables"/>
              <w:jc w:val="right"/>
            </w:pPr>
            <w:r w:rsidRPr="004D50B4">
              <w:t>617</w:t>
            </w:r>
          </w:p>
        </w:tc>
      </w:tr>
      <w:tr w:rsidR="00C6520E" w14:paraId="4FC23879" w14:textId="77777777" w:rsidTr="00EF1FFC">
        <w:tc>
          <w:tcPr>
            <w:tcW w:w="3865" w:type="dxa"/>
          </w:tcPr>
          <w:p w14:paraId="33D116E1" w14:textId="1232406F" w:rsidR="00C6520E" w:rsidRPr="004D50B4" w:rsidRDefault="00C6520E" w:rsidP="00EF1FFC">
            <w:pPr>
              <w:pStyle w:val="Tables"/>
            </w:pPr>
            <w:r w:rsidRPr="004D50B4">
              <w:t xml:space="preserve">Request for </w:t>
            </w:r>
            <w:r w:rsidR="00927F89" w:rsidRPr="004D50B4">
              <w:t xml:space="preserve">coverage under </w:t>
            </w:r>
            <w:r w:rsidRPr="004D50B4">
              <w:t xml:space="preserve">a </w:t>
            </w:r>
            <w:r w:rsidR="00927F89" w:rsidRPr="004D50B4">
              <w:t>general control mechanism</w:t>
            </w:r>
          </w:p>
        </w:tc>
        <w:tc>
          <w:tcPr>
            <w:tcW w:w="4562" w:type="dxa"/>
          </w:tcPr>
          <w:p w14:paraId="7767872F" w14:textId="77777777" w:rsidR="00C6520E" w:rsidRPr="004D50B4" w:rsidRDefault="00C6520E" w:rsidP="00EF1FFC">
            <w:pPr>
              <w:pStyle w:val="Tables"/>
            </w:pPr>
            <w:r w:rsidRPr="004D50B4">
              <w:t>Once every 5 years for two percent of all IUs</w:t>
            </w:r>
          </w:p>
        </w:tc>
        <w:tc>
          <w:tcPr>
            <w:tcW w:w="923" w:type="dxa"/>
          </w:tcPr>
          <w:p w14:paraId="59BA00EC" w14:textId="77777777" w:rsidR="00C6520E" w:rsidRPr="004D50B4" w:rsidRDefault="00C6520E" w:rsidP="00EF1FFC">
            <w:pPr>
              <w:pStyle w:val="Tables"/>
              <w:jc w:val="right"/>
            </w:pPr>
            <w:r w:rsidRPr="004D50B4">
              <w:t>0.5</w:t>
            </w:r>
          </w:p>
        </w:tc>
      </w:tr>
      <w:tr w:rsidR="00C6520E" w14:paraId="35A9EB23" w14:textId="77777777" w:rsidTr="00EF1FFC">
        <w:tc>
          <w:tcPr>
            <w:tcW w:w="3865" w:type="dxa"/>
          </w:tcPr>
          <w:p w14:paraId="68FD5285" w14:textId="2CDE95BA" w:rsidR="00C6520E" w:rsidRPr="004D50B4" w:rsidRDefault="00C6520E" w:rsidP="00EF1FFC">
            <w:pPr>
              <w:pStyle w:val="Tables"/>
            </w:pPr>
            <w:r w:rsidRPr="004D50B4">
              <w:t xml:space="preserve">Periodic </w:t>
            </w:r>
            <w:r w:rsidR="00927F89" w:rsidRPr="004D50B4">
              <w:t>certifications</w:t>
            </w:r>
          </w:p>
        </w:tc>
        <w:tc>
          <w:tcPr>
            <w:tcW w:w="4562" w:type="dxa"/>
          </w:tcPr>
          <w:p w14:paraId="5953ACFB" w14:textId="777924C5" w:rsidR="00C6520E" w:rsidRPr="003E5304" w:rsidRDefault="00C6520E" w:rsidP="00EF1FFC">
            <w:pPr>
              <w:pStyle w:val="Tables"/>
              <w:rPr>
                <w:vertAlign w:val="superscript"/>
              </w:rPr>
            </w:pPr>
            <w:r w:rsidRPr="004D50B4">
              <w:t xml:space="preserve">7,770 IUs per year in 12 </w:t>
            </w:r>
            <w:r w:rsidR="004F230D" w:rsidRPr="004D50B4">
              <w:t>categories</w:t>
            </w:r>
            <w:r w:rsidR="004F230D">
              <w:rPr>
                <w:vertAlign w:val="superscript"/>
              </w:rPr>
              <w:t>b</w:t>
            </w:r>
          </w:p>
        </w:tc>
        <w:tc>
          <w:tcPr>
            <w:tcW w:w="923" w:type="dxa"/>
          </w:tcPr>
          <w:p w14:paraId="7A1FEBE7" w14:textId="77777777" w:rsidR="00C6520E" w:rsidRPr="004D50B4" w:rsidRDefault="00C6520E" w:rsidP="00EF1FFC">
            <w:pPr>
              <w:pStyle w:val="Tables"/>
              <w:jc w:val="right"/>
            </w:pPr>
            <w:r w:rsidRPr="004D50B4">
              <w:t>1</w:t>
            </w:r>
          </w:p>
        </w:tc>
      </w:tr>
      <w:tr w:rsidR="00C6520E" w14:paraId="3CD5D5A7" w14:textId="77777777" w:rsidTr="00EF1FFC">
        <w:tc>
          <w:tcPr>
            <w:tcW w:w="3865" w:type="dxa"/>
          </w:tcPr>
          <w:p w14:paraId="52AE7F0C" w14:textId="21D13EB2" w:rsidR="00C6520E" w:rsidRPr="004D50B4" w:rsidRDefault="00C6520E" w:rsidP="00EF1FFC">
            <w:pPr>
              <w:pStyle w:val="Tables"/>
            </w:pPr>
            <w:r w:rsidRPr="004D50B4">
              <w:t xml:space="preserve">IU </w:t>
            </w:r>
            <w:r w:rsidR="00927F89" w:rsidRPr="004D50B4">
              <w:t>slug load notification</w:t>
            </w:r>
          </w:p>
        </w:tc>
        <w:tc>
          <w:tcPr>
            <w:tcW w:w="4562" w:type="dxa"/>
          </w:tcPr>
          <w:p w14:paraId="0B4CC754" w14:textId="77777777" w:rsidR="00C6520E" w:rsidRPr="004D50B4" w:rsidRDefault="00C6520E" w:rsidP="00EF1FFC">
            <w:pPr>
              <w:pStyle w:val="Tables"/>
            </w:pPr>
            <w:r w:rsidRPr="004D50B4">
              <w:t>100 SIUs per year</w:t>
            </w:r>
          </w:p>
        </w:tc>
        <w:tc>
          <w:tcPr>
            <w:tcW w:w="923" w:type="dxa"/>
          </w:tcPr>
          <w:p w14:paraId="1B879E6F" w14:textId="77777777" w:rsidR="00C6520E" w:rsidRPr="004D50B4" w:rsidRDefault="00C6520E" w:rsidP="00EF1FFC">
            <w:pPr>
              <w:pStyle w:val="Tables"/>
              <w:jc w:val="right"/>
            </w:pPr>
            <w:r w:rsidRPr="004D50B4">
              <w:t>2</w:t>
            </w:r>
          </w:p>
        </w:tc>
      </w:tr>
      <w:tr w:rsidR="00C6520E" w14:paraId="504A1A1B" w14:textId="77777777" w:rsidTr="00EF1FFC">
        <w:tc>
          <w:tcPr>
            <w:tcW w:w="3865" w:type="dxa"/>
          </w:tcPr>
          <w:p w14:paraId="72722C86" w14:textId="1BB2791D" w:rsidR="00C6520E" w:rsidRPr="004D50B4" w:rsidRDefault="00C6520E" w:rsidP="00EF1FFC">
            <w:pPr>
              <w:pStyle w:val="Tables"/>
            </w:pPr>
            <w:r w:rsidRPr="004D50B4">
              <w:t xml:space="preserve">Notification of </w:t>
            </w:r>
            <w:r w:rsidR="00927F89" w:rsidRPr="004D50B4">
              <w:t>changed discharge</w:t>
            </w:r>
          </w:p>
        </w:tc>
        <w:tc>
          <w:tcPr>
            <w:tcW w:w="4562" w:type="dxa"/>
          </w:tcPr>
          <w:p w14:paraId="21230E1D" w14:textId="77777777" w:rsidR="00C6520E" w:rsidRPr="004D50B4" w:rsidRDefault="00C6520E" w:rsidP="00EF1FFC">
            <w:pPr>
              <w:pStyle w:val="Tables"/>
            </w:pPr>
            <w:r w:rsidRPr="004D50B4">
              <w:t xml:space="preserve">1,000 SIUs per year </w:t>
            </w:r>
          </w:p>
        </w:tc>
        <w:tc>
          <w:tcPr>
            <w:tcW w:w="923" w:type="dxa"/>
          </w:tcPr>
          <w:p w14:paraId="58E124B5" w14:textId="77777777" w:rsidR="00C6520E" w:rsidRPr="004D50B4" w:rsidRDefault="00C6520E" w:rsidP="00EF1FFC">
            <w:pPr>
              <w:pStyle w:val="Tables"/>
              <w:jc w:val="right"/>
            </w:pPr>
            <w:r w:rsidRPr="004D50B4">
              <w:t>4</w:t>
            </w:r>
          </w:p>
        </w:tc>
      </w:tr>
      <w:tr w:rsidR="00C6520E" w14:paraId="0A2E0E6B" w14:textId="77777777" w:rsidTr="00EF1FFC">
        <w:tc>
          <w:tcPr>
            <w:tcW w:w="3865" w:type="dxa"/>
          </w:tcPr>
          <w:p w14:paraId="45D85C4B" w14:textId="28DD0D4D" w:rsidR="00C6520E" w:rsidRPr="004D50B4" w:rsidRDefault="00C6520E" w:rsidP="00EF1FFC">
            <w:pPr>
              <w:pStyle w:val="Tables"/>
            </w:pPr>
            <w:r w:rsidRPr="004D50B4">
              <w:t xml:space="preserve">Bypass </w:t>
            </w:r>
            <w:r w:rsidR="00927F89" w:rsidRPr="004D50B4">
              <w:t>notification</w:t>
            </w:r>
          </w:p>
        </w:tc>
        <w:tc>
          <w:tcPr>
            <w:tcW w:w="4562" w:type="dxa"/>
          </w:tcPr>
          <w:p w14:paraId="185984F6" w14:textId="77777777" w:rsidR="00C6520E" w:rsidRPr="004D50B4" w:rsidRDefault="00C6520E" w:rsidP="00EF1FFC">
            <w:pPr>
              <w:pStyle w:val="Tables"/>
            </w:pPr>
            <w:r w:rsidRPr="004D50B4">
              <w:t>1,427 SIUs per year</w:t>
            </w:r>
          </w:p>
        </w:tc>
        <w:tc>
          <w:tcPr>
            <w:tcW w:w="923" w:type="dxa"/>
          </w:tcPr>
          <w:p w14:paraId="3D4E916E" w14:textId="77777777" w:rsidR="00C6520E" w:rsidRPr="004D50B4" w:rsidRDefault="00C6520E" w:rsidP="00EF1FFC">
            <w:pPr>
              <w:pStyle w:val="Tables"/>
              <w:jc w:val="right"/>
            </w:pPr>
            <w:r w:rsidRPr="004D50B4">
              <w:t>5 - 7</w:t>
            </w:r>
          </w:p>
        </w:tc>
      </w:tr>
      <w:tr w:rsidR="00C6520E" w14:paraId="6E877941" w14:textId="77777777" w:rsidTr="00EF1FFC">
        <w:tc>
          <w:tcPr>
            <w:tcW w:w="3865" w:type="dxa"/>
          </w:tcPr>
          <w:p w14:paraId="23EBD01A" w14:textId="61A4F9E9" w:rsidR="00C6520E" w:rsidRPr="004D50B4" w:rsidRDefault="00C6520E" w:rsidP="00EF1FFC">
            <w:pPr>
              <w:pStyle w:val="Tables"/>
            </w:pPr>
            <w:r w:rsidRPr="004D50B4">
              <w:t xml:space="preserve">Notification of </w:t>
            </w:r>
            <w:r w:rsidR="00927F89" w:rsidRPr="004D50B4">
              <w:t>changed monitoring location</w:t>
            </w:r>
          </w:p>
        </w:tc>
        <w:tc>
          <w:tcPr>
            <w:tcW w:w="4562" w:type="dxa"/>
          </w:tcPr>
          <w:p w14:paraId="289B35E3" w14:textId="77777777" w:rsidR="00C6520E" w:rsidRPr="004D50B4" w:rsidRDefault="00C6520E" w:rsidP="00EF1FFC">
            <w:pPr>
              <w:pStyle w:val="Tables"/>
            </w:pPr>
            <w:r w:rsidRPr="004D50B4">
              <w:t>50 SIUs per year</w:t>
            </w:r>
          </w:p>
        </w:tc>
        <w:tc>
          <w:tcPr>
            <w:tcW w:w="923" w:type="dxa"/>
          </w:tcPr>
          <w:p w14:paraId="656F0108" w14:textId="77777777" w:rsidR="00C6520E" w:rsidRPr="004D50B4" w:rsidRDefault="00C6520E" w:rsidP="00EF1FFC">
            <w:pPr>
              <w:pStyle w:val="Tables"/>
              <w:jc w:val="right"/>
            </w:pPr>
            <w:r w:rsidRPr="004D50B4">
              <w:t>1</w:t>
            </w:r>
          </w:p>
        </w:tc>
      </w:tr>
      <w:tr w:rsidR="00C6520E" w14:paraId="22220BE8" w14:textId="77777777" w:rsidTr="00EF1FFC">
        <w:tc>
          <w:tcPr>
            <w:tcW w:w="3865" w:type="dxa"/>
          </w:tcPr>
          <w:p w14:paraId="5E439B49" w14:textId="5340F570" w:rsidR="00C6520E" w:rsidRPr="004D50B4" w:rsidRDefault="00C6520E" w:rsidP="00EF1FFC">
            <w:pPr>
              <w:pStyle w:val="Tables"/>
            </w:pPr>
            <w:r w:rsidRPr="004D50B4">
              <w:t xml:space="preserve">Slug </w:t>
            </w:r>
            <w:r w:rsidR="00927F89" w:rsidRPr="004D50B4">
              <w:t xml:space="preserve">control </w:t>
            </w:r>
            <w:r w:rsidR="00AC6BF6" w:rsidRPr="004D50B4">
              <w:t>plan</w:t>
            </w:r>
          </w:p>
        </w:tc>
        <w:tc>
          <w:tcPr>
            <w:tcW w:w="4562" w:type="dxa"/>
          </w:tcPr>
          <w:p w14:paraId="62A93647" w14:textId="7E14AADE" w:rsidR="00C6520E" w:rsidRPr="004D50B4" w:rsidRDefault="00C6520E" w:rsidP="00EF1FFC">
            <w:pPr>
              <w:pStyle w:val="Tables"/>
            </w:pPr>
            <w:r w:rsidRPr="004D50B4">
              <w:t xml:space="preserve">10 percent of all new CIUs and 5 percent of new </w:t>
            </w:r>
            <w:r w:rsidR="00F60221" w:rsidRPr="004D50B4">
              <w:t>non</w:t>
            </w:r>
            <w:r w:rsidRPr="004D50B4">
              <w:t>-categorical SIUs per year</w:t>
            </w:r>
          </w:p>
        </w:tc>
        <w:tc>
          <w:tcPr>
            <w:tcW w:w="923" w:type="dxa"/>
          </w:tcPr>
          <w:p w14:paraId="10943E2D" w14:textId="77777777" w:rsidR="00C6520E" w:rsidRPr="004D50B4" w:rsidRDefault="00C6520E" w:rsidP="00EF1FFC">
            <w:pPr>
              <w:pStyle w:val="Tables"/>
              <w:jc w:val="right"/>
            </w:pPr>
            <w:r w:rsidRPr="004D50B4">
              <w:t>2</w:t>
            </w:r>
          </w:p>
        </w:tc>
      </w:tr>
      <w:tr w:rsidR="00C6520E" w14:paraId="4506FDDA" w14:textId="77777777" w:rsidTr="00EF1FFC">
        <w:tc>
          <w:tcPr>
            <w:tcW w:w="3865" w:type="dxa"/>
          </w:tcPr>
          <w:p w14:paraId="0F2F88AB" w14:textId="4BD1992F" w:rsidR="00C6520E" w:rsidRPr="004D50B4" w:rsidRDefault="00C6520E" w:rsidP="00EF1FFC">
            <w:pPr>
              <w:pStyle w:val="Tables"/>
            </w:pPr>
            <w:r w:rsidRPr="004D50B4">
              <w:t xml:space="preserve">Alternative </w:t>
            </w:r>
            <w:r w:rsidR="00927F89" w:rsidRPr="004D50B4">
              <w:t>limits modification request</w:t>
            </w:r>
          </w:p>
        </w:tc>
        <w:tc>
          <w:tcPr>
            <w:tcW w:w="4562" w:type="dxa"/>
          </w:tcPr>
          <w:p w14:paraId="2D9AC33E" w14:textId="77777777" w:rsidR="00C6520E" w:rsidRPr="004D50B4" w:rsidRDefault="00C6520E" w:rsidP="00EF1FFC">
            <w:pPr>
              <w:pStyle w:val="Tables"/>
            </w:pPr>
            <w:r w:rsidRPr="004D50B4">
              <w:t>10 percent of all new CIUs</w:t>
            </w:r>
          </w:p>
        </w:tc>
        <w:tc>
          <w:tcPr>
            <w:tcW w:w="923" w:type="dxa"/>
          </w:tcPr>
          <w:p w14:paraId="2540E111" w14:textId="77777777" w:rsidR="00C6520E" w:rsidRPr="004D50B4" w:rsidRDefault="00C6520E" w:rsidP="00EF1FFC">
            <w:pPr>
              <w:pStyle w:val="Tables"/>
              <w:jc w:val="right"/>
            </w:pPr>
            <w:r w:rsidRPr="004D50B4">
              <w:t>2</w:t>
            </w:r>
          </w:p>
        </w:tc>
      </w:tr>
      <w:tr w:rsidR="00C6520E" w14:paraId="451D39F1" w14:textId="77777777" w:rsidTr="00EF1FFC">
        <w:tc>
          <w:tcPr>
            <w:tcW w:w="3865" w:type="dxa"/>
          </w:tcPr>
          <w:p w14:paraId="38456245" w14:textId="5610D3D3" w:rsidR="00C6520E" w:rsidRPr="004D50B4" w:rsidRDefault="00C6520E" w:rsidP="00EF1FFC">
            <w:pPr>
              <w:pStyle w:val="Tables"/>
            </w:pPr>
            <w:r w:rsidRPr="004D50B4">
              <w:t>Net/</w:t>
            </w:r>
            <w:r w:rsidR="00927F89" w:rsidRPr="004D50B4">
              <w:t xml:space="preserve">gross adjustment </w:t>
            </w:r>
            <w:r w:rsidR="002F0421">
              <w:t>r</w:t>
            </w:r>
            <w:r w:rsidRPr="004D50B4">
              <w:t>equest</w:t>
            </w:r>
          </w:p>
        </w:tc>
        <w:tc>
          <w:tcPr>
            <w:tcW w:w="4562" w:type="dxa"/>
          </w:tcPr>
          <w:p w14:paraId="58D7D53F" w14:textId="5E9B3658" w:rsidR="00C6520E" w:rsidRPr="004D50B4" w:rsidRDefault="002F0421" w:rsidP="00EF1FFC">
            <w:pPr>
              <w:pStyle w:val="Tables"/>
            </w:pPr>
            <w:r>
              <w:t>2</w:t>
            </w:r>
            <w:r w:rsidRPr="004D50B4">
              <w:t xml:space="preserve"> </w:t>
            </w:r>
            <w:r w:rsidR="00C6520E" w:rsidRPr="004D50B4">
              <w:t>per year</w:t>
            </w:r>
          </w:p>
        </w:tc>
        <w:tc>
          <w:tcPr>
            <w:tcW w:w="923" w:type="dxa"/>
          </w:tcPr>
          <w:p w14:paraId="6B1CA61B" w14:textId="77777777" w:rsidR="00C6520E" w:rsidRPr="004D50B4" w:rsidRDefault="00C6520E" w:rsidP="00EF1FFC">
            <w:pPr>
              <w:pStyle w:val="Tables"/>
              <w:jc w:val="right"/>
            </w:pPr>
            <w:r w:rsidRPr="004D50B4">
              <w:t>50</w:t>
            </w:r>
          </w:p>
        </w:tc>
      </w:tr>
    </w:tbl>
    <w:p w14:paraId="1B88C955" w14:textId="73B3EBE2" w:rsidR="003E5304" w:rsidRDefault="004F230D" w:rsidP="00EF1FFC">
      <w:pPr>
        <w:pStyle w:val="Tablenote"/>
        <w:ind w:left="180" w:hanging="180"/>
      </w:pPr>
      <w:r>
        <w:rPr>
          <w:vertAlign w:val="superscript"/>
        </w:rPr>
        <w:t xml:space="preserve">a </w:t>
      </w:r>
      <w:r w:rsidR="00EF1FFC">
        <w:rPr>
          <w:vertAlign w:val="superscript"/>
        </w:rPr>
        <w:tab/>
      </w:r>
      <w:r w:rsidR="003E5304" w:rsidRPr="00475114">
        <w:t>These assumptions are carried forward from the Pretreatment Streamlining ICR.</w:t>
      </w:r>
    </w:p>
    <w:p w14:paraId="0D44AE31" w14:textId="13982C0D" w:rsidR="00C6520E" w:rsidRDefault="004F230D" w:rsidP="00EF1FFC">
      <w:pPr>
        <w:pStyle w:val="Tablenote"/>
        <w:ind w:left="180" w:hanging="180"/>
      </w:pPr>
      <w:r>
        <w:rPr>
          <w:vertAlign w:val="superscript"/>
        </w:rPr>
        <w:t xml:space="preserve">b </w:t>
      </w:r>
      <w:r w:rsidR="00EF1FFC">
        <w:rPr>
          <w:vertAlign w:val="superscript"/>
        </w:rPr>
        <w:tab/>
      </w:r>
      <w:r w:rsidR="003E5304">
        <w:t>Industrial categories include but are not limited to, Electroplating and Metal Finishing; Electrical and Electrical Components; Steam Electric Power Generating; Pulp, Paper, and Paperboard; Centralized Waste Treatment; Pharmaceutical Manufacturing; Pesticide Chemicals; and Aluminum Forming.</w:t>
      </w:r>
    </w:p>
    <w:p w14:paraId="393394FE" w14:textId="0380AF01" w:rsidR="00A24675" w:rsidRDefault="00A24675" w:rsidP="00C6520E">
      <w:r w:rsidRPr="00786C04">
        <w:rPr>
          <w:i/>
        </w:rPr>
        <w:t>POTWs.</w:t>
      </w:r>
      <w:r w:rsidR="00D629CD">
        <w:t xml:space="preserve"> The u</w:t>
      </w:r>
      <w:r w:rsidR="00D629CD" w:rsidRPr="00C31A8A">
        <w:t xml:space="preserve">nderlying assumptions regarding burden estimates </w:t>
      </w:r>
      <w:r w:rsidR="00D629CD">
        <w:t>for POTWs are summarized in Table A.2</w:t>
      </w:r>
      <w:r w:rsidR="002F0421">
        <w:t>.</w:t>
      </w:r>
    </w:p>
    <w:p w14:paraId="1EDB46E6" w14:textId="39F4BB41" w:rsidR="00C6520E" w:rsidRDefault="00352E6F" w:rsidP="00871F94">
      <w:pPr>
        <w:pStyle w:val="Caption"/>
      </w:pPr>
      <w:r>
        <w:t>Table A.2</w:t>
      </w:r>
      <w:r w:rsidR="00C6520E">
        <w:t xml:space="preserve"> </w:t>
      </w:r>
      <w:r w:rsidR="00C6520E" w:rsidRPr="002E16EF">
        <w:t xml:space="preserve">Summary of </w:t>
      </w:r>
      <w:r w:rsidR="00E02336">
        <w:t>B</w:t>
      </w:r>
      <w:r w:rsidR="00F60221">
        <w:t xml:space="preserve">urden </w:t>
      </w:r>
      <w:r w:rsidR="00E02336">
        <w:t>A</w:t>
      </w:r>
      <w:r w:rsidR="00F60221" w:rsidRPr="002E16EF">
        <w:t>ssumption</w:t>
      </w:r>
      <w:r w:rsidR="00F60221">
        <w:t>s</w:t>
      </w:r>
      <w:r w:rsidR="00F60221" w:rsidRPr="002E16EF">
        <w:t xml:space="preserve"> </w:t>
      </w:r>
      <w:r w:rsidR="00E02336">
        <w:t>R</w:t>
      </w:r>
      <w:r w:rsidR="00F60221" w:rsidRPr="002E16EF">
        <w:t xml:space="preserve">elated </w:t>
      </w:r>
      <w:r w:rsidR="00C6520E" w:rsidRPr="002E16EF">
        <w:t xml:space="preserve">to </w:t>
      </w:r>
      <w:r w:rsidR="00C6520E">
        <w:t>POTWs</w:t>
      </w:r>
    </w:p>
    <w:tbl>
      <w:tblPr>
        <w:tblStyle w:val="TableGrid"/>
        <w:tblW w:w="0" w:type="auto"/>
        <w:tblLook w:val="04A0" w:firstRow="1" w:lastRow="0" w:firstColumn="1" w:lastColumn="0" w:noHBand="0" w:noVBand="1"/>
      </w:tblPr>
      <w:tblGrid>
        <w:gridCol w:w="4045"/>
        <w:gridCol w:w="4382"/>
        <w:gridCol w:w="923"/>
      </w:tblGrid>
      <w:tr w:rsidR="00C6520E" w14:paraId="6E174356" w14:textId="77777777" w:rsidTr="00E02336">
        <w:trPr>
          <w:tblHeader/>
        </w:trPr>
        <w:tc>
          <w:tcPr>
            <w:tcW w:w="4045" w:type="dxa"/>
            <w:shd w:val="clear" w:color="auto" w:fill="D9D9D9" w:themeFill="background1" w:themeFillShade="D9"/>
          </w:tcPr>
          <w:p w14:paraId="5D3BA8C4" w14:textId="7F710281" w:rsidR="00C6520E" w:rsidRPr="004D50B4" w:rsidRDefault="00C6520E" w:rsidP="00EF1FFC">
            <w:pPr>
              <w:pStyle w:val="TableTitle"/>
            </w:pPr>
            <w:r w:rsidRPr="004D50B4">
              <w:t xml:space="preserve">POTW </w:t>
            </w:r>
            <w:r w:rsidR="00E02336">
              <w:t>A</w:t>
            </w:r>
            <w:r w:rsidR="00F60221" w:rsidRPr="004D50B4">
              <w:t>ctivity</w:t>
            </w:r>
          </w:p>
        </w:tc>
        <w:tc>
          <w:tcPr>
            <w:tcW w:w="4382" w:type="dxa"/>
            <w:shd w:val="clear" w:color="auto" w:fill="D9D9D9" w:themeFill="background1" w:themeFillShade="D9"/>
          </w:tcPr>
          <w:p w14:paraId="54C63E6B" w14:textId="77777777" w:rsidR="00C6520E" w:rsidRPr="004D50B4" w:rsidRDefault="00C6520E" w:rsidP="00EF1FFC">
            <w:pPr>
              <w:pStyle w:val="TableTitle"/>
            </w:pPr>
            <w:r w:rsidRPr="004D50B4">
              <w:t>Frequency</w:t>
            </w:r>
          </w:p>
        </w:tc>
        <w:tc>
          <w:tcPr>
            <w:tcW w:w="923" w:type="dxa"/>
            <w:shd w:val="clear" w:color="auto" w:fill="D9D9D9" w:themeFill="background1" w:themeFillShade="D9"/>
          </w:tcPr>
          <w:p w14:paraId="54557932" w14:textId="77777777" w:rsidR="00C6520E" w:rsidRPr="004D50B4" w:rsidRDefault="00C6520E" w:rsidP="00EF1FFC">
            <w:pPr>
              <w:pStyle w:val="TableTitle"/>
            </w:pPr>
            <w:r w:rsidRPr="004D50B4">
              <w:t>Burden (hours)</w:t>
            </w:r>
          </w:p>
        </w:tc>
      </w:tr>
      <w:tr w:rsidR="00C6520E" w14:paraId="312F76CE" w14:textId="77777777" w:rsidTr="00EF1FFC">
        <w:tc>
          <w:tcPr>
            <w:tcW w:w="4045" w:type="dxa"/>
          </w:tcPr>
          <w:p w14:paraId="0D7F21B9" w14:textId="5F1BF09A" w:rsidR="00C6520E" w:rsidRPr="004D50B4" w:rsidRDefault="00C6520E" w:rsidP="00EF1FFC">
            <w:pPr>
              <w:pStyle w:val="Tables"/>
            </w:pPr>
            <w:r w:rsidRPr="004D50B4">
              <w:t xml:space="preserve">POTW </w:t>
            </w:r>
            <w:r w:rsidR="00F60221" w:rsidRPr="004D50B4">
              <w:t>pretreatment program approval request</w:t>
            </w:r>
          </w:p>
        </w:tc>
        <w:tc>
          <w:tcPr>
            <w:tcW w:w="4382" w:type="dxa"/>
          </w:tcPr>
          <w:p w14:paraId="613D63D6" w14:textId="11AAB002" w:rsidR="00C6520E" w:rsidRPr="004D50B4" w:rsidRDefault="00C6520E" w:rsidP="00EF1FFC">
            <w:pPr>
              <w:pStyle w:val="Tables"/>
            </w:pPr>
            <w:r w:rsidRPr="004D50B4">
              <w:t>Once per request. See Appendix D</w:t>
            </w:r>
            <w:r w:rsidR="002F0421">
              <w:t>.</w:t>
            </w:r>
          </w:p>
        </w:tc>
        <w:tc>
          <w:tcPr>
            <w:tcW w:w="923" w:type="dxa"/>
          </w:tcPr>
          <w:p w14:paraId="0B2BFA56" w14:textId="77777777" w:rsidR="00C6520E" w:rsidRPr="004D50B4" w:rsidRDefault="00C6520E" w:rsidP="00EF1FFC">
            <w:pPr>
              <w:pStyle w:val="Tables"/>
              <w:jc w:val="right"/>
            </w:pPr>
            <w:r w:rsidRPr="004D50B4">
              <w:t>250</w:t>
            </w:r>
          </w:p>
        </w:tc>
      </w:tr>
      <w:tr w:rsidR="00C6520E" w14:paraId="6C48FE49" w14:textId="77777777" w:rsidTr="00EF1FFC">
        <w:tc>
          <w:tcPr>
            <w:tcW w:w="4045" w:type="dxa"/>
          </w:tcPr>
          <w:p w14:paraId="04ED9435" w14:textId="44FE4DF1" w:rsidR="00C6520E" w:rsidRPr="004D50B4" w:rsidRDefault="00C6520E" w:rsidP="00EF1FFC">
            <w:pPr>
              <w:pStyle w:val="Tables"/>
            </w:pPr>
            <w:r w:rsidRPr="004D50B4">
              <w:t xml:space="preserve">POTW </w:t>
            </w:r>
            <w:r w:rsidR="00F60221" w:rsidRPr="004D50B4">
              <w:t>pretreatment compliance schedule progress report</w:t>
            </w:r>
          </w:p>
        </w:tc>
        <w:tc>
          <w:tcPr>
            <w:tcW w:w="4382" w:type="dxa"/>
          </w:tcPr>
          <w:p w14:paraId="295B60CA" w14:textId="77777777" w:rsidR="00C6520E" w:rsidRPr="004D50B4" w:rsidRDefault="00C6520E" w:rsidP="00EF1FFC">
            <w:pPr>
              <w:pStyle w:val="Tables"/>
            </w:pPr>
            <w:r w:rsidRPr="004D50B4">
              <w:t>46 per year</w:t>
            </w:r>
          </w:p>
        </w:tc>
        <w:tc>
          <w:tcPr>
            <w:tcW w:w="923" w:type="dxa"/>
          </w:tcPr>
          <w:p w14:paraId="319CED51" w14:textId="77777777" w:rsidR="00C6520E" w:rsidRPr="004D50B4" w:rsidRDefault="00C6520E" w:rsidP="00EF1FFC">
            <w:pPr>
              <w:pStyle w:val="Tables"/>
              <w:jc w:val="right"/>
            </w:pPr>
            <w:r w:rsidRPr="004D50B4">
              <w:t>5</w:t>
            </w:r>
          </w:p>
        </w:tc>
      </w:tr>
      <w:tr w:rsidR="00C6520E" w14:paraId="4DF475EA" w14:textId="77777777" w:rsidTr="00EF1FFC">
        <w:tc>
          <w:tcPr>
            <w:tcW w:w="4045" w:type="dxa"/>
          </w:tcPr>
          <w:p w14:paraId="475029C2" w14:textId="6B00DE68" w:rsidR="00C6520E" w:rsidRPr="004D50B4" w:rsidRDefault="00C6520E" w:rsidP="00EF1FFC">
            <w:pPr>
              <w:pStyle w:val="Tables"/>
            </w:pPr>
            <w:r w:rsidRPr="004D50B4">
              <w:t xml:space="preserve">Annual POTW </w:t>
            </w:r>
            <w:r w:rsidR="00F60221" w:rsidRPr="004D50B4">
              <w:t>report</w:t>
            </w:r>
          </w:p>
        </w:tc>
        <w:tc>
          <w:tcPr>
            <w:tcW w:w="4382" w:type="dxa"/>
          </w:tcPr>
          <w:p w14:paraId="695EDF66" w14:textId="263D15C6" w:rsidR="00C6520E" w:rsidRPr="004D50B4" w:rsidRDefault="00C6520E" w:rsidP="00EF1FFC">
            <w:pPr>
              <w:pStyle w:val="Tables"/>
            </w:pPr>
            <w:r w:rsidRPr="004D50B4">
              <w:t xml:space="preserve">One per year for each </w:t>
            </w:r>
            <w:r w:rsidR="00A60B49">
              <w:t>POTW</w:t>
            </w:r>
          </w:p>
        </w:tc>
        <w:tc>
          <w:tcPr>
            <w:tcW w:w="923" w:type="dxa"/>
          </w:tcPr>
          <w:p w14:paraId="77AD49C8" w14:textId="77777777" w:rsidR="00C6520E" w:rsidRPr="004D50B4" w:rsidRDefault="00C6520E" w:rsidP="00EF1FFC">
            <w:pPr>
              <w:pStyle w:val="Tables"/>
              <w:jc w:val="right"/>
            </w:pPr>
            <w:r w:rsidRPr="004D50B4">
              <w:t>40</w:t>
            </w:r>
          </w:p>
        </w:tc>
      </w:tr>
      <w:tr w:rsidR="00C6520E" w14:paraId="31C5B666" w14:textId="77777777" w:rsidTr="00EF1FFC">
        <w:tc>
          <w:tcPr>
            <w:tcW w:w="4045" w:type="dxa"/>
          </w:tcPr>
          <w:p w14:paraId="365C8061" w14:textId="0C7B9830" w:rsidR="00C6520E" w:rsidRPr="004D50B4" w:rsidRDefault="00C6520E" w:rsidP="00EF1FFC">
            <w:pPr>
              <w:pStyle w:val="Tables"/>
            </w:pPr>
            <w:r w:rsidRPr="004D50B4">
              <w:t xml:space="preserve">Issuance of </w:t>
            </w:r>
            <w:r w:rsidR="00F60221" w:rsidRPr="004D50B4">
              <w:t xml:space="preserve">discharge permits </w:t>
            </w:r>
            <w:r w:rsidRPr="004D50B4">
              <w:t xml:space="preserve">or </w:t>
            </w:r>
            <w:r w:rsidR="00F60221" w:rsidRPr="004D50B4">
              <w:t xml:space="preserve">other control mechanisms </w:t>
            </w:r>
            <w:r w:rsidRPr="004D50B4">
              <w:t>for SIUs</w:t>
            </w:r>
          </w:p>
        </w:tc>
        <w:tc>
          <w:tcPr>
            <w:tcW w:w="4382" w:type="dxa"/>
          </w:tcPr>
          <w:p w14:paraId="15B5D212" w14:textId="7C8A1F75" w:rsidR="00C6520E" w:rsidRPr="004D50B4" w:rsidRDefault="00C6520E" w:rsidP="00EF1FFC">
            <w:pPr>
              <w:pStyle w:val="Tables"/>
            </w:pPr>
            <w:r w:rsidRPr="004D50B4">
              <w:t>Once every 5 years for each POTW</w:t>
            </w:r>
            <w:r w:rsidR="004E01E6" w:rsidRPr="004D50B4">
              <w:t>-</w:t>
            </w:r>
            <w:r w:rsidRPr="004D50B4">
              <w:t>regulated IU</w:t>
            </w:r>
          </w:p>
        </w:tc>
        <w:tc>
          <w:tcPr>
            <w:tcW w:w="923" w:type="dxa"/>
          </w:tcPr>
          <w:p w14:paraId="7B48C54B" w14:textId="77777777" w:rsidR="00C6520E" w:rsidRPr="004D50B4" w:rsidRDefault="00C6520E" w:rsidP="00EF1FFC">
            <w:pPr>
              <w:pStyle w:val="Tables"/>
              <w:jc w:val="right"/>
            </w:pPr>
            <w:r w:rsidRPr="004D50B4">
              <w:t>20</w:t>
            </w:r>
          </w:p>
        </w:tc>
      </w:tr>
      <w:tr w:rsidR="00C6520E" w14:paraId="5FACB29E" w14:textId="77777777" w:rsidTr="00EF1FFC">
        <w:tc>
          <w:tcPr>
            <w:tcW w:w="4045" w:type="dxa"/>
          </w:tcPr>
          <w:p w14:paraId="08F32D1E" w14:textId="59E5CA48" w:rsidR="00C6520E" w:rsidRPr="004D50B4" w:rsidRDefault="00C6520E" w:rsidP="00EF1FFC">
            <w:pPr>
              <w:pStyle w:val="Tables"/>
            </w:pPr>
            <w:r w:rsidRPr="004D50B4">
              <w:t xml:space="preserve">Inspection and </w:t>
            </w:r>
            <w:r w:rsidR="00F60221" w:rsidRPr="004D50B4">
              <w:t xml:space="preserve">sampling </w:t>
            </w:r>
            <w:r w:rsidRPr="004D50B4">
              <w:t>of CIU and SIUs</w:t>
            </w:r>
          </w:p>
        </w:tc>
        <w:tc>
          <w:tcPr>
            <w:tcW w:w="4382" w:type="dxa"/>
          </w:tcPr>
          <w:p w14:paraId="74168501" w14:textId="1C822D39" w:rsidR="00C6520E" w:rsidRPr="004D50B4" w:rsidRDefault="00C6520E" w:rsidP="00EF1FFC">
            <w:pPr>
              <w:pStyle w:val="Tables"/>
            </w:pPr>
            <w:r w:rsidRPr="004D50B4">
              <w:t>One per year for SIUs; one per 2 year</w:t>
            </w:r>
            <w:r w:rsidR="004E01E6" w:rsidRPr="004D50B4">
              <w:t>s</w:t>
            </w:r>
            <w:r w:rsidRPr="004D50B4">
              <w:t xml:space="preserve"> for </w:t>
            </w:r>
            <w:r w:rsidR="00A60B49">
              <w:t>CIUs</w:t>
            </w:r>
          </w:p>
        </w:tc>
        <w:tc>
          <w:tcPr>
            <w:tcW w:w="923" w:type="dxa"/>
          </w:tcPr>
          <w:p w14:paraId="1EF95E8B" w14:textId="77777777" w:rsidR="00C6520E" w:rsidRPr="004D50B4" w:rsidRDefault="00C6520E" w:rsidP="00EF1FFC">
            <w:pPr>
              <w:pStyle w:val="Tables"/>
              <w:jc w:val="right"/>
            </w:pPr>
            <w:r w:rsidRPr="004D50B4">
              <w:t>8</w:t>
            </w:r>
          </w:p>
        </w:tc>
      </w:tr>
      <w:tr w:rsidR="00C6520E" w14:paraId="64E48EBB" w14:textId="77777777" w:rsidTr="00EF1FFC">
        <w:tc>
          <w:tcPr>
            <w:tcW w:w="4045" w:type="dxa"/>
          </w:tcPr>
          <w:p w14:paraId="7F4D331B" w14:textId="4254AA48" w:rsidR="00C6520E" w:rsidRPr="004D50B4" w:rsidRDefault="00C6520E" w:rsidP="00EF1FFC">
            <w:pPr>
              <w:pStyle w:val="Tables"/>
            </w:pPr>
            <w:r w:rsidRPr="004D50B4">
              <w:t xml:space="preserve">CIU and SIU </w:t>
            </w:r>
            <w:r w:rsidR="00F60221" w:rsidRPr="004D50B4">
              <w:t>effluent analysis</w:t>
            </w:r>
          </w:p>
        </w:tc>
        <w:tc>
          <w:tcPr>
            <w:tcW w:w="4382" w:type="dxa"/>
          </w:tcPr>
          <w:p w14:paraId="4FAE9F99" w14:textId="523A81A9" w:rsidR="00C6520E" w:rsidRPr="004D50B4" w:rsidRDefault="004E01E6" w:rsidP="00EF1FFC">
            <w:pPr>
              <w:pStyle w:val="Tables"/>
            </w:pPr>
            <w:r w:rsidRPr="004D50B4">
              <w:t xml:space="preserve">One per year for SIUs; one per 2 years for </w:t>
            </w:r>
            <w:r w:rsidR="00A60B49">
              <w:t>CIUs</w:t>
            </w:r>
          </w:p>
        </w:tc>
        <w:tc>
          <w:tcPr>
            <w:tcW w:w="923" w:type="dxa"/>
          </w:tcPr>
          <w:p w14:paraId="792D961B" w14:textId="77777777" w:rsidR="00C6520E" w:rsidRPr="004D50B4" w:rsidRDefault="00C6520E" w:rsidP="00EF1FFC">
            <w:pPr>
              <w:pStyle w:val="Tables"/>
              <w:jc w:val="right"/>
            </w:pPr>
            <w:r w:rsidRPr="004D50B4">
              <w:t>15.2</w:t>
            </w:r>
          </w:p>
        </w:tc>
      </w:tr>
      <w:tr w:rsidR="00C6520E" w14:paraId="247DD0E0" w14:textId="77777777" w:rsidTr="00EF1FFC">
        <w:tc>
          <w:tcPr>
            <w:tcW w:w="4045" w:type="dxa"/>
          </w:tcPr>
          <w:p w14:paraId="2F447EC4" w14:textId="1745B9FD" w:rsidR="00C6520E" w:rsidRPr="004D50B4" w:rsidRDefault="00C6520E" w:rsidP="00EF1FFC">
            <w:pPr>
              <w:pStyle w:val="Tables"/>
            </w:pPr>
            <w:r w:rsidRPr="004D50B4">
              <w:t xml:space="preserve">Establish </w:t>
            </w:r>
            <w:r w:rsidR="00F60221" w:rsidRPr="004D50B4">
              <w:t>mass limits</w:t>
            </w:r>
          </w:p>
        </w:tc>
        <w:tc>
          <w:tcPr>
            <w:tcW w:w="4382" w:type="dxa"/>
          </w:tcPr>
          <w:p w14:paraId="71BFEF14" w14:textId="77777777" w:rsidR="00C6520E" w:rsidRPr="004D50B4" w:rsidRDefault="00C6520E" w:rsidP="00EF1FFC">
            <w:pPr>
              <w:pStyle w:val="Tables"/>
            </w:pPr>
            <w:r w:rsidRPr="004D50B4">
              <w:t>One percent of estimated 12,000 facilities in 14 industrial categories with pretreatment standards</w:t>
            </w:r>
          </w:p>
        </w:tc>
        <w:tc>
          <w:tcPr>
            <w:tcW w:w="923" w:type="dxa"/>
          </w:tcPr>
          <w:p w14:paraId="6B43D636" w14:textId="77777777" w:rsidR="00C6520E" w:rsidRPr="004D50B4" w:rsidRDefault="00C6520E" w:rsidP="00EF1FFC">
            <w:pPr>
              <w:pStyle w:val="Tables"/>
              <w:jc w:val="right"/>
            </w:pPr>
            <w:r w:rsidRPr="004D50B4">
              <w:t>8</w:t>
            </w:r>
          </w:p>
        </w:tc>
      </w:tr>
      <w:tr w:rsidR="00C6520E" w14:paraId="2D2C26FE" w14:textId="77777777" w:rsidTr="00EF1FFC">
        <w:tc>
          <w:tcPr>
            <w:tcW w:w="4045" w:type="dxa"/>
          </w:tcPr>
          <w:p w14:paraId="09C2F393" w14:textId="307D1706" w:rsidR="00C6520E" w:rsidRPr="004D50B4" w:rsidRDefault="00C6520E" w:rsidP="00EF1FFC">
            <w:pPr>
              <w:pStyle w:val="Tables"/>
            </w:pPr>
            <w:r w:rsidRPr="004D50B4">
              <w:t xml:space="preserve">Establish </w:t>
            </w:r>
            <w:r w:rsidR="00F60221" w:rsidRPr="004D50B4">
              <w:t>equivalent concentration limits</w:t>
            </w:r>
          </w:p>
        </w:tc>
        <w:tc>
          <w:tcPr>
            <w:tcW w:w="4382" w:type="dxa"/>
          </w:tcPr>
          <w:p w14:paraId="17070BD9" w14:textId="7AC67574" w:rsidR="00C6520E" w:rsidRPr="004D50B4" w:rsidRDefault="002F0421" w:rsidP="00EF1FFC">
            <w:pPr>
              <w:pStyle w:val="Tables"/>
            </w:pPr>
            <w:r>
              <w:t>4</w:t>
            </w:r>
            <w:r w:rsidRPr="004D50B4">
              <w:t xml:space="preserve"> </w:t>
            </w:r>
            <w:r w:rsidR="00C6520E" w:rsidRPr="004D50B4">
              <w:t>percent of estimated 420 CIUs in categories eligible for concentration-based limits</w:t>
            </w:r>
          </w:p>
        </w:tc>
        <w:tc>
          <w:tcPr>
            <w:tcW w:w="923" w:type="dxa"/>
          </w:tcPr>
          <w:p w14:paraId="045E3537" w14:textId="77777777" w:rsidR="00C6520E" w:rsidRPr="004D50B4" w:rsidRDefault="00C6520E" w:rsidP="00EF1FFC">
            <w:pPr>
              <w:pStyle w:val="Tables"/>
              <w:jc w:val="right"/>
            </w:pPr>
            <w:r w:rsidRPr="004D50B4">
              <w:t>8</w:t>
            </w:r>
          </w:p>
        </w:tc>
      </w:tr>
      <w:tr w:rsidR="00C6520E" w14:paraId="54B5DBD6" w14:textId="77777777" w:rsidTr="00EF1FFC">
        <w:tc>
          <w:tcPr>
            <w:tcW w:w="4045" w:type="dxa"/>
          </w:tcPr>
          <w:p w14:paraId="11E0B7F7" w14:textId="233F50C7" w:rsidR="00C6520E" w:rsidRPr="004D50B4" w:rsidRDefault="00C6520E" w:rsidP="00EF1FFC">
            <w:pPr>
              <w:pStyle w:val="Tables"/>
            </w:pPr>
            <w:r w:rsidRPr="004D50B4">
              <w:t xml:space="preserve">Public </w:t>
            </w:r>
            <w:r w:rsidR="00F60221" w:rsidRPr="004D50B4">
              <w:t xml:space="preserve">notification </w:t>
            </w:r>
            <w:r w:rsidRPr="004D50B4">
              <w:t xml:space="preserve">of </w:t>
            </w:r>
            <w:r w:rsidR="00F60221" w:rsidRPr="004D50B4">
              <w:t>significant noncompliance</w:t>
            </w:r>
          </w:p>
        </w:tc>
        <w:tc>
          <w:tcPr>
            <w:tcW w:w="4382" w:type="dxa"/>
          </w:tcPr>
          <w:p w14:paraId="74FE4276" w14:textId="77777777" w:rsidR="00C6520E" w:rsidRPr="004D50B4" w:rsidRDefault="00C6520E" w:rsidP="00EF1FFC">
            <w:pPr>
              <w:pStyle w:val="Tables"/>
            </w:pPr>
            <w:r w:rsidRPr="004D50B4">
              <w:t>One third of POTWs per year</w:t>
            </w:r>
          </w:p>
        </w:tc>
        <w:tc>
          <w:tcPr>
            <w:tcW w:w="923" w:type="dxa"/>
          </w:tcPr>
          <w:p w14:paraId="5948B0DC" w14:textId="77777777" w:rsidR="00C6520E" w:rsidRPr="004D50B4" w:rsidRDefault="00C6520E" w:rsidP="00EF1FFC">
            <w:pPr>
              <w:pStyle w:val="Tables"/>
              <w:jc w:val="right"/>
            </w:pPr>
            <w:r w:rsidRPr="004D50B4">
              <w:t>3</w:t>
            </w:r>
          </w:p>
        </w:tc>
      </w:tr>
      <w:tr w:rsidR="00C6520E" w14:paraId="4E31B84F" w14:textId="77777777" w:rsidTr="00EF1FFC">
        <w:tc>
          <w:tcPr>
            <w:tcW w:w="4045" w:type="dxa"/>
          </w:tcPr>
          <w:p w14:paraId="5FBF7A81" w14:textId="39972A46" w:rsidR="00C6520E" w:rsidRPr="004D50B4" w:rsidRDefault="00C6520E" w:rsidP="00EF1FFC">
            <w:pPr>
              <w:pStyle w:val="Tables"/>
            </w:pPr>
            <w:r w:rsidRPr="004D50B4">
              <w:t xml:space="preserve">Evaluation of the </w:t>
            </w:r>
            <w:r w:rsidR="00F60221" w:rsidRPr="004D50B4">
              <w:t xml:space="preserve">need </w:t>
            </w:r>
            <w:r w:rsidRPr="004D50B4">
              <w:t xml:space="preserve">to </w:t>
            </w:r>
            <w:r w:rsidR="00F60221" w:rsidRPr="004D50B4">
              <w:t>revise local limits</w:t>
            </w:r>
          </w:p>
        </w:tc>
        <w:tc>
          <w:tcPr>
            <w:tcW w:w="4382" w:type="dxa"/>
          </w:tcPr>
          <w:p w14:paraId="4FCB97EE" w14:textId="77777777" w:rsidR="00C6520E" w:rsidRPr="004D50B4" w:rsidRDefault="00C6520E" w:rsidP="00EF1FFC">
            <w:pPr>
              <w:pStyle w:val="Tables"/>
            </w:pPr>
            <w:r w:rsidRPr="004D50B4">
              <w:t>Once every 5 years for each POTW</w:t>
            </w:r>
          </w:p>
        </w:tc>
        <w:tc>
          <w:tcPr>
            <w:tcW w:w="923" w:type="dxa"/>
          </w:tcPr>
          <w:p w14:paraId="509062F9" w14:textId="77777777" w:rsidR="00C6520E" w:rsidRPr="004D50B4" w:rsidRDefault="00C6520E" w:rsidP="00EF1FFC">
            <w:pPr>
              <w:pStyle w:val="Tables"/>
              <w:jc w:val="right"/>
            </w:pPr>
            <w:r w:rsidRPr="004D50B4">
              <w:t>50</w:t>
            </w:r>
          </w:p>
        </w:tc>
      </w:tr>
      <w:tr w:rsidR="00C6520E" w14:paraId="27E989B5" w14:textId="77777777" w:rsidTr="00EF1FFC">
        <w:tc>
          <w:tcPr>
            <w:tcW w:w="4045" w:type="dxa"/>
          </w:tcPr>
          <w:p w14:paraId="64787DF9" w14:textId="5C33A197" w:rsidR="00C6520E" w:rsidRPr="004D50B4" w:rsidRDefault="00C6520E" w:rsidP="00EF1FFC">
            <w:pPr>
              <w:pStyle w:val="Tables"/>
            </w:pPr>
            <w:r w:rsidRPr="004D50B4">
              <w:t xml:space="preserve">Removal </w:t>
            </w:r>
            <w:r w:rsidR="00F60221" w:rsidRPr="004D50B4">
              <w:t>credit app</w:t>
            </w:r>
            <w:r w:rsidR="003E5304">
              <w:t>lications</w:t>
            </w:r>
          </w:p>
        </w:tc>
        <w:tc>
          <w:tcPr>
            <w:tcW w:w="4382" w:type="dxa"/>
          </w:tcPr>
          <w:p w14:paraId="7D859A09" w14:textId="5E777ADC" w:rsidR="00C6520E" w:rsidRPr="004D50B4" w:rsidRDefault="0008669A" w:rsidP="00EF1FFC">
            <w:pPr>
              <w:pStyle w:val="Tables"/>
            </w:pPr>
            <w:r>
              <w:t>1.</w:t>
            </w:r>
            <w:r w:rsidR="002F0421">
              <w:t>3</w:t>
            </w:r>
            <w:r w:rsidR="002F0421" w:rsidRPr="004D50B4">
              <w:t xml:space="preserve"> </w:t>
            </w:r>
            <w:r w:rsidR="00C6520E" w:rsidRPr="004D50B4">
              <w:t>per year</w:t>
            </w:r>
          </w:p>
        </w:tc>
        <w:tc>
          <w:tcPr>
            <w:tcW w:w="923" w:type="dxa"/>
          </w:tcPr>
          <w:p w14:paraId="097350A5" w14:textId="77777777" w:rsidR="00C6520E" w:rsidRPr="004D50B4" w:rsidRDefault="00C6520E" w:rsidP="00EF1FFC">
            <w:pPr>
              <w:pStyle w:val="Tables"/>
              <w:jc w:val="right"/>
            </w:pPr>
            <w:r w:rsidRPr="004D50B4">
              <w:t>125</w:t>
            </w:r>
          </w:p>
        </w:tc>
      </w:tr>
      <w:tr w:rsidR="00C6520E" w14:paraId="5153B891" w14:textId="77777777" w:rsidTr="00EF1FFC">
        <w:tc>
          <w:tcPr>
            <w:tcW w:w="4045" w:type="dxa"/>
          </w:tcPr>
          <w:p w14:paraId="4554AE55" w14:textId="18CC0E7D" w:rsidR="00C6520E" w:rsidRPr="004D50B4" w:rsidRDefault="00C6520E" w:rsidP="00EF1FFC">
            <w:pPr>
              <w:pStyle w:val="Tables"/>
            </w:pPr>
            <w:r w:rsidRPr="004D50B4">
              <w:t xml:space="preserve">Removal </w:t>
            </w:r>
            <w:r w:rsidR="00F60221" w:rsidRPr="004D50B4">
              <w:t>credit self</w:t>
            </w:r>
            <w:r w:rsidRPr="004D50B4">
              <w:t>-</w:t>
            </w:r>
            <w:r w:rsidR="00F60221" w:rsidRPr="004D50B4">
              <w:t>monitoring reports</w:t>
            </w:r>
          </w:p>
        </w:tc>
        <w:tc>
          <w:tcPr>
            <w:tcW w:w="4382" w:type="dxa"/>
          </w:tcPr>
          <w:p w14:paraId="5CB0DAF4" w14:textId="6E5B4E5B" w:rsidR="00C6520E" w:rsidRPr="004D50B4" w:rsidRDefault="0008669A" w:rsidP="00EF1FFC">
            <w:pPr>
              <w:pStyle w:val="Tables"/>
            </w:pPr>
            <w:r>
              <w:t>1.3</w:t>
            </w:r>
            <w:r w:rsidR="00C6520E" w:rsidRPr="004D50B4">
              <w:t xml:space="preserve"> per year</w:t>
            </w:r>
          </w:p>
        </w:tc>
        <w:tc>
          <w:tcPr>
            <w:tcW w:w="923" w:type="dxa"/>
          </w:tcPr>
          <w:p w14:paraId="07CCA7F3" w14:textId="77777777" w:rsidR="00C6520E" w:rsidRPr="004D50B4" w:rsidRDefault="00C6520E" w:rsidP="00EF1FFC">
            <w:pPr>
              <w:pStyle w:val="Tables"/>
              <w:jc w:val="right"/>
            </w:pPr>
            <w:r w:rsidRPr="004D50B4">
              <w:t>40</w:t>
            </w:r>
          </w:p>
        </w:tc>
      </w:tr>
      <w:tr w:rsidR="00C6520E" w14:paraId="346B2390" w14:textId="77777777" w:rsidTr="00EF1FFC">
        <w:tc>
          <w:tcPr>
            <w:tcW w:w="4045" w:type="dxa"/>
          </w:tcPr>
          <w:p w14:paraId="13DC81B9" w14:textId="70F44194" w:rsidR="00C6520E" w:rsidRPr="004D50B4" w:rsidRDefault="00C6520E" w:rsidP="00EF1FFC">
            <w:pPr>
              <w:pStyle w:val="Tables"/>
            </w:pPr>
            <w:r w:rsidRPr="004D50B4">
              <w:t>Recordkeeping</w:t>
            </w:r>
          </w:p>
        </w:tc>
        <w:tc>
          <w:tcPr>
            <w:tcW w:w="4382" w:type="dxa"/>
          </w:tcPr>
          <w:p w14:paraId="0D695107" w14:textId="77777777" w:rsidR="00C6520E" w:rsidRPr="004D50B4" w:rsidRDefault="00C6520E" w:rsidP="00EF1FFC">
            <w:pPr>
              <w:pStyle w:val="Tables"/>
            </w:pPr>
            <w:r w:rsidRPr="004D50B4">
              <w:t>One per year for each POTW</w:t>
            </w:r>
          </w:p>
        </w:tc>
        <w:tc>
          <w:tcPr>
            <w:tcW w:w="923" w:type="dxa"/>
          </w:tcPr>
          <w:p w14:paraId="1C564393" w14:textId="77777777" w:rsidR="00C6520E" w:rsidRPr="004D50B4" w:rsidRDefault="00C6520E" w:rsidP="00EF1FFC">
            <w:pPr>
              <w:pStyle w:val="Tables"/>
              <w:jc w:val="right"/>
            </w:pPr>
            <w:r w:rsidRPr="004D50B4">
              <w:t>100</w:t>
            </w:r>
          </w:p>
        </w:tc>
      </w:tr>
    </w:tbl>
    <w:p w14:paraId="5582ED4D" w14:textId="77777777" w:rsidR="00A24675" w:rsidRDefault="00A24675" w:rsidP="004366AF">
      <w:pPr>
        <w:spacing w:after="0"/>
        <w:rPr>
          <w:i/>
        </w:rPr>
      </w:pPr>
    </w:p>
    <w:p w14:paraId="4DD54631" w14:textId="45035FAD" w:rsidR="00282E8F" w:rsidRDefault="00A24675" w:rsidP="00C6520E">
      <w:r w:rsidRPr="00786C04">
        <w:rPr>
          <w:i/>
        </w:rPr>
        <w:t>States</w:t>
      </w:r>
      <w:r w:rsidR="00282E8F">
        <w:rPr>
          <w:i/>
        </w:rPr>
        <w:t>/</w:t>
      </w:r>
      <w:r w:rsidR="00D2564C">
        <w:rPr>
          <w:i/>
        </w:rPr>
        <w:t>f</w:t>
      </w:r>
      <w:r w:rsidR="00282E8F">
        <w:rPr>
          <w:i/>
        </w:rPr>
        <w:t>ederal</w:t>
      </w:r>
      <w:r w:rsidRPr="00786C04">
        <w:rPr>
          <w:i/>
        </w:rPr>
        <w:t>.</w:t>
      </w:r>
      <w:r w:rsidR="004E01E6">
        <w:t xml:space="preserve"> </w:t>
      </w:r>
      <w:r w:rsidR="00282E8F">
        <w:t xml:space="preserve">Some activities performed by </w:t>
      </w:r>
      <w:r w:rsidR="00EE120D">
        <w:t>a</w:t>
      </w:r>
      <w:r w:rsidR="00282E8F">
        <w:t xml:space="preserve">uthorized </w:t>
      </w:r>
      <w:r w:rsidR="00EE120D">
        <w:t>s</w:t>
      </w:r>
      <w:r w:rsidR="00282E8F">
        <w:t xml:space="preserve">tates are performed by EPA Regions where EPA is the Control Authority. </w:t>
      </w:r>
      <w:r w:rsidR="00D629CD">
        <w:t>T</w:t>
      </w:r>
      <w:r w:rsidR="00282E8F">
        <w:t xml:space="preserve">able </w:t>
      </w:r>
      <w:r w:rsidR="00D629CD">
        <w:t xml:space="preserve">A.3 </w:t>
      </w:r>
      <w:r w:rsidR="00282E8F">
        <w:t>include</w:t>
      </w:r>
      <w:r w:rsidR="00D629CD">
        <w:t>s</w:t>
      </w:r>
      <w:r w:rsidR="00282E8F">
        <w:t xml:space="preserve"> assumptions for both.</w:t>
      </w:r>
    </w:p>
    <w:p w14:paraId="6EE151BA" w14:textId="5B391AE5" w:rsidR="00C6520E" w:rsidRDefault="00352E6F" w:rsidP="00871F94">
      <w:pPr>
        <w:pStyle w:val="Caption"/>
      </w:pPr>
      <w:r>
        <w:t>Table A.3</w:t>
      </w:r>
      <w:r w:rsidR="00C6520E">
        <w:t xml:space="preserve"> </w:t>
      </w:r>
      <w:r w:rsidR="00C6520E" w:rsidRPr="002E16EF">
        <w:t xml:space="preserve">Summary of </w:t>
      </w:r>
      <w:r w:rsidR="00E02336">
        <w:t>B</w:t>
      </w:r>
      <w:r w:rsidR="004E01E6">
        <w:t xml:space="preserve">urden </w:t>
      </w:r>
      <w:r w:rsidR="00E02336">
        <w:t>A</w:t>
      </w:r>
      <w:r w:rsidR="004E01E6" w:rsidRPr="002E16EF">
        <w:t xml:space="preserve">ssumption </w:t>
      </w:r>
      <w:r w:rsidR="00E02336">
        <w:t>R</w:t>
      </w:r>
      <w:r w:rsidR="004E01E6" w:rsidRPr="002E16EF">
        <w:t xml:space="preserve">elated </w:t>
      </w:r>
      <w:r w:rsidR="00C6520E" w:rsidRPr="002E16EF">
        <w:t xml:space="preserve">to </w:t>
      </w:r>
      <w:r w:rsidR="00E02336">
        <w:t>S</w:t>
      </w:r>
      <w:r w:rsidR="004E01E6">
        <w:t>tates</w:t>
      </w:r>
    </w:p>
    <w:tbl>
      <w:tblPr>
        <w:tblStyle w:val="TableGrid"/>
        <w:tblW w:w="0" w:type="auto"/>
        <w:tblLook w:val="04A0" w:firstRow="1" w:lastRow="0" w:firstColumn="1" w:lastColumn="0" w:noHBand="0" w:noVBand="1"/>
      </w:tblPr>
      <w:tblGrid>
        <w:gridCol w:w="4135"/>
        <w:gridCol w:w="2790"/>
        <w:gridCol w:w="1502"/>
        <w:gridCol w:w="923"/>
      </w:tblGrid>
      <w:tr w:rsidR="00E40C57" w:rsidRPr="00DA3910" w14:paraId="55D4BBAB" w14:textId="77777777" w:rsidTr="00E02336">
        <w:trPr>
          <w:tblHeader/>
        </w:trPr>
        <w:tc>
          <w:tcPr>
            <w:tcW w:w="4135" w:type="dxa"/>
            <w:shd w:val="clear" w:color="auto" w:fill="D9D9D9" w:themeFill="background1" w:themeFillShade="D9"/>
          </w:tcPr>
          <w:p w14:paraId="55094CD9" w14:textId="3CF327F6" w:rsidR="00E40C57" w:rsidRPr="004D50B4" w:rsidRDefault="00E40C57" w:rsidP="00EF1FFC">
            <w:pPr>
              <w:pStyle w:val="TableTitle"/>
            </w:pPr>
            <w:r w:rsidRPr="004D50B4">
              <w:t xml:space="preserve">State </w:t>
            </w:r>
            <w:r w:rsidR="00E02336">
              <w:t>A</w:t>
            </w:r>
            <w:r w:rsidR="004E01E6" w:rsidRPr="004D50B4">
              <w:t>ctivity</w:t>
            </w:r>
          </w:p>
        </w:tc>
        <w:tc>
          <w:tcPr>
            <w:tcW w:w="2790" w:type="dxa"/>
            <w:shd w:val="clear" w:color="auto" w:fill="D9D9D9" w:themeFill="background1" w:themeFillShade="D9"/>
          </w:tcPr>
          <w:p w14:paraId="60D5F978" w14:textId="6D2C3E62" w:rsidR="00E40C57" w:rsidRPr="004D50B4" w:rsidRDefault="00E40C57" w:rsidP="00EF1FFC">
            <w:pPr>
              <w:pStyle w:val="TableTitle"/>
            </w:pPr>
            <w:r w:rsidRPr="004D50B4">
              <w:t xml:space="preserve">State </w:t>
            </w:r>
            <w:r w:rsidR="00E02336">
              <w:t>F</w:t>
            </w:r>
            <w:r w:rsidR="004E01E6" w:rsidRPr="004D50B4">
              <w:t>requency</w:t>
            </w:r>
          </w:p>
        </w:tc>
        <w:tc>
          <w:tcPr>
            <w:tcW w:w="1502" w:type="dxa"/>
            <w:shd w:val="clear" w:color="auto" w:fill="D9D9D9" w:themeFill="background1" w:themeFillShade="D9"/>
          </w:tcPr>
          <w:p w14:paraId="66403925" w14:textId="1FB104C0" w:rsidR="00E40C57" w:rsidRPr="004D50B4" w:rsidRDefault="00E40C57" w:rsidP="00EF1FFC">
            <w:pPr>
              <w:pStyle w:val="TableTitle"/>
            </w:pPr>
            <w:r w:rsidRPr="004D50B4">
              <w:t xml:space="preserve">EPA </w:t>
            </w:r>
            <w:r w:rsidR="00E02336">
              <w:t>F</w:t>
            </w:r>
            <w:r w:rsidR="004E01E6" w:rsidRPr="004D50B4">
              <w:t>requency</w:t>
            </w:r>
          </w:p>
        </w:tc>
        <w:tc>
          <w:tcPr>
            <w:tcW w:w="923" w:type="dxa"/>
            <w:shd w:val="clear" w:color="auto" w:fill="D9D9D9" w:themeFill="background1" w:themeFillShade="D9"/>
          </w:tcPr>
          <w:p w14:paraId="0BD06C3B" w14:textId="5667C6BE" w:rsidR="00E40C57" w:rsidRPr="004D50B4" w:rsidRDefault="00E40C57" w:rsidP="00EF1FFC">
            <w:pPr>
              <w:pStyle w:val="TableTitle"/>
            </w:pPr>
            <w:r w:rsidRPr="004D50B4">
              <w:t>Burden (hours)</w:t>
            </w:r>
          </w:p>
        </w:tc>
      </w:tr>
      <w:tr w:rsidR="00E40C57" w14:paraId="16744093" w14:textId="77777777" w:rsidTr="00E02336">
        <w:tc>
          <w:tcPr>
            <w:tcW w:w="4135" w:type="dxa"/>
          </w:tcPr>
          <w:p w14:paraId="5D307DB7" w14:textId="2336D15A" w:rsidR="00E40C57" w:rsidRPr="004D50B4" w:rsidRDefault="00E40C57" w:rsidP="00EF1FFC">
            <w:pPr>
              <w:pStyle w:val="Tables"/>
            </w:pPr>
            <w:r w:rsidRPr="004D50B4">
              <w:t xml:space="preserve">Issuance of SIU </w:t>
            </w:r>
            <w:r w:rsidR="004E01E6" w:rsidRPr="004D50B4">
              <w:t>discharge permits</w:t>
            </w:r>
          </w:p>
        </w:tc>
        <w:tc>
          <w:tcPr>
            <w:tcW w:w="2790" w:type="dxa"/>
          </w:tcPr>
          <w:p w14:paraId="2853B338" w14:textId="77777777" w:rsidR="00E40C57" w:rsidRPr="004D50B4" w:rsidRDefault="00E40C57" w:rsidP="00EF1FFC">
            <w:pPr>
              <w:pStyle w:val="Tables"/>
            </w:pPr>
            <w:r w:rsidRPr="004D50B4">
              <w:t>Once every 5 years for each IU with a permit</w:t>
            </w:r>
          </w:p>
        </w:tc>
        <w:tc>
          <w:tcPr>
            <w:tcW w:w="1502" w:type="dxa"/>
          </w:tcPr>
          <w:p w14:paraId="65B908A7" w14:textId="0C7EEAF0" w:rsidR="00E40C57" w:rsidRPr="004D50B4" w:rsidRDefault="00791C1A" w:rsidP="00EF1FFC">
            <w:pPr>
              <w:pStyle w:val="Tables"/>
            </w:pPr>
            <w:r w:rsidRPr="004D50B4">
              <w:t>Same</w:t>
            </w:r>
          </w:p>
        </w:tc>
        <w:tc>
          <w:tcPr>
            <w:tcW w:w="923" w:type="dxa"/>
          </w:tcPr>
          <w:p w14:paraId="2E0F27BD" w14:textId="48DD1D47" w:rsidR="00E40C57" w:rsidRPr="004D50B4" w:rsidRDefault="00E40C57" w:rsidP="00EF1FFC">
            <w:pPr>
              <w:pStyle w:val="Tables"/>
            </w:pPr>
            <w:r w:rsidRPr="004D50B4">
              <w:t>20</w:t>
            </w:r>
          </w:p>
        </w:tc>
      </w:tr>
      <w:tr w:rsidR="00E40C57" w14:paraId="0842CF4A" w14:textId="77777777" w:rsidTr="00E02336">
        <w:tc>
          <w:tcPr>
            <w:tcW w:w="4135" w:type="dxa"/>
          </w:tcPr>
          <w:p w14:paraId="04DE02C0" w14:textId="695AB59D" w:rsidR="00E40C57" w:rsidRPr="004D50B4" w:rsidRDefault="00E40C57" w:rsidP="00EF1FFC">
            <w:pPr>
              <w:pStyle w:val="Tables"/>
            </w:pPr>
            <w:r w:rsidRPr="004D50B4">
              <w:t xml:space="preserve">Inspection and </w:t>
            </w:r>
            <w:r w:rsidR="004E01E6" w:rsidRPr="004D50B4">
              <w:t xml:space="preserve">sampling </w:t>
            </w:r>
            <w:r w:rsidRPr="004D50B4">
              <w:t>of CIU and SIUs</w:t>
            </w:r>
          </w:p>
        </w:tc>
        <w:tc>
          <w:tcPr>
            <w:tcW w:w="2790" w:type="dxa"/>
          </w:tcPr>
          <w:p w14:paraId="541C2DD4" w14:textId="59BBC1A8" w:rsidR="00E40C57" w:rsidRPr="004D50B4" w:rsidRDefault="00E40C57" w:rsidP="00EF1FFC">
            <w:pPr>
              <w:pStyle w:val="Tables"/>
            </w:pPr>
            <w:r w:rsidRPr="004D50B4">
              <w:t xml:space="preserve">One per year for 8.5 percent of SIUs; one per 2 year for </w:t>
            </w:r>
            <w:r w:rsidR="00E7220F">
              <w:t>CIUs</w:t>
            </w:r>
          </w:p>
        </w:tc>
        <w:tc>
          <w:tcPr>
            <w:tcW w:w="1502" w:type="dxa"/>
          </w:tcPr>
          <w:p w14:paraId="0C4B871F" w14:textId="32CF3F28" w:rsidR="00E40C57" w:rsidRPr="004D50B4" w:rsidRDefault="008A089A" w:rsidP="00EF1FFC">
            <w:pPr>
              <w:pStyle w:val="Tables"/>
            </w:pPr>
            <w:r>
              <w:t>NA</w:t>
            </w:r>
          </w:p>
        </w:tc>
        <w:tc>
          <w:tcPr>
            <w:tcW w:w="923" w:type="dxa"/>
          </w:tcPr>
          <w:p w14:paraId="5817130D" w14:textId="068DE309" w:rsidR="00E40C57" w:rsidRPr="004D50B4" w:rsidRDefault="00E40C57" w:rsidP="00EF1FFC">
            <w:pPr>
              <w:pStyle w:val="Tables"/>
            </w:pPr>
            <w:r w:rsidRPr="004D50B4">
              <w:t>8</w:t>
            </w:r>
          </w:p>
        </w:tc>
      </w:tr>
      <w:tr w:rsidR="00E40C57" w14:paraId="037F1DCB" w14:textId="77777777" w:rsidTr="00E02336">
        <w:tc>
          <w:tcPr>
            <w:tcW w:w="4135" w:type="dxa"/>
          </w:tcPr>
          <w:p w14:paraId="0616FD23" w14:textId="275FE9CA" w:rsidR="00E40C57" w:rsidRPr="004D50B4" w:rsidRDefault="00E40C57" w:rsidP="00EF1FFC">
            <w:pPr>
              <w:pStyle w:val="Tables"/>
            </w:pPr>
            <w:r w:rsidRPr="004D50B4">
              <w:t xml:space="preserve">CIU and SIU </w:t>
            </w:r>
            <w:r w:rsidR="004E01E6" w:rsidRPr="004D50B4">
              <w:t>effluent analysis</w:t>
            </w:r>
          </w:p>
        </w:tc>
        <w:tc>
          <w:tcPr>
            <w:tcW w:w="2790" w:type="dxa"/>
          </w:tcPr>
          <w:p w14:paraId="3AF9E47B" w14:textId="76C3D3C9" w:rsidR="00E40C57" w:rsidRPr="004D50B4" w:rsidRDefault="002F0421" w:rsidP="00EF1FFC">
            <w:pPr>
              <w:pStyle w:val="Tables"/>
            </w:pPr>
            <w:r w:rsidRPr="004D50B4">
              <w:t xml:space="preserve">One per year for 8.5 percent of SIUs; one per 2 year for </w:t>
            </w:r>
            <w:r w:rsidR="00E7220F">
              <w:t>CIUs</w:t>
            </w:r>
          </w:p>
        </w:tc>
        <w:tc>
          <w:tcPr>
            <w:tcW w:w="1502" w:type="dxa"/>
          </w:tcPr>
          <w:p w14:paraId="26449DEC" w14:textId="37EA4E6B" w:rsidR="00E40C57" w:rsidRPr="004D50B4" w:rsidRDefault="008A089A" w:rsidP="00EF1FFC">
            <w:pPr>
              <w:pStyle w:val="Tables"/>
            </w:pPr>
            <w:r>
              <w:t>NA</w:t>
            </w:r>
          </w:p>
        </w:tc>
        <w:tc>
          <w:tcPr>
            <w:tcW w:w="923" w:type="dxa"/>
          </w:tcPr>
          <w:p w14:paraId="1FBF2870" w14:textId="488B623D" w:rsidR="00E40C57" w:rsidRPr="004D50B4" w:rsidRDefault="00E40C57" w:rsidP="00EF1FFC">
            <w:pPr>
              <w:pStyle w:val="Tables"/>
            </w:pPr>
            <w:r w:rsidRPr="004D50B4">
              <w:t>15.2</w:t>
            </w:r>
          </w:p>
        </w:tc>
      </w:tr>
      <w:tr w:rsidR="00E40C57" w14:paraId="7AD3532E" w14:textId="77777777" w:rsidTr="00E02336">
        <w:tc>
          <w:tcPr>
            <w:tcW w:w="4135" w:type="dxa"/>
          </w:tcPr>
          <w:p w14:paraId="3EA6A4B3" w14:textId="3DABF9B8" w:rsidR="00E40C57" w:rsidRPr="004D50B4" w:rsidRDefault="00E40C57" w:rsidP="00EF1FFC">
            <w:pPr>
              <w:pStyle w:val="Tables"/>
            </w:pPr>
            <w:r w:rsidRPr="004D50B4">
              <w:t xml:space="preserve">Public </w:t>
            </w:r>
            <w:r w:rsidR="004E01E6" w:rsidRPr="004D50B4">
              <w:t xml:space="preserve">notification </w:t>
            </w:r>
            <w:r w:rsidRPr="004D50B4">
              <w:t xml:space="preserve">of </w:t>
            </w:r>
            <w:r w:rsidR="004E01E6" w:rsidRPr="004D50B4">
              <w:t>significant noncompliance</w:t>
            </w:r>
          </w:p>
        </w:tc>
        <w:tc>
          <w:tcPr>
            <w:tcW w:w="2790" w:type="dxa"/>
          </w:tcPr>
          <w:p w14:paraId="1A094A76" w14:textId="77777777" w:rsidR="00E40C57" w:rsidRPr="004D50B4" w:rsidRDefault="00E40C57" w:rsidP="00EF1FFC">
            <w:pPr>
              <w:pStyle w:val="Tables"/>
            </w:pPr>
            <w:r w:rsidRPr="004D50B4">
              <w:t>One third of 85 POTWs in 5 states per year</w:t>
            </w:r>
          </w:p>
        </w:tc>
        <w:tc>
          <w:tcPr>
            <w:tcW w:w="1502" w:type="dxa"/>
          </w:tcPr>
          <w:p w14:paraId="75A2923C" w14:textId="7C07B101" w:rsidR="00E40C57" w:rsidRPr="004D50B4" w:rsidRDefault="00791C1A" w:rsidP="00EF1FFC">
            <w:pPr>
              <w:pStyle w:val="Tables"/>
            </w:pPr>
            <w:r w:rsidRPr="004D50B4">
              <w:t>NA</w:t>
            </w:r>
          </w:p>
        </w:tc>
        <w:tc>
          <w:tcPr>
            <w:tcW w:w="923" w:type="dxa"/>
          </w:tcPr>
          <w:p w14:paraId="717A45C4" w14:textId="316B1F75" w:rsidR="00E40C57" w:rsidRPr="004D50B4" w:rsidRDefault="00E40C57" w:rsidP="00EF1FFC">
            <w:pPr>
              <w:pStyle w:val="Tables"/>
            </w:pPr>
            <w:r w:rsidRPr="004D50B4">
              <w:t>3</w:t>
            </w:r>
          </w:p>
        </w:tc>
      </w:tr>
      <w:tr w:rsidR="00E40C57" w14:paraId="52B78BCA" w14:textId="77777777" w:rsidTr="00E02336">
        <w:tc>
          <w:tcPr>
            <w:tcW w:w="4135" w:type="dxa"/>
          </w:tcPr>
          <w:p w14:paraId="182B09F8" w14:textId="75647C75" w:rsidR="00E40C57" w:rsidRPr="004D50B4" w:rsidRDefault="00E40C57" w:rsidP="00EF1FFC">
            <w:pPr>
              <w:pStyle w:val="Tables"/>
            </w:pPr>
            <w:r w:rsidRPr="004D50B4">
              <w:t xml:space="preserve">Evaluation of the </w:t>
            </w:r>
            <w:r w:rsidR="004E01E6" w:rsidRPr="004D50B4">
              <w:t xml:space="preserve">need </w:t>
            </w:r>
            <w:r w:rsidRPr="004D50B4">
              <w:t xml:space="preserve">to </w:t>
            </w:r>
            <w:r w:rsidR="004E01E6" w:rsidRPr="004D50B4">
              <w:t>revise local limits</w:t>
            </w:r>
          </w:p>
        </w:tc>
        <w:tc>
          <w:tcPr>
            <w:tcW w:w="2790" w:type="dxa"/>
          </w:tcPr>
          <w:p w14:paraId="462A251E" w14:textId="77777777" w:rsidR="00E40C57" w:rsidRPr="004D50B4" w:rsidRDefault="00E40C57" w:rsidP="00EF1FFC">
            <w:pPr>
              <w:pStyle w:val="Tables"/>
            </w:pPr>
            <w:r w:rsidRPr="004D50B4">
              <w:t>Once per 5 years for 85 POTWs in 5 states</w:t>
            </w:r>
          </w:p>
        </w:tc>
        <w:tc>
          <w:tcPr>
            <w:tcW w:w="1502" w:type="dxa"/>
          </w:tcPr>
          <w:p w14:paraId="031EDCED" w14:textId="4E1E7FEE" w:rsidR="00E40C57" w:rsidRPr="004D50B4" w:rsidRDefault="00791C1A" w:rsidP="00EF1FFC">
            <w:pPr>
              <w:pStyle w:val="Tables"/>
            </w:pPr>
            <w:r w:rsidRPr="004D50B4">
              <w:t>NA</w:t>
            </w:r>
          </w:p>
        </w:tc>
        <w:tc>
          <w:tcPr>
            <w:tcW w:w="923" w:type="dxa"/>
          </w:tcPr>
          <w:p w14:paraId="59DEC850" w14:textId="78D0F39E" w:rsidR="00E40C57" w:rsidRPr="004D50B4" w:rsidRDefault="00E40C57" w:rsidP="00EF1FFC">
            <w:pPr>
              <w:pStyle w:val="Tables"/>
            </w:pPr>
            <w:r w:rsidRPr="004D50B4">
              <w:t>50</w:t>
            </w:r>
          </w:p>
        </w:tc>
      </w:tr>
      <w:tr w:rsidR="00E40C57" w14:paraId="271DBFAD" w14:textId="77777777" w:rsidTr="00E02336">
        <w:tc>
          <w:tcPr>
            <w:tcW w:w="4135" w:type="dxa"/>
          </w:tcPr>
          <w:p w14:paraId="0085C177" w14:textId="680D128F" w:rsidR="00E40C57" w:rsidRPr="004D50B4" w:rsidRDefault="00E40C57" w:rsidP="00EF1FFC">
            <w:pPr>
              <w:pStyle w:val="Tables"/>
            </w:pPr>
            <w:r w:rsidRPr="004D50B4">
              <w:t xml:space="preserve">POTW </w:t>
            </w:r>
            <w:r w:rsidR="004E01E6" w:rsidRPr="004D50B4">
              <w:t>pretreatment compliance schedule progress report</w:t>
            </w:r>
          </w:p>
        </w:tc>
        <w:tc>
          <w:tcPr>
            <w:tcW w:w="2790" w:type="dxa"/>
          </w:tcPr>
          <w:p w14:paraId="265B9C1E" w14:textId="3C5C1C97" w:rsidR="00E40C57" w:rsidRPr="004D50B4" w:rsidRDefault="00E40C57" w:rsidP="00EF1FFC">
            <w:pPr>
              <w:pStyle w:val="Tables"/>
            </w:pPr>
            <w:r w:rsidRPr="004D50B4">
              <w:t>34 per year</w:t>
            </w:r>
          </w:p>
        </w:tc>
        <w:tc>
          <w:tcPr>
            <w:tcW w:w="1502" w:type="dxa"/>
          </w:tcPr>
          <w:p w14:paraId="05B67637" w14:textId="49603FDD" w:rsidR="00E40C57" w:rsidRPr="004D50B4" w:rsidRDefault="00791C1A" w:rsidP="00EF1FFC">
            <w:pPr>
              <w:pStyle w:val="Tables"/>
            </w:pPr>
            <w:r w:rsidRPr="004D50B4">
              <w:t>NA</w:t>
            </w:r>
          </w:p>
        </w:tc>
        <w:tc>
          <w:tcPr>
            <w:tcW w:w="923" w:type="dxa"/>
          </w:tcPr>
          <w:p w14:paraId="2381015B" w14:textId="520E328F" w:rsidR="00E40C57" w:rsidRPr="004D50B4" w:rsidRDefault="00E40C57" w:rsidP="00EF1FFC">
            <w:pPr>
              <w:pStyle w:val="Tables"/>
            </w:pPr>
            <w:r w:rsidRPr="004D50B4">
              <w:t>2</w:t>
            </w:r>
          </w:p>
        </w:tc>
      </w:tr>
      <w:tr w:rsidR="00E40C57" w14:paraId="42384A53" w14:textId="77777777" w:rsidTr="00E02336">
        <w:tc>
          <w:tcPr>
            <w:tcW w:w="4135" w:type="dxa"/>
          </w:tcPr>
          <w:p w14:paraId="3B4F0B7E" w14:textId="7E0C3ACF" w:rsidR="00E40C57" w:rsidRPr="004D50B4" w:rsidRDefault="00E40C57" w:rsidP="00EF1FFC">
            <w:pPr>
              <w:pStyle w:val="Tables"/>
            </w:pPr>
            <w:r w:rsidRPr="004D50B4">
              <w:t xml:space="preserve">POTW </w:t>
            </w:r>
            <w:r w:rsidR="004E01E6" w:rsidRPr="004D50B4">
              <w:t>pretreatment program approval request</w:t>
            </w:r>
          </w:p>
        </w:tc>
        <w:tc>
          <w:tcPr>
            <w:tcW w:w="2790" w:type="dxa"/>
          </w:tcPr>
          <w:p w14:paraId="6278AABA" w14:textId="348314B0" w:rsidR="00E40C57" w:rsidRPr="004D50B4" w:rsidRDefault="00475756" w:rsidP="00EF1FFC">
            <w:pPr>
              <w:pStyle w:val="Tables"/>
            </w:pPr>
            <w:r>
              <w:t>2.3</w:t>
            </w:r>
            <w:r w:rsidRPr="004D50B4">
              <w:t xml:space="preserve"> </w:t>
            </w:r>
            <w:r w:rsidR="00E40C57" w:rsidRPr="004D50B4">
              <w:t>per year</w:t>
            </w:r>
          </w:p>
        </w:tc>
        <w:tc>
          <w:tcPr>
            <w:tcW w:w="1502" w:type="dxa"/>
          </w:tcPr>
          <w:p w14:paraId="4978E652" w14:textId="1A85BC22" w:rsidR="00E40C57" w:rsidRPr="004D50B4" w:rsidRDefault="00E40C57" w:rsidP="00EF1FFC">
            <w:pPr>
              <w:pStyle w:val="Tables"/>
            </w:pPr>
            <w:r w:rsidRPr="004D50B4">
              <w:t>NA</w:t>
            </w:r>
          </w:p>
        </w:tc>
        <w:tc>
          <w:tcPr>
            <w:tcW w:w="923" w:type="dxa"/>
          </w:tcPr>
          <w:p w14:paraId="4A3A8620" w14:textId="43E1D36D" w:rsidR="00E40C57" w:rsidRPr="004D50B4" w:rsidRDefault="00E40C57" w:rsidP="00EF1FFC">
            <w:pPr>
              <w:pStyle w:val="Tables"/>
            </w:pPr>
            <w:r w:rsidRPr="004D50B4">
              <w:t>40</w:t>
            </w:r>
          </w:p>
        </w:tc>
      </w:tr>
      <w:tr w:rsidR="00E40C57" w14:paraId="6D4F5700" w14:textId="77777777" w:rsidTr="00E02336">
        <w:tc>
          <w:tcPr>
            <w:tcW w:w="4135" w:type="dxa"/>
          </w:tcPr>
          <w:p w14:paraId="2917693D" w14:textId="67100881" w:rsidR="00E40C57" w:rsidRPr="004D50B4" w:rsidRDefault="00E40C57" w:rsidP="00EF1FFC">
            <w:pPr>
              <w:pStyle w:val="Tables"/>
            </w:pPr>
            <w:r w:rsidRPr="004D50B4">
              <w:t xml:space="preserve">POTW </w:t>
            </w:r>
            <w:r w:rsidR="004E01E6" w:rsidRPr="004D50B4">
              <w:t>pretreatment program modification approval request</w:t>
            </w:r>
          </w:p>
        </w:tc>
        <w:tc>
          <w:tcPr>
            <w:tcW w:w="2790" w:type="dxa"/>
          </w:tcPr>
          <w:p w14:paraId="022D239A" w14:textId="00FFF08D" w:rsidR="00E40C57" w:rsidRPr="004D50B4" w:rsidRDefault="00E40C57" w:rsidP="00EF1FFC">
            <w:pPr>
              <w:pStyle w:val="Tables"/>
            </w:pPr>
            <w:r w:rsidRPr="004D50B4">
              <w:t>234 per year</w:t>
            </w:r>
          </w:p>
        </w:tc>
        <w:tc>
          <w:tcPr>
            <w:tcW w:w="1502" w:type="dxa"/>
          </w:tcPr>
          <w:p w14:paraId="3BE54BA2" w14:textId="09CF6230" w:rsidR="00E40C57" w:rsidRPr="004D50B4" w:rsidRDefault="00E40C57" w:rsidP="00EF1FFC">
            <w:pPr>
              <w:pStyle w:val="Tables"/>
            </w:pPr>
            <w:r w:rsidRPr="004D50B4">
              <w:t>NA</w:t>
            </w:r>
          </w:p>
        </w:tc>
        <w:tc>
          <w:tcPr>
            <w:tcW w:w="923" w:type="dxa"/>
          </w:tcPr>
          <w:p w14:paraId="18BB87A4" w14:textId="3E28BCF1" w:rsidR="00E40C57" w:rsidRPr="004D50B4" w:rsidRDefault="00E40C57" w:rsidP="00EF1FFC">
            <w:pPr>
              <w:pStyle w:val="Tables"/>
            </w:pPr>
            <w:r w:rsidRPr="004D50B4">
              <w:t>20</w:t>
            </w:r>
          </w:p>
        </w:tc>
      </w:tr>
      <w:tr w:rsidR="00E40C57" w14:paraId="791C0C9E" w14:textId="77777777" w:rsidTr="00EF1FFC">
        <w:tc>
          <w:tcPr>
            <w:tcW w:w="4135" w:type="dxa"/>
          </w:tcPr>
          <w:p w14:paraId="17C9833A" w14:textId="2A2A14DC" w:rsidR="00E40C57" w:rsidRPr="00E329D2" w:rsidRDefault="00E40C57" w:rsidP="00EF1FFC">
            <w:pPr>
              <w:pStyle w:val="Tables"/>
            </w:pPr>
            <w:r w:rsidRPr="00E329D2">
              <w:t xml:space="preserve">Baseline </w:t>
            </w:r>
            <w:r w:rsidR="004E01E6" w:rsidRPr="00E329D2">
              <w:t>m</w:t>
            </w:r>
            <w:r w:rsidRPr="00E329D2">
              <w:t xml:space="preserve">onitoring </w:t>
            </w:r>
            <w:r w:rsidR="004E01E6" w:rsidRPr="00E329D2">
              <w:t>r</w:t>
            </w:r>
            <w:r w:rsidRPr="00E329D2">
              <w:t>eport-</w:t>
            </w:r>
            <w:r w:rsidR="004E01E6" w:rsidRPr="00E329D2">
              <w:t>new sources</w:t>
            </w:r>
          </w:p>
        </w:tc>
        <w:tc>
          <w:tcPr>
            <w:tcW w:w="2790" w:type="dxa"/>
          </w:tcPr>
          <w:p w14:paraId="28BC1506" w14:textId="3BEB7E13" w:rsidR="00E40C57" w:rsidRPr="00E329D2" w:rsidRDefault="00E40C57" w:rsidP="00EF1FFC">
            <w:pPr>
              <w:pStyle w:val="Tables"/>
            </w:pPr>
            <w:r w:rsidRPr="00E329D2">
              <w:t>17 per year</w:t>
            </w:r>
          </w:p>
        </w:tc>
        <w:tc>
          <w:tcPr>
            <w:tcW w:w="1502" w:type="dxa"/>
          </w:tcPr>
          <w:p w14:paraId="3D74CA5D" w14:textId="178F2DDC" w:rsidR="00E40C57" w:rsidRPr="00E329D2" w:rsidRDefault="00E40C57" w:rsidP="00EF1FFC">
            <w:pPr>
              <w:pStyle w:val="Tables"/>
            </w:pPr>
            <w:r w:rsidRPr="00E329D2">
              <w:t>5 per year</w:t>
            </w:r>
          </w:p>
        </w:tc>
        <w:tc>
          <w:tcPr>
            <w:tcW w:w="923" w:type="dxa"/>
          </w:tcPr>
          <w:p w14:paraId="527F4F8F" w14:textId="669356C6" w:rsidR="00E40C57" w:rsidRPr="00E329D2" w:rsidRDefault="00E40C57" w:rsidP="00EF1FFC">
            <w:pPr>
              <w:pStyle w:val="Tables"/>
              <w:jc w:val="right"/>
            </w:pPr>
            <w:r w:rsidRPr="00E329D2">
              <w:t>24</w:t>
            </w:r>
          </w:p>
        </w:tc>
      </w:tr>
      <w:tr w:rsidR="00E40C57" w14:paraId="7DCD17D7" w14:textId="77777777" w:rsidTr="00EF1FFC">
        <w:tc>
          <w:tcPr>
            <w:tcW w:w="4135" w:type="dxa"/>
          </w:tcPr>
          <w:p w14:paraId="4FAAC8B0" w14:textId="7E1D0114" w:rsidR="00E40C57" w:rsidRPr="00E329D2" w:rsidRDefault="00E40C57" w:rsidP="00EF1FFC">
            <w:pPr>
              <w:pStyle w:val="Tables"/>
            </w:pPr>
            <w:r w:rsidRPr="00E329D2">
              <w:t xml:space="preserve">CIU </w:t>
            </w:r>
            <w:r w:rsidR="004E01E6" w:rsidRPr="00E329D2">
              <w:t>compliance attainment r</w:t>
            </w:r>
            <w:r w:rsidRPr="00E329D2">
              <w:t>eport-</w:t>
            </w:r>
            <w:r w:rsidR="004E01E6" w:rsidRPr="00E329D2">
              <w:t>new sources</w:t>
            </w:r>
          </w:p>
        </w:tc>
        <w:tc>
          <w:tcPr>
            <w:tcW w:w="2790" w:type="dxa"/>
          </w:tcPr>
          <w:p w14:paraId="65E1ED9D" w14:textId="496ED44E" w:rsidR="00E40C57" w:rsidRPr="00E329D2" w:rsidRDefault="00E40C57" w:rsidP="00EF1FFC">
            <w:pPr>
              <w:pStyle w:val="Tables"/>
            </w:pPr>
            <w:r w:rsidRPr="00E329D2">
              <w:t>4 per year</w:t>
            </w:r>
          </w:p>
        </w:tc>
        <w:tc>
          <w:tcPr>
            <w:tcW w:w="1502" w:type="dxa"/>
          </w:tcPr>
          <w:p w14:paraId="1C3A19EE" w14:textId="6ADF0BAA" w:rsidR="00E40C57" w:rsidRPr="00E329D2" w:rsidRDefault="00E40C57" w:rsidP="00EF1FFC">
            <w:pPr>
              <w:pStyle w:val="Tables"/>
            </w:pPr>
            <w:r w:rsidRPr="00E329D2">
              <w:t>1 per year</w:t>
            </w:r>
          </w:p>
        </w:tc>
        <w:tc>
          <w:tcPr>
            <w:tcW w:w="923" w:type="dxa"/>
          </w:tcPr>
          <w:p w14:paraId="27658C88" w14:textId="448422DC" w:rsidR="00E40C57" w:rsidRPr="00E329D2" w:rsidRDefault="00E40C57" w:rsidP="00EF1FFC">
            <w:pPr>
              <w:pStyle w:val="Tables"/>
              <w:jc w:val="right"/>
            </w:pPr>
            <w:r w:rsidRPr="00E329D2">
              <w:t>1</w:t>
            </w:r>
          </w:p>
        </w:tc>
      </w:tr>
      <w:tr w:rsidR="00791C1A" w14:paraId="5A1230DD" w14:textId="77777777" w:rsidTr="00EF1FFC">
        <w:tc>
          <w:tcPr>
            <w:tcW w:w="4135" w:type="dxa"/>
          </w:tcPr>
          <w:p w14:paraId="40189C86" w14:textId="082209A4" w:rsidR="00791C1A" w:rsidRPr="00E329D2" w:rsidRDefault="00791C1A" w:rsidP="00EF1FFC">
            <w:pPr>
              <w:pStyle w:val="Tables"/>
            </w:pPr>
            <w:r w:rsidRPr="00E329D2">
              <w:t xml:space="preserve">CIU </w:t>
            </w:r>
            <w:r w:rsidR="004E01E6" w:rsidRPr="00E329D2">
              <w:t>compliance attainment r</w:t>
            </w:r>
            <w:r w:rsidRPr="00E329D2">
              <w:t>eport-</w:t>
            </w:r>
            <w:r w:rsidR="004E01E6" w:rsidRPr="00E329D2">
              <w:t>new sources</w:t>
            </w:r>
          </w:p>
        </w:tc>
        <w:tc>
          <w:tcPr>
            <w:tcW w:w="2790" w:type="dxa"/>
          </w:tcPr>
          <w:p w14:paraId="0B399F9E" w14:textId="14C930F7" w:rsidR="00791C1A" w:rsidRPr="00E329D2" w:rsidRDefault="00791C1A" w:rsidP="00EF1FFC">
            <w:pPr>
              <w:pStyle w:val="Tables"/>
            </w:pPr>
            <w:r w:rsidRPr="00E329D2">
              <w:t>17 per year</w:t>
            </w:r>
          </w:p>
        </w:tc>
        <w:tc>
          <w:tcPr>
            <w:tcW w:w="1502" w:type="dxa"/>
          </w:tcPr>
          <w:p w14:paraId="61D66E00" w14:textId="05683B97" w:rsidR="00791C1A" w:rsidRPr="00E329D2" w:rsidRDefault="00791C1A" w:rsidP="00EF1FFC">
            <w:pPr>
              <w:pStyle w:val="Tables"/>
            </w:pPr>
            <w:r w:rsidRPr="00E329D2">
              <w:t>5 per year</w:t>
            </w:r>
          </w:p>
        </w:tc>
        <w:tc>
          <w:tcPr>
            <w:tcW w:w="923" w:type="dxa"/>
          </w:tcPr>
          <w:p w14:paraId="3CAD2932" w14:textId="0AC2CAC1" w:rsidR="00791C1A" w:rsidRPr="00E329D2" w:rsidRDefault="00791C1A" w:rsidP="00EF1FFC">
            <w:pPr>
              <w:pStyle w:val="Tables"/>
              <w:jc w:val="right"/>
            </w:pPr>
            <w:r w:rsidRPr="00E329D2">
              <w:t>2</w:t>
            </w:r>
          </w:p>
        </w:tc>
      </w:tr>
      <w:tr w:rsidR="00791C1A" w14:paraId="50C6A727" w14:textId="77777777" w:rsidTr="00EF1FFC">
        <w:tc>
          <w:tcPr>
            <w:tcW w:w="4135" w:type="dxa"/>
          </w:tcPr>
          <w:p w14:paraId="4D471666" w14:textId="333436EF" w:rsidR="00791C1A" w:rsidRPr="00E329D2" w:rsidRDefault="00791C1A" w:rsidP="00EF1FFC">
            <w:pPr>
              <w:pStyle w:val="Tables"/>
            </w:pPr>
            <w:r w:rsidRPr="00E329D2">
              <w:t xml:space="preserve">IU </w:t>
            </w:r>
            <w:r w:rsidR="004E01E6" w:rsidRPr="00E329D2">
              <w:t>resampling compliance report</w:t>
            </w:r>
          </w:p>
        </w:tc>
        <w:tc>
          <w:tcPr>
            <w:tcW w:w="2790" w:type="dxa"/>
          </w:tcPr>
          <w:p w14:paraId="3B333054" w14:textId="1D0F14A0" w:rsidR="00791C1A" w:rsidRPr="00E329D2" w:rsidRDefault="00791C1A" w:rsidP="00EF1FFC">
            <w:pPr>
              <w:pStyle w:val="Tables"/>
            </w:pPr>
            <w:r w:rsidRPr="00E329D2">
              <w:t>176 per year</w:t>
            </w:r>
          </w:p>
        </w:tc>
        <w:tc>
          <w:tcPr>
            <w:tcW w:w="1502" w:type="dxa"/>
          </w:tcPr>
          <w:p w14:paraId="0BC823F3" w14:textId="6696FC77" w:rsidR="00791C1A" w:rsidRPr="00E329D2" w:rsidRDefault="00791C1A" w:rsidP="00EF1FFC">
            <w:pPr>
              <w:pStyle w:val="Tables"/>
            </w:pPr>
            <w:r w:rsidRPr="00E329D2">
              <w:t>56 per year</w:t>
            </w:r>
          </w:p>
        </w:tc>
        <w:tc>
          <w:tcPr>
            <w:tcW w:w="923" w:type="dxa"/>
          </w:tcPr>
          <w:p w14:paraId="35D1E839" w14:textId="4FDAEEFC" w:rsidR="00791C1A" w:rsidRPr="00E329D2" w:rsidRDefault="00791C1A" w:rsidP="00EF1FFC">
            <w:pPr>
              <w:pStyle w:val="Tables"/>
              <w:jc w:val="right"/>
            </w:pPr>
            <w:r w:rsidRPr="00E329D2">
              <w:t>4</w:t>
            </w:r>
          </w:p>
        </w:tc>
      </w:tr>
      <w:tr w:rsidR="00791C1A" w14:paraId="1C39CE4D" w14:textId="77777777" w:rsidTr="00EF1FFC">
        <w:tc>
          <w:tcPr>
            <w:tcW w:w="4135" w:type="dxa"/>
          </w:tcPr>
          <w:p w14:paraId="700751D7" w14:textId="32DABD4A" w:rsidR="00791C1A" w:rsidRPr="00E329D2" w:rsidRDefault="00791C1A" w:rsidP="00EF1FFC">
            <w:pPr>
              <w:pStyle w:val="Tables"/>
            </w:pPr>
            <w:r w:rsidRPr="00E329D2">
              <w:t xml:space="preserve">IU/SIU </w:t>
            </w:r>
            <w:r w:rsidR="004E01E6" w:rsidRPr="00E329D2">
              <w:t>self</w:t>
            </w:r>
            <w:r w:rsidRPr="00E329D2">
              <w:t>-</w:t>
            </w:r>
            <w:r w:rsidR="004E01E6" w:rsidRPr="00E329D2">
              <w:t>monitoring compliance r</w:t>
            </w:r>
            <w:r w:rsidRPr="00E329D2">
              <w:t xml:space="preserve">eport </w:t>
            </w:r>
            <w:r w:rsidR="004E01E6" w:rsidRPr="00E329D2">
              <w:t xml:space="preserve">categorical </w:t>
            </w:r>
            <w:r w:rsidRPr="00E329D2">
              <w:t>SIUs</w:t>
            </w:r>
          </w:p>
        </w:tc>
        <w:tc>
          <w:tcPr>
            <w:tcW w:w="2790" w:type="dxa"/>
          </w:tcPr>
          <w:p w14:paraId="63DB9AAB" w14:textId="4F0E2523" w:rsidR="00791C1A" w:rsidRPr="00E329D2" w:rsidRDefault="00791C1A" w:rsidP="00EF1FFC">
            <w:pPr>
              <w:pStyle w:val="Tables"/>
            </w:pPr>
            <w:r w:rsidRPr="00E329D2">
              <w:t xml:space="preserve">882 </w:t>
            </w:r>
            <w:r w:rsidR="002E54C6" w:rsidRPr="00E329D2">
              <w:t xml:space="preserve">twice </w:t>
            </w:r>
            <w:r w:rsidRPr="00E329D2">
              <w:t>per year</w:t>
            </w:r>
          </w:p>
        </w:tc>
        <w:tc>
          <w:tcPr>
            <w:tcW w:w="1502" w:type="dxa"/>
          </w:tcPr>
          <w:p w14:paraId="67662978" w14:textId="6CB39923" w:rsidR="00791C1A" w:rsidRPr="00E329D2" w:rsidRDefault="00791C1A" w:rsidP="00EF1FFC">
            <w:pPr>
              <w:pStyle w:val="Tables"/>
            </w:pPr>
            <w:r w:rsidRPr="00E329D2">
              <w:t xml:space="preserve">280 </w:t>
            </w:r>
            <w:r w:rsidR="002E54C6" w:rsidRPr="00E329D2">
              <w:t xml:space="preserve">twice </w:t>
            </w:r>
            <w:r w:rsidRPr="00E329D2">
              <w:t>per year</w:t>
            </w:r>
          </w:p>
        </w:tc>
        <w:tc>
          <w:tcPr>
            <w:tcW w:w="923" w:type="dxa"/>
          </w:tcPr>
          <w:p w14:paraId="7AC96BCF" w14:textId="14F7331F" w:rsidR="00791C1A" w:rsidRPr="00E329D2" w:rsidRDefault="00791C1A" w:rsidP="00EF1FFC">
            <w:pPr>
              <w:pStyle w:val="Tables"/>
              <w:jc w:val="right"/>
            </w:pPr>
            <w:r w:rsidRPr="00E329D2">
              <w:t>2</w:t>
            </w:r>
          </w:p>
        </w:tc>
      </w:tr>
      <w:tr w:rsidR="00791C1A" w14:paraId="63932F1B" w14:textId="77777777" w:rsidTr="00EF1FFC">
        <w:tc>
          <w:tcPr>
            <w:tcW w:w="4135" w:type="dxa"/>
          </w:tcPr>
          <w:p w14:paraId="5269A483" w14:textId="35F22F2E" w:rsidR="00791C1A" w:rsidRPr="00E329D2" w:rsidRDefault="00791C1A" w:rsidP="00EF1FFC">
            <w:pPr>
              <w:pStyle w:val="Tables"/>
            </w:pPr>
            <w:r w:rsidRPr="00E329D2">
              <w:t xml:space="preserve">IU/SIU </w:t>
            </w:r>
            <w:r w:rsidR="004E01E6" w:rsidRPr="00E329D2">
              <w:t>self</w:t>
            </w:r>
            <w:r w:rsidRPr="00E329D2">
              <w:t>-</w:t>
            </w:r>
            <w:r w:rsidR="004E01E6" w:rsidRPr="00E329D2">
              <w:t>monitoring compliance r</w:t>
            </w:r>
            <w:r w:rsidRPr="00E329D2">
              <w:t xml:space="preserve">eport </w:t>
            </w:r>
            <w:r w:rsidR="004E01E6" w:rsidRPr="00E329D2">
              <w:t>non</w:t>
            </w:r>
            <w:r w:rsidRPr="00E329D2">
              <w:t>-</w:t>
            </w:r>
            <w:r w:rsidR="004E01E6" w:rsidRPr="00E329D2">
              <w:t xml:space="preserve">categorical </w:t>
            </w:r>
            <w:r w:rsidRPr="00E329D2">
              <w:t>SIUs</w:t>
            </w:r>
          </w:p>
        </w:tc>
        <w:tc>
          <w:tcPr>
            <w:tcW w:w="2790" w:type="dxa"/>
          </w:tcPr>
          <w:p w14:paraId="39D9296E" w14:textId="3B816CC6" w:rsidR="00791C1A" w:rsidRPr="00E329D2" w:rsidRDefault="00791C1A" w:rsidP="00EF1FFC">
            <w:pPr>
              <w:pStyle w:val="Tables"/>
            </w:pPr>
            <w:r w:rsidRPr="00E329D2">
              <w:t xml:space="preserve">1,074 </w:t>
            </w:r>
            <w:r w:rsidR="002E54C6" w:rsidRPr="00E329D2">
              <w:t xml:space="preserve">twice </w:t>
            </w:r>
            <w:r w:rsidRPr="00E329D2">
              <w:t>per year</w:t>
            </w:r>
          </w:p>
        </w:tc>
        <w:tc>
          <w:tcPr>
            <w:tcW w:w="1502" w:type="dxa"/>
          </w:tcPr>
          <w:p w14:paraId="5B1733C1" w14:textId="6F36C54A" w:rsidR="00791C1A" w:rsidRPr="00E329D2" w:rsidRDefault="00791C1A" w:rsidP="00EF1FFC">
            <w:pPr>
              <w:pStyle w:val="Tables"/>
            </w:pPr>
            <w:r w:rsidRPr="00E329D2">
              <w:t xml:space="preserve">341 </w:t>
            </w:r>
            <w:r w:rsidR="002E54C6" w:rsidRPr="00E329D2">
              <w:t xml:space="preserve">twice </w:t>
            </w:r>
            <w:r w:rsidRPr="00E329D2">
              <w:t>per year</w:t>
            </w:r>
          </w:p>
        </w:tc>
        <w:tc>
          <w:tcPr>
            <w:tcW w:w="923" w:type="dxa"/>
          </w:tcPr>
          <w:p w14:paraId="2429684E" w14:textId="7B73CD66" w:rsidR="00791C1A" w:rsidRPr="00E329D2" w:rsidRDefault="00791C1A" w:rsidP="00EF1FFC">
            <w:pPr>
              <w:pStyle w:val="Tables"/>
              <w:jc w:val="right"/>
            </w:pPr>
            <w:r w:rsidRPr="00E329D2">
              <w:t>1</w:t>
            </w:r>
          </w:p>
        </w:tc>
      </w:tr>
      <w:tr w:rsidR="00791C1A" w14:paraId="673B3813" w14:textId="77777777" w:rsidTr="00EF1FFC">
        <w:tc>
          <w:tcPr>
            <w:tcW w:w="4135" w:type="dxa"/>
          </w:tcPr>
          <w:p w14:paraId="5816A796" w14:textId="18A97C68" w:rsidR="00791C1A" w:rsidRPr="00E329D2" w:rsidRDefault="00791C1A" w:rsidP="00EF1FFC">
            <w:pPr>
              <w:pStyle w:val="Tables"/>
            </w:pPr>
            <w:r w:rsidRPr="00E329D2">
              <w:t>PFPR P2 Plan-</w:t>
            </w:r>
            <w:r w:rsidR="004E01E6" w:rsidRPr="00E329D2">
              <w:t>modifications</w:t>
            </w:r>
          </w:p>
        </w:tc>
        <w:tc>
          <w:tcPr>
            <w:tcW w:w="2790" w:type="dxa"/>
          </w:tcPr>
          <w:p w14:paraId="78280E17" w14:textId="249BB260" w:rsidR="00791C1A" w:rsidRPr="00E329D2" w:rsidRDefault="00791C1A" w:rsidP="00EF1FFC">
            <w:pPr>
              <w:pStyle w:val="Tables"/>
            </w:pPr>
            <w:r w:rsidRPr="00E329D2">
              <w:t>13 per year</w:t>
            </w:r>
          </w:p>
        </w:tc>
        <w:tc>
          <w:tcPr>
            <w:tcW w:w="1502" w:type="dxa"/>
          </w:tcPr>
          <w:p w14:paraId="33B17813" w14:textId="0416CB25" w:rsidR="00791C1A" w:rsidRPr="00E329D2" w:rsidRDefault="00791C1A" w:rsidP="00EF1FFC">
            <w:pPr>
              <w:pStyle w:val="Tables"/>
            </w:pPr>
            <w:r w:rsidRPr="00E329D2">
              <w:t>4 per year</w:t>
            </w:r>
          </w:p>
        </w:tc>
        <w:tc>
          <w:tcPr>
            <w:tcW w:w="923" w:type="dxa"/>
          </w:tcPr>
          <w:p w14:paraId="3A584426" w14:textId="43DD9FEF" w:rsidR="00791C1A" w:rsidRPr="00E329D2" w:rsidRDefault="00791C1A" w:rsidP="00EF1FFC">
            <w:pPr>
              <w:pStyle w:val="Tables"/>
              <w:jc w:val="right"/>
            </w:pPr>
            <w:r w:rsidRPr="00E329D2">
              <w:t>3</w:t>
            </w:r>
          </w:p>
        </w:tc>
      </w:tr>
      <w:tr w:rsidR="00791C1A" w14:paraId="08C0A736" w14:textId="77777777" w:rsidTr="00EF1FFC">
        <w:tc>
          <w:tcPr>
            <w:tcW w:w="4135" w:type="dxa"/>
          </w:tcPr>
          <w:p w14:paraId="65E31BAC" w14:textId="391658A1" w:rsidR="00791C1A" w:rsidRPr="00E329D2" w:rsidRDefault="00791C1A" w:rsidP="00EF1FFC">
            <w:pPr>
              <w:pStyle w:val="Tables"/>
            </w:pPr>
            <w:r w:rsidRPr="00E329D2">
              <w:t xml:space="preserve">Periodic </w:t>
            </w:r>
            <w:r w:rsidR="004E01E6" w:rsidRPr="00E329D2">
              <w:t>certifications</w:t>
            </w:r>
          </w:p>
        </w:tc>
        <w:tc>
          <w:tcPr>
            <w:tcW w:w="2790" w:type="dxa"/>
          </w:tcPr>
          <w:p w14:paraId="54A98F77" w14:textId="2CECB7C4" w:rsidR="00791C1A" w:rsidRPr="00E329D2" w:rsidRDefault="002E54C6" w:rsidP="00EF1FFC">
            <w:pPr>
              <w:pStyle w:val="Tables"/>
            </w:pPr>
            <w:r w:rsidRPr="00E329D2">
              <w:t>1,269</w:t>
            </w:r>
            <w:r w:rsidR="00791C1A" w:rsidRPr="00E329D2">
              <w:t xml:space="preserve"> per year</w:t>
            </w:r>
          </w:p>
        </w:tc>
        <w:tc>
          <w:tcPr>
            <w:tcW w:w="1502" w:type="dxa"/>
          </w:tcPr>
          <w:p w14:paraId="07F1BD59" w14:textId="5F00DFDB" w:rsidR="00791C1A" w:rsidRPr="00E329D2" w:rsidRDefault="002E54C6" w:rsidP="00EF1FFC">
            <w:pPr>
              <w:pStyle w:val="Tables"/>
            </w:pPr>
            <w:r w:rsidRPr="00E329D2">
              <w:t>406</w:t>
            </w:r>
            <w:r w:rsidR="00791C1A" w:rsidRPr="00E329D2">
              <w:t xml:space="preserve"> per year</w:t>
            </w:r>
          </w:p>
        </w:tc>
        <w:tc>
          <w:tcPr>
            <w:tcW w:w="923" w:type="dxa"/>
          </w:tcPr>
          <w:p w14:paraId="5FF9AF22" w14:textId="6661888A" w:rsidR="00791C1A" w:rsidRPr="00E329D2" w:rsidRDefault="00791C1A" w:rsidP="00EF1FFC">
            <w:pPr>
              <w:pStyle w:val="Tables"/>
              <w:jc w:val="right"/>
            </w:pPr>
            <w:r w:rsidRPr="00E329D2">
              <w:t>1</w:t>
            </w:r>
          </w:p>
        </w:tc>
      </w:tr>
      <w:tr w:rsidR="00791C1A" w14:paraId="29BBC474" w14:textId="77777777" w:rsidTr="00EF1FFC">
        <w:tc>
          <w:tcPr>
            <w:tcW w:w="4135" w:type="dxa"/>
          </w:tcPr>
          <w:p w14:paraId="2083168C" w14:textId="58088F03" w:rsidR="00791C1A" w:rsidRPr="00E329D2" w:rsidRDefault="00F3093C" w:rsidP="00EF1FFC">
            <w:pPr>
              <w:pStyle w:val="Tables"/>
            </w:pPr>
            <w:r w:rsidRPr="00E329D2">
              <w:t xml:space="preserve">IU </w:t>
            </w:r>
            <w:r w:rsidR="004E01E6" w:rsidRPr="00E329D2">
              <w:t>slug load notification</w:t>
            </w:r>
          </w:p>
        </w:tc>
        <w:tc>
          <w:tcPr>
            <w:tcW w:w="2790" w:type="dxa"/>
          </w:tcPr>
          <w:p w14:paraId="6004B660" w14:textId="3F98C9F9" w:rsidR="00791C1A" w:rsidRPr="00E329D2" w:rsidRDefault="002E54C6" w:rsidP="00EF1FFC">
            <w:pPr>
              <w:pStyle w:val="Tables"/>
            </w:pPr>
            <w:r w:rsidRPr="00E329D2">
              <w:t>47 per year</w:t>
            </w:r>
          </w:p>
        </w:tc>
        <w:tc>
          <w:tcPr>
            <w:tcW w:w="1502" w:type="dxa"/>
          </w:tcPr>
          <w:p w14:paraId="2FD55F96" w14:textId="63892122" w:rsidR="00791C1A" w:rsidRPr="00E329D2" w:rsidRDefault="002E54C6" w:rsidP="00EF1FFC">
            <w:pPr>
              <w:pStyle w:val="Tables"/>
            </w:pPr>
            <w:r w:rsidRPr="00E329D2">
              <w:t>15 per year</w:t>
            </w:r>
          </w:p>
        </w:tc>
        <w:tc>
          <w:tcPr>
            <w:tcW w:w="923" w:type="dxa"/>
          </w:tcPr>
          <w:p w14:paraId="27C0C7BF" w14:textId="79A521C9" w:rsidR="00791C1A" w:rsidRPr="00E329D2" w:rsidRDefault="002E54C6" w:rsidP="00EF1FFC">
            <w:pPr>
              <w:pStyle w:val="Tables"/>
              <w:jc w:val="right"/>
            </w:pPr>
            <w:r w:rsidRPr="00E329D2">
              <w:t>0.25</w:t>
            </w:r>
          </w:p>
        </w:tc>
      </w:tr>
      <w:tr w:rsidR="002E54C6" w14:paraId="302D96EF" w14:textId="77777777" w:rsidTr="00EF1FFC">
        <w:tc>
          <w:tcPr>
            <w:tcW w:w="4135" w:type="dxa"/>
          </w:tcPr>
          <w:p w14:paraId="4041290C" w14:textId="587D2C88" w:rsidR="002E54C6" w:rsidRPr="00E329D2" w:rsidRDefault="002E54C6" w:rsidP="00EF1FFC">
            <w:pPr>
              <w:pStyle w:val="Tables"/>
            </w:pPr>
            <w:r w:rsidRPr="00E329D2">
              <w:t xml:space="preserve">Notification of </w:t>
            </w:r>
            <w:r w:rsidR="004E01E6" w:rsidRPr="00E329D2">
              <w:t>c</w:t>
            </w:r>
            <w:r w:rsidRPr="00E329D2">
              <w:t xml:space="preserve">hanged </w:t>
            </w:r>
            <w:r w:rsidR="004E01E6" w:rsidRPr="00E329D2">
              <w:t>discharge</w:t>
            </w:r>
          </w:p>
        </w:tc>
        <w:tc>
          <w:tcPr>
            <w:tcW w:w="2790" w:type="dxa"/>
          </w:tcPr>
          <w:p w14:paraId="1ED0897A" w14:textId="24E86D75" w:rsidR="002E54C6" w:rsidRPr="00E329D2" w:rsidRDefault="002E54C6" w:rsidP="00EF1FFC">
            <w:pPr>
              <w:pStyle w:val="Tables"/>
            </w:pPr>
            <w:r w:rsidRPr="00E329D2">
              <w:t>85 per year</w:t>
            </w:r>
          </w:p>
        </w:tc>
        <w:tc>
          <w:tcPr>
            <w:tcW w:w="1502" w:type="dxa"/>
          </w:tcPr>
          <w:p w14:paraId="4136D82D" w14:textId="0697571F" w:rsidR="002E54C6" w:rsidRPr="00E329D2" w:rsidRDefault="002E54C6" w:rsidP="00EF1FFC">
            <w:pPr>
              <w:pStyle w:val="Tables"/>
            </w:pPr>
            <w:r w:rsidRPr="00E329D2">
              <w:t>27 per year</w:t>
            </w:r>
          </w:p>
        </w:tc>
        <w:tc>
          <w:tcPr>
            <w:tcW w:w="923" w:type="dxa"/>
          </w:tcPr>
          <w:p w14:paraId="700FFB6E" w14:textId="2D238E42" w:rsidR="002E54C6" w:rsidRPr="00E329D2" w:rsidRDefault="002E54C6" w:rsidP="00EF1FFC">
            <w:pPr>
              <w:pStyle w:val="Tables"/>
              <w:jc w:val="right"/>
            </w:pPr>
            <w:r w:rsidRPr="00E329D2">
              <w:t>2</w:t>
            </w:r>
          </w:p>
        </w:tc>
      </w:tr>
      <w:tr w:rsidR="002E54C6" w14:paraId="2CA889AB" w14:textId="77777777" w:rsidTr="00EF1FFC">
        <w:tc>
          <w:tcPr>
            <w:tcW w:w="4135" w:type="dxa"/>
          </w:tcPr>
          <w:p w14:paraId="60041EEC" w14:textId="55223F90" w:rsidR="002E54C6" w:rsidRPr="00E329D2" w:rsidRDefault="002E54C6" w:rsidP="00EF1FFC">
            <w:pPr>
              <w:pStyle w:val="Tables"/>
            </w:pPr>
            <w:r w:rsidRPr="00E329D2">
              <w:t xml:space="preserve">Annual POTW </w:t>
            </w:r>
            <w:r w:rsidR="004E01E6" w:rsidRPr="00E329D2">
              <w:t>reports</w:t>
            </w:r>
          </w:p>
        </w:tc>
        <w:tc>
          <w:tcPr>
            <w:tcW w:w="2790" w:type="dxa"/>
          </w:tcPr>
          <w:p w14:paraId="1923243F" w14:textId="7BBA3674" w:rsidR="002E54C6" w:rsidRPr="00E329D2" w:rsidRDefault="002E54C6" w:rsidP="00EF1FFC">
            <w:pPr>
              <w:pStyle w:val="Tables"/>
            </w:pPr>
            <w:r w:rsidRPr="00E329D2">
              <w:t>1,171 per year</w:t>
            </w:r>
          </w:p>
        </w:tc>
        <w:tc>
          <w:tcPr>
            <w:tcW w:w="1502" w:type="dxa"/>
          </w:tcPr>
          <w:p w14:paraId="74323690" w14:textId="32F42DB6" w:rsidR="002E54C6" w:rsidRPr="00E329D2" w:rsidRDefault="002E54C6" w:rsidP="00EF1FFC">
            <w:pPr>
              <w:pStyle w:val="Tables"/>
            </w:pPr>
            <w:r w:rsidRPr="00E329D2">
              <w:t>NA</w:t>
            </w:r>
          </w:p>
        </w:tc>
        <w:tc>
          <w:tcPr>
            <w:tcW w:w="923" w:type="dxa"/>
          </w:tcPr>
          <w:p w14:paraId="45641C90" w14:textId="53DB70C6" w:rsidR="002E54C6" w:rsidRPr="00E329D2" w:rsidRDefault="002E54C6" w:rsidP="00EF1FFC">
            <w:pPr>
              <w:pStyle w:val="Tables"/>
              <w:jc w:val="right"/>
            </w:pPr>
            <w:r w:rsidRPr="00E329D2">
              <w:t>20</w:t>
            </w:r>
          </w:p>
        </w:tc>
      </w:tr>
      <w:tr w:rsidR="002E54C6" w14:paraId="095E05F5" w14:textId="77777777" w:rsidTr="00EF1FFC">
        <w:tc>
          <w:tcPr>
            <w:tcW w:w="4135" w:type="dxa"/>
          </w:tcPr>
          <w:p w14:paraId="5D246792" w14:textId="4207094D" w:rsidR="002E54C6" w:rsidRPr="00E329D2" w:rsidRDefault="00407ABD" w:rsidP="00EF1FFC">
            <w:pPr>
              <w:pStyle w:val="Tables"/>
            </w:pPr>
            <w:r>
              <w:t>R</w:t>
            </w:r>
            <w:r w:rsidR="00955AED">
              <w:t xml:space="preserve">eview </w:t>
            </w:r>
            <w:r>
              <w:t xml:space="preserve">of </w:t>
            </w:r>
            <w:r w:rsidR="002E54C6" w:rsidRPr="00E329D2">
              <w:t xml:space="preserve">Inspection and </w:t>
            </w:r>
            <w:r w:rsidR="004E01E6" w:rsidRPr="00E329D2">
              <w:t xml:space="preserve">sampling </w:t>
            </w:r>
            <w:r w:rsidR="002E54C6" w:rsidRPr="00E329D2">
              <w:t xml:space="preserve">of IU and SIU </w:t>
            </w:r>
            <w:r w:rsidR="004E01E6" w:rsidRPr="00E329D2">
              <w:t>effluent</w:t>
            </w:r>
            <w:r>
              <w:t xml:space="preserve"> data</w:t>
            </w:r>
          </w:p>
        </w:tc>
        <w:tc>
          <w:tcPr>
            <w:tcW w:w="2790" w:type="dxa"/>
          </w:tcPr>
          <w:p w14:paraId="58A64546" w14:textId="16224879" w:rsidR="002E54C6" w:rsidRPr="00E329D2" w:rsidRDefault="002E54C6" w:rsidP="00EF1FFC">
            <w:pPr>
              <w:pStyle w:val="Tables"/>
            </w:pPr>
            <w:r w:rsidRPr="00E329D2">
              <w:t>1</w:t>
            </w:r>
            <w:r w:rsidR="00E45F7F" w:rsidRPr="00E329D2">
              <w:t>6</w:t>
            </w:r>
            <w:r w:rsidRPr="00E329D2">
              <w:t>,</w:t>
            </w:r>
            <w:r w:rsidR="00E45F7F" w:rsidRPr="00E329D2">
              <w:t>449</w:t>
            </w:r>
            <w:r w:rsidRPr="00E329D2">
              <w:t xml:space="preserve"> per year</w:t>
            </w:r>
          </w:p>
        </w:tc>
        <w:tc>
          <w:tcPr>
            <w:tcW w:w="1502" w:type="dxa"/>
          </w:tcPr>
          <w:p w14:paraId="7DBC6438" w14:textId="74EF6FBB" w:rsidR="002E54C6" w:rsidRPr="00E329D2" w:rsidRDefault="00E45F7F" w:rsidP="00EF1FFC">
            <w:pPr>
              <w:pStyle w:val="Tables"/>
            </w:pPr>
            <w:r w:rsidRPr="00E329D2">
              <w:t>599 per year</w:t>
            </w:r>
          </w:p>
        </w:tc>
        <w:tc>
          <w:tcPr>
            <w:tcW w:w="923" w:type="dxa"/>
          </w:tcPr>
          <w:p w14:paraId="3F5DB7B9" w14:textId="209E41C3" w:rsidR="002E54C6" w:rsidRPr="00E329D2" w:rsidRDefault="00E45F7F" w:rsidP="00EF1FFC">
            <w:pPr>
              <w:pStyle w:val="Tables"/>
              <w:jc w:val="right"/>
            </w:pPr>
            <w:r w:rsidRPr="00E329D2">
              <w:t>0.5</w:t>
            </w:r>
          </w:p>
        </w:tc>
      </w:tr>
      <w:tr w:rsidR="00512B7F" w14:paraId="1E1120AD" w14:textId="77777777" w:rsidTr="00EF1FFC">
        <w:tc>
          <w:tcPr>
            <w:tcW w:w="4135" w:type="dxa"/>
          </w:tcPr>
          <w:p w14:paraId="3C7A0CB2" w14:textId="6BB1D74F" w:rsidR="00512B7F" w:rsidRPr="00E329D2" w:rsidRDefault="00512B7F" w:rsidP="00EF1FFC">
            <w:pPr>
              <w:pStyle w:val="Tables"/>
            </w:pPr>
            <w:r w:rsidRPr="00512B7F">
              <w:t>Pretreatment Compliance Inspection (PCI)</w:t>
            </w:r>
          </w:p>
        </w:tc>
        <w:tc>
          <w:tcPr>
            <w:tcW w:w="2790" w:type="dxa"/>
          </w:tcPr>
          <w:p w14:paraId="3145D0F9" w14:textId="71F06F24" w:rsidR="00512B7F" w:rsidRPr="00E329D2" w:rsidRDefault="00512B7F" w:rsidP="00EF1FFC">
            <w:pPr>
              <w:pStyle w:val="Tables"/>
            </w:pPr>
            <w:r>
              <w:t>937 per year</w:t>
            </w:r>
          </w:p>
        </w:tc>
        <w:tc>
          <w:tcPr>
            <w:tcW w:w="1502" w:type="dxa"/>
          </w:tcPr>
          <w:p w14:paraId="5E6E9ECC" w14:textId="209DE012" w:rsidR="00512B7F" w:rsidRPr="00E329D2" w:rsidRDefault="00512B7F" w:rsidP="00EF1FFC">
            <w:pPr>
              <w:pStyle w:val="Tables"/>
            </w:pPr>
            <w:r>
              <w:t>NA</w:t>
            </w:r>
          </w:p>
        </w:tc>
        <w:tc>
          <w:tcPr>
            <w:tcW w:w="923" w:type="dxa"/>
          </w:tcPr>
          <w:p w14:paraId="54CED6BE" w14:textId="63A9DB71" w:rsidR="00512B7F" w:rsidRPr="00E329D2" w:rsidRDefault="00512B7F" w:rsidP="00EF1FFC">
            <w:pPr>
              <w:pStyle w:val="Tables"/>
              <w:jc w:val="right"/>
            </w:pPr>
            <w:r>
              <w:t>24</w:t>
            </w:r>
          </w:p>
        </w:tc>
      </w:tr>
      <w:tr w:rsidR="002E54C6" w14:paraId="1709F61D" w14:textId="77777777" w:rsidTr="00EF1FFC">
        <w:tc>
          <w:tcPr>
            <w:tcW w:w="4135" w:type="dxa"/>
          </w:tcPr>
          <w:p w14:paraId="771741FF" w14:textId="0EC7EE8C" w:rsidR="002E54C6" w:rsidRPr="00E329D2" w:rsidRDefault="00E45F7F" w:rsidP="00EF1FFC">
            <w:pPr>
              <w:pStyle w:val="Tables"/>
            </w:pPr>
            <w:r w:rsidRPr="00E329D2">
              <w:t xml:space="preserve">Evaluation of the </w:t>
            </w:r>
            <w:r w:rsidR="004E01E6" w:rsidRPr="00E329D2">
              <w:t xml:space="preserve">need </w:t>
            </w:r>
            <w:r w:rsidRPr="00E329D2">
              <w:t xml:space="preserve">to </w:t>
            </w:r>
            <w:r w:rsidR="004E01E6" w:rsidRPr="00E329D2">
              <w:t>revise local limits</w:t>
            </w:r>
          </w:p>
        </w:tc>
        <w:tc>
          <w:tcPr>
            <w:tcW w:w="2790" w:type="dxa"/>
          </w:tcPr>
          <w:p w14:paraId="524BC41A" w14:textId="7C5374B4" w:rsidR="002E54C6" w:rsidRPr="00E329D2" w:rsidRDefault="00E45F7F" w:rsidP="00EF1FFC">
            <w:pPr>
              <w:pStyle w:val="Tables"/>
            </w:pPr>
            <w:r w:rsidRPr="00E329D2">
              <w:t>234</w:t>
            </w:r>
            <w:r w:rsidR="00282E8F" w:rsidRPr="00E329D2">
              <w:t xml:space="preserve"> per year</w:t>
            </w:r>
          </w:p>
        </w:tc>
        <w:tc>
          <w:tcPr>
            <w:tcW w:w="1502" w:type="dxa"/>
          </w:tcPr>
          <w:p w14:paraId="3FAF0C03" w14:textId="0F131C6C" w:rsidR="002E54C6" w:rsidRPr="00E329D2" w:rsidRDefault="00E45F7F" w:rsidP="00EF1FFC">
            <w:pPr>
              <w:pStyle w:val="Tables"/>
            </w:pPr>
            <w:r w:rsidRPr="00E329D2">
              <w:t>NA</w:t>
            </w:r>
          </w:p>
        </w:tc>
        <w:tc>
          <w:tcPr>
            <w:tcW w:w="923" w:type="dxa"/>
          </w:tcPr>
          <w:p w14:paraId="396C9E84" w14:textId="6B3618E6" w:rsidR="002E54C6" w:rsidRPr="00E329D2" w:rsidRDefault="00E45F7F" w:rsidP="00EF1FFC">
            <w:pPr>
              <w:pStyle w:val="Tables"/>
              <w:jc w:val="right"/>
            </w:pPr>
            <w:r w:rsidRPr="00E329D2">
              <w:t>1</w:t>
            </w:r>
          </w:p>
        </w:tc>
      </w:tr>
      <w:tr w:rsidR="00E45F7F" w14:paraId="73758E0B" w14:textId="77777777" w:rsidTr="00EF1FFC">
        <w:tc>
          <w:tcPr>
            <w:tcW w:w="4135" w:type="dxa"/>
          </w:tcPr>
          <w:p w14:paraId="03D5672F" w14:textId="3D5B4E9B" w:rsidR="00E45F7F" w:rsidRPr="00E329D2" w:rsidRDefault="00E45F7F" w:rsidP="00EF1FFC">
            <w:pPr>
              <w:pStyle w:val="Tables"/>
            </w:pPr>
            <w:r w:rsidRPr="00E329D2">
              <w:t xml:space="preserve">Net/Gross </w:t>
            </w:r>
            <w:r w:rsidR="004E01E6" w:rsidRPr="00E329D2">
              <w:t>adjustment request</w:t>
            </w:r>
          </w:p>
        </w:tc>
        <w:tc>
          <w:tcPr>
            <w:tcW w:w="2790" w:type="dxa"/>
          </w:tcPr>
          <w:p w14:paraId="2CE41BC4" w14:textId="2FAEEC09" w:rsidR="00E45F7F" w:rsidRPr="00E329D2" w:rsidRDefault="00E45F7F" w:rsidP="00EF1FFC">
            <w:pPr>
              <w:pStyle w:val="Tables"/>
            </w:pPr>
            <w:r w:rsidRPr="00E329D2">
              <w:t>2</w:t>
            </w:r>
            <w:r w:rsidR="00282E8F" w:rsidRPr="00E329D2">
              <w:t xml:space="preserve"> per year</w:t>
            </w:r>
          </w:p>
        </w:tc>
        <w:tc>
          <w:tcPr>
            <w:tcW w:w="1502" w:type="dxa"/>
          </w:tcPr>
          <w:p w14:paraId="4609EFB1" w14:textId="7B2C192D" w:rsidR="00E45F7F" w:rsidRPr="00E329D2" w:rsidRDefault="00E45F7F" w:rsidP="00EF1FFC">
            <w:pPr>
              <w:pStyle w:val="Tables"/>
            </w:pPr>
            <w:r w:rsidRPr="00E329D2">
              <w:t>NA</w:t>
            </w:r>
          </w:p>
        </w:tc>
        <w:tc>
          <w:tcPr>
            <w:tcW w:w="923" w:type="dxa"/>
          </w:tcPr>
          <w:p w14:paraId="063D29B4" w14:textId="17D05C6F" w:rsidR="00E45F7F" w:rsidRPr="00E329D2" w:rsidRDefault="00E45F7F" w:rsidP="00EF1FFC">
            <w:pPr>
              <w:pStyle w:val="Tables"/>
              <w:jc w:val="right"/>
            </w:pPr>
            <w:r w:rsidRPr="00E329D2">
              <w:t>10</w:t>
            </w:r>
          </w:p>
        </w:tc>
      </w:tr>
      <w:tr w:rsidR="00E45F7F" w14:paraId="206D4D57" w14:textId="77777777" w:rsidTr="00EF1FFC">
        <w:tc>
          <w:tcPr>
            <w:tcW w:w="4135" w:type="dxa"/>
          </w:tcPr>
          <w:p w14:paraId="7FD729EA" w14:textId="46330FFB" w:rsidR="00E45F7F" w:rsidRPr="00E329D2" w:rsidRDefault="00E45F7F" w:rsidP="00EF1FFC">
            <w:pPr>
              <w:pStyle w:val="Tables"/>
            </w:pPr>
            <w:r w:rsidRPr="00E329D2">
              <w:t xml:space="preserve">Removal </w:t>
            </w:r>
            <w:r w:rsidR="004E01E6" w:rsidRPr="00E329D2">
              <w:t xml:space="preserve">credit approval </w:t>
            </w:r>
          </w:p>
        </w:tc>
        <w:tc>
          <w:tcPr>
            <w:tcW w:w="2790" w:type="dxa"/>
          </w:tcPr>
          <w:p w14:paraId="7C6FE1D4" w14:textId="326A81D6" w:rsidR="00E45F7F" w:rsidRPr="00E329D2" w:rsidRDefault="00282E8F" w:rsidP="00EF1FFC">
            <w:pPr>
              <w:pStyle w:val="Tables"/>
            </w:pPr>
            <w:r w:rsidRPr="00E329D2">
              <w:t>2 per year</w:t>
            </w:r>
          </w:p>
        </w:tc>
        <w:tc>
          <w:tcPr>
            <w:tcW w:w="1502" w:type="dxa"/>
          </w:tcPr>
          <w:p w14:paraId="6B376A8A" w14:textId="11A42300" w:rsidR="00E45F7F" w:rsidRPr="00E329D2" w:rsidRDefault="00E45F7F" w:rsidP="00EF1FFC">
            <w:pPr>
              <w:pStyle w:val="Tables"/>
            </w:pPr>
            <w:r w:rsidRPr="00E329D2">
              <w:t>NA</w:t>
            </w:r>
          </w:p>
        </w:tc>
        <w:tc>
          <w:tcPr>
            <w:tcW w:w="923" w:type="dxa"/>
          </w:tcPr>
          <w:p w14:paraId="47FF18F5" w14:textId="05C5D5B5" w:rsidR="00E45F7F" w:rsidRPr="00E329D2" w:rsidRDefault="00E45F7F" w:rsidP="00EF1FFC">
            <w:pPr>
              <w:pStyle w:val="Tables"/>
              <w:jc w:val="right"/>
            </w:pPr>
            <w:r w:rsidRPr="00E329D2">
              <w:t>80</w:t>
            </w:r>
          </w:p>
        </w:tc>
      </w:tr>
      <w:tr w:rsidR="00E45F7F" w14:paraId="02738672" w14:textId="77777777" w:rsidTr="00EF1FFC">
        <w:tc>
          <w:tcPr>
            <w:tcW w:w="4135" w:type="dxa"/>
          </w:tcPr>
          <w:p w14:paraId="1DA90F56" w14:textId="6978F16A" w:rsidR="00E45F7F" w:rsidRPr="00E329D2" w:rsidRDefault="00282E8F" w:rsidP="00EF1FFC">
            <w:pPr>
              <w:pStyle w:val="Tables"/>
            </w:pPr>
            <w:r w:rsidRPr="00E329D2">
              <w:t xml:space="preserve">Removal </w:t>
            </w:r>
            <w:r w:rsidR="004E01E6" w:rsidRPr="00E329D2">
              <w:t>credit self</w:t>
            </w:r>
            <w:r w:rsidRPr="00E329D2">
              <w:t>-</w:t>
            </w:r>
            <w:r w:rsidR="004E01E6" w:rsidRPr="00E329D2">
              <w:t>monitoring report</w:t>
            </w:r>
            <w:r w:rsidR="003E5304">
              <w:t xml:space="preserve"> review</w:t>
            </w:r>
          </w:p>
        </w:tc>
        <w:tc>
          <w:tcPr>
            <w:tcW w:w="2790" w:type="dxa"/>
          </w:tcPr>
          <w:p w14:paraId="79BE1960" w14:textId="1BE225EA" w:rsidR="00E45F7F" w:rsidRPr="00E329D2" w:rsidRDefault="00282E8F" w:rsidP="00EF1FFC">
            <w:pPr>
              <w:pStyle w:val="Tables"/>
            </w:pPr>
            <w:r w:rsidRPr="00E329D2">
              <w:t>19 per year</w:t>
            </w:r>
          </w:p>
        </w:tc>
        <w:tc>
          <w:tcPr>
            <w:tcW w:w="1502" w:type="dxa"/>
          </w:tcPr>
          <w:p w14:paraId="0CE06E7D" w14:textId="21434258" w:rsidR="00E45F7F" w:rsidRPr="00E329D2" w:rsidRDefault="00282E8F" w:rsidP="00EF1FFC">
            <w:pPr>
              <w:pStyle w:val="Tables"/>
            </w:pPr>
            <w:r w:rsidRPr="00E329D2">
              <w:t>NA</w:t>
            </w:r>
          </w:p>
        </w:tc>
        <w:tc>
          <w:tcPr>
            <w:tcW w:w="923" w:type="dxa"/>
          </w:tcPr>
          <w:p w14:paraId="18FB7992" w14:textId="54963384" w:rsidR="00E45F7F" w:rsidRPr="00E329D2" w:rsidRDefault="00282E8F" w:rsidP="00EF1FFC">
            <w:pPr>
              <w:pStyle w:val="Tables"/>
              <w:jc w:val="right"/>
            </w:pPr>
            <w:r w:rsidRPr="00E329D2">
              <w:t>1</w:t>
            </w:r>
          </w:p>
        </w:tc>
      </w:tr>
      <w:tr w:rsidR="00791C1A" w14:paraId="68A28DC1" w14:textId="77777777" w:rsidTr="00EF1FFC">
        <w:tc>
          <w:tcPr>
            <w:tcW w:w="4135" w:type="dxa"/>
          </w:tcPr>
          <w:p w14:paraId="667A9F58" w14:textId="6CA109F3" w:rsidR="00791C1A" w:rsidRPr="00E329D2" w:rsidRDefault="003E5304" w:rsidP="00EF1FFC">
            <w:pPr>
              <w:pStyle w:val="Tables"/>
            </w:pPr>
            <w:r>
              <w:t xml:space="preserve">Maintenance of </w:t>
            </w:r>
            <w:r w:rsidR="00BB264F">
              <w:t>records</w:t>
            </w:r>
            <w:r>
              <w:t xml:space="preserve"> by Approval Authority</w:t>
            </w:r>
          </w:p>
        </w:tc>
        <w:tc>
          <w:tcPr>
            <w:tcW w:w="2790" w:type="dxa"/>
          </w:tcPr>
          <w:p w14:paraId="093FE071" w14:textId="77777777" w:rsidR="00791C1A" w:rsidRPr="00E329D2" w:rsidRDefault="00791C1A" w:rsidP="00EF1FFC">
            <w:pPr>
              <w:pStyle w:val="Tables"/>
            </w:pPr>
            <w:r w:rsidRPr="00E329D2">
              <w:t>36 approved states per year</w:t>
            </w:r>
          </w:p>
        </w:tc>
        <w:tc>
          <w:tcPr>
            <w:tcW w:w="1502" w:type="dxa"/>
          </w:tcPr>
          <w:p w14:paraId="3FF9117D" w14:textId="0F931975" w:rsidR="00791C1A" w:rsidRPr="00E329D2" w:rsidRDefault="00825E24" w:rsidP="00EF1FFC">
            <w:pPr>
              <w:pStyle w:val="Tables"/>
            </w:pPr>
            <w:r w:rsidRPr="00825E24">
              <w:t>1 per year</w:t>
            </w:r>
          </w:p>
        </w:tc>
        <w:tc>
          <w:tcPr>
            <w:tcW w:w="923" w:type="dxa"/>
          </w:tcPr>
          <w:p w14:paraId="729210FC" w14:textId="5551D8DA" w:rsidR="00791C1A" w:rsidRPr="00E329D2" w:rsidRDefault="00791C1A" w:rsidP="00EF1FFC">
            <w:pPr>
              <w:pStyle w:val="Tables"/>
              <w:jc w:val="right"/>
            </w:pPr>
            <w:r w:rsidRPr="00E329D2">
              <w:t>50</w:t>
            </w:r>
          </w:p>
        </w:tc>
      </w:tr>
      <w:tr w:rsidR="00791C1A" w14:paraId="3F8A3122" w14:textId="77777777" w:rsidTr="00EF1FFC">
        <w:tc>
          <w:tcPr>
            <w:tcW w:w="4135" w:type="dxa"/>
          </w:tcPr>
          <w:p w14:paraId="3F2508D8" w14:textId="22836AC0" w:rsidR="00791C1A" w:rsidRPr="00E329D2" w:rsidRDefault="003E5304" w:rsidP="00EF1FFC">
            <w:pPr>
              <w:pStyle w:val="Tables"/>
            </w:pPr>
            <w:r>
              <w:t>Maintenance of monitoring records by Approval Authority</w:t>
            </w:r>
          </w:p>
        </w:tc>
        <w:tc>
          <w:tcPr>
            <w:tcW w:w="2790" w:type="dxa"/>
          </w:tcPr>
          <w:p w14:paraId="0AD1173F" w14:textId="26878191" w:rsidR="00791C1A" w:rsidRPr="003E5304" w:rsidRDefault="00791C1A" w:rsidP="00EF1FFC">
            <w:pPr>
              <w:pStyle w:val="Tables"/>
              <w:rPr>
                <w:vertAlign w:val="superscript"/>
              </w:rPr>
            </w:pPr>
            <w:r w:rsidRPr="00E329D2">
              <w:t>Once per year for each SIU in non-approved states</w:t>
            </w:r>
            <w:r w:rsidR="003E5304">
              <w:rPr>
                <w:vertAlign w:val="superscript"/>
              </w:rPr>
              <w:t>1</w:t>
            </w:r>
          </w:p>
        </w:tc>
        <w:tc>
          <w:tcPr>
            <w:tcW w:w="1502" w:type="dxa"/>
          </w:tcPr>
          <w:p w14:paraId="72F0CA17" w14:textId="59DA637E" w:rsidR="00791C1A" w:rsidRPr="00E329D2" w:rsidRDefault="00825E24" w:rsidP="00EF1FFC">
            <w:pPr>
              <w:pStyle w:val="Tables"/>
            </w:pPr>
            <w:r w:rsidRPr="00825E24">
              <w:t>1 per year</w:t>
            </w:r>
          </w:p>
        </w:tc>
        <w:tc>
          <w:tcPr>
            <w:tcW w:w="923" w:type="dxa"/>
          </w:tcPr>
          <w:p w14:paraId="12757806" w14:textId="5120D0A2" w:rsidR="00791C1A" w:rsidRPr="00E329D2" w:rsidRDefault="00791C1A" w:rsidP="00EF1FFC">
            <w:pPr>
              <w:pStyle w:val="Tables"/>
              <w:jc w:val="right"/>
            </w:pPr>
            <w:r w:rsidRPr="00E329D2">
              <w:t>5</w:t>
            </w:r>
          </w:p>
        </w:tc>
      </w:tr>
    </w:tbl>
    <w:p w14:paraId="4E8EBDDC" w14:textId="7158F384" w:rsidR="004E707F" w:rsidRPr="004E707F" w:rsidRDefault="004E707F" w:rsidP="00EF1FFC">
      <w:pPr>
        <w:pStyle w:val="Tablenote"/>
      </w:pPr>
      <w:r>
        <w:t>“NA” indicates there is no burden to EPA for the activity.</w:t>
      </w:r>
    </w:p>
    <w:p w14:paraId="39572621" w14:textId="586F91EE" w:rsidR="00C6520E" w:rsidRDefault="003E5304" w:rsidP="00EF1FFC">
      <w:pPr>
        <w:pStyle w:val="Tablenote"/>
        <w:ind w:left="180" w:hanging="180"/>
      </w:pPr>
      <w:r>
        <w:rPr>
          <w:vertAlign w:val="superscript"/>
        </w:rPr>
        <w:t>1</w:t>
      </w:r>
      <w:r w:rsidR="00EF1FFC">
        <w:tab/>
      </w:r>
      <w:r>
        <w:t>There is additional burden due to States that act as Control Authorities.</w:t>
      </w:r>
    </w:p>
    <w:p w14:paraId="1404AA58" w14:textId="7E9DAC29" w:rsidR="00352E6F" w:rsidRDefault="006B48E0" w:rsidP="00831C69">
      <w:r w:rsidRPr="00786C04">
        <w:rPr>
          <w:i/>
        </w:rPr>
        <w:t>Federal.</w:t>
      </w:r>
      <w:r w:rsidR="001D56B6">
        <w:t xml:space="preserve"> </w:t>
      </w:r>
      <w:r w:rsidR="00352E6F">
        <w:t xml:space="preserve">Table A.4 below presents the assumptions related to EPA </w:t>
      </w:r>
      <w:r w:rsidR="0049037A">
        <w:t xml:space="preserve">pretreatment </w:t>
      </w:r>
      <w:r w:rsidR="00352E6F">
        <w:t>program oversight activities.</w:t>
      </w:r>
    </w:p>
    <w:p w14:paraId="280CF76F" w14:textId="2C7E36C9" w:rsidR="00E45F7F" w:rsidRDefault="00352E6F" w:rsidP="00871F94">
      <w:pPr>
        <w:pStyle w:val="Caption"/>
      </w:pPr>
      <w:r>
        <w:t>Table A.4</w:t>
      </w:r>
      <w:r w:rsidR="00E329D2" w:rsidRPr="00E329D2">
        <w:t xml:space="preserve"> Summary of </w:t>
      </w:r>
      <w:r w:rsidR="00E02336">
        <w:t>B</w:t>
      </w:r>
      <w:r w:rsidR="00E329D2" w:rsidRPr="00E329D2">
        <w:t xml:space="preserve">urden </w:t>
      </w:r>
      <w:r w:rsidR="00E02336">
        <w:t>A</w:t>
      </w:r>
      <w:r w:rsidR="00E329D2" w:rsidRPr="00E329D2">
        <w:t xml:space="preserve">ssumption </w:t>
      </w:r>
      <w:r w:rsidR="00E02336">
        <w:t>R</w:t>
      </w:r>
      <w:r w:rsidR="00E329D2" w:rsidRPr="00E329D2">
        <w:t xml:space="preserve">elated to </w:t>
      </w:r>
      <w:r w:rsidR="00E329D2">
        <w:t xml:space="preserve">EPA </w:t>
      </w:r>
      <w:r w:rsidR="00E02336">
        <w:t>P</w:t>
      </w:r>
      <w:r w:rsidR="00E329D2">
        <w:t xml:space="preserve">rogram </w:t>
      </w:r>
      <w:r w:rsidR="00E02336">
        <w:t>O</w:t>
      </w:r>
      <w:r w:rsidR="00E329D2">
        <w:t>versight</w:t>
      </w:r>
    </w:p>
    <w:tbl>
      <w:tblPr>
        <w:tblStyle w:val="TableGrid10"/>
        <w:tblW w:w="8005" w:type="dxa"/>
        <w:tblLook w:val="04A0" w:firstRow="1" w:lastRow="0" w:firstColumn="1" w:lastColumn="0" w:noHBand="0" w:noVBand="1"/>
      </w:tblPr>
      <w:tblGrid>
        <w:gridCol w:w="4495"/>
        <w:gridCol w:w="2160"/>
        <w:gridCol w:w="1350"/>
      </w:tblGrid>
      <w:tr w:rsidR="00E45F7F" w:rsidRPr="00E45F7F" w14:paraId="324DF9A9" w14:textId="77777777" w:rsidTr="005509DE">
        <w:trPr>
          <w:trHeight w:val="264"/>
          <w:tblHeader/>
        </w:trPr>
        <w:tc>
          <w:tcPr>
            <w:tcW w:w="4495" w:type="dxa"/>
            <w:shd w:val="clear" w:color="auto" w:fill="D9D9D9" w:themeFill="background1" w:themeFillShade="D9"/>
            <w:noWrap/>
          </w:tcPr>
          <w:p w14:paraId="057E214F" w14:textId="24058EB2" w:rsidR="00E45F7F" w:rsidRPr="00E329D2" w:rsidRDefault="00E45F7F" w:rsidP="00A30867">
            <w:pPr>
              <w:pStyle w:val="TableTitle"/>
              <w:rPr>
                <w:rFonts w:eastAsiaTheme="minorHAnsi"/>
              </w:rPr>
            </w:pPr>
            <w:r w:rsidRPr="00E329D2">
              <w:rPr>
                <w:rFonts w:eastAsiaTheme="minorHAnsi"/>
              </w:rPr>
              <w:t xml:space="preserve">Federal </w:t>
            </w:r>
            <w:r w:rsidR="00E02336">
              <w:rPr>
                <w:rFonts w:eastAsiaTheme="minorHAnsi"/>
              </w:rPr>
              <w:t>A</w:t>
            </w:r>
            <w:r w:rsidRPr="00E329D2">
              <w:rPr>
                <w:rFonts w:eastAsiaTheme="minorHAnsi"/>
              </w:rPr>
              <w:t>ctivity</w:t>
            </w:r>
          </w:p>
        </w:tc>
        <w:tc>
          <w:tcPr>
            <w:tcW w:w="2160" w:type="dxa"/>
            <w:shd w:val="clear" w:color="auto" w:fill="D9D9D9" w:themeFill="background1" w:themeFillShade="D9"/>
          </w:tcPr>
          <w:p w14:paraId="52D0878C" w14:textId="77777777" w:rsidR="00E45F7F" w:rsidRPr="00E329D2" w:rsidRDefault="00E45F7F" w:rsidP="00A30867">
            <w:pPr>
              <w:pStyle w:val="TableTitle"/>
              <w:rPr>
                <w:rFonts w:eastAsiaTheme="minorHAnsi"/>
              </w:rPr>
            </w:pPr>
            <w:r w:rsidRPr="00E329D2">
              <w:rPr>
                <w:rFonts w:eastAsiaTheme="minorHAnsi"/>
              </w:rPr>
              <w:t>Frequency</w:t>
            </w:r>
          </w:p>
        </w:tc>
        <w:tc>
          <w:tcPr>
            <w:tcW w:w="1350" w:type="dxa"/>
            <w:shd w:val="clear" w:color="auto" w:fill="D9D9D9" w:themeFill="background1" w:themeFillShade="D9"/>
            <w:noWrap/>
          </w:tcPr>
          <w:p w14:paraId="24ECFA60" w14:textId="77777777" w:rsidR="00E45F7F" w:rsidRPr="00E329D2" w:rsidRDefault="00E45F7F" w:rsidP="00A30867">
            <w:pPr>
              <w:pStyle w:val="TableTitle"/>
              <w:rPr>
                <w:rFonts w:eastAsiaTheme="minorHAnsi"/>
              </w:rPr>
            </w:pPr>
            <w:r w:rsidRPr="00E329D2">
              <w:rPr>
                <w:rFonts w:eastAsiaTheme="minorHAnsi"/>
              </w:rPr>
              <w:t>Burden (hours)</w:t>
            </w:r>
          </w:p>
        </w:tc>
      </w:tr>
      <w:tr w:rsidR="00E45F7F" w:rsidRPr="00E45F7F" w14:paraId="2DCD8C7D" w14:textId="77777777" w:rsidTr="00A64A1F">
        <w:trPr>
          <w:trHeight w:val="264"/>
        </w:trPr>
        <w:tc>
          <w:tcPr>
            <w:tcW w:w="4495" w:type="dxa"/>
            <w:noWrap/>
            <w:hideMark/>
          </w:tcPr>
          <w:p w14:paraId="746F987D" w14:textId="1D9CE448" w:rsidR="00E45F7F" w:rsidRPr="00965B02" w:rsidRDefault="00E45F7F" w:rsidP="00A30867">
            <w:pPr>
              <w:pStyle w:val="Tables"/>
            </w:pPr>
            <w:r w:rsidRPr="00965B02">
              <w:t xml:space="preserve">State </w:t>
            </w:r>
            <w:r w:rsidR="00B615BE" w:rsidRPr="00965B02">
              <w:t>pretreatment program</w:t>
            </w:r>
            <w:r w:rsidR="00B615BE" w:rsidRPr="00E329D2">
              <w:rPr>
                <w:rFonts w:eastAsiaTheme="minorHAnsi"/>
              </w:rPr>
              <w:t xml:space="preserve"> </w:t>
            </w:r>
            <w:r w:rsidR="00B615BE" w:rsidRPr="00965B02">
              <w:t>approval request</w:t>
            </w:r>
          </w:p>
        </w:tc>
        <w:tc>
          <w:tcPr>
            <w:tcW w:w="2160" w:type="dxa"/>
            <w:vAlign w:val="center"/>
          </w:tcPr>
          <w:p w14:paraId="7839FA47" w14:textId="37508D3C" w:rsidR="00E45F7F" w:rsidRPr="00965B02" w:rsidRDefault="00E45F7F" w:rsidP="00A30867">
            <w:pPr>
              <w:pStyle w:val="Tables"/>
            </w:pPr>
            <w:r w:rsidRPr="00965B02">
              <w:t>Once per request. See Appendix D</w:t>
            </w:r>
            <w:r w:rsidR="002F0421">
              <w:t>.</w:t>
            </w:r>
          </w:p>
        </w:tc>
        <w:tc>
          <w:tcPr>
            <w:tcW w:w="1350" w:type="dxa"/>
            <w:noWrap/>
            <w:vAlign w:val="center"/>
            <w:hideMark/>
          </w:tcPr>
          <w:p w14:paraId="63437432" w14:textId="77777777" w:rsidR="00E45F7F" w:rsidRPr="00965B02" w:rsidRDefault="00E45F7F" w:rsidP="00A30867">
            <w:pPr>
              <w:pStyle w:val="Tables"/>
            </w:pPr>
            <w:r w:rsidRPr="00965B02">
              <w:t>325</w:t>
            </w:r>
          </w:p>
        </w:tc>
      </w:tr>
      <w:tr w:rsidR="00E45F7F" w:rsidRPr="00E45F7F" w14:paraId="7CD407B1" w14:textId="77777777" w:rsidTr="00A64A1F">
        <w:trPr>
          <w:trHeight w:val="264"/>
        </w:trPr>
        <w:tc>
          <w:tcPr>
            <w:tcW w:w="4495" w:type="dxa"/>
            <w:noWrap/>
            <w:hideMark/>
          </w:tcPr>
          <w:p w14:paraId="41936795" w14:textId="35F35708" w:rsidR="00E45F7F" w:rsidRPr="00965B02" w:rsidRDefault="00E45F7F" w:rsidP="00A30867">
            <w:pPr>
              <w:pStyle w:val="Tables"/>
            </w:pPr>
            <w:r w:rsidRPr="00965B02">
              <w:t xml:space="preserve">POTW </w:t>
            </w:r>
            <w:r w:rsidR="00B615BE" w:rsidRPr="00965B02">
              <w:t>pretreatment compliance</w:t>
            </w:r>
            <w:r w:rsidR="00B615BE" w:rsidRPr="00E329D2">
              <w:rPr>
                <w:rFonts w:eastAsiaTheme="minorHAnsi"/>
              </w:rPr>
              <w:t xml:space="preserve"> </w:t>
            </w:r>
            <w:r w:rsidR="00B615BE" w:rsidRPr="00965B02">
              <w:t>schedule progress report</w:t>
            </w:r>
            <w:r w:rsidR="00F45D34" w:rsidRPr="00F45D34">
              <w:rPr>
                <w:vertAlign w:val="superscript"/>
              </w:rPr>
              <w:t>a</w:t>
            </w:r>
          </w:p>
        </w:tc>
        <w:tc>
          <w:tcPr>
            <w:tcW w:w="2160" w:type="dxa"/>
            <w:vAlign w:val="center"/>
          </w:tcPr>
          <w:p w14:paraId="4EF9A69B" w14:textId="77777777" w:rsidR="00E45F7F" w:rsidRPr="00965B02" w:rsidRDefault="00E45F7F" w:rsidP="00A30867">
            <w:pPr>
              <w:pStyle w:val="Tables"/>
            </w:pPr>
            <w:r w:rsidRPr="00965B02">
              <w:t>12 per year</w:t>
            </w:r>
          </w:p>
        </w:tc>
        <w:tc>
          <w:tcPr>
            <w:tcW w:w="1350" w:type="dxa"/>
            <w:noWrap/>
            <w:vAlign w:val="center"/>
            <w:hideMark/>
          </w:tcPr>
          <w:p w14:paraId="5A795C3A" w14:textId="77777777" w:rsidR="00E45F7F" w:rsidRPr="00965B02" w:rsidRDefault="00E45F7F" w:rsidP="00A30867">
            <w:pPr>
              <w:pStyle w:val="Tables"/>
            </w:pPr>
            <w:r w:rsidRPr="00965B02">
              <w:t>2</w:t>
            </w:r>
          </w:p>
        </w:tc>
      </w:tr>
      <w:tr w:rsidR="00E45F7F" w:rsidRPr="00E45F7F" w14:paraId="24A4C83B" w14:textId="77777777" w:rsidTr="00A64A1F">
        <w:trPr>
          <w:trHeight w:val="264"/>
        </w:trPr>
        <w:tc>
          <w:tcPr>
            <w:tcW w:w="4495" w:type="dxa"/>
            <w:noWrap/>
            <w:hideMark/>
          </w:tcPr>
          <w:p w14:paraId="6D37FD58" w14:textId="62D5CE42" w:rsidR="00E45F7F" w:rsidRPr="00965B02" w:rsidRDefault="00E45F7F" w:rsidP="00A30867">
            <w:pPr>
              <w:pStyle w:val="Tables"/>
            </w:pPr>
            <w:r w:rsidRPr="00965B02">
              <w:t xml:space="preserve">POTW </w:t>
            </w:r>
            <w:r w:rsidR="00B615BE" w:rsidRPr="00965B02">
              <w:t>pretreatment program</w:t>
            </w:r>
            <w:r w:rsidR="00B615BE" w:rsidRPr="00E329D2">
              <w:rPr>
                <w:rFonts w:eastAsiaTheme="minorHAnsi"/>
              </w:rPr>
              <w:t xml:space="preserve"> </w:t>
            </w:r>
            <w:r w:rsidR="00B615BE" w:rsidRPr="00965B02">
              <w:t>approval request</w:t>
            </w:r>
            <w:r w:rsidR="00F45D34" w:rsidRPr="00F45D34">
              <w:rPr>
                <w:vertAlign w:val="superscript"/>
              </w:rPr>
              <w:t>a</w:t>
            </w:r>
          </w:p>
        </w:tc>
        <w:tc>
          <w:tcPr>
            <w:tcW w:w="2160" w:type="dxa"/>
            <w:vAlign w:val="center"/>
          </w:tcPr>
          <w:p w14:paraId="17FF167A" w14:textId="01B397B4" w:rsidR="00E45F7F" w:rsidRPr="00965B02" w:rsidRDefault="00282E8F" w:rsidP="00A30867">
            <w:pPr>
              <w:pStyle w:val="Tables"/>
            </w:pPr>
            <w:r w:rsidRPr="00965B02">
              <w:t>2 per year</w:t>
            </w:r>
          </w:p>
        </w:tc>
        <w:tc>
          <w:tcPr>
            <w:tcW w:w="1350" w:type="dxa"/>
            <w:noWrap/>
            <w:vAlign w:val="center"/>
            <w:hideMark/>
          </w:tcPr>
          <w:p w14:paraId="300E0363" w14:textId="77777777" w:rsidR="00E45F7F" w:rsidRPr="00965B02" w:rsidRDefault="00E45F7F" w:rsidP="00A30867">
            <w:pPr>
              <w:pStyle w:val="Tables"/>
            </w:pPr>
            <w:r w:rsidRPr="00965B02">
              <w:t>40</w:t>
            </w:r>
          </w:p>
        </w:tc>
      </w:tr>
      <w:tr w:rsidR="00E45F7F" w:rsidRPr="00E45F7F" w14:paraId="65877AE3" w14:textId="77777777" w:rsidTr="00A64A1F">
        <w:trPr>
          <w:trHeight w:val="264"/>
        </w:trPr>
        <w:tc>
          <w:tcPr>
            <w:tcW w:w="4495" w:type="dxa"/>
            <w:noWrap/>
            <w:hideMark/>
          </w:tcPr>
          <w:p w14:paraId="60A23C0D" w14:textId="34DEA1CB" w:rsidR="00E45F7F" w:rsidRPr="00965B02" w:rsidRDefault="00E45F7F" w:rsidP="00A30867">
            <w:pPr>
              <w:pStyle w:val="Tables"/>
            </w:pPr>
            <w:r w:rsidRPr="00965B02">
              <w:t xml:space="preserve">POTW </w:t>
            </w:r>
            <w:r w:rsidR="00B615BE" w:rsidRPr="00965B02">
              <w:t>pretreatment program</w:t>
            </w:r>
            <w:r w:rsidR="00B615BE" w:rsidRPr="00E329D2">
              <w:rPr>
                <w:rFonts w:eastAsiaTheme="minorHAnsi"/>
              </w:rPr>
              <w:t xml:space="preserve"> </w:t>
            </w:r>
            <w:r w:rsidR="00B615BE" w:rsidRPr="00965B02">
              <w:t>modification approval request</w:t>
            </w:r>
            <w:r w:rsidR="00F45D34" w:rsidRPr="00F45D34">
              <w:rPr>
                <w:vertAlign w:val="superscript"/>
              </w:rPr>
              <w:t>a</w:t>
            </w:r>
          </w:p>
        </w:tc>
        <w:tc>
          <w:tcPr>
            <w:tcW w:w="2160" w:type="dxa"/>
            <w:vAlign w:val="center"/>
          </w:tcPr>
          <w:p w14:paraId="4AE6968A" w14:textId="05BE4F9C" w:rsidR="00E45F7F" w:rsidRPr="00965B02" w:rsidRDefault="00282E8F" w:rsidP="00A30867">
            <w:pPr>
              <w:pStyle w:val="Tables"/>
            </w:pPr>
            <w:r w:rsidRPr="00965B02">
              <w:t>2 per year</w:t>
            </w:r>
          </w:p>
        </w:tc>
        <w:tc>
          <w:tcPr>
            <w:tcW w:w="1350" w:type="dxa"/>
            <w:noWrap/>
            <w:vAlign w:val="center"/>
            <w:hideMark/>
          </w:tcPr>
          <w:p w14:paraId="0B2A017B" w14:textId="77777777" w:rsidR="00E45F7F" w:rsidRPr="00965B02" w:rsidRDefault="00E45F7F" w:rsidP="00A30867">
            <w:pPr>
              <w:pStyle w:val="Tables"/>
            </w:pPr>
            <w:r w:rsidRPr="00965B02">
              <w:t>20</w:t>
            </w:r>
          </w:p>
        </w:tc>
      </w:tr>
      <w:tr w:rsidR="00E45F7F" w:rsidRPr="00E45F7F" w14:paraId="5FECAA23" w14:textId="77777777" w:rsidTr="00A64A1F">
        <w:trPr>
          <w:trHeight w:val="264"/>
        </w:trPr>
        <w:tc>
          <w:tcPr>
            <w:tcW w:w="4495" w:type="dxa"/>
            <w:noWrap/>
            <w:hideMark/>
          </w:tcPr>
          <w:p w14:paraId="198240F1" w14:textId="6CF63B38" w:rsidR="00E45F7F" w:rsidRPr="00965B02" w:rsidRDefault="00E45F7F" w:rsidP="00A30867">
            <w:pPr>
              <w:pStyle w:val="Tables"/>
            </w:pPr>
            <w:r w:rsidRPr="00965B02">
              <w:t xml:space="preserve">Annual POTW </w:t>
            </w:r>
            <w:r w:rsidR="00B615BE" w:rsidRPr="00965B02">
              <w:t>reports</w:t>
            </w:r>
            <w:r w:rsidR="00F45D34" w:rsidRPr="00F45D34">
              <w:rPr>
                <w:vertAlign w:val="superscript"/>
              </w:rPr>
              <w:t>a</w:t>
            </w:r>
          </w:p>
        </w:tc>
        <w:tc>
          <w:tcPr>
            <w:tcW w:w="2160" w:type="dxa"/>
            <w:vAlign w:val="center"/>
          </w:tcPr>
          <w:p w14:paraId="3502154C" w14:textId="7100C5A5" w:rsidR="00E45F7F" w:rsidRPr="00965B02" w:rsidRDefault="00282E8F" w:rsidP="00A30867">
            <w:pPr>
              <w:pStyle w:val="Tables"/>
            </w:pPr>
            <w:r w:rsidRPr="00965B02">
              <w:t>405 per year</w:t>
            </w:r>
          </w:p>
        </w:tc>
        <w:tc>
          <w:tcPr>
            <w:tcW w:w="1350" w:type="dxa"/>
            <w:noWrap/>
            <w:vAlign w:val="center"/>
            <w:hideMark/>
          </w:tcPr>
          <w:p w14:paraId="2BF7E3D8" w14:textId="77777777" w:rsidR="00E45F7F" w:rsidRPr="00965B02" w:rsidRDefault="00E45F7F" w:rsidP="00A30867">
            <w:pPr>
              <w:pStyle w:val="Tables"/>
            </w:pPr>
            <w:r w:rsidRPr="00965B02">
              <w:t>20</w:t>
            </w:r>
          </w:p>
        </w:tc>
      </w:tr>
      <w:tr w:rsidR="00E45F7F" w:rsidRPr="00E45F7F" w14:paraId="5B1E2ABC" w14:textId="77777777" w:rsidTr="00A64A1F">
        <w:trPr>
          <w:trHeight w:val="264"/>
        </w:trPr>
        <w:tc>
          <w:tcPr>
            <w:tcW w:w="4495" w:type="dxa"/>
            <w:noWrap/>
            <w:hideMark/>
          </w:tcPr>
          <w:p w14:paraId="1547E44C" w14:textId="61EEB907" w:rsidR="00E45F7F" w:rsidRPr="00965B02" w:rsidRDefault="00E45F7F" w:rsidP="00A30867">
            <w:pPr>
              <w:pStyle w:val="Tables"/>
            </w:pPr>
            <w:r w:rsidRPr="00965B02">
              <w:t xml:space="preserve">Pretreatment </w:t>
            </w:r>
            <w:r w:rsidR="00B615BE" w:rsidRPr="00965B02">
              <w:t xml:space="preserve">compliance inspection </w:t>
            </w:r>
            <w:r w:rsidRPr="00965B02">
              <w:t>(PCI)</w:t>
            </w:r>
          </w:p>
        </w:tc>
        <w:tc>
          <w:tcPr>
            <w:tcW w:w="2160" w:type="dxa"/>
            <w:vAlign w:val="center"/>
          </w:tcPr>
          <w:p w14:paraId="020DFA73" w14:textId="45AB5110" w:rsidR="00E45F7F" w:rsidRPr="00965B02" w:rsidRDefault="00282E8F" w:rsidP="00A30867">
            <w:pPr>
              <w:pStyle w:val="Tables"/>
            </w:pPr>
            <w:r w:rsidRPr="00965B02">
              <w:t>324 per year</w:t>
            </w:r>
          </w:p>
        </w:tc>
        <w:tc>
          <w:tcPr>
            <w:tcW w:w="1350" w:type="dxa"/>
            <w:noWrap/>
            <w:vAlign w:val="center"/>
            <w:hideMark/>
          </w:tcPr>
          <w:p w14:paraId="6D4DC226" w14:textId="77777777" w:rsidR="00E45F7F" w:rsidRPr="00965B02" w:rsidRDefault="00E45F7F" w:rsidP="00A30867">
            <w:pPr>
              <w:pStyle w:val="Tables"/>
            </w:pPr>
            <w:r w:rsidRPr="00965B02">
              <w:t>24</w:t>
            </w:r>
          </w:p>
        </w:tc>
      </w:tr>
      <w:tr w:rsidR="00E45F7F" w:rsidRPr="00E45F7F" w14:paraId="46E89DF6" w14:textId="77777777" w:rsidTr="00A64A1F">
        <w:trPr>
          <w:trHeight w:val="255"/>
        </w:trPr>
        <w:tc>
          <w:tcPr>
            <w:tcW w:w="4495" w:type="dxa"/>
            <w:noWrap/>
            <w:hideMark/>
          </w:tcPr>
          <w:p w14:paraId="3E8A5F50" w14:textId="0E3E6472" w:rsidR="00E45F7F" w:rsidRPr="00965B02" w:rsidRDefault="00407ABD" w:rsidP="00A30867">
            <w:pPr>
              <w:pStyle w:val="Tables"/>
            </w:pPr>
            <w:r>
              <w:t>R</w:t>
            </w:r>
            <w:r w:rsidR="00955AED">
              <w:t xml:space="preserve">eview </w:t>
            </w:r>
            <w:r>
              <w:t>of</w:t>
            </w:r>
            <w:r w:rsidR="00955AED">
              <w:t xml:space="preserve"> </w:t>
            </w:r>
            <w:r w:rsidR="00E45F7F" w:rsidRPr="00965B02">
              <w:t xml:space="preserve">Inspection and </w:t>
            </w:r>
            <w:r w:rsidR="00B615BE" w:rsidRPr="00965B02">
              <w:t>sampling</w:t>
            </w:r>
            <w:r w:rsidR="00B615BE" w:rsidRPr="00E329D2">
              <w:rPr>
                <w:rFonts w:eastAsiaTheme="minorHAnsi"/>
              </w:rPr>
              <w:t xml:space="preserve"> </w:t>
            </w:r>
            <w:r w:rsidR="00E45F7F" w:rsidRPr="00965B02">
              <w:t xml:space="preserve">of IU and SIU </w:t>
            </w:r>
            <w:r w:rsidR="00B615BE" w:rsidRPr="00965B02">
              <w:t>effluent</w:t>
            </w:r>
            <w:r>
              <w:t xml:space="preserve"> data</w:t>
            </w:r>
            <w:r w:rsidR="00F45D34" w:rsidRPr="00F45D34">
              <w:rPr>
                <w:vertAlign w:val="superscript"/>
              </w:rPr>
              <w:t>a</w:t>
            </w:r>
          </w:p>
        </w:tc>
        <w:tc>
          <w:tcPr>
            <w:tcW w:w="2160" w:type="dxa"/>
            <w:vAlign w:val="center"/>
          </w:tcPr>
          <w:p w14:paraId="5D77575A" w14:textId="257E5F57" w:rsidR="00E45F7F" w:rsidRPr="00965B02" w:rsidRDefault="00AA5E12" w:rsidP="00A30867">
            <w:pPr>
              <w:pStyle w:val="Tables"/>
            </w:pPr>
            <w:r>
              <w:t>5,690</w:t>
            </w:r>
            <w:r w:rsidR="00282E8F" w:rsidRPr="00965B02">
              <w:t xml:space="preserve"> per year</w:t>
            </w:r>
          </w:p>
        </w:tc>
        <w:tc>
          <w:tcPr>
            <w:tcW w:w="1350" w:type="dxa"/>
            <w:noWrap/>
            <w:vAlign w:val="center"/>
            <w:hideMark/>
          </w:tcPr>
          <w:p w14:paraId="465F08FD" w14:textId="77777777" w:rsidR="00E45F7F" w:rsidRPr="00965B02" w:rsidRDefault="00E45F7F" w:rsidP="00A30867">
            <w:pPr>
              <w:pStyle w:val="Tables"/>
            </w:pPr>
            <w:r w:rsidRPr="00965B02">
              <w:t>0.5</w:t>
            </w:r>
          </w:p>
        </w:tc>
      </w:tr>
      <w:tr w:rsidR="00E45F7F" w:rsidRPr="00E45F7F" w14:paraId="35C7FA8E" w14:textId="77777777" w:rsidTr="00A64A1F">
        <w:trPr>
          <w:trHeight w:val="264"/>
        </w:trPr>
        <w:tc>
          <w:tcPr>
            <w:tcW w:w="4495" w:type="dxa"/>
            <w:noWrap/>
            <w:hideMark/>
          </w:tcPr>
          <w:p w14:paraId="6500CE37" w14:textId="2A5E81E6" w:rsidR="00E45F7F" w:rsidRPr="00965B02" w:rsidRDefault="00E45F7F" w:rsidP="00A30867">
            <w:pPr>
              <w:pStyle w:val="Tables"/>
            </w:pPr>
            <w:r w:rsidRPr="00965B02">
              <w:t xml:space="preserve">Evaluation of the </w:t>
            </w:r>
            <w:r w:rsidR="00B615BE" w:rsidRPr="00965B02">
              <w:t xml:space="preserve">need </w:t>
            </w:r>
            <w:r w:rsidRPr="00965B02">
              <w:t>to</w:t>
            </w:r>
            <w:r w:rsidRPr="00E329D2">
              <w:rPr>
                <w:rFonts w:eastAsiaTheme="minorHAnsi"/>
              </w:rPr>
              <w:t xml:space="preserve"> </w:t>
            </w:r>
            <w:r w:rsidR="00B615BE" w:rsidRPr="00965B02">
              <w:t>revise local limits</w:t>
            </w:r>
            <w:r w:rsidR="00F45D34" w:rsidRPr="00F45D34">
              <w:rPr>
                <w:vertAlign w:val="superscript"/>
              </w:rPr>
              <w:t>a</w:t>
            </w:r>
          </w:p>
        </w:tc>
        <w:tc>
          <w:tcPr>
            <w:tcW w:w="2160" w:type="dxa"/>
            <w:vAlign w:val="center"/>
          </w:tcPr>
          <w:p w14:paraId="6AF40ABD" w14:textId="6DC3A175" w:rsidR="00E45F7F" w:rsidRPr="00965B02" w:rsidRDefault="00282E8F" w:rsidP="00A30867">
            <w:pPr>
              <w:pStyle w:val="Tables"/>
            </w:pPr>
            <w:r w:rsidRPr="00965B02">
              <w:t>81 per year</w:t>
            </w:r>
          </w:p>
        </w:tc>
        <w:tc>
          <w:tcPr>
            <w:tcW w:w="1350" w:type="dxa"/>
            <w:noWrap/>
            <w:vAlign w:val="center"/>
            <w:hideMark/>
          </w:tcPr>
          <w:p w14:paraId="2F4CF10B" w14:textId="77777777" w:rsidR="00E45F7F" w:rsidRPr="00965B02" w:rsidRDefault="00E45F7F" w:rsidP="00A30867">
            <w:pPr>
              <w:pStyle w:val="Tables"/>
            </w:pPr>
            <w:r w:rsidRPr="00965B02">
              <w:t>1</w:t>
            </w:r>
          </w:p>
        </w:tc>
      </w:tr>
      <w:tr w:rsidR="00E45F7F" w:rsidRPr="00E45F7F" w14:paraId="4A439D60" w14:textId="77777777" w:rsidTr="00A64A1F">
        <w:trPr>
          <w:trHeight w:val="264"/>
        </w:trPr>
        <w:tc>
          <w:tcPr>
            <w:tcW w:w="4495" w:type="dxa"/>
            <w:noWrap/>
            <w:hideMark/>
          </w:tcPr>
          <w:p w14:paraId="53E3DEF8" w14:textId="027DF6AE" w:rsidR="00E45F7F" w:rsidRPr="00965B02" w:rsidRDefault="00E45F7F" w:rsidP="00A30867">
            <w:pPr>
              <w:pStyle w:val="Tables"/>
            </w:pPr>
            <w:r w:rsidRPr="00965B02">
              <w:t xml:space="preserve">Categorical </w:t>
            </w:r>
            <w:r w:rsidR="00B615BE" w:rsidRPr="00965B02">
              <w:t>determination</w:t>
            </w:r>
            <w:r w:rsidR="00B615BE" w:rsidRPr="00E329D2">
              <w:rPr>
                <w:rFonts w:eastAsiaTheme="minorHAnsi"/>
              </w:rPr>
              <w:t xml:space="preserve"> </w:t>
            </w:r>
            <w:r w:rsidR="00B615BE" w:rsidRPr="00965B02">
              <w:t>request</w:t>
            </w:r>
          </w:p>
        </w:tc>
        <w:tc>
          <w:tcPr>
            <w:tcW w:w="2160" w:type="dxa"/>
            <w:vAlign w:val="center"/>
          </w:tcPr>
          <w:p w14:paraId="67EDB193" w14:textId="0516069C" w:rsidR="00E45F7F" w:rsidRPr="00965B02" w:rsidRDefault="00282E8F" w:rsidP="00A30867">
            <w:pPr>
              <w:pStyle w:val="Tables"/>
            </w:pPr>
            <w:r w:rsidRPr="00965B02">
              <w:t>0 per year</w:t>
            </w:r>
          </w:p>
        </w:tc>
        <w:tc>
          <w:tcPr>
            <w:tcW w:w="1350" w:type="dxa"/>
            <w:noWrap/>
            <w:vAlign w:val="center"/>
            <w:hideMark/>
          </w:tcPr>
          <w:p w14:paraId="24C23A4F" w14:textId="77777777" w:rsidR="00E45F7F" w:rsidRPr="00965B02" w:rsidRDefault="00E45F7F" w:rsidP="00A30867">
            <w:pPr>
              <w:pStyle w:val="Tables"/>
            </w:pPr>
            <w:r w:rsidRPr="00965B02">
              <w:t>20</w:t>
            </w:r>
          </w:p>
        </w:tc>
      </w:tr>
      <w:tr w:rsidR="00E45F7F" w:rsidRPr="00E45F7F" w14:paraId="338A6057" w14:textId="77777777" w:rsidTr="00A64A1F">
        <w:trPr>
          <w:trHeight w:val="264"/>
        </w:trPr>
        <w:tc>
          <w:tcPr>
            <w:tcW w:w="4495" w:type="dxa"/>
            <w:noWrap/>
            <w:hideMark/>
          </w:tcPr>
          <w:p w14:paraId="1EF939F4" w14:textId="7C681B08" w:rsidR="00E45F7F" w:rsidRPr="00965B02" w:rsidRDefault="00E45F7F" w:rsidP="00A30867">
            <w:pPr>
              <w:pStyle w:val="Tables"/>
            </w:pPr>
            <w:r w:rsidRPr="00965B02">
              <w:t xml:space="preserve">Fundamentally </w:t>
            </w:r>
            <w:r w:rsidR="00B615BE" w:rsidRPr="00965B02">
              <w:t>different factors</w:t>
            </w:r>
            <w:r w:rsidR="00B615BE" w:rsidRPr="00E329D2">
              <w:rPr>
                <w:rFonts w:eastAsiaTheme="minorHAnsi"/>
              </w:rPr>
              <w:t xml:space="preserve"> </w:t>
            </w:r>
            <w:r w:rsidR="00B615BE" w:rsidRPr="00965B02">
              <w:t>variance request</w:t>
            </w:r>
          </w:p>
        </w:tc>
        <w:tc>
          <w:tcPr>
            <w:tcW w:w="2160" w:type="dxa"/>
            <w:vAlign w:val="center"/>
          </w:tcPr>
          <w:p w14:paraId="5A310375" w14:textId="390840F3" w:rsidR="00E45F7F" w:rsidRPr="00965B02" w:rsidRDefault="00282E8F" w:rsidP="00A30867">
            <w:pPr>
              <w:pStyle w:val="Tables"/>
            </w:pPr>
            <w:r w:rsidRPr="00965B02">
              <w:t>0 per year</w:t>
            </w:r>
          </w:p>
        </w:tc>
        <w:tc>
          <w:tcPr>
            <w:tcW w:w="1350" w:type="dxa"/>
            <w:noWrap/>
            <w:vAlign w:val="center"/>
            <w:hideMark/>
          </w:tcPr>
          <w:p w14:paraId="255E73BA" w14:textId="77777777" w:rsidR="00E45F7F" w:rsidRPr="00965B02" w:rsidRDefault="00E45F7F" w:rsidP="00A30867">
            <w:pPr>
              <w:pStyle w:val="Tables"/>
            </w:pPr>
            <w:r w:rsidRPr="00965B02">
              <w:t>400</w:t>
            </w:r>
          </w:p>
        </w:tc>
      </w:tr>
      <w:tr w:rsidR="00E45F7F" w:rsidRPr="00E45F7F" w14:paraId="72C9517D" w14:textId="77777777" w:rsidTr="00A64A1F">
        <w:trPr>
          <w:trHeight w:val="264"/>
        </w:trPr>
        <w:tc>
          <w:tcPr>
            <w:tcW w:w="4495" w:type="dxa"/>
            <w:noWrap/>
            <w:hideMark/>
          </w:tcPr>
          <w:p w14:paraId="5E9EC52B" w14:textId="4BBB5435" w:rsidR="00E45F7F" w:rsidRPr="00965B02" w:rsidRDefault="00E45F7F" w:rsidP="00A30867">
            <w:pPr>
              <w:pStyle w:val="Tables"/>
            </w:pPr>
            <w:r w:rsidRPr="00965B02">
              <w:t xml:space="preserve">Removal </w:t>
            </w:r>
            <w:r w:rsidR="00B615BE" w:rsidRPr="00965B02">
              <w:t>credit</w:t>
            </w:r>
            <w:r w:rsidR="00B615BE" w:rsidRPr="00E329D2">
              <w:rPr>
                <w:rFonts w:eastAsiaTheme="minorHAnsi"/>
              </w:rPr>
              <w:t xml:space="preserve"> </w:t>
            </w:r>
            <w:r w:rsidR="00B615BE" w:rsidRPr="00965B02">
              <w:t>approval request</w:t>
            </w:r>
            <w:r w:rsidR="00F45D34" w:rsidRPr="00F45D34">
              <w:rPr>
                <w:vertAlign w:val="superscript"/>
              </w:rPr>
              <w:t>a</w:t>
            </w:r>
          </w:p>
        </w:tc>
        <w:tc>
          <w:tcPr>
            <w:tcW w:w="2160" w:type="dxa"/>
            <w:vAlign w:val="center"/>
          </w:tcPr>
          <w:p w14:paraId="0BFEDB1D" w14:textId="0CB07F8D" w:rsidR="00E45F7F" w:rsidRPr="00965B02" w:rsidRDefault="00282E8F" w:rsidP="00A30867">
            <w:pPr>
              <w:pStyle w:val="Tables"/>
            </w:pPr>
            <w:r w:rsidRPr="00965B02">
              <w:t>1 per year</w:t>
            </w:r>
          </w:p>
        </w:tc>
        <w:tc>
          <w:tcPr>
            <w:tcW w:w="1350" w:type="dxa"/>
            <w:noWrap/>
            <w:vAlign w:val="center"/>
            <w:hideMark/>
          </w:tcPr>
          <w:p w14:paraId="4B28AEDE" w14:textId="77777777" w:rsidR="00E45F7F" w:rsidRPr="00965B02" w:rsidRDefault="00E45F7F" w:rsidP="00A30867">
            <w:pPr>
              <w:pStyle w:val="Tables"/>
            </w:pPr>
            <w:r w:rsidRPr="00965B02">
              <w:t>80</w:t>
            </w:r>
          </w:p>
        </w:tc>
      </w:tr>
      <w:tr w:rsidR="00E45F7F" w:rsidRPr="00E45F7F" w14:paraId="313BC0C5" w14:textId="77777777" w:rsidTr="00A64A1F">
        <w:trPr>
          <w:trHeight w:val="264"/>
        </w:trPr>
        <w:tc>
          <w:tcPr>
            <w:tcW w:w="4495" w:type="dxa"/>
            <w:noWrap/>
            <w:hideMark/>
          </w:tcPr>
          <w:p w14:paraId="30481642" w14:textId="40AB0915" w:rsidR="00E45F7F" w:rsidRPr="00965B02" w:rsidRDefault="00E45F7F" w:rsidP="00A30867">
            <w:pPr>
              <w:pStyle w:val="Tables"/>
            </w:pPr>
            <w:r w:rsidRPr="00965B02">
              <w:t xml:space="preserve">Removal </w:t>
            </w:r>
            <w:r w:rsidR="00B615BE" w:rsidRPr="00965B02">
              <w:t>credit</w:t>
            </w:r>
            <w:r w:rsidR="00B615BE" w:rsidRPr="00E329D2">
              <w:rPr>
                <w:rFonts w:eastAsiaTheme="minorHAnsi"/>
              </w:rPr>
              <w:t xml:space="preserve"> </w:t>
            </w:r>
            <w:r w:rsidR="00B615BE" w:rsidRPr="00965B02">
              <w:t>self</w:t>
            </w:r>
            <w:r w:rsidRPr="00965B02">
              <w:t>-</w:t>
            </w:r>
            <w:r w:rsidR="00B615BE" w:rsidRPr="00965B02">
              <w:t>monitoring report</w:t>
            </w:r>
            <w:r w:rsidR="00F45D34" w:rsidRPr="00F45D34">
              <w:rPr>
                <w:vertAlign w:val="superscript"/>
              </w:rPr>
              <w:t>a</w:t>
            </w:r>
          </w:p>
        </w:tc>
        <w:tc>
          <w:tcPr>
            <w:tcW w:w="2160" w:type="dxa"/>
            <w:vAlign w:val="center"/>
          </w:tcPr>
          <w:p w14:paraId="588AA08A" w14:textId="6A19EC75" w:rsidR="00E45F7F" w:rsidRPr="00965B02" w:rsidRDefault="00282E8F" w:rsidP="00A30867">
            <w:pPr>
              <w:pStyle w:val="Tables"/>
            </w:pPr>
            <w:r w:rsidRPr="00965B02">
              <w:t>6 per year</w:t>
            </w:r>
          </w:p>
        </w:tc>
        <w:tc>
          <w:tcPr>
            <w:tcW w:w="1350" w:type="dxa"/>
            <w:noWrap/>
            <w:vAlign w:val="center"/>
            <w:hideMark/>
          </w:tcPr>
          <w:p w14:paraId="593DC1AC" w14:textId="77777777" w:rsidR="00E45F7F" w:rsidRPr="00965B02" w:rsidRDefault="00E45F7F" w:rsidP="00A30867">
            <w:pPr>
              <w:pStyle w:val="Tables"/>
            </w:pPr>
            <w:r w:rsidRPr="00965B02">
              <w:t>1</w:t>
            </w:r>
          </w:p>
        </w:tc>
      </w:tr>
    </w:tbl>
    <w:p w14:paraId="58BFC8C4" w14:textId="179D2BC5" w:rsidR="006B48E0" w:rsidRPr="00825E24" w:rsidRDefault="00F45D34" w:rsidP="00A30867">
      <w:pPr>
        <w:pStyle w:val="Tablenote"/>
        <w:ind w:left="180" w:hanging="180"/>
        <w:rPr>
          <w:sz w:val="22"/>
        </w:rPr>
      </w:pPr>
      <w:r w:rsidRPr="00F45D34">
        <w:rPr>
          <w:rFonts w:eastAsiaTheme="minorHAnsi"/>
          <w:vertAlign w:val="superscript"/>
        </w:rPr>
        <w:t>a</w:t>
      </w:r>
      <w:r w:rsidR="00A30867">
        <w:rPr>
          <w:rFonts w:eastAsiaTheme="minorHAnsi"/>
        </w:rPr>
        <w:tab/>
      </w:r>
      <w:r w:rsidR="00E45F7F" w:rsidRPr="00825E24">
        <w:rPr>
          <w:rFonts w:eastAsiaTheme="minorHAnsi"/>
        </w:rPr>
        <w:t>For these activities, burden is apportioned to the Federal Government only where the Federal Government is the Approval Authority.</w:t>
      </w:r>
      <w:r w:rsidR="00E45F7F" w:rsidRPr="00825E24">
        <w:rPr>
          <w:rFonts w:eastAsiaTheme="minorHAnsi"/>
        </w:rPr>
        <w:tab/>
      </w:r>
    </w:p>
    <w:p w14:paraId="2936DC56" w14:textId="0D08D1B8" w:rsidR="003E71A0" w:rsidRDefault="003E71A0" w:rsidP="00B101A0">
      <w:pPr>
        <w:pStyle w:val="Heading3"/>
      </w:pPr>
      <w:bookmarkStart w:id="37" w:name="_Toc510451637"/>
      <w:r>
        <w:t>A.1.</w:t>
      </w:r>
      <w:r w:rsidR="00C6520E">
        <w:t>4</w:t>
      </w:r>
      <w:r>
        <w:t>.</w:t>
      </w:r>
      <w:r w:rsidR="00DE1B27">
        <w:tab/>
      </w:r>
      <w:r>
        <w:t>Stormwater</w:t>
      </w:r>
      <w:bookmarkEnd w:id="37"/>
    </w:p>
    <w:p w14:paraId="17FD805E" w14:textId="05452B8D" w:rsidR="0021647D" w:rsidRDefault="00951060" w:rsidP="00DE1B27">
      <w:pPr>
        <w:pStyle w:val="Heading4"/>
      </w:pPr>
      <w:r>
        <w:t>A.1.</w:t>
      </w:r>
      <w:r w:rsidR="00C6520E">
        <w:t>4</w:t>
      </w:r>
      <w:r>
        <w:t xml:space="preserve">.1. </w:t>
      </w:r>
      <w:r w:rsidR="0021647D">
        <w:t>Phase I MS4s</w:t>
      </w:r>
    </w:p>
    <w:p w14:paraId="760B7BC3" w14:textId="5BFA76C2" w:rsidR="00D316EF" w:rsidRDefault="00B13AEB" w:rsidP="00786C04">
      <w:r>
        <w:t xml:space="preserve">NPDES regulations </w:t>
      </w:r>
      <w:r w:rsidR="001554CE">
        <w:t xml:space="preserve">at 40 CFR 122.26 </w:t>
      </w:r>
      <w:r>
        <w:t>require Phase I MS4s to file applications, submit reports, conduct monitoring</w:t>
      </w:r>
      <w:r w:rsidR="006E75E7">
        <w:t>, and develop and update stormwater management plans</w:t>
      </w:r>
      <w:r>
        <w:t>. Specific a</w:t>
      </w:r>
      <w:r w:rsidR="0021647D">
        <w:t>ctivities related to Phase I MS4s include:</w:t>
      </w:r>
    </w:p>
    <w:p w14:paraId="1057228B" w14:textId="395FD5AC" w:rsidR="0021647D" w:rsidRDefault="0021647D" w:rsidP="00786C04">
      <w:pPr>
        <w:pStyle w:val="ListParagraph"/>
        <w:numPr>
          <w:ilvl w:val="0"/>
          <w:numId w:val="44"/>
        </w:numPr>
      </w:pPr>
      <w:r>
        <w:t>Applications</w:t>
      </w:r>
      <w:r w:rsidR="00B615BE">
        <w:t>;</w:t>
      </w:r>
    </w:p>
    <w:p w14:paraId="79D4F7FF" w14:textId="2C95006D" w:rsidR="0021647D" w:rsidRDefault="0021647D" w:rsidP="00786C04">
      <w:pPr>
        <w:pStyle w:val="ListParagraph"/>
        <w:numPr>
          <w:ilvl w:val="0"/>
          <w:numId w:val="44"/>
        </w:numPr>
      </w:pPr>
      <w:r>
        <w:t>Reports</w:t>
      </w:r>
      <w:r w:rsidR="00B615BE">
        <w:t>;</w:t>
      </w:r>
    </w:p>
    <w:p w14:paraId="7A3AF91B" w14:textId="6B3E2060" w:rsidR="0021647D" w:rsidRDefault="0021647D" w:rsidP="00786C04">
      <w:pPr>
        <w:pStyle w:val="ListParagraph"/>
        <w:numPr>
          <w:ilvl w:val="0"/>
          <w:numId w:val="44"/>
        </w:numPr>
      </w:pPr>
      <w:r>
        <w:t>Monitoring</w:t>
      </w:r>
      <w:r w:rsidR="00B615BE">
        <w:t>; and</w:t>
      </w:r>
    </w:p>
    <w:p w14:paraId="458BE161" w14:textId="2DFDDD6C" w:rsidR="0021647D" w:rsidRDefault="0021647D" w:rsidP="00786C04">
      <w:pPr>
        <w:pStyle w:val="ListParagraph"/>
        <w:numPr>
          <w:ilvl w:val="0"/>
          <w:numId w:val="44"/>
        </w:numPr>
      </w:pPr>
      <w:r>
        <w:t>Other</w:t>
      </w:r>
      <w:r w:rsidR="005509DE">
        <w:t xml:space="preserve"> activities</w:t>
      </w:r>
      <w:r w:rsidR="00B615BE">
        <w:t>.</w:t>
      </w:r>
    </w:p>
    <w:p w14:paraId="76C6996D" w14:textId="01899459" w:rsidR="0021647D" w:rsidRDefault="00F17D04" w:rsidP="00786C04">
      <w:r w:rsidRPr="00F17D04">
        <w:t>Underlying assumptions regarding burden estimates are described below.</w:t>
      </w:r>
    </w:p>
    <w:p w14:paraId="03651C12" w14:textId="5CB0695A" w:rsidR="0021647D" w:rsidRPr="00601555" w:rsidRDefault="0021647D" w:rsidP="0085470C">
      <w:pPr>
        <w:pStyle w:val="Heading5"/>
      </w:pPr>
      <w:r w:rsidRPr="00BF1A20">
        <w:t>Applications</w:t>
      </w:r>
    </w:p>
    <w:p w14:paraId="081FCC2E" w14:textId="05349551" w:rsidR="0021647D" w:rsidRDefault="0021647D" w:rsidP="0021647D">
      <w:r>
        <w:rPr>
          <w:i/>
        </w:rPr>
        <w:t xml:space="preserve">Permittees. </w:t>
      </w:r>
      <w:r>
        <w:t xml:space="preserve">The estimated time </w:t>
      </w:r>
      <w:r w:rsidR="004A16A8">
        <w:t xml:space="preserve">per permittee </w:t>
      </w:r>
      <w:r>
        <w:t>required</w:t>
      </w:r>
      <w:r w:rsidRPr="00A9179F">
        <w:t xml:space="preserve"> </w:t>
      </w:r>
      <w:r w:rsidR="00FC23EF">
        <w:t>to prepare</w:t>
      </w:r>
      <w:r w:rsidR="00126742">
        <w:t xml:space="preserve"> and submit</w:t>
      </w:r>
      <w:r w:rsidR="00FC23EF" w:rsidRPr="00E05261">
        <w:t xml:space="preserve"> </w:t>
      </w:r>
      <w:r w:rsidR="009F3302">
        <w:t xml:space="preserve">an </w:t>
      </w:r>
      <w:r w:rsidRPr="00E05261">
        <w:t xml:space="preserve">MS4 </w:t>
      </w:r>
      <w:r w:rsidR="009F3302">
        <w:t>p</w:t>
      </w:r>
      <w:r w:rsidRPr="00E05261">
        <w:t xml:space="preserve">ermit </w:t>
      </w:r>
      <w:r w:rsidR="009F3302">
        <w:t>a</w:t>
      </w:r>
      <w:r w:rsidRPr="00E05261">
        <w:t>pplication</w:t>
      </w:r>
      <w:r>
        <w:t xml:space="preserve"> is 60 hours and 80 hours for small and large MS4 systems, respectively. The frequency is once every 5 years.</w:t>
      </w:r>
    </w:p>
    <w:p w14:paraId="67A60EFF" w14:textId="6161D2FB" w:rsidR="0021647D" w:rsidRDefault="0021647D" w:rsidP="0021647D">
      <w:r w:rsidRPr="00B61CF2">
        <w:rPr>
          <w:i/>
        </w:rPr>
        <w:t>States</w:t>
      </w:r>
      <w:r w:rsidR="00C95663">
        <w:rPr>
          <w:i/>
        </w:rPr>
        <w:t>/federal</w:t>
      </w:r>
      <w:r w:rsidRPr="00B61CF2">
        <w:rPr>
          <w:i/>
        </w:rPr>
        <w:t>.</w:t>
      </w:r>
      <w:r>
        <w:t xml:space="preserve"> </w:t>
      </w:r>
      <w:r w:rsidRPr="00E05261">
        <w:t xml:space="preserve">The </w:t>
      </w:r>
      <w:r>
        <w:t>estimated time required</w:t>
      </w:r>
      <w:r w:rsidRPr="00E05261">
        <w:t xml:space="preserve"> </w:t>
      </w:r>
      <w:r>
        <w:t>for</w:t>
      </w:r>
      <w:r w:rsidRPr="00E05261">
        <w:t xml:space="preserve"> state</w:t>
      </w:r>
      <w:r w:rsidR="00E75860">
        <w:t>/federal</w:t>
      </w:r>
      <w:r w:rsidRPr="00E05261">
        <w:t xml:space="preserve"> respondent</w:t>
      </w:r>
      <w:r>
        <w:t xml:space="preserve">s to review and process MS4 permit applications is 20 hours for </w:t>
      </w:r>
      <w:r w:rsidR="009F3302">
        <w:t xml:space="preserve">both </w:t>
      </w:r>
      <w:r>
        <w:t>small and large MS4 systems.</w:t>
      </w:r>
      <w:r w:rsidR="00C95663" w:rsidRPr="00C95663">
        <w:t xml:space="preserve"> </w:t>
      </w:r>
    </w:p>
    <w:p w14:paraId="11875FCE" w14:textId="68BE2493" w:rsidR="0021647D" w:rsidRPr="00786C04" w:rsidRDefault="0021647D" w:rsidP="0085470C">
      <w:pPr>
        <w:pStyle w:val="Heading5"/>
      </w:pPr>
      <w:r w:rsidRPr="00786C04">
        <w:t>Reports</w:t>
      </w:r>
    </w:p>
    <w:p w14:paraId="117321FA" w14:textId="58AF2625" w:rsidR="0021647D" w:rsidRDefault="0021647D" w:rsidP="00D8370B">
      <w:r w:rsidRPr="00786C04">
        <w:rPr>
          <w:i/>
        </w:rPr>
        <w:t>Permittees</w:t>
      </w:r>
      <w:r>
        <w:t>.</w:t>
      </w:r>
      <w:r w:rsidR="00D8370B">
        <w:t xml:space="preserve"> Reports under this category include compliance schedule reports at 0.75 hours</w:t>
      </w:r>
      <w:r w:rsidR="00D8370B" w:rsidRPr="00D8370B">
        <w:t xml:space="preserve"> per response</w:t>
      </w:r>
      <w:r w:rsidR="00D8370B">
        <w:t>, facility and permit transfer reports at 3 hours</w:t>
      </w:r>
      <w:r w:rsidR="00D8370B" w:rsidRPr="00D8370B">
        <w:t xml:space="preserve"> per response</w:t>
      </w:r>
      <w:r w:rsidR="00E7220F">
        <w:t>,</w:t>
      </w:r>
      <w:r w:rsidR="00D8370B">
        <w:t xml:space="preserve"> permittee report of inaccurate previous information at 2 hours</w:t>
      </w:r>
      <w:r w:rsidR="00D8370B" w:rsidRPr="00D8370B">
        <w:t xml:space="preserve"> per response</w:t>
      </w:r>
      <w:r w:rsidR="00D8370B">
        <w:t xml:space="preserve">, and permittee </w:t>
      </w:r>
      <w:r w:rsidR="00E7220F">
        <w:t>report</w:t>
      </w:r>
      <w:r w:rsidR="00D8370B">
        <w:t xml:space="preserve"> of planned facility changes at 4 hours</w:t>
      </w:r>
      <w:r w:rsidR="00D8370B" w:rsidRPr="00D8370B">
        <w:t xml:space="preserve"> per response</w:t>
      </w:r>
      <w:r>
        <w:t xml:space="preserve">. The estimated time required per respondent for preparing and submitting annual reports </w:t>
      </w:r>
      <w:r w:rsidR="00D8370B">
        <w:t>is</w:t>
      </w:r>
      <w:r w:rsidR="00044771">
        <w:t xml:space="preserve"> </w:t>
      </w:r>
      <w:r>
        <w:t xml:space="preserve">250 </w:t>
      </w:r>
      <w:r w:rsidR="00441DF0">
        <w:t xml:space="preserve">hours. </w:t>
      </w:r>
    </w:p>
    <w:p w14:paraId="4738FE74" w14:textId="3465E0AA" w:rsidR="00047F83" w:rsidRDefault="0021647D" w:rsidP="0021647D">
      <w:r w:rsidRPr="00786C04">
        <w:rPr>
          <w:i/>
        </w:rPr>
        <w:t>States</w:t>
      </w:r>
      <w:r w:rsidR="00CD6614">
        <w:rPr>
          <w:i/>
        </w:rPr>
        <w:t>/federal</w:t>
      </w:r>
      <w:r>
        <w:t>. The estimated time required for state</w:t>
      </w:r>
      <w:r w:rsidR="00E75860">
        <w:t>/federal</w:t>
      </w:r>
      <w:r>
        <w:t xml:space="preserve"> respondents to review and process permit reports is 8 hours, 1.6 hours, and 40 hours for petitions, small MS4 reports and Phase I MS4 reports, respectively.</w:t>
      </w:r>
      <w:r w:rsidR="00CD6614" w:rsidRPr="00CD6614">
        <w:t xml:space="preserve"> </w:t>
      </w:r>
    </w:p>
    <w:p w14:paraId="44932A28" w14:textId="62C99925" w:rsidR="0021647D" w:rsidRDefault="00504780" w:rsidP="0085470C">
      <w:pPr>
        <w:pStyle w:val="Heading5"/>
      </w:pPr>
      <w:r>
        <w:t xml:space="preserve">Permittee </w:t>
      </w:r>
      <w:r w:rsidR="0021647D" w:rsidRPr="00786C04">
        <w:t>Monitoring</w:t>
      </w:r>
    </w:p>
    <w:p w14:paraId="4C70C188" w14:textId="643557F1" w:rsidR="0021647D" w:rsidRDefault="0021647D" w:rsidP="0021647D">
      <w:r w:rsidRPr="00482438">
        <w:rPr>
          <w:i/>
        </w:rPr>
        <w:t>Permittees</w:t>
      </w:r>
      <w:r>
        <w:t xml:space="preserve">. The estimated time </w:t>
      </w:r>
      <w:r w:rsidR="004A16A8">
        <w:t xml:space="preserve">per permittee </w:t>
      </w:r>
      <w:r w:rsidR="00047F83">
        <w:t xml:space="preserve">required for each sampling response is 73 hours. The estimated time </w:t>
      </w:r>
      <w:r w:rsidR="00E7220F">
        <w:t xml:space="preserve">per </w:t>
      </w:r>
      <w:r w:rsidR="00047F83">
        <w:t xml:space="preserve">required sampling analysis is 41 hours. Both are estimated to occur </w:t>
      </w:r>
      <w:r w:rsidR="00047F83" w:rsidRPr="00047F83">
        <w:t>20 times per year</w:t>
      </w:r>
      <w:r w:rsidR="00047F83">
        <w:t>.</w:t>
      </w:r>
    </w:p>
    <w:p w14:paraId="5D7E7E21" w14:textId="73EBA448" w:rsidR="00047F83" w:rsidRPr="00E01AAC" w:rsidRDefault="00E01AAC" w:rsidP="0021647D">
      <w:r w:rsidRPr="00786C04">
        <w:rPr>
          <w:i/>
        </w:rPr>
        <w:t>States</w:t>
      </w:r>
      <w:r>
        <w:rPr>
          <w:i/>
        </w:rPr>
        <w:t xml:space="preserve">. </w:t>
      </w:r>
      <w:r w:rsidR="004C07D6" w:rsidRPr="004C07D6">
        <w:t>S</w:t>
      </w:r>
      <w:r w:rsidRPr="004C07D6">
        <w:t>tat</w:t>
      </w:r>
      <w:r>
        <w:t xml:space="preserve">e activities related to permittee monitoring data </w:t>
      </w:r>
      <w:r w:rsidR="00EE0EE7">
        <w:t>are</w:t>
      </w:r>
      <w:r>
        <w:t xml:space="preserve"> covered under section</w:t>
      </w:r>
      <w:r w:rsidR="004C07D6">
        <w:t xml:space="preserve"> A.1.2.3</w:t>
      </w:r>
      <w:r w:rsidR="00C67BBA">
        <w:t>.</w:t>
      </w:r>
    </w:p>
    <w:p w14:paraId="61C327B2" w14:textId="3FAD5FB9" w:rsidR="00047F83" w:rsidRDefault="00047F83" w:rsidP="0085470C">
      <w:pPr>
        <w:pStyle w:val="Heading5"/>
      </w:pPr>
      <w:r w:rsidRPr="00786C04">
        <w:t>Other</w:t>
      </w:r>
      <w:r w:rsidR="00F47B1E">
        <w:t xml:space="preserve"> Activities</w:t>
      </w:r>
    </w:p>
    <w:p w14:paraId="3576CA39" w14:textId="08C8525B" w:rsidR="00047F83" w:rsidRDefault="00047F83" w:rsidP="00047F83">
      <w:r w:rsidRPr="00482438">
        <w:rPr>
          <w:i/>
        </w:rPr>
        <w:t>Permittees</w:t>
      </w:r>
      <w:r>
        <w:t xml:space="preserve">. Activities </w:t>
      </w:r>
      <w:r w:rsidR="00600A52">
        <w:t xml:space="preserve">and time required </w:t>
      </w:r>
      <w:r>
        <w:t xml:space="preserve">in this category include updating </w:t>
      </w:r>
      <w:r w:rsidR="00E7220F">
        <w:t>stormwater management plans (</w:t>
      </w:r>
      <w:r>
        <w:t>SWMPs</w:t>
      </w:r>
      <w:r w:rsidR="00E7220F">
        <w:t>)</w:t>
      </w:r>
      <w:r>
        <w:t xml:space="preserve"> at 200 hours per response and Section 308(a) Letters at 8 hours per response.</w:t>
      </w:r>
      <w:r w:rsidR="00600A52">
        <w:t xml:space="preserve"> SWMPs are updated once every 5 years and EPA estimates that the</w:t>
      </w:r>
      <w:r w:rsidR="007C494A">
        <w:t xml:space="preserve"> Agenc</w:t>
      </w:r>
      <w:r w:rsidR="00600A52">
        <w:t>y will receive 24 petitions</w:t>
      </w:r>
      <w:r w:rsidR="007C494A">
        <w:t xml:space="preserve"> for </w:t>
      </w:r>
      <w:r w:rsidR="007C494A" w:rsidRPr="005A1A1F">
        <w:t>EPA to require industrial facilities discharging through the MS4 to obtain individual NPDES permits</w:t>
      </w:r>
      <w:r w:rsidR="00600A52">
        <w:t xml:space="preserve"> and 31 </w:t>
      </w:r>
      <w:r w:rsidR="00600A52" w:rsidRPr="00600A52">
        <w:t>Section 308(a) Letters</w:t>
      </w:r>
      <w:r w:rsidR="00600A52">
        <w:t xml:space="preserve"> per year.</w:t>
      </w:r>
    </w:p>
    <w:p w14:paraId="75F58C2B" w14:textId="0BBE5C01" w:rsidR="00047F83" w:rsidRPr="00786C04" w:rsidRDefault="00047F83" w:rsidP="00047F83">
      <w:pPr>
        <w:rPr>
          <w:b/>
        </w:rPr>
      </w:pPr>
      <w:r w:rsidRPr="00786C04">
        <w:rPr>
          <w:i/>
        </w:rPr>
        <w:t>States</w:t>
      </w:r>
      <w:r w:rsidR="00CD6614">
        <w:rPr>
          <w:i/>
        </w:rPr>
        <w:t>/federal.</w:t>
      </w:r>
      <w:r w:rsidR="00600A52">
        <w:rPr>
          <w:i/>
        </w:rPr>
        <w:t xml:space="preserve"> </w:t>
      </w:r>
      <w:r w:rsidR="00600A52" w:rsidRPr="00786C04">
        <w:t>The estimated time required for state</w:t>
      </w:r>
      <w:r w:rsidR="00CD6614" w:rsidRPr="00CD6614">
        <w:t>/federal</w:t>
      </w:r>
      <w:r w:rsidR="00600A52" w:rsidRPr="00786C04">
        <w:t xml:space="preserve"> respondents to review and process</w:t>
      </w:r>
      <w:r w:rsidR="00600A52">
        <w:t xml:space="preserve"> SWMPs is 20 hours.</w:t>
      </w:r>
    </w:p>
    <w:p w14:paraId="3D99C30B" w14:textId="01F3518D" w:rsidR="00600A52" w:rsidRDefault="00C6520E" w:rsidP="00B101A0">
      <w:pPr>
        <w:pStyle w:val="Heading4"/>
      </w:pPr>
      <w:r>
        <w:t>A.1.4</w:t>
      </w:r>
      <w:r w:rsidR="00600A52">
        <w:t>.2</w:t>
      </w:r>
      <w:r w:rsidR="00EB7492">
        <w:t>.</w:t>
      </w:r>
      <w:r w:rsidR="00600A52">
        <w:t xml:space="preserve"> </w:t>
      </w:r>
      <w:r w:rsidR="00C4033F">
        <w:t xml:space="preserve">Non-municipal </w:t>
      </w:r>
      <w:r w:rsidR="00E7220F">
        <w:t>Stormwater Permits</w:t>
      </w:r>
    </w:p>
    <w:p w14:paraId="4371B06B" w14:textId="3D821CEF" w:rsidR="00C4033F" w:rsidRPr="00786C04" w:rsidRDefault="00C4033F" w:rsidP="00786C04">
      <w:r w:rsidRPr="00C4033F">
        <w:t xml:space="preserve">Activities in this category include only </w:t>
      </w:r>
      <w:r w:rsidR="00E7220F">
        <w:t>individual permit applications submitted by industrial stormwater dischargers.</w:t>
      </w:r>
    </w:p>
    <w:p w14:paraId="4EDC5676" w14:textId="1EE97CA0" w:rsidR="00600A52" w:rsidRDefault="00600A52" w:rsidP="00786C04">
      <w:r w:rsidRPr="00786C04">
        <w:rPr>
          <w:i/>
        </w:rPr>
        <w:t>Permittees</w:t>
      </w:r>
      <w:r w:rsidRPr="00600A52">
        <w:t>.</w:t>
      </w:r>
      <w:r w:rsidR="00C4033F">
        <w:t xml:space="preserve"> The estimated time </w:t>
      </w:r>
      <w:r w:rsidR="004A16A8">
        <w:t xml:space="preserve">per permittee </w:t>
      </w:r>
      <w:r w:rsidR="00C4033F">
        <w:t>to complete a Form 1 application is 3 hours for a</w:t>
      </w:r>
      <w:r w:rsidR="009F3302">
        <w:t xml:space="preserve"> </w:t>
      </w:r>
      <w:r w:rsidR="00C4033F">
        <w:t xml:space="preserve">new permit and 1 hour for a renewal. </w:t>
      </w:r>
      <w:r w:rsidR="00C4033F" w:rsidRPr="00C4033F">
        <w:t xml:space="preserve">The estimated time to complete a Form </w:t>
      </w:r>
      <w:r w:rsidR="00C4033F">
        <w:t>2F</w:t>
      </w:r>
      <w:r w:rsidR="00C4033F" w:rsidRPr="00C4033F">
        <w:t xml:space="preserve"> application</w:t>
      </w:r>
      <w:r w:rsidR="00C4033F">
        <w:t xml:space="preserve"> is 28.6 hours.</w:t>
      </w:r>
    </w:p>
    <w:p w14:paraId="243EF1BC" w14:textId="2D0950AE" w:rsidR="00CD6614" w:rsidRDefault="00CD6614" w:rsidP="00786C04">
      <w:r w:rsidRPr="009616EC">
        <w:rPr>
          <w:i/>
        </w:rPr>
        <w:t>States/federal</w:t>
      </w:r>
      <w:r>
        <w:rPr>
          <w:i/>
        </w:rPr>
        <w:t>.</w:t>
      </w:r>
      <w:r w:rsidRPr="00CD6614">
        <w:t xml:space="preserve"> The estimated time required for state/federal respondents to review and process</w:t>
      </w:r>
      <w:r w:rsidR="001E6F0B" w:rsidRPr="001E6F0B">
        <w:t xml:space="preserve"> </w:t>
      </w:r>
      <w:r w:rsidR="00E7220F">
        <w:t xml:space="preserve">a </w:t>
      </w:r>
      <w:r w:rsidR="001E6F0B">
        <w:t>Form 1 application is 0.5</w:t>
      </w:r>
      <w:r w:rsidR="001E6F0B" w:rsidRPr="001E6F0B">
        <w:t xml:space="preserve"> hours</w:t>
      </w:r>
      <w:r w:rsidR="001E6F0B">
        <w:t>.</w:t>
      </w:r>
    </w:p>
    <w:p w14:paraId="246B8210" w14:textId="1EF01CE2" w:rsidR="00C4033F" w:rsidRDefault="00C6520E" w:rsidP="00B101A0">
      <w:pPr>
        <w:pStyle w:val="Heading3"/>
      </w:pPr>
      <w:bookmarkStart w:id="38" w:name="_Toc510451638"/>
      <w:r>
        <w:t>A.1.5</w:t>
      </w:r>
      <w:r w:rsidR="00863F96">
        <w:t>.</w:t>
      </w:r>
      <w:r w:rsidR="00DE1B27">
        <w:tab/>
      </w:r>
      <w:r w:rsidR="00C4033F">
        <w:t>General Permits</w:t>
      </w:r>
      <w:bookmarkEnd w:id="38"/>
    </w:p>
    <w:p w14:paraId="6C22397E" w14:textId="1975B97F" w:rsidR="00C4033F" w:rsidRDefault="00C6520E" w:rsidP="00DE1B27">
      <w:pPr>
        <w:pStyle w:val="Heading4"/>
      </w:pPr>
      <w:r>
        <w:t>A.1.5</w:t>
      </w:r>
      <w:r w:rsidR="00C4033F">
        <w:t>.1</w:t>
      </w:r>
      <w:r w:rsidR="00EB7492">
        <w:t>.</w:t>
      </w:r>
      <w:r w:rsidR="00C4033F">
        <w:t xml:space="preserve"> </w:t>
      </w:r>
      <w:r w:rsidR="00C4033F" w:rsidRPr="00C4033F">
        <w:t>Phase II MS4s</w:t>
      </w:r>
    </w:p>
    <w:p w14:paraId="28DF2013" w14:textId="3A86550A" w:rsidR="00D316EF" w:rsidRDefault="00BF1A20" w:rsidP="00786C04">
      <w:r>
        <w:t xml:space="preserve">NPDES regulations at 40 CFR 122.30 through 122.37 establishes requirements for Phase II MS4s. </w:t>
      </w:r>
      <w:r w:rsidR="00B32AB1">
        <w:t>Permittee a</w:t>
      </w:r>
      <w:r w:rsidR="00C4033F" w:rsidRPr="00C4033F">
        <w:t>ctivities related to Phase I</w:t>
      </w:r>
      <w:r w:rsidR="00B32AB1">
        <w:t>I</w:t>
      </w:r>
      <w:r w:rsidR="00C4033F" w:rsidRPr="00C4033F">
        <w:t xml:space="preserve"> MS4s include:</w:t>
      </w:r>
    </w:p>
    <w:p w14:paraId="58E273ED" w14:textId="63551E35" w:rsidR="00C4033F" w:rsidRDefault="00C4033F" w:rsidP="00786C04">
      <w:pPr>
        <w:pStyle w:val="ListParagraph"/>
        <w:numPr>
          <w:ilvl w:val="0"/>
          <w:numId w:val="45"/>
        </w:numPr>
      </w:pPr>
      <w:r>
        <w:t>NOI</w:t>
      </w:r>
      <w:r w:rsidR="00E7220F">
        <w:t>s</w:t>
      </w:r>
      <w:r w:rsidR="009F3302">
        <w:t>; and</w:t>
      </w:r>
    </w:p>
    <w:p w14:paraId="6D48901E" w14:textId="56E77DD0" w:rsidR="00C4033F" w:rsidRDefault="00C4033F" w:rsidP="00786C04">
      <w:pPr>
        <w:pStyle w:val="ListParagraph"/>
        <w:numPr>
          <w:ilvl w:val="0"/>
          <w:numId w:val="45"/>
        </w:numPr>
      </w:pPr>
      <w:r>
        <w:t>Reports</w:t>
      </w:r>
      <w:r w:rsidR="009F3302">
        <w:t>.</w:t>
      </w:r>
    </w:p>
    <w:p w14:paraId="4452AF2F" w14:textId="3A418C38" w:rsidR="003E71A0" w:rsidRPr="00601555" w:rsidRDefault="0008544B" w:rsidP="0085470C">
      <w:pPr>
        <w:pStyle w:val="Heading5"/>
      </w:pPr>
      <w:r>
        <w:t>NOI</w:t>
      </w:r>
    </w:p>
    <w:p w14:paraId="0237C928" w14:textId="3CD74F9B" w:rsidR="00C4033F" w:rsidRDefault="00F22E66" w:rsidP="003E71A0">
      <w:r>
        <w:rPr>
          <w:i/>
        </w:rPr>
        <w:t xml:space="preserve">Permittees. </w:t>
      </w:r>
      <w:r w:rsidR="00ED74DF" w:rsidRPr="00786C04">
        <w:t xml:space="preserve">The estimated time to </w:t>
      </w:r>
      <w:r w:rsidR="004A16A8">
        <w:t xml:space="preserve">per permittee </w:t>
      </w:r>
      <w:r w:rsidR="00ED74DF" w:rsidRPr="00786C04">
        <w:t>prepare and submit an NOI is 60 hours</w:t>
      </w:r>
      <w:r w:rsidR="00ED74DF" w:rsidRPr="00ED74DF">
        <w:t xml:space="preserve"> and occurs once every 5 years.</w:t>
      </w:r>
    </w:p>
    <w:p w14:paraId="6EE45255" w14:textId="7FDEE0DD" w:rsidR="00C67BBA" w:rsidRPr="00786C04" w:rsidRDefault="00C67BBA" w:rsidP="003E71A0">
      <w:r w:rsidRPr="00C67BBA">
        <w:rPr>
          <w:i/>
        </w:rPr>
        <w:t>States/federal</w:t>
      </w:r>
      <w:r>
        <w:t xml:space="preserve">. </w:t>
      </w:r>
      <w:r w:rsidRPr="00C67BBA">
        <w:t>The estimated time required for state/federal respondents to review and process</w:t>
      </w:r>
      <w:r>
        <w:t xml:space="preserve"> </w:t>
      </w:r>
      <w:r w:rsidR="00E7220F">
        <w:t xml:space="preserve">each NOI </w:t>
      </w:r>
      <w:r>
        <w:t xml:space="preserve">is </w:t>
      </w:r>
      <w:r w:rsidR="00556593">
        <w:t>4 hours.</w:t>
      </w:r>
    </w:p>
    <w:p w14:paraId="52580AF3" w14:textId="0992A44F" w:rsidR="00C4033F" w:rsidRDefault="00ED74DF" w:rsidP="0085470C">
      <w:pPr>
        <w:pStyle w:val="Heading5"/>
      </w:pPr>
      <w:r w:rsidRPr="00786C04">
        <w:t>Reports</w:t>
      </w:r>
    </w:p>
    <w:p w14:paraId="59B6102A" w14:textId="571D1628" w:rsidR="00ED74DF" w:rsidRDefault="00ED74DF" w:rsidP="00ED74DF">
      <w:r>
        <w:rPr>
          <w:i/>
        </w:rPr>
        <w:t xml:space="preserve">Permittees. </w:t>
      </w:r>
      <w:r>
        <w:t>Reports under this category include compliance schedule reports at 0.75 hours per response, facility and permit transfer report</w:t>
      </w:r>
      <w:r w:rsidR="00335FE5">
        <w:t>s</w:t>
      </w:r>
      <w:r>
        <w:t xml:space="preserve"> at 3</w:t>
      </w:r>
      <w:r w:rsidRPr="00ED74DF">
        <w:t xml:space="preserve"> hours per response</w:t>
      </w:r>
      <w:r>
        <w:t>, permittee report of inaccurate previous information at 2</w:t>
      </w:r>
      <w:r w:rsidRPr="00ED74DF">
        <w:t xml:space="preserve"> hours per response</w:t>
      </w:r>
      <w:r>
        <w:t>, permittee report of planned facility changes at 4</w:t>
      </w:r>
      <w:r w:rsidRPr="00ED74DF">
        <w:t xml:space="preserve"> hours per response</w:t>
      </w:r>
      <w:r>
        <w:t xml:space="preserve">, and annual reports at 100 hours per response. </w:t>
      </w:r>
      <w:r w:rsidR="00C34B45">
        <w:t>EPA estimates that 5% of MS4 permittees will submit compliance schedule reports and all permittees will submit an annual report. Other reports are submitted infrequently.</w:t>
      </w:r>
    </w:p>
    <w:p w14:paraId="6452FE81" w14:textId="4E873865" w:rsidR="00E91ADA" w:rsidRPr="00786C04" w:rsidRDefault="00E91ADA" w:rsidP="00ED74DF">
      <w:pPr>
        <w:rPr>
          <w:b/>
        </w:rPr>
      </w:pPr>
      <w:r w:rsidRPr="00786C04">
        <w:rPr>
          <w:i/>
        </w:rPr>
        <w:t>States</w:t>
      </w:r>
      <w:r>
        <w:rPr>
          <w:i/>
        </w:rPr>
        <w:t>/federal</w:t>
      </w:r>
      <w:r>
        <w:t xml:space="preserve">. The estimated time required for state/federal respondents to review and process permit reports ranges from </w:t>
      </w:r>
      <w:r w:rsidR="00F40A06">
        <w:t>1</w:t>
      </w:r>
      <w:r>
        <w:t xml:space="preserve"> to 20 hours</w:t>
      </w:r>
      <w:r w:rsidR="00D13F7B">
        <w:t xml:space="preserve"> per report</w:t>
      </w:r>
      <w:r>
        <w:t>.</w:t>
      </w:r>
    </w:p>
    <w:p w14:paraId="48D94ECB" w14:textId="5459F22F" w:rsidR="00C34B45" w:rsidRDefault="00C6520E" w:rsidP="00B101A0">
      <w:pPr>
        <w:pStyle w:val="Heading4"/>
      </w:pPr>
      <w:r>
        <w:t>A.1.5</w:t>
      </w:r>
      <w:r w:rsidR="00C34B45">
        <w:t>.2</w:t>
      </w:r>
      <w:r w:rsidR="00EB7492">
        <w:t>.</w:t>
      </w:r>
      <w:r w:rsidR="00C34B45">
        <w:t xml:space="preserve"> </w:t>
      </w:r>
      <w:r w:rsidR="00C34B45" w:rsidRPr="00C34B45">
        <w:t>Stormwater Industrial</w:t>
      </w:r>
      <w:r w:rsidR="00C34B45">
        <w:t xml:space="preserve"> Permits</w:t>
      </w:r>
    </w:p>
    <w:p w14:paraId="7D6FF844" w14:textId="6A174BD9" w:rsidR="00463AAB" w:rsidRDefault="00F851F2" w:rsidP="00D316EF">
      <w:r>
        <w:t>NPDES regulations at 40 CFR 122.44</w:t>
      </w:r>
      <w:r w:rsidR="004874B4">
        <w:t xml:space="preserve"> and 122.48</w:t>
      </w:r>
      <w:r>
        <w:t xml:space="preserve"> establish certain requirements related to stormwater industrial permits. </w:t>
      </w:r>
      <w:r w:rsidR="00463AAB" w:rsidRPr="00463AAB">
        <w:t xml:space="preserve">Activities related to Stormwater Industrial </w:t>
      </w:r>
      <w:r w:rsidR="00D13F7B">
        <w:t xml:space="preserve">General </w:t>
      </w:r>
      <w:r w:rsidR="00463AAB" w:rsidRPr="00463AAB">
        <w:t>Permits</w:t>
      </w:r>
      <w:r w:rsidR="00303AA6">
        <w:t xml:space="preserve"> (MSGP)</w:t>
      </w:r>
      <w:r w:rsidR="00463AAB" w:rsidRPr="00463AAB">
        <w:t xml:space="preserve"> include</w:t>
      </w:r>
      <w:r w:rsidR="00463AAB">
        <w:t>:</w:t>
      </w:r>
    </w:p>
    <w:p w14:paraId="280FF7D7" w14:textId="03F3F9A4" w:rsidR="00463AAB" w:rsidRDefault="00463AAB" w:rsidP="00786C04">
      <w:pPr>
        <w:pStyle w:val="ListParagraph"/>
        <w:numPr>
          <w:ilvl w:val="0"/>
          <w:numId w:val="46"/>
        </w:numPr>
      </w:pPr>
      <w:r>
        <w:t>NOI</w:t>
      </w:r>
      <w:r w:rsidR="00D13F7B">
        <w:t>s</w:t>
      </w:r>
      <w:r w:rsidR="009F3302">
        <w:t>;</w:t>
      </w:r>
    </w:p>
    <w:p w14:paraId="07A3AE87" w14:textId="7E37B1C0" w:rsidR="00463AAB" w:rsidRDefault="00463AAB" w:rsidP="00786C04">
      <w:pPr>
        <w:pStyle w:val="ListParagraph"/>
        <w:numPr>
          <w:ilvl w:val="0"/>
          <w:numId w:val="46"/>
        </w:numPr>
      </w:pPr>
      <w:r>
        <w:t>DMRs</w:t>
      </w:r>
      <w:r w:rsidR="009F3302">
        <w:t>;</w:t>
      </w:r>
    </w:p>
    <w:p w14:paraId="2D6B2618" w14:textId="141ECD02" w:rsidR="00463AAB" w:rsidRDefault="00463AAB" w:rsidP="00786C04">
      <w:pPr>
        <w:pStyle w:val="ListParagraph"/>
        <w:numPr>
          <w:ilvl w:val="0"/>
          <w:numId w:val="46"/>
        </w:numPr>
      </w:pPr>
      <w:r>
        <w:t>Monitoring/Inspections</w:t>
      </w:r>
      <w:r w:rsidR="009F3302">
        <w:t>;</w:t>
      </w:r>
    </w:p>
    <w:p w14:paraId="02A13147" w14:textId="6A3D4628" w:rsidR="00463AAB" w:rsidRDefault="00463AAB" w:rsidP="00786C04">
      <w:pPr>
        <w:pStyle w:val="ListParagraph"/>
        <w:numPr>
          <w:ilvl w:val="0"/>
          <w:numId w:val="46"/>
        </w:numPr>
      </w:pPr>
      <w:r>
        <w:t>Reports</w:t>
      </w:r>
      <w:r w:rsidR="009F3302">
        <w:t>; and</w:t>
      </w:r>
    </w:p>
    <w:p w14:paraId="08F7D4EE" w14:textId="223B6A68" w:rsidR="00463AAB" w:rsidRDefault="00463AAB" w:rsidP="00786C04">
      <w:pPr>
        <w:pStyle w:val="ListParagraph"/>
        <w:numPr>
          <w:ilvl w:val="0"/>
          <w:numId w:val="46"/>
        </w:numPr>
      </w:pPr>
      <w:r>
        <w:t>Other</w:t>
      </w:r>
      <w:r w:rsidR="00D11123">
        <w:t xml:space="preserve"> activities</w:t>
      </w:r>
      <w:r w:rsidR="009F3302">
        <w:t>.</w:t>
      </w:r>
    </w:p>
    <w:p w14:paraId="2320E85A" w14:textId="7F7DE8EB" w:rsidR="00463AAB" w:rsidRDefault="00F17D04" w:rsidP="00463AAB">
      <w:r w:rsidRPr="00F17D04">
        <w:t>Underlying assumptions regarding burden estimates are described below.</w:t>
      </w:r>
    </w:p>
    <w:p w14:paraId="4635573C" w14:textId="0760823A" w:rsidR="00463AAB" w:rsidRDefault="00463AAB" w:rsidP="0085470C">
      <w:pPr>
        <w:pStyle w:val="Heading5"/>
      </w:pPr>
      <w:r w:rsidRPr="00786C04">
        <w:t>NOIs</w:t>
      </w:r>
    </w:p>
    <w:p w14:paraId="1C708DFD" w14:textId="2ACE0041" w:rsidR="00463AAB" w:rsidRDefault="00D95D25" w:rsidP="00463AAB">
      <w:r w:rsidRPr="00786C04">
        <w:rPr>
          <w:i/>
        </w:rPr>
        <w:t>Permittees</w:t>
      </w:r>
      <w:r w:rsidRPr="00786C04">
        <w:t xml:space="preserve">. The estimated </w:t>
      </w:r>
      <w:r>
        <w:t xml:space="preserve">average </w:t>
      </w:r>
      <w:r w:rsidRPr="00786C04">
        <w:t xml:space="preserve">time </w:t>
      </w:r>
      <w:r w:rsidR="004A16A8">
        <w:t xml:space="preserve">per permittee </w:t>
      </w:r>
      <w:r w:rsidRPr="00786C04">
        <w:t>to prepare and submit an NOI is</w:t>
      </w:r>
      <w:r w:rsidR="00D11123">
        <w:t xml:space="preserve"> a weighted average of</w:t>
      </w:r>
      <w:r>
        <w:t xml:space="preserve"> 1.6 hours based on 1.5 hours for </w:t>
      </w:r>
      <w:r w:rsidR="009F3302">
        <w:t>state-</w:t>
      </w:r>
      <w:r>
        <w:t xml:space="preserve">administered permits and 3.9 for </w:t>
      </w:r>
      <w:r w:rsidR="009F3302">
        <w:t>EPA-</w:t>
      </w:r>
      <w:r>
        <w:t>administered permits which includes a</w:t>
      </w:r>
      <w:r w:rsidR="00D11123">
        <w:t xml:space="preserve">dditional time </w:t>
      </w:r>
      <w:r>
        <w:t xml:space="preserve">for the one third </w:t>
      </w:r>
      <w:r w:rsidR="00D11123">
        <w:t xml:space="preserve">that </w:t>
      </w:r>
      <w:r>
        <w:t>report endangered species. Frequency is once every 5 years.</w:t>
      </w:r>
    </w:p>
    <w:p w14:paraId="4F13CD69" w14:textId="6374FFE4" w:rsidR="00F40A06" w:rsidRDefault="00F40A06" w:rsidP="00463AAB">
      <w:r w:rsidRPr="00F40A06">
        <w:rPr>
          <w:i/>
        </w:rPr>
        <w:t>States/Federal</w:t>
      </w:r>
      <w:r>
        <w:t xml:space="preserve">. </w:t>
      </w:r>
      <w:r w:rsidRPr="00F40A06">
        <w:t>The estimated time required for state/federal respondents to process</w:t>
      </w:r>
      <w:r>
        <w:t xml:space="preserve"> NOIs is 0.25 hours.</w:t>
      </w:r>
    </w:p>
    <w:p w14:paraId="691F5CD1" w14:textId="4F878CCB" w:rsidR="00D95D25" w:rsidRPr="00786C04" w:rsidRDefault="00D95D25" w:rsidP="0085470C">
      <w:pPr>
        <w:pStyle w:val="Heading5"/>
      </w:pPr>
      <w:r w:rsidRPr="00786C04">
        <w:t>DMRs</w:t>
      </w:r>
    </w:p>
    <w:p w14:paraId="27A712C3" w14:textId="47979CDC" w:rsidR="00D95D25" w:rsidRDefault="00D95D25" w:rsidP="00463AAB">
      <w:r w:rsidRPr="00482438">
        <w:rPr>
          <w:i/>
        </w:rPr>
        <w:t>Permittees</w:t>
      </w:r>
      <w:r w:rsidRPr="00482438">
        <w:t>.</w:t>
      </w:r>
      <w:r w:rsidRPr="00D95D25">
        <w:t xml:space="preserve"> The estimated avera</w:t>
      </w:r>
      <w:r>
        <w:t xml:space="preserve">ge time </w:t>
      </w:r>
      <w:r w:rsidR="004A16A8">
        <w:t xml:space="preserve">per permittee </w:t>
      </w:r>
      <w:r>
        <w:t xml:space="preserve">to prepare and submit a DMR is 2 hours and </w:t>
      </w:r>
      <w:r w:rsidR="00563F79">
        <w:t xml:space="preserve">occurs </w:t>
      </w:r>
      <w:r w:rsidR="00757D0F">
        <w:t xml:space="preserve">4 times </w:t>
      </w:r>
      <w:r w:rsidR="00563F79">
        <w:t xml:space="preserve">every </w:t>
      </w:r>
      <w:r w:rsidR="00757D0F">
        <w:t xml:space="preserve">5 years for </w:t>
      </w:r>
      <w:r w:rsidR="00230F2C">
        <w:t>25</w:t>
      </w:r>
      <w:r w:rsidR="00757D0F">
        <w:t xml:space="preserve">% </w:t>
      </w:r>
      <w:r w:rsidR="009F3302">
        <w:t xml:space="preserve">of permits </w:t>
      </w:r>
      <w:r w:rsidR="00757D0F">
        <w:t xml:space="preserve">and 8 times every 5 years for the other </w:t>
      </w:r>
      <w:r w:rsidR="00AD1FB3">
        <w:t>7</w:t>
      </w:r>
      <w:r w:rsidR="00230F2C">
        <w:t>5</w:t>
      </w:r>
      <w:r w:rsidR="00757D0F">
        <w:t>% of permits</w:t>
      </w:r>
      <w:r w:rsidR="009F3302">
        <w:t>.</w:t>
      </w:r>
    </w:p>
    <w:p w14:paraId="5F613166" w14:textId="7547D920" w:rsidR="00F17D04" w:rsidRDefault="00F17D04" w:rsidP="00463AAB">
      <w:r w:rsidRPr="00F17D04">
        <w:rPr>
          <w:i/>
        </w:rPr>
        <w:t>States</w:t>
      </w:r>
      <w:r w:rsidR="00E91ADA">
        <w:rPr>
          <w:i/>
        </w:rPr>
        <w:t>/federal</w:t>
      </w:r>
      <w:r>
        <w:t xml:space="preserve">. </w:t>
      </w:r>
      <w:r w:rsidRPr="00F17D04">
        <w:t>The estimated time required for state</w:t>
      </w:r>
      <w:r w:rsidR="00E91ADA" w:rsidRPr="00E91ADA">
        <w:t>/federal</w:t>
      </w:r>
      <w:r w:rsidRPr="00F17D04">
        <w:t xml:space="preserve"> respondents to process </w:t>
      </w:r>
      <w:r>
        <w:t xml:space="preserve">DMRs </w:t>
      </w:r>
      <w:r w:rsidRPr="00F17D04">
        <w:t xml:space="preserve">is </w:t>
      </w:r>
      <w:r>
        <w:t xml:space="preserve">0.16 hours </w:t>
      </w:r>
      <w:r w:rsidR="00D13F7B">
        <w:t xml:space="preserve">per DMR </w:t>
      </w:r>
      <w:r>
        <w:t>plus 0.5 hours for follow-up of 20 percent of submissions</w:t>
      </w:r>
      <w:r w:rsidRPr="00F17D04">
        <w:t>.</w:t>
      </w:r>
    </w:p>
    <w:p w14:paraId="5FEE4A49" w14:textId="669EFE7C" w:rsidR="00757D0F" w:rsidRDefault="00504780" w:rsidP="0085470C">
      <w:pPr>
        <w:pStyle w:val="Heading5"/>
      </w:pPr>
      <w:r>
        <w:t xml:space="preserve">Permittee </w:t>
      </w:r>
      <w:r w:rsidR="00757D0F" w:rsidRPr="00786C04">
        <w:t>Monitoring</w:t>
      </w:r>
      <w:r>
        <w:t xml:space="preserve"> and </w:t>
      </w:r>
      <w:r w:rsidR="00757D0F" w:rsidRPr="00786C04">
        <w:t>Inspections</w:t>
      </w:r>
      <w:r w:rsidR="00634753">
        <w:t xml:space="preserve"> </w:t>
      </w:r>
    </w:p>
    <w:p w14:paraId="1A77E994" w14:textId="70DF731C" w:rsidR="00757D0F" w:rsidRDefault="006D4555" w:rsidP="00463AAB">
      <w:r w:rsidRPr="00786C04">
        <w:rPr>
          <w:i/>
        </w:rPr>
        <w:t>Permittees.</w:t>
      </w:r>
      <w:r w:rsidRPr="006D4555">
        <w:t xml:space="preserve"> The estimated average time </w:t>
      </w:r>
      <w:r w:rsidR="00D13F7B">
        <w:t xml:space="preserve">per permittee </w:t>
      </w:r>
      <w:r w:rsidRPr="006D4555">
        <w:t>to</w:t>
      </w:r>
      <w:r>
        <w:t xml:space="preserve"> conduct sampling is 2.25 hours and analysis</w:t>
      </w:r>
      <w:r w:rsidR="007157D3">
        <w:t xml:space="preserve"> is </w:t>
      </w:r>
      <w:r>
        <w:t>1.5 hours. Frequency is the same as for DMRs.</w:t>
      </w:r>
      <w:r w:rsidRPr="006D4555">
        <w:t xml:space="preserve"> The estimated average time to</w:t>
      </w:r>
      <w:r>
        <w:t xml:space="preserve"> conduct annual site inspections is 4 hours for inspection plus 0.</w:t>
      </w:r>
      <w:r w:rsidR="00634753">
        <w:t>2</w:t>
      </w:r>
      <w:r>
        <w:t>5 hours to submit</w:t>
      </w:r>
      <w:r w:rsidR="009F3302">
        <w:t xml:space="preserve"> the </w:t>
      </w:r>
      <w:r w:rsidR="008F74CC">
        <w:t xml:space="preserve">annual </w:t>
      </w:r>
      <w:r w:rsidR="009F3302">
        <w:t>report</w:t>
      </w:r>
      <w:r>
        <w:t>.</w:t>
      </w:r>
    </w:p>
    <w:p w14:paraId="607AA881" w14:textId="14814519" w:rsidR="00227945" w:rsidRPr="00227945" w:rsidRDefault="00227945" w:rsidP="00463AAB">
      <w:pPr>
        <w:rPr>
          <w:b/>
        </w:rPr>
      </w:pPr>
      <w:r w:rsidRPr="00F17D04">
        <w:rPr>
          <w:i/>
        </w:rPr>
        <w:t>States</w:t>
      </w:r>
      <w:r>
        <w:rPr>
          <w:i/>
        </w:rPr>
        <w:t xml:space="preserve">/federal. </w:t>
      </w:r>
      <w:r>
        <w:t xml:space="preserve">State/federal activities related to monitoring and inspection data </w:t>
      </w:r>
      <w:r w:rsidR="00E86425">
        <w:t>are</w:t>
      </w:r>
      <w:r>
        <w:t xml:space="preserve"> covered under the DMRs and Reports sections.</w:t>
      </w:r>
    </w:p>
    <w:p w14:paraId="05AA775B" w14:textId="77B18817" w:rsidR="00897148" w:rsidRDefault="00897148" w:rsidP="0085470C">
      <w:pPr>
        <w:pStyle w:val="Heading5"/>
      </w:pPr>
      <w:r w:rsidRPr="00786C04">
        <w:t>Reports</w:t>
      </w:r>
    </w:p>
    <w:p w14:paraId="70BED6BC" w14:textId="1A92AAA5" w:rsidR="00897148" w:rsidRDefault="00897148" w:rsidP="00897148">
      <w:r w:rsidRPr="00786C04">
        <w:rPr>
          <w:i/>
        </w:rPr>
        <w:t>Permittees:</w:t>
      </w:r>
      <w:r>
        <w:t xml:space="preserve"> </w:t>
      </w:r>
      <w:r w:rsidRPr="00897148">
        <w:t xml:space="preserve">Reports under this category include </w:t>
      </w:r>
      <w:r>
        <w:t>permittee report of inaccurate previous information at 2</w:t>
      </w:r>
      <w:r w:rsidRPr="00897148">
        <w:t xml:space="preserve"> hours per response</w:t>
      </w:r>
      <w:r>
        <w:t>, permittee report of planned facility changes at 4</w:t>
      </w:r>
      <w:r w:rsidRPr="00897148">
        <w:t xml:space="preserve"> hours per response</w:t>
      </w:r>
      <w:r>
        <w:t>, and permittee report of anticipated noncompliance at 5</w:t>
      </w:r>
      <w:r w:rsidRPr="00897148">
        <w:t xml:space="preserve"> hours per response</w:t>
      </w:r>
      <w:r>
        <w:t>.</w:t>
      </w:r>
      <w:r w:rsidR="00F4601B">
        <w:t xml:space="preserve"> </w:t>
      </w:r>
    </w:p>
    <w:p w14:paraId="6F810BE9" w14:textId="1D43C3C9" w:rsidR="00E91ADA" w:rsidRPr="00786C04" w:rsidRDefault="00E91ADA" w:rsidP="00E91ADA">
      <w:pPr>
        <w:rPr>
          <w:b/>
        </w:rPr>
      </w:pPr>
      <w:r w:rsidRPr="00786C04">
        <w:rPr>
          <w:i/>
        </w:rPr>
        <w:t>States</w:t>
      </w:r>
      <w:r>
        <w:rPr>
          <w:i/>
        </w:rPr>
        <w:t>/federal</w:t>
      </w:r>
      <w:r>
        <w:t>. The estimated time required for state/federal respondents to review and process permit reports ranges from 4 to 20 hours.</w:t>
      </w:r>
    </w:p>
    <w:p w14:paraId="747F6021" w14:textId="00650CEC" w:rsidR="00F4601B" w:rsidRPr="00786C04" w:rsidRDefault="00F4601B" w:rsidP="0085470C">
      <w:pPr>
        <w:pStyle w:val="Heading5"/>
      </w:pPr>
      <w:r w:rsidRPr="00786C04">
        <w:t>Other</w:t>
      </w:r>
      <w:r w:rsidR="00F47B1E">
        <w:t xml:space="preserve"> Activities</w:t>
      </w:r>
    </w:p>
    <w:p w14:paraId="4818CA95" w14:textId="7F3F66E2" w:rsidR="00601555" w:rsidRDefault="00A64A1F" w:rsidP="00A64A1F">
      <w:r>
        <w:t>Activities in this category include NOT submission, updating existing SWPPPs, and Section 308 requests.</w:t>
      </w:r>
    </w:p>
    <w:p w14:paraId="3E5AE0B1" w14:textId="049B0894" w:rsidR="00A64A1F" w:rsidRDefault="00A64A1F" w:rsidP="00A64A1F">
      <w:r w:rsidRPr="00786C04">
        <w:rPr>
          <w:i/>
        </w:rPr>
        <w:t xml:space="preserve">Permittees. </w:t>
      </w:r>
      <w:r w:rsidRPr="006D4555">
        <w:t xml:space="preserve">The estimated average time </w:t>
      </w:r>
      <w:r w:rsidR="00020114">
        <w:t>per permittee t</w:t>
      </w:r>
      <w:r w:rsidR="00020114" w:rsidRPr="006D4555">
        <w:t>o</w:t>
      </w:r>
      <w:r w:rsidR="00020114">
        <w:t xml:space="preserve"> prepare and submit a</w:t>
      </w:r>
      <w:r w:rsidR="003A64A1">
        <w:t>n</w:t>
      </w:r>
      <w:r w:rsidR="00020114">
        <w:t xml:space="preserve"> NOT </w:t>
      </w:r>
      <w:r w:rsidR="00467F1B">
        <w:t>is 0.</w:t>
      </w:r>
      <w:r w:rsidR="00467F1B" w:rsidRPr="00467F1B">
        <w:t xml:space="preserve">5 hours </w:t>
      </w:r>
      <w:r w:rsidR="00467F1B">
        <w:t>and 8 hours each to update an existing SWPPP or prepare a Section 308 requests.</w:t>
      </w:r>
    </w:p>
    <w:p w14:paraId="643575E3" w14:textId="5BC14706" w:rsidR="00467F1B" w:rsidRPr="00A64A1F" w:rsidRDefault="00467F1B" w:rsidP="00A64A1F">
      <w:r w:rsidRPr="00786C04">
        <w:rPr>
          <w:i/>
        </w:rPr>
        <w:t>States</w:t>
      </w:r>
      <w:r w:rsidR="00E91ADA">
        <w:rPr>
          <w:i/>
        </w:rPr>
        <w:t>/federal</w:t>
      </w:r>
      <w:r>
        <w:t xml:space="preserve">. </w:t>
      </w:r>
      <w:r w:rsidRPr="00467F1B">
        <w:t>The estimated time required for state</w:t>
      </w:r>
      <w:r w:rsidR="00E91ADA" w:rsidRPr="00E91ADA">
        <w:t>/federal</w:t>
      </w:r>
      <w:r w:rsidRPr="00467F1B">
        <w:t xml:space="preserve"> respondents to review and process</w:t>
      </w:r>
      <w:r>
        <w:t xml:space="preserve"> NOTs is 0.25 hours.</w:t>
      </w:r>
    </w:p>
    <w:p w14:paraId="7A208B9E" w14:textId="19ACE5FE" w:rsidR="00601555" w:rsidRDefault="00C6520E" w:rsidP="00B101A0">
      <w:pPr>
        <w:pStyle w:val="Heading4"/>
      </w:pPr>
      <w:r>
        <w:t>A.1.5</w:t>
      </w:r>
      <w:r w:rsidR="00601555">
        <w:t>.3</w:t>
      </w:r>
      <w:r w:rsidR="00EB7492">
        <w:t>.</w:t>
      </w:r>
      <w:r w:rsidR="00601555">
        <w:t xml:space="preserve"> </w:t>
      </w:r>
      <w:r w:rsidR="00601555" w:rsidRPr="003676E8">
        <w:t>Stormwater Construction</w:t>
      </w:r>
    </w:p>
    <w:p w14:paraId="3847C390" w14:textId="48840F0F" w:rsidR="000467D4" w:rsidRDefault="000467D4" w:rsidP="000467D4">
      <w:r w:rsidRPr="000467D4">
        <w:t xml:space="preserve">Activities related to Stormwater </w:t>
      </w:r>
      <w:r>
        <w:t>Construction</w:t>
      </w:r>
      <w:r w:rsidRPr="000467D4">
        <w:t xml:space="preserve"> </w:t>
      </w:r>
      <w:r w:rsidR="00D13F7B">
        <w:t xml:space="preserve">General </w:t>
      </w:r>
      <w:r w:rsidRPr="000467D4">
        <w:t>Permits include</w:t>
      </w:r>
      <w:r>
        <w:t>:</w:t>
      </w:r>
    </w:p>
    <w:p w14:paraId="0B7C5944" w14:textId="6E7BD7A5" w:rsidR="000467D4" w:rsidRDefault="000467D4" w:rsidP="00786C04">
      <w:pPr>
        <w:pStyle w:val="ListParagraph"/>
        <w:numPr>
          <w:ilvl w:val="0"/>
          <w:numId w:val="48"/>
        </w:numPr>
      </w:pPr>
      <w:r>
        <w:t>NOI</w:t>
      </w:r>
      <w:r w:rsidR="00D13F7B">
        <w:t>s</w:t>
      </w:r>
      <w:r>
        <w:t>/NOT</w:t>
      </w:r>
      <w:r w:rsidR="00D13F7B">
        <w:t>s</w:t>
      </w:r>
      <w:r w:rsidR="009F3302">
        <w:t>;</w:t>
      </w:r>
    </w:p>
    <w:p w14:paraId="3C792A6B" w14:textId="6404ED3A" w:rsidR="000467D4" w:rsidRDefault="000467D4" w:rsidP="00786C04">
      <w:pPr>
        <w:pStyle w:val="ListParagraph"/>
        <w:numPr>
          <w:ilvl w:val="0"/>
          <w:numId w:val="48"/>
        </w:numPr>
      </w:pPr>
      <w:r>
        <w:t>Inspections</w:t>
      </w:r>
      <w:r w:rsidR="009F3302">
        <w:t>;</w:t>
      </w:r>
    </w:p>
    <w:p w14:paraId="0F5D24DD" w14:textId="2C0DB2AC" w:rsidR="000467D4" w:rsidRDefault="000467D4" w:rsidP="00786C04">
      <w:pPr>
        <w:pStyle w:val="ListParagraph"/>
        <w:numPr>
          <w:ilvl w:val="0"/>
          <w:numId w:val="48"/>
        </w:numPr>
      </w:pPr>
      <w:r>
        <w:t>Reports</w:t>
      </w:r>
      <w:r w:rsidR="009F3302">
        <w:t>; and</w:t>
      </w:r>
    </w:p>
    <w:p w14:paraId="4D993644" w14:textId="0F071C47" w:rsidR="00601555" w:rsidRDefault="000467D4" w:rsidP="00786C04">
      <w:pPr>
        <w:pStyle w:val="ListParagraph"/>
        <w:numPr>
          <w:ilvl w:val="0"/>
          <w:numId w:val="48"/>
        </w:numPr>
      </w:pPr>
      <w:r>
        <w:t>Other</w:t>
      </w:r>
      <w:r w:rsidR="00D11123">
        <w:t xml:space="preserve"> activities</w:t>
      </w:r>
      <w:r w:rsidR="009F3302">
        <w:t>.</w:t>
      </w:r>
    </w:p>
    <w:p w14:paraId="5E77A6C0" w14:textId="1A5973A5" w:rsidR="00EC1DA1" w:rsidRDefault="00746F74" w:rsidP="000467D4">
      <w:r>
        <w:t xml:space="preserve">NPDES regulations at 40 CFR 122.28(b)(2) require submission of an NOI for permit coverage. Preparation and submission of NOTs are required by general permits. </w:t>
      </w:r>
      <w:r w:rsidR="004909DA">
        <w:t>Stormwater site inspections and other activities are required by the general permit. Specific reports are required by NPDES regulations at 40 CFR 122.41.</w:t>
      </w:r>
      <w:r w:rsidR="00225716">
        <w:t xml:space="preserve"> </w:t>
      </w:r>
    </w:p>
    <w:p w14:paraId="717535D0" w14:textId="66A4E1CF" w:rsidR="00D966B6" w:rsidRPr="00F17D04" w:rsidRDefault="00F17D04" w:rsidP="000467D4">
      <w:r w:rsidRPr="00F17D04">
        <w:t>Underlying assumptions regarding burden estimates are described below.</w:t>
      </w:r>
    </w:p>
    <w:p w14:paraId="2EEF3BC7" w14:textId="127ADFD4" w:rsidR="000467D4" w:rsidRDefault="000467D4" w:rsidP="0085470C">
      <w:pPr>
        <w:pStyle w:val="Heading5"/>
      </w:pPr>
      <w:r w:rsidRPr="00786C04">
        <w:t>NOI/NOT</w:t>
      </w:r>
    </w:p>
    <w:p w14:paraId="0EE98FA7" w14:textId="2C67B2D3" w:rsidR="000467D4" w:rsidRDefault="000467D4" w:rsidP="000467D4">
      <w:r w:rsidRPr="00786C04">
        <w:rPr>
          <w:i/>
        </w:rPr>
        <w:t>Permittees</w:t>
      </w:r>
      <w:r>
        <w:t xml:space="preserve">. </w:t>
      </w:r>
      <w:r w:rsidRPr="000467D4">
        <w:t xml:space="preserve">The estimated average time </w:t>
      </w:r>
      <w:r w:rsidR="00020114">
        <w:t xml:space="preserve">per permittee </w:t>
      </w:r>
      <w:r>
        <w:t>to prepare and submit an NOI is 1.5 hours</w:t>
      </w:r>
      <w:r w:rsidR="00D966B6">
        <w:t xml:space="preserve"> for large sites and 3.7 hours for small sites </w:t>
      </w:r>
      <w:r>
        <w:t xml:space="preserve">and occurs once. Those requiring an ESA evaluation will require 6 and 20 hours for informal and formal evaluations, respectively. </w:t>
      </w:r>
      <w:r w:rsidRPr="000467D4">
        <w:t xml:space="preserve">The estimated average time to </w:t>
      </w:r>
      <w:r>
        <w:t>p</w:t>
      </w:r>
      <w:r w:rsidRPr="000467D4">
        <w:t>repare and submit a</w:t>
      </w:r>
      <w:r w:rsidR="003A64A1">
        <w:t>n</w:t>
      </w:r>
      <w:r w:rsidRPr="000467D4">
        <w:t xml:space="preserve"> NOT</w:t>
      </w:r>
      <w:r>
        <w:t xml:space="preserve"> is 0.5 hours.</w:t>
      </w:r>
    </w:p>
    <w:p w14:paraId="63183224" w14:textId="77777777" w:rsidR="0085470C" w:rsidRDefault="00D966B6" w:rsidP="000467D4">
      <w:r w:rsidRPr="00786C04">
        <w:rPr>
          <w:i/>
        </w:rPr>
        <w:t>States</w:t>
      </w:r>
      <w:r w:rsidR="00E91ADA" w:rsidRPr="00E91ADA">
        <w:rPr>
          <w:i/>
        </w:rPr>
        <w:t>/federal</w:t>
      </w:r>
      <w:r>
        <w:t xml:space="preserve">. </w:t>
      </w:r>
      <w:r w:rsidRPr="00D966B6">
        <w:t>The estimated average time to</w:t>
      </w:r>
      <w:r>
        <w:t xml:space="preserve"> process and review is 1 hour for NOIs and 0.25 hours for NOTs.</w:t>
      </w:r>
    </w:p>
    <w:p w14:paraId="06402508" w14:textId="019242C5" w:rsidR="00D966B6" w:rsidRDefault="00953758" w:rsidP="00B101A0">
      <w:pPr>
        <w:pStyle w:val="Heading5"/>
      </w:pPr>
      <w:r>
        <w:t xml:space="preserve">Permittee </w:t>
      </w:r>
      <w:r w:rsidR="00D966B6" w:rsidRPr="00786C04">
        <w:t>Inspections</w:t>
      </w:r>
    </w:p>
    <w:p w14:paraId="2D1CB7D1" w14:textId="4FC854A9" w:rsidR="0085470C" w:rsidRDefault="00D966B6" w:rsidP="000467D4">
      <w:r w:rsidRPr="001E3498">
        <w:rPr>
          <w:i/>
        </w:rPr>
        <w:t>Permittees</w:t>
      </w:r>
      <w:r>
        <w:t xml:space="preserve">. </w:t>
      </w:r>
      <w:r w:rsidRPr="000467D4">
        <w:t xml:space="preserve">The estimated average time </w:t>
      </w:r>
      <w:r w:rsidR="00020114">
        <w:t xml:space="preserve">per permittee </w:t>
      </w:r>
      <w:r>
        <w:t>to</w:t>
      </w:r>
      <w:r w:rsidRPr="00D966B6">
        <w:t xml:space="preserve"> </w:t>
      </w:r>
      <w:r>
        <w:t>conduct s</w:t>
      </w:r>
      <w:r w:rsidRPr="00D966B6">
        <w:t xml:space="preserve">tormwater </w:t>
      </w:r>
      <w:r>
        <w:t>site i</w:t>
      </w:r>
      <w:r w:rsidRPr="00D966B6">
        <w:t>nspections</w:t>
      </w:r>
      <w:r>
        <w:t xml:space="preserve"> is 0.25 hours for small and 0.5 hours for large construction sites.</w:t>
      </w:r>
    </w:p>
    <w:p w14:paraId="123D0183" w14:textId="77777777" w:rsidR="0085470C" w:rsidRDefault="00BE2478" w:rsidP="000467D4">
      <w:r w:rsidRPr="00BE2478">
        <w:rPr>
          <w:i/>
        </w:rPr>
        <w:t>States/federal</w:t>
      </w:r>
      <w:r>
        <w:t xml:space="preserve">. </w:t>
      </w:r>
      <w:r w:rsidR="00953758">
        <w:t>S</w:t>
      </w:r>
      <w:r w:rsidR="00953758" w:rsidRPr="00953758">
        <w:t xml:space="preserve">ite inspection data is normally stored </w:t>
      </w:r>
      <w:r w:rsidR="00D13F7B">
        <w:t>at the construction site</w:t>
      </w:r>
      <w:r w:rsidR="00597EDE">
        <w:t xml:space="preserve">. Any </w:t>
      </w:r>
      <w:r w:rsidR="00953758">
        <w:t>related s</w:t>
      </w:r>
      <w:r>
        <w:t xml:space="preserve">tate/federal activities </w:t>
      </w:r>
      <w:r w:rsidR="00953758">
        <w:t>are</w:t>
      </w:r>
      <w:r>
        <w:t xml:space="preserve"> covered under </w:t>
      </w:r>
      <w:r w:rsidR="00953758">
        <w:t>the Reports section below</w:t>
      </w:r>
      <w:r w:rsidR="00597EDE">
        <w:t>.</w:t>
      </w:r>
    </w:p>
    <w:p w14:paraId="77647983" w14:textId="1E7539F4" w:rsidR="00D966B6" w:rsidRPr="00786C04" w:rsidRDefault="00D966B6" w:rsidP="00B101A0">
      <w:pPr>
        <w:pStyle w:val="Heading5"/>
      </w:pPr>
      <w:r w:rsidRPr="00786C04">
        <w:t>Reports</w:t>
      </w:r>
    </w:p>
    <w:p w14:paraId="255F2413" w14:textId="35E4D29F" w:rsidR="0085470C" w:rsidRDefault="00D966B6" w:rsidP="00D966B6">
      <w:r>
        <w:t>Reports in this category include</w:t>
      </w:r>
      <w:r w:rsidR="00467F1B">
        <w:t>: permittee report of planned facility changes, facility and permit transfer report, permittee report of inaccurate previous information, permittee report of anticipated noncompliance, unanticipated bypass/upset reports, maximum daily violation reports, and other noncompliance reports</w:t>
      </w:r>
      <w:r>
        <w:t xml:space="preserve">. </w:t>
      </w:r>
    </w:p>
    <w:p w14:paraId="69C76786" w14:textId="77777777" w:rsidR="0085470C" w:rsidRDefault="00467F1B" w:rsidP="00D966B6">
      <w:r w:rsidRPr="00786C04">
        <w:rPr>
          <w:i/>
        </w:rPr>
        <w:t>Permittees.</w:t>
      </w:r>
      <w:r>
        <w:t xml:space="preserve"> </w:t>
      </w:r>
      <w:r w:rsidR="00D966B6">
        <w:t xml:space="preserve">The estimated </w:t>
      </w:r>
      <w:r w:rsidR="00D966B6" w:rsidRPr="00D966B6">
        <w:t xml:space="preserve">average time </w:t>
      </w:r>
      <w:r w:rsidR="00020114">
        <w:t>per permittee</w:t>
      </w:r>
      <w:r w:rsidR="00020114" w:rsidRPr="00D966B6">
        <w:t xml:space="preserve"> </w:t>
      </w:r>
      <w:r w:rsidR="00D966B6" w:rsidRPr="00D966B6">
        <w:t>to</w:t>
      </w:r>
      <w:r w:rsidR="00D966B6">
        <w:t xml:space="preserve"> prepare the</w:t>
      </w:r>
      <w:r>
        <w:t>s</w:t>
      </w:r>
      <w:r w:rsidR="00D966B6">
        <w:t>e reports ranges from 2 to 5 hours.</w:t>
      </w:r>
    </w:p>
    <w:p w14:paraId="7ACB1753" w14:textId="77777777" w:rsidR="0085470C" w:rsidRDefault="00E91ADA" w:rsidP="00D966B6">
      <w:r w:rsidRPr="009616EC">
        <w:rPr>
          <w:i/>
        </w:rPr>
        <w:t>States/federal</w:t>
      </w:r>
      <w:r w:rsidRPr="00E91ADA">
        <w:t>. The estimated time required for state/federal respondents to review and process permit reports ranges from 4 to 20 hours.</w:t>
      </w:r>
    </w:p>
    <w:p w14:paraId="4FA61F93" w14:textId="21CE1A13" w:rsidR="00D966B6" w:rsidRDefault="00467F1B" w:rsidP="00B101A0">
      <w:pPr>
        <w:pStyle w:val="Heading5"/>
      </w:pPr>
      <w:r w:rsidRPr="00786C04">
        <w:t>Other</w:t>
      </w:r>
      <w:r w:rsidR="00D966B6" w:rsidRPr="00786C04">
        <w:t xml:space="preserve"> </w:t>
      </w:r>
      <w:r w:rsidR="00D11123">
        <w:t>Activities</w:t>
      </w:r>
    </w:p>
    <w:p w14:paraId="64A18C67" w14:textId="1F66848E" w:rsidR="0085470C" w:rsidRDefault="00A350ED" w:rsidP="00A350ED">
      <w:r w:rsidRPr="00786C04">
        <w:t>Activities in this category include</w:t>
      </w:r>
      <w:r w:rsidRPr="00A350ED">
        <w:t xml:space="preserve"> </w:t>
      </w:r>
      <w:r>
        <w:t xml:space="preserve">requesting waiver certification, development of SWPPPs, monitoring, and Section 308(a) </w:t>
      </w:r>
      <w:r w:rsidR="006A195A">
        <w:t>l</w:t>
      </w:r>
      <w:r>
        <w:t>etters.</w:t>
      </w:r>
      <w:r w:rsidR="003676E8">
        <w:t xml:space="preserve"> </w:t>
      </w:r>
    </w:p>
    <w:p w14:paraId="4B6DFE1C" w14:textId="77777777" w:rsidR="0085470C" w:rsidRDefault="00A350ED" w:rsidP="00A350ED">
      <w:r w:rsidRPr="00786C04">
        <w:rPr>
          <w:i/>
        </w:rPr>
        <w:t>Permittees</w:t>
      </w:r>
      <w:r>
        <w:t xml:space="preserve">. </w:t>
      </w:r>
      <w:r w:rsidRPr="00A350ED">
        <w:t xml:space="preserve">The estimated average time </w:t>
      </w:r>
      <w:r w:rsidR="00020114">
        <w:t>per permittee</w:t>
      </w:r>
      <w:r w:rsidR="00020114" w:rsidRPr="00A350ED">
        <w:t xml:space="preserve"> </w:t>
      </w:r>
      <w:r w:rsidRPr="00A350ED">
        <w:t xml:space="preserve">to </w:t>
      </w:r>
      <w:r>
        <w:t xml:space="preserve">prepare a </w:t>
      </w:r>
      <w:r w:rsidRPr="00A350ED">
        <w:t>waiver certification</w:t>
      </w:r>
      <w:r>
        <w:t xml:space="preserve"> request is 1 hour. The </w:t>
      </w:r>
      <w:r w:rsidRPr="00A350ED">
        <w:t>estim</w:t>
      </w:r>
      <w:r>
        <w:t xml:space="preserve">ated average time to prepare </w:t>
      </w:r>
      <w:r w:rsidR="000B253B">
        <w:t xml:space="preserve">an SWPPP </w:t>
      </w:r>
      <w:r>
        <w:t>is 22.7 and 36.4 hours for small and large construction sites</w:t>
      </w:r>
      <w:r w:rsidR="006A195A">
        <w:t>,</w:t>
      </w:r>
      <w:r>
        <w:t xml:space="preserve"> respectively.</w:t>
      </w:r>
    </w:p>
    <w:p w14:paraId="48AEAA87" w14:textId="18D556C2" w:rsidR="00A350ED" w:rsidRPr="00A350ED" w:rsidRDefault="00A350ED" w:rsidP="00A350ED">
      <w:r w:rsidRPr="00786C04">
        <w:rPr>
          <w:i/>
        </w:rPr>
        <w:t>States</w:t>
      </w:r>
      <w:r w:rsidR="003A6C3A" w:rsidRPr="003A6C3A">
        <w:rPr>
          <w:i/>
        </w:rPr>
        <w:t>/federal</w:t>
      </w:r>
      <w:r w:rsidRPr="00786C04">
        <w:rPr>
          <w:i/>
        </w:rPr>
        <w:t>.</w:t>
      </w:r>
      <w:r>
        <w:t xml:space="preserve"> </w:t>
      </w:r>
      <w:r w:rsidRPr="00A350ED">
        <w:t>The estimated average time to process and review</w:t>
      </w:r>
      <w:r>
        <w:t xml:space="preserve"> waver certification requests and SWPPPs is 1 hour each.</w:t>
      </w:r>
    </w:p>
    <w:p w14:paraId="09C3B0F0" w14:textId="190010DA" w:rsidR="00601555" w:rsidRDefault="00C6520E" w:rsidP="00B101A0">
      <w:pPr>
        <w:pStyle w:val="Heading4"/>
      </w:pPr>
      <w:r>
        <w:t>A.1.5</w:t>
      </w:r>
      <w:r w:rsidR="00601555">
        <w:t>.4</w:t>
      </w:r>
      <w:r w:rsidR="00EB7492">
        <w:t>.</w:t>
      </w:r>
      <w:r w:rsidR="00601555">
        <w:t xml:space="preserve"> </w:t>
      </w:r>
      <w:r w:rsidR="00601555" w:rsidRPr="00601555">
        <w:t>Non-Stormwater</w:t>
      </w:r>
    </w:p>
    <w:p w14:paraId="725296BD" w14:textId="3AC8C040" w:rsidR="00A350ED" w:rsidRPr="00A350ED" w:rsidRDefault="00A350ED" w:rsidP="00786C04">
      <w:r>
        <w:t xml:space="preserve">The activities in this category apply </w:t>
      </w:r>
      <w:r w:rsidR="00224DA9">
        <w:t xml:space="preserve">to general permits </w:t>
      </w:r>
      <w:r w:rsidR="00224DA9" w:rsidRPr="00224DA9">
        <w:t xml:space="preserve">issued to cover </w:t>
      </w:r>
      <w:r w:rsidR="00224DA9">
        <w:t>c</w:t>
      </w:r>
      <w:r w:rsidR="00224DA9" w:rsidRPr="00224DA9">
        <w:t>lass</w:t>
      </w:r>
      <w:r w:rsidR="00224DA9">
        <w:t>es</w:t>
      </w:r>
      <w:r w:rsidR="00224DA9" w:rsidRPr="00224DA9">
        <w:t xml:space="preserve"> of facilities with similar type discharges</w:t>
      </w:r>
      <w:r w:rsidR="00224DA9">
        <w:t xml:space="preserve"> with different permits tailored to the class of facility. </w:t>
      </w:r>
      <w:r w:rsidR="00224DA9" w:rsidRPr="00224DA9">
        <w:t xml:space="preserve">Activities related to </w:t>
      </w:r>
      <w:r w:rsidR="00224DA9">
        <w:t>non-s</w:t>
      </w:r>
      <w:r w:rsidR="00224DA9" w:rsidRPr="00224DA9">
        <w:t xml:space="preserve">tormwater </w:t>
      </w:r>
      <w:r w:rsidR="00224DA9">
        <w:t>general p</w:t>
      </w:r>
      <w:r w:rsidR="00224DA9" w:rsidRPr="00224DA9">
        <w:t>ermits include</w:t>
      </w:r>
      <w:r w:rsidR="00224DA9">
        <w:t>:</w:t>
      </w:r>
    </w:p>
    <w:p w14:paraId="4B61993C" w14:textId="453152A6" w:rsidR="00A350ED" w:rsidRDefault="00A350ED" w:rsidP="00786C04">
      <w:pPr>
        <w:pStyle w:val="ListParagraph"/>
        <w:numPr>
          <w:ilvl w:val="0"/>
          <w:numId w:val="49"/>
        </w:numPr>
      </w:pPr>
      <w:r>
        <w:t>NOI</w:t>
      </w:r>
      <w:r w:rsidR="006A195A">
        <w:t>;</w:t>
      </w:r>
    </w:p>
    <w:p w14:paraId="7A406EF5" w14:textId="103C76A9" w:rsidR="00A350ED" w:rsidRDefault="00A350ED" w:rsidP="00786C04">
      <w:pPr>
        <w:pStyle w:val="ListParagraph"/>
        <w:numPr>
          <w:ilvl w:val="0"/>
          <w:numId w:val="49"/>
        </w:numPr>
      </w:pPr>
      <w:r>
        <w:t>DMR</w:t>
      </w:r>
      <w:r w:rsidR="006A195A">
        <w:t>;</w:t>
      </w:r>
    </w:p>
    <w:p w14:paraId="14ED96E1" w14:textId="5FA28748" w:rsidR="00A350ED" w:rsidRDefault="00A350ED" w:rsidP="00786C04">
      <w:pPr>
        <w:pStyle w:val="ListParagraph"/>
        <w:numPr>
          <w:ilvl w:val="0"/>
          <w:numId w:val="49"/>
        </w:numPr>
      </w:pPr>
      <w:r>
        <w:t>Monitoring</w:t>
      </w:r>
      <w:r w:rsidR="00BC01D3">
        <w:t xml:space="preserve"> and Inspection</w:t>
      </w:r>
      <w:r w:rsidR="006A195A">
        <w:t>;</w:t>
      </w:r>
    </w:p>
    <w:p w14:paraId="79C20289" w14:textId="0A002A9C" w:rsidR="00A350ED" w:rsidRDefault="00A350ED" w:rsidP="00786C04">
      <w:pPr>
        <w:pStyle w:val="ListParagraph"/>
        <w:numPr>
          <w:ilvl w:val="0"/>
          <w:numId w:val="49"/>
        </w:numPr>
      </w:pPr>
      <w:r>
        <w:t>Reports</w:t>
      </w:r>
      <w:r w:rsidR="006A195A">
        <w:t>; and</w:t>
      </w:r>
    </w:p>
    <w:p w14:paraId="79971CAC" w14:textId="77777777" w:rsidR="0085470C" w:rsidRDefault="00A350ED" w:rsidP="00786C04">
      <w:pPr>
        <w:pStyle w:val="ListParagraph"/>
        <w:numPr>
          <w:ilvl w:val="0"/>
          <w:numId w:val="49"/>
        </w:numPr>
      </w:pPr>
      <w:r w:rsidRPr="00F17D04">
        <w:t>Other</w:t>
      </w:r>
      <w:r w:rsidR="00D11123" w:rsidRPr="00F17D04">
        <w:t xml:space="preserve"> a</w:t>
      </w:r>
      <w:r w:rsidR="00D11123">
        <w:t>ctivities</w:t>
      </w:r>
      <w:r w:rsidR="006A195A">
        <w:t>.</w:t>
      </w:r>
    </w:p>
    <w:p w14:paraId="50E0AD8B" w14:textId="0DE3FC5F" w:rsidR="004909DA" w:rsidRDefault="004909DA" w:rsidP="00224DA9">
      <w:r>
        <w:t>NPDES regulations at 40 CFR 122.28(b)(2) require submission of an NOI for permit coverage. Preparation and submission of NOTs</w:t>
      </w:r>
      <w:r w:rsidR="00141AEC">
        <w:t>, DMRs, conducting stormwater site inspections and other activities</w:t>
      </w:r>
      <w:r>
        <w:t xml:space="preserve"> are required by general permits. Specific reports </w:t>
      </w:r>
      <w:r w:rsidR="00CD4B26">
        <w:t xml:space="preserve">and DMRs </w:t>
      </w:r>
      <w:r>
        <w:t xml:space="preserve">are required by NPDES regulations at 40 CFR 122.41. </w:t>
      </w:r>
    </w:p>
    <w:p w14:paraId="2AB4EB32" w14:textId="544AB3CD" w:rsidR="0085470C" w:rsidRDefault="00F17D04" w:rsidP="00224DA9">
      <w:r w:rsidRPr="00F17D04">
        <w:t>Underlying assumptions regarding burden estimates are described below.</w:t>
      </w:r>
    </w:p>
    <w:p w14:paraId="0D498784" w14:textId="1033B50A" w:rsidR="00224DA9" w:rsidRPr="0008544B" w:rsidRDefault="00224DA9" w:rsidP="00B101A0">
      <w:pPr>
        <w:pStyle w:val="Heading5"/>
      </w:pPr>
      <w:r w:rsidRPr="00786C04">
        <w:t>NOI</w:t>
      </w:r>
    </w:p>
    <w:p w14:paraId="2B571EBA" w14:textId="77777777" w:rsidR="0085470C" w:rsidRDefault="001506FA" w:rsidP="00224DA9">
      <w:r w:rsidRPr="00786C04">
        <w:rPr>
          <w:i/>
        </w:rPr>
        <w:t xml:space="preserve">Permittees. </w:t>
      </w:r>
      <w:r w:rsidRPr="00786C04">
        <w:t xml:space="preserve">The estimated average time </w:t>
      </w:r>
      <w:r w:rsidR="00020114">
        <w:t>per permittee</w:t>
      </w:r>
      <w:r w:rsidR="00020114" w:rsidRPr="00786C04">
        <w:t xml:space="preserve"> </w:t>
      </w:r>
      <w:r w:rsidRPr="00786C04">
        <w:t>to</w:t>
      </w:r>
      <w:r w:rsidRPr="0008544B">
        <w:t xml:space="preserve"> prepare and submit an NOI is 1 hour.</w:t>
      </w:r>
    </w:p>
    <w:p w14:paraId="18893B29" w14:textId="77777777" w:rsidR="0085470C" w:rsidRDefault="009059B5" w:rsidP="00224DA9">
      <w:r w:rsidRPr="00786C04">
        <w:rPr>
          <w:i/>
        </w:rPr>
        <w:t>States</w:t>
      </w:r>
      <w:r w:rsidR="003A6C3A" w:rsidRPr="003A6C3A">
        <w:rPr>
          <w:i/>
        </w:rPr>
        <w:t>/federal</w:t>
      </w:r>
      <w:r w:rsidRPr="009059B5">
        <w:t xml:space="preserve">. The estimated average time to process and review </w:t>
      </w:r>
      <w:r>
        <w:t xml:space="preserve">an NOI </w:t>
      </w:r>
      <w:r w:rsidRPr="009059B5">
        <w:t xml:space="preserve">is </w:t>
      </w:r>
      <w:r>
        <w:t>0.25</w:t>
      </w:r>
      <w:r w:rsidRPr="009059B5">
        <w:t xml:space="preserve"> hour</w:t>
      </w:r>
      <w:r>
        <w:t>s</w:t>
      </w:r>
      <w:r w:rsidRPr="009059B5">
        <w:t>.</w:t>
      </w:r>
    </w:p>
    <w:p w14:paraId="1D291FF0" w14:textId="1F9E5756" w:rsidR="00224DA9" w:rsidRPr="009059B5" w:rsidRDefault="00224DA9" w:rsidP="00B101A0">
      <w:pPr>
        <w:pStyle w:val="Heading5"/>
      </w:pPr>
      <w:r w:rsidRPr="009059B5">
        <w:t>DMR</w:t>
      </w:r>
    </w:p>
    <w:p w14:paraId="1AE92406" w14:textId="77777777" w:rsidR="0085470C" w:rsidRDefault="001506FA" w:rsidP="00224DA9">
      <w:r w:rsidRPr="009059B5">
        <w:rPr>
          <w:i/>
        </w:rPr>
        <w:t>Permittees.</w:t>
      </w:r>
      <w:r w:rsidR="0058266F" w:rsidRPr="009059B5">
        <w:rPr>
          <w:i/>
        </w:rPr>
        <w:t xml:space="preserve"> </w:t>
      </w:r>
      <w:r w:rsidR="009059B5" w:rsidRPr="00786C04">
        <w:t xml:space="preserve">The estimated average time </w:t>
      </w:r>
      <w:r w:rsidR="00020114">
        <w:t>per permittee</w:t>
      </w:r>
      <w:r w:rsidR="00020114" w:rsidRPr="00786C04">
        <w:t xml:space="preserve"> </w:t>
      </w:r>
      <w:r w:rsidR="009059B5" w:rsidRPr="00786C04">
        <w:t xml:space="preserve">to prepare and submit a DMR is 2 hours </w:t>
      </w:r>
      <w:r w:rsidR="009059B5">
        <w:t>with frequency ranging from monthly to annually.</w:t>
      </w:r>
    </w:p>
    <w:p w14:paraId="310A4526" w14:textId="77777777" w:rsidR="0085470C" w:rsidRDefault="009059B5" w:rsidP="00224DA9">
      <w:pPr>
        <w:rPr>
          <w:highlight w:val="yellow"/>
        </w:rPr>
      </w:pPr>
      <w:r w:rsidRPr="00786C04">
        <w:rPr>
          <w:i/>
        </w:rPr>
        <w:t>States</w:t>
      </w:r>
      <w:r w:rsidR="003A6C3A" w:rsidRPr="003A6C3A">
        <w:rPr>
          <w:i/>
        </w:rPr>
        <w:t>/federal</w:t>
      </w:r>
      <w:r w:rsidRPr="009059B5">
        <w:t>. The estimated averag</w:t>
      </w:r>
      <w:r>
        <w:t xml:space="preserve">e time to process and review DMRs </w:t>
      </w:r>
      <w:r w:rsidRPr="009059B5">
        <w:t>is 0.2</w:t>
      </w:r>
      <w:r>
        <w:t>7</w:t>
      </w:r>
      <w:r w:rsidRPr="009059B5">
        <w:t xml:space="preserve"> hours</w:t>
      </w:r>
      <w:r>
        <w:t xml:space="preserve"> (10 minutes plus 30 minutes for follow-up of 20%</w:t>
      </w:r>
      <w:r w:rsidR="007157D3">
        <w:t xml:space="preserve"> of DMRs</w:t>
      </w:r>
      <w:r>
        <w:t>)</w:t>
      </w:r>
    </w:p>
    <w:p w14:paraId="4DBAF5C1" w14:textId="7F3BB7E2" w:rsidR="00224DA9" w:rsidRPr="007157D3" w:rsidRDefault="00504780" w:rsidP="00B101A0">
      <w:pPr>
        <w:pStyle w:val="Heading5"/>
      </w:pPr>
      <w:r>
        <w:t xml:space="preserve">Permittee </w:t>
      </w:r>
      <w:r w:rsidR="00224DA9" w:rsidRPr="007157D3">
        <w:t>Monitoring</w:t>
      </w:r>
      <w:r w:rsidR="00BC01D3">
        <w:t xml:space="preserve"> and Inspection</w:t>
      </w:r>
    </w:p>
    <w:p w14:paraId="6EB32242" w14:textId="77777777" w:rsidR="0085470C" w:rsidRDefault="001506FA" w:rsidP="00224DA9">
      <w:r w:rsidRPr="007157D3">
        <w:rPr>
          <w:i/>
        </w:rPr>
        <w:t>Permittees.</w:t>
      </w:r>
      <w:r w:rsidR="007157D3">
        <w:rPr>
          <w:i/>
        </w:rPr>
        <w:t xml:space="preserve"> </w:t>
      </w:r>
      <w:r w:rsidR="007157D3" w:rsidRPr="007157D3">
        <w:t xml:space="preserve">The estimated average time </w:t>
      </w:r>
      <w:r w:rsidR="00020114">
        <w:t>per permittee</w:t>
      </w:r>
      <w:r w:rsidR="00020114" w:rsidRPr="007157D3">
        <w:t xml:space="preserve"> </w:t>
      </w:r>
      <w:r w:rsidR="007157D3" w:rsidRPr="007157D3">
        <w:t xml:space="preserve">to conduct sampling </w:t>
      </w:r>
      <w:r w:rsidR="00BC01D3">
        <w:t xml:space="preserve">and inspection </w:t>
      </w:r>
      <w:r w:rsidR="007157D3" w:rsidRPr="007157D3">
        <w:t>is 2.25 hours and analysis is 1.5 hours. Frequency is the same as for DMRs</w:t>
      </w:r>
      <w:r w:rsidR="007157D3">
        <w:t>.</w:t>
      </w:r>
    </w:p>
    <w:p w14:paraId="7823239A" w14:textId="77777777" w:rsidR="0085470C" w:rsidRDefault="00BE2478" w:rsidP="00224DA9">
      <w:r w:rsidRPr="00953758">
        <w:rPr>
          <w:i/>
        </w:rPr>
        <w:t>States/federal.</w:t>
      </w:r>
      <w:r>
        <w:t xml:space="preserve"> </w:t>
      </w:r>
      <w:r w:rsidR="00953758">
        <w:t xml:space="preserve">State/federal activities related to permittee monitoring </w:t>
      </w:r>
      <w:r w:rsidR="00BC01D3">
        <w:t xml:space="preserve">and inspection </w:t>
      </w:r>
      <w:r w:rsidR="00953758">
        <w:t xml:space="preserve">data </w:t>
      </w:r>
      <w:r w:rsidR="00E86425">
        <w:t>are</w:t>
      </w:r>
      <w:r w:rsidR="00953758">
        <w:t xml:space="preserve"> covered under </w:t>
      </w:r>
      <w:r w:rsidR="00597EDE">
        <w:t xml:space="preserve">the </w:t>
      </w:r>
      <w:r w:rsidR="00953758">
        <w:t>DMR</w:t>
      </w:r>
      <w:r w:rsidR="00597EDE">
        <w:t xml:space="preserve"> </w:t>
      </w:r>
      <w:r w:rsidR="00953758">
        <w:t>s</w:t>
      </w:r>
      <w:r w:rsidR="00597EDE">
        <w:t>ection above</w:t>
      </w:r>
      <w:r w:rsidR="00953758">
        <w:t>.</w:t>
      </w:r>
    </w:p>
    <w:p w14:paraId="1872D677" w14:textId="33D471EB" w:rsidR="00224DA9" w:rsidRDefault="00224DA9" w:rsidP="00B101A0">
      <w:pPr>
        <w:pStyle w:val="Heading5"/>
      </w:pPr>
      <w:r w:rsidRPr="00DC5D5D">
        <w:t>Reports</w:t>
      </w:r>
    </w:p>
    <w:p w14:paraId="7BC2385F" w14:textId="77777777" w:rsidR="0085470C" w:rsidRDefault="00DC5D5D" w:rsidP="00DC5D5D">
      <w:r w:rsidRPr="00786C04">
        <w:t xml:space="preserve">Reports in this category include: permittee report of planned facility changes, facility and permit transfer report, permittee report of inaccurate previous information, permittee report of anticipated noncompliance, unanticipated bypass/upset reports, maximum daily violation reports, and other noncompliance reports. </w:t>
      </w:r>
    </w:p>
    <w:p w14:paraId="5CF0D18F" w14:textId="77777777" w:rsidR="0085470C" w:rsidRDefault="00DC5D5D" w:rsidP="00DC5D5D">
      <w:r w:rsidRPr="00786C04">
        <w:rPr>
          <w:i/>
        </w:rPr>
        <w:t>Permittees</w:t>
      </w:r>
      <w:r w:rsidRPr="00786C04">
        <w:t xml:space="preserve">. The estimated average time </w:t>
      </w:r>
      <w:r w:rsidR="00020114">
        <w:t>per permittee</w:t>
      </w:r>
      <w:r w:rsidR="00020114" w:rsidRPr="00786C04">
        <w:t xml:space="preserve"> </w:t>
      </w:r>
      <w:r w:rsidRPr="00786C04">
        <w:t>to prepare these reports ranges from 2 to 5 hours.</w:t>
      </w:r>
    </w:p>
    <w:p w14:paraId="45A3700F" w14:textId="77777777" w:rsidR="0085470C" w:rsidRDefault="00DC5D5D" w:rsidP="00224DA9">
      <w:r w:rsidRPr="00787D44">
        <w:rPr>
          <w:i/>
        </w:rPr>
        <w:t>States</w:t>
      </w:r>
      <w:r w:rsidR="003A6C3A" w:rsidRPr="003A6C3A">
        <w:rPr>
          <w:i/>
        </w:rPr>
        <w:t>/federal</w:t>
      </w:r>
      <w:r w:rsidRPr="009059B5">
        <w:t>. The estimated averag</w:t>
      </w:r>
      <w:r>
        <w:t xml:space="preserve">e time to process and review these reports ranges from 1 to </w:t>
      </w:r>
      <w:r w:rsidR="003A6C3A">
        <w:t>20</w:t>
      </w:r>
      <w:r>
        <w:t xml:space="preserve"> hours.</w:t>
      </w:r>
    </w:p>
    <w:p w14:paraId="136285A7" w14:textId="3A3CB2C8" w:rsidR="00224DA9" w:rsidRDefault="00224DA9" w:rsidP="00B101A0">
      <w:pPr>
        <w:pStyle w:val="Heading5"/>
      </w:pPr>
      <w:r w:rsidRPr="00DC5D5D">
        <w:t>Other</w:t>
      </w:r>
      <w:r w:rsidR="00D11123">
        <w:t xml:space="preserve"> Activities</w:t>
      </w:r>
    </w:p>
    <w:p w14:paraId="151E0BF4" w14:textId="77777777" w:rsidR="0085470C" w:rsidRDefault="00CE6263" w:rsidP="00DC5D5D">
      <w:r w:rsidRPr="00786C04">
        <w:t xml:space="preserve">The only activity in this category is </w:t>
      </w:r>
      <w:r w:rsidR="00DC5D5D" w:rsidRPr="00CE6263">
        <w:t>Permittee</w:t>
      </w:r>
      <w:r w:rsidR="00DC5D5D">
        <w:t xml:space="preserve"> Notice of Regulated Discharge Cessation</w:t>
      </w:r>
      <w:r>
        <w:t>.</w:t>
      </w:r>
    </w:p>
    <w:p w14:paraId="0E9F4510" w14:textId="5E72F5A3" w:rsidR="0085470C" w:rsidRDefault="00DC5D5D" w:rsidP="00DC5D5D">
      <w:r w:rsidRPr="00786C04">
        <w:rPr>
          <w:i/>
        </w:rPr>
        <w:t>Permittees</w:t>
      </w:r>
      <w:r>
        <w:t xml:space="preserve">. The time required </w:t>
      </w:r>
      <w:r w:rsidR="00020114">
        <w:t>per permittee</w:t>
      </w:r>
      <w:r w:rsidR="00020114" w:rsidDel="00020114">
        <w:t xml:space="preserve"> </w:t>
      </w:r>
      <w:r>
        <w:t xml:space="preserve">to prepare and submit to the </w:t>
      </w:r>
      <w:r w:rsidR="00CA2398">
        <w:t xml:space="preserve">permitting authority </w:t>
      </w:r>
      <w:r>
        <w:t xml:space="preserve">a notice of </w:t>
      </w:r>
      <w:r w:rsidR="00CE6263">
        <w:t>cessation</w:t>
      </w:r>
      <w:r>
        <w:t xml:space="preserve"> is estimated to be </w:t>
      </w:r>
      <w:r w:rsidR="00CE6263">
        <w:t>1</w:t>
      </w:r>
      <w:r>
        <w:t xml:space="preserve"> hour and occurs annually for </w:t>
      </w:r>
      <w:r w:rsidR="00CE6263">
        <w:t>1</w:t>
      </w:r>
      <w:r>
        <w:t xml:space="preserve"> percent of all </w:t>
      </w:r>
      <w:r w:rsidR="00CE6263">
        <w:t xml:space="preserve">non-stormwater general </w:t>
      </w:r>
      <w:r>
        <w:t>permits.</w:t>
      </w:r>
    </w:p>
    <w:p w14:paraId="4983CBF9" w14:textId="0E953F04" w:rsidR="003A6C3A" w:rsidRDefault="003A6C3A" w:rsidP="00DC5D5D">
      <w:r w:rsidRPr="00787D44">
        <w:rPr>
          <w:i/>
        </w:rPr>
        <w:t>States</w:t>
      </w:r>
      <w:r w:rsidRPr="003A6C3A">
        <w:rPr>
          <w:i/>
        </w:rPr>
        <w:t>/federal</w:t>
      </w:r>
      <w:r w:rsidRPr="009059B5">
        <w:t>. The estimated averag</w:t>
      </w:r>
      <w:r>
        <w:t>e time to process each notice 4 hours.</w:t>
      </w:r>
    </w:p>
    <w:p w14:paraId="2965D4C4" w14:textId="32932AED" w:rsidR="00601555" w:rsidRDefault="00C6520E" w:rsidP="00B101A0">
      <w:pPr>
        <w:pStyle w:val="Heading4"/>
      </w:pPr>
      <w:r w:rsidRPr="00C47EE6">
        <w:t>A.1.5</w:t>
      </w:r>
      <w:r w:rsidR="00601555" w:rsidRPr="00C47EE6">
        <w:t>.5</w:t>
      </w:r>
      <w:r w:rsidR="00EB7492" w:rsidRPr="00C47EE6">
        <w:t>.</w:t>
      </w:r>
      <w:r w:rsidR="00601555" w:rsidRPr="00C47EE6">
        <w:t xml:space="preserve"> Pesticides Applicators</w:t>
      </w:r>
    </w:p>
    <w:p w14:paraId="118CE499" w14:textId="786FA547" w:rsidR="00601555" w:rsidRDefault="00601555" w:rsidP="00601555">
      <w:r w:rsidRPr="00CD1C5B">
        <w:t xml:space="preserve">The activities in this category </w:t>
      </w:r>
      <w:r w:rsidR="00D13F7B">
        <w:t xml:space="preserve">are </w:t>
      </w:r>
      <w:r w:rsidRPr="00CD1C5B">
        <w:t>related to</w:t>
      </w:r>
      <w:r>
        <w:t xml:space="preserve"> </w:t>
      </w:r>
      <w:r w:rsidR="006A195A">
        <w:t>g</w:t>
      </w:r>
      <w:r>
        <w:t xml:space="preserve">eneral </w:t>
      </w:r>
      <w:r w:rsidR="006A195A">
        <w:t>p</w:t>
      </w:r>
      <w:r>
        <w:t xml:space="preserve">ermits for </w:t>
      </w:r>
      <w:r w:rsidRPr="00F951D9">
        <w:t>discharges from the application of pesticides</w:t>
      </w:r>
      <w:r>
        <w:t xml:space="preserve"> included in the </w:t>
      </w:r>
      <w:r w:rsidRPr="00F951D9">
        <w:t xml:space="preserve">Pesticide </w:t>
      </w:r>
      <w:r>
        <w:t>Applicators</w:t>
      </w:r>
      <w:r w:rsidRPr="00F951D9">
        <w:t xml:space="preserve"> </w:t>
      </w:r>
      <w:r>
        <w:t xml:space="preserve">ICR </w:t>
      </w:r>
      <w:r w:rsidRPr="00F951D9">
        <w:t xml:space="preserve">(OMB </w:t>
      </w:r>
      <w:r w:rsidR="00437796">
        <w:t>control no.</w:t>
      </w:r>
      <w:r w:rsidRPr="00F951D9">
        <w:t xml:space="preserve"> 20</w:t>
      </w:r>
      <w:r>
        <w:t xml:space="preserve">40-0284; EPA ICR </w:t>
      </w:r>
      <w:r w:rsidR="000106BF">
        <w:t xml:space="preserve">no. </w:t>
      </w:r>
      <w:r>
        <w:t>2397.02</w:t>
      </w:r>
      <w:r w:rsidRPr="00F951D9">
        <w:t>)</w:t>
      </w:r>
      <w:r>
        <w:t>.</w:t>
      </w:r>
      <w:r w:rsidRPr="00F951D9">
        <w:t xml:space="preserve"> All activities </w:t>
      </w:r>
      <w:r>
        <w:t xml:space="preserve">are related to either the estimated 365,000 </w:t>
      </w:r>
      <w:r w:rsidR="009673F2">
        <w:t xml:space="preserve">pesticide applicators </w:t>
      </w:r>
      <w:r>
        <w:t>or the NPDES authorized states.</w:t>
      </w:r>
      <w:r w:rsidRPr="00560318">
        <w:t xml:space="preserve"> Burden estimat</w:t>
      </w:r>
      <w:r>
        <w:t>es</w:t>
      </w:r>
      <w:r w:rsidRPr="00560318">
        <w:t xml:space="preserve"> were derived for the total responses</w:t>
      </w:r>
      <w:r>
        <w:t xml:space="preserve"> </w:t>
      </w:r>
      <w:r w:rsidRPr="00560318">
        <w:t>and total burden hours for each respondent type.</w:t>
      </w:r>
      <w:r w:rsidRPr="00C92C97">
        <w:t xml:space="preserve"> There were no </w:t>
      </w:r>
      <w:r>
        <w:t xml:space="preserve">O&amp;M, </w:t>
      </w:r>
      <w:r w:rsidRPr="00C92C97">
        <w:t>capital</w:t>
      </w:r>
      <w:r w:rsidR="006A195A">
        <w:t>,</w:t>
      </w:r>
      <w:r w:rsidRPr="00C92C97">
        <w:t xml:space="preserve"> or start-up costs</w:t>
      </w:r>
      <w:r>
        <w:t>.</w:t>
      </w:r>
      <w:r w:rsidRPr="00560318">
        <w:t xml:space="preserve"> </w:t>
      </w:r>
      <w:r w:rsidRPr="00400773">
        <w:t xml:space="preserve">These estimates were then updated based on </w:t>
      </w:r>
      <w:r w:rsidR="00D13F7B">
        <w:t xml:space="preserve">a </w:t>
      </w:r>
      <w:r w:rsidRPr="00400773">
        <w:t>current estimate</w:t>
      </w:r>
      <w:r>
        <w:t xml:space="preserve"> </w:t>
      </w:r>
      <w:r w:rsidRPr="00400773">
        <w:t xml:space="preserve">of the number of </w:t>
      </w:r>
      <w:r>
        <w:t>pesticide applicators and number of authorized states</w:t>
      </w:r>
      <w:r w:rsidRPr="00772153">
        <w:t xml:space="preserve"> shown in Appendix D</w:t>
      </w:r>
      <w:r>
        <w:t>.</w:t>
      </w:r>
      <w:r w:rsidRPr="00221DA9">
        <w:t xml:space="preserve"> </w:t>
      </w:r>
      <w:r>
        <w:t xml:space="preserve">Burden estimates are associated with </w:t>
      </w:r>
      <w:r w:rsidR="00D13F7B">
        <w:t xml:space="preserve">the following </w:t>
      </w:r>
      <w:r w:rsidR="00410677">
        <w:t>four</w:t>
      </w:r>
      <w:r>
        <w:t xml:space="preserve"> types of activities related to the NPDES program:</w:t>
      </w:r>
    </w:p>
    <w:p w14:paraId="652A8431" w14:textId="3D250656" w:rsidR="00601555" w:rsidRDefault="00601555" w:rsidP="00601555">
      <w:pPr>
        <w:pStyle w:val="ListParagraph"/>
        <w:numPr>
          <w:ilvl w:val="0"/>
          <w:numId w:val="28"/>
        </w:numPr>
      </w:pPr>
      <w:r>
        <w:t>Activities directly related to obtaining coverage under a general permit</w:t>
      </w:r>
      <w:r w:rsidR="00410677">
        <w:t xml:space="preserve"> (e.g., NOI)</w:t>
      </w:r>
      <w:r w:rsidR="006A195A">
        <w:t>;</w:t>
      </w:r>
    </w:p>
    <w:p w14:paraId="2B1E3800" w14:textId="4FE49CFC" w:rsidR="00601555" w:rsidRDefault="00601555" w:rsidP="00601555">
      <w:pPr>
        <w:pStyle w:val="ListParagraph"/>
        <w:numPr>
          <w:ilvl w:val="0"/>
          <w:numId w:val="28"/>
        </w:numPr>
      </w:pPr>
      <w:r>
        <w:t>Activities associated with development of a plan (or worksheet)</w:t>
      </w:r>
      <w:r w:rsidR="006A195A">
        <w:t>;</w:t>
      </w:r>
    </w:p>
    <w:p w14:paraId="41571691" w14:textId="1067559A" w:rsidR="00601555" w:rsidRDefault="00601555" w:rsidP="00601555">
      <w:pPr>
        <w:pStyle w:val="ListParagraph"/>
        <w:numPr>
          <w:ilvl w:val="0"/>
          <w:numId w:val="28"/>
        </w:numPr>
      </w:pPr>
      <w:r>
        <w:t>Monitoring</w:t>
      </w:r>
      <w:r w:rsidR="006A195A">
        <w:t>; and</w:t>
      </w:r>
    </w:p>
    <w:p w14:paraId="697F882A" w14:textId="77777777" w:rsidR="0085470C" w:rsidRDefault="00601555" w:rsidP="00601555">
      <w:pPr>
        <w:pStyle w:val="ListParagraph"/>
        <w:numPr>
          <w:ilvl w:val="0"/>
          <w:numId w:val="28"/>
        </w:numPr>
      </w:pPr>
      <w:r>
        <w:t>Reporting</w:t>
      </w:r>
      <w:r w:rsidR="006A195A">
        <w:t>.</w:t>
      </w:r>
    </w:p>
    <w:p w14:paraId="657EDA4C" w14:textId="77777777" w:rsidR="0085470C" w:rsidRDefault="00601555" w:rsidP="00601555">
      <w:r>
        <w:t>Underlying assumptions regarding burden estimates are described below</w:t>
      </w:r>
      <w:r w:rsidR="00F17D04">
        <w:t>.</w:t>
      </w:r>
    </w:p>
    <w:p w14:paraId="49D83603" w14:textId="003AA955" w:rsidR="00601555" w:rsidRPr="003D16AA" w:rsidRDefault="00601555" w:rsidP="00B101A0">
      <w:pPr>
        <w:pStyle w:val="Heading5"/>
      </w:pPr>
      <w:r w:rsidRPr="003D16AA">
        <w:t xml:space="preserve">Pesticide Applicator General Permit NOI filing </w:t>
      </w:r>
    </w:p>
    <w:p w14:paraId="7F6F863A" w14:textId="6BAD9BF5" w:rsidR="0085470C" w:rsidRDefault="00CE6263" w:rsidP="00601555">
      <w:r w:rsidRPr="00786C04">
        <w:rPr>
          <w:i/>
        </w:rPr>
        <w:t>Permittees.</w:t>
      </w:r>
      <w:r w:rsidRPr="00CE6263">
        <w:t xml:space="preserve"> </w:t>
      </w:r>
      <w:r w:rsidR="001B4C30">
        <w:t xml:space="preserve">NPDES regulations at 40 CFR 122.28(b)(2) require submission of an NOI for coverage under a general permit. </w:t>
      </w:r>
      <w:r w:rsidR="00601555" w:rsidRPr="002C4D4C">
        <w:t>Pe</w:t>
      </w:r>
      <w:r w:rsidR="00AB62D4" w:rsidRPr="002C4D4C">
        <w:t>sticide applicators</w:t>
      </w:r>
      <w:r w:rsidR="00601555">
        <w:t xml:space="preserve"> will take 2 hours to complete</w:t>
      </w:r>
      <w:r w:rsidR="004D2333">
        <w:t xml:space="preserve"> each NOI</w:t>
      </w:r>
      <w:r w:rsidR="00601555">
        <w:t>. EPA estimates 0.05 percent will require formal ESA-related evaluation by the Services (20 hours) and 0.1 percent requires an informal evaluation by the Services (6 hours).</w:t>
      </w:r>
      <w:r w:rsidRPr="00CE6263">
        <w:t xml:space="preserve"> An estimated 2.5 percent of </w:t>
      </w:r>
      <w:r w:rsidR="00175000">
        <w:t xml:space="preserve">the </w:t>
      </w:r>
      <w:r w:rsidRPr="00CE6263">
        <w:t>regulated universe will need to file an NOI.</w:t>
      </w:r>
      <w:r w:rsidR="00020501">
        <w:t xml:space="preserve"> The PGP designates </w:t>
      </w:r>
      <w:r w:rsidR="00FC5FCD">
        <w:t>specific applicators required to submit an NOI.</w:t>
      </w:r>
    </w:p>
    <w:p w14:paraId="4EA6F63E" w14:textId="77777777" w:rsidR="0085470C" w:rsidRDefault="004D2333" w:rsidP="00601555">
      <w:r w:rsidRPr="009616EC">
        <w:rPr>
          <w:i/>
        </w:rPr>
        <w:t>States/federal</w:t>
      </w:r>
      <w:r w:rsidRPr="009616EC">
        <w:t xml:space="preserve">. </w:t>
      </w:r>
      <w:r>
        <w:t>P</w:t>
      </w:r>
      <w:r w:rsidRPr="009616EC">
        <w:t>ermitting authorities will spend 0.5 hours processing each NOI</w:t>
      </w:r>
      <w:r>
        <w:t>.</w:t>
      </w:r>
    </w:p>
    <w:p w14:paraId="36411E1F" w14:textId="727A088D" w:rsidR="00601555" w:rsidRPr="003D16AA" w:rsidRDefault="00601555" w:rsidP="00B101A0">
      <w:pPr>
        <w:pStyle w:val="Heading5"/>
      </w:pPr>
      <w:r w:rsidRPr="003D16AA">
        <w:t xml:space="preserve">Pesticide Applicator General Permit NOT filing </w:t>
      </w:r>
    </w:p>
    <w:p w14:paraId="4E2E2BFC" w14:textId="3CEFD865" w:rsidR="00CE6263" w:rsidRDefault="00CE6263" w:rsidP="00601555">
      <w:r w:rsidRPr="00787D44">
        <w:rPr>
          <w:i/>
        </w:rPr>
        <w:t>Permittees.</w:t>
      </w:r>
      <w:r w:rsidRPr="00CE6263">
        <w:t xml:space="preserve"> </w:t>
      </w:r>
      <w:r w:rsidR="008B2C94">
        <w:t>T</w:t>
      </w:r>
      <w:r w:rsidR="008B2C94" w:rsidRPr="008B2C94">
        <w:t xml:space="preserve">he PGP requires submission of a Notice of Termination (NOT) form within 30 days of the occurrence of one of several different triggering events identified in the </w:t>
      </w:r>
      <w:r w:rsidR="008B2C94">
        <w:t>permit</w:t>
      </w:r>
      <w:r w:rsidR="008B2C94" w:rsidRPr="008B2C94">
        <w:t>.</w:t>
      </w:r>
      <w:r w:rsidR="008B2C94">
        <w:t xml:space="preserve"> </w:t>
      </w:r>
      <w:r w:rsidR="00601555">
        <w:t>P</w:t>
      </w:r>
      <w:r w:rsidR="00601555" w:rsidRPr="00D82146">
        <w:t>e</w:t>
      </w:r>
      <w:r w:rsidR="00B86EC0">
        <w:t>sticide applicators</w:t>
      </w:r>
      <w:r w:rsidR="00601555" w:rsidRPr="00D82146">
        <w:t xml:space="preserve"> will spend 0.5 hours filling out an NOT</w:t>
      </w:r>
      <w:r w:rsidR="00601555">
        <w:t>.</w:t>
      </w:r>
      <w:r w:rsidR="00FC5FCD">
        <w:t xml:space="preserve"> As stated above, only certain applicators are required to file an NOI and thus an NOT; representing an estimated 2.5 percent of the regulated universe.</w:t>
      </w:r>
      <w:r w:rsidR="00601555" w:rsidRPr="00D82146">
        <w:t xml:space="preserve"> </w:t>
      </w:r>
    </w:p>
    <w:p w14:paraId="3E06F509" w14:textId="40F9F87A" w:rsidR="0085470C" w:rsidRDefault="00CE6263" w:rsidP="00601555">
      <w:r w:rsidRPr="00786C04">
        <w:rPr>
          <w:i/>
        </w:rPr>
        <w:t>States</w:t>
      </w:r>
      <w:r w:rsidR="004D2333">
        <w:rPr>
          <w:i/>
        </w:rPr>
        <w:t>/federal</w:t>
      </w:r>
      <w:r w:rsidR="00D2564C">
        <w:t>.</w:t>
      </w:r>
      <w:r>
        <w:t xml:space="preserve"> </w:t>
      </w:r>
      <w:r w:rsidR="00601555">
        <w:t xml:space="preserve">Permitting authorities will spend 0.25 hours processing each NOT. </w:t>
      </w:r>
    </w:p>
    <w:p w14:paraId="38133B2F" w14:textId="637C9903" w:rsidR="00601555" w:rsidRPr="00410677" w:rsidRDefault="00601555" w:rsidP="00B101A0">
      <w:pPr>
        <w:pStyle w:val="Heading5"/>
      </w:pPr>
      <w:r w:rsidRPr="00410677">
        <w:t>Plan Development</w:t>
      </w:r>
    </w:p>
    <w:p w14:paraId="6DA4330A" w14:textId="7E1DE37D" w:rsidR="0085470C" w:rsidRDefault="004D2333" w:rsidP="00601555">
      <w:r w:rsidRPr="009616EC">
        <w:rPr>
          <w:i/>
        </w:rPr>
        <w:t>Permittees</w:t>
      </w:r>
      <w:r>
        <w:t xml:space="preserve">. </w:t>
      </w:r>
      <w:r w:rsidR="0013504C">
        <w:t xml:space="preserve">The PGP requires certain NOI filers to develop a Pesticide Discharge Management Plan. </w:t>
      </w:r>
      <w:r w:rsidR="00601555" w:rsidRPr="00C5191F">
        <w:t xml:space="preserve">Fifty three percent </w:t>
      </w:r>
      <w:r w:rsidR="00601555">
        <w:t xml:space="preserve">of NOI filers will </w:t>
      </w:r>
      <w:r w:rsidR="00601555" w:rsidRPr="00D82146">
        <w:t xml:space="preserve">be required to develop a Pesticide </w:t>
      </w:r>
      <w:r w:rsidR="00601555">
        <w:t xml:space="preserve">Discharge Management Plan (40 hours). Twenty five percent </w:t>
      </w:r>
      <w:r w:rsidR="008F7686">
        <w:t xml:space="preserve">of the plans </w:t>
      </w:r>
      <w:r w:rsidR="00601555" w:rsidRPr="00D82146">
        <w:t>will be updated annually with the average time of 2 hours</w:t>
      </w:r>
      <w:r w:rsidR="00601555">
        <w:t>.</w:t>
      </w:r>
    </w:p>
    <w:p w14:paraId="3A5F1604" w14:textId="442BD90A" w:rsidR="0085470C" w:rsidRDefault="00227945" w:rsidP="00601555">
      <w:pPr>
        <w:rPr>
          <w:b/>
          <w:u w:val="single"/>
        </w:rPr>
      </w:pPr>
      <w:r w:rsidRPr="00786C04">
        <w:rPr>
          <w:i/>
        </w:rPr>
        <w:t>States</w:t>
      </w:r>
      <w:r>
        <w:rPr>
          <w:i/>
        </w:rPr>
        <w:t xml:space="preserve">/federal. </w:t>
      </w:r>
      <w:r>
        <w:t xml:space="preserve">State/federal activities related to </w:t>
      </w:r>
      <w:r w:rsidRPr="00227945">
        <w:t>Pesticide Discharge Management Plan</w:t>
      </w:r>
      <w:r>
        <w:t xml:space="preserve">s </w:t>
      </w:r>
      <w:r w:rsidR="00E86425">
        <w:t>are</w:t>
      </w:r>
      <w:r>
        <w:t xml:space="preserve"> covered</w:t>
      </w:r>
      <w:r>
        <w:rPr>
          <w:i/>
        </w:rPr>
        <w:t xml:space="preserve"> </w:t>
      </w:r>
      <w:r>
        <w:t>under the NOI section.</w:t>
      </w:r>
    </w:p>
    <w:p w14:paraId="066FC099" w14:textId="530322E9" w:rsidR="00F47B1E" w:rsidRPr="003D16AA" w:rsidRDefault="00504780" w:rsidP="0052681B">
      <w:pPr>
        <w:pStyle w:val="Heading5"/>
      </w:pPr>
      <w:r>
        <w:t xml:space="preserve">Permittee </w:t>
      </w:r>
      <w:r w:rsidR="00F47B1E" w:rsidRPr="003D16AA">
        <w:t>Monitoring</w:t>
      </w:r>
    </w:p>
    <w:p w14:paraId="3F012189" w14:textId="3C8EE0D2" w:rsidR="0085470C" w:rsidRDefault="00F47B1E" w:rsidP="00F47B1E">
      <w:r w:rsidRPr="00786C04">
        <w:rPr>
          <w:i/>
        </w:rPr>
        <w:t>Permittees</w:t>
      </w:r>
      <w:r>
        <w:rPr>
          <w:i/>
        </w:rPr>
        <w:t>.</w:t>
      </w:r>
      <w:r>
        <w:t xml:space="preserve"> </w:t>
      </w:r>
      <w:r w:rsidR="0013504C" w:rsidRPr="0013504C">
        <w:t>Monitoring is required in any NPDES permit to demonstrate compliance with the permit conditions. Monitoring requirements apply from the time any authorized Operator begins discharging under the PGP.</w:t>
      </w:r>
      <w:r w:rsidR="0013504C">
        <w:t xml:space="preserve"> </w:t>
      </w:r>
      <w:r>
        <w:t>Estimated time to perform monitoring ranges from 1 to 16 times per year depending on size of operation. Each monitoring activity is estimated to take 0.25 hours.</w:t>
      </w:r>
    </w:p>
    <w:p w14:paraId="05791239" w14:textId="77777777" w:rsidR="0085470C" w:rsidRDefault="00227945" w:rsidP="00F47B1E">
      <w:r w:rsidRPr="00786C04">
        <w:rPr>
          <w:i/>
        </w:rPr>
        <w:t>States</w:t>
      </w:r>
      <w:r>
        <w:rPr>
          <w:i/>
        </w:rPr>
        <w:t xml:space="preserve">/federal. </w:t>
      </w:r>
      <w:r>
        <w:t xml:space="preserve">State/federal activities related to monitoring data </w:t>
      </w:r>
      <w:r w:rsidR="00E86425">
        <w:t>are</w:t>
      </w:r>
      <w:r>
        <w:t xml:space="preserve"> covered under the </w:t>
      </w:r>
      <w:r w:rsidR="009704B4">
        <w:t>reports section below.</w:t>
      </w:r>
    </w:p>
    <w:p w14:paraId="5EECA284" w14:textId="4808678B" w:rsidR="00601555" w:rsidRPr="00410677" w:rsidRDefault="00601555" w:rsidP="0052681B">
      <w:pPr>
        <w:pStyle w:val="Heading5"/>
      </w:pPr>
      <w:r w:rsidRPr="00410677">
        <w:t>Reports</w:t>
      </w:r>
    </w:p>
    <w:p w14:paraId="6729CB12" w14:textId="76BEDBA8" w:rsidR="0085470C" w:rsidRDefault="004D2333" w:rsidP="00601555">
      <w:r w:rsidRPr="009616EC">
        <w:rPr>
          <w:i/>
        </w:rPr>
        <w:t>Permittees/states/federal.</w:t>
      </w:r>
      <w:r>
        <w:t xml:space="preserve"> </w:t>
      </w:r>
      <w:r w:rsidR="0013504C">
        <w:t xml:space="preserve">The PGP requires the submission of various reports, among them, an annual report, adverse incident report, reports of planned changes, and reports of noncompliance. </w:t>
      </w:r>
      <w:r w:rsidR="00352E6F">
        <w:t>Table A.5</w:t>
      </w:r>
      <w:r w:rsidR="00601555" w:rsidRPr="00C5191F">
        <w:t xml:space="preserve"> below presents a summary of assumptions regarding report submissions</w:t>
      </w:r>
      <w:r>
        <w:t>.</w:t>
      </w:r>
    </w:p>
    <w:p w14:paraId="5FA445D2" w14:textId="0C8124A1" w:rsidR="00601555" w:rsidRDefault="00352E6F" w:rsidP="00871F94">
      <w:pPr>
        <w:pStyle w:val="Caption"/>
      </w:pPr>
      <w:r>
        <w:t xml:space="preserve">Table A.5 Assumptions for </w:t>
      </w:r>
      <w:r w:rsidR="000C1DE6">
        <w:t>P</w:t>
      </w:r>
      <w:r w:rsidR="006A195A">
        <w:t xml:space="preserve">esticide </w:t>
      </w:r>
      <w:r w:rsidR="000C1DE6">
        <w:t>A</w:t>
      </w:r>
      <w:r w:rsidR="006A195A">
        <w:t xml:space="preserve">pplicator </w:t>
      </w:r>
      <w:r w:rsidR="000C1DE6">
        <w:t>R</w:t>
      </w:r>
      <w:r w:rsidR="006A195A">
        <w:t>eports</w:t>
      </w:r>
    </w:p>
    <w:tbl>
      <w:tblPr>
        <w:tblStyle w:val="TableGrid"/>
        <w:tblW w:w="0" w:type="auto"/>
        <w:tblLook w:val="04A0" w:firstRow="1" w:lastRow="0" w:firstColumn="1" w:lastColumn="0" w:noHBand="0" w:noVBand="1"/>
      </w:tblPr>
      <w:tblGrid>
        <w:gridCol w:w="3456"/>
        <w:gridCol w:w="1379"/>
        <w:gridCol w:w="1136"/>
        <w:gridCol w:w="1150"/>
      </w:tblGrid>
      <w:tr w:rsidR="00601555" w14:paraId="67D16D7D" w14:textId="77777777" w:rsidTr="00410677">
        <w:tc>
          <w:tcPr>
            <w:tcW w:w="3456" w:type="dxa"/>
            <w:shd w:val="clear" w:color="auto" w:fill="D9D9D9" w:themeFill="background1" w:themeFillShade="D9"/>
          </w:tcPr>
          <w:p w14:paraId="3C177F60" w14:textId="77777777" w:rsidR="00601555" w:rsidRPr="00410677" w:rsidRDefault="00601555" w:rsidP="00A30867">
            <w:pPr>
              <w:pStyle w:val="TableTitle"/>
            </w:pPr>
            <w:r w:rsidRPr="00410677">
              <w:t>Report</w:t>
            </w:r>
          </w:p>
        </w:tc>
        <w:tc>
          <w:tcPr>
            <w:tcW w:w="1379" w:type="dxa"/>
            <w:shd w:val="clear" w:color="auto" w:fill="D9D9D9" w:themeFill="background1" w:themeFillShade="D9"/>
          </w:tcPr>
          <w:p w14:paraId="6C7E69E7" w14:textId="37AB94B1" w:rsidR="00601555" w:rsidRPr="00410677" w:rsidRDefault="00601555" w:rsidP="00A30867">
            <w:pPr>
              <w:pStyle w:val="TableTitle"/>
            </w:pPr>
            <w:r w:rsidRPr="00410677">
              <w:t xml:space="preserve">Percent of </w:t>
            </w:r>
            <w:r w:rsidR="000C1DE6">
              <w:t>P</w:t>
            </w:r>
            <w:r w:rsidR="006A195A" w:rsidRPr="00410677">
              <w:t>ermittees</w:t>
            </w:r>
          </w:p>
        </w:tc>
        <w:tc>
          <w:tcPr>
            <w:tcW w:w="1136" w:type="dxa"/>
            <w:shd w:val="clear" w:color="auto" w:fill="D9D9D9" w:themeFill="background1" w:themeFillShade="D9"/>
          </w:tcPr>
          <w:p w14:paraId="48B1AF90" w14:textId="251AE504" w:rsidR="00601555" w:rsidRPr="00410677" w:rsidRDefault="00601555" w:rsidP="00A30867">
            <w:pPr>
              <w:pStyle w:val="TableTitle"/>
            </w:pPr>
            <w:r w:rsidRPr="00410677">
              <w:t xml:space="preserve">Permittee </w:t>
            </w:r>
            <w:r w:rsidR="000C1DE6">
              <w:t>H</w:t>
            </w:r>
            <w:r w:rsidR="006A195A" w:rsidRPr="00410677">
              <w:t>ours</w:t>
            </w:r>
          </w:p>
        </w:tc>
        <w:tc>
          <w:tcPr>
            <w:tcW w:w="1150" w:type="dxa"/>
            <w:shd w:val="clear" w:color="auto" w:fill="D9D9D9" w:themeFill="background1" w:themeFillShade="D9"/>
          </w:tcPr>
          <w:p w14:paraId="63A90FD6" w14:textId="59CF59B0" w:rsidR="00601555" w:rsidRPr="00410677" w:rsidRDefault="00601555" w:rsidP="00A30867">
            <w:pPr>
              <w:pStyle w:val="TableTitle"/>
            </w:pPr>
            <w:r w:rsidRPr="00410677">
              <w:t xml:space="preserve">Permit </w:t>
            </w:r>
            <w:r w:rsidR="000C1DE6">
              <w:t>A</w:t>
            </w:r>
            <w:r w:rsidR="006A195A" w:rsidRPr="00410677">
              <w:t xml:space="preserve">uthority </w:t>
            </w:r>
            <w:r w:rsidR="000C1DE6">
              <w:t>H</w:t>
            </w:r>
            <w:r w:rsidR="006A195A" w:rsidRPr="00410677">
              <w:t>ours</w:t>
            </w:r>
            <w:r w:rsidR="004D2333" w:rsidRPr="009616EC">
              <w:rPr>
                <w:vertAlign w:val="superscript"/>
              </w:rPr>
              <w:t>a</w:t>
            </w:r>
          </w:p>
        </w:tc>
      </w:tr>
      <w:tr w:rsidR="00601555" w14:paraId="2169F37B" w14:textId="77777777" w:rsidTr="00A30867">
        <w:tc>
          <w:tcPr>
            <w:tcW w:w="3456" w:type="dxa"/>
          </w:tcPr>
          <w:p w14:paraId="68625210" w14:textId="51D597AE" w:rsidR="00601555" w:rsidRPr="00410677" w:rsidRDefault="00601555" w:rsidP="00A30867">
            <w:pPr>
              <w:pStyle w:val="Tables"/>
            </w:pPr>
            <w:r w:rsidRPr="00410677">
              <w:t xml:space="preserve">Annual </w:t>
            </w:r>
            <w:r w:rsidR="006A195A" w:rsidRPr="00410677">
              <w:t>report</w:t>
            </w:r>
          </w:p>
        </w:tc>
        <w:tc>
          <w:tcPr>
            <w:tcW w:w="1379" w:type="dxa"/>
          </w:tcPr>
          <w:p w14:paraId="1EF3211B" w14:textId="15C204F5" w:rsidR="00601555" w:rsidRPr="00410677" w:rsidRDefault="00A30867" w:rsidP="00A30867">
            <w:pPr>
              <w:pStyle w:val="Tables"/>
              <w:tabs>
                <w:tab w:val="decimal" w:pos="571"/>
              </w:tabs>
            </w:pPr>
            <w:r>
              <w:tab/>
            </w:r>
            <w:r w:rsidR="00601555" w:rsidRPr="00410677">
              <w:t>1</w:t>
            </w:r>
            <w:r w:rsidR="00F67CCD">
              <w:t>.4</w:t>
            </w:r>
            <w:r w:rsidR="00601555" w:rsidRPr="00410677">
              <w:t>%</w:t>
            </w:r>
          </w:p>
        </w:tc>
        <w:tc>
          <w:tcPr>
            <w:tcW w:w="1136" w:type="dxa"/>
          </w:tcPr>
          <w:p w14:paraId="7049D4DC" w14:textId="77777777" w:rsidR="00601555" w:rsidRPr="00410677" w:rsidRDefault="00601555" w:rsidP="00A30867">
            <w:pPr>
              <w:pStyle w:val="Tables"/>
              <w:jc w:val="right"/>
            </w:pPr>
            <w:r w:rsidRPr="00410677">
              <w:t>8</w:t>
            </w:r>
          </w:p>
        </w:tc>
        <w:tc>
          <w:tcPr>
            <w:tcW w:w="1150" w:type="dxa"/>
          </w:tcPr>
          <w:p w14:paraId="5B77E3C5" w14:textId="77777777" w:rsidR="00601555" w:rsidRPr="00410677" w:rsidRDefault="00601555" w:rsidP="00A30867">
            <w:pPr>
              <w:pStyle w:val="Tables"/>
              <w:jc w:val="right"/>
            </w:pPr>
            <w:r w:rsidRPr="00410677">
              <w:t>1</w:t>
            </w:r>
          </w:p>
        </w:tc>
      </w:tr>
      <w:tr w:rsidR="00601555" w14:paraId="51BFA4E0" w14:textId="77777777" w:rsidTr="00A30867">
        <w:tc>
          <w:tcPr>
            <w:tcW w:w="3456" w:type="dxa"/>
          </w:tcPr>
          <w:p w14:paraId="78AE7346" w14:textId="0A28BC5D" w:rsidR="00601555" w:rsidRPr="00410677" w:rsidRDefault="00601555" w:rsidP="00A30867">
            <w:pPr>
              <w:pStyle w:val="Tables"/>
            </w:pPr>
            <w:r w:rsidRPr="00410677">
              <w:t xml:space="preserve">Adverse </w:t>
            </w:r>
            <w:r w:rsidR="006A195A" w:rsidRPr="00410677">
              <w:t>incident</w:t>
            </w:r>
          </w:p>
        </w:tc>
        <w:tc>
          <w:tcPr>
            <w:tcW w:w="1379" w:type="dxa"/>
          </w:tcPr>
          <w:p w14:paraId="57892A1B" w14:textId="738EB4B4" w:rsidR="00601555" w:rsidRPr="00410677" w:rsidRDefault="00A30867" w:rsidP="00A30867">
            <w:pPr>
              <w:pStyle w:val="Tables"/>
              <w:tabs>
                <w:tab w:val="decimal" w:pos="571"/>
              </w:tabs>
            </w:pPr>
            <w:r>
              <w:tab/>
            </w:r>
            <w:r w:rsidR="00601555" w:rsidRPr="00410677">
              <w:t>0.01%</w:t>
            </w:r>
          </w:p>
        </w:tc>
        <w:tc>
          <w:tcPr>
            <w:tcW w:w="1136" w:type="dxa"/>
          </w:tcPr>
          <w:p w14:paraId="44213A61" w14:textId="77777777" w:rsidR="00601555" w:rsidRPr="00410677" w:rsidRDefault="00601555" w:rsidP="00A30867">
            <w:pPr>
              <w:pStyle w:val="Tables"/>
              <w:jc w:val="right"/>
            </w:pPr>
            <w:r w:rsidRPr="00410677">
              <w:t>4</w:t>
            </w:r>
          </w:p>
        </w:tc>
        <w:tc>
          <w:tcPr>
            <w:tcW w:w="1150" w:type="dxa"/>
          </w:tcPr>
          <w:p w14:paraId="49C97CA5" w14:textId="77777777" w:rsidR="00601555" w:rsidRPr="00410677" w:rsidRDefault="00601555" w:rsidP="00A30867">
            <w:pPr>
              <w:pStyle w:val="Tables"/>
              <w:jc w:val="right"/>
            </w:pPr>
            <w:r w:rsidRPr="00410677">
              <w:t>2</w:t>
            </w:r>
          </w:p>
        </w:tc>
      </w:tr>
      <w:tr w:rsidR="00601555" w14:paraId="623386CC" w14:textId="77777777" w:rsidTr="00A30867">
        <w:tc>
          <w:tcPr>
            <w:tcW w:w="3456" w:type="dxa"/>
          </w:tcPr>
          <w:p w14:paraId="40250489" w14:textId="57CF0091" w:rsidR="00601555" w:rsidRPr="00410677" w:rsidRDefault="00601555" w:rsidP="00A30867">
            <w:pPr>
              <w:pStyle w:val="Tables"/>
            </w:pPr>
            <w:r w:rsidRPr="00410677">
              <w:t xml:space="preserve">Corrective </w:t>
            </w:r>
            <w:r w:rsidR="006A195A" w:rsidRPr="00410677">
              <w:t>action</w:t>
            </w:r>
          </w:p>
        </w:tc>
        <w:tc>
          <w:tcPr>
            <w:tcW w:w="1379" w:type="dxa"/>
          </w:tcPr>
          <w:p w14:paraId="672BC978" w14:textId="43FEE690" w:rsidR="00601555" w:rsidRPr="00410677" w:rsidRDefault="00A30867" w:rsidP="00A30867">
            <w:pPr>
              <w:pStyle w:val="Tables"/>
              <w:tabs>
                <w:tab w:val="decimal" w:pos="571"/>
              </w:tabs>
            </w:pPr>
            <w:r>
              <w:tab/>
            </w:r>
            <w:r w:rsidR="00601555" w:rsidRPr="00410677">
              <w:t>0.1%</w:t>
            </w:r>
          </w:p>
        </w:tc>
        <w:tc>
          <w:tcPr>
            <w:tcW w:w="1136" w:type="dxa"/>
          </w:tcPr>
          <w:p w14:paraId="15DCE84C" w14:textId="77777777" w:rsidR="00601555" w:rsidRPr="00410677" w:rsidRDefault="00601555" w:rsidP="00A30867">
            <w:pPr>
              <w:pStyle w:val="Tables"/>
              <w:jc w:val="right"/>
            </w:pPr>
            <w:r w:rsidRPr="00410677">
              <w:t>5</w:t>
            </w:r>
          </w:p>
        </w:tc>
        <w:tc>
          <w:tcPr>
            <w:tcW w:w="1150" w:type="dxa"/>
          </w:tcPr>
          <w:p w14:paraId="56C86E12" w14:textId="638926D4" w:rsidR="00601555" w:rsidRPr="00410677" w:rsidRDefault="00044771" w:rsidP="00A30867">
            <w:pPr>
              <w:pStyle w:val="Tables"/>
              <w:jc w:val="right"/>
            </w:pPr>
            <w:r>
              <w:t>0</w:t>
            </w:r>
          </w:p>
        </w:tc>
      </w:tr>
      <w:tr w:rsidR="00601555" w14:paraId="094A504A" w14:textId="77777777" w:rsidTr="00A30867">
        <w:tc>
          <w:tcPr>
            <w:tcW w:w="3456" w:type="dxa"/>
          </w:tcPr>
          <w:p w14:paraId="6DC72D47" w14:textId="61796C39" w:rsidR="00601555" w:rsidRPr="00410677" w:rsidRDefault="00601555" w:rsidP="00A30867">
            <w:pPr>
              <w:pStyle w:val="Tables"/>
            </w:pPr>
            <w:r w:rsidRPr="00410677">
              <w:t xml:space="preserve">Planned </w:t>
            </w:r>
            <w:r w:rsidR="006A195A" w:rsidRPr="00410677">
              <w:t>facility changes</w:t>
            </w:r>
          </w:p>
        </w:tc>
        <w:tc>
          <w:tcPr>
            <w:tcW w:w="1379" w:type="dxa"/>
          </w:tcPr>
          <w:p w14:paraId="0D20EF96" w14:textId="3A1C7255" w:rsidR="00601555" w:rsidRPr="00410677" w:rsidRDefault="00A30867" w:rsidP="00A30867">
            <w:pPr>
              <w:pStyle w:val="Tables"/>
              <w:tabs>
                <w:tab w:val="decimal" w:pos="571"/>
              </w:tabs>
            </w:pPr>
            <w:r>
              <w:tab/>
            </w:r>
            <w:r w:rsidR="00601555" w:rsidRPr="00410677">
              <w:t>0.1%</w:t>
            </w:r>
          </w:p>
        </w:tc>
        <w:tc>
          <w:tcPr>
            <w:tcW w:w="1136" w:type="dxa"/>
          </w:tcPr>
          <w:p w14:paraId="43940B75" w14:textId="77777777" w:rsidR="00601555" w:rsidRPr="00410677" w:rsidRDefault="00601555" w:rsidP="00A30867">
            <w:pPr>
              <w:pStyle w:val="Tables"/>
              <w:jc w:val="right"/>
            </w:pPr>
            <w:r w:rsidRPr="00410677">
              <w:t>4</w:t>
            </w:r>
          </w:p>
        </w:tc>
        <w:tc>
          <w:tcPr>
            <w:tcW w:w="1150" w:type="dxa"/>
          </w:tcPr>
          <w:p w14:paraId="218869AA" w14:textId="77777777" w:rsidR="00601555" w:rsidRPr="00410677" w:rsidRDefault="00601555" w:rsidP="00A30867">
            <w:pPr>
              <w:pStyle w:val="Tables"/>
              <w:jc w:val="right"/>
            </w:pPr>
            <w:r w:rsidRPr="00410677">
              <w:t>0.5</w:t>
            </w:r>
          </w:p>
        </w:tc>
      </w:tr>
      <w:tr w:rsidR="00601555" w14:paraId="5565D348" w14:textId="77777777" w:rsidTr="00A30867">
        <w:tc>
          <w:tcPr>
            <w:tcW w:w="3456" w:type="dxa"/>
          </w:tcPr>
          <w:p w14:paraId="02F6DCD6" w14:textId="0A399EC0" w:rsidR="00601555" w:rsidRPr="00410677" w:rsidRDefault="00601555" w:rsidP="00A30867">
            <w:pPr>
              <w:pStyle w:val="Tables"/>
            </w:pPr>
            <w:r w:rsidRPr="00410677">
              <w:t xml:space="preserve">Anticipated </w:t>
            </w:r>
            <w:r w:rsidR="006A195A" w:rsidRPr="00410677">
              <w:t>noncompliance</w:t>
            </w:r>
          </w:p>
        </w:tc>
        <w:tc>
          <w:tcPr>
            <w:tcW w:w="1379" w:type="dxa"/>
          </w:tcPr>
          <w:p w14:paraId="5382A8D3" w14:textId="6F825898" w:rsidR="00601555" w:rsidRPr="00410677" w:rsidRDefault="00A30867" w:rsidP="00A30867">
            <w:pPr>
              <w:pStyle w:val="Tables"/>
              <w:tabs>
                <w:tab w:val="decimal" w:pos="571"/>
              </w:tabs>
            </w:pPr>
            <w:r>
              <w:tab/>
            </w:r>
            <w:r w:rsidR="00601555" w:rsidRPr="00410677">
              <w:t>0.1%</w:t>
            </w:r>
          </w:p>
        </w:tc>
        <w:tc>
          <w:tcPr>
            <w:tcW w:w="1136" w:type="dxa"/>
          </w:tcPr>
          <w:p w14:paraId="56939180" w14:textId="77777777" w:rsidR="00601555" w:rsidRPr="00410677" w:rsidRDefault="00601555" w:rsidP="00A30867">
            <w:pPr>
              <w:pStyle w:val="Tables"/>
              <w:jc w:val="right"/>
            </w:pPr>
            <w:r w:rsidRPr="00410677">
              <w:t>5</w:t>
            </w:r>
          </w:p>
        </w:tc>
        <w:tc>
          <w:tcPr>
            <w:tcW w:w="1150" w:type="dxa"/>
          </w:tcPr>
          <w:p w14:paraId="7641CD17" w14:textId="77777777" w:rsidR="00601555" w:rsidRPr="00410677" w:rsidRDefault="00601555" w:rsidP="00A30867">
            <w:pPr>
              <w:pStyle w:val="Tables"/>
              <w:jc w:val="right"/>
            </w:pPr>
            <w:r w:rsidRPr="00410677">
              <w:t>2</w:t>
            </w:r>
          </w:p>
        </w:tc>
      </w:tr>
      <w:tr w:rsidR="00601555" w14:paraId="151A3614" w14:textId="77777777" w:rsidTr="00A30867">
        <w:tc>
          <w:tcPr>
            <w:tcW w:w="3456" w:type="dxa"/>
          </w:tcPr>
          <w:p w14:paraId="3E674899" w14:textId="1675096C" w:rsidR="00601555" w:rsidRPr="00410677" w:rsidRDefault="00601555" w:rsidP="00A30867">
            <w:pPr>
              <w:pStyle w:val="Tables"/>
            </w:pPr>
            <w:r w:rsidRPr="00410677">
              <w:t xml:space="preserve">Inaccurate </w:t>
            </w:r>
            <w:r w:rsidR="006A195A" w:rsidRPr="00410677">
              <w:t>previous information</w:t>
            </w:r>
          </w:p>
        </w:tc>
        <w:tc>
          <w:tcPr>
            <w:tcW w:w="1379" w:type="dxa"/>
          </w:tcPr>
          <w:p w14:paraId="1B58EE73" w14:textId="5109AE2D" w:rsidR="00601555" w:rsidRPr="00410677" w:rsidRDefault="00A30867" w:rsidP="00A30867">
            <w:pPr>
              <w:pStyle w:val="Tables"/>
              <w:tabs>
                <w:tab w:val="decimal" w:pos="571"/>
              </w:tabs>
            </w:pPr>
            <w:r>
              <w:tab/>
            </w:r>
            <w:r w:rsidR="00601555" w:rsidRPr="00410677">
              <w:t>0.05%</w:t>
            </w:r>
          </w:p>
        </w:tc>
        <w:tc>
          <w:tcPr>
            <w:tcW w:w="1136" w:type="dxa"/>
          </w:tcPr>
          <w:p w14:paraId="3DC07597" w14:textId="77777777" w:rsidR="00601555" w:rsidRPr="00410677" w:rsidRDefault="00601555" w:rsidP="00A30867">
            <w:pPr>
              <w:pStyle w:val="Tables"/>
              <w:jc w:val="right"/>
            </w:pPr>
            <w:r w:rsidRPr="00410677">
              <w:t>2</w:t>
            </w:r>
          </w:p>
        </w:tc>
        <w:tc>
          <w:tcPr>
            <w:tcW w:w="1150" w:type="dxa"/>
          </w:tcPr>
          <w:p w14:paraId="1B6BE418" w14:textId="77777777" w:rsidR="00601555" w:rsidRPr="00410677" w:rsidRDefault="00601555" w:rsidP="00A30867">
            <w:pPr>
              <w:pStyle w:val="Tables"/>
              <w:jc w:val="right"/>
            </w:pPr>
            <w:r w:rsidRPr="00410677">
              <w:t>1</w:t>
            </w:r>
          </w:p>
        </w:tc>
      </w:tr>
      <w:tr w:rsidR="00601555" w14:paraId="3ED0CBFA" w14:textId="77777777" w:rsidTr="00A30867">
        <w:tc>
          <w:tcPr>
            <w:tcW w:w="3456" w:type="dxa"/>
          </w:tcPr>
          <w:p w14:paraId="29994A13" w14:textId="77777777" w:rsidR="00601555" w:rsidRPr="00410677" w:rsidRDefault="00601555" w:rsidP="00A30867">
            <w:pPr>
              <w:pStyle w:val="Tables"/>
            </w:pPr>
            <w:r w:rsidRPr="00410677">
              <w:t>Noncompliance</w:t>
            </w:r>
          </w:p>
        </w:tc>
        <w:tc>
          <w:tcPr>
            <w:tcW w:w="1379" w:type="dxa"/>
          </w:tcPr>
          <w:p w14:paraId="78BB8634" w14:textId="20E295F5" w:rsidR="00601555" w:rsidRPr="00410677" w:rsidRDefault="00A30867" w:rsidP="00A30867">
            <w:pPr>
              <w:pStyle w:val="Tables"/>
              <w:tabs>
                <w:tab w:val="decimal" w:pos="571"/>
              </w:tabs>
            </w:pPr>
            <w:r>
              <w:tab/>
            </w:r>
            <w:r w:rsidR="00601555" w:rsidRPr="00410677">
              <w:t>0.05%</w:t>
            </w:r>
          </w:p>
        </w:tc>
        <w:tc>
          <w:tcPr>
            <w:tcW w:w="1136" w:type="dxa"/>
          </w:tcPr>
          <w:p w14:paraId="4D1867C9" w14:textId="77777777" w:rsidR="00601555" w:rsidRPr="00410677" w:rsidRDefault="00601555" w:rsidP="00A30867">
            <w:pPr>
              <w:pStyle w:val="Tables"/>
              <w:jc w:val="right"/>
            </w:pPr>
            <w:r w:rsidRPr="00410677">
              <w:t>5</w:t>
            </w:r>
          </w:p>
        </w:tc>
        <w:tc>
          <w:tcPr>
            <w:tcW w:w="1150" w:type="dxa"/>
          </w:tcPr>
          <w:p w14:paraId="3C525D44" w14:textId="77777777" w:rsidR="00601555" w:rsidRPr="00410677" w:rsidRDefault="00601555" w:rsidP="00A30867">
            <w:pPr>
              <w:pStyle w:val="Tables"/>
              <w:jc w:val="right"/>
            </w:pPr>
            <w:r w:rsidRPr="00410677">
              <w:t>2</w:t>
            </w:r>
          </w:p>
        </w:tc>
      </w:tr>
    </w:tbl>
    <w:p w14:paraId="6B2DFA3A" w14:textId="6FE58728" w:rsidR="00601555" w:rsidRDefault="004D2333" w:rsidP="00A30867">
      <w:pPr>
        <w:pStyle w:val="Tablenote"/>
        <w:ind w:left="180" w:hanging="180"/>
      </w:pPr>
      <w:r w:rsidRPr="009616EC">
        <w:rPr>
          <w:vertAlign w:val="superscript"/>
        </w:rPr>
        <w:t>a</w:t>
      </w:r>
      <w:r w:rsidR="00A30867">
        <w:tab/>
      </w:r>
      <w:r>
        <w:t>States and federal</w:t>
      </w:r>
    </w:p>
    <w:p w14:paraId="675B8D32" w14:textId="52E2949F" w:rsidR="00601555" w:rsidRDefault="00C6520E" w:rsidP="00B101A0">
      <w:pPr>
        <w:pStyle w:val="Heading4"/>
      </w:pPr>
      <w:r>
        <w:t>A.1.5</w:t>
      </w:r>
      <w:r w:rsidR="00601555">
        <w:t>.6</w:t>
      </w:r>
      <w:r w:rsidR="00EB7492">
        <w:t>.</w:t>
      </w:r>
      <w:r w:rsidR="00601555">
        <w:t xml:space="preserve"> </w:t>
      </w:r>
      <w:r w:rsidR="00601555" w:rsidRPr="00601555">
        <w:t>Large Vessels</w:t>
      </w:r>
    </w:p>
    <w:p w14:paraId="0C462DF5" w14:textId="1FBDD740" w:rsidR="0085470C" w:rsidRDefault="00601555" w:rsidP="00981368">
      <w:r>
        <w:t xml:space="preserve">Activities for large vessels </w:t>
      </w:r>
      <w:r w:rsidR="00175B36">
        <w:t>include</w:t>
      </w:r>
      <w:r>
        <w:t>:</w:t>
      </w:r>
      <w:r w:rsidR="00981368" w:rsidRPr="00981368">
        <w:t xml:space="preserve"> </w:t>
      </w:r>
      <w:r w:rsidR="00B26E6E" w:rsidRPr="00B26E6E">
        <w:t>NOI/NOT</w:t>
      </w:r>
      <w:r w:rsidR="00981368" w:rsidRPr="00981368">
        <w:t xml:space="preserve"> </w:t>
      </w:r>
      <w:r w:rsidR="00981368">
        <w:t>f</w:t>
      </w:r>
      <w:r w:rsidR="00981368" w:rsidRPr="00981368">
        <w:t>iling</w:t>
      </w:r>
      <w:r w:rsidR="00B26E6E">
        <w:t>,</w:t>
      </w:r>
      <w:r w:rsidR="000B253B" w:rsidRPr="000B253B">
        <w:t xml:space="preserve"> permit authorization and record of inspection (PARI) submission</w:t>
      </w:r>
      <w:r w:rsidR="000B253B">
        <w:t>,</w:t>
      </w:r>
      <w:r w:rsidR="00981368">
        <w:t xml:space="preserve"> a</w:t>
      </w:r>
      <w:r w:rsidRPr="00792F8F">
        <w:t xml:space="preserve">nnual </w:t>
      </w:r>
      <w:r w:rsidR="00981368">
        <w:t>r</w:t>
      </w:r>
      <w:r w:rsidRPr="00792F8F">
        <w:t>eport</w:t>
      </w:r>
      <w:r w:rsidR="00981368">
        <w:t>, r</w:t>
      </w:r>
      <w:r w:rsidRPr="007055A5">
        <w:t xml:space="preserve">outine </w:t>
      </w:r>
      <w:r w:rsidR="00981368">
        <w:t>i</w:t>
      </w:r>
      <w:r w:rsidRPr="007055A5">
        <w:t>nspections</w:t>
      </w:r>
      <w:r w:rsidR="00981368">
        <w:t>, a</w:t>
      </w:r>
      <w:r>
        <w:t xml:space="preserve">nnual </w:t>
      </w:r>
      <w:r w:rsidR="00981368">
        <w:t>i</w:t>
      </w:r>
      <w:r>
        <w:t>nspections</w:t>
      </w:r>
      <w:r w:rsidR="00981368">
        <w:t>, d</w:t>
      </w:r>
      <w:r w:rsidRPr="00B12F22">
        <w:t xml:space="preserve">rydock </w:t>
      </w:r>
      <w:r w:rsidR="00981368">
        <w:t>i</w:t>
      </w:r>
      <w:r w:rsidRPr="00B12F22">
        <w:t>nspections</w:t>
      </w:r>
      <w:r w:rsidR="006A195A">
        <w:t>,</w:t>
      </w:r>
      <w:r w:rsidR="00981368">
        <w:t xml:space="preserve"> and m</w:t>
      </w:r>
      <w:r>
        <w:t>onitoring</w:t>
      </w:r>
      <w:r w:rsidR="00981368">
        <w:t>.</w:t>
      </w:r>
      <w:r w:rsidR="00D91F90">
        <w:t xml:space="preserve"> NPDES regulations at 40 CFR 122.28(b)(2) require submission of an NOI for coverage under a general permit. The Vessels General Permit requires permittees wishing to terminate coverage under the permit to file a NOT as well as maintaining and submitting the PARI. Monitoring, reporting, and inspections are required</w:t>
      </w:r>
      <w:r w:rsidR="00D91F90" w:rsidRPr="00D91F90">
        <w:t xml:space="preserve"> </w:t>
      </w:r>
      <w:r w:rsidR="00D91F90" w:rsidRPr="0013504C">
        <w:t>in any NPDES permit to demonstrate compliance with the permit conditions.</w:t>
      </w:r>
    </w:p>
    <w:p w14:paraId="04937570" w14:textId="77777777" w:rsidR="0085470C" w:rsidRDefault="00601555" w:rsidP="00601555">
      <w:r>
        <w:rPr>
          <w:i/>
        </w:rPr>
        <w:t xml:space="preserve">Permittees. </w:t>
      </w:r>
      <w:r>
        <w:t>The estimated time required</w:t>
      </w:r>
      <w:r w:rsidRPr="007931D3">
        <w:t xml:space="preserve"> per respondent for</w:t>
      </w:r>
      <w:r>
        <w:t xml:space="preserve"> performing the above items </w:t>
      </w:r>
      <w:r w:rsidR="00B26E6E">
        <w:t>includes: 1 hour for an NOI, 0.25 hours for a PARI and occurs once every 5 years; 2 to 5 hours for various reports that occur on a</w:t>
      </w:r>
      <w:r w:rsidR="00506C9B">
        <w:t>n</w:t>
      </w:r>
      <w:r w:rsidR="00B26E6E">
        <w:t xml:space="preserve"> as</w:t>
      </w:r>
      <w:r w:rsidR="00506C9B">
        <w:t>-</w:t>
      </w:r>
      <w:r w:rsidR="00B26E6E">
        <w:t xml:space="preserve">needed basis; one hour for the annual report; </w:t>
      </w:r>
      <w:r>
        <w:t xml:space="preserve">0.5 to 2 hours for self-inspections </w:t>
      </w:r>
      <w:r w:rsidR="00B26E6E">
        <w:t xml:space="preserve">that occur on an annual basis; </w:t>
      </w:r>
      <w:r w:rsidR="000B253B">
        <w:t xml:space="preserve">2 to 4 hours for drydock inspections that occur once every 5 years; </w:t>
      </w:r>
      <w:r>
        <w:t xml:space="preserve">and 6 hours for </w:t>
      </w:r>
      <w:r w:rsidR="000B253B">
        <w:t xml:space="preserve">semiannual </w:t>
      </w:r>
      <w:r>
        <w:t>monitoring</w:t>
      </w:r>
      <w:r w:rsidR="00175B36">
        <w:t>.</w:t>
      </w:r>
    </w:p>
    <w:p w14:paraId="47C2577D" w14:textId="5AD3A5FB" w:rsidR="00731640" w:rsidRDefault="00731640" w:rsidP="00601555">
      <w:r w:rsidRPr="009616EC">
        <w:rPr>
          <w:i/>
        </w:rPr>
        <w:t>Federal</w:t>
      </w:r>
      <w:r>
        <w:t>. Reviews are performed electronically at an estimated rate of 25 per hour.</w:t>
      </w:r>
    </w:p>
    <w:p w14:paraId="7519B8CB" w14:textId="596C7F63" w:rsidR="00BC2C1D" w:rsidRDefault="00C6520E" w:rsidP="00B101A0">
      <w:pPr>
        <w:pStyle w:val="Heading4"/>
      </w:pPr>
      <w:r>
        <w:t>A.1.5</w:t>
      </w:r>
      <w:r w:rsidR="00601555">
        <w:t>.7</w:t>
      </w:r>
      <w:r w:rsidR="00EB7492">
        <w:t>.</w:t>
      </w:r>
      <w:r w:rsidR="00601555">
        <w:t xml:space="preserve"> </w:t>
      </w:r>
      <w:r w:rsidR="00601555" w:rsidRPr="00601555">
        <w:t>Small Vessels</w:t>
      </w:r>
      <w:r w:rsidR="00BC2C1D">
        <w:t xml:space="preserve"> (sVGP)</w:t>
      </w:r>
    </w:p>
    <w:p w14:paraId="0B0C447F" w14:textId="329BE94E" w:rsidR="0085470C" w:rsidRDefault="00BC2C1D" w:rsidP="00786C04">
      <w:r>
        <w:t xml:space="preserve">Activities related to the small vessels general permit </w:t>
      </w:r>
      <w:r w:rsidR="00175B36">
        <w:t>include</w:t>
      </w:r>
      <w:r>
        <w:t>:</w:t>
      </w:r>
      <w:r w:rsidR="000B253B">
        <w:t xml:space="preserve"> </w:t>
      </w:r>
      <w:r w:rsidRPr="004147E1">
        <w:t>PARI</w:t>
      </w:r>
      <w:r>
        <w:t xml:space="preserve"> submission</w:t>
      </w:r>
      <w:r w:rsidR="000B253B">
        <w:t xml:space="preserve"> and</w:t>
      </w:r>
      <w:r w:rsidR="007361FD">
        <w:t xml:space="preserve"> </w:t>
      </w:r>
      <w:r>
        <w:t xml:space="preserve">PARI </w:t>
      </w:r>
      <w:r w:rsidR="000B253B">
        <w:t>i</w:t>
      </w:r>
      <w:r>
        <w:t xml:space="preserve">nspection </w:t>
      </w:r>
      <w:r w:rsidR="000B253B">
        <w:t>d</w:t>
      </w:r>
      <w:r>
        <w:t>ocumentation</w:t>
      </w:r>
      <w:r w:rsidR="009704B4">
        <w:t>.</w:t>
      </w:r>
      <w:r w:rsidR="00740C98">
        <w:t xml:space="preserve"> </w:t>
      </w:r>
      <w:r w:rsidR="00740C98" w:rsidRPr="00740C98">
        <w:t>The Small Vessels General Permit requires vessel owners/operators to complete, sign, and maintain the sVGP PARI Form onboard the vessel for the entire permit term. Additionally, the permittee must conduct quarterly visual self-inspections and certify that he or she has done so by signing the form each year.</w:t>
      </w:r>
    </w:p>
    <w:p w14:paraId="6B598E43" w14:textId="77777777" w:rsidR="0085470C" w:rsidRDefault="00BC2C1D" w:rsidP="00BC2C1D">
      <w:r>
        <w:rPr>
          <w:i/>
        </w:rPr>
        <w:t xml:space="preserve">Permittees. </w:t>
      </w:r>
      <w:r>
        <w:t xml:space="preserve">The frequency of submission for the PARI is once every five years and is estimated to require 15 minutes to complete. Small vessels are required to conduct and document a self-inspection on a quarterly basis which is estimated to require 15 minutes to complete. Performance of these activities is not expected to occur until December 2017, so average annual burden reported in this ICR represents </w:t>
      </w:r>
      <w:r w:rsidR="00530E5A">
        <w:t>two</w:t>
      </w:r>
      <w:r>
        <w:t xml:space="preserve"> year</w:t>
      </w:r>
      <w:r w:rsidR="00530E5A">
        <w:t>s</w:t>
      </w:r>
      <w:r>
        <w:t xml:space="preserve"> (2018</w:t>
      </w:r>
      <w:r w:rsidR="00530E5A">
        <w:t xml:space="preserve"> and 2019</w:t>
      </w:r>
      <w:r>
        <w:t>) of activity divided over three years.</w:t>
      </w:r>
    </w:p>
    <w:p w14:paraId="6D6E62CC" w14:textId="1E7071FD" w:rsidR="009704B4" w:rsidRDefault="009704B4" w:rsidP="00BC2C1D">
      <w:r w:rsidRPr="009616EC">
        <w:rPr>
          <w:i/>
        </w:rPr>
        <w:t>Federal</w:t>
      </w:r>
      <w:r>
        <w:t xml:space="preserve">. Federal recordkeeping activities related to </w:t>
      </w:r>
      <w:r w:rsidR="007F114B">
        <w:t xml:space="preserve">small vessels </w:t>
      </w:r>
      <w:r w:rsidR="00884698">
        <w:t xml:space="preserve">are </w:t>
      </w:r>
      <w:r>
        <w:t>estimated to be 0.05 hours</w:t>
      </w:r>
      <w:r w:rsidR="007F114B">
        <w:t xml:space="preserve"> </w:t>
      </w:r>
      <w:r w:rsidR="003F54E4">
        <w:t xml:space="preserve">per permittee </w:t>
      </w:r>
      <w:r w:rsidR="007F114B">
        <w:t>once every 5 years</w:t>
      </w:r>
      <w:r>
        <w:t>.</w:t>
      </w:r>
    </w:p>
    <w:p w14:paraId="700F1C66" w14:textId="749A97E3" w:rsidR="0031060A" w:rsidRDefault="0031060A" w:rsidP="00B101A0">
      <w:pPr>
        <w:pStyle w:val="Heading3"/>
      </w:pPr>
      <w:bookmarkStart w:id="39" w:name="_Toc510451639"/>
      <w:r>
        <w:t>A.1.</w:t>
      </w:r>
      <w:r w:rsidR="00C6520E">
        <w:t>6</w:t>
      </w:r>
      <w:r>
        <w:t>.</w:t>
      </w:r>
      <w:r w:rsidR="00DE1B27">
        <w:tab/>
      </w:r>
      <w:r w:rsidR="0048771B">
        <w:t>Animal Sector</w:t>
      </w:r>
      <w:bookmarkEnd w:id="39"/>
    </w:p>
    <w:p w14:paraId="5DC5F544" w14:textId="0512BBFD" w:rsidR="006C0A34" w:rsidRDefault="00854134" w:rsidP="006C0A34">
      <w:r w:rsidRPr="00854134">
        <w:t xml:space="preserve">The activities in this category apply </w:t>
      </w:r>
      <w:r w:rsidR="00772A8A">
        <w:t xml:space="preserve">to </w:t>
      </w:r>
      <w:r w:rsidR="006C0A34">
        <w:t xml:space="preserve">activities related </w:t>
      </w:r>
      <w:r w:rsidRPr="00854134">
        <w:t>to</w:t>
      </w:r>
      <w:r w:rsidR="006C0A34">
        <w:t xml:space="preserve"> NPDES permits for CAFO and CAAP facilities </w:t>
      </w:r>
      <w:r w:rsidR="00482884">
        <w:t>included in</w:t>
      </w:r>
      <w:r w:rsidR="006C0A34">
        <w:t xml:space="preserve"> the </w:t>
      </w:r>
      <w:r w:rsidR="006C0A34" w:rsidRPr="006C0A34">
        <w:t xml:space="preserve">Consolidated Animal Sectors </w:t>
      </w:r>
      <w:r w:rsidR="006C0A34">
        <w:t xml:space="preserve">ICR </w:t>
      </w:r>
      <w:r w:rsidR="006C0A34" w:rsidRPr="006C0A34">
        <w:t xml:space="preserve">(OMB </w:t>
      </w:r>
      <w:r w:rsidR="00437796">
        <w:t>control no.</w:t>
      </w:r>
      <w:r w:rsidR="006C0A34" w:rsidRPr="006C0A34">
        <w:t xml:space="preserve"> 2040-0250; EPA ICR </w:t>
      </w:r>
      <w:r w:rsidR="000106BF">
        <w:t>no.</w:t>
      </w:r>
      <w:r w:rsidR="000106BF" w:rsidRPr="006C0A34">
        <w:t xml:space="preserve"> </w:t>
      </w:r>
      <w:r w:rsidR="006C0A34" w:rsidRPr="006C0A34">
        <w:t>1989.10</w:t>
      </w:r>
      <w:r w:rsidR="006C0A34">
        <w:t xml:space="preserve">). All activities were divided and allocated on the basis of the type of respondent. Below is a list of the possible types of respondents. </w:t>
      </w:r>
    </w:p>
    <w:p w14:paraId="16C08710" w14:textId="23F77992" w:rsidR="006C0A34" w:rsidRDefault="006C0A34" w:rsidP="00400773">
      <w:pPr>
        <w:pStyle w:val="ListParagraph"/>
        <w:numPr>
          <w:ilvl w:val="0"/>
          <w:numId w:val="26"/>
        </w:numPr>
      </w:pPr>
      <w:r>
        <w:t xml:space="preserve">Authorized </w:t>
      </w:r>
      <w:r w:rsidR="00D260B9">
        <w:t xml:space="preserve">states </w:t>
      </w:r>
      <w:r>
        <w:t>for CAFOs</w:t>
      </w:r>
      <w:r w:rsidR="00D260B9">
        <w:t>;</w:t>
      </w:r>
    </w:p>
    <w:p w14:paraId="730A288E" w14:textId="2AA63752" w:rsidR="006C0A34" w:rsidRDefault="006C0A34" w:rsidP="00400773">
      <w:pPr>
        <w:pStyle w:val="ListParagraph"/>
        <w:numPr>
          <w:ilvl w:val="0"/>
          <w:numId w:val="26"/>
        </w:numPr>
      </w:pPr>
      <w:r>
        <w:t xml:space="preserve">CAFO </w:t>
      </w:r>
      <w:r w:rsidR="00D260B9">
        <w:t>facilities;</w:t>
      </w:r>
    </w:p>
    <w:p w14:paraId="3CEFC896" w14:textId="3D3FD069" w:rsidR="003A745C" w:rsidRDefault="006C0A34" w:rsidP="00400773">
      <w:pPr>
        <w:pStyle w:val="ListParagraph"/>
        <w:numPr>
          <w:ilvl w:val="0"/>
          <w:numId w:val="26"/>
        </w:numPr>
      </w:pPr>
      <w:r>
        <w:t xml:space="preserve">New CAFOs per </w:t>
      </w:r>
      <w:r w:rsidR="00D260B9">
        <w:t>year;</w:t>
      </w:r>
    </w:p>
    <w:p w14:paraId="387940D2" w14:textId="707A3A86" w:rsidR="006C0A34" w:rsidRDefault="006C0A34" w:rsidP="00400773">
      <w:pPr>
        <w:pStyle w:val="ListParagraph"/>
        <w:numPr>
          <w:ilvl w:val="0"/>
          <w:numId w:val="26"/>
        </w:numPr>
      </w:pPr>
      <w:r>
        <w:t xml:space="preserve">Authorized </w:t>
      </w:r>
      <w:r w:rsidR="00D260B9">
        <w:t>s</w:t>
      </w:r>
      <w:r w:rsidR="008A7EBE">
        <w:t>t</w:t>
      </w:r>
      <w:r w:rsidR="00D260B9">
        <w:t xml:space="preserve">ates </w:t>
      </w:r>
      <w:r>
        <w:t>for CAAP</w:t>
      </w:r>
      <w:r w:rsidR="00D260B9">
        <w:t>; and</w:t>
      </w:r>
    </w:p>
    <w:p w14:paraId="79BE5BE9" w14:textId="77777777" w:rsidR="0085470C" w:rsidRDefault="006C0A34" w:rsidP="00400773">
      <w:pPr>
        <w:pStyle w:val="ListParagraph"/>
        <w:numPr>
          <w:ilvl w:val="0"/>
          <w:numId w:val="26"/>
        </w:numPr>
      </w:pPr>
      <w:r>
        <w:t>CAAP facilities</w:t>
      </w:r>
      <w:r w:rsidR="00D260B9">
        <w:t>.</w:t>
      </w:r>
    </w:p>
    <w:p w14:paraId="6CC21B0F" w14:textId="19981084" w:rsidR="006C0A34" w:rsidRDefault="000A24BD" w:rsidP="006C0A34">
      <w:r>
        <w:t>B</w:t>
      </w:r>
      <w:r w:rsidR="003573E0" w:rsidRPr="003573E0">
        <w:t>urden estimates were derived for each respondent type. These estimates were then updated using the current estimate of the number of each respondent type</w:t>
      </w:r>
      <w:r w:rsidR="007038C7">
        <w:t xml:space="preserve"> (see</w:t>
      </w:r>
      <w:r>
        <w:t xml:space="preserve"> </w:t>
      </w:r>
      <w:r w:rsidRPr="000A24BD">
        <w:t>Appendix D</w:t>
      </w:r>
      <w:r w:rsidR="007038C7">
        <w:t>)</w:t>
      </w:r>
      <w:r w:rsidR="006C0A34">
        <w:t xml:space="preserve">. </w:t>
      </w:r>
      <w:r w:rsidR="00560318">
        <w:t>There were no capital or start-up costs.</w:t>
      </w:r>
      <w:r w:rsidR="00482884">
        <w:t xml:space="preserve"> </w:t>
      </w:r>
      <w:r>
        <w:t>B</w:t>
      </w:r>
      <w:r w:rsidR="00D6469F" w:rsidRPr="00D6469F">
        <w:t>urden estimates are</w:t>
      </w:r>
      <w:r w:rsidR="00DC3889">
        <w:t xml:space="preserve"> </w:t>
      </w:r>
      <w:r w:rsidR="00D6469F">
        <w:t>a</w:t>
      </w:r>
      <w:r w:rsidR="002321B4">
        <w:t>ssociated</w:t>
      </w:r>
      <w:r w:rsidR="00DC3889">
        <w:t xml:space="preserve"> </w:t>
      </w:r>
      <w:r w:rsidR="002321B4">
        <w:t>with</w:t>
      </w:r>
      <w:r w:rsidR="006C0A34">
        <w:t xml:space="preserve"> six types of activities related to the NPDES program:</w:t>
      </w:r>
    </w:p>
    <w:p w14:paraId="5A83AA62" w14:textId="5E834EB9" w:rsidR="00DC3889" w:rsidRDefault="006C0A34" w:rsidP="00400773">
      <w:pPr>
        <w:pStyle w:val="ListParagraph"/>
        <w:numPr>
          <w:ilvl w:val="0"/>
          <w:numId w:val="27"/>
        </w:numPr>
      </w:pPr>
      <w:r>
        <w:t>Activities directly related to individual permit applications or permit coverage</w:t>
      </w:r>
      <w:r w:rsidR="00DC3889">
        <w:t xml:space="preserve"> under a general permit (NOIs)</w:t>
      </w:r>
      <w:r w:rsidR="00D260B9">
        <w:t>;</w:t>
      </w:r>
    </w:p>
    <w:p w14:paraId="3780A5B3" w14:textId="511B4BD9" w:rsidR="00DC3889" w:rsidRDefault="006C0A34" w:rsidP="00400773">
      <w:pPr>
        <w:pStyle w:val="ListParagraph"/>
        <w:numPr>
          <w:ilvl w:val="0"/>
          <w:numId w:val="27"/>
        </w:numPr>
      </w:pPr>
      <w:r>
        <w:t xml:space="preserve">Activities associated with </w:t>
      </w:r>
      <w:r w:rsidR="002C1A8A">
        <w:t>plan</w:t>
      </w:r>
      <w:r>
        <w:t xml:space="preserve"> development or special studies</w:t>
      </w:r>
      <w:r w:rsidR="00D260B9">
        <w:t>;</w:t>
      </w:r>
    </w:p>
    <w:p w14:paraId="502EB9C3" w14:textId="71D24235" w:rsidR="00DC3889" w:rsidRDefault="006C0A34" w:rsidP="0005388D">
      <w:pPr>
        <w:pStyle w:val="ListParagraph"/>
        <w:numPr>
          <w:ilvl w:val="0"/>
          <w:numId w:val="27"/>
        </w:numPr>
      </w:pPr>
      <w:r>
        <w:t>Reporting, including certification</w:t>
      </w:r>
      <w:r w:rsidR="00D260B9">
        <w:t>;</w:t>
      </w:r>
    </w:p>
    <w:p w14:paraId="34BF61C6" w14:textId="700EC4D2" w:rsidR="00DC3889" w:rsidRDefault="006C0A34" w:rsidP="00400773">
      <w:pPr>
        <w:pStyle w:val="ListParagraph"/>
        <w:numPr>
          <w:ilvl w:val="0"/>
          <w:numId w:val="27"/>
        </w:numPr>
      </w:pPr>
      <w:r>
        <w:t>Recordkeeping</w:t>
      </w:r>
      <w:r w:rsidR="00D260B9">
        <w:t>; and</w:t>
      </w:r>
    </w:p>
    <w:p w14:paraId="50A4156D" w14:textId="6DB918B9" w:rsidR="0085470C" w:rsidRDefault="006C0A34" w:rsidP="001C2631">
      <w:pPr>
        <w:pStyle w:val="ListParagraph"/>
        <w:numPr>
          <w:ilvl w:val="0"/>
          <w:numId w:val="27"/>
        </w:numPr>
      </w:pPr>
      <w:r>
        <w:t>Activities resulting from compliance assessments</w:t>
      </w:r>
      <w:r w:rsidR="00D260B9">
        <w:t>.</w:t>
      </w:r>
    </w:p>
    <w:p w14:paraId="07FD8A34" w14:textId="77777777" w:rsidR="0085470C" w:rsidRDefault="00EF07D1" w:rsidP="00482884">
      <w:r>
        <w:t xml:space="preserve">EPA has revised the burden estimates based on developments in the industry. </w:t>
      </w:r>
      <w:r w:rsidRPr="00EF07D1">
        <w:t xml:space="preserve">Over time, many of the </w:t>
      </w:r>
      <w:r>
        <w:t xml:space="preserve">activities </w:t>
      </w:r>
      <w:r w:rsidRPr="00EF07D1">
        <w:t xml:space="preserve">required </w:t>
      </w:r>
      <w:r>
        <w:t xml:space="preserve">as a result of the </w:t>
      </w:r>
      <w:r w:rsidRPr="00EF07D1">
        <w:t xml:space="preserve">2003 </w:t>
      </w:r>
      <w:r>
        <w:t xml:space="preserve">NPDES </w:t>
      </w:r>
      <w:r w:rsidRPr="00EF07D1">
        <w:t>Permit Regulation and Effluent Limitation Guidelines and Standards for Concentrated Animal Feeding Operations (CAFOs) have become part of standard business practice</w:t>
      </w:r>
      <w:r>
        <w:t xml:space="preserve"> and USDA standards </w:t>
      </w:r>
      <w:r w:rsidR="001303AB">
        <w:t xml:space="preserve">and </w:t>
      </w:r>
      <w:r>
        <w:t xml:space="preserve">guidelines. </w:t>
      </w:r>
      <w:r w:rsidRPr="00EF07D1">
        <w:t xml:space="preserve">USDA standards are specifically designed to guide farmers as they implement improved waste management practices to keep pace with the changing demands of the industry. USDA has issued extensive guidelines on these practices, including the requirements for Comprehensive Nutrient Management Plans, the practice standards developed by the USDA Natural Resources Conservation Service (NRCS), the Field Office Technical Guides, and the Agricultural Waste Management Field Handbook. Farmers are motivated to adhere to the USDA guidelines in part because of their own environmental stewardship goals, but also because operations that want to receive USDA financial or technical support are required to follow USDA guidelines to ensure continued eligibility for USDA programs. The combined effect of these external forces is that over time a number of activities required in EPA’s original CAFO regulations have become standard industry practice, including regular visual inspections and manure and soil sampling. </w:t>
      </w:r>
      <w:r w:rsidR="001303AB">
        <w:t xml:space="preserve">Thus, EPA concluded that these activities are no longer directly attributable to the NPDES regulations and should not be included in the ICR burden estimates. As a result, the substantial reductions in </w:t>
      </w:r>
      <w:r w:rsidR="002C1A8A">
        <w:t xml:space="preserve">CAFO </w:t>
      </w:r>
      <w:r w:rsidR="001303AB">
        <w:t xml:space="preserve">burden estimates shown in this ICR reflect the changes that have occurred </w:t>
      </w:r>
      <w:r w:rsidR="0005388D">
        <w:t>since the implementation of the CAFO rule</w:t>
      </w:r>
      <w:r w:rsidR="001303AB">
        <w:t>. In addition,</w:t>
      </w:r>
      <w:r w:rsidR="001303AB" w:rsidRPr="001303AB">
        <w:t xml:space="preserve"> there continues to be significant consolidation in the industry, so far fewer facilities exist that might be subject to regulation</w:t>
      </w:r>
      <w:r w:rsidR="002C1A8A">
        <w:t>;</w:t>
      </w:r>
      <w:r w:rsidR="001303AB">
        <w:t xml:space="preserve"> </w:t>
      </w:r>
      <w:r w:rsidR="002C1A8A">
        <w:t xml:space="preserve">this </w:t>
      </w:r>
      <w:r w:rsidR="001303AB">
        <w:t xml:space="preserve">is reflected in </w:t>
      </w:r>
      <w:r w:rsidR="00D01E36">
        <w:t xml:space="preserve">the CAFO permit numbers in </w:t>
      </w:r>
      <w:r w:rsidR="001303AB">
        <w:t xml:space="preserve">Appendix </w:t>
      </w:r>
      <w:r w:rsidR="00D01E36">
        <w:t>D.</w:t>
      </w:r>
      <w:r w:rsidR="001303AB">
        <w:t xml:space="preserve"> </w:t>
      </w:r>
      <w:r w:rsidR="00D01E36">
        <w:t>Burden estimates for CAAP facilities did not change significantly from the previous ICR.</w:t>
      </w:r>
      <w:r w:rsidRPr="00EF07D1">
        <w:t xml:space="preserve"> </w:t>
      </w:r>
    </w:p>
    <w:p w14:paraId="028A0A3D" w14:textId="29F06FCB" w:rsidR="007D523A" w:rsidRDefault="00530E5A" w:rsidP="00482884">
      <w:r w:rsidRPr="009616EC">
        <w:rPr>
          <w:i/>
        </w:rPr>
        <w:t>Permittees</w:t>
      </w:r>
      <w:r>
        <w:t xml:space="preserve">. </w:t>
      </w:r>
      <w:r w:rsidR="00001F1A">
        <w:t>Table A.</w:t>
      </w:r>
      <w:r w:rsidR="00352E6F">
        <w:t>6</w:t>
      </w:r>
      <w:r w:rsidR="00001F1A">
        <w:t xml:space="preserve"> presents </w:t>
      </w:r>
      <w:r w:rsidR="00F47B1E">
        <w:t>the</w:t>
      </w:r>
      <w:r w:rsidR="00001F1A">
        <w:t xml:space="preserve"> underlying assumptions used to derive the source ICR burden estimates.</w:t>
      </w:r>
      <w:r w:rsidR="00464181">
        <w:t xml:space="preserve"> Table A.7 presents burden assumptions for CAFO and CAAP facilities.</w:t>
      </w:r>
    </w:p>
    <w:p w14:paraId="3DA6FB84" w14:textId="144A586F" w:rsidR="0082676E" w:rsidRDefault="0082676E" w:rsidP="00871F94">
      <w:pPr>
        <w:pStyle w:val="Caption"/>
      </w:pPr>
      <w:r>
        <w:t xml:space="preserve">Table </w:t>
      </w:r>
      <w:r w:rsidR="00001F1A">
        <w:t>A.</w:t>
      </w:r>
      <w:r w:rsidR="00352E6F">
        <w:t>6</w:t>
      </w:r>
      <w:r>
        <w:t xml:space="preserve"> </w:t>
      </w:r>
      <w:r w:rsidR="00464181">
        <w:t>U</w:t>
      </w:r>
      <w:r w:rsidR="00D260B9">
        <w:t xml:space="preserve">nderlying </w:t>
      </w:r>
      <w:r w:rsidR="005C1913">
        <w:t>A</w:t>
      </w:r>
      <w:r w:rsidR="00D260B9">
        <w:t xml:space="preserve">ssumptions </w:t>
      </w:r>
      <w:r>
        <w:t xml:space="preserve">for </w:t>
      </w:r>
      <w:r w:rsidR="005C1913">
        <w:t>A</w:t>
      </w:r>
      <w:r w:rsidR="00D260B9">
        <w:t xml:space="preserve">nimal </w:t>
      </w:r>
      <w:r w:rsidR="005C1913">
        <w:t>S</w:t>
      </w:r>
      <w:r w:rsidR="00D260B9">
        <w:t>ector</w:t>
      </w:r>
      <w:r w:rsidR="00FE745C">
        <w:t xml:space="preserve"> </w:t>
      </w:r>
      <w:r w:rsidR="005C1913">
        <w:t>P</w:t>
      </w:r>
      <w:r w:rsidR="00FE745C">
        <w:t xml:space="preserve">ermittees </w:t>
      </w:r>
    </w:p>
    <w:tbl>
      <w:tblPr>
        <w:tblStyle w:val="TableGrid"/>
        <w:tblW w:w="0" w:type="auto"/>
        <w:tblLook w:val="04A0" w:firstRow="1" w:lastRow="0" w:firstColumn="1" w:lastColumn="0" w:noHBand="0" w:noVBand="1"/>
      </w:tblPr>
      <w:tblGrid>
        <w:gridCol w:w="7375"/>
        <w:gridCol w:w="1296"/>
      </w:tblGrid>
      <w:tr w:rsidR="00DB5767" w:rsidRPr="001C2631" w14:paraId="323A8698" w14:textId="77777777" w:rsidTr="003D16AA">
        <w:trPr>
          <w:trHeight w:val="264"/>
        </w:trPr>
        <w:tc>
          <w:tcPr>
            <w:tcW w:w="7375" w:type="dxa"/>
            <w:shd w:val="clear" w:color="auto" w:fill="D9D9D9" w:themeFill="background1" w:themeFillShade="D9"/>
          </w:tcPr>
          <w:p w14:paraId="25435E0B" w14:textId="0A4A4253" w:rsidR="00DB5767" w:rsidRPr="00410677" w:rsidRDefault="00DB5767" w:rsidP="00A30867">
            <w:pPr>
              <w:pStyle w:val="TableTitle"/>
            </w:pPr>
            <w:r w:rsidRPr="00410677">
              <w:t>Assumption</w:t>
            </w:r>
          </w:p>
        </w:tc>
        <w:tc>
          <w:tcPr>
            <w:tcW w:w="1296" w:type="dxa"/>
            <w:shd w:val="clear" w:color="auto" w:fill="D9D9D9" w:themeFill="background1" w:themeFillShade="D9"/>
          </w:tcPr>
          <w:p w14:paraId="247B88C4" w14:textId="5DDF1A1B" w:rsidR="00DB5767" w:rsidRPr="00410677" w:rsidRDefault="00DB5767" w:rsidP="00A30867">
            <w:pPr>
              <w:pStyle w:val="TableTitle"/>
            </w:pPr>
            <w:r w:rsidRPr="00410677">
              <w:t>Value</w:t>
            </w:r>
          </w:p>
        </w:tc>
      </w:tr>
      <w:tr w:rsidR="0082676E" w:rsidRPr="001C2631" w14:paraId="40446C69" w14:textId="77777777" w:rsidTr="00A30867">
        <w:trPr>
          <w:trHeight w:val="264"/>
        </w:trPr>
        <w:tc>
          <w:tcPr>
            <w:tcW w:w="7375" w:type="dxa"/>
            <w:shd w:val="clear" w:color="auto" w:fill="auto"/>
            <w:hideMark/>
          </w:tcPr>
          <w:p w14:paraId="1815AFC6" w14:textId="4814CAE8" w:rsidR="001C2631" w:rsidRPr="00410677" w:rsidRDefault="001C2631" w:rsidP="00A30867">
            <w:pPr>
              <w:pStyle w:val="Tables"/>
            </w:pPr>
            <w:r w:rsidRPr="00410677">
              <w:t xml:space="preserve">Percent CAFOs in </w:t>
            </w:r>
            <w:r w:rsidR="0082676E" w:rsidRPr="00410677">
              <w:t>non-CAFO authorized states (</w:t>
            </w:r>
            <w:r w:rsidRPr="00410677">
              <w:t>ID, MA, NH,</w:t>
            </w:r>
            <w:r w:rsidR="004C1524">
              <w:t xml:space="preserve"> and</w:t>
            </w:r>
            <w:r w:rsidRPr="00410677">
              <w:t xml:space="preserve"> NM</w:t>
            </w:r>
            <w:r w:rsidR="0082676E" w:rsidRPr="00410677">
              <w:t>)</w:t>
            </w:r>
          </w:p>
        </w:tc>
        <w:tc>
          <w:tcPr>
            <w:tcW w:w="1296" w:type="dxa"/>
            <w:shd w:val="clear" w:color="auto" w:fill="auto"/>
            <w:hideMark/>
          </w:tcPr>
          <w:p w14:paraId="1304F555" w14:textId="77777777" w:rsidR="001C2631" w:rsidRPr="00410677" w:rsidRDefault="001C2631" w:rsidP="00A30867">
            <w:pPr>
              <w:pStyle w:val="Tables"/>
              <w:jc w:val="right"/>
            </w:pPr>
            <w:r w:rsidRPr="00410677">
              <w:t>6.3%</w:t>
            </w:r>
          </w:p>
        </w:tc>
      </w:tr>
      <w:tr w:rsidR="0082676E" w:rsidRPr="001C2631" w14:paraId="6866DCFE" w14:textId="77777777" w:rsidTr="00A30867">
        <w:trPr>
          <w:trHeight w:val="264"/>
        </w:trPr>
        <w:tc>
          <w:tcPr>
            <w:tcW w:w="7375" w:type="dxa"/>
            <w:shd w:val="clear" w:color="auto" w:fill="auto"/>
            <w:hideMark/>
          </w:tcPr>
          <w:p w14:paraId="1BFFCA45" w14:textId="796E8D82" w:rsidR="001C2631" w:rsidRPr="00410677" w:rsidRDefault="001C2631" w:rsidP="00A30867">
            <w:pPr>
              <w:pStyle w:val="Tables"/>
            </w:pPr>
            <w:r w:rsidRPr="00410677">
              <w:t xml:space="preserve">Percent CAFOs covered by </w:t>
            </w:r>
            <w:r w:rsidR="00A04E1A" w:rsidRPr="00410677">
              <w:t xml:space="preserve">general permits </w:t>
            </w:r>
          </w:p>
        </w:tc>
        <w:tc>
          <w:tcPr>
            <w:tcW w:w="1296" w:type="dxa"/>
            <w:shd w:val="clear" w:color="auto" w:fill="auto"/>
            <w:hideMark/>
          </w:tcPr>
          <w:p w14:paraId="3EFF6F8A" w14:textId="77777777" w:rsidR="001C2631" w:rsidRPr="00410677" w:rsidRDefault="001C2631" w:rsidP="00A30867">
            <w:pPr>
              <w:pStyle w:val="Tables"/>
              <w:jc w:val="right"/>
            </w:pPr>
            <w:r w:rsidRPr="00410677">
              <w:t>70.0%</w:t>
            </w:r>
          </w:p>
        </w:tc>
      </w:tr>
      <w:tr w:rsidR="0082676E" w:rsidRPr="001C2631" w14:paraId="3B897FF0" w14:textId="77777777" w:rsidTr="00A30867">
        <w:trPr>
          <w:trHeight w:val="264"/>
        </w:trPr>
        <w:tc>
          <w:tcPr>
            <w:tcW w:w="7375" w:type="dxa"/>
            <w:shd w:val="clear" w:color="auto" w:fill="auto"/>
            <w:hideMark/>
          </w:tcPr>
          <w:p w14:paraId="4D38F0A3" w14:textId="77777777" w:rsidR="001C2631" w:rsidRPr="00410677" w:rsidRDefault="001C2631" w:rsidP="00A30867">
            <w:pPr>
              <w:pStyle w:val="Tables"/>
            </w:pPr>
            <w:r w:rsidRPr="00410677">
              <w:t xml:space="preserve">Annual CAFO inspection rate </w:t>
            </w:r>
          </w:p>
        </w:tc>
        <w:tc>
          <w:tcPr>
            <w:tcW w:w="1296" w:type="dxa"/>
            <w:shd w:val="clear" w:color="auto" w:fill="auto"/>
            <w:hideMark/>
          </w:tcPr>
          <w:p w14:paraId="1C747A6E" w14:textId="77777777" w:rsidR="001C2631" w:rsidRPr="00410677" w:rsidRDefault="001C2631" w:rsidP="00A30867">
            <w:pPr>
              <w:pStyle w:val="Tables"/>
              <w:jc w:val="right"/>
            </w:pPr>
            <w:r w:rsidRPr="00410677">
              <w:t>20.0%</w:t>
            </w:r>
          </w:p>
        </w:tc>
      </w:tr>
      <w:tr w:rsidR="0082676E" w:rsidRPr="001C2631" w14:paraId="37200B3F" w14:textId="77777777" w:rsidTr="00A30867">
        <w:trPr>
          <w:trHeight w:val="264"/>
        </w:trPr>
        <w:tc>
          <w:tcPr>
            <w:tcW w:w="7375" w:type="dxa"/>
            <w:shd w:val="clear" w:color="auto" w:fill="auto"/>
            <w:hideMark/>
          </w:tcPr>
          <w:p w14:paraId="7E800D3A" w14:textId="75954D4A" w:rsidR="001C2631" w:rsidRPr="00410677" w:rsidRDefault="001C2631" w:rsidP="00A30867">
            <w:pPr>
              <w:pStyle w:val="Tables"/>
            </w:pPr>
            <w:r w:rsidRPr="00410677">
              <w:t xml:space="preserve">Flow </w:t>
            </w:r>
            <w:r w:rsidR="00A04E1A" w:rsidRPr="00410677">
              <w:t xml:space="preserve">through </w:t>
            </w:r>
            <w:r w:rsidRPr="00410677">
              <w:t xml:space="preserve">and </w:t>
            </w:r>
            <w:r w:rsidR="00A04E1A" w:rsidRPr="00410677">
              <w:t>recirculating commercial facilities</w:t>
            </w:r>
          </w:p>
        </w:tc>
        <w:tc>
          <w:tcPr>
            <w:tcW w:w="1296" w:type="dxa"/>
            <w:shd w:val="clear" w:color="auto" w:fill="auto"/>
            <w:hideMark/>
          </w:tcPr>
          <w:p w14:paraId="11885B37" w14:textId="77777777" w:rsidR="001C2631" w:rsidRPr="00410677" w:rsidRDefault="001C2631" w:rsidP="00A30867">
            <w:pPr>
              <w:pStyle w:val="Tables"/>
              <w:jc w:val="right"/>
            </w:pPr>
            <w:r w:rsidRPr="00410677">
              <w:t xml:space="preserve">166 </w:t>
            </w:r>
          </w:p>
        </w:tc>
      </w:tr>
      <w:tr w:rsidR="0082676E" w:rsidRPr="001C2631" w14:paraId="2184C316" w14:textId="77777777" w:rsidTr="00A30867">
        <w:trPr>
          <w:trHeight w:val="264"/>
        </w:trPr>
        <w:tc>
          <w:tcPr>
            <w:tcW w:w="7375" w:type="dxa"/>
            <w:shd w:val="clear" w:color="auto" w:fill="auto"/>
            <w:hideMark/>
          </w:tcPr>
          <w:p w14:paraId="635C478D" w14:textId="2295ECD8" w:rsidR="001C2631" w:rsidRPr="00410677" w:rsidRDefault="001C2631" w:rsidP="00A30867">
            <w:pPr>
              <w:pStyle w:val="Tables"/>
            </w:pPr>
            <w:r w:rsidRPr="00410677">
              <w:t xml:space="preserve">Flow </w:t>
            </w:r>
            <w:r w:rsidR="00A04E1A" w:rsidRPr="00410677">
              <w:t xml:space="preserve">through </w:t>
            </w:r>
            <w:r w:rsidRPr="00410677">
              <w:t xml:space="preserve">and </w:t>
            </w:r>
            <w:r w:rsidR="00A04E1A" w:rsidRPr="00410677">
              <w:t>recirculating non</w:t>
            </w:r>
            <w:r w:rsidRPr="00410677">
              <w:t>-</w:t>
            </w:r>
            <w:r w:rsidR="00A04E1A" w:rsidRPr="00410677">
              <w:t>commercial facilities</w:t>
            </w:r>
          </w:p>
        </w:tc>
        <w:tc>
          <w:tcPr>
            <w:tcW w:w="1296" w:type="dxa"/>
            <w:shd w:val="clear" w:color="auto" w:fill="auto"/>
            <w:hideMark/>
          </w:tcPr>
          <w:p w14:paraId="6631D9FE" w14:textId="77777777" w:rsidR="001C2631" w:rsidRPr="00410677" w:rsidRDefault="001C2631" w:rsidP="00A30867">
            <w:pPr>
              <w:pStyle w:val="Tables"/>
              <w:jc w:val="right"/>
            </w:pPr>
            <w:r w:rsidRPr="00410677">
              <w:t xml:space="preserve">178 </w:t>
            </w:r>
          </w:p>
        </w:tc>
      </w:tr>
      <w:tr w:rsidR="0082676E" w:rsidRPr="001C2631" w14:paraId="42C73A10" w14:textId="77777777" w:rsidTr="00A30867">
        <w:trPr>
          <w:trHeight w:val="264"/>
        </w:trPr>
        <w:tc>
          <w:tcPr>
            <w:tcW w:w="7375" w:type="dxa"/>
            <w:shd w:val="clear" w:color="auto" w:fill="auto"/>
            <w:hideMark/>
          </w:tcPr>
          <w:p w14:paraId="7D3CE659" w14:textId="197DE6C2" w:rsidR="001C2631" w:rsidRPr="00410677" w:rsidRDefault="001C2631" w:rsidP="00A30867">
            <w:pPr>
              <w:pStyle w:val="Tables"/>
            </w:pPr>
            <w:r w:rsidRPr="00410677">
              <w:t xml:space="preserve">Net </w:t>
            </w:r>
            <w:r w:rsidR="00A04E1A" w:rsidRPr="00410677">
              <w:t>pen facilities</w:t>
            </w:r>
          </w:p>
        </w:tc>
        <w:tc>
          <w:tcPr>
            <w:tcW w:w="1296" w:type="dxa"/>
            <w:shd w:val="clear" w:color="auto" w:fill="auto"/>
            <w:hideMark/>
          </w:tcPr>
          <w:p w14:paraId="245DEFDA" w14:textId="77777777" w:rsidR="001C2631" w:rsidRPr="00410677" w:rsidRDefault="001C2631" w:rsidP="00A30867">
            <w:pPr>
              <w:pStyle w:val="Tables"/>
              <w:jc w:val="right"/>
            </w:pPr>
            <w:r w:rsidRPr="00410677">
              <w:t xml:space="preserve">15 </w:t>
            </w:r>
          </w:p>
        </w:tc>
      </w:tr>
      <w:tr w:rsidR="0082676E" w:rsidRPr="001C2631" w14:paraId="3506AABF" w14:textId="77777777" w:rsidTr="00A30867">
        <w:trPr>
          <w:trHeight w:val="264"/>
        </w:trPr>
        <w:tc>
          <w:tcPr>
            <w:tcW w:w="7375" w:type="dxa"/>
            <w:shd w:val="clear" w:color="auto" w:fill="auto"/>
            <w:hideMark/>
          </w:tcPr>
          <w:p w14:paraId="700B56AB" w14:textId="3CB98F85" w:rsidR="001C2631" w:rsidRPr="00410677" w:rsidRDefault="001C2631" w:rsidP="00A30867">
            <w:pPr>
              <w:pStyle w:val="Tables"/>
            </w:pPr>
            <w:r w:rsidRPr="00410677">
              <w:t xml:space="preserve">Total </w:t>
            </w:r>
            <w:r w:rsidR="00A04E1A" w:rsidRPr="00410677">
              <w:t xml:space="preserve">number </w:t>
            </w:r>
            <w:r w:rsidRPr="00410677">
              <w:t xml:space="preserve">of CAAP </w:t>
            </w:r>
            <w:r w:rsidR="00A04E1A" w:rsidRPr="00410677">
              <w:t xml:space="preserve">permittees </w:t>
            </w:r>
            <w:r w:rsidRPr="00410677">
              <w:t>in non-authorized states</w:t>
            </w:r>
          </w:p>
        </w:tc>
        <w:tc>
          <w:tcPr>
            <w:tcW w:w="1296" w:type="dxa"/>
            <w:shd w:val="clear" w:color="auto" w:fill="auto"/>
            <w:hideMark/>
          </w:tcPr>
          <w:p w14:paraId="7E08DCAC" w14:textId="77777777" w:rsidR="001C2631" w:rsidRPr="00410677" w:rsidRDefault="001C2631" w:rsidP="00A30867">
            <w:pPr>
              <w:pStyle w:val="Tables"/>
              <w:jc w:val="right"/>
            </w:pPr>
            <w:r w:rsidRPr="00410677">
              <w:t xml:space="preserve">100 </w:t>
            </w:r>
          </w:p>
        </w:tc>
      </w:tr>
      <w:tr w:rsidR="0082676E" w:rsidRPr="001C2631" w14:paraId="32A56D70" w14:textId="77777777" w:rsidTr="00A30867">
        <w:trPr>
          <w:trHeight w:val="264"/>
        </w:trPr>
        <w:tc>
          <w:tcPr>
            <w:tcW w:w="7375" w:type="dxa"/>
            <w:shd w:val="clear" w:color="auto" w:fill="auto"/>
            <w:hideMark/>
          </w:tcPr>
          <w:p w14:paraId="5BD12964" w14:textId="633E5262" w:rsidR="001C2631" w:rsidRPr="00410677" w:rsidRDefault="0082676E" w:rsidP="00A30867">
            <w:pPr>
              <w:pStyle w:val="Tables"/>
            </w:pPr>
            <w:r w:rsidRPr="00410677">
              <w:t>Percent</w:t>
            </w:r>
            <w:r w:rsidR="001C2631" w:rsidRPr="00410677">
              <w:t xml:space="preserve"> of </w:t>
            </w:r>
            <w:r w:rsidRPr="00410677">
              <w:t xml:space="preserve">CAAP </w:t>
            </w:r>
            <w:r w:rsidR="00A04E1A" w:rsidRPr="00410677">
              <w:t xml:space="preserve">permittees </w:t>
            </w:r>
            <w:r w:rsidR="001C2631" w:rsidRPr="00410677">
              <w:t xml:space="preserve">seeking </w:t>
            </w:r>
            <w:r w:rsidR="00A04E1A" w:rsidRPr="00410677">
              <w:t>general permit coverage</w:t>
            </w:r>
          </w:p>
        </w:tc>
        <w:tc>
          <w:tcPr>
            <w:tcW w:w="1296" w:type="dxa"/>
            <w:shd w:val="clear" w:color="auto" w:fill="auto"/>
            <w:hideMark/>
          </w:tcPr>
          <w:p w14:paraId="022DD087" w14:textId="77777777" w:rsidR="001C2631" w:rsidRPr="00410677" w:rsidRDefault="001C2631" w:rsidP="00A30867">
            <w:pPr>
              <w:pStyle w:val="Tables"/>
              <w:jc w:val="right"/>
            </w:pPr>
            <w:r w:rsidRPr="00410677">
              <w:t>52%</w:t>
            </w:r>
          </w:p>
        </w:tc>
      </w:tr>
      <w:tr w:rsidR="0082676E" w:rsidRPr="001C2631" w14:paraId="20489660" w14:textId="77777777" w:rsidTr="00A30867">
        <w:trPr>
          <w:trHeight w:val="264"/>
        </w:trPr>
        <w:tc>
          <w:tcPr>
            <w:tcW w:w="7375" w:type="dxa"/>
            <w:shd w:val="clear" w:color="auto" w:fill="auto"/>
            <w:hideMark/>
          </w:tcPr>
          <w:p w14:paraId="71A94894" w14:textId="7CCFA0C0" w:rsidR="001C2631" w:rsidRPr="00410677" w:rsidRDefault="001C2631" w:rsidP="00A30867">
            <w:pPr>
              <w:pStyle w:val="Tables"/>
            </w:pPr>
            <w:r w:rsidRPr="00410677">
              <w:t xml:space="preserve">Burden to </w:t>
            </w:r>
            <w:r w:rsidR="00A04E1A" w:rsidRPr="00410677">
              <w:t>develop</w:t>
            </w:r>
            <w:r w:rsidRPr="00410677">
              <w:t>/</w:t>
            </w:r>
            <w:r w:rsidR="00A04E1A" w:rsidRPr="00410677">
              <w:t xml:space="preserve">update </w:t>
            </w:r>
            <w:r w:rsidRPr="00410677">
              <w:t xml:space="preserve">NMP </w:t>
            </w:r>
            <w:r w:rsidR="002436F1" w:rsidRPr="00410677">
              <w:t>(hours)</w:t>
            </w:r>
          </w:p>
        </w:tc>
        <w:tc>
          <w:tcPr>
            <w:tcW w:w="1296" w:type="dxa"/>
            <w:shd w:val="clear" w:color="auto" w:fill="auto"/>
            <w:hideMark/>
          </w:tcPr>
          <w:p w14:paraId="065259B8" w14:textId="7C29097B" w:rsidR="001C2631" w:rsidRPr="00410677" w:rsidRDefault="00DB36A7" w:rsidP="00A30867">
            <w:pPr>
              <w:pStyle w:val="Tables"/>
              <w:jc w:val="right"/>
            </w:pPr>
            <w:r>
              <w:t>170</w:t>
            </w:r>
            <w:r w:rsidR="001C2631" w:rsidRPr="00410677">
              <w:t xml:space="preserve"> </w:t>
            </w:r>
          </w:p>
        </w:tc>
      </w:tr>
    </w:tbl>
    <w:p w14:paraId="55BF8AA0" w14:textId="77777777" w:rsidR="00A25F59" w:rsidRDefault="00A25F59" w:rsidP="0052681B">
      <w:pPr>
        <w:spacing w:after="0"/>
      </w:pPr>
    </w:p>
    <w:p w14:paraId="37F595C0" w14:textId="6105DB3F" w:rsidR="00464181" w:rsidRDefault="00464181" w:rsidP="00871F94">
      <w:pPr>
        <w:pStyle w:val="Caption"/>
      </w:pPr>
      <w:r>
        <w:t xml:space="preserve">Table A.7 </w:t>
      </w:r>
      <w:r w:rsidRPr="00464181">
        <w:t xml:space="preserve">Summary of </w:t>
      </w:r>
      <w:r w:rsidR="005C1913">
        <w:t>B</w:t>
      </w:r>
      <w:r w:rsidRPr="00464181">
        <w:t xml:space="preserve">urden </w:t>
      </w:r>
      <w:r w:rsidR="005C1913">
        <w:t>A</w:t>
      </w:r>
      <w:r w:rsidRPr="00464181">
        <w:t xml:space="preserve">ssumption for </w:t>
      </w:r>
      <w:r>
        <w:t xml:space="preserve">CAFO and CAAP </w:t>
      </w:r>
      <w:r w:rsidR="005C1913">
        <w:t>F</w:t>
      </w:r>
      <w:r>
        <w:t>acilities</w:t>
      </w:r>
    </w:p>
    <w:tbl>
      <w:tblPr>
        <w:tblW w:w="8462" w:type="dxa"/>
        <w:tblInd w:w="-5" w:type="dxa"/>
        <w:tblLook w:val="04A0" w:firstRow="1" w:lastRow="0" w:firstColumn="1" w:lastColumn="0" w:noHBand="0" w:noVBand="1"/>
      </w:tblPr>
      <w:tblGrid>
        <w:gridCol w:w="4860"/>
        <w:gridCol w:w="2430"/>
        <w:gridCol w:w="1172"/>
      </w:tblGrid>
      <w:tr w:rsidR="00464181" w:rsidRPr="00464181" w14:paraId="0D84EF49" w14:textId="77777777" w:rsidTr="00825E24">
        <w:trPr>
          <w:trHeight w:val="264"/>
          <w:tblHeader/>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93B814" w14:textId="77777777" w:rsidR="00464181" w:rsidRPr="00464181" w:rsidRDefault="00464181" w:rsidP="00A30867">
            <w:pPr>
              <w:pStyle w:val="TableTitle"/>
            </w:pPr>
            <w:r w:rsidRPr="00464181">
              <w:t>Activity Description</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809B9DF" w14:textId="77777777" w:rsidR="00464181" w:rsidRPr="00464181" w:rsidRDefault="00464181" w:rsidP="00A30867">
            <w:pPr>
              <w:pStyle w:val="TableTitle"/>
            </w:pPr>
            <w:r w:rsidRPr="00464181">
              <w:t>Frequency</w:t>
            </w:r>
          </w:p>
        </w:tc>
        <w:tc>
          <w:tcPr>
            <w:tcW w:w="11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2C7B59" w14:textId="77777777" w:rsidR="00464181" w:rsidRPr="00464181" w:rsidRDefault="00464181" w:rsidP="00A30867">
            <w:pPr>
              <w:pStyle w:val="TableTitle"/>
            </w:pPr>
            <w:r w:rsidRPr="00464181">
              <w:t>Hours per Response</w:t>
            </w:r>
          </w:p>
        </w:tc>
      </w:tr>
      <w:tr w:rsidR="00464181" w:rsidRPr="00464181" w14:paraId="06E230EB" w14:textId="77777777" w:rsidTr="00825E24">
        <w:trPr>
          <w:trHeight w:val="264"/>
        </w:trPr>
        <w:tc>
          <w:tcPr>
            <w:tcW w:w="84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DC70DA" w14:textId="77777777" w:rsidR="00464181" w:rsidRPr="00464181" w:rsidRDefault="00464181" w:rsidP="00A30867">
            <w:pPr>
              <w:pStyle w:val="TableTitle"/>
            </w:pPr>
            <w:r w:rsidRPr="00464181">
              <w:t>CAFOs</w:t>
            </w:r>
          </w:p>
        </w:tc>
      </w:tr>
      <w:tr w:rsidR="00464181" w:rsidRPr="00464181" w14:paraId="5369F4C0"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E7B530E" w14:textId="2AAA1569" w:rsidR="00464181" w:rsidRPr="00464181" w:rsidRDefault="00903C14" w:rsidP="00A30867">
            <w:pPr>
              <w:pStyle w:val="Tables"/>
            </w:pPr>
            <w:r>
              <w:t>Read rule, d</w:t>
            </w:r>
            <w:r w:rsidR="00464181" w:rsidRPr="00464181">
              <w:t xml:space="preserve">etermine </w:t>
            </w:r>
            <w:r>
              <w:t>r</w:t>
            </w:r>
            <w:r w:rsidR="00464181" w:rsidRPr="00464181">
              <w:t xml:space="preserve">equirements and </w:t>
            </w:r>
            <w:r>
              <w:t>p</w:t>
            </w:r>
            <w:r w:rsidR="00464181" w:rsidRPr="00464181">
              <w:t>lan</w:t>
            </w:r>
          </w:p>
        </w:tc>
        <w:tc>
          <w:tcPr>
            <w:tcW w:w="2430" w:type="dxa"/>
            <w:tcBorders>
              <w:top w:val="nil"/>
              <w:left w:val="nil"/>
              <w:bottom w:val="single" w:sz="4" w:space="0" w:color="auto"/>
              <w:right w:val="single" w:sz="4" w:space="0" w:color="auto"/>
            </w:tcBorders>
            <w:shd w:val="clear" w:color="auto" w:fill="auto"/>
            <w:noWrap/>
            <w:vAlign w:val="bottom"/>
            <w:hideMark/>
          </w:tcPr>
          <w:p w14:paraId="4C2E15F4" w14:textId="77777777" w:rsidR="00464181" w:rsidRPr="00464181" w:rsidRDefault="00464181" w:rsidP="00A30867">
            <w:pPr>
              <w:pStyle w:val="Tables"/>
            </w:pPr>
            <w:r w:rsidRPr="00464181">
              <w:t>Once</w:t>
            </w:r>
          </w:p>
        </w:tc>
        <w:tc>
          <w:tcPr>
            <w:tcW w:w="1172" w:type="dxa"/>
            <w:tcBorders>
              <w:top w:val="nil"/>
              <w:left w:val="nil"/>
              <w:bottom w:val="single" w:sz="4" w:space="0" w:color="auto"/>
              <w:right w:val="single" w:sz="4" w:space="0" w:color="auto"/>
            </w:tcBorders>
            <w:shd w:val="clear" w:color="auto" w:fill="auto"/>
            <w:noWrap/>
            <w:hideMark/>
          </w:tcPr>
          <w:p w14:paraId="1F0D11A0" w14:textId="5A0425D3" w:rsidR="00464181" w:rsidRPr="00464181" w:rsidRDefault="00D25239" w:rsidP="00A30867">
            <w:pPr>
              <w:pStyle w:val="Tables"/>
              <w:jc w:val="right"/>
            </w:pPr>
            <w:r>
              <w:t>3</w:t>
            </w:r>
          </w:p>
        </w:tc>
      </w:tr>
      <w:tr w:rsidR="00464181" w:rsidRPr="00464181" w14:paraId="6A395847"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2DF4A7C" w14:textId="6C2BF0D5" w:rsidR="00464181" w:rsidRPr="00464181" w:rsidRDefault="00903C14" w:rsidP="00A30867">
            <w:pPr>
              <w:pStyle w:val="Tables"/>
            </w:pPr>
            <w:r w:rsidRPr="00903C14">
              <w:t>Complete/renew permit/NOI</w:t>
            </w:r>
          </w:p>
        </w:tc>
        <w:tc>
          <w:tcPr>
            <w:tcW w:w="2430" w:type="dxa"/>
            <w:tcBorders>
              <w:top w:val="nil"/>
              <w:left w:val="nil"/>
              <w:bottom w:val="single" w:sz="4" w:space="0" w:color="auto"/>
              <w:right w:val="single" w:sz="4" w:space="0" w:color="auto"/>
            </w:tcBorders>
            <w:shd w:val="clear" w:color="auto" w:fill="auto"/>
            <w:noWrap/>
            <w:vAlign w:val="bottom"/>
            <w:hideMark/>
          </w:tcPr>
          <w:p w14:paraId="6B393DA1"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0DFE2760" w14:textId="0B40A4FD" w:rsidR="00464181" w:rsidRPr="00464181" w:rsidRDefault="00464181" w:rsidP="00A30867">
            <w:pPr>
              <w:pStyle w:val="Tables"/>
              <w:jc w:val="right"/>
            </w:pPr>
            <w:r w:rsidRPr="00464181">
              <w:t>9</w:t>
            </w:r>
          </w:p>
        </w:tc>
      </w:tr>
      <w:tr w:rsidR="00464181" w:rsidRPr="00464181" w14:paraId="16DF4E17"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4FC83CB" w14:textId="6CC30BC5" w:rsidR="00464181" w:rsidRPr="00464181" w:rsidRDefault="00903C14" w:rsidP="00A30867">
            <w:pPr>
              <w:pStyle w:val="Tables"/>
            </w:pPr>
            <w:r w:rsidRPr="00903C14">
              <w:t>Develop/update NMP</w:t>
            </w:r>
          </w:p>
        </w:tc>
        <w:tc>
          <w:tcPr>
            <w:tcW w:w="2430" w:type="dxa"/>
            <w:tcBorders>
              <w:top w:val="nil"/>
              <w:left w:val="nil"/>
              <w:bottom w:val="single" w:sz="4" w:space="0" w:color="auto"/>
              <w:right w:val="single" w:sz="4" w:space="0" w:color="auto"/>
            </w:tcBorders>
            <w:shd w:val="clear" w:color="auto" w:fill="auto"/>
            <w:noWrap/>
            <w:vAlign w:val="bottom"/>
            <w:hideMark/>
          </w:tcPr>
          <w:p w14:paraId="5658E114"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2ABFB068" w14:textId="05C63EF2" w:rsidR="00464181" w:rsidRPr="00464181" w:rsidRDefault="00903C14" w:rsidP="00A30867">
            <w:pPr>
              <w:pStyle w:val="Tables"/>
              <w:jc w:val="right"/>
            </w:pPr>
            <w:r>
              <w:t>170</w:t>
            </w:r>
          </w:p>
        </w:tc>
      </w:tr>
      <w:tr w:rsidR="00464181" w:rsidRPr="00464181" w14:paraId="070484E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FE0AA3D" w14:textId="57430CB9" w:rsidR="00464181" w:rsidRPr="00464181" w:rsidRDefault="00464181" w:rsidP="00A30867">
            <w:pPr>
              <w:pStyle w:val="Tables"/>
            </w:pPr>
            <w:r w:rsidRPr="00464181">
              <w:t>Prepare and submit annual report</w:t>
            </w:r>
          </w:p>
        </w:tc>
        <w:tc>
          <w:tcPr>
            <w:tcW w:w="2430" w:type="dxa"/>
            <w:tcBorders>
              <w:top w:val="nil"/>
              <w:left w:val="nil"/>
              <w:bottom w:val="single" w:sz="4" w:space="0" w:color="auto"/>
              <w:right w:val="single" w:sz="4" w:space="0" w:color="auto"/>
            </w:tcBorders>
            <w:shd w:val="clear" w:color="auto" w:fill="auto"/>
            <w:noWrap/>
            <w:vAlign w:val="bottom"/>
            <w:hideMark/>
          </w:tcPr>
          <w:p w14:paraId="78EFBA9A" w14:textId="77777777" w:rsidR="00464181" w:rsidRPr="00464181" w:rsidRDefault="00464181" w:rsidP="00A30867">
            <w:pPr>
              <w:pStyle w:val="Tables"/>
            </w:pPr>
            <w:r w:rsidRPr="00464181">
              <w:t>Yearly</w:t>
            </w:r>
          </w:p>
        </w:tc>
        <w:tc>
          <w:tcPr>
            <w:tcW w:w="1172" w:type="dxa"/>
            <w:tcBorders>
              <w:top w:val="nil"/>
              <w:left w:val="nil"/>
              <w:bottom w:val="single" w:sz="4" w:space="0" w:color="auto"/>
              <w:right w:val="single" w:sz="4" w:space="0" w:color="auto"/>
            </w:tcBorders>
            <w:shd w:val="clear" w:color="auto" w:fill="auto"/>
            <w:noWrap/>
            <w:hideMark/>
          </w:tcPr>
          <w:p w14:paraId="1FD69AFC" w14:textId="77777777" w:rsidR="00464181" w:rsidRPr="00464181" w:rsidRDefault="00464181" w:rsidP="00A30867">
            <w:pPr>
              <w:pStyle w:val="Tables"/>
              <w:jc w:val="right"/>
            </w:pPr>
            <w:r w:rsidRPr="00464181">
              <w:t>2</w:t>
            </w:r>
          </w:p>
        </w:tc>
      </w:tr>
      <w:tr w:rsidR="00464181" w:rsidRPr="00464181" w14:paraId="110EA1C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63ED0C2" w14:textId="0A1D5A68" w:rsidR="00464181" w:rsidRPr="00464181" w:rsidRDefault="00464181" w:rsidP="00A30867">
            <w:pPr>
              <w:pStyle w:val="Tables"/>
            </w:pPr>
            <w:r w:rsidRPr="00464181">
              <w:t>Recordkeeping</w:t>
            </w:r>
          </w:p>
        </w:tc>
        <w:tc>
          <w:tcPr>
            <w:tcW w:w="2430" w:type="dxa"/>
            <w:tcBorders>
              <w:top w:val="nil"/>
              <w:left w:val="nil"/>
              <w:bottom w:val="single" w:sz="4" w:space="0" w:color="auto"/>
              <w:right w:val="single" w:sz="4" w:space="0" w:color="auto"/>
            </w:tcBorders>
            <w:shd w:val="clear" w:color="auto" w:fill="auto"/>
            <w:noWrap/>
            <w:vAlign w:val="bottom"/>
            <w:hideMark/>
          </w:tcPr>
          <w:p w14:paraId="22DB6371" w14:textId="77777777" w:rsidR="00464181" w:rsidRPr="00464181" w:rsidRDefault="00464181" w:rsidP="00A30867">
            <w:pPr>
              <w:pStyle w:val="Tables"/>
            </w:pPr>
            <w:r w:rsidRPr="00464181">
              <w:t>Yearly</w:t>
            </w:r>
          </w:p>
        </w:tc>
        <w:tc>
          <w:tcPr>
            <w:tcW w:w="1172" w:type="dxa"/>
            <w:tcBorders>
              <w:top w:val="nil"/>
              <w:left w:val="nil"/>
              <w:bottom w:val="single" w:sz="4" w:space="0" w:color="auto"/>
              <w:right w:val="single" w:sz="4" w:space="0" w:color="auto"/>
            </w:tcBorders>
            <w:shd w:val="clear" w:color="auto" w:fill="auto"/>
            <w:noWrap/>
            <w:hideMark/>
          </w:tcPr>
          <w:p w14:paraId="5582AC08" w14:textId="090A294B" w:rsidR="00464181" w:rsidRPr="00464181" w:rsidRDefault="00464181" w:rsidP="00A30867">
            <w:pPr>
              <w:pStyle w:val="Tables"/>
              <w:jc w:val="right"/>
            </w:pPr>
            <w:r w:rsidRPr="00464181">
              <w:t>80</w:t>
            </w:r>
          </w:p>
        </w:tc>
      </w:tr>
      <w:tr w:rsidR="00464181" w:rsidRPr="00464181" w14:paraId="1D700A60"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8C0869F" w14:textId="77777777" w:rsidR="00464181" w:rsidRPr="00464181" w:rsidRDefault="00464181" w:rsidP="00A30867">
            <w:pPr>
              <w:pStyle w:val="Tables"/>
            </w:pPr>
            <w:r w:rsidRPr="00464181">
              <w:t>Inspection</w:t>
            </w:r>
          </w:p>
        </w:tc>
        <w:tc>
          <w:tcPr>
            <w:tcW w:w="2430" w:type="dxa"/>
            <w:tcBorders>
              <w:top w:val="nil"/>
              <w:left w:val="nil"/>
              <w:bottom w:val="single" w:sz="4" w:space="0" w:color="auto"/>
              <w:right w:val="single" w:sz="4" w:space="0" w:color="auto"/>
            </w:tcBorders>
            <w:shd w:val="clear" w:color="auto" w:fill="auto"/>
            <w:noWrap/>
            <w:vAlign w:val="bottom"/>
            <w:hideMark/>
          </w:tcPr>
          <w:p w14:paraId="7CF95681"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04787D6A" w14:textId="77777777" w:rsidR="00464181" w:rsidRPr="00464181" w:rsidRDefault="00464181" w:rsidP="00A30867">
            <w:pPr>
              <w:pStyle w:val="Tables"/>
              <w:jc w:val="right"/>
            </w:pPr>
            <w:r w:rsidRPr="00464181">
              <w:t>4</w:t>
            </w:r>
          </w:p>
        </w:tc>
      </w:tr>
      <w:tr w:rsidR="00464181" w:rsidRPr="00464181" w14:paraId="45D6AC1D" w14:textId="77777777" w:rsidTr="00825E24">
        <w:trPr>
          <w:trHeight w:val="264"/>
        </w:trPr>
        <w:tc>
          <w:tcPr>
            <w:tcW w:w="84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4AC78F" w14:textId="77777777" w:rsidR="00464181" w:rsidRPr="00464181" w:rsidRDefault="00464181" w:rsidP="00A30867">
            <w:pPr>
              <w:pStyle w:val="TableTitle"/>
            </w:pPr>
            <w:r w:rsidRPr="00464181">
              <w:t>CAAPs</w:t>
            </w:r>
          </w:p>
        </w:tc>
      </w:tr>
      <w:tr w:rsidR="00464181" w:rsidRPr="00464181" w14:paraId="6B7A1688"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795B56B" w14:textId="38EC28DF" w:rsidR="00464181" w:rsidRPr="00464181" w:rsidRDefault="00464181" w:rsidP="00A30867">
            <w:pPr>
              <w:pStyle w:val="Tables"/>
            </w:pPr>
            <w:r w:rsidRPr="00464181">
              <w:t xml:space="preserve">Form 2B for CAAP </w:t>
            </w:r>
            <w:r>
              <w:t>f</w:t>
            </w:r>
            <w:r w:rsidRPr="00464181">
              <w:t>acilities</w:t>
            </w:r>
          </w:p>
        </w:tc>
        <w:tc>
          <w:tcPr>
            <w:tcW w:w="2430" w:type="dxa"/>
            <w:tcBorders>
              <w:top w:val="nil"/>
              <w:left w:val="nil"/>
              <w:bottom w:val="single" w:sz="4" w:space="0" w:color="auto"/>
              <w:right w:val="single" w:sz="4" w:space="0" w:color="auto"/>
            </w:tcBorders>
            <w:shd w:val="clear" w:color="auto" w:fill="auto"/>
            <w:noWrap/>
            <w:vAlign w:val="bottom"/>
            <w:hideMark/>
          </w:tcPr>
          <w:p w14:paraId="255D9E64"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139237F9" w14:textId="77777777" w:rsidR="00464181" w:rsidRPr="00464181" w:rsidRDefault="00464181" w:rsidP="00A30867">
            <w:pPr>
              <w:pStyle w:val="Tables"/>
              <w:jc w:val="right"/>
            </w:pPr>
            <w:r w:rsidRPr="00464181">
              <w:t>6</w:t>
            </w:r>
          </w:p>
        </w:tc>
      </w:tr>
      <w:tr w:rsidR="00464181" w:rsidRPr="00464181" w14:paraId="480F03F1"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5BF5FC2" w14:textId="38D17DDB" w:rsidR="00464181" w:rsidRPr="00464181" w:rsidRDefault="00464181" w:rsidP="00A30867">
            <w:pPr>
              <w:pStyle w:val="Tables"/>
            </w:pPr>
            <w:r w:rsidRPr="00464181">
              <w:t>Complete notice of intent for general permit</w:t>
            </w:r>
          </w:p>
        </w:tc>
        <w:tc>
          <w:tcPr>
            <w:tcW w:w="2430" w:type="dxa"/>
            <w:tcBorders>
              <w:top w:val="nil"/>
              <w:left w:val="nil"/>
              <w:bottom w:val="single" w:sz="4" w:space="0" w:color="auto"/>
              <w:right w:val="single" w:sz="4" w:space="0" w:color="auto"/>
            </w:tcBorders>
            <w:shd w:val="clear" w:color="auto" w:fill="auto"/>
            <w:noWrap/>
            <w:vAlign w:val="bottom"/>
            <w:hideMark/>
          </w:tcPr>
          <w:p w14:paraId="59C97529"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20A07E03" w14:textId="77777777" w:rsidR="00464181" w:rsidRPr="00464181" w:rsidRDefault="00464181" w:rsidP="00A30867">
            <w:pPr>
              <w:pStyle w:val="Tables"/>
              <w:jc w:val="right"/>
            </w:pPr>
            <w:r w:rsidRPr="00464181">
              <w:t>2</w:t>
            </w:r>
          </w:p>
        </w:tc>
      </w:tr>
      <w:tr w:rsidR="00464181" w:rsidRPr="00464181" w14:paraId="7C585A3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3172001" w14:textId="492FF1DE" w:rsidR="00464181" w:rsidRPr="00464181" w:rsidRDefault="00464181" w:rsidP="00A30867">
            <w:pPr>
              <w:pStyle w:val="Tables"/>
            </w:pPr>
            <w:r w:rsidRPr="00464181">
              <w:t>BMP plan development</w:t>
            </w:r>
          </w:p>
        </w:tc>
        <w:tc>
          <w:tcPr>
            <w:tcW w:w="2430" w:type="dxa"/>
            <w:tcBorders>
              <w:top w:val="nil"/>
              <w:left w:val="nil"/>
              <w:bottom w:val="single" w:sz="4" w:space="0" w:color="auto"/>
              <w:right w:val="single" w:sz="4" w:space="0" w:color="auto"/>
            </w:tcBorders>
            <w:shd w:val="clear" w:color="auto" w:fill="auto"/>
            <w:noWrap/>
            <w:vAlign w:val="bottom"/>
            <w:hideMark/>
          </w:tcPr>
          <w:p w14:paraId="2933659C"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33CDE1B3" w14:textId="77777777" w:rsidR="00464181" w:rsidRPr="00464181" w:rsidRDefault="00464181" w:rsidP="00A30867">
            <w:pPr>
              <w:pStyle w:val="Tables"/>
              <w:jc w:val="right"/>
            </w:pPr>
            <w:r w:rsidRPr="00464181">
              <w:t>40</w:t>
            </w:r>
          </w:p>
        </w:tc>
      </w:tr>
      <w:tr w:rsidR="00464181" w:rsidRPr="00464181" w14:paraId="36D1A4B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4897659" w14:textId="7D3EF394" w:rsidR="00464181" w:rsidRPr="00464181" w:rsidRDefault="00464181" w:rsidP="00A30867">
            <w:pPr>
              <w:pStyle w:val="Tables"/>
            </w:pPr>
            <w:r w:rsidRPr="00464181">
              <w:t>BMP training</w:t>
            </w:r>
          </w:p>
        </w:tc>
        <w:tc>
          <w:tcPr>
            <w:tcW w:w="2430" w:type="dxa"/>
            <w:tcBorders>
              <w:top w:val="nil"/>
              <w:left w:val="nil"/>
              <w:bottom w:val="single" w:sz="4" w:space="0" w:color="auto"/>
              <w:right w:val="single" w:sz="4" w:space="0" w:color="auto"/>
            </w:tcBorders>
            <w:shd w:val="clear" w:color="auto" w:fill="auto"/>
            <w:noWrap/>
            <w:vAlign w:val="bottom"/>
            <w:hideMark/>
          </w:tcPr>
          <w:p w14:paraId="088E1F1C" w14:textId="77777777" w:rsidR="00464181" w:rsidRPr="00464181" w:rsidRDefault="00464181" w:rsidP="00A30867">
            <w:pPr>
              <w:pStyle w:val="Tables"/>
            </w:pPr>
            <w:r w:rsidRPr="00464181">
              <w:t>Yearly</w:t>
            </w:r>
          </w:p>
        </w:tc>
        <w:tc>
          <w:tcPr>
            <w:tcW w:w="1172" w:type="dxa"/>
            <w:tcBorders>
              <w:top w:val="nil"/>
              <w:left w:val="nil"/>
              <w:bottom w:val="single" w:sz="4" w:space="0" w:color="auto"/>
              <w:right w:val="single" w:sz="4" w:space="0" w:color="auto"/>
            </w:tcBorders>
            <w:shd w:val="clear" w:color="auto" w:fill="auto"/>
            <w:noWrap/>
            <w:hideMark/>
          </w:tcPr>
          <w:p w14:paraId="4F4C226E" w14:textId="77777777" w:rsidR="00464181" w:rsidRPr="00464181" w:rsidRDefault="00464181" w:rsidP="00A30867">
            <w:pPr>
              <w:pStyle w:val="Tables"/>
              <w:jc w:val="right"/>
            </w:pPr>
            <w:r w:rsidRPr="00464181">
              <w:t>6</w:t>
            </w:r>
          </w:p>
        </w:tc>
      </w:tr>
      <w:tr w:rsidR="00464181" w:rsidRPr="00464181" w14:paraId="0263CD7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3A8B049" w14:textId="4DBD115B" w:rsidR="00464181" w:rsidRPr="00464181" w:rsidRDefault="00464181" w:rsidP="00A30867">
            <w:pPr>
              <w:pStyle w:val="Tables"/>
            </w:pPr>
            <w:r w:rsidRPr="00464181">
              <w:t>BMP plan</w:t>
            </w:r>
          </w:p>
        </w:tc>
        <w:tc>
          <w:tcPr>
            <w:tcW w:w="2430" w:type="dxa"/>
            <w:tcBorders>
              <w:top w:val="nil"/>
              <w:left w:val="nil"/>
              <w:bottom w:val="single" w:sz="4" w:space="0" w:color="auto"/>
              <w:right w:val="single" w:sz="4" w:space="0" w:color="auto"/>
            </w:tcBorders>
            <w:shd w:val="clear" w:color="auto" w:fill="auto"/>
            <w:noWrap/>
            <w:vAlign w:val="bottom"/>
            <w:hideMark/>
          </w:tcPr>
          <w:p w14:paraId="197FB604" w14:textId="77777777" w:rsidR="00464181" w:rsidRPr="00464181" w:rsidRDefault="00464181" w:rsidP="00A30867">
            <w:pPr>
              <w:pStyle w:val="Tables"/>
            </w:pPr>
            <w:r w:rsidRPr="00464181">
              <w:t>Once every 5 years</w:t>
            </w:r>
          </w:p>
        </w:tc>
        <w:tc>
          <w:tcPr>
            <w:tcW w:w="1172" w:type="dxa"/>
            <w:tcBorders>
              <w:top w:val="nil"/>
              <w:left w:val="nil"/>
              <w:bottom w:val="single" w:sz="4" w:space="0" w:color="auto"/>
              <w:right w:val="single" w:sz="4" w:space="0" w:color="auto"/>
            </w:tcBorders>
            <w:shd w:val="clear" w:color="auto" w:fill="auto"/>
            <w:noWrap/>
            <w:hideMark/>
          </w:tcPr>
          <w:p w14:paraId="53767498" w14:textId="77777777" w:rsidR="00464181" w:rsidRPr="00464181" w:rsidRDefault="00464181" w:rsidP="00A30867">
            <w:pPr>
              <w:pStyle w:val="Tables"/>
              <w:jc w:val="right"/>
            </w:pPr>
            <w:r w:rsidRPr="00464181">
              <w:t>1.25</w:t>
            </w:r>
          </w:p>
        </w:tc>
      </w:tr>
      <w:tr w:rsidR="00464181" w:rsidRPr="00464181" w14:paraId="3341EAA5"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9CD93A3" w14:textId="345116E9" w:rsidR="00464181" w:rsidRPr="00464181" w:rsidRDefault="009B0BA6" w:rsidP="00A30867">
            <w:pPr>
              <w:pStyle w:val="Tables"/>
            </w:pPr>
            <w:r>
              <w:t>I</w:t>
            </w:r>
            <w:r w:rsidRPr="009B0BA6">
              <w:t xml:space="preserve">nvestigational new animal drugs </w:t>
            </w:r>
            <w:r>
              <w:t>(</w:t>
            </w:r>
            <w:r w:rsidR="00464181" w:rsidRPr="00464181">
              <w:t>INAD</w:t>
            </w:r>
            <w:r>
              <w:t>)</w:t>
            </w:r>
            <w:r w:rsidR="00464181" w:rsidRPr="00464181">
              <w:t xml:space="preserve"> program sign-up report</w:t>
            </w:r>
          </w:p>
        </w:tc>
        <w:tc>
          <w:tcPr>
            <w:tcW w:w="2430" w:type="dxa"/>
            <w:tcBorders>
              <w:top w:val="nil"/>
              <w:left w:val="nil"/>
              <w:bottom w:val="single" w:sz="4" w:space="0" w:color="auto"/>
              <w:right w:val="single" w:sz="4" w:space="0" w:color="auto"/>
            </w:tcBorders>
            <w:shd w:val="clear" w:color="auto" w:fill="auto"/>
            <w:noWrap/>
            <w:vAlign w:val="bottom"/>
            <w:hideMark/>
          </w:tcPr>
          <w:p w14:paraId="6EA5AC68" w14:textId="77777777" w:rsidR="00464181" w:rsidRPr="00464181" w:rsidRDefault="00464181" w:rsidP="00A30867">
            <w:pPr>
              <w:pStyle w:val="Tables"/>
            </w:pPr>
            <w:r w:rsidRPr="00464181">
              <w:t>Occasionally/As Needed</w:t>
            </w:r>
          </w:p>
        </w:tc>
        <w:tc>
          <w:tcPr>
            <w:tcW w:w="1172" w:type="dxa"/>
            <w:tcBorders>
              <w:top w:val="nil"/>
              <w:left w:val="nil"/>
              <w:bottom w:val="single" w:sz="4" w:space="0" w:color="auto"/>
              <w:right w:val="single" w:sz="4" w:space="0" w:color="auto"/>
            </w:tcBorders>
            <w:shd w:val="clear" w:color="auto" w:fill="auto"/>
            <w:noWrap/>
            <w:hideMark/>
          </w:tcPr>
          <w:p w14:paraId="64D3FA9B" w14:textId="77777777" w:rsidR="00464181" w:rsidRPr="00464181" w:rsidRDefault="00464181" w:rsidP="00A30867">
            <w:pPr>
              <w:pStyle w:val="Tables"/>
              <w:jc w:val="right"/>
            </w:pPr>
            <w:r w:rsidRPr="00464181">
              <w:t>1</w:t>
            </w:r>
          </w:p>
        </w:tc>
      </w:tr>
      <w:tr w:rsidR="00464181" w:rsidRPr="00464181" w14:paraId="722D0EDA"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2D389B9" w14:textId="5F7FCBB1" w:rsidR="00464181" w:rsidRPr="00464181" w:rsidRDefault="00464181" w:rsidP="00A30867">
            <w:pPr>
              <w:pStyle w:val="Tables"/>
            </w:pPr>
            <w:r w:rsidRPr="00464181">
              <w:t>INAD or extra-label use report</w:t>
            </w:r>
          </w:p>
        </w:tc>
        <w:tc>
          <w:tcPr>
            <w:tcW w:w="2430" w:type="dxa"/>
            <w:tcBorders>
              <w:top w:val="nil"/>
              <w:left w:val="nil"/>
              <w:bottom w:val="single" w:sz="4" w:space="0" w:color="auto"/>
              <w:right w:val="single" w:sz="4" w:space="0" w:color="auto"/>
            </w:tcBorders>
            <w:shd w:val="clear" w:color="auto" w:fill="auto"/>
            <w:noWrap/>
            <w:vAlign w:val="bottom"/>
            <w:hideMark/>
          </w:tcPr>
          <w:p w14:paraId="08572027" w14:textId="77777777" w:rsidR="00464181" w:rsidRPr="00464181" w:rsidRDefault="00464181" w:rsidP="00A30867">
            <w:pPr>
              <w:pStyle w:val="Tables"/>
            </w:pPr>
            <w:r w:rsidRPr="00464181">
              <w:t>Occasionally/As Needed</w:t>
            </w:r>
          </w:p>
        </w:tc>
        <w:tc>
          <w:tcPr>
            <w:tcW w:w="1172" w:type="dxa"/>
            <w:tcBorders>
              <w:top w:val="nil"/>
              <w:left w:val="nil"/>
              <w:bottom w:val="single" w:sz="4" w:space="0" w:color="auto"/>
              <w:right w:val="single" w:sz="4" w:space="0" w:color="auto"/>
            </w:tcBorders>
            <w:shd w:val="clear" w:color="auto" w:fill="auto"/>
            <w:noWrap/>
            <w:hideMark/>
          </w:tcPr>
          <w:p w14:paraId="11793684" w14:textId="77777777" w:rsidR="00464181" w:rsidRPr="00464181" w:rsidRDefault="00464181" w:rsidP="00A30867">
            <w:pPr>
              <w:pStyle w:val="Tables"/>
              <w:jc w:val="right"/>
            </w:pPr>
            <w:r w:rsidRPr="00464181">
              <w:t>1.5</w:t>
            </w:r>
          </w:p>
        </w:tc>
      </w:tr>
      <w:tr w:rsidR="00464181" w:rsidRPr="00464181" w14:paraId="3143588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59FB8E5" w14:textId="19F7F833" w:rsidR="00464181" w:rsidRPr="00464181" w:rsidRDefault="00464181" w:rsidP="00A30867">
            <w:pPr>
              <w:pStyle w:val="Tables"/>
            </w:pPr>
            <w:r w:rsidRPr="00464181">
              <w:t>Structural failure report</w:t>
            </w:r>
          </w:p>
        </w:tc>
        <w:tc>
          <w:tcPr>
            <w:tcW w:w="2430" w:type="dxa"/>
            <w:tcBorders>
              <w:top w:val="nil"/>
              <w:left w:val="nil"/>
              <w:bottom w:val="single" w:sz="4" w:space="0" w:color="auto"/>
              <w:right w:val="single" w:sz="4" w:space="0" w:color="auto"/>
            </w:tcBorders>
            <w:shd w:val="clear" w:color="auto" w:fill="auto"/>
            <w:noWrap/>
            <w:vAlign w:val="bottom"/>
            <w:hideMark/>
          </w:tcPr>
          <w:p w14:paraId="1B84F672" w14:textId="77777777" w:rsidR="00464181" w:rsidRPr="00464181" w:rsidRDefault="00464181" w:rsidP="00A30867">
            <w:pPr>
              <w:pStyle w:val="Tables"/>
            </w:pPr>
            <w:r w:rsidRPr="00464181">
              <w:t>Occasionally/As Needed</w:t>
            </w:r>
          </w:p>
        </w:tc>
        <w:tc>
          <w:tcPr>
            <w:tcW w:w="1172" w:type="dxa"/>
            <w:tcBorders>
              <w:top w:val="nil"/>
              <w:left w:val="nil"/>
              <w:bottom w:val="single" w:sz="4" w:space="0" w:color="auto"/>
              <w:right w:val="single" w:sz="4" w:space="0" w:color="auto"/>
            </w:tcBorders>
            <w:shd w:val="clear" w:color="auto" w:fill="auto"/>
            <w:noWrap/>
            <w:hideMark/>
          </w:tcPr>
          <w:p w14:paraId="56EF314E" w14:textId="77777777" w:rsidR="00464181" w:rsidRPr="00464181" w:rsidRDefault="00464181" w:rsidP="00A30867">
            <w:pPr>
              <w:pStyle w:val="Tables"/>
              <w:jc w:val="right"/>
            </w:pPr>
            <w:r w:rsidRPr="00464181">
              <w:t>5</w:t>
            </w:r>
          </w:p>
        </w:tc>
      </w:tr>
      <w:tr w:rsidR="00464181" w:rsidRPr="00464181" w14:paraId="1BD399F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FA7E8B0" w14:textId="6C185C48" w:rsidR="00464181" w:rsidRPr="00464181" w:rsidRDefault="00464181" w:rsidP="00A30867">
            <w:pPr>
              <w:pStyle w:val="Tables"/>
            </w:pPr>
            <w:r w:rsidRPr="00464181">
              <w:t>Spill report</w:t>
            </w:r>
          </w:p>
        </w:tc>
        <w:tc>
          <w:tcPr>
            <w:tcW w:w="2430" w:type="dxa"/>
            <w:tcBorders>
              <w:top w:val="nil"/>
              <w:left w:val="nil"/>
              <w:bottom w:val="single" w:sz="4" w:space="0" w:color="auto"/>
              <w:right w:val="single" w:sz="4" w:space="0" w:color="auto"/>
            </w:tcBorders>
            <w:shd w:val="clear" w:color="auto" w:fill="auto"/>
            <w:noWrap/>
            <w:vAlign w:val="bottom"/>
            <w:hideMark/>
          </w:tcPr>
          <w:p w14:paraId="6796AA3C" w14:textId="77777777" w:rsidR="00464181" w:rsidRPr="00464181" w:rsidRDefault="00464181" w:rsidP="00A30867">
            <w:pPr>
              <w:pStyle w:val="Tables"/>
            </w:pPr>
            <w:r w:rsidRPr="00464181">
              <w:t>Occasionally/As Needed</w:t>
            </w:r>
          </w:p>
        </w:tc>
        <w:tc>
          <w:tcPr>
            <w:tcW w:w="1172" w:type="dxa"/>
            <w:tcBorders>
              <w:top w:val="nil"/>
              <w:left w:val="nil"/>
              <w:bottom w:val="single" w:sz="4" w:space="0" w:color="auto"/>
              <w:right w:val="single" w:sz="4" w:space="0" w:color="auto"/>
            </w:tcBorders>
            <w:shd w:val="clear" w:color="auto" w:fill="auto"/>
            <w:noWrap/>
            <w:hideMark/>
          </w:tcPr>
          <w:p w14:paraId="1A0DBB35" w14:textId="77777777" w:rsidR="00464181" w:rsidRPr="00464181" w:rsidRDefault="00464181" w:rsidP="00A30867">
            <w:pPr>
              <w:pStyle w:val="Tables"/>
              <w:jc w:val="right"/>
            </w:pPr>
            <w:r w:rsidRPr="00464181">
              <w:t>2</w:t>
            </w:r>
          </w:p>
        </w:tc>
      </w:tr>
      <w:tr w:rsidR="00464181" w:rsidRPr="00464181" w14:paraId="7B85FAFD"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FC5D3E0" w14:textId="797F5C79" w:rsidR="00464181" w:rsidRPr="00464181" w:rsidRDefault="00464181" w:rsidP="00A30867">
            <w:pPr>
              <w:pStyle w:val="Tables"/>
            </w:pPr>
            <w:r w:rsidRPr="00464181">
              <w:t>Inspection, cleaning, maintenance &amp; repair records</w:t>
            </w:r>
          </w:p>
        </w:tc>
        <w:tc>
          <w:tcPr>
            <w:tcW w:w="2430" w:type="dxa"/>
            <w:tcBorders>
              <w:top w:val="nil"/>
              <w:left w:val="nil"/>
              <w:bottom w:val="single" w:sz="4" w:space="0" w:color="auto"/>
              <w:right w:val="single" w:sz="4" w:space="0" w:color="auto"/>
            </w:tcBorders>
            <w:shd w:val="clear" w:color="auto" w:fill="auto"/>
            <w:noWrap/>
            <w:vAlign w:val="bottom"/>
            <w:hideMark/>
          </w:tcPr>
          <w:p w14:paraId="035DEEA1" w14:textId="77777777" w:rsidR="00464181" w:rsidRPr="00464181" w:rsidRDefault="00464181" w:rsidP="00A30867">
            <w:pPr>
              <w:pStyle w:val="Tables"/>
            </w:pPr>
            <w:r w:rsidRPr="00464181">
              <w:t>Ongoing</w:t>
            </w:r>
          </w:p>
        </w:tc>
        <w:tc>
          <w:tcPr>
            <w:tcW w:w="1172" w:type="dxa"/>
            <w:tcBorders>
              <w:top w:val="nil"/>
              <w:left w:val="nil"/>
              <w:bottom w:val="single" w:sz="4" w:space="0" w:color="auto"/>
              <w:right w:val="single" w:sz="4" w:space="0" w:color="auto"/>
            </w:tcBorders>
            <w:shd w:val="clear" w:color="auto" w:fill="auto"/>
            <w:noWrap/>
            <w:hideMark/>
          </w:tcPr>
          <w:p w14:paraId="45983715" w14:textId="77777777" w:rsidR="00464181" w:rsidRPr="00464181" w:rsidRDefault="00464181" w:rsidP="00A30867">
            <w:pPr>
              <w:pStyle w:val="Tables"/>
              <w:jc w:val="right"/>
            </w:pPr>
            <w:r w:rsidRPr="00464181">
              <w:t>103 to 118</w:t>
            </w:r>
          </w:p>
        </w:tc>
      </w:tr>
    </w:tbl>
    <w:p w14:paraId="4B9B77C7" w14:textId="77777777" w:rsidR="00464181" w:rsidRDefault="00464181" w:rsidP="0052681B">
      <w:pPr>
        <w:spacing w:after="0"/>
      </w:pPr>
    </w:p>
    <w:p w14:paraId="73846C69" w14:textId="77777777" w:rsidR="0085470C" w:rsidRDefault="00A25F59" w:rsidP="00A25F59">
      <w:r w:rsidRPr="00A25F59">
        <w:rPr>
          <w:i/>
        </w:rPr>
        <w:t>States/federal</w:t>
      </w:r>
      <w:r>
        <w:t xml:space="preserve">. </w:t>
      </w:r>
      <w:r w:rsidR="00FC0F16">
        <w:t xml:space="preserve">Table </w:t>
      </w:r>
      <w:r w:rsidR="00FE745C">
        <w:t>A.</w:t>
      </w:r>
      <w:r w:rsidR="00464181">
        <w:t>8</w:t>
      </w:r>
      <w:r w:rsidR="00FE745C">
        <w:t xml:space="preserve"> presents a summary of the burden assumptions for state/federal respondents.</w:t>
      </w:r>
    </w:p>
    <w:p w14:paraId="70549910" w14:textId="0EECC079" w:rsidR="00FE745C" w:rsidRDefault="00FE745C" w:rsidP="00871F94">
      <w:pPr>
        <w:pStyle w:val="Caption"/>
      </w:pPr>
      <w:r>
        <w:t>Table A.</w:t>
      </w:r>
      <w:r w:rsidR="00464181">
        <w:t>8</w:t>
      </w:r>
      <w:r>
        <w:t xml:space="preserve"> Summary of </w:t>
      </w:r>
      <w:r w:rsidR="005C1913">
        <w:t>S</w:t>
      </w:r>
      <w:r w:rsidR="00CE5150">
        <w:t>tate/</w:t>
      </w:r>
      <w:r w:rsidR="005C1913">
        <w:t>F</w:t>
      </w:r>
      <w:r w:rsidR="00CE5150">
        <w:t xml:space="preserve">ederal </w:t>
      </w:r>
      <w:r w:rsidR="005C1913">
        <w:t>B</w:t>
      </w:r>
      <w:r w:rsidR="00CE5150">
        <w:t xml:space="preserve">urden </w:t>
      </w:r>
      <w:r w:rsidR="005C1913">
        <w:t>A</w:t>
      </w:r>
      <w:r w:rsidR="00CE5150">
        <w:t xml:space="preserve">ssumption for </w:t>
      </w:r>
      <w:r w:rsidR="005C1913">
        <w:t>A</w:t>
      </w:r>
      <w:r w:rsidR="00CE5150">
        <w:t xml:space="preserve">nimal </w:t>
      </w:r>
      <w:r w:rsidR="005C1913">
        <w:t>S</w:t>
      </w:r>
      <w:r w:rsidR="00CE5150">
        <w:t>ector</w:t>
      </w:r>
    </w:p>
    <w:tbl>
      <w:tblPr>
        <w:tblW w:w="0" w:type="auto"/>
        <w:tblInd w:w="-5" w:type="dxa"/>
        <w:tblLayout w:type="fixed"/>
        <w:tblLook w:val="04A0" w:firstRow="1" w:lastRow="0" w:firstColumn="1" w:lastColumn="0" w:noHBand="0" w:noVBand="1"/>
      </w:tblPr>
      <w:tblGrid>
        <w:gridCol w:w="4909"/>
        <w:gridCol w:w="2381"/>
        <w:gridCol w:w="1260"/>
      </w:tblGrid>
      <w:tr w:rsidR="00FE745C" w:rsidRPr="00FE745C" w14:paraId="4D4F3480" w14:textId="77777777" w:rsidTr="00825E24">
        <w:trPr>
          <w:trHeight w:val="264"/>
          <w:tblHeader/>
        </w:trPr>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A2444B" w14:textId="77777777" w:rsidR="00FE745C" w:rsidRPr="009616EC" w:rsidRDefault="00FE745C" w:rsidP="00A30867">
            <w:pPr>
              <w:pStyle w:val="TableTitle"/>
            </w:pPr>
            <w:r w:rsidRPr="009616EC">
              <w:t>Activity Description</w:t>
            </w:r>
          </w:p>
        </w:tc>
        <w:tc>
          <w:tcPr>
            <w:tcW w:w="2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22FF9C" w14:textId="77777777" w:rsidR="00FE745C" w:rsidRPr="009616EC" w:rsidRDefault="00FE745C" w:rsidP="00A30867">
            <w:pPr>
              <w:pStyle w:val="TableTitle"/>
            </w:pPr>
            <w:r w:rsidRPr="009616EC">
              <w:t>Frequency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B4E203" w14:textId="77777777" w:rsidR="00FE745C" w:rsidRPr="009616EC" w:rsidRDefault="00FE745C" w:rsidP="00A30867">
            <w:pPr>
              <w:pStyle w:val="TableTitle"/>
            </w:pPr>
            <w:r w:rsidRPr="009616EC">
              <w:t>Hours per Response</w:t>
            </w:r>
          </w:p>
        </w:tc>
      </w:tr>
      <w:tr w:rsidR="007D1B2A" w:rsidRPr="00FE745C" w14:paraId="1A99EFE5" w14:textId="77777777" w:rsidTr="00A30867">
        <w:tc>
          <w:tcPr>
            <w:tcW w:w="4909" w:type="dxa"/>
            <w:tcBorders>
              <w:top w:val="nil"/>
              <w:left w:val="single" w:sz="4" w:space="0" w:color="auto"/>
              <w:bottom w:val="single" w:sz="4" w:space="0" w:color="auto"/>
              <w:right w:val="single" w:sz="4" w:space="0" w:color="auto"/>
            </w:tcBorders>
            <w:shd w:val="clear" w:color="auto" w:fill="auto"/>
          </w:tcPr>
          <w:p w14:paraId="143BCD5C" w14:textId="25CF7189" w:rsidR="007D1B2A" w:rsidRPr="007D1B2A" w:rsidRDefault="007D1B2A" w:rsidP="00A30867">
            <w:pPr>
              <w:pStyle w:val="Tables"/>
            </w:pPr>
            <w:r>
              <w:t>Program modification</w:t>
            </w:r>
          </w:p>
        </w:tc>
        <w:tc>
          <w:tcPr>
            <w:tcW w:w="2381" w:type="dxa"/>
            <w:tcBorders>
              <w:top w:val="nil"/>
              <w:left w:val="nil"/>
              <w:bottom w:val="single" w:sz="4" w:space="0" w:color="auto"/>
              <w:right w:val="single" w:sz="4" w:space="0" w:color="auto"/>
            </w:tcBorders>
            <w:shd w:val="clear" w:color="auto" w:fill="auto"/>
            <w:noWrap/>
          </w:tcPr>
          <w:p w14:paraId="5542081B" w14:textId="55977439" w:rsidR="007D1B2A" w:rsidRPr="00FE745C" w:rsidRDefault="007D1B2A" w:rsidP="00A30867">
            <w:pPr>
              <w:pStyle w:val="Tables"/>
            </w:pPr>
            <w:r>
              <w:t>Occasionally/</w:t>
            </w:r>
            <w:r w:rsidR="00506C9B">
              <w:t>A</w:t>
            </w:r>
            <w:r>
              <w:t xml:space="preserve">s </w:t>
            </w:r>
            <w:r w:rsidR="00280477">
              <w:t>Ne</w:t>
            </w:r>
            <w:r>
              <w:t>eded</w:t>
            </w:r>
          </w:p>
        </w:tc>
        <w:tc>
          <w:tcPr>
            <w:tcW w:w="1260" w:type="dxa"/>
            <w:tcBorders>
              <w:top w:val="nil"/>
              <w:left w:val="nil"/>
              <w:bottom w:val="single" w:sz="4" w:space="0" w:color="auto"/>
              <w:right w:val="single" w:sz="4" w:space="0" w:color="auto"/>
            </w:tcBorders>
            <w:shd w:val="clear" w:color="auto" w:fill="auto"/>
            <w:noWrap/>
          </w:tcPr>
          <w:p w14:paraId="613DCACC" w14:textId="50987EA7" w:rsidR="007D1B2A" w:rsidRPr="00FE745C" w:rsidDel="007D1B2A" w:rsidRDefault="007D1B2A" w:rsidP="00A30867">
            <w:pPr>
              <w:pStyle w:val="Tables"/>
              <w:jc w:val="right"/>
            </w:pPr>
            <w:r>
              <w:t>80</w:t>
            </w:r>
          </w:p>
        </w:tc>
      </w:tr>
      <w:tr w:rsidR="00CE5150" w:rsidRPr="00FE745C" w14:paraId="687AE9AB"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729E012B" w14:textId="555339F6" w:rsidR="00FE745C" w:rsidRPr="00FE745C" w:rsidRDefault="007D1B2A" w:rsidP="00A30867">
            <w:pPr>
              <w:pStyle w:val="Tables"/>
            </w:pPr>
            <w:r w:rsidRPr="007D1B2A">
              <w:t>Review/process permits and NMPs</w:t>
            </w:r>
          </w:p>
        </w:tc>
        <w:tc>
          <w:tcPr>
            <w:tcW w:w="2381" w:type="dxa"/>
            <w:tcBorders>
              <w:top w:val="nil"/>
              <w:left w:val="nil"/>
              <w:bottom w:val="single" w:sz="4" w:space="0" w:color="auto"/>
              <w:right w:val="single" w:sz="4" w:space="0" w:color="auto"/>
            </w:tcBorders>
            <w:shd w:val="clear" w:color="auto" w:fill="auto"/>
            <w:noWrap/>
            <w:hideMark/>
          </w:tcPr>
          <w:p w14:paraId="329FB353" w14:textId="77777777" w:rsidR="00FE745C" w:rsidRPr="00FE745C" w:rsidRDefault="00FE745C" w:rsidP="00A30867">
            <w:pPr>
              <w:pStyle w:val="Tables"/>
            </w:pPr>
            <w:r w:rsidRPr="00FE745C">
              <w:t>Every 5 years</w:t>
            </w:r>
          </w:p>
        </w:tc>
        <w:tc>
          <w:tcPr>
            <w:tcW w:w="1260" w:type="dxa"/>
            <w:tcBorders>
              <w:top w:val="nil"/>
              <w:left w:val="nil"/>
              <w:bottom w:val="single" w:sz="4" w:space="0" w:color="auto"/>
              <w:right w:val="single" w:sz="4" w:space="0" w:color="auto"/>
            </w:tcBorders>
            <w:shd w:val="clear" w:color="auto" w:fill="auto"/>
            <w:noWrap/>
            <w:hideMark/>
          </w:tcPr>
          <w:p w14:paraId="33AF55CA" w14:textId="11A77017" w:rsidR="00FE745C" w:rsidRPr="00FE745C" w:rsidRDefault="007D1B2A" w:rsidP="00A30867">
            <w:pPr>
              <w:pStyle w:val="Tables"/>
              <w:jc w:val="right"/>
            </w:pPr>
            <w:r>
              <w:t>50</w:t>
            </w:r>
          </w:p>
        </w:tc>
      </w:tr>
      <w:tr w:rsidR="00464181" w:rsidRPr="00FE745C" w14:paraId="1A59322B" w14:textId="77777777" w:rsidTr="00A30867">
        <w:trPr>
          <w:trHeight w:val="264"/>
        </w:trPr>
        <w:tc>
          <w:tcPr>
            <w:tcW w:w="4909" w:type="dxa"/>
            <w:tcBorders>
              <w:top w:val="nil"/>
              <w:left w:val="single" w:sz="4" w:space="0" w:color="auto"/>
              <w:bottom w:val="single" w:sz="4" w:space="0" w:color="auto"/>
              <w:right w:val="single" w:sz="4" w:space="0" w:color="auto"/>
            </w:tcBorders>
            <w:shd w:val="clear" w:color="auto" w:fill="auto"/>
            <w:hideMark/>
          </w:tcPr>
          <w:p w14:paraId="4E63234E" w14:textId="5F83EF01" w:rsidR="00FE745C" w:rsidRPr="00FE745C" w:rsidRDefault="007D1B2A" w:rsidP="00A30867">
            <w:pPr>
              <w:pStyle w:val="Tables"/>
            </w:pPr>
            <w:r w:rsidRPr="007D1B2A">
              <w:t>Public hearings/notice</w:t>
            </w:r>
          </w:p>
        </w:tc>
        <w:tc>
          <w:tcPr>
            <w:tcW w:w="2381" w:type="dxa"/>
            <w:tcBorders>
              <w:top w:val="nil"/>
              <w:left w:val="nil"/>
              <w:bottom w:val="single" w:sz="4" w:space="0" w:color="auto"/>
              <w:right w:val="single" w:sz="4" w:space="0" w:color="auto"/>
            </w:tcBorders>
            <w:shd w:val="clear" w:color="auto" w:fill="auto"/>
            <w:noWrap/>
            <w:hideMark/>
          </w:tcPr>
          <w:p w14:paraId="4C4E4D8A" w14:textId="77777777" w:rsidR="00FE745C" w:rsidRPr="00FE745C" w:rsidRDefault="00FE745C" w:rsidP="00A30867">
            <w:pPr>
              <w:pStyle w:val="Tables"/>
            </w:pPr>
            <w:r w:rsidRPr="00FE745C">
              <w:t>Every 5 years</w:t>
            </w:r>
          </w:p>
        </w:tc>
        <w:tc>
          <w:tcPr>
            <w:tcW w:w="1260" w:type="dxa"/>
            <w:tcBorders>
              <w:top w:val="nil"/>
              <w:left w:val="nil"/>
              <w:bottom w:val="single" w:sz="4" w:space="0" w:color="auto"/>
              <w:right w:val="single" w:sz="4" w:space="0" w:color="auto"/>
            </w:tcBorders>
            <w:shd w:val="clear" w:color="auto" w:fill="auto"/>
            <w:noWrap/>
            <w:hideMark/>
          </w:tcPr>
          <w:p w14:paraId="730177AE" w14:textId="6374F298" w:rsidR="00FE745C" w:rsidRPr="00FE745C" w:rsidRDefault="007D1B2A" w:rsidP="00A30867">
            <w:pPr>
              <w:pStyle w:val="Tables"/>
              <w:jc w:val="right"/>
            </w:pPr>
            <w:r>
              <w:t>20</w:t>
            </w:r>
          </w:p>
        </w:tc>
      </w:tr>
      <w:tr w:rsidR="00CE5150" w:rsidRPr="00FE745C" w14:paraId="3955FAF7"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58E15FED" w14:textId="77777777" w:rsidR="00FE745C" w:rsidRPr="00FE745C" w:rsidRDefault="00FE745C" w:rsidP="00A30867">
            <w:pPr>
              <w:pStyle w:val="Tables"/>
            </w:pPr>
            <w:r w:rsidRPr="00FE745C">
              <w:t>Process Form 2B for CAAP Facilities</w:t>
            </w:r>
          </w:p>
        </w:tc>
        <w:tc>
          <w:tcPr>
            <w:tcW w:w="2381" w:type="dxa"/>
            <w:tcBorders>
              <w:top w:val="nil"/>
              <w:left w:val="nil"/>
              <w:bottom w:val="single" w:sz="4" w:space="0" w:color="auto"/>
              <w:right w:val="single" w:sz="4" w:space="0" w:color="auto"/>
            </w:tcBorders>
            <w:shd w:val="clear" w:color="auto" w:fill="auto"/>
            <w:noWrap/>
            <w:hideMark/>
          </w:tcPr>
          <w:p w14:paraId="5929FC96" w14:textId="77777777" w:rsidR="00FE745C" w:rsidRPr="00FE745C" w:rsidRDefault="00FE745C" w:rsidP="00A30867">
            <w:pPr>
              <w:pStyle w:val="Tables"/>
            </w:pPr>
            <w:r w:rsidRPr="00FE745C">
              <w:t>Ongoing</w:t>
            </w:r>
          </w:p>
        </w:tc>
        <w:tc>
          <w:tcPr>
            <w:tcW w:w="1260" w:type="dxa"/>
            <w:tcBorders>
              <w:top w:val="nil"/>
              <w:left w:val="nil"/>
              <w:bottom w:val="single" w:sz="4" w:space="0" w:color="auto"/>
              <w:right w:val="single" w:sz="4" w:space="0" w:color="auto"/>
            </w:tcBorders>
            <w:shd w:val="clear" w:color="auto" w:fill="auto"/>
            <w:noWrap/>
            <w:hideMark/>
          </w:tcPr>
          <w:p w14:paraId="3ACBD924" w14:textId="77777777" w:rsidR="00FE745C" w:rsidRPr="00FE745C" w:rsidRDefault="00FE745C" w:rsidP="00A30867">
            <w:pPr>
              <w:pStyle w:val="Tables"/>
              <w:jc w:val="right"/>
            </w:pPr>
            <w:r w:rsidRPr="00FE745C">
              <w:t>0.5</w:t>
            </w:r>
          </w:p>
        </w:tc>
      </w:tr>
      <w:tr w:rsidR="00280477" w:rsidRPr="00FE745C" w:rsidDel="00280477" w14:paraId="39EA1934" w14:textId="77777777" w:rsidTr="00A30867">
        <w:tc>
          <w:tcPr>
            <w:tcW w:w="4909" w:type="dxa"/>
            <w:tcBorders>
              <w:top w:val="nil"/>
              <w:left w:val="single" w:sz="4" w:space="0" w:color="auto"/>
              <w:bottom w:val="single" w:sz="4" w:space="0" w:color="auto"/>
              <w:right w:val="single" w:sz="4" w:space="0" w:color="auto"/>
            </w:tcBorders>
            <w:shd w:val="clear" w:color="auto" w:fill="auto"/>
          </w:tcPr>
          <w:p w14:paraId="6E1799E6" w14:textId="2D0CBFEA" w:rsidR="00280477" w:rsidDel="00280477" w:rsidRDefault="00280477" w:rsidP="00A30867">
            <w:pPr>
              <w:pStyle w:val="Tables"/>
            </w:pPr>
            <w:r>
              <w:t>Other noncompliance reports (CAFO permittees)</w:t>
            </w:r>
          </w:p>
        </w:tc>
        <w:tc>
          <w:tcPr>
            <w:tcW w:w="2381" w:type="dxa"/>
            <w:tcBorders>
              <w:top w:val="nil"/>
              <w:left w:val="nil"/>
              <w:bottom w:val="single" w:sz="4" w:space="0" w:color="auto"/>
              <w:right w:val="single" w:sz="4" w:space="0" w:color="auto"/>
            </w:tcBorders>
            <w:shd w:val="clear" w:color="auto" w:fill="auto"/>
            <w:noWrap/>
          </w:tcPr>
          <w:p w14:paraId="1A77FF0C" w14:textId="5EF70E46" w:rsidR="00280477" w:rsidRPr="00FE745C" w:rsidDel="00280477" w:rsidRDefault="00280477" w:rsidP="00A30867">
            <w:pPr>
              <w:pStyle w:val="Tables"/>
            </w:pPr>
            <w:r>
              <w:t>Occasionally/As Needed</w:t>
            </w:r>
          </w:p>
        </w:tc>
        <w:tc>
          <w:tcPr>
            <w:tcW w:w="1260" w:type="dxa"/>
            <w:tcBorders>
              <w:top w:val="nil"/>
              <w:left w:val="nil"/>
              <w:bottom w:val="single" w:sz="4" w:space="0" w:color="auto"/>
              <w:right w:val="single" w:sz="4" w:space="0" w:color="auto"/>
            </w:tcBorders>
            <w:shd w:val="clear" w:color="auto" w:fill="auto"/>
            <w:noWrap/>
          </w:tcPr>
          <w:p w14:paraId="088037D2" w14:textId="68670C9D" w:rsidR="00280477" w:rsidRPr="00FE745C" w:rsidDel="00280477" w:rsidRDefault="00280477" w:rsidP="00A30867">
            <w:pPr>
              <w:pStyle w:val="Tables"/>
              <w:jc w:val="right"/>
            </w:pPr>
            <w:r>
              <w:t>2</w:t>
            </w:r>
          </w:p>
        </w:tc>
      </w:tr>
      <w:tr w:rsidR="00CE5150" w:rsidRPr="00FE745C" w14:paraId="6DADC179"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582A60AA" w14:textId="2E528121" w:rsidR="00FE745C" w:rsidRPr="00FE745C" w:rsidRDefault="00FE745C" w:rsidP="00A30867">
            <w:pPr>
              <w:pStyle w:val="Tables"/>
            </w:pPr>
            <w:r>
              <w:t>R</w:t>
            </w:r>
            <w:r w:rsidRPr="00FE745C">
              <w:t>eport receipt (</w:t>
            </w:r>
            <w:r>
              <w:t>INAD</w:t>
            </w:r>
            <w:r w:rsidRPr="00FE745C">
              <w:t xml:space="preserve"> program sign-up, spill, structural failure)</w:t>
            </w:r>
          </w:p>
        </w:tc>
        <w:tc>
          <w:tcPr>
            <w:tcW w:w="2381" w:type="dxa"/>
            <w:tcBorders>
              <w:top w:val="nil"/>
              <w:left w:val="nil"/>
              <w:bottom w:val="single" w:sz="4" w:space="0" w:color="auto"/>
              <w:right w:val="single" w:sz="4" w:space="0" w:color="auto"/>
            </w:tcBorders>
            <w:shd w:val="clear" w:color="auto" w:fill="auto"/>
            <w:noWrap/>
            <w:hideMark/>
          </w:tcPr>
          <w:p w14:paraId="6CCB3E3C" w14:textId="77777777" w:rsidR="00FE745C" w:rsidRPr="00FE745C" w:rsidRDefault="00FE745C" w:rsidP="00A30867">
            <w:pPr>
              <w:pStyle w:val="Tables"/>
            </w:pPr>
            <w:r w:rsidRPr="00FE745C">
              <w:t>Occasionally/As Needed</w:t>
            </w:r>
          </w:p>
        </w:tc>
        <w:tc>
          <w:tcPr>
            <w:tcW w:w="1260" w:type="dxa"/>
            <w:tcBorders>
              <w:top w:val="nil"/>
              <w:left w:val="nil"/>
              <w:bottom w:val="single" w:sz="4" w:space="0" w:color="auto"/>
              <w:right w:val="single" w:sz="4" w:space="0" w:color="auto"/>
            </w:tcBorders>
            <w:shd w:val="clear" w:color="auto" w:fill="auto"/>
            <w:noWrap/>
            <w:hideMark/>
          </w:tcPr>
          <w:p w14:paraId="4C1F73E4" w14:textId="77777777" w:rsidR="00FE745C" w:rsidRPr="00FE745C" w:rsidRDefault="00FE745C" w:rsidP="00A30867">
            <w:pPr>
              <w:pStyle w:val="Tables"/>
              <w:jc w:val="right"/>
            </w:pPr>
            <w:r w:rsidRPr="00FE745C">
              <w:t>0.5</w:t>
            </w:r>
          </w:p>
        </w:tc>
      </w:tr>
      <w:tr w:rsidR="00CE5150" w:rsidRPr="00FE745C" w14:paraId="4223CC0D"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3DE44262" w14:textId="6391C494" w:rsidR="00FE745C" w:rsidRPr="00FE745C" w:rsidRDefault="00FE745C" w:rsidP="00A30867">
            <w:pPr>
              <w:pStyle w:val="Tables"/>
            </w:pPr>
            <w:r>
              <w:t>CAFO</w:t>
            </w:r>
            <w:r w:rsidRPr="00FE745C">
              <w:t xml:space="preserve"> facility inspection</w:t>
            </w:r>
          </w:p>
        </w:tc>
        <w:tc>
          <w:tcPr>
            <w:tcW w:w="2381" w:type="dxa"/>
            <w:tcBorders>
              <w:top w:val="nil"/>
              <w:left w:val="nil"/>
              <w:bottom w:val="single" w:sz="4" w:space="0" w:color="auto"/>
              <w:right w:val="single" w:sz="4" w:space="0" w:color="auto"/>
            </w:tcBorders>
            <w:shd w:val="clear" w:color="auto" w:fill="auto"/>
            <w:noWrap/>
            <w:hideMark/>
          </w:tcPr>
          <w:p w14:paraId="78D37427" w14:textId="72A10BEB" w:rsidR="00FE745C" w:rsidRPr="00FE745C" w:rsidRDefault="00BC01D3" w:rsidP="00A30867">
            <w:pPr>
              <w:pStyle w:val="Tables"/>
            </w:pPr>
            <w:r w:rsidRPr="00BC01D3">
              <w:t>Once every 5 years</w:t>
            </w:r>
          </w:p>
        </w:tc>
        <w:tc>
          <w:tcPr>
            <w:tcW w:w="1260" w:type="dxa"/>
            <w:tcBorders>
              <w:top w:val="nil"/>
              <w:left w:val="nil"/>
              <w:bottom w:val="single" w:sz="4" w:space="0" w:color="auto"/>
              <w:right w:val="single" w:sz="4" w:space="0" w:color="auto"/>
            </w:tcBorders>
            <w:shd w:val="clear" w:color="auto" w:fill="auto"/>
            <w:noWrap/>
            <w:hideMark/>
          </w:tcPr>
          <w:p w14:paraId="631BF21A" w14:textId="77777777" w:rsidR="00FE745C" w:rsidRPr="00FE745C" w:rsidRDefault="00FE745C" w:rsidP="00A30867">
            <w:pPr>
              <w:pStyle w:val="Tables"/>
              <w:jc w:val="right"/>
            </w:pPr>
            <w:r w:rsidRPr="00FE745C">
              <w:t>16</w:t>
            </w:r>
          </w:p>
        </w:tc>
      </w:tr>
      <w:tr w:rsidR="00CE5150" w:rsidRPr="00FE745C" w14:paraId="21B71D62"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7257EB2E" w14:textId="31FD103F" w:rsidR="00FE745C" w:rsidRPr="00FE745C" w:rsidRDefault="00FE745C" w:rsidP="00A30867">
            <w:pPr>
              <w:pStyle w:val="Tables"/>
            </w:pPr>
            <w:r>
              <w:t>A</w:t>
            </w:r>
            <w:r w:rsidRPr="00FE745C">
              <w:t xml:space="preserve">nnual report review, all permitted </w:t>
            </w:r>
            <w:r>
              <w:t>CAFO</w:t>
            </w:r>
            <w:r w:rsidRPr="00FE745C">
              <w:t>s</w:t>
            </w:r>
          </w:p>
        </w:tc>
        <w:tc>
          <w:tcPr>
            <w:tcW w:w="2381" w:type="dxa"/>
            <w:tcBorders>
              <w:top w:val="nil"/>
              <w:left w:val="nil"/>
              <w:bottom w:val="single" w:sz="4" w:space="0" w:color="auto"/>
              <w:right w:val="single" w:sz="4" w:space="0" w:color="auto"/>
            </w:tcBorders>
            <w:shd w:val="clear" w:color="auto" w:fill="auto"/>
            <w:noWrap/>
            <w:hideMark/>
          </w:tcPr>
          <w:p w14:paraId="31E64976" w14:textId="77777777" w:rsidR="00FE745C" w:rsidRPr="00FE745C" w:rsidRDefault="00FE745C" w:rsidP="00A30867">
            <w:pPr>
              <w:pStyle w:val="Tables"/>
            </w:pPr>
            <w:r w:rsidRPr="00FE745C">
              <w:t>Annual</w:t>
            </w:r>
          </w:p>
        </w:tc>
        <w:tc>
          <w:tcPr>
            <w:tcW w:w="1260" w:type="dxa"/>
            <w:tcBorders>
              <w:top w:val="nil"/>
              <w:left w:val="nil"/>
              <w:bottom w:val="single" w:sz="4" w:space="0" w:color="auto"/>
              <w:right w:val="single" w:sz="4" w:space="0" w:color="auto"/>
            </w:tcBorders>
            <w:shd w:val="clear" w:color="auto" w:fill="auto"/>
            <w:noWrap/>
            <w:hideMark/>
          </w:tcPr>
          <w:p w14:paraId="6A9CF02F" w14:textId="77777777" w:rsidR="00FE745C" w:rsidRPr="00FE745C" w:rsidRDefault="00FE745C" w:rsidP="00A30867">
            <w:pPr>
              <w:pStyle w:val="Tables"/>
              <w:jc w:val="right"/>
            </w:pPr>
            <w:r w:rsidRPr="00FE745C">
              <w:t>4</w:t>
            </w:r>
          </w:p>
        </w:tc>
      </w:tr>
      <w:tr w:rsidR="00CE5150" w:rsidRPr="00FE745C" w14:paraId="3F75986F"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08EEF812" w14:textId="40E528DE" w:rsidR="00FE745C" w:rsidRPr="00FE745C" w:rsidRDefault="00FE745C" w:rsidP="00A30867">
            <w:pPr>
              <w:pStyle w:val="Tables"/>
            </w:pPr>
            <w:r>
              <w:t>R</w:t>
            </w:r>
            <w:r w:rsidRPr="00FE745C">
              <w:t xml:space="preserve">esearch on environmental </w:t>
            </w:r>
            <w:r>
              <w:t>e</w:t>
            </w:r>
            <w:r w:rsidRPr="00FE745C">
              <w:t xml:space="preserve">ffects of </w:t>
            </w:r>
            <w:r>
              <w:t>INAD</w:t>
            </w:r>
            <w:r w:rsidRPr="00FE745C">
              <w:t xml:space="preserve"> </w:t>
            </w:r>
          </w:p>
        </w:tc>
        <w:tc>
          <w:tcPr>
            <w:tcW w:w="2381" w:type="dxa"/>
            <w:tcBorders>
              <w:top w:val="nil"/>
              <w:left w:val="nil"/>
              <w:bottom w:val="single" w:sz="4" w:space="0" w:color="auto"/>
              <w:right w:val="single" w:sz="4" w:space="0" w:color="auto"/>
            </w:tcBorders>
            <w:shd w:val="clear" w:color="auto" w:fill="auto"/>
            <w:noWrap/>
            <w:hideMark/>
          </w:tcPr>
          <w:p w14:paraId="52AF783F" w14:textId="77777777" w:rsidR="00FE745C" w:rsidRPr="00FE745C" w:rsidRDefault="00FE745C" w:rsidP="00A30867">
            <w:pPr>
              <w:pStyle w:val="Tables"/>
            </w:pPr>
            <w:r w:rsidRPr="00FE745C">
              <w:t>Occasionally/As Needed</w:t>
            </w:r>
          </w:p>
        </w:tc>
        <w:tc>
          <w:tcPr>
            <w:tcW w:w="1260" w:type="dxa"/>
            <w:tcBorders>
              <w:top w:val="nil"/>
              <w:left w:val="nil"/>
              <w:bottom w:val="single" w:sz="4" w:space="0" w:color="auto"/>
              <w:right w:val="single" w:sz="4" w:space="0" w:color="auto"/>
            </w:tcBorders>
            <w:shd w:val="clear" w:color="auto" w:fill="auto"/>
            <w:noWrap/>
            <w:hideMark/>
          </w:tcPr>
          <w:p w14:paraId="30A4DB16" w14:textId="77777777" w:rsidR="00FE745C" w:rsidRPr="00FE745C" w:rsidRDefault="00FE745C" w:rsidP="00A30867">
            <w:pPr>
              <w:pStyle w:val="Tables"/>
              <w:jc w:val="right"/>
            </w:pPr>
            <w:r w:rsidRPr="00FE745C">
              <w:t>3</w:t>
            </w:r>
          </w:p>
        </w:tc>
      </w:tr>
      <w:tr w:rsidR="00CE5150" w:rsidRPr="00FE745C" w14:paraId="782FCABD"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1D65B211" w14:textId="4E1F1734" w:rsidR="00FE745C" w:rsidRPr="00FE745C" w:rsidRDefault="00FE745C" w:rsidP="00A30867">
            <w:pPr>
              <w:pStyle w:val="Tables"/>
            </w:pPr>
            <w:r>
              <w:t>D</w:t>
            </w:r>
            <w:r w:rsidRPr="00FE745C">
              <w:t xml:space="preserve">etermination of site specific limits for </w:t>
            </w:r>
            <w:r>
              <w:t>INAD</w:t>
            </w:r>
          </w:p>
        </w:tc>
        <w:tc>
          <w:tcPr>
            <w:tcW w:w="2381" w:type="dxa"/>
            <w:tcBorders>
              <w:top w:val="nil"/>
              <w:left w:val="nil"/>
              <w:bottom w:val="single" w:sz="4" w:space="0" w:color="auto"/>
              <w:right w:val="single" w:sz="4" w:space="0" w:color="auto"/>
            </w:tcBorders>
            <w:shd w:val="clear" w:color="auto" w:fill="auto"/>
            <w:noWrap/>
            <w:hideMark/>
          </w:tcPr>
          <w:p w14:paraId="616D048D" w14:textId="77777777" w:rsidR="00FE745C" w:rsidRPr="00FE745C" w:rsidRDefault="00FE745C" w:rsidP="00A30867">
            <w:pPr>
              <w:pStyle w:val="Tables"/>
            </w:pPr>
            <w:r w:rsidRPr="00FE745C">
              <w:t>Occasionally/As Needed</w:t>
            </w:r>
          </w:p>
        </w:tc>
        <w:tc>
          <w:tcPr>
            <w:tcW w:w="1260" w:type="dxa"/>
            <w:tcBorders>
              <w:top w:val="nil"/>
              <w:left w:val="nil"/>
              <w:bottom w:val="single" w:sz="4" w:space="0" w:color="auto"/>
              <w:right w:val="single" w:sz="4" w:space="0" w:color="auto"/>
            </w:tcBorders>
            <w:shd w:val="clear" w:color="auto" w:fill="auto"/>
            <w:noWrap/>
            <w:hideMark/>
          </w:tcPr>
          <w:p w14:paraId="2E546EEA" w14:textId="77777777" w:rsidR="00FE745C" w:rsidRPr="00FE745C" w:rsidRDefault="00FE745C" w:rsidP="00A30867">
            <w:pPr>
              <w:pStyle w:val="Tables"/>
              <w:jc w:val="right"/>
            </w:pPr>
            <w:r w:rsidRPr="00FE745C">
              <w:t>3</w:t>
            </w:r>
          </w:p>
        </w:tc>
      </w:tr>
      <w:tr w:rsidR="00CE5150" w:rsidRPr="00FE745C" w14:paraId="2D706B0C"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5C81BCA7" w14:textId="19C9F6BE" w:rsidR="00FE745C" w:rsidRPr="00FE745C" w:rsidRDefault="00FE745C" w:rsidP="00A30867">
            <w:pPr>
              <w:pStyle w:val="Tables"/>
            </w:pPr>
            <w:r>
              <w:t>N</w:t>
            </w:r>
            <w:r w:rsidRPr="00FE745C">
              <w:t>otify state fish &amp; wildlife department</w:t>
            </w:r>
          </w:p>
        </w:tc>
        <w:tc>
          <w:tcPr>
            <w:tcW w:w="2381" w:type="dxa"/>
            <w:tcBorders>
              <w:top w:val="nil"/>
              <w:left w:val="nil"/>
              <w:bottom w:val="single" w:sz="4" w:space="0" w:color="auto"/>
              <w:right w:val="single" w:sz="4" w:space="0" w:color="auto"/>
            </w:tcBorders>
            <w:shd w:val="clear" w:color="auto" w:fill="auto"/>
            <w:noWrap/>
            <w:hideMark/>
          </w:tcPr>
          <w:p w14:paraId="782F4694" w14:textId="77777777" w:rsidR="00FE745C" w:rsidRPr="00FE745C" w:rsidRDefault="00FE745C" w:rsidP="00A30867">
            <w:pPr>
              <w:pStyle w:val="Tables"/>
            </w:pPr>
            <w:r w:rsidRPr="00FE745C">
              <w:t>Occasionally/As Needed</w:t>
            </w:r>
          </w:p>
        </w:tc>
        <w:tc>
          <w:tcPr>
            <w:tcW w:w="1260" w:type="dxa"/>
            <w:tcBorders>
              <w:top w:val="nil"/>
              <w:left w:val="nil"/>
              <w:bottom w:val="single" w:sz="4" w:space="0" w:color="auto"/>
              <w:right w:val="single" w:sz="4" w:space="0" w:color="auto"/>
            </w:tcBorders>
            <w:shd w:val="clear" w:color="auto" w:fill="auto"/>
            <w:noWrap/>
            <w:hideMark/>
          </w:tcPr>
          <w:p w14:paraId="48B39BE5" w14:textId="77777777" w:rsidR="00FE745C" w:rsidRPr="00FE745C" w:rsidRDefault="00FE745C" w:rsidP="00A30867">
            <w:pPr>
              <w:pStyle w:val="Tables"/>
              <w:jc w:val="right"/>
            </w:pPr>
            <w:r w:rsidRPr="00FE745C">
              <w:t>0.5</w:t>
            </w:r>
          </w:p>
        </w:tc>
      </w:tr>
      <w:tr w:rsidR="00CE5150" w:rsidRPr="00FE745C" w14:paraId="5198E56E"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4CC77071" w14:textId="740B8A1F" w:rsidR="00FE745C" w:rsidRPr="00FE745C" w:rsidRDefault="00FE745C" w:rsidP="00A30867">
            <w:pPr>
              <w:pStyle w:val="Tables"/>
            </w:pPr>
            <w:r>
              <w:t>R</w:t>
            </w:r>
            <w:r w:rsidRPr="00FE745C">
              <w:t>eview cause of failure and past reports to evaluate effectiveness of practices</w:t>
            </w:r>
          </w:p>
        </w:tc>
        <w:tc>
          <w:tcPr>
            <w:tcW w:w="2381" w:type="dxa"/>
            <w:tcBorders>
              <w:top w:val="nil"/>
              <w:left w:val="nil"/>
              <w:bottom w:val="single" w:sz="4" w:space="0" w:color="auto"/>
              <w:right w:val="single" w:sz="4" w:space="0" w:color="auto"/>
            </w:tcBorders>
            <w:shd w:val="clear" w:color="auto" w:fill="auto"/>
            <w:noWrap/>
            <w:hideMark/>
          </w:tcPr>
          <w:p w14:paraId="1A318B06" w14:textId="77777777" w:rsidR="00FE745C" w:rsidRPr="00FE745C" w:rsidRDefault="00FE745C" w:rsidP="00A30867">
            <w:pPr>
              <w:pStyle w:val="Tables"/>
            </w:pPr>
            <w:r w:rsidRPr="00FE745C">
              <w:t>Occasionally/As Needed</w:t>
            </w:r>
          </w:p>
        </w:tc>
        <w:tc>
          <w:tcPr>
            <w:tcW w:w="1260" w:type="dxa"/>
            <w:tcBorders>
              <w:top w:val="nil"/>
              <w:left w:val="nil"/>
              <w:bottom w:val="single" w:sz="4" w:space="0" w:color="auto"/>
              <w:right w:val="single" w:sz="4" w:space="0" w:color="auto"/>
            </w:tcBorders>
            <w:shd w:val="clear" w:color="auto" w:fill="auto"/>
            <w:noWrap/>
            <w:hideMark/>
          </w:tcPr>
          <w:p w14:paraId="79AF3533" w14:textId="77777777" w:rsidR="00FE745C" w:rsidRPr="00FE745C" w:rsidRDefault="00FE745C" w:rsidP="00A30867">
            <w:pPr>
              <w:pStyle w:val="Tables"/>
              <w:jc w:val="right"/>
            </w:pPr>
            <w:r w:rsidRPr="00FE745C">
              <w:t>1</w:t>
            </w:r>
          </w:p>
        </w:tc>
      </w:tr>
    </w:tbl>
    <w:p w14:paraId="5F3A3873" w14:textId="65873DDE" w:rsidR="00C6520E" w:rsidRDefault="00C6520E" w:rsidP="00B101A0">
      <w:pPr>
        <w:pStyle w:val="Heading3"/>
      </w:pPr>
      <w:bookmarkStart w:id="40" w:name="_Toc510451640"/>
      <w:r>
        <w:t>A.1.7</w:t>
      </w:r>
      <w:r w:rsidR="00863F96">
        <w:t>.</w:t>
      </w:r>
      <w:r w:rsidR="00DE1B27">
        <w:tab/>
      </w:r>
      <w:r w:rsidRPr="00C6520E">
        <w:t>Cooling Water Intake Structures</w:t>
      </w:r>
      <w:bookmarkEnd w:id="40"/>
    </w:p>
    <w:p w14:paraId="24B7CD67" w14:textId="2C784622" w:rsidR="0048771B" w:rsidRDefault="0048771B" w:rsidP="00DE1B27">
      <w:pPr>
        <w:pStyle w:val="Heading4"/>
      </w:pPr>
      <w:r>
        <w:t>A.1</w:t>
      </w:r>
      <w:r w:rsidR="00861380">
        <w:t>.7</w:t>
      </w:r>
      <w:r>
        <w:t xml:space="preserve">.1. </w:t>
      </w:r>
      <w:r w:rsidRPr="0048771B">
        <w:t>Cooling Water Intake Structures Phase I - New Facilities</w:t>
      </w:r>
    </w:p>
    <w:p w14:paraId="7C1D3921" w14:textId="01BEFD5E" w:rsidR="0085470C" w:rsidRDefault="00772A8A">
      <w:r w:rsidRPr="00772A8A">
        <w:t xml:space="preserve">The activities in this category </w:t>
      </w:r>
      <w:r>
        <w:t xml:space="preserve">are related to </w:t>
      </w:r>
      <w:r w:rsidR="009156C7">
        <w:t xml:space="preserve">application and recordkeeping </w:t>
      </w:r>
      <w:r>
        <w:t xml:space="preserve">requirements </w:t>
      </w:r>
      <w:r w:rsidR="00466767">
        <w:t>established by</w:t>
      </w:r>
      <w:r>
        <w:t xml:space="preserve"> the </w:t>
      </w:r>
      <w:r w:rsidRPr="00772A8A">
        <w:t>section 316(b) New Facility Rule (66 FR 65256; December 18, 2001)</w:t>
      </w:r>
      <w:r w:rsidR="00FC4DB7">
        <w:t>. Further, these activities</w:t>
      </w:r>
      <w:r w:rsidR="00466767">
        <w:t xml:space="preserve"> were </w:t>
      </w:r>
      <w:r w:rsidR="002F0CC6" w:rsidRPr="002F0CC6">
        <w:t xml:space="preserve">included in the ICR Supporting Statement Cooling Water Intake Structures Phase I - New Facilities (OMB </w:t>
      </w:r>
      <w:r w:rsidR="00437796">
        <w:t>control no.</w:t>
      </w:r>
      <w:r w:rsidR="002F0CC6" w:rsidRPr="002F0CC6">
        <w:t xml:space="preserve"> 2040-0241; EPA ICR </w:t>
      </w:r>
      <w:r w:rsidR="000106BF">
        <w:t>no.</w:t>
      </w:r>
      <w:r w:rsidR="000106BF" w:rsidRPr="002F0CC6">
        <w:t xml:space="preserve"> </w:t>
      </w:r>
      <w:r w:rsidR="002F0CC6" w:rsidRPr="002F0CC6">
        <w:t>1973.06)</w:t>
      </w:r>
      <w:r w:rsidR="00466767">
        <w:t>. The rule applies</w:t>
      </w:r>
      <w:r w:rsidR="002F0CC6">
        <w:t xml:space="preserve"> to industrial facilities </w:t>
      </w:r>
      <w:r w:rsidR="00EC2A36">
        <w:t xml:space="preserve">constructed after January 2002 </w:t>
      </w:r>
      <w:r w:rsidR="002F0CC6">
        <w:t>that withdraw significant quantities of cooling water from waters of the U</w:t>
      </w:r>
      <w:r w:rsidR="00F47B1E">
        <w:t>.</w:t>
      </w:r>
      <w:r w:rsidR="002F0CC6">
        <w:t xml:space="preserve">S. </w:t>
      </w:r>
      <w:r w:rsidR="00413CC0" w:rsidRPr="00413CC0">
        <w:t xml:space="preserve">The rule requires new facilities to submit several distinct types of information as part of their NPDES permit application. In addition, the rule requires new facilities to maintain monitoring and reporting data as outlined by the </w:t>
      </w:r>
      <w:r w:rsidR="00413CC0">
        <w:t>permitting authority</w:t>
      </w:r>
      <w:r w:rsidR="00413CC0" w:rsidRPr="00413CC0">
        <w:t xml:space="preserve"> in their NPDES permits.</w:t>
      </w:r>
      <w:r w:rsidR="00413CC0">
        <w:t xml:space="preserve"> </w:t>
      </w:r>
    </w:p>
    <w:p w14:paraId="3CE4F99A" w14:textId="6A91F2D1" w:rsidR="0048771B" w:rsidRDefault="002F0CC6">
      <w:r w:rsidRPr="002F0CC6">
        <w:t>Below is a list of the types of respondents</w:t>
      </w:r>
      <w:r w:rsidR="00E5488B">
        <w:t xml:space="preserve"> for which updated estimated respondent numbers were used to </w:t>
      </w:r>
      <w:r w:rsidR="00120C0B">
        <w:t>develop</w:t>
      </w:r>
      <w:r w:rsidR="00E5488B">
        <w:t xml:space="preserve"> burden estimates</w:t>
      </w:r>
      <w:r w:rsidRPr="002F0CC6">
        <w:t>:</w:t>
      </w:r>
    </w:p>
    <w:p w14:paraId="2B1004E2" w14:textId="0D019BA3" w:rsidR="00EC2A36" w:rsidRDefault="00EC2A36" w:rsidP="00120C0B">
      <w:pPr>
        <w:pStyle w:val="ListParagraph"/>
        <w:numPr>
          <w:ilvl w:val="0"/>
          <w:numId w:val="36"/>
        </w:numPr>
      </w:pPr>
      <w:r>
        <w:t xml:space="preserve">Average </w:t>
      </w:r>
      <w:r w:rsidR="0019693A">
        <w:t xml:space="preserve">annual number </w:t>
      </w:r>
      <w:r w:rsidR="008A7EBE">
        <w:t>o</w:t>
      </w:r>
      <w:r>
        <w:t xml:space="preserve">f </w:t>
      </w:r>
      <w:r w:rsidR="0019693A">
        <w:t xml:space="preserve">new </w:t>
      </w:r>
      <w:r>
        <w:t xml:space="preserve">CWIS </w:t>
      </w:r>
      <w:r w:rsidR="0019693A">
        <w:t>facilities;</w:t>
      </w:r>
    </w:p>
    <w:p w14:paraId="56E098FC" w14:textId="11BC8293" w:rsidR="00EC2A36" w:rsidRDefault="00EC2A36" w:rsidP="00120C0B">
      <w:pPr>
        <w:pStyle w:val="ListParagraph"/>
        <w:numPr>
          <w:ilvl w:val="0"/>
          <w:numId w:val="36"/>
        </w:numPr>
      </w:pPr>
      <w:r>
        <w:t xml:space="preserve">Average </w:t>
      </w:r>
      <w:r w:rsidR="0019693A">
        <w:t xml:space="preserve">annual number </w:t>
      </w:r>
      <w:r w:rsidR="008A7EBE">
        <w:t>o</w:t>
      </w:r>
      <w:r>
        <w:t xml:space="preserve">f </w:t>
      </w:r>
      <w:r w:rsidR="0019693A">
        <w:t xml:space="preserve">new </w:t>
      </w:r>
      <w:r>
        <w:t xml:space="preserve">CWIS </w:t>
      </w:r>
      <w:r w:rsidR="0019693A">
        <w:t>permits; and</w:t>
      </w:r>
    </w:p>
    <w:p w14:paraId="0CC29375" w14:textId="77777777" w:rsidR="0085470C" w:rsidRDefault="00EC2A36" w:rsidP="00EC2A36">
      <w:pPr>
        <w:pStyle w:val="ListParagraph"/>
        <w:numPr>
          <w:ilvl w:val="0"/>
          <w:numId w:val="36"/>
        </w:numPr>
      </w:pPr>
      <w:r w:rsidRPr="00EC2A36">
        <w:t xml:space="preserve">Average </w:t>
      </w:r>
      <w:r w:rsidR="0019693A">
        <w:t>a</w:t>
      </w:r>
      <w:r w:rsidR="0019693A" w:rsidRPr="00EC2A36">
        <w:t xml:space="preserve">nnual </w:t>
      </w:r>
      <w:r w:rsidRPr="00EC2A36">
        <w:t xml:space="preserve">CWIS </w:t>
      </w:r>
      <w:r w:rsidR="0019693A">
        <w:t>p</w:t>
      </w:r>
      <w:r w:rsidR="0019693A" w:rsidRPr="00EC2A36">
        <w:t xml:space="preserve">ermit </w:t>
      </w:r>
      <w:r w:rsidR="0019693A">
        <w:t>r</w:t>
      </w:r>
      <w:r w:rsidR="0019693A" w:rsidRPr="00EC2A36">
        <w:t>enewals</w:t>
      </w:r>
      <w:r w:rsidR="0019693A">
        <w:t>.</w:t>
      </w:r>
    </w:p>
    <w:p w14:paraId="1E8F7D5D" w14:textId="77777777" w:rsidR="0085470C" w:rsidRDefault="00120C0B" w:rsidP="00EC2A36">
      <w:r>
        <w:t>B</w:t>
      </w:r>
      <w:r w:rsidR="003573E0" w:rsidRPr="003573E0">
        <w:t>urden estimates were derived for each respondent type</w:t>
      </w:r>
      <w:r>
        <w:t xml:space="preserve"> </w:t>
      </w:r>
      <w:r w:rsidR="0003525F">
        <w:t xml:space="preserve">from the previous ICR </w:t>
      </w:r>
      <w:r>
        <w:t xml:space="preserve">and </w:t>
      </w:r>
      <w:r w:rsidR="003573E0" w:rsidRPr="003573E0">
        <w:t>were updated using the current estimate of the number of each respondent</w:t>
      </w:r>
      <w:r w:rsidRPr="00120C0B">
        <w:t xml:space="preserve"> </w:t>
      </w:r>
      <w:r w:rsidR="007038C7">
        <w:t>(see</w:t>
      </w:r>
      <w:r w:rsidRPr="00120C0B">
        <w:t xml:space="preserve"> Appendix D</w:t>
      </w:r>
      <w:r w:rsidR="007038C7">
        <w:t>)</w:t>
      </w:r>
      <w:r w:rsidR="00A63A5A" w:rsidRPr="00A63A5A">
        <w:t xml:space="preserve">. </w:t>
      </w:r>
    </w:p>
    <w:p w14:paraId="019AC6D1" w14:textId="35339F09" w:rsidR="0085470C" w:rsidRDefault="00547D47" w:rsidP="00EC2A36">
      <w:r w:rsidRPr="003D16AA">
        <w:rPr>
          <w:i/>
        </w:rPr>
        <w:t>Permittees</w:t>
      </w:r>
      <w:r>
        <w:t xml:space="preserve">. </w:t>
      </w:r>
      <w:r w:rsidR="00A44CC8">
        <w:t>Table A.</w:t>
      </w:r>
      <w:r w:rsidR="007F3A2F">
        <w:t>9</w:t>
      </w:r>
      <w:r w:rsidR="00A44CC8">
        <w:t xml:space="preserve"> presents the estimated burden hours </w:t>
      </w:r>
      <w:r w:rsidR="005B4FEB">
        <w:t xml:space="preserve">and frequency </w:t>
      </w:r>
      <w:r w:rsidR="00A44CC8">
        <w:t>per facility for first</w:t>
      </w:r>
      <w:r w:rsidR="00CF0FE6">
        <w:t>-</w:t>
      </w:r>
      <w:r w:rsidR="00A44CC8">
        <w:t>time permit renewal applications and initial compliance activities. Table A.</w:t>
      </w:r>
      <w:r w:rsidR="007F3A2F">
        <w:t>10</w:t>
      </w:r>
      <w:r w:rsidR="00A44CC8">
        <w:t xml:space="preserve"> presents the </w:t>
      </w:r>
      <w:r w:rsidR="00A44CC8" w:rsidRPr="00A44CC8">
        <w:t xml:space="preserve">estimated burden hours </w:t>
      </w:r>
      <w:r w:rsidR="005B4FEB">
        <w:t xml:space="preserve">and frequency </w:t>
      </w:r>
      <w:r w:rsidR="00A44CC8" w:rsidRPr="00A44CC8">
        <w:t>per facility</w:t>
      </w:r>
      <w:r w:rsidR="00A44CC8">
        <w:t xml:space="preserve"> for recurring activities that apply to all new CWIS facilities.</w:t>
      </w:r>
      <w:r w:rsidR="005B4FEB">
        <w:t xml:space="preserve"> </w:t>
      </w:r>
    </w:p>
    <w:p w14:paraId="39104DE2" w14:textId="502305E6" w:rsidR="00A44CC8" w:rsidRDefault="00A44CC8" w:rsidP="00871F94">
      <w:pPr>
        <w:pStyle w:val="Caption"/>
      </w:pPr>
      <w:r>
        <w:t>Table A.</w:t>
      </w:r>
      <w:r w:rsidR="007F3A2F">
        <w:t>9</w:t>
      </w:r>
      <w:r>
        <w:t xml:space="preserve"> Estimated </w:t>
      </w:r>
      <w:r w:rsidR="00CF0FE6">
        <w:t>F</w:t>
      </w:r>
      <w:r w:rsidR="0019693A">
        <w:t xml:space="preserve">acility </w:t>
      </w:r>
      <w:r w:rsidR="00CF0FE6">
        <w:t>B</w:t>
      </w:r>
      <w:r w:rsidR="0019693A">
        <w:t xml:space="preserve">urden </w:t>
      </w:r>
      <w:r w:rsidR="00CF0FE6">
        <w:t>H</w:t>
      </w:r>
      <w:r w:rsidR="0019693A">
        <w:t xml:space="preserve">ours </w:t>
      </w:r>
      <w:r>
        <w:t xml:space="preserve">for </w:t>
      </w:r>
      <w:r w:rsidR="00CF0FE6">
        <w:t>Initial</w:t>
      </w:r>
      <w:r w:rsidR="0019693A">
        <w:t xml:space="preserve"> </w:t>
      </w:r>
      <w:r w:rsidR="00CF0FE6">
        <w:t>A</w:t>
      </w:r>
      <w:r w:rsidR="0019693A">
        <w:t xml:space="preserve">pplication </w:t>
      </w:r>
      <w:r>
        <w:t>a</w:t>
      </w:r>
      <w:r w:rsidRPr="00A44CC8">
        <w:t xml:space="preserve">nd </w:t>
      </w:r>
      <w:r w:rsidR="00CF0FE6">
        <w:t>C</w:t>
      </w:r>
      <w:r w:rsidR="0019693A" w:rsidRPr="00A44CC8">
        <w:t xml:space="preserve">ompliance </w:t>
      </w:r>
      <w:r w:rsidR="00CF0FE6">
        <w:t>A</w:t>
      </w:r>
      <w:r w:rsidR="0019693A" w:rsidRPr="00A44CC8">
        <w:t>ctivities</w:t>
      </w:r>
      <w:r w:rsidR="0019693A">
        <w:t xml:space="preserve"> </w:t>
      </w:r>
      <w:r w:rsidR="005B4FEB">
        <w:t xml:space="preserve">for </w:t>
      </w:r>
      <w:r w:rsidR="00CF0FE6">
        <w:t>N</w:t>
      </w:r>
      <w:r w:rsidR="0019693A">
        <w:t xml:space="preserve">ew </w:t>
      </w:r>
      <w:r w:rsidR="005B4FEB">
        <w:t xml:space="preserve">CWIS </w:t>
      </w:r>
      <w:r w:rsidR="00CF0FE6">
        <w:t>F</w:t>
      </w:r>
      <w:r w:rsidR="0019693A">
        <w:t>acilities</w:t>
      </w:r>
    </w:p>
    <w:tbl>
      <w:tblPr>
        <w:tblStyle w:val="TableGrid"/>
        <w:tblW w:w="0" w:type="auto"/>
        <w:tblLook w:val="04A0" w:firstRow="1" w:lastRow="0" w:firstColumn="1" w:lastColumn="0" w:noHBand="0" w:noVBand="1"/>
      </w:tblPr>
      <w:tblGrid>
        <w:gridCol w:w="4817"/>
        <w:gridCol w:w="3543"/>
        <w:gridCol w:w="990"/>
      </w:tblGrid>
      <w:tr w:rsidR="008F6679" w14:paraId="1B759E1B" w14:textId="77777777" w:rsidTr="00441DF0">
        <w:trPr>
          <w:tblHeader/>
        </w:trPr>
        <w:tc>
          <w:tcPr>
            <w:tcW w:w="4817" w:type="dxa"/>
            <w:shd w:val="clear" w:color="auto" w:fill="D9D9D9" w:themeFill="background1" w:themeFillShade="D9"/>
          </w:tcPr>
          <w:p w14:paraId="21852310" w14:textId="0C986ECC" w:rsidR="008F6679" w:rsidRPr="00547D47" w:rsidRDefault="008F6679" w:rsidP="00A30867">
            <w:pPr>
              <w:pStyle w:val="TableTitle"/>
            </w:pPr>
            <w:r w:rsidRPr="00547D47">
              <w:t xml:space="preserve">Permittee </w:t>
            </w:r>
            <w:r w:rsidR="00FC4DB7">
              <w:t>A</w:t>
            </w:r>
            <w:r w:rsidR="0019693A" w:rsidRPr="00547D47">
              <w:t xml:space="preserve">pplication </w:t>
            </w:r>
            <w:r w:rsidR="007B1EFF" w:rsidRPr="00547D47">
              <w:t xml:space="preserve">and </w:t>
            </w:r>
            <w:r w:rsidR="00FC4DB7">
              <w:t>I</w:t>
            </w:r>
            <w:r w:rsidR="0019693A" w:rsidRPr="00547D47">
              <w:t xml:space="preserve">nitial </w:t>
            </w:r>
            <w:r w:rsidR="00FC4DB7">
              <w:t>C</w:t>
            </w:r>
            <w:r w:rsidR="0019693A" w:rsidRPr="00547D47">
              <w:t xml:space="preserve">ompliance </w:t>
            </w:r>
            <w:r w:rsidR="00FC4DB7">
              <w:t>A</w:t>
            </w:r>
            <w:r w:rsidR="0019693A" w:rsidRPr="00547D47">
              <w:t>ctivity</w:t>
            </w:r>
          </w:p>
        </w:tc>
        <w:tc>
          <w:tcPr>
            <w:tcW w:w="3543" w:type="dxa"/>
            <w:shd w:val="clear" w:color="auto" w:fill="D9D9D9" w:themeFill="background1" w:themeFillShade="D9"/>
          </w:tcPr>
          <w:p w14:paraId="0B9EF1C9" w14:textId="2695CD11" w:rsidR="008F6679" w:rsidRPr="00547D47" w:rsidRDefault="008F6679" w:rsidP="00A30867">
            <w:pPr>
              <w:pStyle w:val="TableTitle"/>
            </w:pPr>
            <w:r w:rsidRPr="00547D47">
              <w:t>Frequency</w:t>
            </w:r>
          </w:p>
        </w:tc>
        <w:tc>
          <w:tcPr>
            <w:tcW w:w="990" w:type="dxa"/>
            <w:shd w:val="clear" w:color="auto" w:fill="D9D9D9" w:themeFill="background1" w:themeFillShade="D9"/>
          </w:tcPr>
          <w:p w14:paraId="6BAE5EBE" w14:textId="5BE8C5C3" w:rsidR="008F6679" w:rsidRPr="00547D47" w:rsidRDefault="008F6679" w:rsidP="00A30867">
            <w:pPr>
              <w:pStyle w:val="TableTitle"/>
            </w:pPr>
            <w:r w:rsidRPr="00547D47">
              <w:t>Burden (hours)</w:t>
            </w:r>
          </w:p>
        </w:tc>
      </w:tr>
      <w:tr w:rsidR="008F6679" w14:paraId="6F3F0483" w14:textId="77777777" w:rsidTr="00A30867">
        <w:tc>
          <w:tcPr>
            <w:tcW w:w="4817" w:type="dxa"/>
          </w:tcPr>
          <w:p w14:paraId="0A3F27B0" w14:textId="0129F6D1" w:rsidR="008F6679" w:rsidRPr="00547D47" w:rsidRDefault="008F6679" w:rsidP="00A30867">
            <w:pPr>
              <w:pStyle w:val="Tables"/>
            </w:pPr>
            <w:r w:rsidRPr="00547D47">
              <w:t xml:space="preserve">Start-up </w:t>
            </w:r>
            <w:r w:rsidR="0019693A" w:rsidRPr="00547D47">
              <w:t>activities</w:t>
            </w:r>
          </w:p>
        </w:tc>
        <w:tc>
          <w:tcPr>
            <w:tcW w:w="3543" w:type="dxa"/>
          </w:tcPr>
          <w:p w14:paraId="33E22F0E" w14:textId="4D3D673E" w:rsidR="008F6679" w:rsidRPr="00547D47" w:rsidRDefault="008F6679" w:rsidP="00A30867">
            <w:pPr>
              <w:pStyle w:val="Tables"/>
            </w:pPr>
            <w:r w:rsidRPr="00547D47">
              <w:t xml:space="preserve">Once per new permit </w:t>
            </w:r>
          </w:p>
        </w:tc>
        <w:tc>
          <w:tcPr>
            <w:tcW w:w="990" w:type="dxa"/>
          </w:tcPr>
          <w:p w14:paraId="0733F4B2" w14:textId="47AEA444" w:rsidR="008F6679" w:rsidRPr="00547D47" w:rsidRDefault="008F6679" w:rsidP="00A30867">
            <w:pPr>
              <w:pStyle w:val="Tables"/>
              <w:jc w:val="right"/>
            </w:pPr>
            <w:r w:rsidRPr="00547D47">
              <w:t>43</w:t>
            </w:r>
          </w:p>
        </w:tc>
      </w:tr>
      <w:tr w:rsidR="008F6679" w14:paraId="535BCAD3" w14:textId="77777777" w:rsidTr="00A30867">
        <w:tc>
          <w:tcPr>
            <w:tcW w:w="4817" w:type="dxa"/>
          </w:tcPr>
          <w:p w14:paraId="5F9D0A1A" w14:textId="730065B9" w:rsidR="008F6679" w:rsidRPr="00547D47" w:rsidRDefault="008F6679" w:rsidP="00A30867">
            <w:pPr>
              <w:pStyle w:val="Tables"/>
            </w:pPr>
            <w:r w:rsidRPr="00547D47">
              <w:t xml:space="preserve">Permit </w:t>
            </w:r>
            <w:r w:rsidR="0019693A" w:rsidRPr="00547D47">
              <w:t>application activities</w:t>
            </w:r>
          </w:p>
        </w:tc>
        <w:tc>
          <w:tcPr>
            <w:tcW w:w="3543" w:type="dxa"/>
          </w:tcPr>
          <w:p w14:paraId="269972AB" w14:textId="72C4D1F9" w:rsidR="008F6679" w:rsidRPr="00547D47" w:rsidRDefault="008F6679" w:rsidP="00A30867">
            <w:pPr>
              <w:pStyle w:val="Tables"/>
            </w:pPr>
            <w:r w:rsidRPr="00547D47">
              <w:t>Once per new permit</w:t>
            </w:r>
          </w:p>
        </w:tc>
        <w:tc>
          <w:tcPr>
            <w:tcW w:w="990" w:type="dxa"/>
          </w:tcPr>
          <w:p w14:paraId="67D0E130" w14:textId="1AC3491D" w:rsidR="008F6679" w:rsidRPr="00547D47" w:rsidRDefault="008F6679" w:rsidP="00A30867">
            <w:pPr>
              <w:pStyle w:val="Tables"/>
              <w:jc w:val="right"/>
            </w:pPr>
            <w:r w:rsidRPr="00547D47">
              <w:t>146</w:t>
            </w:r>
          </w:p>
        </w:tc>
      </w:tr>
      <w:tr w:rsidR="008F6679" w14:paraId="5193FC35" w14:textId="77777777" w:rsidTr="00A30867">
        <w:tc>
          <w:tcPr>
            <w:tcW w:w="4817" w:type="dxa"/>
          </w:tcPr>
          <w:p w14:paraId="0380D912" w14:textId="3B9EA688" w:rsidR="008F6679" w:rsidRPr="00547D47" w:rsidRDefault="008F6679" w:rsidP="00A30867">
            <w:pPr>
              <w:pStyle w:val="Tables"/>
            </w:pPr>
            <w:r w:rsidRPr="00547D47">
              <w:t xml:space="preserve">Source </w:t>
            </w:r>
            <w:r w:rsidR="0019693A" w:rsidRPr="00547D47">
              <w:t>waterbody flow information</w:t>
            </w:r>
          </w:p>
        </w:tc>
        <w:tc>
          <w:tcPr>
            <w:tcW w:w="3543" w:type="dxa"/>
          </w:tcPr>
          <w:p w14:paraId="011447E8" w14:textId="03B8417C" w:rsidR="008F6679" w:rsidRPr="00547D47" w:rsidRDefault="008F6679" w:rsidP="00A30867">
            <w:pPr>
              <w:pStyle w:val="Tables"/>
            </w:pPr>
            <w:r w:rsidRPr="00547D47">
              <w:t>Once per new permit</w:t>
            </w:r>
          </w:p>
        </w:tc>
        <w:tc>
          <w:tcPr>
            <w:tcW w:w="990" w:type="dxa"/>
          </w:tcPr>
          <w:p w14:paraId="021743E3" w14:textId="1BFE4607" w:rsidR="008F6679" w:rsidRPr="00547D47" w:rsidRDefault="008F6679" w:rsidP="00A30867">
            <w:pPr>
              <w:pStyle w:val="Tables"/>
              <w:jc w:val="right"/>
            </w:pPr>
            <w:r w:rsidRPr="00547D47">
              <w:t>104</w:t>
            </w:r>
          </w:p>
        </w:tc>
      </w:tr>
      <w:tr w:rsidR="008F6679" w14:paraId="74B975D6" w14:textId="77777777" w:rsidTr="00A30867">
        <w:tc>
          <w:tcPr>
            <w:tcW w:w="4817" w:type="dxa"/>
          </w:tcPr>
          <w:p w14:paraId="353F710E" w14:textId="3B87E4FD" w:rsidR="008F6679" w:rsidRPr="00547D47" w:rsidRDefault="008F6679" w:rsidP="00A30867">
            <w:pPr>
              <w:pStyle w:val="Tables"/>
            </w:pPr>
            <w:r w:rsidRPr="00547D47">
              <w:t xml:space="preserve">Source </w:t>
            </w:r>
            <w:r w:rsidR="0019693A" w:rsidRPr="00547D47">
              <w:t>water baseline biological characterization data</w:t>
            </w:r>
          </w:p>
        </w:tc>
        <w:tc>
          <w:tcPr>
            <w:tcW w:w="3543" w:type="dxa"/>
          </w:tcPr>
          <w:p w14:paraId="5DE0F19D" w14:textId="4EB4E79F" w:rsidR="008F6679" w:rsidRPr="00547D47" w:rsidRDefault="008F6679" w:rsidP="00A30867">
            <w:pPr>
              <w:pStyle w:val="Tables"/>
            </w:pPr>
            <w:r w:rsidRPr="00547D47">
              <w:t>Once per new permit</w:t>
            </w:r>
          </w:p>
        </w:tc>
        <w:tc>
          <w:tcPr>
            <w:tcW w:w="990" w:type="dxa"/>
          </w:tcPr>
          <w:p w14:paraId="19A1F179" w14:textId="3CAAC9FD" w:rsidR="008F6679" w:rsidRPr="00547D47" w:rsidRDefault="008F6679" w:rsidP="00A30867">
            <w:pPr>
              <w:pStyle w:val="Tables"/>
              <w:jc w:val="right"/>
            </w:pPr>
            <w:r w:rsidRPr="00547D47">
              <w:t>265</w:t>
            </w:r>
          </w:p>
        </w:tc>
      </w:tr>
      <w:tr w:rsidR="008F6679" w14:paraId="12A8A2C8" w14:textId="77777777" w:rsidTr="00A30867">
        <w:tc>
          <w:tcPr>
            <w:tcW w:w="4817" w:type="dxa"/>
          </w:tcPr>
          <w:p w14:paraId="09EA8C81" w14:textId="7B91C831" w:rsidR="008F6679" w:rsidRPr="00547D47" w:rsidRDefault="008F6679" w:rsidP="00A30867">
            <w:pPr>
              <w:pStyle w:val="Tables"/>
            </w:pPr>
            <w:r w:rsidRPr="00547D47">
              <w:t xml:space="preserve">CWIS </w:t>
            </w:r>
            <w:r w:rsidR="0019693A" w:rsidRPr="00547D47">
              <w:t xml:space="preserve">flow reduction requirements </w:t>
            </w:r>
            <w:r w:rsidRPr="00547D47">
              <w:t>(</w:t>
            </w:r>
            <w:r w:rsidR="00D51DC6" w:rsidRPr="00547D47">
              <w:t>Track I</w:t>
            </w:r>
            <w:r w:rsidRPr="00547D47">
              <w:t>)</w:t>
            </w:r>
          </w:p>
        </w:tc>
        <w:tc>
          <w:tcPr>
            <w:tcW w:w="3543" w:type="dxa"/>
          </w:tcPr>
          <w:p w14:paraId="061CEAC9" w14:textId="00024006" w:rsidR="008F6679" w:rsidRPr="00547D47" w:rsidRDefault="008F6679" w:rsidP="003942D4">
            <w:pPr>
              <w:pStyle w:val="Tables"/>
            </w:pPr>
            <w:r w:rsidRPr="00547D47">
              <w:t>Once per new permit</w:t>
            </w:r>
            <w:r w:rsidR="00042EFD" w:rsidRPr="00547D47">
              <w:t xml:space="preserve"> with </w:t>
            </w:r>
            <w:r w:rsidR="003942D4">
              <w:t>closed cycle recirculating system (CCRS)</w:t>
            </w:r>
          </w:p>
        </w:tc>
        <w:tc>
          <w:tcPr>
            <w:tcW w:w="990" w:type="dxa"/>
          </w:tcPr>
          <w:p w14:paraId="1E67E428" w14:textId="31AC12C5" w:rsidR="008F6679" w:rsidRPr="00547D47" w:rsidRDefault="008F6679" w:rsidP="00A30867">
            <w:pPr>
              <w:pStyle w:val="Tables"/>
              <w:jc w:val="right"/>
            </w:pPr>
            <w:r w:rsidRPr="00547D47">
              <w:t>108</w:t>
            </w:r>
          </w:p>
        </w:tc>
      </w:tr>
      <w:tr w:rsidR="008F6679" w14:paraId="0C579207" w14:textId="77777777" w:rsidTr="00A30867">
        <w:tc>
          <w:tcPr>
            <w:tcW w:w="4817" w:type="dxa"/>
          </w:tcPr>
          <w:p w14:paraId="6A799ABC" w14:textId="5199BAF9" w:rsidR="008F6679" w:rsidRPr="00547D47" w:rsidRDefault="00042EFD" w:rsidP="00A30867">
            <w:pPr>
              <w:pStyle w:val="Tables"/>
            </w:pPr>
            <w:r w:rsidRPr="00547D47">
              <w:t xml:space="preserve">CWIS </w:t>
            </w:r>
            <w:r w:rsidR="0019693A" w:rsidRPr="00547D47">
              <w:t xml:space="preserve">velocity requirements </w:t>
            </w:r>
            <w:r w:rsidRPr="00547D47">
              <w:t>(</w:t>
            </w:r>
            <w:r w:rsidR="00D51DC6" w:rsidRPr="00547D47">
              <w:t>Track I</w:t>
            </w:r>
            <w:r w:rsidRPr="00547D47">
              <w:t>)</w:t>
            </w:r>
          </w:p>
        </w:tc>
        <w:tc>
          <w:tcPr>
            <w:tcW w:w="3543" w:type="dxa"/>
          </w:tcPr>
          <w:p w14:paraId="56321475" w14:textId="78F7B381" w:rsidR="008F6679" w:rsidRPr="00547D47" w:rsidRDefault="00042EFD" w:rsidP="00A30867">
            <w:pPr>
              <w:pStyle w:val="Tables"/>
            </w:pPr>
            <w:r w:rsidRPr="00547D47">
              <w:t>Once per new permit with CCRS</w:t>
            </w:r>
          </w:p>
        </w:tc>
        <w:tc>
          <w:tcPr>
            <w:tcW w:w="990" w:type="dxa"/>
          </w:tcPr>
          <w:p w14:paraId="5A47B780" w14:textId="1A73921C" w:rsidR="008F6679" w:rsidRPr="00547D47" w:rsidRDefault="00042EFD" w:rsidP="00A30867">
            <w:pPr>
              <w:pStyle w:val="Tables"/>
              <w:jc w:val="right"/>
            </w:pPr>
            <w:r w:rsidRPr="00547D47">
              <w:t>138</w:t>
            </w:r>
          </w:p>
        </w:tc>
      </w:tr>
      <w:tr w:rsidR="00042EFD" w14:paraId="0FACBF3F" w14:textId="77777777" w:rsidTr="00A30867">
        <w:tc>
          <w:tcPr>
            <w:tcW w:w="4817" w:type="dxa"/>
          </w:tcPr>
          <w:p w14:paraId="19A58349" w14:textId="786508A8" w:rsidR="00042EFD" w:rsidRPr="00547D47" w:rsidRDefault="00042EFD" w:rsidP="00A30867">
            <w:pPr>
              <w:pStyle w:val="Tables"/>
            </w:pPr>
            <w:r w:rsidRPr="00547D47">
              <w:t xml:space="preserve">Design and </w:t>
            </w:r>
            <w:r w:rsidR="0019693A" w:rsidRPr="00547D47">
              <w:t xml:space="preserve">construction technology plan </w:t>
            </w:r>
            <w:r w:rsidRPr="00547D47">
              <w:t>(</w:t>
            </w:r>
            <w:r w:rsidR="00D51DC6" w:rsidRPr="00547D47">
              <w:t>Track I</w:t>
            </w:r>
            <w:r w:rsidRPr="00547D47">
              <w:t>)</w:t>
            </w:r>
          </w:p>
        </w:tc>
        <w:tc>
          <w:tcPr>
            <w:tcW w:w="3543" w:type="dxa"/>
          </w:tcPr>
          <w:p w14:paraId="7DAA3E5D" w14:textId="51AE4C1B" w:rsidR="00042EFD" w:rsidRPr="00547D47" w:rsidRDefault="00042EFD" w:rsidP="00A30867">
            <w:pPr>
              <w:pStyle w:val="Tables"/>
            </w:pPr>
            <w:r w:rsidRPr="00547D47">
              <w:t>Once per new permit with CCRS</w:t>
            </w:r>
          </w:p>
        </w:tc>
        <w:tc>
          <w:tcPr>
            <w:tcW w:w="990" w:type="dxa"/>
          </w:tcPr>
          <w:p w14:paraId="0727747E" w14:textId="26AA858C" w:rsidR="00042EFD" w:rsidRPr="00547D47" w:rsidRDefault="00042EFD" w:rsidP="00A30867">
            <w:pPr>
              <w:pStyle w:val="Tables"/>
              <w:jc w:val="right"/>
            </w:pPr>
            <w:r w:rsidRPr="00547D47">
              <w:t>108</w:t>
            </w:r>
          </w:p>
        </w:tc>
      </w:tr>
      <w:tr w:rsidR="00042EFD" w14:paraId="4BCD0106" w14:textId="77777777" w:rsidTr="00A30867">
        <w:tc>
          <w:tcPr>
            <w:tcW w:w="4817" w:type="dxa"/>
          </w:tcPr>
          <w:p w14:paraId="45267957" w14:textId="3F26E92D" w:rsidR="00042EFD" w:rsidRPr="00547D47" w:rsidRDefault="00042EFD" w:rsidP="00A30867">
            <w:pPr>
              <w:pStyle w:val="Tables"/>
            </w:pPr>
            <w:r w:rsidRPr="00547D47">
              <w:t xml:space="preserve">Comprehensive </w:t>
            </w:r>
            <w:r w:rsidR="0019693A" w:rsidRPr="00547D47">
              <w:t xml:space="preserve">demonstration study plan </w:t>
            </w:r>
            <w:r w:rsidR="00D51DC6" w:rsidRPr="00547D47">
              <w:t>(Track II</w:t>
            </w:r>
            <w:r w:rsidRPr="00547D47">
              <w:t>)</w:t>
            </w:r>
          </w:p>
        </w:tc>
        <w:tc>
          <w:tcPr>
            <w:tcW w:w="3543" w:type="dxa"/>
          </w:tcPr>
          <w:p w14:paraId="7009C7A8" w14:textId="1771C642" w:rsidR="00042EFD" w:rsidRPr="00547D47" w:rsidRDefault="00042EFD" w:rsidP="003942D4">
            <w:pPr>
              <w:pStyle w:val="Tables"/>
            </w:pPr>
            <w:r w:rsidRPr="00547D47">
              <w:t xml:space="preserve">Once per new permit </w:t>
            </w:r>
            <w:r w:rsidR="00A96FEF">
              <w:t>without CCRS</w:t>
            </w:r>
          </w:p>
        </w:tc>
        <w:tc>
          <w:tcPr>
            <w:tcW w:w="990" w:type="dxa"/>
          </w:tcPr>
          <w:p w14:paraId="423D7C0E" w14:textId="6A2FCD41" w:rsidR="00042EFD" w:rsidRPr="00547D47" w:rsidRDefault="00042EFD" w:rsidP="00A30867">
            <w:pPr>
              <w:pStyle w:val="Tables"/>
              <w:jc w:val="right"/>
            </w:pPr>
            <w:r w:rsidRPr="00547D47">
              <w:t>271</w:t>
            </w:r>
          </w:p>
        </w:tc>
      </w:tr>
      <w:tr w:rsidR="00042EFD" w14:paraId="75A323C4" w14:textId="77777777" w:rsidTr="00A30867">
        <w:tc>
          <w:tcPr>
            <w:tcW w:w="4817" w:type="dxa"/>
          </w:tcPr>
          <w:p w14:paraId="42F95785" w14:textId="12A1724C" w:rsidR="00042EFD" w:rsidRPr="00547D47" w:rsidRDefault="00042EFD" w:rsidP="00A30867">
            <w:pPr>
              <w:pStyle w:val="Tables"/>
            </w:pPr>
            <w:r w:rsidRPr="00547D47">
              <w:t xml:space="preserve">Source </w:t>
            </w:r>
            <w:r w:rsidR="0019693A" w:rsidRPr="00547D47">
              <w:t xml:space="preserve">water baseline biological characterization study </w:t>
            </w:r>
            <w:r w:rsidRPr="00547D47">
              <w:t>(</w:t>
            </w:r>
            <w:r w:rsidR="00D51DC6" w:rsidRPr="00547D47">
              <w:t>Track II</w:t>
            </w:r>
            <w:r w:rsidRPr="00547D47">
              <w:t>)</w:t>
            </w:r>
          </w:p>
        </w:tc>
        <w:tc>
          <w:tcPr>
            <w:tcW w:w="3543" w:type="dxa"/>
          </w:tcPr>
          <w:p w14:paraId="729F53CB" w14:textId="315C445F" w:rsidR="00042EFD" w:rsidRPr="00547D47" w:rsidRDefault="00042EFD" w:rsidP="003942D4">
            <w:pPr>
              <w:pStyle w:val="Tables"/>
            </w:pPr>
            <w:r w:rsidRPr="00547D47">
              <w:t xml:space="preserve">Once per new permit </w:t>
            </w:r>
            <w:r w:rsidR="00A96FEF">
              <w:t>without CCRS</w:t>
            </w:r>
          </w:p>
        </w:tc>
        <w:tc>
          <w:tcPr>
            <w:tcW w:w="990" w:type="dxa"/>
          </w:tcPr>
          <w:p w14:paraId="655E81B7" w14:textId="718EFEAE" w:rsidR="00042EFD" w:rsidRPr="00547D47" w:rsidRDefault="00042EFD" w:rsidP="00A30867">
            <w:pPr>
              <w:pStyle w:val="Tables"/>
              <w:jc w:val="right"/>
            </w:pPr>
            <w:r w:rsidRPr="00547D47">
              <w:t>5,196</w:t>
            </w:r>
          </w:p>
        </w:tc>
      </w:tr>
      <w:tr w:rsidR="00042EFD" w14:paraId="53C9AD21" w14:textId="77777777" w:rsidTr="00A30867">
        <w:tc>
          <w:tcPr>
            <w:tcW w:w="4817" w:type="dxa"/>
          </w:tcPr>
          <w:p w14:paraId="235BE1F3" w14:textId="659D00DF" w:rsidR="00042EFD" w:rsidRPr="00547D47" w:rsidRDefault="00042EFD" w:rsidP="00A30867">
            <w:pPr>
              <w:pStyle w:val="Tables"/>
            </w:pPr>
            <w:r w:rsidRPr="00547D47">
              <w:t xml:space="preserve">Evaluation of </w:t>
            </w:r>
            <w:r w:rsidR="0019693A" w:rsidRPr="00547D47">
              <w:t xml:space="preserve">potential </w:t>
            </w:r>
            <w:r w:rsidRPr="00547D47">
              <w:t xml:space="preserve">CWIS </w:t>
            </w:r>
            <w:r w:rsidR="0019693A" w:rsidRPr="00547D47">
              <w:t xml:space="preserve">effects </w:t>
            </w:r>
            <w:r w:rsidRPr="00547D47">
              <w:t>(</w:t>
            </w:r>
            <w:r w:rsidR="00D51DC6" w:rsidRPr="00547D47">
              <w:t>Track II</w:t>
            </w:r>
            <w:r w:rsidRPr="00547D47">
              <w:t>)</w:t>
            </w:r>
          </w:p>
        </w:tc>
        <w:tc>
          <w:tcPr>
            <w:tcW w:w="3543" w:type="dxa"/>
          </w:tcPr>
          <w:p w14:paraId="16F7E1CD" w14:textId="5B6FA64F" w:rsidR="00042EFD" w:rsidRPr="00547D47" w:rsidRDefault="00042EFD" w:rsidP="003942D4">
            <w:pPr>
              <w:pStyle w:val="Tables"/>
            </w:pPr>
            <w:r w:rsidRPr="00547D47">
              <w:t xml:space="preserve">Once per new permit </w:t>
            </w:r>
            <w:r w:rsidR="00A96FEF">
              <w:t>without CCRS</w:t>
            </w:r>
          </w:p>
        </w:tc>
        <w:tc>
          <w:tcPr>
            <w:tcW w:w="990" w:type="dxa"/>
          </w:tcPr>
          <w:p w14:paraId="3E9E23A1" w14:textId="4E656D6D" w:rsidR="00042EFD" w:rsidRPr="00547D47" w:rsidRDefault="00042EFD" w:rsidP="00A30867">
            <w:pPr>
              <w:pStyle w:val="Tables"/>
              <w:jc w:val="right"/>
            </w:pPr>
            <w:r w:rsidRPr="00547D47">
              <w:t>1,626</w:t>
            </w:r>
          </w:p>
        </w:tc>
      </w:tr>
      <w:tr w:rsidR="00042EFD" w14:paraId="306A88D8" w14:textId="77777777" w:rsidTr="00A30867">
        <w:tc>
          <w:tcPr>
            <w:tcW w:w="4817" w:type="dxa"/>
          </w:tcPr>
          <w:p w14:paraId="6FAAA37B" w14:textId="0B2DE74D" w:rsidR="00042EFD" w:rsidRPr="00547D47" w:rsidRDefault="00237096" w:rsidP="00A30867">
            <w:pPr>
              <w:pStyle w:val="Tables"/>
            </w:pPr>
            <w:r w:rsidRPr="00547D47">
              <w:t xml:space="preserve">Verification </w:t>
            </w:r>
            <w:r w:rsidR="0019693A" w:rsidRPr="00547D47">
              <w:t xml:space="preserve">monitoring plan </w:t>
            </w:r>
            <w:r w:rsidRPr="00547D47">
              <w:t>(</w:t>
            </w:r>
            <w:r w:rsidR="00D51DC6" w:rsidRPr="00547D47">
              <w:t>Track II</w:t>
            </w:r>
            <w:r w:rsidRPr="00547D47">
              <w:t>)</w:t>
            </w:r>
          </w:p>
        </w:tc>
        <w:tc>
          <w:tcPr>
            <w:tcW w:w="3543" w:type="dxa"/>
          </w:tcPr>
          <w:p w14:paraId="004E96E8" w14:textId="2DF7990F" w:rsidR="00042EFD" w:rsidRPr="00547D47" w:rsidRDefault="00BC7EE9" w:rsidP="003942D4">
            <w:pPr>
              <w:pStyle w:val="Tables"/>
            </w:pPr>
            <w:r w:rsidRPr="00547D47">
              <w:t>Once</w:t>
            </w:r>
            <w:r w:rsidR="00237096" w:rsidRPr="00547D47">
              <w:t xml:space="preserve"> per new permit </w:t>
            </w:r>
            <w:r w:rsidR="00A96FEF">
              <w:t>without CCRS</w:t>
            </w:r>
          </w:p>
        </w:tc>
        <w:tc>
          <w:tcPr>
            <w:tcW w:w="990" w:type="dxa"/>
          </w:tcPr>
          <w:p w14:paraId="61FFE113" w14:textId="50591F9B" w:rsidR="00042EFD" w:rsidRPr="00547D47" w:rsidRDefault="00237096" w:rsidP="00A30867">
            <w:pPr>
              <w:pStyle w:val="Tables"/>
              <w:jc w:val="right"/>
            </w:pPr>
            <w:r w:rsidRPr="00547D47">
              <w:t>128</w:t>
            </w:r>
          </w:p>
        </w:tc>
      </w:tr>
      <w:tr w:rsidR="00BC7EE9" w14:paraId="6404F906" w14:textId="77777777" w:rsidTr="00A30867">
        <w:tc>
          <w:tcPr>
            <w:tcW w:w="4817" w:type="dxa"/>
          </w:tcPr>
          <w:p w14:paraId="46A50D5D" w14:textId="0FC912DE" w:rsidR="00BC7EE9" w:rsidRPr="00547D47" w:rsidRDefault="00BC7EE9" w:rsidP="00A30867">
            <w:pPr>
              <w:pStyle w:val="Tables"/>
            </w:pPr>
            <w:r w:rsidRPr="00547D47">
              <w:t xml:space="preserve">Freshwater </w:t>
            </w:r>
            <w:r w:rsidR="0019693A" w:rsidRPr="00547D47">
              <w:t xml:space="preserve">verification study </w:t>
            </w:r>
            <w:r w:rsidRPr="00547D47">
              <w:t>(</w:t>
            </w:r>
            <w:r w:rsidR="00D51DC6" w:rsidRPr="00547D47">
              <w:t>Track II</w:t>
            </w:r>
            <w:r w:rsidRPr="00547D47">
              <w:t>)</w:t>
            </w:r>
          </w:p>
        </w:tc>
        <w:tc>
          <w:tcPr>
            <w:tcW w:w="3543" w:type="dxa"/>
          </w:tcPr>
          <w:p w14:paraId="44FE7CC8" w14:textId="01C57BB6" w:rsidR="00BC7EE9" w:rsidRPr="00547D47" w:rsidRDefault="00BC7EE9" w:rsidP="003942D4">
            <w:pPr>
              <w:pStyle w:val="Tables"/>
            </w:pPr>
            <w:r w:rsidRPr="00547D47">
              <w:t xml:space="preserve">Once per new permit </w:t>
            </w:r>
            <w:r w:rsidR="00A96FEF">
              <w:t>without CCRS</w:t>
            </w:r>
            <w:r w:rsidR="00A96FEF" w:rsidRPr="00547D47">
              <w:t xml:space="preserve"> </w:t>
            </w:r>
            <w:r w:rsidRPr="00547D47">
              <w:t xml:space="preserve">with freshwater </w:t>
            </w:r>
          </w:p>
        </w:tc>
        <w:tc>
          <w:tcPr>
            <w:tcW w:w="990" w:type="dxa"/>
          </w:tcPr>
          <w:p w14:paraId="7205CFE2" w14:textId="7B25A8F3" w:rsidR="00BC7EE9" w:rsidRPr="00547D47" w:rsidRDefault="00BC7EE9" w:rsidP="00A30867">
            <w:pPr>
              <w:pStyle w:val="Tables"/>
              <w:jc w:val="right"/>
            </w:pPr>
            <w:r w:rsidRPr="00547D47">
              <w:t>92</w:t>
            </w:r>
          </w:p>
        </w:tc>
      </w:tr>
      <w:tr w:rsidR="00BC7EE9" w14:paraId="0F4AE34C" w14:textId="77777777" w:rsidTr="00A30867">
        <w:tc>
          <w:tcPr>
            <w:tcW w:w="4817" w:type="dxa"/>
          </w:tcPr>
          <w:p w14:paraId="2CF09D33" w14:textId="11D7E1A5" w:rsidR="00BC7EE9" w:rsidRPr="00547D47" w:rsidRDefault="00BC7EE9" w:rsidP="00A30867">
            <w:pPr>
              <w:pStyle w:val="Tables"/>
            </w:pPr>
            <w:r w:rsidRPr="00547D47">
              <w:t xml:space="preserve">Estuary </w:t>
            </w:r>
            <w:r w:rsidR="0019693A" w:rsidRPr="00547D47">
              <w:t xml:space="preserve">verification study </w:t>
            </w:r>
            <w:r w:rsidRPr="00547D47">
              <w:t>(</w:t>
            </w:r>
            <w:r w:rsidR="00D51DC6" w:rsidRPr="00547D47">
              <w:t>Track II</w:t>
            </w:r>
            <w:r w:rsidRPr="00547D47">
              <w:t>)</w:t>
            </w:r>
          </w:p>
        </w:tc>
        <w:tc>
          <w:tcPr>
            <w:tcW w:w="3543" w:type="dxa"/>
          </w:tcPr>
          <w:p w14:paraId="25CB772F" w14:textId="56004FBB" w:rsidR="00BC7EE9" w:rsidRPr="00547D47" w:rsidRDefault="00BC7EE9" w:rsidP="003942D4">
            <w:pPr>
              <w:pStyle w:val="Tables"/>
            </w:pPr>
            <w:r w:rsidRPr="00547D47">
              <w:t>Once per new permit</w:t>
            </w:r>
            <w:r w:rsidR="00A96FEF">
              <w:t xml:space="preserve"> without CCRS</w:t>
            </w:r>
            <w:r w:rsidRPr="00547D47">
              <w:t xml:space="preserve"> with estuarine </w:t>
            </w:r>
            <w:r w:rsidR="003942D4">
              <w:t>water</w:t>
            </w:r>
          </w:p>
        </w:tc>
        <w:tc>
          <w:tcPr>
            <w:tcW w:w="990" w:type="dxa"/>
          </w:tcPr>
          <w:p w14:paraId="09A80EC2" w14:textId="6ECF76E6" w:rsidR="00BC7EE9" w:rsidRPr="00547D47" w:rsidRDefault="00BC7EE9" w:rsidP="00A30867">
            <w:pPr>
              <w:pStyle w:val="Tables"/>
              <w:jc w:val="right"/>
            </w:pPr>
            <w:r w:rsidRPr="00547D47">
              <w:t>122</w:t>
            </w:r>
          </w:p>
        </w:tc>
      </w:tr>
      <w:tr w:rsidR="00BC7EE9" w14:paraId="7EF4B6E2" w14:textId="77777777" w:rsidTr="00A30867">
        <w:tc>
          <w:tcPr>
            <w:tcW w:w="4817" w:type="dxa"/>
          </w:tcPr>
          <w:p w14:paraId="1D037F11" w14:textId="0DF2D378" w:rsidR="00BC7EE9" w:rsidRPr="00547D47" w:rsidRDefault="00BC7EE9" w:rsidP="00A30867">
            <w:pPr>
              <w:pStyle w:val="Tables"/>
            </w:pPr>
            <w:r w:rsidRPr="00547D47">
              <w:t xml:space="preserve">Initial </w:t>
            </w:r>
            <w:r w:rsidR="0019693A" w:rsidRPr="00547D47">
              <w:t xml:space="preserve">biological monitoring </w:t>
            </w:r>
            <w:r w:rsidRPr="00547D47">
              <w:t xml:space="preserve">for </w:t>
            </w:r>
            <w:r w:rsidR="0019693A" w:rsidRPr="00547D47">
              <w:t xml:space="preserve">impingement </w:t>
            </w:r>
            <w:r w:rsidRPr="00547D47">
              <w:t>(</w:t>
            </w:r>
            <w:r w:rsidR="00784FA2">
              <w:t>f</w:t>
            </w:r>
            <w:r w:rsidRPr="00547D47">
              <w:t>reshwater)</w:t>
            </w:r>
          </w:p>
        </w:tc>
        <w:tc>
          <w:tcPr>
            <w:tcW w:w="3543" w:type="dxa"/>
          </w:tcPr>
          <w:p w14:paraId="2A2E62BA" w14:textId="1BD9D310" w:rsidR="00BC7EE9" w:rsidRPr="00547D47" w:rsidRDefault="007B1EFF" w:rsidP="00A30867">
            <w:pPr>
              <w:pStyle w:val="Tables"/>
            </w:pPr>
            <w:r w:rsidRPr="00547D47">
              <w:t>Two years per new permit</w:t>
            </w:r>
            <w:r w:rsidR="00DC4556" w:rsidRPr="00547D47">
              <w:t xml:space="preserve"> with freshwater</w:t>
            </w:r>
          </w:p>
        </w:tc>
        <w:tc>
          <w:tcPr>
            <w:tcW w:w="990" w:type="dxa"/>
          </w:tcPr>
          <w:p w14:paraId="508E5236" w14:textId="02B168CD" w:rsidR="00BC7EE9" w:rsidRPr="00547D47" w:rsidRDefault="00BC7EE9" w:rsidP="00A30867">
            <w:pPr>
              <w:pStyle w:val="Tables"/>
              <w:jc w:val="right"/>
            </w:pPr>
            <w:r w:rsidRPr="00547D47">
              <w:t>379</w:t>
            </w:r>
          </w:p>
        </w:tc>
      </w:tr>
      <w:tr w:rsidR="007B1EFF" w14:paraId="373021A0" w14:textId="77777777" w:rsidTr="00A30867">
        <w:tc>
          <w:tcPr>
            <w:tcW w:w="4817" w:type="dxa"/>
          </w:tcPr>
          <w:p w14:paraId="0C4F944D" w14:textId="3344CAB9" w:rsidR="007B1EFF" w:rsidRPr="00547D47" w:rsidRDefault="00DC4556" w:rsidP="00A30867">
            <w:pPr>
              <w:pStyle w:val="Tables"/>
            </w:pPr>
            <w:r w:rsidRPr="00547D47">
              <w:t xml:space="preserve">Initial </w:t>
            </w:r>
            <w:r w:rsidR="0019693A" w:rsidRPr="00547D47">
              <w:t xml:space="preserve">biological monitoring </w:t>
            </w:r>
            <w:r w:rsidRPr="00547D47">
              <w:t xml:space="preserve">for </w:t>
            </w:r>
            <w:r w:rsidR="0019693A" w:rsidRPr="00547D47">
              <w:t>i</w:t>
            </w:r>
            <w:r w:rsidRPr="00547D47">
              <w:t>mpingement (</w:t>
            </w:r>
            <w:r w:rsidR="0019693A" w:rsidRPr="00547D47">
              <w:t>estuary</w:t>
            </w:r>
            <w:r w:rsidRPr="00547D47">
              <w:t>)</w:t>
            </w:r>
          </w:p>
        </w:tc>
        <w:tc>
          <w:tcPr>
            <w:tcW w:w="3543" w:type="dxa"/>
          </w:tcPr>
          <w:p w14:paraId="63F9069E" w14:textId="087E74B5" w:rsidR="007B1EFF" w:rsidRPr="00547D47" w:rsidRDefault="00DC4556" w:rsidP="00A30867">
            <w:pPr>
              <w:pStyle w:val="Tables"/>
            </w:pPr>
            <w:r w:rsidRPr="00547D47">
              <w:t>Two years per new permit with estuary</w:t>
            </w:r>
          </w:p>
        </w:tc>
        <w:tc>
          <w:tcPr>
            <w:tcW w:w="990" w:type="dxa"/>
          </w:tcPr>
          <w:p w14:paraId="637FC186" w14:textId="765006F6" w:rsidR="007B1EFF" w:rsidRPr="00547D47" w:rsidRDefault="00DC4556" w:rsidP="00A30867">
            <w:pPr>
              <w:pStyle w:val="Tables"/>
              <w:jc w:val="right"/>
            </w:pPr>
            <w:r w:rsidRPr="00547D47">
              <w:t>482</w:t>
            </w:r>
          </w:p>
        </w:tc>
      </w:tr>
      <w:tr w:rsidR="00DC4556" w14:paraId="321957D8" w14:textId="77777777" w:rsidTr="00A30867">
        <w:tc>
          <w:tcPr>
            <w:tcW w:w="4817" w:type="dxa"/>
          </w:tcPr>
          <w:p w14:paraId="32E85705" w14:textId="37A74EE1" w:rsidR="00DC4556" w:rsidRPr="00547D47" w:rsidRDefault="00DC4556" w:rsidP="00A30867">
            <w:pPr>
              <w:pStyle w:val="Tables"/>
            </w:pPr>
            <w:r w:rsidRPr="00547D47">
              <w:t xml:space="preserve">Initial </w:t>
            </w:r>
            <w:r w:rsidR="0019693A" w:rsidRPr="00547D47">
              <w:t xml:space="preserve">biological monitoring </w:t>
            </w:r>
            <w:r w:rsidRPr="00547D47">
              <w:t xml:space="preserve">for </w:t>
            </w:r>
            <w:r w:rsidR="0019693A" w:rsidRPr="00547D47">
              <w:t xml:space="preserve">entrainment </w:t>
            </w:r>
            <w:r w:rsidRPr="00547D47">
              <w:t>(</w:t>
            </w:r>
            <w:r w:rsidR="00784FA2">
              <w:t>f</w:t>
            </w:r>
            <w:r w:rsidRPr="00547D47">
              <w:t>reshwater)</w:t>
            </w:r>
          </w:p>
        </w:tc>
        <w:tc>
          <w:tcPr>
            <w:tcW w:w="3543" w:type="dxa"/>
          </w:tcPr>
          <w:p w14:paraId="165F328F" w14:textId="4A887541" w:rsidR="00DC4556" w:rsidRPr="00547D47" w:rsidRDefault="00DC4556" w:rsidP="00A30867">
            <w:pPr>
              <w:pStyle w:val="Tables"/>
            </w:pPr>
            <w:r w:rsidRPr="00547D47">
              <w:t>Two years per new permit with freshwater</w:t>
            </w:r>
          </w:p>
        </w:tc>
        <w:tc>
          <w:tcPr>
            <w:tcW w:w="990" w:type="dxa"/>
          </w:tcPr>
          <w:p w14:paraId="5D236653" w14:textId="04F91F81" w:rsidR="00DC4556" w:rsidRPr="00547D47" w:rsidRDefault="00DC4556" w:rsidP="00A30867">
            <w:pPr>
              <w:pStyle w:val="Tables"/>
              <w:jc w:val="right"/>
            </w:pPr>
            <w:r w:rsidRPr="00547D47">
              <w:t>614</w:t>
            </w:r>
          </w:p>
        </w:tc>
      </w:tr>
      <w:tr w:rsidR="00DC4556" w14:paraId="5F0C6D65" w14:textId="77777777" w:rsidTr="00A30867">
        <w:tc>
          <w:tcPr>
            <w:tcW w:w="4817" w:type="dxa"/>
          </w:tcPr>
          <w:p w14:paraId="7AEAA853" w14:textId="6196D494" w:rsidR="00DC4556" w:rsidRPr="00547D47" w:rsidRDefault="00DC4556" w:rsidP="00A30867">
            <w:pPr>
              <w:pStyle w:val="Tables"/>
            </w:pPr>
            <w:r w:rsidRPr="00547D47">
              <w:t xml:space="preserve">Initial </w:t>
            </w:r>
            <w:r w:rsidR="0019693A" w:rsidRPr="00547D47">
              <w:t xml:space="preserve">biological monitoring </w:t>
            </w:r>
            <w:r w:rsidRPr="00547D47">
              <w:t xml:space="preserve">for </w:t>
            </w:r>
            <w:r w:rsidR="0019693A" w:rsidRPr="00547D47">
              <w:t xml:space="preserve">entrainment </w:t>
            </w:r>
            <w:r w:rsidRPr="00547D47">
              <w:t>(</w:t>
            </w:r>
            <w:r w:rsidR="0019693A" w:rsidRPr="00547D47">
              <w:t>estuary</w:t>
            </w:r>
            <w:r w:rsidRPr="00547D47">
              <w:t>)</w:t>
            </w:r>
          </w:p>
        </w:tc>
        <w:tc>
          <w:tcPr>
            <w:tcW w:w="3543" w:type="dxa"/>
          </w:tcPr>
          <w:p w14:paraId="17486D58" w14:textId="1E760489" w:rsidR="00DC4556" w:rsidRPr="00547D47" w:rsidRDefault="00DC4556" w:rsidP="00A30867">
            <w:pPr>
              <w:pStyle w:val="Tables"/>
            </w:pPr>
            <w:r w:rsidRPr="00547D47">
              <w:t>Two years per new permit with estuary</w:t>
            </w:r>
          </w:p>
        </w:tc>
        <w:tc>
          <w:tcPr>
            <w:tcW w:w="990" w:type="dxa"/>
          </w:tcPr>
          <w:p w14:paraId="50977FBE" w14:textId="3098BCF5" w:rsidR="00DC4556" w:rsidRPr="00547D47" w:rsidRDefault="00DC4556" w:rsidP="00A30867">
            <w:pPr>
              <w:pStyle w:val="Tables"/>
              <w:jc w:val="right"/>
            </w:pPr>
            <w:r w:rsidRPr="00547D47">
              <w:t>776</w:t>
            </w:r>
          </w:p>
        </w:tc>
      </w:tr>
    </w:tbl>
    <w:p w14:paraId="30E1761F" w14:textId="4A80AFC9" w:rsidR="008F6679" w:rsidRDefault="008F6679" w:rsidP="00DE1B27">
      <w:pPr>
        <w:spacing w:after="0"/>
      </w:pPr>
    </w:p>
    <w:p w14:paraId="23C7C6BE" w14:textId="472BC9F1" w:rsidR="00A44CC8" w:rsidRDefault="00A44CC8" w:rsidP="00871F94">
      <w:pPr>
        <w:pStyle w:val="Caption"/>
      </w:pPr>
      <w:r>
        <w:t>Table A.</w:t>
      </w:r>
      <w:r w:rsidR="007F3A2F">
        <w:t>10</w:t>
      </w:r>
      <w:r>
        <w:t xml:space="preserve"> </w:t>
      </w:r>
      <w:r w:rsidRPr="00A44CC8">
        <w:t xml:space="preserve">Estimated </w:t>
      </w:r>
      <w:r w:rsidR="00872DA2">
        <w:t>F</w:t>
      </w:r>
      <w:r w:rsidR="0019693A" w:rsidRPr="00A44CC8">
        <w:t xml:space="preserve">acility </w:t>
      </w:r>
      <w:r w:rsidR="00872DA2">
        <w:t>B</w:t>
      </w:r>
      <w:r w:rsidR="0019693A" w:rsidRPr="00A44CC8">
        <w:t xml:space="preserve">urden </w:t>
      </w:r>
      <w:r w:rsidR="005B4FEB">
        <w:t xml:space="preserve">for </w:t>
      </w:r>
      <w:r w:rsidR="00872DA2">
        <w:t>R</w:t>
      </w:r>
      <w:r w:rsidR="0019693A">
        <w:t xml:space="preserve">ecurring </w:t>
      </w:r>
      <w:r w:rsidR="00872DA2">
        <w:t>A</w:t>
      </w:r>
      <w:r w:rsidR="0019693A">
        <w:t xml:space="preserve">ctivities </w:t>
      </w:r>
      <w:r w:rsidRPr="00A44CC8">
        <w:t>for</w:t>
      </w:r>
      <w:r>
        <w:t xml:space="preserve"> </w:t>
      </w:r>
      <w:r w:rsidR="00872DA2">
        <w:t>N</w:t>
      </w:r>
      <w:r w:rsidR="0019693A" w:rsidRPr="005B4FEB">
        <w:t xml:space="preserve">ew </w:t>
      </w:r>
      <w:r w:rsidR="005B4FEB" w:rsidRPr="005B4FEB">
        <w:t xml:space="preserve">CWIS </w:t>
      </w:r>
      <w:r w:rsidR="00872DA2">
        <w:t>F</w:t>
      </w:r>
      <w:r w:rsidR="0019693A" w:rsidRPr="005B4FEB">
        <w:t>acilities</w:t>
      </w:r>
    </w:p>
    <w:tbl>
      <w:tblPr>
        <w:tblStyle w:val="TableGrid"/>
        <w:tblW w:w="0" w:type="auto"/>
        <w:tblLook w:val="04A0" w:firstRow="1" w:lastRow="0" w:firstColumn="1" w:lastColumn="0" w:noHBand="0" w:noVBand="1"/>
      </w:tblPr>
      <w:tblGrid>
        <w:gridCol w:w="4801"/>
        <w:gridCol w:w="3559"/>
        <w:gridCol w:w="990"/>
      </w:tblGrid>
      <w:tr w:rsidR="004C042F" w14:paraId="678F217A" w14:textId="77777777" w:rsidTr="00DE0828">
        <w:trPr>
          <w:tblHeader/>
        </w:trPr>
        <w:tc>
          <w:tcPr>
            <w:tcW w:w="4801" w:type="dxa"/>
            <w:shd w:val="clear" w:color="auto" w:fill="D9D9D9" w:themeFill="background1" w:themeFillShade="D9"/>
          </w:tcPr>
          <w:p w14:paraId="188A3DAC" w14:textId="038AE4B2" w:rsidR="004C042F" w:rsidRPr="00547D47" w:rsidRDefault="004C042F" w:rsidP="00A30867">
            <w:pPr>
              <w:pStyle w:val="TableTitle"/>
            </w:pPr>
            <w:r w:rsidRPr="00547D47">
              <w:t xml:space="preserve">Permittee </w:t>
            </w:r>
            <w:r w:rsidR="00FC4DB7">
              <w:t>R</w:t>
            </w:r>
            <w:r w:rsidR="0019693A" w:rsidRPr="00547D47">
              <w:t xml:space="preserve">ecurring </w:t>
            </w:r>
            <w:r w:rsidR="00FC4DB7">
              <w:t>A</w:t>
            </w:r>
            <w:r w:rsidR="0019693A" w:rsidRPr="00547D47">
              <w:t>ctivity</w:t>
            </w:r>
          </w:p>
        </w:tc>
        <w:tc>
          <w:tcPr>
            <w:tcW w:w="3559" w:type="dxa"/>
            <w:shd w:val="clear" w:color="auto" w:fill="D9D9D9" w:themeFill="background1" w:themeFillShade="D9"/>
          </w:tcPr>
          <w:p w14:paraId="0A6CACEE" w14:textId="253FA58E" w:rsidR="004C042F" w:rsidRPr="00547D47" w:rsidRDefault="004C042F" w:rsidP="00A30867">
            <w:pPr>
              <w:pStyle w:val="TableTitle"/>
            </w:pPr>
            <w:r w:rsidRPr="00547D47">
              <w:t>Frequency</w:t>
            </w:r>
          </w:p>
        </w:tc>
        <w:tc>
          <w:tcPr>
            <w:tcW w:w="990" w:type="dxa"/>
            <w:shd w:val="clear" w:color="auto" w:fill="D9D9D9" w:themeFill="background1" w:themeFillShade="D9"/>
          </w:tcPr>
          <w:p w14:paraId="0632D7D8" w14:textId="15BEFD99" w:rsidR="004C042F" w:rsidRPr="00547D47" w:rsidRDefault="004C042F" w:rsidP="00A30867">
            <w:pPr>
              <w:pStyle w:val="TableTitle"/>
            </w:pPr>
            <w:r w:rsidRPr="00547D47">
              <w:t>Burden (hours)</w:t>
            </w:r>
          </w:p>
        </w:tc>
      </w:tr>
      <w:tr w:rsidR="00DF1C28" w14:paraId="6CDCA43B" w14:textId="77777777" w:rsidTr="00A30867">
        <w:tc>
          <w:tcPr>
            <w:tcW w:w="4801" w:type="dxa"/>
          </w:tcPr>
          <w:p w14:paraId="112F89AE" w14:textId="24E6CE0A" w:rsidR="00DF1C28" w:rsidRPr="00547D47" w:rsidRDefault="00DF1C28" w:rsidP="00A30867">
            <w:pPr>
              <w:pStyle w:val="Tables"/>
            </w:pPr>
            <w:r w:rsidRPr="00547D47">
              <w:t xml:space="preserve">Permit </w:t>
            </w:r>
            <w:r w:rsidR="0019693A" w:rsidRPr="00547D47">
              <w:t>application activities</w:t>
            </w:r>
          </w:p>
        </w:tc>
        <w:tc>
          <w:tcPr>
            <w:tcW w:w="3559" w:type="dxa"/>
          </w:tcPr>
          <w:p w14:paraId="67C18E4F" w14:textId="6A889B5F" w:rsidR="00DF1C28" w:rsidRPr="00547D47" w:rsidRDefault="00DF1C28" w:rsidP="00A30867">
            <w:pPr>
              <w:pStyle w:val="Tables"/>
            </w:pPr>
            <w:r w:rsidRPr="00547D47">
              <w:t>Once every 5 years</w:t>
            </w:r>
          </w:p>
        </w:tc>
        <w:tc>
          <w:tcPr>
            <w:tcW w:w="990" w:type="dxa"/>
          </w:tcPr>
          <w:p w14:paraId="077D4C16" w14:textId="4FBEEA4A" w:rsidR="00DF1C28" w:rsidRPr="00547D47" w:rsidRDefault="00DF1C28" w:rsidP="00A30867">
            <w:pPr>
              <w:pStyle w:val="Tables"/>
              <w:jc w:val="right"/>
            </w:pPr>
            <w:r w:rsidRPr="00547D47">
              <w:t>72</w:t>
            </w:r>
          </w:p>
        </w:tc>
      </w:tr>
      <w:tr w:rsidR="00DF1C28" w14:paraId="0DCF50EC" w14:textId="77777777" w:rsidTr="00A30867">
        <w:tc>
          <w:tcPr>
            <w:tcW w:w="4801" w:type="dxa"/>
          </w:tcPr>
          <w:p w14:paraId="419F13A4" w14:textId="3BBFCC81" w:rsidR="00DF1C28" w:rsidRPr="00547D47" w:rsidRDefault="00DF1C28" w:rsidP="00A30867">
            <w:pPr>
              <w:pStyle w:val="Tables"/>
            </w:pPr>
            <w:r w:rsidRPr="00547D47">
              <w:t xml:space="preserve">Source </w:t>
            </w:r>
            <w:r w:rsidR="0019693A" w:rsidRPr="00547D47">
              <w:t>waterbody flow information</w:t>
            </w:r>
          </w:p>
        </w:tc>
        <w:tc>
          <w:tcPr>
            <w:tcW w:w="3559" w:type="dxa"/>
          </w:tcPr>
          <w:p w14:paraId="0EC1644E" w14:textId="1F37CCF8" w:rsidR="00DF1C28" w:rsidRPr="00547D47" w:rsidRDefault="00DF1C28" w:rsidP="00A30867">
            <w:pPr>
              <w:pStyle w:val="Tables"/>
            </w:pPr>
            <w:r w:rsidRPr="00547D47">
              <w:t>Once every 5 years</w:t>
            </w:r>
          </w:p>
        </w:tc>
        <w:tc>
          <w:tcPr>
            <w:tcW w:w="990" w:type="dxa"/>
          </w:tcPr>
          <w:p w14:paraId="2C31CE97" w14:textId="2BBA09BA" w:rsidR="00DF1C28" w:rsidRPr="00547D47" w:rsidRDefault="00DF1C28" w:rsidP="00A30867">
            <w:pPr>
              <w:pStyle w:val="Tables"/>
              <w:jc w:val="right"/>
            </w:pPr>
            <w:r w:rsidRPr="00547D47">
              <w:t>31</w:t>
            </w:r>
          </w:p>
        </w:tc>
      </w:tr>
      <w:tr w:rsidR="004D785A" w14:paraId="19657CE2" w14:textId="77777777" w:rsidTr="00A30867">
        <w:tc>
          <w:tcPr>
            <w:tcW w:w="4801" w:type="dxa"/>
          </w:tcPr>
          <w:p w14:paraId="15FDBF59" w14:textId="1A50BE51" w:rsidR="004D785A" w:rsidRPr="00547D47" w:rsidRDefault="004D785A" w:rsidP="00A30867">
            <w:pPr>
              <w:pStyle w:val="Tables"/>
            </w:pPr>
            <w:r w:rsidRPr="00547D47">
              <w:t xml:space="preserve">Source </w:t>
            </w:r>
            <w:r w:rsidR="0019693A" w:rsidRPr="00547D47">
              <w:t>water baseline biological characterization data</w:t>
            </w:r>
          </w:p>
        </w:tc>
        <w:tc>
          <w:tcPr>
            <w:tcW w:w="3559" w:type="dxa"/>
          </w:tcPr>
          <w:p w14:paraId="42A2810A" w14:textId="3DA68CC6" w:rsidR="004D785A" w:rsidRPr="00547D47" w:rsidRDefault="004D785A" w:rsidP="00A30867">
            <w:pPr>
              <w:pStyle w:val="Tables"/>
            </w:pPr>
            <w:r w:rsidRPr="00547D47">
              <w:t>Once every 5 years</w:t>
            </w:r>
          </w:p>
        </w:tc>
        <w:tc>
          <w:tcPr>
            <w:tcW w:w="990" w:type="dxa"/>
          </w:tcPr>
          <w:p w14:paraId="6F3D2FF3" w14:textId="4A56DC5B" w:rsidR="004D785A" w:rsidRPr="00547D47" w:rsidRDefault="004D785A" w:rsidP="00A30867">
            <w:pPr>
              <w:pStyle w:val="Tables"/>
              <w:jc w:val="right"/>
            </w:pPr>
            <w:r w:rsidRPr="00547D47">
              <w:t>79</w:t>
            </w:r>
          </w:p>
        </w:tc>
      </w:tr>
      <w:tr w:rsidR="004D785A" w14:paraId="5416A623" w14:textId="77777777" w:rsidTr="00A30867">
        <w:tc>
          <w:tcPr>
            <w:tcW w:w="4801" w:type="dxa"/>
          </w:tcPr>
          <w:p w14:paraId="74D1D25D" w14:textId="2EFED4CE" w:rsidR="004D785A" w:rsidRPr="00547D47" w:rsidRDefault="004D785A" w:rsidP="00A30867">
            <w:pPr>
              <w:pStyle w:val="Tables"/>
            </w:pPr>
            <w:r w:rsidRPr="00547D47">
              <w:t xml:space="preserve">CWIS </w:t>
            </w:r>
            <w:r w:rsidR="0019693A" w:rsidRPr="00547D47">
              <w:t xml:space="preserve">flow reduction requirements </w:t>
            </w:r>
            <w:r w:rsidRPr="00547D47">
              <w:t>(Track I)</w:t>
            </w:r>
          </w:p>
        </w:tc>
        <w:tc>
          <w:tcPr>
            <w:tcW w:w="3559" w:type="dxa"/>
          </w:tcPr>
          <w:p w14:paraId="308033FF" w14:textId="438551DE" w:rsidR="004D785A" w:rsidRPr="00547D47" w:rsidRDefault="004D785A" w:rsidP="00A30867">
            <w:pPr>
              <w:pStyle w:val="Tables"/>
            </w:pPr>
            <w:r w:rsidRPr="00547D47">
              <w:t>Once every 5 years</w:t>
            </w:r>
          </w:p>
        </w:tc>
        <w:tc>
          <w:tcPr>
            <w:tcW w:w="990" w:type="dxa"/>
          </w:tcPr>
          <w:p w14:paraId="41577B01" w14:textId="158E98BE" w:rsidR="004D785A" w:rsidRPr="00547D47" w:rsidRDefault="004D785A" w:rsidP="00A30867">
            <w:pPr>
              <w:pStyle w:val="Tables"/>
              <w:jc w:val="right"/>
            </w:pPr>
            <w:r w:rsidRPr="00547D47">
              <w:t>108</w:t>
            </w:r>
          </w:p>
        </w:tc>
      </w:tr>
      <w:tr w:rsidR="004D785A" w14:paraId="1001B0E9" w14:textId="77777777" w:rsidTr="00A30867">
        <w:tc>
          <w:tcPr>
            <w:tcW w:w="4801" w:type="dxa"/>
          </w:tcPr>
          <w:p w14:paraId="25D17881" w14:textId="2AA39986" w:rsidR="004D785A" w:rsidRPr="00547D47" w:rsidRDefault="004D785A" w:rsidP="00A30867">
            <w:pPr>
              <w:pStyle w:val="Tables"/>
            </w:pPr>
            <w:r w:rsidRPr="00547D47">
              <w:t xml:space="preserve">CWIS </w:t>
            </w:r>
            <w:r w:rsidR="0019693A" w:rsidRPr="00547D47">
              <w:t xml:space="preserve">velocity requirements </w:t>
            </w:r>
            <w:r w:rsidRPr="00547D47">
              <w:t>(Track I)</w:t>
            </w:r>
          </w:p>
        </w:tc>
        <w:tc>
          <w:tcPr>
            <w:tcW w:w="3559" w:type="dxa"/>
          </w:tcPr>
          <w:p w14:paraId="7008B89D" w14:textId="66D7092A" w:rsidR="004D785A" w:rsidRPr="00547D47" w:rsidRDefault="004D785A" w:rsidP="00A30867">
            <w:pPr>
              <w:pStyle w:val="Tables"/>
            </w:pPr>
            <w:r w:rsidRPr="00547D47">
              <w:t>Once every 5 years</w:t>
            </w:r>
          </w:p>
        </w:tc>
        <w:tc>
          <w:tcPr>
            <w:tcW w:w="990" w:type="dxa"/>
          </w:tcPr>
          <w:p w14:paraId="199F5161" w14:textId="65DE1925" w:rsidR="004D785A" w:rsidRPr="00547D47" w:rsidRDefault="004D785A" w:rsidP="00A30867">
            <w:pPr>
              <w:pStyle w:val="Tables"/>
              <w:jc w:val="right"/>
            </w:pPr>
            <w:r w:rsidRPr="00547D47">
              <w:t>75</w:t>
            </w:r>
          </w:p>
        </w:tc>
      </w:tr>
      <w:tr w:rsidR="004D785A" w14:paraId="00D5C2CD" w14:textId="77777777" w:rsidTr="00A30867">
        <w:tc>
          <w:tcPr>
            <w:tcW w:w="4801" w:type="dxa"/>
          </w:tcPr>
          <w:p w14:paraId="5F47FF86" w14:textId="2B0E6A4D" w:rsidR="004D785A" w:rsidRPr="00547D47" w:rsidRDefault="004D785A" w:rsidP="00A30867">
            <w:pPr>
              <w:pStyle w:val="Tables"/>
            </w:pPr>
            <w:r w:rsidRPr="00547D47">
              <w:t xml:space="preserve">Design and </w:t>
            </w:r>
            <w:r w:rsidR="0019693A" w:rsidRPr="00547D47">
              <w:t xml:space="preserve">construction technology plan </w:t>
            </w:r>
            <w:r w:rsidRPr="00547D47">
              <w:t>(Track I)</w:t>
            </w:r>
          </w:p>
        </w:tc>
        <w:tc>
          <w:tcPr>
            <w:tcW w:w="3559" w:type="dxa"/>
          </w:tcPr>
          <w:p w14:paraId="68228F1E" w14:textId="5773895F" w:rsidR="004D785A" w:rsidRPr="00547D47" w:rsidRDefault="004D785A" w:rsidP="00A30867">
            <w:pPr>
              <w:pStyle w:val="Tables"/>
            </w:pPr>
            <w:r w:rsidRPr="00547D47">
              <w:t>Once every 5 years</w:t>
            </w:r>
          </w:p>
        </w:tc>
        <w:tc>
          <w:tcPr>
            <w:tcW w:w="990" w:type="dxa"/>
          </w:tcPr>
          <w:p w14:paraId="10D97121" w14:textId="7BB0CB22" w:rsidR="004D785A" w:rsidRPr="00547D47" w:rsidRDefault="004D785A" w:rsidP="00A30867">
            <w:pPr>
              <w:pStyle w:val="Tables"/>
              <w:jc w:val="right"/>
            </w:pPr>
            <w:r w:rsidRPr="00547D47">
              <w:t>43</w:t>
            </w:r>
          </w:p>
        </w:tc>
      </w:tr>
      <w:tr w:rsidR="004D785A" w14:paraId="43F8237E" w14:textId="77777777" w:rsidTr="00A30867">
        <w:tc>
          <w:tcPr>
            <w:tcW w:w="4801" w:type="dxa"/>
          </w:tcPr>
          <w:p w14:paraId="22A98571" w14:textId="47B6F722" w:rsidR="004D785A" w:rsidRPr="00547D47" w:rsidRDefault="004D785A" w:rsidP="00A30867">
            <w:pPr>
              <w:pStyle w:val="Tables"/>
            </w:pPr>
            <w:r w:rsidRPr="00547D47">
              <w:t xml:space="preserve">Comprehensive </w:t>
            </w:r>
            <w:r w:rsidR="0019693A" w:rsidRPr="00547D47">
              <w:t xml:space="preserve">demonstration study plan </w:t>
            </w:r>
            <w:r w:rsidRPr="00547D47">
              <w:t>(Track II)</w:t>
            </w:r>
          </w:p>
        </w:tc>
        <w:tc>
          <w:tcPr>
            <w:tcW w:w="3559" w:type="dxa"/>
          </w:tcPr>
          <w:p w14:paraId="5C710908" w14:textId="0669E1CC" w:rsidR="004D785A" w:rsidRPr="00547D47" w:rsidRDefault="004D785A" w:rsidP="00A30867">
            <w:pPr>
              <w:pStyle w:val="Tables"/>
            </w:pPr>
            <w:r w:rsidRPr="00547D47">
              <w:t>Once every 5 years</w:t>
            </w:r>
          </w:p>
        </w:tc>
        <w:tc>
          <w:tcPr>
            <w:tcW w:w="990" w:type="dxa"/>
          </w:tcPr>
          <w:p w14:paraId="77744E98" w14:textId="4D9463EF" w:rsidR="004D785A" w:rsidRPr="00547D47" w:rsidRDefault="004D785A" w:rsidP="00A30867">
            <w:pPr>
              <w:pStyle w:val="Tables"/>
              <w:jc w:val="right"/>
            </w:pPr>
            <w:r w:rsidRPr="00547D47">
              <w:t>80</w:t>
            </w:r>
          </w:p>
        </w:tc>
      </w:tr>
      <w:tr w:rsidR="004D785A" w14:paraId="4054A209" w14:textId="77777777" w:rsidTr="00A30867">
        <w:tc>
          <w:tcPr>
            <w:tcW w:w="4801" w:type="dxa"/>
          </w:tcPr>
          <w:p w14:paraId="0E1EECC3" w14:textId="672C4674" w:rsidR="004D785A" w:rsidRPr="00547D47" w:rsidRDefault="004D785A" w:rsidP="00A30867">
            <w:pPr>
              <w:pStyle w:val="Tables"/>
            </w:pPr>
            <w:r w:rsidRPr="00547D47">
              <w:t xml:space="preserve">Source </w:t>
            </w:r>
            <w:r w:rsidR="0019693A" w:rsidRPr="00547D47">
              <w:t>water baseline biological characterization study</w:t>
            </w:r>
            <w:r w:rsidR="00BB2406">
              <w:t>—</w:t>
            </w:r>
            <w:r w:rsidR="0019693A" w:rsidRPr="00547D47">
              <w:t xml:space="preserve">freshwater </w:t>
            </w:r>
            <w:r w:rsidRPr="00547D47">
              <w:t>(Track 2)</w:t>
            </w:r>
          </w:p>
        </w:tc>
        <w:tc>
          <w:tcPr>
            <w:tcW w:w="3559" w:type="dxa"/>
          </w:tcPr>
          <w:p w14:paraId="536DAD69" w14:textId="2708123F" w:rsidR="004D785A" w:rsidRPr="00547D47" w:rsidRDefault="004D785A" w:rsidP="00A30867">
            <w:pPr>
              <w:pStyle w:val="Tables"/>
            </w:pPr>
            <w:r w:rsidRPr="00547D47">
              <w:t>Once every 5 years</w:t>
            </w:r>
          </w:p>
        </w:tc>
        <w:tc>
          <w:tcPr>
            <w:tcW w:w="990" w:type="dxa"/>
          </w:tcPr>
          <w:p w14:paraId="31A2744E" w14:textId="41204276" w:rsidR="004D785A" w:rsidRPr="00547D47" w:rsidRDefault="004D785A" w:rsidP="00A30867">
            <w:pPr>
              <w:pStyle w:val="Tables"/>
              <w:jc w:val="right"/>
            </w:pPr>
            <w:r w:rsidRPr="00547D47">
              <w:t>2,808</w:t>
            </w:r>
          </w:p>
        </w:tc>
      </w:tr>
      <w:tr w:rsidR="00A70068" w14:paraId="64E070A5" w14:textId="77777777" w:rsidTr="00A30867">
        <w:tc>
          <w:tcPr>
            <w:tcW w:w="4801" w:type="dxa"/>
          </w:tcPr>
          <w:p w14:paraId="4FFFB214" w14:textId="134FABED" w:rsidR="00A70068" w:rsidRPr="00547D47" w:rsidRDefault="00A70068" w:rsidP="00A30867">
            <w:pPr>
              <w:pStyle w:val="Tables"/>
            </w:pPr>
            <w:r w:rsidRPr="00547D47">
              <w:t xml:space="preserve">Source </w:t>
            </w:r>
            <w:r w:rsidR="0019693A" w:rsidRPr="00547D47">
              <w:t>water baseline biological characterization study</w:t>
            </w:r>
            <w:r w:rsidR="00BB2406">
              <w:t>—</w:t>
            </w:r>
            <w:r w:rsidR="0019693A" w:rsidRPr="00547D47">
              <w:t xml:space="preserve">marine </w:t>
            </w:r>
            <w:r w:rsidRPr="00547D47">
              <w:t>(Track 2)</w:t>
            </w:r>
          </w:p>
        </w:tc>
        <w:tc>
          <w:tcPr>
            <w:tcW w:w="3559" w:type="dxa"/>
          </w:tcPr>
          <w:p w14:paraId="1F5F9B62" w14:textId="73A912E9" w:rsidR="00A70068" w:rsidRPr="00547D47" w:rsidRDefault="00A70068" w:rsidP="00A30867">
            <w:pPr>
              <w:pStyle w:val="Tables"/>
            </w:pPr>
            <w:r w:rsidRPr="00547D47">
              <w:t>Once every 5 years</w:t>
            </w:r>
          </w:p>
        </w:tc>
        <w:tc>
          <w:tcPr>
            <w:tcW w:w="990" w:type="dxa"/>
          </w:tcPr>
          <w:p w14:paraId="31D8CA94" w14:textId="384764D0" w:rsidR="00A70068" w:rsidRPr="00547D47" w:rsidRDefault="00A70068" w:rsidP="00A30867">
            <w:pPr>
              <w:pStyle w:val="Tables"/>
              <w:jc w:val="right"/>
            </w:pPr>
            <w:r w:rsidRPr="00547D47">
              <w:t>5,268</w:t>
            </w:r>
          </w:p>
        </w:tc>
      </w:tr>
      <w:tr w:rsidR="004C042F" w14:paraId="186CA6D1" w14:textId="77777777" w:rsidTr="00A30867">
        <w:tc>
          <w:tcPr>
            <w:tcW w:w="4801" w:type="dxa"/>
          </w:tcPr>
          <w:p w14:paraId="7904455F" w14:textId="389BD2C0" w:rsidR="004C042F" w:rsidRPr="00547D47" w:rsidRDefault="007B1EFF" w:rsidP="00A30867">
            <w:pPr>
              <w:pStyle w:val="Tables"/>
            </w:pPr>
            <w:r w:rsidRPr="00547D47">
              <w:t xml:space="preserve">Reduced </w:t>
            </w:r>
            <w:r w:rsidR="0019693A" w:rsidRPr="00547D47">
              <w:t xml:space="preserve">biological monitoring </w:t>
            </w:r>
            <w:r w:rsidRPr="00547D47">
              <w:t xml:space="preserve">for </w:t>
            </w:r>
            <w:r w:rsidR="0019693A" w:rsidRPr="00547D47">
              <w:t xml:space="preserve">impingement </w:t>
            </w:r>
            <w:r w:rsidRPr="00547D47">
              <w:t>(</w:t>
            </w:r>
            <w:r w:rsidR="0019693A" w:rsidRPr="00547D47">
              <w:t>freshwater</w:t>
            </w:r>
            <w:r w:rsidRPr="00547D47">
              <w:t>)</w:t>
            </w:r>
          </w:p>
        </w:tc>
        <w:tc>
          <w:tcPr>
            <w:tcW w:w="3559" w:type="dxa"/>
          </w:tcPr>
          <w:p w14:paraId="33E6379C" w14:textId="676DCF0B" w:rsidR="004C042F" w:rsidRPr="00547D47" w:rsidRDefault="007B1EFF" w:rsidP="00A30867">
            <w:pPr>
              <w:pStyle w:val="Tables"/>
            </w:pPr>
            <w:r w:rsidRPr="00547D47">
              <w:t>Annual per permit with freshwater</w:t>
            </w:r>
          </w:p>
        </w:tc>
        <w:tc>
          <w:tcPr>
            <w:tcW w:w="990" w:type="dxa"/>
          </w:tcPr>
          <w:p w14:paraId="21F03D4E" w14:textId="7AACC903" w:rsidR="004C042F" w:rsidRPr="00547D47" w:rsidRDefault="007B1EFF" w:rsidP="00A30867">
            <w:pPr>
              <w:pStyle w:val="Tables"/>
              <w:jc w:val="right"/>
            </w:pPr>
            <w:r w:rsidRPr="00547D47">
              <w:t>191</w:t>
            </w:r>
          </w:p>
        </w:tc>
      </w:tr>
      <w:tr w:rsidR="004C042F" w14:paraId="3B9EE18D" w14:textId="77777777" w:rsidTr="00A30867">
        <w:tc>
          <w:tcPr>
            <w:tcW w:w="4801" w:type="dxa"/>
          </w:tcPr>
          <w:p w14:paraId="1B484C5C" w14:textId="7EC0217B" w:rsidR="004C042F" w:rsidRPr="00547D47" w:rsidRDefault="00DC4556" w:rsidP="00A30867">
            <w:pPr>
              <w:pStyle w:val="Tables"/>
            </w:pPr>
            <w:r w:rsidRPr="00547D47">
              <w:t xml:space="preserve">Reduced </w:t>
            </w:r>
            <w:r w:rsidR="0019693A" w:rsidRPr="00547D47">
              <w:t xml:space="preserve">biological monitoring </w:t>
            </w:r>
            <w:r w:rsidRPr="00547D47">
              <w:t xml:space="preserve">for </w:t>
            </w:r>
            <w:r w:rsidR="0019693A" w:rsidRPr="00547D47">
              <w:t xml:space="preserve">impingement </w:t>
            </w:r>
            <w:r w:rsidRPr="00547D47">
              <w:t>(</w:t>
            </w:r>
            <w:r w:rsidR="0019693A" w:rsidRPr="00547D47">
              <w:t>estuary</w:t>
            </w:r>
            <w:r w:rsidRPr="00547D47">
              <w:t>)</w:t>
            </w:r>
          </w:p>
        </w:tc>
        <w:tc>
          <w:tcPr>
            <w:tcW w:w="3559" w:type="dxa"/>
          </w:tcPr>
          <w:p w14:paraId="3FA6343F" w14:textId="300F6C5E" w:rsidR="004C042F" w:rsidRPr="00547D47" w:rsidRDefault="00DC4556" w:rsidP="00A30867">
            <w:pPr>
              <w:pStyle w:val="Tables"/>
            </w:pPr>
            <w:r w:rsidRPr="00547D47">
              <w:t>Annual per permit with estuary</w:t>
            </w:r>
          </w:p>
        </w:tc>
        <w:tc>
          <w:tcPr>
            <w:tcW w:w="990" w:type="dxa"/>
          </w:tcPr>
          <w:p w14:paraId="662F3205" w14:textId="36536340" w:rsidR="004C042F" w:rsidRPr="00547D47" w:rsidRDefault="00DC4556" w:rsidP="00A30867">
            <w:pPr>
              <w:pStyle w:val="Tables"/>
              <w:jc w:val="right"/>
            </w:pPr>
            <w:r w:rsidRPr="00547D47">
              <w:t>244</w:t>
            </w:r>
          </w:p>
        </w:tc>
      </w:tr>
      <w:tr w:rsidR="00DC4556" w14:paraId="0B5A4F29" w14:textId="77777777" w:rsidTr="00A30867">
        <w:tc>
          <w:tcPr>
            <w:tcW w:w="4801" w:type="dxa"/>
          </w:tcPr>
          <w:p w14:paraId="593FC21A" w14:textId="2845DE9B" w:rsidR="00DC4556" w:rsidRPr="00547D47" w:rsidRDefault="00DC4556" w:rsidP="00A30867">
            <w:pPr>
              <w:pStyle w:val="Tables"/>
            </w:pPr>
            <w:r w:rsidRPr="00547D47">
              <w:t xml:space="preserve">Reduced </w:t>
            </w:r>
            <w:r w:rsidR="0019693A" w:rsidRPr="00547D47">
              <w:t xml:space="preserve">biological monitoring </w:t>
            </w:r>
            <w:r w:rsidRPr="00547D47">
              <w:t xml:space="preserve">for </w:t>
            </w:r>
            <w:r w:rsidR="0019693A" w:rsidRPr="00547D47">
              <w:t xml:space="preserve">entrainment </w:t>
            </w:r>
            <w:r w:rsidRPr="00547D47">
              <w:t>(</w:t>
            </w:r>
            <w:r w:rsidR="0019693A" w:rsidRPr="00547D47">
              <w:t>freshwater</w:t>
            </w:r>
            <w:r w:rsidRPr="00547D47">
              <w:t>)</w:t>
            </w:r>
          </w:p>
        </w:tc>
        <w:tc>
          <w:tcPr>
            <w:tcW w:w="3559" w:type="dxa"/>
          </w:tcPr>
          <w:p w14:paraId="7E063E27" w14:textId="0E262944" w:rsidR="00DC4556" w:rsidRPr="00547D47" w:rsidRDefault="00DC4556" w:rsidP="00A30867">
            <w:pPr>
              <w:pStyle w:val="Tables"/>
            </w:pPr>
            <w:r w:rsidRPr="00547D47">
              <w:t>Annual per permit with freshwater</w:t>
            </w:r>
          </w:p>
        </w:tc>
        <w:tc>
          <w:tcPr>
            <w:tcW w:w="990" w:type="dxa"/>
          </w:tcPr>
          <w:p w14:paraId="508B4EC9" w14:textId="643A46EB" w:rsidR="00DC4556" w:rsidRPr="00547D47" w:rsidRDefault="00DC4556" w:rsidP="00A30867">
            <w:pPr>
              <w:pStyle w:val="Tables"/>
              <w:jc w:val="right"/>
            </w:pPr>
            <w:r w:rsidRPr="00547D47">
              <w:t>308</w:t>
            </w:r>
          </w:p>
        </w:tc>
      </w:tr>
      <w:tr w:rsidR="00DC4556" w14:paraId="3ECC91C9" w14:textId="77777777" w:rsidTr="00A30867">
        <w:tc>
          <w:tcPr>
            <w:tcW w:w="4801" w:type="dxa"/>
          </w:tcPr>
          <w:p w14:paraId="229B9F14" w14:textId="0FB4BE08" w:rsidR="00DC4556" w:rsidRPr="00547D47" w:rsidRDefault="00DC4556" w:rsidP="00A30867">
            <w:pPr>
              <w:pStyle w:val="Tables"/>
            </w:pPr>
            <w:r w:rsidRPr="00547D47">
              <w:t xml:space="preserve">Reduced </w:t>
            </w:r>
            <w:r w:rsidR="0019693A" w:rsidRPr="00547D47">
              <w:t xml:space="preserve">biological monitoring </w:t>
            </w:r>
            <w:r w:rsidRPr="00547D47">
              <w:t xml:space="preserve">for </w:t>
            </w:r>
            <w:r w:rsidR="0019693A" w:rsidRPr="00547D47">
              <w:t xml:space="preserve">entrainment </w:t>
            </w:r>
            <w:r w:rsidRPr="00547D47">
              <w:t>(</w:t>
            </w:r>
            <w:r w:rsidR="0019693A" w:rsidRPr="00547D47">
              <w:t>estuary</w:t>
            </w:r>
            <w:r w:rsidRPr="00547D47">
              <w:t>)</w:t>
            </w:r>
          </w:p>
        </w:tc>
        <w:tc>
          <w:tcPr>
            <w:tcW w:w="3559" w:type="dxa"/>
          </w:tcPr>
          <w:p w14:paraId="47328B2C" w14:textId="6909D9F6" w:rsidR="00DC4556" w:rsidRPr="00547D47" w:rsidRDefault="00DC4556" w:rsidP="00A30867">
            <w:pPr>
              <w:pStyle w:val="Tables"/>
            </w:pPr>
            <w:r w:rsidRPr="00547D47">
              <w:t>Annual per permit with estuary</w:t>
            </w:r>
          </w:p>
        </w:tc>
        <w:tc>
          <w:tcPr>
            <w:tcW w:w="990" w:type="dxa"/>
          </w:tcPr>
          <w:p w14:paraId="7911E6B4" w14:textId="6E95DDE4" w:rsidR="00DC4556" w:rsidRPr="00547D47" w:rsidRDefault="00DC4556" w:rsidP="00A30867">
            <w:pPr>
              <w:pStyle w:val="Tables"/>
              <w:jc w:val="right"/>
            </w:pPr>
            <w:r w:rsidRPr="00547D47">
              <w:t>392</w:t>
            </w:r>
          </w:p>
        </w:tc>
      </w:tr>
      <w:tr w:rsidR="00DC4556" w14:paraId="379BE42E" w14:textId="77777777" w:rsidTr="00A30867">
        <w:tc>
          <w:tcPr>
            <w:tcW w:w="4801" w:type="dxa"/>
          </w:tcPr>
          <w:p w14:paraId="49019261" w14:textId="23EAF573" w:rsidR="00DC4556" w:rsidRPr="00547D47" w:rsidRDefault="00DC4556" w:rsidP="00A30867">
            <w:pPr>
              <w:pStyle w:val="Tables"/>
            </w:pPr>
            <w:r w:rsidRPr="00547D47">
              <w:t xml:space="preserve">Velocity </w:t>
            </w:r>
            <w:r w:rsidR="0019693A" w:rsidRPr="00547D47">
              <w:t>monitoring</w:t>
            </w:r>
          </w:p>
        </w:tc>
        <w:tc>
          <w:tcPr>
            <w:tcW w:w="3559" w:type="dxa"/>
          </w:tcPr>
          <w:p w14:paraId="5C595C38" w14:textId="044A1054" w:rsidR="00DC4556" w:rsidRPr="00547D47" w:rsidRDefault="00DC4556" w:rsidP="00A30867">
            <w:pPr>
              <w:pStyle w:val="Tables"/>
            </w:pPr>
            <w:r w:rsidRPr="00547D47">
              <w:t>Annual per permit</w:t>
            </w:r>
          </w:p>
        </w:tc>
        <w:tc>
          <w:tcPr>
            <w:tcW w:w="990" w:type="dxa"/>
          </w:tcPr>
          <w:p w14:paraId="6B33A709" w14:textId="28611340" w:rsidR="00DC4556" w:rsidRPr="00547D47" w:rsidRDefault="00DC4556" w:rsidP="00A30867">
            <w:pPr>
              <w:pStyle w:val="Tables"/>
              <w:jc w:val="right"/>
            </w:pPr>
            <w:r w:rsidRPr="00547D47">
              <w:t>163</w:t>
            </w:r>
          </w:p>
        </w:tc>
      </w:tr>
      <w:tr w:rsidR="00DC4556" w14:paraId="475BCC30" w14:textId="77777777" w:rsidTr="00A30867">
        <w:tc>
          <w:tcPr>
            <w:tcW w:w="4801" w:type="dxa"/>
          </w:tcPr>
          <w:p w14:paraId="728D7F5E" w14:textId="0BAF8807" w:rsidR="00DC4556" w:rsidRPr="00547D47" w:rsidRDefault="00DC4556" w:rsidP="00A30867">
            <w:pPr>
              <w:pStyle w:val="Tables"/>
            </w:pPr>
            <w:r w:rsidRPr="00547D47">
              <w:t xml:space="preserve">Inspection of </w:t>
            </w:r>
            <w:r w:rsidR="0019693A" w:rsidRPr="00547D47">
              <w:t>installed technologies</w:t>
            </w:r>
          </w:p>
        </w:tc>
        <w:tc>
          <w:tcPr>
            <w:tcW w:w="3559" w:type="dxa"/>
          </w:tcPr>
          <w:p w14:paraId="395C1E01" w14:textId="4109D6F8" w:rsidR="00DC4556" w:rsidRPr="00547D47" w:rsidRDefault="00DC4556" w:rsidP="00A30867">
            <w:pPr>
              <w:pStyle w:val="Tables"/>
            </w:pPr>
            <w:r w:rsidRPr="00547D47">
              <w:t>Annual per permit with once-through</w:t>
            </w:r>
            <w:r w:rsidR="00F420C9" w:rsidRPr="00547D47">
              <w:t xml:space="preserve"> cooling</w:t>
            </w:r>
          </w:p>
        </w:tc>
        <w:tc>
          <w:tcPr>
            <w:tcW w:w="990" w:type="dxa"/>
          </w:tcPr>
          <w:p w14:paraId="1DF7D2B9" w14:textId="1C1AF2EA" w:rsidR="00DC4556" w:rsidRPr="00547D47" w:rsidRDefault="00DC4556" w:rsidP="00A30867">
            <w:pPr>
              <w:pStyle w:val="Tables"/>
              <w:jc w:val="right"/>
            </w:pPr>
            <w:r w:rsidRPr="00547D47">
              <w:t>253</w:t>
            </w:r>
          </w:p>
        </w:tc>
      </w:tr>
      <w:tr w:rsidR="00DC4556" w14:paraId="2ED0EDDE" w14:textId="77777777" w:rsidTr="00A30867">
        <w:tc>
          <w:tcPr>
            <w:tcW w:w="4801" w:type="dxa"/>
          </w:tcPr>
          <w:p w14:paraId="016DE941" w14:textId="156E3B3B" w:rsidR="00DC4556" w:rsidRPr="00547D47" w:rsidRDefault="00DC4556" w:rsidP="00A30867">
            <w:pPr>
              <w:pStyle w:val="Tables"/>
            </w:pPr>
            <w:r w:rsidRPr="00547D47">
              <w:t xml:space="preserve">Yearly </w:t>
            </w:r>
            <w:r w:rsidR="0019693A" w:rsidRPr="00547D47">
              <w:t>status report activities</w:t>
            </w:r>
          </w:p>
        </w:tc>
        <w:tc>
          <w:tcPr>
            <w:tcW w:w="3559" w:type="dxa"/>
          </w:tcPr>
          <w:p w14:paraId="709A0142" w14:textId="1B2ADBED" w:rsidR="00DC4556" w:rsidRPr="00547D47" w:rsidRDefault="00DC4556" w:rsidP="00A30867">
            <w:pPr>
              <w:pStyle w:val="Tables"/>
            </w:pPr>
            <w:r w:rsidRPr="00547D47">
              <w:t>Annual per permit</w:t>
            </w:r>
          </w:p>
        </w:tc>
        <w:tc>
          <w:tcPr>
            <w:tcW w:w="990" w:type="dxa"/>
          </w:tcPr>
          <w:p w14:paraId="5F2F25FB" w14:textId="5643D914" w:rsidR="00DC4556" w:rsidRPr="00547D47" w:rsidRDefault="00DC4556" w:rsidP="00A30867">
            <w:pPr>
              <w:pStyle w:val="Tables"/>
              <w:jc w:val="right"/>
            </w:pPr>
            <w:r w:rsidRPr="00547D47">
              <w:t>348</w:t>
            </w:r>
          </w:p>
        </w:tc>
      </w:tr>
    </w:tbl>
    <w:p w14:paraId="0B62A820" w14:textId="77777777" w:rsidR="0003525F" w:rsidRDefault="0003525F" w:rsidP="00DE1B27">
      <w:pPr>
        <w:spacing w:after="0"/>
        <w:rPr>
          <w:i/>
        </w:rPr>
      </w:pPr>
    </w:p>
    <w:p w14:paraId="59BAF91A" w14:textId="77777777" w:rsidR="0085470C" w:rsidRDefault="0003525F" w:rsidP="00547D47">
      <w:r w:rsidRPr="00786C04">
        <w:rPr>
          <w:i/>
        </w:rPr>
        <w:t>States</w:t>
      </w:r>
      <w:r w:rsidR="00C25249">
        <w:rPr>
          <w:i/>
        </w:rPr>
        <w:t>/federal</w:t>
      </w:r>
      <w:r w:rsidRPr="00786C04">
        <w:rPr>
          <w:i/>
        </w:rPr>
        <w:t>.</w:t>
      </w:r>
      <w:r w:rsidR="00547D47" w:rsidRPr="00547D47">
        <w:t xml:space="preserve"> </w:t>
      </w:r>
      <w:r w:rsidR="00547D47">
        <w:t>Table A.</w:t>
      </w:r>
      <w:r w:rsidR="007F3A2F">
        <w:t>11</w:t>
      </w:r>
      <w:r w:rsidR="00547D47">
        <w:t xml:space="preserve"> presents the estimated burden hour and frequency for </w:t>
      </w:r>
      <w:r w:rsidR="00627388">
        <w:t>s</w:t>
      </w:r>
      <w:r w:rsidR="00547D47">
        <w:t xml:space="preserve">tate </w:t>
      </w:r>
      <w:r w:rsidR="00627388">
        <w:t>a</w:t>
      </w:r>
      <w:r w:rsidR="00547D47">
        <w:t xml:space="preserve">gencies </w:t>
      </w:r>
      <w:r w:rsidR="00C25249">
        <w:t xml:space="preserve">and EPA </w:t>
      </w:r>
      <w:r w:rsidR="00547D47">
        <w:t xml:space="preserve">acting as the </w:t>
      </w:r>
      <w:r w:rsidR="00784FA2">
        <w:t>p</w:t>
      </w:r>
      <w:r w:rsidR="00547D47">
        <w:t xml:space="preserve">ermit </w:t>
      </w:r>
      <w:r w:rsidR="00784FA2">
        <w:t>a</w:t>
      </w:r>
      <w:r w:rsidR="00547D47">
        <w:t>uthority.</w:t>
      </w:r>
    </w:p>
    <w:p w14:paraId="64D54E62" w14:textId="072BEE04" w:rsidR="005B4FEB" w:rsidRDefault="005B4FEB" w:rsidP="00871F94">
      <w:pPr>
        <w:pStyle w:val="Caption"/>
      </w:pPr>
      <w:r>
        <w:t>Table A.</w:t>
      </w:r>
      <w:r w:rsidR="007F3A2F">
        <w:t>11</w:t>
      </w:r>
      <w:r>
        <w:t xml:space="preserve"> Estimated </w:t>
      </w:r>
      <w:r w:rsidR="00E31F23">
        <w:t>S</w:t>
      </w:r>
      <w:r w:rsidR="002E6EF5">
        <w:t xml:space="preserve">tate </w:t>
      </w:r>
      <w:r w:rsidR="00E31F23">
        <w:t>A</w:t>
      </w:r>
      <w:r w:rsidR="002E6EF5">
        <w:t xml:space="preserve">gency </w:t>
      </w:r>
      <w:r w:rsidR="00C25249">
        <w:t xml:space="preserve">and EPA </w:t>
      </w:r>
      <w:r w:rsidR="00E31F23">
        <w:t>A</w:t>
      </w:r>
      <w:r w:rsidR="002E6EF5">
        <w:t xml:space="preserve">ctivity </w:t>
      </w:r>
      <w:r w:rsidR="00E31F23">
        <w:t>B</w:t>
      </w:r>
      <w:r w:rsidR="002E6EF5">
        <w:t xml:space="preserve">urden </w:t>
      </w:r>
      <w:r w:rsidR="00E31F23">
        <w:t>A</w:t>
      </w:r>
      <w:r w:rsidR="002E6EF5">
        <w:t xml:space="preserve">ssociated </w:t>
      </w:r>
      <w:r w:rsidR="00F420C9">
        <w:t xml:space="preserve">with </w:t>
      </w:r>
      <w:r w:rsidR="00E31F23">
        <w:t>N</w:t>
      </w:r>
      <w:r w:rsidR="002E6EF5">
        <w:t xml:space="preserve">ew </w:t>
      </w:r>
      <w:r w:rsidR="00F420C9">
        <w:t xml:space="preserve">CWIS </w:t>
      </w:r>
      <w:r w:rsidR="00E31F23">
        <w:t>F</w:t>
      </w:r>
      <w:r w:rsidR="002E6EF5">
        <w:t>acilities</w:t>
      </w:r>
    </w:p>
    <w:tbl>
      <w:tblPr>
        <w:tblStyle w:val="TableGrid"/>
        <w:tblW w:w="0" w:type="auto"/>
        <w:tblLook w:val="04A0" w:firstRow="1" w:lastRow="0" w:firstColumn="1" w:lastColumn="0" w:noHBand="0" w:noVBand="1"/>
      </w:tblPr>
      <w:tblGrid>
        <w:gridCol w:w="4473"/>
        <w:gridCol w:w="3331"/>
        <w:gridCol w:w="1546"/>
      </w:tblGrid>
      <w:tr w:rsidR="00194826" w:rsidRPr="00194826" w14:paraId="604BCC35" w14:textId="77777777" w:rsidTr="007F7CAE">
        <w:tc>
          <w:tcPr>
            <w:tcW w:w="4473" w:type="dxa"/>
            <w:shd w:val="clear" w:color="auto" w:fill="D9D9D9" w:themeFill="background1" w:themeFillShade="D9"/>
          </w:tcPr>
          <w:p w14:paraId="21988C7C" w14:textId="54AEC7E0" w:rsidR="00194826" w:rsidRPr="00547D47" w:rsidRDefault="00194826" w:rsidP="00A30867">
            <w:pPr>
              <w:pStyle w:val="TableTitle"/>
            </w:pPr>
            <w:r w:rsidRPr="00547D47">
              <w:t>State</w:t>
            </w:r>
            <w:r w:rsidR="00C25249">
              <w:t>/</w:t>
            </w:r>
            <w:r w:rsidR="00FC4DB7">
              <w:t>F</w:t>
            </w:r>
            <w:r w:rsidR="00C25249">
              <w:t>ederal</w:t>
            </w:r>
            <w:r w:rsidRPr="00547D47">
              <w:t xml:space="preserve"> </w:t>
            </w:r>
            <w:r w:rsidR="00FC4DB7">
              <w:t>A</w:t>
            </w:r>
            <w:r w:rsidR="002E6EF5" w:rsidRPr="00547D47">
              <w:t>ctivities</w:t>
            </w:r>
          </w:p>
        </w:tc>
        <w:tc>
          <w:tcPr>
            <w:tcW w:w="3331" w:type="dxa"/>
            <w:shd w:val="clear" w:color="auto" w:fill="D9D9D9" w:themeFill="background1" w:themeFillShade="D9"/>
          </w:tcPr>
          <w:p w14:paraId="74522B57" w14:textId="4685F2F1" w:rsidR="00194826" w:rsidRPr="00547D47" w:rsidRDefault="00194826" w:rsidP="00A30867">
            <w:pPr>
              <w:pStyle w:val="TableTitle"/>
            </w:pPr>
            <w:r w:rsidRPr="00547D47">
              <w:t>Frequency</w:t>
            </w:r>
          </w:p>
        </w:tc>
        <w:tc>
          <w:tcPr>
            <w:tcW w:w="1546" w:type="dxa"/>
            <w:shd w:val="clear" w:color="auto" w:fill="D9D9D9" w:themeFill="background1" w:themeFillShade="D9"/>
          </w:tcPr>
          <w:p w14:paraId="0F558E96" w14:textId="1BC5F326" w:rsidR="00194826" w:rsidRPr="00547D47" w:rsidRDefault="00194826" w:rsidP="00A30867">
            <w:pPr>
              <w:pStyle w:val="TableTitle"/>
            </w:pPr>
            <w:r w:rsidRPr="00547D47">
              <w:t>Burden (hours)</w:t>
            </w:r>
          </w:p>
        </w:tc>
      </w:tr>
      <w:tr w:rsidR="00194826" w14:paraId="4E249EC1" w14:textId="77777777" w:rsidTr="007F7CAE">
        <w:tc>
          <w:tcPr>
            <w:tcW w:w="4473" w:type="dxa"/>
          </w:tcPr>
          <w:p w14:paraId="56E6048A" w14:textId="5D545E8C" w:rsidR="00194826" w:rsidRPr="00547D47" w:rsidRDefault="00CA2398" w:rsidP="00A30867">
            <w:pPr>
              <w:pStyle w:val="Tables"/>
            </w:pPr>
            <w:r>
              <w:t>Permitting authority</w:t>
            </w:r>
            <w:r w:rsidRPr="00547D47">
              <w:t xml:space="preserve"> </w:t>
            </w:r>
            <w:r w:rsidR="002E6EF5" w:rsidRPr="00547D47">
              <w:t xml:space="preserve">permit issuance activities </w:t>
            </w:r>
            <w:r w:rsidR="00194826" w:rsidRPr="00547D47">
              <w:t>(</w:t>
            </w:r>
            <w:r w:rsidR="00D51DC6" w:rsidRPr="00547D47">
              <w:t>Track I</w:t>
            </w:r>
            <w:r w:rsidR="00194826" w:rsidRPr="00547D47">
              <w:t>)</w:t>
            </w:r>
          </w:p>
        </w:tc>
        <w:tc>
          <w:tcPr>
            <w:tcW w:w="3331" w:type="dxa"/>
          </w:tcPr>
          <w:p w14:paraId="51490291" w14:textId="6726D7D9" w:rsidR="00194826" w:rsidRPr="00547D47" w:rsidRDefault="00194826" w:rsidP="00A30867">
            <w:pPr>
              <w:pStyle w:val="Tables"/>
            </w:pPr>
            <w:r w:rsidRPr="00547D47">
              <w:t>Once per new permit with CCRS</w:t>
            </w:r>
          </w:p>
        </w:tc>
        <w:tc>
          <w:tcPr>
            <w:tcW w:w="1546" w:type="dxa"/>
          </w:tcPr>
          <w:p w14:paraId="78F445BF" w14:textId="3D4C640D" w:rsidR="00194826" w:rsidRPr="00547D47" w:rsidRDefault="00194826" w:rsidP="00A30867">
            <w:pPr>
              <w:pStyle w:val="Tables"/>
              <w:jc w:val="right"/>
            </w:pPr>
            <w:r w:rsidRPr="00547D47">
              <w:t>188</w:t>
            </w:r>
          </w:p>
        </w:tc>
      </w:tr>
      <w:tr w:rsidR="007F7CAE" w14:paraId="0F79516F" w14:textId="77777777" w:rsidTr="007F7CAE">
        <w:tc>
          <w:tcPr>
            <w:tcW w:w="4473" w:type="dxa"/>
          </w:tcPr>
          <w:p w14:paraId="6DEB4161" w14:textId="0AC06703" w:rsidR="007F7CAE" w:rsidRPr="00547D47" w:rsidRDefault="007F7CAE" w:rsidP="007F7CAE">
            <w:pPr>
              <w:pStyle w:val="Tables"/>
            </w:pPr>
            <w:r>
              <w:t>Permitting authority</w:t>
            </w:r>
            <w:r w:rsidRPr="00547D47">
              <w:t xml:space="preserve"> permit issuance activities (Track </w:t>
            </w:r>
            <w:r w:rsidR="00A17DD8">
              <w:t>I</w:t>
            </w:r>
            <w:r w:rsidRPr="00547D47">
              <w:t>I)</w:t>
            </w:r>
          </w:p>
        </w:tc>
        <w:tc>
          <w:tcPr>
            <w:tcW w:w="3331" w:type="dxa"/>
          </w:tcPr>
          <w:p w14:paraId="75381C53" w14:textId="2B87FFFC" w:rsidR="007F7CAE" w:rsidRPr="00547D47" w:rsidRDefault="007F7CAE" w:rsidP="007F7CAE">
            <w:pPr>
              <w:pStyle w:val="Tables"/>
            </w:pPr>
            <w:r w:rsidRPr="00547D47">
              <w:t>Once per new permit with once-through cooling</w:t>
            </w:r>
          </w:p>
        </w:tc>
        <w:tc>
          <w:tcPr>
            <w:tcW w:w="1546" w:type="dxa"/>
          </w:tcPr>
          <w:p w14:paraId="04A38030" w14:textId="36A70B5C" w:rsidR="007F7CAE" w:rsidRPr="00547D47" w:rsidRDefault="007F7CAE" w:rsidP="007F7CAE">
            <w:pPr>
              <w:pStyle w:val="Tables"/>
              <w:jc w:val="right"/>
            </w:pPr>
            <w:r w:rsidRPr="00547D47">
              <w:t>646</w:t>
            </w:r>
          </w:p>
        </w:tc>
      </w:tr>
      <w:tr w:rsidR="00194826" w14:paraId="60EF1BCC" w14:textId="77777777" w:rsidTr="007F7CAE">
        <w:tc>
          <w:tcPr>
            <w:tcW w:w="4473" w:type="dxa"/>
          </w:tcPr>
          <w:p w14:paraId="3C35D84E" w14:textId="1B2F512D" w:rsidR="00194826" w:rsidRPr="00547D47" w:rsidRDefault="00194826" w:rsidP="00A30867">
            <w:pPr>
              <w:pStyle w:val="Tables"/>
            </w:pPr>
            <w:r w:rsidRPr="00547D47">
              <w:t xml:space="preserve">Verification </w:t>
            </w:r>
            <w:r w:rsidR="002E6EF5" w:rsidRPr="00547D47">
              <w:t>study review</w:t>
            </w:r>
          </w:p>
        </w:tc>
        <w:tc>
          <w:tcPr>
            <w:tcW w:w="3331" w:type="dxa"/>
          </w:tcPr>
          <w:p w14:paraId="78B7FF06" w14:textId="46C9E3D4" w:rsidR="00194826" w:rsidRPr="00547D47" w:rsidRDefault="00194826" w:rsidP="00A30867">
            <w:pPr>
              <w:pStyle w:val="Tables"/>
            </w:pPr>
            <w:r w:rsidRPr="00547D47">
              <w:t>Once per new permit</w:t>
            </w:r>
          </w:p>
        </w:tc>
        <w:tc>
          <w:tcPr>
            <w:tcW w:w="1546" w:type="dxa"/>
          </w:tcPr>
          <w:p w14:paraId="45BF8F73" w14:textId="4A3619FA" w:rsidR="00194826" w:rsidRPr="00547D47" w:rsidRDefault="00194826" w:rsidP="00A30867">
            <w:pPr>
              <w:pStyle w:val="Tables"/>
              <w:jc w:val="right"/>
            </w:pPr>
            <w:r w:rsidRPr="00547D47">
              <w:t>21</w:t>
            </w:r>
          </w:p>
        </w:tc>
      </w:tr>
      <w:tr w:rsidR="00194826" w14:paraId="43894827" w14:textId="77777777" w:rsidTr="007F7CAE">
        <w:tc>
          <w:tcPr>
            <w:tcW w:w="4473" w:type="dxa"/>
          </w:tcPr>
          <w:p w14:paraId="500A45F6" w14:textId="35623E8F" w:rsidR="00194826" w:rsidRPr="00547D47" w:rsidRDefault="00194826" w:rsidP="00A30867">
            <w:pPr>
              <w:pStyle w:val="Tables"/>
            </w:pPr>
            <w:r w:rsidRPr="00547D47">
              <w:t xml:space="preserve">Annual </w:t>
            </w:r>
            <w:r w:rsidR="00CA2398">
              <w:t>permitting authority</w:t>
            </w:r>
            <w:r w:rsidR="00CA2398" w:rsidRPr="00547D47">
              <w:t xml:space="preserve"> </w:t>
            </w:r>
            <w:r w:rsidR="002E6EF5" w:rsidRPr="00547D47">
              <w:t>activities</w:t>
            </w:r>
          </w:p>
        </w:tc>
        <w:tc>
          <w:tcPr>
            <w:tcW w:w="3331" w:type="dxa"/>
          </w:tcPr>
          <w:p w14:paraId="352ADAF0" w14:textId="4679E13D" w:rsidR="00194826" w:rsidRPr="00547D47" w:rsidRDefault="00194826" w:rsidP="00A30867">
            <w:pPr>
              <w:pStyle w:val="Tables"/>
            </w:pPr>
            <w:r w:rsidRPr="00547D47">
              <w:t>Annual per permit</w:t>
            </w:r>
          </w:p>
        </w:tc>
        <w:tc>
          <w:tcPr>
            <w:tcW w:w="1546" w:type="dxa"/>
          </w:tcPr>
          <w:p w14:paraId="481E0A98" w14:textId="16A14200" w:rsidR="00194826" w:rsidRPr="00547D47" w:rsidRDefault="00194826" w:rsidP="00A30867">
            <w:pPr>
              <w:pStyle w:val="Tables"/>
              <w:jc w:val="right"/>
            </w:pPr>
            <w:r w:rsidRPr="00547D47">
              <w:t>50</w:t>
            </w:r>
          </w:p>
        </w:tc>
      </w:tr>
    </w:tbl>
    <w:p w14:paraId="11276AA1" w14:textId="33E7E67D" w:rsidR="0088609F" w:rsidRDefault="0088609F" w:rsidP="00DE1B27">
      <w:pPr>
        <w:pStyle w:val="Heading4"/>
        <w:spacing w:before="240"/>
      </w:pPr>
      <w:r w:rsidRPr="0088609F">
        <w:t>A.1</w:t>
      </w:r>
      <w:r w:rsidR="00861380">
        <w:t>.7</w:t>
      </w:r>
      <w:r w:rsidRPr="0088609F">
        <w:t xml:space="preserve">.2. Cooling Water Intake Structures </w:t>
      </w:r>
      <w:r w:rsidR="00E16FA4">
        <w:t xml:space="preserve">Phase III - </w:t>
      </w:r>
      <w:r>
        <w:t>New Offshore Oil and Gas</w:t>
      </w:r>
      <w:r w:rsidRPr="0088609F">
        <w:t xml:space="preserve"> Facilities</w:t>
      </w:r>
    </w:p>
    <w:p w14:paraId="0379B7CA" w14:textId="7C1AEF81" w:rsidR="0085470C" w:rsidRDefault="00D667E8" w:rsidP="007038C7">
      <w:r w:rsidRPr="00D667E8">
        <w:t xml:space="preserve">The activities in this category are related to NPDES </w:t>
      </w:r>
      <w:r w:rsidR="00DD5AA2">
        <w:t xml:space="preserve">application, monitoring, and recordkeeping </w:t>
      </w:r>
      <w:r w:rsidRPr="00D667E8">
        <w:t xml:space="preserve">requirements </w:t>
      </w:r>
      <w:r w:rsidR="00DD5AA2">
        <w:t>established by</w:t>
      </w:r>
      <w:r w:rsidRPr="00D667E8">
        <w:t xml:space="preserve"> the 316(b) </w:t>
      </w:r>
      <w:r>
        <w:t>Phase III</w:t>
      </w:r>
      <w:r w:rsidRPr="00D667E8">
        <w:t xml:space="preserve"> Rule (71 FR 35006; June 16, 2006)</w:t>
      </w:r>
      <w:r w:rsidR="000F0893">
        <w:t xml:space="preserve">. </w:t>
      </w:r>
      <w:r w:rsidR="00B14ECF" w:rsidRPr="00B14ECF">
        <w:t xml:space="preserve">This regulation applies to offshore </w:t>
      </w:r>
      <w:r w:rsidR="007358A3">
        <w:t>o</w:t>
      </w:r>
      <w:r w:rsidR="00B14ECF" w:rsidRPr="00B14ECF">
        <w:t xml:space="preserve">il and </w:t>
      </w:r>
      <w:r w:rsidR="007358A3">
        <w:t>g</w:t>
      </w:r>
      <w:r w:rsidR="00B14ECF" w:rsidRPr="00B14ECF">
        <w:t>as facilities</w:t>
      </w:r>
      <w:r w:rsidR="00B14ECF">
        <w:t xml:space="preserve"> that </w:t>
      </w:r>
      <w:r w:rsidR="00B14ECF" w:rsidRPr="00B14ECF">
        <w:t>commence construction after July 17, 2006</w:t>
      </w:r>
      <w:r w:rsidR="00C92118">
        <w:t xml:space="preserve">. The permitting authority for all </w:t>
      </w:r>
      <w:r w:rsidR="00AF5536">
        <w:t xml:space="preserve">offshore </w:t>
      </w:r>
      <w:r w:rsidR="007358A3">
        <w:t>o</w:t>
      </w:r>
      <w:r w:rsidR="00AF5536">
        <w:t xml:space="preserve">il and </w:t>
      </w:r>
      <w:r w:rsidR="007358A3">
        <w:t>g</w:t>
      </w:r>
      <w:r w:rsidR="00AF5536">
        <w:t xml:space="preserve">as facilities </w:t>
      </w:r>
      <w:r w:rsidR="00C92118">
        <w:t>is the Federal Government and thus there is no burden for state or local governments.</w:t>
      </w:r>
    </w:p>
    <w:p w14:paraId="03E9C861" w14:textId="2FC714E7" w:rsidR="00E5488B" w:rsidRDefault="007038C7" w:rsidP="007038C7">
      <w:r w:rsidRPr="007038C7">
        <w:t>Below is a list of the types of respondents for which updated estimated respondent numbers were used to develop burden estimates</w:t>
      </w:r>
      <w:r w:rsidR="00E5488B" w:rsidRPr="00E5488B">
        <w:t>:</w:t>
      </w:r>
    </w:p>
    <w:p w14:paraId="644B5546" w14:textId="70EE1794" w:rsidR="00E5488B" w:rsidRDefault="00E5488B" w:rsidP="007038C7">
      <w:pPr>
        <w:pStyle w:val="ListParagraph"/>
        <w:numPr>
          <w:ilvl w:val="0"/>
          <w:numId w:val="42"/>
        </w:numPr>
      </w:pPr>
      <w:r>
        <w:t xml:space="preserve">Average annual new offshore </w:t>
      </w:r>
      <w:r w:rsidR="007358A3">
        <w:t xml:space="preserve">oil </w:t>
      </w:r>
      <w:r>
        <w:t xml:space="preserve">&amp; </w:t>
      </w:r>
      <w:r w:rsidR="007358A3">
        <w:t xml:space="preserve">gas </w:t>
      </w:r>
      <w:r>
        <w:t>facilities applying for a</w:t>
      </w:r>
      <w:r w:rsidR="00E52453">
        <w:t>n</w:t>
      </w:r>
      <w:r>
        <w:t xml:space="preserve"> NPDES permit</w:t>
      </w:r>
      <w:r w:rsidR="00784FA2">
        <w:t>;</w:t>
      </w:r>
    </w:p>
    <w:p w14:paraId="391358CA" w14:textId="2C1F6F26" w:rsidR="00E5488B" w:rsidRDefault="00E5488B" w:rsidP="007038C7">
      <w:pPr>
        <w:pStyle w:val="ListParagraph"/>
        <w:numPr>
          <w:ilvl w:val="0"/>
          <w:numId w:val="42"/>
        </w:numPr>
      </w:pPr>
      <w:r>
        <w:t xml:space="preserve">Average annual new offshore </w:t>
      </w:r>
      <w:r w:rsidR="007358A3">
        <w:t xml:space="preserve">oil </w:t>
      </w:r>
      <w:r>
        <w:t xml:space="preserve">&amp; </w:t>
      </w:r>
      <w:r w:rsidR="007358A3">
        <w:t xml:space="preserve">gas </w:t>
      </w:r>
      <w:r>
        <w:t>re-applying for a</w:t>
      </w:r>
      <w:r w:rsidR="00E52453">
        <w:t>n</w:t>
      </w:r>
      <w:r>
        <w:t xml:space="preserve"> NPDES permit</w:t>
      </w:r>
      <w:r w:rsidR="00784FA2">
        <w:t>; and</w:t>
      </w:r>
    </w:p>
    <w:p w14:paraId="337BA193" w14:textId="77777777" w:rsidR="0085470C" w:rsidRDefault="00E5488B" w:rsidP="007038C7">
      <w:pPr>
        <w:pStyle w:val="ListParagraph"/>
        <w:numPr>
          <w:ilvl w:val="0"/>
          <w:numId w:val="42"/>
        </w:numPr>
      </w:pPr>
      <w:r>
        <w:t xml:space="preserve">Average </w:t>
      </w:r>
      <w:r w:rsidR="007358A3">
        <w:t>a</w:t>
      </w:r>
      <w:r>
        <w:t xml:space="preserve">nnual new offshore </w:t>
      </w:r>
      <w:r w:rsidR="007358A3">
        <w:t xml:space="preserve">oil </w:t>
      </w:r>
      <w:r>
        <w:t xml:space="preserve">&amp; </w:t>
      </w:r>
      <w:r w:rsidR="007358A3">
        <w:t xml:space="preserve">gas </w:t>
      </w:r>
      <w:r>
        <w:t>facilities performing annual activities</w:t>
      </w:r>
      <w:r w:rsidR="00784FA2">
        <w:t>.</w:t>
      </w:r>
    </w:p>
    <w:p w14:paraId="319EE32A" w14:textId="77777777" w:rsidR="0085470C" w:rsidRDefault="007038C7" w:rsidP="007038C7">
      <w:r>
        <w:t>B</w:t>
      </w:r>
      <w:r w:rsidR="003573E0" w:rsidRPr="003573E0">
        <w:t xml:space="preserve">urden estimates were derived </w:t>
      </w:r>
      <w:r w:rsidR="0003525F">
        <w:t xml:space="preserve">from the previous ICR </w:t>
      </w:r>
      <w:r w:rsidR="003573E0" w:rsidRPr="003573E0">
        <w:t>f</w:t>
      </w:r>
      <w:r w:rsidR="003573E0">
        <w:t xml:space="preserve">or </w:t>
      </w:r>
      <w:r w:rsidR="003573E0" w:rsidRPr="003573E0">
        <w:t>each respondent type</w:t>
      </w:r>
      <w:r>
        <w:t xml:space="preserve"> and were</w:t>
      </w:r>
      <w:r w:rsidR="003573E0" w:rsidRPr="003573E0">
        <w:t xml:space="preserve"> updated using the current estimate of the number of each respondent type</w:t>
      </w:r>
      <w:r>
        <w:t xml:space="preserve"> (see Appendix D)</w:t>
      </w:r>
      <w:r w:rsidR="003573E0" w:rsidRPr="003573E0">
        <w:t xml:space="preserve">. </w:t>
      </w:r>
    </w:p>
    <w:p w14:paraId="5D35CE87" w14:textId="77777777" w:rsidR="0085470C" w:rsidRDefault="00547D47" w:rsidP="007038C7">
      <w:r w:rsidRPr="00786C04">
        <w:rPr>
          <w:i/>
        </w:rPr>
        <w:t>Permittees.</w:t>
      </w:r>
      <w:r>
        <w:rPr>
          <w:i/>
        </w:rPr>
        <w:t xml:space="preserve"> </w:t>
      </w:r>
      <w:r w:rsidR="003573E0" w:rsidRPr="003573E0">
        <w:t>Table A.</w:t>
      </w:r>
      <w:r w:rsidR="00352E6F">
        <w:t>1</w:t>
      </w:r>
      <w:r w:rsidR="007F3A2F">
        <w:t>2</w:t>
      </w:r>
      <w:r w:rsidR="003573E0" w:rsidRPr="003573E0">
        <w:t xml:space="preserve"> presents the estimated burden hours and frequency per facility for permit renewal applications. Table A.</w:t>
      </w:r>
      <w:r w:rsidR="000F23E8">
        <w:t>1</w:t>
      </w:r>
      <w:r w:rsidR="007F3A2F">
        <w:t>3</w:t>
      </w:r>
      <w:r w:rsidR="003573E0" w:rsidRPr="003573E0">
        <w:t xml:space="preserve"> presents the estimated burden hours and frequency per facility for recurring activities that apply to all new </w:t>
      </w:r>
      <w:r w:rsidR="004832AB">
        <w:t xml:space="preserve">Phase III </w:t>
      </w:r>
      <w:r w:rsidR="003573E0" w:rsidRPr="003573E0">
        <w:t xml:space="preserve">CWIS facilities. </w:t>
      </w:r>
    </w:p>
    <w:p w14:paraId="1D259CEF" w14:textId="35D4018B" w:rsidR="005B4FEB" w:rsidRDefault="005B4FEB" w:rsidP="00871F94">
      <w:pPr>
        <w:pStyle w:val="Caption"/>
      </w:pPr>
      <w:r>
        <w:t>Table A.</w:t>
      </w:r>
      <w:r w:rsidR="00352E6F">
        <w:t>1</w:t>
      </w:r>
      <w:r w:rsidR="007F3A2F">
        <w:t>2</w:t>
      </w:r>
      <w:r>
        <w:t xml:space="preserve"> </w:t>
      </w:r>
      <w:r w:rsidR="000F23E8">
        <w:t xml:space="preserve">Estimated </w:t>
      </w:r>
      <w:r w:rsidR="0015314D">
        <w:t>F</w:t>
      </w:r>
      <w:r w:rsidR="00810A91">
        <w:t xml:space="preserve">acility </w:t>
      </w:r>
      <w:r w:rsidR="0015314D">
        <w:t>B</w:t>
      </w:r>
      <w:r w:rsidR="00810A91">
        <w:t xml:space="preserve">urden </w:t>
      </w:r>
      <w:r w:rsidR="0015314D">
        <w:t>for Initial</w:t>
      </w:r>
      <w:r w:rsidR="00810A91" w:rsidRPr="000F23E8">
        <w:t xml:space="preserve"> </w:t>
      </w:r>
      <w:r w:rsidR="0015314D">
        <w:t>P</w:t>
      </w:r>
      <w:r w:rsidR="00810A91" w:rsidRPr="000F23E8">
        <w:t xml:space="preserve">ermit </w:t>
      </w:r>
      <w:r w:rsidR="0015314D">
        <w:t>R</w:t>
      </w:r>
      <w:r w:rsidR="00810A91" w:rsidRPr="000F23E8">
        <w:t xml:space="preserve">enewal </w:t>
      </w:r>
      <w:r w:rsidR="0015314D">
        <w:t>A</w:t>
      </w:r>
      <w:r w:rsidR="00810A91" w:rsidRPr="000F23E8">
        <w:t xml:space="preserve">pplications </w:t>
      </w:r>
      <w:r w:rsidR="000F23E8">
        <w:t>a</w:t>
      </w:r>
      <w:r w:rsidR="000F23E8" w:rsidRPr="000F23E8">
        <w:t xml:space="preserve">nd </w:t>
      </w:r>
      <w:r w:rsidR="0015314D">
        <w:t>C</w:t>
      </w:r>
      <w:r w:rsidR="00810A91" w:rsidRPr="000F23E8">
        <w:t xml:space="preserve">ompliance </w:t>
      </w:r>
      <w:r w:rsidR="0015314D">
        <w:t>A</w:t>
      </w:r>
      <w:r w:rsidR="00810A91" w:rsidRPr="000F23E8">
        <w:t>ctivities</w:t>
      </w:r>
    </w:p>
    <w:tbl>
      <w:tblPr>
        <w:tblStyle w:val="TableGrid"/>
        <w:tblW w:w="0" w:type="auto"/>
        <w:tblLook w:val="04A0" w:firstRow="1" w:lastRow="0" w:firstColumn="1" w:lastColumn="0" w:noHBand="0" w:noVBand="1"/>
      </w:tblPr>
      <w:tblGrid>
        <w:gridCol w:w="4855"/>
        <w:gridCol w:w="3505"/>
        <w:gridCol w:w="990"/>
      </w:tblGrid>
      <w:tr w:rsidR="002E29FE" w:rsidRPr="00B62B74" w14:paraId="062E7664" w14:textId="77777777" w:rsidTr="003D16AA">
        <w:tc>
          <w:tcPr>
            <w:tcW w:w="4855" w:type="dxa"/>
            <w:shd w:val="clear" w:color="auto" w:fill="D9D9D9" w:themeFill="background1" w:themeFillShade="D9"/>
          </w:tcPr>
          <w:p w14:paraId="3E71B7AE" w14:textId="335FB2ED" w:rsidR="002E29FE" w:rsidRPr="00547D47" w:rsidRDefault="002E29FE" w:rsidP="00A30867">
            <w:pPr>
              <w:pStyle w:val="TableTitle"/>
            </w:pPr>
            <w:r w:rsidRPr="00547D47">
              <w:t xml:space="preserve">Permittee </w:t>
            </w:r>
            <w:r w:rsidR="0015314D">
              <w:t>I</w:t>
            </w:r>
            <w:r w:rsidR="00810A91" w:rsidRPr="00547D47">
              <w:t xml:space="preserve">nitial </w:t>
            </w:r>
            <w:r w:rsidR="0015314D">
              <w:t>A</w:t>
            </w:r>
            <w:r w:rsidR="00810A91" w:rsidRPr="00547D47">
              <w:t xml:space="preserve">pplication </w:t>
            </w:r>
            <w:r w:rsidR="0015314D">
              <w:t>A</w:t>
            </w:r>
            <w:r w:rsidR="00810A91" w:rsidRPr="00547D47">
              <w:t>ctivity</w:t>
            </w:r>
          </w:p>
        </w:tc>
        <w:tc>
          <w:tcPr>
            <w:tcW w:w="3505" w:type="dxa"/>
            <w:shd w:val="clear" w:color="auto" w:fill="D9D9D9" w:themeFill="background1" w:themeFillShade="D9"/>
          </w:tcPr>
          <w:p w14:paraId="2BA058C4" w14:textId="77777777" w:rsidR="002E29FE" w:rsidRPr="00547D47" w:rsidRDefault="002E29FE" w:rsidP="00A30867">
            <w:pPr>
              <w:pStyle w:val="TableTitle"/>
            </w:pPr>
            <w:r w:rsidRPr="00547D47">
              <w:t>Frequency</w:t>
            </w:r>
          </w:p>
        </w:tc>
        <w:tc>
          <w:tcPr>
            <w:tcW w:w="990" w:type="dxa"/>
            <w:shd w:val="clear" w:color="auto" w:fill="D9D9D9" w:themeFill="background1" w:themeFillShade="D9"/>
          </w:tcPr>
          <w:p w14:paraId="417A26C7" w14:textId="77777777" w:rsidR="002E29FE" w:rsidRPr="00547D47" w:rsidRDefault="002E29FE" w:rsidP="00A30867">
            <w:pPr>
              <w:pStyle w:val="TableTitle"/>
            </w:pPr>
            <w:r w:rsidRPr="00547D47">
              <w:t>Burden (hours)</w:t>
            </w:r>
          </w:p>
        </w:tc>
      </w:tr>
      <w:tr w:rsidR="006C2E35" w14:paraId="5A5400F3" w14:textId="77777777" w:rsidTr="00A30867">
        <w:tc>
          <w:tcPr>
            <w:tcW w:w="4855" w:type="dxa"/>
          </w:tcPr>
          <w:p w14:paraId="165B287B" w14:textId="1A9ECF16" w:rsidR="006C2E35" w:rsidRPr="00547D47" w:rsidRDefault="00BE3F79" w:rsidP="00A30867">
            <w:pPr>
              <w:pStyle w:val="Tables"/>
            </w:pPr>
            <w:r w:rsidRPr="00547D47">
              <w:t xml:space="preserve">Start-up </w:t>
            </w:r>
            <w:r w:rsidR="00810A91" w:rsidRPr="00547D47">
              <w:t>activities</w:t>
            </w:r>
          </w:p>
        </w:tc>
        <w:tc>
          <w:tcPr>
            <w:tcW w:w="3505" w:type="dxa"/>
          </w:tcPr>
          <w:p w14:paraId="422CBCBE" w14:textId="454F10ED" w:rsidR="006C2E35" w:rsidRPr="00547D47" w:rsidRDefault="00BE3F79" w:rsidP="00A30867">
            <w:pPr>
              <w:pStyle w:val="Tables"/>
            </w:pPr>
            <w:r w:rsidRPr="00547D47">
              <w:t>Once per new permit</w:t>
            </w:r>
          </w:p>
        </w:tc>
        <w:tc>
          <w:tcPr>
            <w:tcW w:w="990" w:type="dxa"/>
          </w:tcPr>
          <w:p w14:paraId="4951987E" w14:textId="15639348" w:rsidR="006C2E35" w:rsidRPr="00547D47" w:rsidRDefault="0015284E" w:rsidP="00A30867">
            <w:pPr>
              <w:pStyle w:val="Tables"/>
              <w:jc w:val="right"/>
            </w:pPr>
            <w:r w:rsidRPr="00547D47">
              <w:t>43</w:t>
            </w:r>
          </w:p>
        </w:tc>
      </w:tr>
      <w:tr w:rsidR="006C2E35" w14:paraId="3BD81C8E" w14:textId="77777777" w:rsidTr="00A30867">
        <w:tc>
          <w:tcPr>
            <w:tcW w:w="4855" w:type="dxa"/>
          </w:tcPr>
          <w:p w14:paraId="63B548AF" w14:textId="6A3FC9BE" w:rsidR="006C2E35" w:rsidRPr="00547D47" w:rsidRDefault="00BE3F79" w:rsidP="00A30867">
            <w:pPr>
              <w:pStyle w:val="Tables"/>
            </w:pPr>
            <w:r w:rsidRPr="00547D47">
              <w:t xml:space="preserve">Permit </w:t>
            </w:r>
            <w:r w:rsidR="00810A91" w:rsidRPr="00547D47">
              <w:t>application activities</w:t>
            </w:r>
          </w:p>
        </w:tc>
        <w:tc>
          <w:tcPr>
            <w:tcW w:w="3505" w:type="dxa"/>
          </w:tcPr>
          <w:p w14:paraId="3CB25CAF" w14:textId="220DF0E9" w:rsidR="006C2E35" w:rsidRPr="00547D47" w:rsidRDefault="00BE3F79" w:rsidP="00A30867">
            <w:pPr>
              <w:pStyle w:val="Tables"/>
            </w:pPr>
            <w:r w:rsidRPr="00547D47">
              <w:t>Once per new permit</w:t>
            </w:r>
          </w:p>
        </w:tc>
        <w:tc>
          <w:tcPr>
            <w:tcW w:w="990" w:type="dxa"/>
          </w:tcPr>
          <w:p w14:paraId="219A69C3" w14:textId="6B95890C" w:rsidR="006C2E35" w:rsidRPr="00547D47" w:rsidRDefault="001701CE" w:rsidP="00A30867">
            <w:pPr>
              <w:pStyle w:val="Tables"/>
              <w:jc w:val="right"/>
            </w:pPr>
            <w:r w:rsidRPr="00547D47">
              <w:t>51</w:t>
            </w:r>
          </w:p>
        </w:tc>
      </w:tr>
      <w:tr w:rsidR="006C2E35" w14:paraId="37931A1F" w14:textId="77777777" w:rsidTr="00A30867">
        <w:tc>
          <w:tcPr>
            <w:tcW w:w="4855" w:type="dxa"/>
          </w:tcPr>
          <w:p w14:paraId="6CCC4EB2" w14:textId="7FA5CD29" w:rsidR="006C2E35" w:rsidRPr="00547D47" w:rsidRDefault="00BE3F79" w:rsidP="00A30867">
            <w:pPr>
              <w:pStyle w:val="Tables"/>
            </w:pPr>
            <w:r w:rsidRPr="00547D47">
              <w:t xml:space="preserve">Source </w:t>
            </w:r>
            <w:r w:rsidR="00810A91" w:rsidRPr="00547D47">
              <w:t>water body flow information</w:t>
            </w:r>
          </w:p>
        </w:tc>
        <w:tc>
          <w:tcPr>
            <w:tcW w:w="3505" w:type="dxa"/>
          </w:tcPr>
          <w:p w14:paraId="74F3FE11" w14:textId="0BDFDCF6" w:rsidR="006C2E35" w:rsidRPr="00547D47" w:rsidRDefault="00BE3F79" w:rsidP="00A30867">
            <w:pPr>
              <w:pStyle w:val="Tables"/>
            </w:pPr>
            <w:r w:rsidRPr="00547D47">
              <w:t>Once per new permit</w:t>
            </w:r>
          </w:p>
        </w:tc>
        <w:tc>
          <w:tcPr>
            <w:tcW w:w="990" w:type="dxa"/>
          </w:tcPr>
          <w:p w14:paraId="4F66D8AC" w14:textId="62B77DA2" w:rsidR="006C2E35" w:rsidRPr="00547D47" w:rsidRDefault="001701CE" w:rsidP="00A30867">
            <w:pPr>
              <w:pStyle w:val="Tables"/>
              <w:jc w:val="right"/>
            </w:pPr>
            <w:r w:rsidRPr="00547D47">
              <w:t>38</w:t>
            </w:r>
          </w:p>
        </w:tc>
      </w:tr>
      <w:tr w:rsidR="006C2E35" w14:paraId="4928C051" w14:textId="77777777" w:rsidTr="00A30867">
        <w:tc>
          <w:tcPr>
            <w:tcW w:w="4855" w:type="dxa"/>
          </w:tcPr>
          <w:p w14:paraId="215DF6B9" w14:textId="5F2C1E41" w:rsidR="006C2E35" w:rsidRPr="00547D47" w:rsidRDefault="00BE3F79" w:rsidP="00A30867">
            <w:pPr>
              <w:pStyle w:val="Tables"/>
            </w:pPr>
            <w:r w:rsidRPr="00547D47">
              <w:t xml:space="preserve">CWIS </w:t>
            </w:r>
            <w:r w:rsidR="00810A91" w:rsidRPr="00547D47">
              <w:t>velocity information</w:t>
            </w:r>
          </w:p>
        </w:tc>
        <w:tc>
          <w:tcPr>
            <w:tcW w:w="3505" w:type="dxa"/>
          </w:tcPr>
          <w:p w14:paraId="2CCEDA6B" w14:textId="262C7354" w:rsidR="006C2E35" w:rsidRPr="00547D47" w:rsidRDefault="00BE3F79" w:rsidP="00A30867">
            <w:pPr>
              <w:pStyle w:val="Tables"/>
            </w:pPr>
            <w:r w:rsidRPr="00547D47">
              <w:t>Once per new permit</w:t>
            </w:r>
          </w:p>
        </w:tc>
        <w:tc>
          <w:tcPr>
            <w:tcW w:w="990" w:type="dxa"/>
          </w:tcPr>
          <w:p w14:paraId="169E1217" w14:textId="345B8C64" w:rsidR="006C2E35" w:rsidRPr="00547D47" w:rsidRDefault="001701CE" w:rsidP="00A30867">
            <w:pPr>
              <w:pStyle w:val="Tables"/>
              <w:jc w:val="right"/>
            </w:pPr>
            <w:r w:rsidRPr="00547D47">
              <w:t>150</w:t>
            </w:r>
          </w:p>
        </w:tc>
      </w:tr>
      <w:tr w:rsidR="006C2E35" w14:paraId="48A3A3C5" w14:textId="77777777" w:rsidTr="00A30867">
        <w:tc>
          <w:tcPr>
            <w:tcW w:w="4855" w:type="dxa"/>
          </w:tcPr>
          <w:p w14:paraId="3B66B39A" w14:textId="2A39986C" w:rsidR="006C2E35" w:rsidRPr="00547D47" w:rsidRDefault="00BE3F79" w:rsidP="00A30867">
            <w:pPr>
              <w:pStyle w:val="Tables"/>
            </w:pPr>
            <w:r w:rsidRPr="00547D47">
              <w:t xml:space="preserve">Design and </w:t>
            </w:r>
            <w:r w:rsidR="00810A91" w:rsidRPr="00547D47">
              <w:t>construction technology plan</w:t>
            </w:r>
          </w:p>
        </w:tc>
        <w:tc>
          <w:tcPr>
            <w:tcW w:w="3505" w:type="dxa"/>
          </w:tcPr>
          <w:p w14:paraId="6E04DC0E" w14:textId="12512C91" w:rsidR="006C2E35" w:rsidRPr="00547D47" w:rsidRDefault="00BE3F79" w:rsidP="00A30867">
            <w:pPr>
              <w:pStyle w:val="Tables"/>
            </w:pPr>
            <w:r w:rsidRPr="00547D47">
              <w:t>Once per new permit</w:t>
            </w:r>
          </w:p>
        </w:tc>
        <w:tc>
          <w:tcPr>
            <w:tcW w:w="990" w:type="dxa"/>
          </w:tcPr>
          <w:p w14:paraId="4B7AFF5E" w14:textId="37259851" w:rsidR="006C2E35" w:rsidRPr="00547D47" w:rsidRDefault="001701CE" w:rsidP="00A30867">
            <w:pPr>
              <w:pStyle w:val="Tables"/>
              <w:jc w:val="right"/>
            </w:pPr>
            <w:r w:rsidRPr="00547D47">
              <w:t>36</w:t>
            </w:r>
          </w:p>
        </w:tc>
      </w:tr>
      <w:tr w:rsidR="006C2E35" w14:paraId="20DF8CE8" w14:textId="77777777" w:rsidTr="00A30867">
        <w:tc>
          <w:tcPr>
            <w:tcW w:w="4855" w:type="dxa"/>
          </w:tcPr>
          <w:p w14:paraId="48CEA89D" w14:textId="4B46DFF3" w:rsidR="006C2E35" w:rsidRPr="00547D47" w:rsidRDefault="00BE3F79" w:rsidP="00A30867">
            <w:pPr>
              <w:pStyle w:val="Tables"/>
            </w:pPr>
            <w:r w:rsidRPr="00547D47">
              <w:t xml:space="preserve">Source </w:t>
            </w:r>
            <w:r w:rsidR="00810A91" w:rsidRPr="00547D47">
              <w:t>water baseline biological characterization study</w:t>
            </w:r>
          </w:p>
        </w:tc>
        <w:tc>
          <w:tcPr>
            <w:tcW w:w="3505" w:type="dxa"/>
          </w:tcPr>
          <w:p w14:paraId="3B276607" w14:textId="4F27825A" w:rsidR="006C2E35" w:rsidRPr="00547D47" w:rsidRDefault="00BE3F79" w:rsidP="00A30867">
            <w:pPr>
              <w:pStyle w:val="Tables"/>
            </w:pPr>
            <w:r w:rsidRPr="00547D47">
              <w:t>Once per new permit</w:t>
            </w:r>
          </w:p>
        </w:tc>
        <w:tc>
          <w:tcPr>
            <w:tcW w:w="990" w:type="dxa"/>
          </w:tcPr>
          <w:p w14:paraId="7181EFF5" w14:textId="385139E9" w:rsidR="006C2E35" w:rsidRPr="00547D47" w:rsidRDefault="001701CE" w:rsidP="00A30867">
            <w:pPr>
              <w:pStyle w:val="Tables"/>
              <w:jc w:val="right"/>
            </w:pPr>
            <w:r w:rsidRPr="00547D47">
              <w:t>166</w:t>
            </w:r>
          </w:p>
        </w:tc>
      </w:tr>
    </w:tbl>
    <w:p w14:paraId="49A7B0AB" w14:textId="77777777" w:rsidR="0015284E" w:rsidRDefault="0015284E" w:rsidP="00DE1B27">
      <w:pPr>
        <w:spacing w:after="0"/>
      </w:pPr>
    </w:p>
    <w:p w14:paraId="17F23218" w14:textId="08CE0025" w:rsidR="003573E0" w:rsidRDefault="003573E0" w:rsidP="00871F94">
      <w:pPr>
        <w:pStyle w:val="Caption"/>
      </w:pPr>
      <w:r>
        <w:t>Table A.1</w:t>
      </w:r>
      <w:r w:rsidR="007F3A2F">
        <w:t>3</w:t>
      </w:r>
      <w:r w:rsidR="000F23E8" w:rsidRPr="000F23E8">
        <w:t xml:space="preserve"> Estimated </w:t>
      </w:r>
      <w:r w:rsidR="0015314D">
        <w:t>F</w:t>
      </w:r>
      <w:r w:rsidR="00810A91">
        <w:t xml:space="preserve">acility </w:t>
      </w:r>
      <w:r w:rsidR="0015314D">
        <w:t>B</w:t>
      </w:r>
      <w:r w:rsidR="00810A91" w:rsidRPr="000F23E8">
        <w:t xml:space="preserve">urden </w:t>
      </w:r>
      <w:r w:rsidR="000F23E8">
        <w:t>f</w:t>
      </w:r>
      <w:r w:rsidR="000F23E8" w:rsidRPr="000F23E8">
        <w:t xml:space="preserve">or </w:t>
      </w:r>
      <w:r w:rsidR="0015314D">
        <w:t>R</w:t>
      </w:r>
      <w:r w:rsidR="00810A91" w:rsidRPr="000F23E8">
        <w:t xml:space="preserve">ecurring </w:t>
      </w:r>
      <w:r w:rsidR="0015314D">
        <w:t>A</w:t>
      </w:r>
      <w:r w:rsidR="00810A91" w:rsidRPr="000F23E8">
        <w:t xml:space="preserve">ctivities </w:t>
      </w:r>
    </w:p>
    <w:tbl>
      <w:tblPr>
        <w:tblStyle w:val="TableGrid"/>
        <w:tblW w:w="0" w:type="auto"/>
        <w:tblLook w:val="04A0" w:firstRow="1" w:lastRow="0" w:firstColumn="1" w:lastColumn="0" w:noHBand="0" w:noVBand="1"/>
      </w:tblPr>
      <w:tblGrid>
        <w:gridCol w:w="4855"/>
        <w:gridCol w:w="3505"/>
        <w:gridCol w:w="990"/>
      </w:tblGrid>
      <w:tr w:rsidR="00BE3F79" w:rsidRPr="00B62B74" w14:paraId="08F029B7" w14:textId="77777777" w:rsidTr="00547D47">
        <w:tc>
          <w:tcPr>
            <w:tcW w:w="4855" w:type="dxa"/>
            <w:shd w:val="clear" w:color="auto" w:fill="D9D9D9" w:themeFill="background1" w:themeFillShade="D9"/>
          </w:tcPr>
          <w:p w14:paraId="372D1F4F" w14:textId="3307B3E1" w:rsidR="00BE3F79" w:rsidRPr="00547D47" w:rsidRDefault="00BE3F79" w:rsidP="00A30867">
            <w:pPr>
              <w:pStyle w:val="TableTitle"/>
            </w:pPr>
            <w:r w:rsidRPr="00547D47">
              <w:t xml:space="preserve">Permittee </w:t>
            </w:r>
            <w:r w:rsidR="0015314D">
              <w:t>R</w:t>
            </w:r>
            <w:r w:rsidR="00810A91" w:rsidRPr="00547D47">
              <w:t xml:space="preserve">ecurring </w:t>
            </w:r>
            <w:r w:rsidR="0015314D">
              <w:t>A</w:t>
            </w:r>
            <w:r w:rsidR="00810A91" w:rsidRPr="00547D47">
              <w:t>ctivity</w:t>
            </w:r>
          </w:p>
        </w:tc>
        <w:tc>
          <w:tcPr>
            <w:tcW w:w="3505" w:type="dxa"/>
            <w:shd w:val="clear" w:color="auto" w:fill="D9D9D9" w:themeFill="background1" w:themeFillShade="D9"/>
          </w:tcPr>
          <w:p w14:paraId="5916F543" w14:textId="77777777" w:rsidR="00BE3F79" w:rsidRPr="00547D47" w:rsidRDefault="00BE3F79" w:rsidP="00A30867">
            <w:pPr>
              <w:pStyle w:val="TableTitle"/>
            </w:pPr>
            <w:r w:rsidRPr="00547D47">
              <w:t>Frequency</w:t>
            </w:r>
          </w:p>
        </w:tc>
        <w:tc>
          <w:tcPr>
            <w:tcW w:w="990" w:type="dxa"/>
            <w:shd w:val="clear" w:color="auto" w:fill="D9D9D9" w:themeFill="background1" w:themeFillShade="D9"/>
          </w:tcPr>
          <w:p w14:paraId="60CBE3D4" w14:textId="77777777" w:rsidR="00BE3F79" w:rsidRPr="00547D47" w:rsidRDefault="00BE3F79" w:rsidP="00A30867">
            <w:pPr>
              <w:pStyle w:val="TableTitle"/>
            </w:pPr>
            <w:r w:rsidRPr="00547D47">
              <w:t>Burden (hours)</w:t>
            </w:r>
          </w:p>
        </w:tc>
      </w:tr>
      <w:tr w:rsidR="0015284E" w14:paraId="0CE4CEEB" w14:textId="77777777" w:rsidTr="00A30867">
        <w:tc>
          <w:tcPr>
            <w:tcW w:w="4855" w:type="dxa"/>
          </w:tcPr>
          <w:p w14:paraId="216C5858" w14:textId="521D3BD3" w:rsidR="0015284E" w:rsidRPr="00547D47" w:rsidRDefault="0015284E" w:rsidP="00A30867">
            <w:pPr>
              <w:pStyle w:val="Tables"/>
            </w:pPr>
            <w:r w:rsidRPr="00547D47">
              <w:t xml:space="preserve">Start-up </w:t>
            </w:r>
            <w:r w:rsidR="00810A91" w:rsidRPr="00547D47">
              <w:t>activities</w:t>
            </w:r>
          </w:p>
        </w:tc>
        <w:tc>
          <w:tcPr>
            <w:tcW w:w="3505" w:type="dxa"/>
          </w:tcPr>
          <w:p w14:paraId="5485FB4A" w14:textId="5304A1B6" w:rsidR="0015284E" w:rsidRPr="00547D47" w:rsidRDefault="0015284E" w:rsidP="00A30867">
            <w:pPr>
              <w:pStyle w:val="Tables"/>
            </w:pPr>
            <w:r w:rsidRPr="00547D47">
              <w:t>Once every 5 years</w:t>
            </w:r>
          </w:p>
        </w:tc>
        <w:tc>
          <w:tcPr>
            <w:tcW w:w="990" w:type="dxa"/>
          </w:tcPr>
          <w:p w14:paraId="33061F20" w14:textId="4936335F" w:rsidR="0015284E" w:rsidRPr="00547D47" w:rsidRDefault="001701CE" w:rsidP="00A30867">
            <w:pPr>
              <w:pStyle w:val="Tables"/>
              <w:jc w:val="right"/>
            </w:pPr>
            <w:r w:rsidRPr="00547D47">
              <w:t>13</w:t>
            </w:r>
          </w:p>
        </w:tc>
      </w:tr>
      <w:tr w:rsidR="0015284E" w14:paraId="5EDF1805" w14:textId="77777777" w:rsidTr="00A30867">
        <w:tc>
          <w:tcPr>
            <w:tcW w:w="4855" w:type="dxa"/>
          </w:tcPr>
          <w:p w14:paraId="40E2BB01" w14:textId="605569B7" w:rsidR="0015284E" w:rsidRPr="00547D47" w:rsidRDefault="0015284E" w:rsidP="00A30867">
            <w:pPr>
              <w:pStyle w:val="Tables"/>
            </w:pPr>
            <w:r w:rsidRPr="00547D47">
              <w:t xml:space="preserve">Permit </w:t>
            </w:r>
            <w:r w:rsidR="00810A91" w:rsidRPr="00547D47">
              <w:t>application activities</w:t>
            </w:r>
          </w:p>
        </w:tc>
        <w:tc>
          <w:tcPr>
            <w:tcW w:w="3505" w:type="dxa"/>
          </w:tcPr>
          <w:p w14:paraId="552CE097" w14:textId="4EB40937" w:rsidR="0015284E" w:rsidRPr="00547D47" w:rsidRDefault="0015284E" w:rsidP="00A30867">
            <w:pPr>
              <w:pStyle w:val="Tables"/>
            </w:pPr>
            <w:r w:rsidRPr="00547D47">
              <w:t>Once every 5 years</w:t>
            </w:r>
          </w:p>
        </w:tc>
        <w:tc>
          <w:tcPr>
            <w:tcW w:w="990" w:type="dxa"/>
          </w:tcPr>
          <w:p w14:paraId="35B0E8C8" w14:textId="3F5D9D80" w:rsidR="0015284E" w:rsidRPr="00547D47" w:rsidRDefault="001701CE" w:rsidP="00A30867">
            <w:pPr>
              <w:pStyle w:val="Tables"/>
              <w:jc w:val="right"/>
            </w:pPr>
            <w:r w:rsidRPr="00547D47">
              <w:t>13</w:t>
            </w:r>
          </w:p>
        </w:tc>
      </w:tr>
      <w:tr w:rsidR="0015284E" w14:paraId="74C64634" w14:textId="77777777" w:rsidTr="00A30867">
        <w:tc>
          <w:tcPr>
            <w:tcW w:w="4855" w:type="dxa"/>
          </w:tcPr>
          <w:p w14:paraId="2FA97014" w14:textId="115198DE" w:rsidR="0015284E" w:rsidRPr="00547D47" w:rsidRDefault="0015284E" w:rsidP="00A30867">
            <w:pPr>
              <w:pStyle w:val="Tables"/>
            </w:pPr>
            <w:r w:rsidRPr="00547D47">
              <w:t xml:space="preserve">Source </w:t>
            </w:r>
            <w:r w:rsidR="00810A91" w:rsidRPr="00547D47">
              <w:t>water body flow information</w:t>
            </w:r>
          </w:p>
        </w:tc>
        <w:tc>
          <w:tcPr>
            <w:tcW w:w="3505" w:type="dxa"/>
          </w:tcPr>
          <w:p w14:paraId="123D7733" w14:textId="6BD26249" w:rsidR="0015284E" w:rsidRPr="00547D47" w:rsidRDefault="0015284E" w:rsidP="00A30867">
            <w:pPr>
              <w:pStyle w:val="Tables"/>
            </w:pPr>
            <w:r w:rsidRPr="00547D47">
              <w:t>Once every 5 years</w:t>
            </w:r>
          </w:p>
        </w:tc>
        <w:tc>
          <w:tcPr>
            <w:tcW w:w="990" w:type="dxa"/>
          </w:tcPr>
          <w:p w14:paraId="5B12A163" w14:textId="0570171D" w:rsidR="0015284E" w:rsidRPr="00547D47" w:rsidRDefault="001701CE" w:rsidP="00A30867">
            <w:pPr>
              <w:pStyle w:val="Tables"/>
              <w:jc w:val="right"/>
            </w:pPr>
            <w:r w:rsidRPr="00547D47">
              <w:t>11</w:t>
            </w:r>
          </w:p>
        </w:tc>
      </w:tr>
      <w:tr w:rsidR="0015284E" w14:paraId="382C40BB" w14:textId="77777777" w:rsidTr="00A30867">
        <w:tc>
          <w:tcPr>
            <w:tcW w:w="4855" w:type="dxa"/>
          </w:tcPr>
          <w:p w14:paraId="758020AA" w14:textId="0EDC8AC5" w:rsidR="0015284E" w:rsidRPr="00547D47" w:rsidRDefault="0015284E" w:rsidP="00A30867">
            <w:pPr>
              <w:pStyle w:val="Tables"/>
            </w:pPr>
            <w:r w:rsidRPr="00547D47">
              <w:t xml:space="preserve">CWIS </w:t>
            </w:r>
            <w:r w:rsidR="00810A91" w:rsidRPr="00547D47">
              <w:t>velocity information</w:t>
            </w:r>
          </w:p>
        </w:tc>
        <w:tc>
          <w:tcPr>
            <w:tcW w:w="3505" w:type="dxa"/>
          </w:tcPr>
          <w:p w14:paraId="4F7209A0" w14:textId="01118C86" w:rsidR="0015284E" w:rsidRPr="00547D47" w:rsidRDefault="0015284E" w:rsidP="00A30867">
            <w:pPr>
              <w:pStyle w:val="Tables"/>
            </w:pPr>
            <w:r w:rsidRPr="00547D47">
              <w:t>Once every 5 years</w:t>
            </w:r>
          </w:p>
        </w:tc>
        <w:tc>
          <w:tcPr>
            <w:tcW w:w="990" w:type="dxa"/>
          </w:tcPr>
          <w:p w14:paraId="64E8204E" w14:textId="38335E52" w:rsidR="0015284E" w:rsidRPr="00547D47" w:rsidRDefault="001701CE" w:rsidP="00A30867">
            <w:pPr>
              <w:pStyle w:val="Tables"/>
              <w:jc w:val="right"/>
            </w:pPr>
            <w:r w:rsidRPr="00547D47">
              <w:t>45</w:t>
            </w:r>
          </w:p>
        </w:tc>
      </w:tr>
      <w:tr w:rsidR="0015284E" w14:paraId="20981282" w14:textId="77777777" w:rsidTr="00A30867">
        <w:tc>
          <w:tcPr>
            <w:tcW w:w="4855" w:type="dxa"/>
          </w:tcPr>
          <w:p w14:paraId="14BC0B18" w14:textId="150D90A5" w:rsidR="0015284E" w:rsidRPr="00547D47" w:rsidRDefault="0015284E" w:rsidP="00A30867">
            <w:pPr>
              <w:pStyle w:val="Tables"/>
            </w:pPr>
            <w:r w:rsidRPr="00547D47">
              <w:t xml:space="preserve">Design and </w:t>
            </w:r>
            <w:r w:rsidR="00810A91" w:rsidRPr="00547D47">
              <w:t>construction technology plan</w:t>
            </w:r>
          </w:p>
        </w:tc>
        <w:tc>
          <w:tcPr>
            <w:tcW w:w="3505" w:type="dxa"/>
          </w:tcPr>
          <w:p w14:paraId="0D02644D" w14:textId="1948A9DA" w:rsidR="0015284E" w:rsidRPr="00547D47" w:rsidRDefault="0015284E" w:rsidP="00A30867">
            <w:pPr>
              <w:pStyle w:val="Tables"/>
            </w:pPr>
            <w:r w:rsidRPr="00547D47">
              <w:t>Once every 5 years</w:t>
            </w:r>
          </w:p>
        </w:tc>
        <w:tc>
          <w:tcPr>
            <w:tcW w:w="990" w:type="dxa"/>
          </w:tcPr>
          <w:p w14:paraId="2FCE8383" w14:textId="25B63EC4" w:rsidR="0015284E" w:rsidRPr="00547D47" w:rsidRDefault="001701CE" w:rsidP="00A30867">
            <w:pPr>
              <w:pStyle w:val="Tables"/>
              <w:jc w:val="right"/>
            </w:pPr>
            <w:r w:rsidRPr="00547D47">
              <w:t>20</w:t>
            </w:r>
          </w:p>
        </w:tc>
      </w:tr>
      <w:tr w:rsidR="0015284E" w14:paraId="474673DF" w14:textId="77777777" w:rsidTr="00A30867">
        <w:tc>
          <w:tcPr>
            <w:tcW w:w="4855" w:type="dxa"/>
          </w:tcPr>
          <w:p w14:paraId="050AB782" w14:textId="6764144A" w:rsidR="0015284E" w:rsidRPr="00547D47" w:rsidRDefault="0015284E" w:rsidP="00A30867">
            <w:pPr>
              <w:pStyle w:val="Tables"/>
            </w:pPr>
            <w:r w:rsidRPr="00547D47">
              <w:t xml:space="preserve">Source </w:t>
            </w:r>
            <w:r w:rsidR="00810A91" w:rsidRPr="00547D47">
              <w:t>water baseline biological characterization study</w:t>
            </w:r>
          </w:p>
        </w:tc>
        <w:tc>
          <w:tcPr>
            <w:tcW w:w="3505" w:type="dxa"/>
          </w:tcPr>
          <w:p w14:paraId="072EA523" w14:textId="13A8DA61" w:rsidR="0015284E" w:rsidRPr="00547D47" w:rsidRDefault="0015284E" w:rsidP="00A30867">
            <w:pPr>
              <w:pStyle w:val="Tables"/>
            </w:pPr>
            <w:r w:rsidRPr="00547D47">
              <w:t>Once every 5 years</w:t>
            </w:r>
          </w:p>
        </w:tc>
        <w:tc>
          <w:tcPr>
            <w:tcW w:w="990" w:type="dxa"/>
          </w:tcPr>
          <w:p w14:paraId="2381D7F4" w14:textId="5B92A9E9" w:rsidR="0015284E" w:rsidRPr="00547D47" w:rsidRDefault="001701CE" w:rsidP="00A30867">
            <w:pPr>
              <w:pStyle w:val="Tables"/>
              <w:jc w:val="right"/>
            </w:pPr>
            <w:r w:rsidRPr="00547D47">
              <w:t>49</w:t>
            </w:r>
          </w:p>
        </w:tc>
      </w:tr>
      <w:tr w:rsidR="0015284E" w14:paraId="12803FBE" w14:textId="77777777" w:rsidTr="00A30867">
        <w:tc>
          <w:tcPr>
            <w:tcW w:w="4855" w:type="dxa"/>
          </w:tcPr>
          <w:p w14:paraId="007D01F7" w14:textId="7FBDCD40" w:rsidR="0015284E" w:rsidRPr="00547D47" w:rsidRDefault="0015284E" w:rsidP="00A30867">
            <w:pPr>
              <w:pStyle w:val="Tables"/>
            </w:pPr>
            <w:r w:rsidRPr="00547D47">
              <w:t xml:space="preserve">Biological </w:t>
            </w:r>
            <w:r w:rsidR="00810A91" w:rsidRPr="00547D47">
              <w:t xml:space="preserve">monitoring </w:t>
            </w:r>
            <w:r w:rsidRPr="00547D47">
              <w:t xml:space="preserve">for </w:t>
            </w:r>
            <w:r w:rsidR="00810A91" w:rsidRPr="00547D47">
              <w:t>impingement</w:t>
            </w:r>
          </w:p>
        </w:tc>
        <w:tc>
          <w:tcPr>
            <w:tcW w:w="3505" w:type="dxa"/>
          </w:tcPr>
          <w:p w14:paraId="56C101D9" w14:textId="0C353547" w:rsidR="0015284E" w:rsidRPr="00547D47" w:rsidRDefault="0015284E" w:rsidP="00A30867">
            <w:pPr>
              <w:pStyle w:val="Tables"/>
            </w:pPr>
            <w:r w:rsidRPr="00547D47">
              <w:t>Annual per permit</w:t>
            </w:r>
          </w:p>
        </w:tc>
        <w:tc>
          <w:tcPr>
            <w:tcW w:w="990" w:type="dxa"/>
          </w:tcPr>
          <w:p w14:paraId="4570C69D" w14:textId="66472B45" w:rsidR="0015284E" w:rsidRPr="00547D47" w:rsidRDefault="001701CE" w:rsidP="00A30867">
            <w:pPr>
              <w:pStyle w:val="Tables"/>
              <w:jc w:val="right"/>
            </w:pPr>
            <w:r w:rsidRPr="00547D47">
              <w:t>530</w:t>
            </w:r>
          </w:p>
        </w:tc>
      </w:tr>
      <w:tr w:rsidR="0015284E" w14:paraId="6BE6E309" w14:textId="77777777" w:rsidTr="00A30867">
        <w:tc>
          <w:tcPr>
            <w:tcW w:w="4855" w:type="dxa"/>
          </w:tcPr>
          <w:p w14:paraId="5D1A132B" w14:textId="2C724002" w:rsidR="0015284E" w:rsidRPr="00547D47" w:rsidRDefault="0015284E" w:rsidP="00A30867">
            <w:pPr>
              <w:pStyle w:val="Tables"/>
              <w:rPr>
                <w:highlight w:val="yellow"/>
              </w:rPr>
            </w:pPr>
            <w:r w:rsidRPr="00547D47">
              <w:t xml:space="preserve">Biological </w:t>
            </w:r>
            <w:r w:rsidR="00810A91" w:rsidRPr="00547D47">
              <w:t xml:space="preserve">monitoring </w:t>
            </w:r>
            <w:r w:rsidRPr="00547D47">
              <w:t xml:space="preserve">for </w:t>
            </w:r>
            <w:r w:rsidR="00810A91" w:rsidRPr="00547D47">
              <w:t>entrainment</w:t>
            </w:r>
          </w:p>
        </w:tc>
        <w:tc>
          <w:tcPr>
            <w:tcW w:w="3505" w:type="dxa"/>
          </w:tcPr>
          <w:p w14:paraId="4C5E4CD6" w14:textId="0D90CE28" w:rsidR="0015284E" w:rsidRPr="00547D47" w:rsidRDefault="0015284E" w:rsidP="00A30867">
            <w:pPr>
              <w:pStyle w:val="Tables"/>
            </w:pPr>
            <w:r w:rsidRPr="00547D47">
              <w:t>Annual per permit with entrainment requirements</w:t>
            </w:r>
          </w:p>
        </w:tc>
        <w:tc>
          <w:tcPr>
            <w:tcW w:w="990" w:type="dxa"/>
          </w:tcPr>
          <w:p w14:paraId="58B67D04" w14:textId="5353DAB2" w:rsidR="0015284E" w:rsidRPr="00547D47" w:rsidRDefault="001701CE" w:rsidP="00A30867">
            <w:pPr>
              <w:pStyle w:val="Tables"/>
              <w:jc w:val="right"/>
            </w:pPr>
            <w:r w:rsidRPr="00547D47">
              <w:t>370</w:t>
            </w:r>
          </w:p>
        </w:tc>
      </w:tr>
      <w:tr w:rsidR="0015284E" w14:paraId="25DC0C24" w14:textId="77777777" w:rsidTr="00A30867">
        <w:tc>
          <w:tcPr>
            <w:tcW w:w="4855" w:type="dxa"/>
          </w:tcPr>
          <w:p w14:paraId="13A0AF48" w14:textId="6133FDD6" w:rsidR="0015284E" w:rsidRPr="00547D47" w:rsidRDefault="0015284E" w:rsidP="00A30867">
            <w:pPr>
              <w:pStyle w:val="Tables"/>
              <w:rPr>
                <w:highlight w:val="yellow"/>
              </w:rPr>
            </w:pPr>
            <w:r w:rsidRPr="00547D47">
              <w:t xml:space="preserve">Biological </w:t>
            </w:r>
            <w:r w:rsidR="00810A91" w:rsidRPr="00547D47">
              <w:t xml:space="preserve">monitoring </w:t>
            </w:r>
            <w:r w:rsidRPr="00547D47">
              <w:t xml:space="preserve">for </w:t>
            </w:r>
            <w:r w:rsidR="00810A91" w:rsidRPr="00547D47">
              <w:t xml:space="preserve">entrainment </w:t>
            </w:r>
            <w:r w:rsidRPr="00547D47">
              <w:t>(Alaska)</w:t>
            </w:r>
          </w:p>
        </w:tc>
        <w:tc>
          <w:tcPr>
            <w:tcW w:w="3505" w:type="dxa"/>
          </w:tcPr>
          <w:p w14:paraId="16711CEC" w14:textId="1F6C3615" w:rsidR="0015284E" w:rsidRPr="00547D47" w:rsidRDefault="0015284E" w:rsidP="00A30867">
            <w:pPr>
              <w:pStyle w:val="Tables"/>
            </w:pPr>
            <w:r w:rsidRPr="00547D47">
              <w:t>Annual per permit in AK with entrainment requirements</w:t>
            </w:r>
          </w:p>
        </w:tc>
        <w:tc>
          <w:tcPr>
            <w:tcW w:w="990" w:type="dxa"/>
          </w:tcPr>
          <w:p w14:paraId="0C6F5351" w14:textId="52F9B654" w:rsidR="0015284E" w:rsidRPr="00547D47" w:rsidRDefault="001701CE" w:rsidP="00A30867">
            <w:pPr>
              <w:pStyle w:val="Tables"/>
              <w:jc w:val="right"/>
            </w:pPr>
            <w:r w:rsidRPr="00547D47">
              <w:t>516</w:t>
            </w:r>
          </w:p>
        </w:tc>
      </w:tr>
      <w:tr w:rsidR="0015284E" w14:paraId="4FD66165" w14:textId="77777777" w:rsidTr="00A30867">
        <w:tc>
          <w:tcPr>
            <w:tcW w:w="4855" w:type="dxa"/>
          </w:tcPr>
          <w:p w14:paraId="05CA8006" w14:textId="229DF6AD" w:rsidR="0015284E" w:rsidRPr="00547D47" w:rsidRDefault="0015284E" w:rsidP="00A30867">
            <w:pPr>
              <w:pStyle w:val="Tables"/>
            </w:pPr>
            <w:r w:rsidRPr="00547D47">
              <w:t xml:space="preserve">Velocity </w:t>
            </w:r>
            <w:r w:rsidR="00810A91" w:rsidRPr="00547D47">
              <w:t>monitoring</w:t>
            </w:r>
          </w:p>
        </w:tc>
        <w:tc>
          <w:tcPr>
            <w:tcW w:w="3505" w:type="dxa"/>
          </w:tcPr>
          <w:p w14:paraId="449E0979" w14:textId="5B239015" w:rsidR="0015284E" w:rsidRPr="00547D47" w:rsidRDefault="0015284E" w:rsidP="00A30867">
            <w:pPr>
              <w:pStyle w:val="Tables"/>
            </w:pPr>
            <w:r w:rsidRPr="00547D47">
              <w:t>Annual per permit</w:t>
            </w:r>
          </w:p>
        </w:tc>
        <w:tc>
          <w:tcPr>
            <w:tcW w:w="990" w:type="dxa"/>
          </w:tcPr>
          <w:p w14:paraId="7DDE2FA2" w14:textId="50D4A249" w:rsidR="0015284E" w:rsidRPr="00547D47" w:rsidRDefault="001701CE" w:rsidP="00A30867">
            <w:pPr>
              <w:pStyle w:val="Tables"/>
              <w:jc w:val="right"/>
            </w:pPr>
            <w:r w:rsidRPr="00547D47">
              <w:t>163</w:t>
            </w:r>
          </w:p>
        </w:tc>
      </w:tr>
      <w:tr w:rsidR="0015284E" w14:paraId="322E3891" w14:textId="77777777" w:rsidTr="00A30867">
        <w:tc>
          <w:tcPr>
            <w:tcW w:w="4855" w:type="dxa"/>
          </w:tcPr>
          <w:p w14:paraId="6E635028" w14:textId="210D0EF6" w:rsidR="0015284E" w:rsidRPr="00547D47" w:rsidRDefault="0015284E" w:rsidP="00A30867">
            <w:pPr>
              <w:pStyle w:val="Tables"/>
            </w:pPr>
            <w:r w:rsidRPr="00547D47">
              <w:t xml:space="preserve">Visual </w:t>
            </w:r>
            <w:r w:rsidR="00810A91" w:rsidRPr="00547D47">
              <w:t>inspections</w:t>
            </w:r>
          </w:p>
        </w:tc>
        <w:tc>
          <w:tcPr>
            <w:tcW w:w="3505" w:type="dxa"/>
          </w:tcPr>
          <w:p w14:paraId="73070105" w14:textId="7E5B657E" w:rsidR="0015284E" w:rsidRPr="00547D47" w:rsidRDefault="0015284E" w:rsidP="00A30867">
            <w:pPr>
              <w:pStyle w:val="Tables"/>
            </w:pPr>
            <w:r w:rsidRPr="00547D47">
              <w:t>Annual per permit</w:t>
            </w:r>
          </w:p>
        </w:tc>
        <w:tc>
          <w:tcPr>
            <w:tcW w:w="990" w:type="dxa"/>
          </w:tcPr>
          <w:p w14:paraId="6EBF0BA2" w14:textId="0862A855" w:rsidR="0015284E" w:rsidRPr="00547D47" w:rsidRDefault="001701CE" w:rsidP="00A30867">
            <w:pPr>
              <w:pStyle w:val="Tables"/>
              <w:jc w:val="right"/>
            </w:pPr>
            <w:r w:rsidRPr="00547D47">
              <w:t>253</w:t>
            </w:r>
          </w:p>
        </w:tc>
      </w:tr>
      <w:tr w:rsidR="0015284E" w14:paraId="294003EA" w14:textId="77777777" w:rsidTr="00A30867">
        <w:tc>
          <w:tcPr>
            <w:tcW w:w="4855" w:type="dxa"/>
          </w:tcPr>
          <w:p w14:paraId="323CF01D" w14:textId="00B5983D" w:rsidR="0015284E" w:rsidRPr="00547D47" w:rsidRDefault="0015284E" w:rsidP="00A30867">
            <w:pPr>
              <w:pStyle w:val="Tables"/>
            </w:pPr>
            <w:r w:rsidRPr="00547D47">
              <w:t xml:space="preserve">Yearly </w:t>
            </w:r>
            <w:r w:rsidR="00810A91" w:rsidRPr="00547D47">
              <w:t>status report activities</w:t>
            </w:r>
          </w:p>
        </w:tc>
        <w:tc>
          <w:tcPr>
            <w:tcW w:w="3505" w:type="dxa"/>
          </w:tcPr>
          <w:p w14:paraId="66D44F6A" w14:textId="13519A3F" w:rsidR="0015284E" w:rsidRPr="00547D47" w:rsidRDefault="0015284E" w:rsidP="00A30867">
            <w:pPr>
              <w:pStyle w:val="Tables"/>
            </w:pPr>
            <w:r w:rsidRPr="00547D47">
              <w:t>Annual per permit</w:t>
            </w:r>
          </w:p>
        </w:tc>
        <w:tc>
          <w:tcPr>
            <w:tcW w:w="990" w:type="dxa"/>
          </w:tcPr>
          <w:p w14:paraId="79F78F43" w14:textId="4BE0883D" w:rsidR="0015284E" w:rsidRPr="00547D47" w:rsidRDefault="001701CE" w:rsidP="00A30867">
            <w:pPr>
              <w:pStyle w:val="Tables"/>
              <w:jc w:val="right"/>
            </w:pPr>
            <w:r w:rsidRPr="00547D47">
              <w:t>223</w:t>
            </w:r>
          </w:p>
        </w:tc>
      </w:tr>
    </w:tbl>
    <w:p w14:paraId="6FF29C8E" w14:textId="77777777" w:rsidR="002E29FE" w:rsidRDefault="002E29FE" w:rsidP="00DE1B27">
      <w:pPr>
        <w:spacing w:after="0"/>
      </w:pPr>
    </w:p>
    <w:p w14:paraId="65091B3B" w14:textId="77777777" w:rsidR="0085470C" w:rsidRDefault="0003525F" w:rsidP="0017120E">
      <w:r w:rsidRPr="00786C04">
        <w:rPr>
          <w:i/>
        </w:rPr>
        <w:t>States</w:t>
      </w:r>
      <w:r>
        <w:t xml:space="preserve">. </w:t>
      </w:r>
      <w:r w:rsidR="008204D5">
        <w:t xml:space="preserve">Offshore oil and gas facilities operate in </w:t>
      </w:r>
      <w:r w:rsidR="001D56B6">
        <w:t>f</w:t>
      </w:r>
      <w:r w:rsidR="008204D5">
        <w:t>ederal waters, t</w:t>
      </w:r>
      <w:r>
        <w:t>here is no st</w:t>
      </w:r>
      <w:r w:rsidR="008204D5">
        <w:t>ate burden</w:t>
      </w:r>
      <w:r w:rsidR="000C32BA">
        <w:t>.</w:t>
      </w:r>
    </w:p>
    <w:p w14:paraId="08A1EB91" w14:textId="77777777" w:rsidR="0085470C" w:rsidRDefault="008204D5" w:rsidP="0017120E">
      <w:r w:rsidRPr="00786C04">
        <w:rPr>
          <w:i/>
        </w:rPr>
        <w:t>Federal</w:t>
      </w:r>
      <w:r>
        <w:t>.</w:t>
      </w:r>
      <w:r w:rsidR="00547D47" w:rsidRPr="00547D47">
        <w:t xml:space="preserve"> </w:t>
      </w:r>
      <w:r w:rsidR="00547D47">
        <w:t>Table A.1</w:t>
      </w:r>
      <w:r w:rsidR="007F3A2F">
        <w:t>4</w:t>
      </w:r>
      <w:r w:rsidR="00547D47">
        <w:t xml:space="preserve"> presents the </w:t>
      </w:r>
      <w:r w:rsidR="00547D47" w:rsidRPr="009A7DCF">
        <w:t>estimated burden hours and frequency</w:t>
      </w:r>
      <w:r w:rsidR="00547D47">
        <w:t xml:space="preserve"> for </w:t>
      </w:r>
      <w:r w:rsidR="001D56B6">
        <w:t>f</w:t>
      </w:r>
      <w:r w:rsidR="00547D47">
        <w:t>ederal oversight activities.</w:t>
      </w:r>
    </w:p>
    <w:p w14:paraId="018354D3" w14:textId="1D4F5DD8" w:rsidR="00E04B3F" w:rsidRDefault="009A7DCF" w:rsidP="00871F94">
      <w:pPr>
        <w:pStyle w:val="Caption"/>
      </w:pPr>
      <w:r>
        <w:t>Table A.1</w:t>
      </w:r>
      <w:r w:rsidR="007F3A2F">
        <w:t>4</w:t>
      </w:r>
      <w:r w:rsidR="00E04B3F" w:rsidRPr="00E04B3F">
        <w:t xml:space="preserve"> Estimated </w:t>
      </w:r>
      <w:r w:rsidR="0015314D">
        <w:t>F</w:t>
      </w:r>
      <w:r w:rsidR="00810A91" w:rsidRPr="00E04B3F">
        <w:t xml:space="preserve">acility </w:t>
      </w:r>
      <w:r w:rsidR="0015314D">
        <w:t>B</w:t>
      </w:r>
      <w:r w:rsidR="00810A91" w:rsidRPr="00E04B3F">
        <w:t xml:space="preserve">urden </w:t>
      </w:r>
      <w:r w:rsidR="00E04B3F" w:rsidRPr="00E04B3F">
        <w:t xml:space="preserve">for </w:t>
      </w:r>
      <w:r w:rsidR="0015314D">
        <w:t>F</w:t>
      </w:r>
      <w:r w:rsidR="00810A91" w:rsidRPr="00E04B3F">
        <w:t xml:space="preserve">ederal </w:t>
      </w:r>
      <w:r w:rsidR="0015314D">
        <w:t>O</w:t>
      </w:r>
      <w:r w:rsidR="00810A91" w:rsidRPr="00E04B3F">
        <w:t>versight</w:t>
      </w:r>
    </w:p>
    <w:tbl>
      <w:tblPr>
        <w:tblStyle w:val="TableGrid"/>
        <w:tblW w:w="9355" w:type="dxa"/>
        <w:tblLook w:val="04A0" w:firstRow="1" w:lastRow="0" w:firstColumn="1" w:lastColumn="0" w:noHBand="0" w:noVBand="1"/>
      </w:tblPr>
      <w:tblGrid>
        <w:gridCol w:w="4765"/>
        <w:gridCol w:w="2520"/>
        <w:gridCol w:w="2070"/>
      </w:tblGrid>
      <w:tr w:rsidR="00E04B3F" w:rsidRPr="00E04B3F" w14:paraId="18915F87" w14:textId="77777777" w:rsidTr="00547D47">
        <w:trPr>
          <w:trHeight w:val="264"/>
        </w:trPr>
        <w:tc>
          <w:tcPr>
            <w:tcW w:w="4765" w:type="dxa"/>
            <w:shd w:val="clear" w:color="auto" w:fill="D9D9D9" w:themeFill="background1" w:themeFillShade="D9"/>
          </w:tcPr>
          <w:p w14:paraId="00707581" w14:textId="04FBE4D5" w:rsidR="00E04B3F" w:rsidRPr="00547D47" w:rsidRDefault="00E04B3F" w:rsidP="00A30867">
            <w:pPr>
              <w:pStyle w:val="TableTitle"/>
            </w:pPr>
            <w:r w:rsidRPr="00547D47">
              <w:t xml:space="preserve">Federal </w:t>
            </w:r>
            <w:r w:rsidR="0015314D">
              <w:t>P</w:t>
            </w:r>
            <w:r w:rsidR="00810A91" w:rsidRPr="00547D47">
              <w:t xml:space="preserve">ermit </w:t>
            </w:r>
            <w:r w:rsidR="0015314D">
              <w:t>O</w:t>
            </w:r>
            <w:r w:rsidR="00810A91" w:rsidRPr="00547D47">
              <w:t>versight</w:t>
            </w:r>
          </w:p>
        </w:tc>
        <w:tc>
          <w:tcPr>
            <w:tcW w:w="2520" w:type="dxa"/>
            <w:shd w:val="clear" w:color="auto" w:fill="D9D9D9" w:themeFill="background1" w:themeFillShade="D9"/>
            <w:vAlign w:val="center"/>
          </w:tcPr>
          <w:p w14:paraId="75587DDF" w14:textId="7601379B" w:rsidR="00E04B3F" w:rsidRPr="00547D47" w:rsidRDefault="00E04B3F" w:rsidP="00A30867">
            <w:pPr>
              <w:pStyle w:val="TableTitle"/>
            </w:pPr>
            <w:r w:rsidRPr="00547D47">
              <w:t>Frequency</w:t>
            </w:r>
            <w:r w:rsidRPr="00547D47">
              <w:tab/>
            </w:r>
          </w:p>
        </w:tc>
        <w:tc>
          <w:tcPr>
            <w:tcW w:w="2070" w:type="dxa"/>
            <w:shd w:val="clear" w:color="auto" w:fill="D9D9D9" w:themeFill="background1" w:themeFillShade="D9"/>
          </w:tcPr>
          <w:p w14:paraId="5EE1D410" w14:textId="55E0E338" w:rsidR="00E04B3F" w:rsidRPr="00547D47" w:rsidRDefault="00E04B3F" w:rsidP="00A30867">
            <w:pPr>
              <w:pStyle w:val="TableTitle"/>
            </w:pPr>
            <w:r w:rsidRPr="00547D47">
              <w:t>Burden (hours)</w:t>
            </w:r>
          </w:p>
        </w:tc>
      </w:tr>
      <w:tr w:rsidR="00E04B3F" w:rsidRPr="00E04B3F" w14:paraId="73511939" w14:textId="77777777" w:rsidTr="00A30867">
        <w:trPr>
          <w:trHeight w:val="264"/>
        </w:trPr>
        <w:tc>
          <w:tcPr>
            <w:tcW w:w="4765" w:type="dxa"/>
            <w:hideMark/>
          </w:tcPr>
          <w:p w14:paraId="599E4EFC" w14:textId="303C99F8" w:rsidR="00E04B3F" w:rsidRPr="00E04B3F" w:rsidRDefault="00CA2398" w:rsidP="00A30867">
            <w:pPr>
              <w:pStyle w:val="Tables"/>
            </w:pPr>
            <w:r>
              <w:t>Permitting authority</w:t>
            </w:r>
            <w:r w:rsidRPr="00E04B3F">
              <w:t xml:space="preserve"> </w:t>
            </w:r>
            <w:r w:rsidR="00810A91">
              <w:t>p</w:t>
            </w:r>
            <w:r w:rsidR="00810A91" w:rsidRPr="00E04B3F">
              <w:t xml:space="preserve">ermit </w:t>
            </w:r>
            <w:r w:rsidR="00810A91">
              <w:t>i</w:t>
            </w:r>
            <w:r w:rsidR="00810A91" w:rsidRPr="00E04B3F">
              <w:t xml:space="preserve">ssuance </w:t>
            </w:r>
            <w:r w:rsidR="00810A91">
              <w:t>a</w:t>
            </w:r>
            <w:r w:rsidR="00810A91" w:rsidRPr="00E04B3F">
              <w:t xml:space="preserve">ctivities </w:t>
            </w:r>
            <w:r w:rsidR="00E04B3F" w:rsidRPr="00E04B3F">
              <w:t xml:space="preserve">(per </w:t>
            </w:r>
            <w:r w:rsidR="00810A91">
              <w:t>f</w:t>
            </w:r>
            <w:r w:rsidR="00810A91" w:rsidRPr="00E04B3F">
              <w:t>acility</w:t>
            </w:r>
            <w:r w:rsidR="00E04B3F" w:rsidRPr="00E04B3F">
              <w:t>)</w:t>
            </w:r>
          </w:p>
        </w:tc>
        <w:tc>
          <w:tcPr>
            <w:tcW w:w="2520" w:type="dxa"/>
          </w:tcPr>
          <w:p w14:paraId="204CE2B6" w14:textId="1A08C676" w:rsidR="00E04B3F" w:rsidRPr="00E04B3F" w:rsidRDefault="00E04B3F" w:rsidP="00A30867">
            <w:pPr>
              <w:pStyle w:val="Tables"/>
            </w:pPr>
            <w:r w:rsidRPr="00E04B3F">
              <w:t>Once per new</w:t>
            </w:r>
            <w:r>
              <w:t xml:space="preserve"> </w:t>
            </w:r>
            <w:r w:rsidRPr="00E04B3F">
              <w:t>permit</w:t>
            </w:r>
          </w:p>
        </w:tc>
        <w:tc>
          <w:tcPr>
            <w:tcW w:w="2070" w:type="dxa"/>
            <w:hideMark/>
          </w:tcPr>
          <w:p w14:paraId="29491255" w14:textId="26943F4B" w:rsidR="00E04B3F" w:rsidRPr="00E04B3F" w:rsidRDefault="00E04B3F" w:rsidP="00A30867">
            <w:pPr>
              <w:pStyle w:val="Tables"/>
              <w:jc w:val="right"/>
            </w:pPr>
            <w:r w:rsidRPr="00E04B3F">
              <w:t xml:space="preserve">229 </w:t>
            </w:r>
          </w:p>
        </w:tc>
      </w:tr>
      <w:tr w:rsidR="00E04B3F" w:rsidRPr="00E04B3F" w14:paraId="46310AA9" w14:textId="77777777" w:rsidTr="00A30867">
        <w:trPr>
          <w:trHeight w:val="264"/>
        </w:trPr>
        <w:tc>
          <w:tcPr>
            <w:tcW w:w="4765" w:type="dxa"/>
            <w:hideMark/>
          </w:tcPr>
          <w:p w14:paraId="09419174" w14:textId="1756178A" w:rsidR="00E04B3F" w:rsidRPr="00E04B3F" w:rsidRDefault="00CA2398" w:rsidP="00A30867">
            <w:pPr>
              <w:pStyle w:val="Tables"/>
            </w:pPr>
            <w:r>
              <w:t>Permitting authority</w:t>
            </w:r>
            <w:r w:rsidR="00E04B3F" w:rsidRPr="00E04B3F">
              <w:t xml:space="preserve"> </w:t>
            </w:r>
            <w:r w:rsidR="00810A91">
              <w:t>p</w:t>
            </w:r>
            <w:r w:rsidR="00810A91" w:rsidRPr="00E04B3F">
              <w:t xml:space="preserve">ermit </w:t>
            </w:r>
            <w:r w:rsidR="00810A91">
              <w:t>r</w:t>
            </w:r>
            <w:r w:rsidR="00810A91" w:rsidRPr="00E04B3F">
              <w:t xml:space="preserve">enewal </w:t>
            </w:r>
            <w:r w:rsidR="00810A91">
              <w:t>a</w:t>
            </w:r>
            <w:r w:rsidR="00810A91" w:rsidRPr="00E04B3F">
              <w:t xml:space="preserve">ctivities </w:t>
            </w:r>
            <w:r w:rsidR="00E04B3F" w:rsidRPr="00E04B3F">
              <w:t xml:space="preserve">(per </w:t>
            </w:r>
            <w:r w:rsidR="00810A91">
              <w:t>f</w:t>
            </w:r>
            <w:r w:rsidR="00810A91" w:rsidRPr="00E04B3F">
              <w:t>acility</w:t>
            </w:r>
            <w:r w:rsidR="00E04B3F" w:rsidRPr="00E04B3F">
              <w:t>)</w:t>
            </w:r>
          </w:p>
        </w:tc>
        <w:tc>
          <w:tcPr>
            <w:tcW w:w="2520" w:type="dxa"/>
          </w:tcPr>
          <w:p w14:paraId="25801843" w14:textId="7C1645F6" w:rsidR="00E04B3F" w:rsidRPr="00E04B3F" w:rsidRDefault="00E04B3F" w:rsidP="00A30867">
            <w:pPr>
              <w:pStyle w:val="Tables"/>
            </w:pPr>
            <w:r w:rsidRPr="00E04B3F">
              <w:t>Once every 5 years</w:t>
            </w:r>
          </w:p>
        </w:tc>
        <w:tc>
          <w:tcPr>
            <w:tcW w:w="2070" w:type="dxa"/>
            <w:hideMark/>
          </w:tcPr>
          <w:p w14:paraId="3375B86D" w14:textId="40A21804" w:rsidR="00E04B3F" w:rsidRPr="00E04B3F" w:rsidRDefault="00E04B3F" w:rsidP="00A30867">
            <w:pPr>
              <w:pStyle w:val="Tables"/>
              <w:jc w:val="right"/>
            </w:pPr>
            <w:r w:rsidRPr="00E04B3F">
              <w:t xml:space="preserve">104 </w:t>
            </w:r>
          </w:p>
        </w:tc>
      </w:tr>
      <w:tr w:rsidR="00E04B3F" w:rsidRPr="00E04B3F" w14:paraId="72135981" w14:textId="77777777" w:rsidTr="00A30867">
        <w:trPr>
          <w:trHeight w:val="264"/>
        </w:trPr>
        <w:tc>
          <w:tcPr>
            <w:tcW w:w="4765" w:type="dxa"/>
            <w:hideMark/>
          </w:tcPr>
          <w:p w14:paraId="6272BFCC" w14:textId="1DD21EEF" w:rsidR="00E04B3F" w:rsidRPr="00E04B3F" w:rsidRDefault="00E04B3F" w:rsidP="00A30867">
            <w:pPr>
              <w:pStyle w:val="Tables"/>
            </w:pPr>
            <w:r w:rsidRPr="00E04B3F">
              <w:t xml:space="preserve">Annual </w:t>
            </w:r>
            <w:r w:rsidR="00CA2398">
              <w:t>Permitting authority</w:t>
            </w:r>
            <w:r w:rsidRPr="00E04B3F">
              <w:t xml:space="preserve"> </w:t>
            </w:r>
            <w:r w:rsidR="00810A91">
              <w:t>a</w:t>
            </w:r>
            <w:r w:rsidR="00810A91" w:rsidRPr="00E04B3F">
              <w:t xml:space="preserve">ctivities </w:t>
            </w:r>
            <w:r w:rsidRPr="00E04B3F">
              <w:t xml:space="preserve">(per </w:t>
            </w:r>
            <w:r w:rsidR="00810A91">
              <w:t>f</w:t>
            </w:r>
            <w:r w:rsidR="00810A91" w:rsidRPr="00E04B3F">
              <w:t>acility</w:t>
            </w:r>
            <w:r w:rsidRPr="00E04B3F">
              <w:t>)</w:t>
            </w:r>
          </w:p>
        </w:tc>
        <w:tc>
          <w:tcPr>
            <w:tcW w:w="2520" w:type="dxa"/>
          </w:tcPr>
          <w:p w14:paraId="4184D988" w14:textId="1B534086" w:rsidR="00E04B3F" w:rsidRPr="00E04B3F" w:rsidRDefault="00E04B3F" w:rsidP="00A30867">
            <w:pPr>
              <w:pStyle w:val="Tables"/>
            </w:pPr>
            <w:r w:rsidRPr="00E04B3F">
              <w:t>Annual per permit</w:t>
            </w:r>
          </w:p>
        </w:tc>
        <w:tc>
          <w:tcPr>
            <w:tcW w:w="2070" w:type="dxa"/>
            <w:hideMark/>
          </w:tcPr>
          <w:p w14:paraId="6734DD1C" w14:textId="3E2F8EC4" w:rsidR="00E04B3F" w:rsidRPr="00E04B3F" w:rsidRDefault="00E04B3F" w:rsidP="00A30867">
            <w:pPr>
              <w:pStyle w:val="Tables"/>
              <w:jc w:val="right"/>
            </w:pPr>
            <w:r w:rsidRPr="00E04B3F">
              <w:t>50</w:t>
            </w:r>
          </w:p>
        </w:tc>
      </w:tr>
    </w:tbl>
    <w:p w14:paraId="37484C02" w14:textId="3ADFAC00" w:rsidR="0048771B" w:rsidRDefault="0088609F" w:rsidP="00DE1B27">
      <w:pPr>
        <w:pStyle w:val="Heading4"/>
        <w:spacing w:before="240"/>
      </w:pPr>
      <w:r>
        <w:t>A.1.</w:t>
      </w:r>
      <w:r w:rsidR="00861380">
        <w:t>7.3</w:t>
      </w:r>
      <w:r w:rsidR="0048771B">
        <w:t xml:space="preserve">. </w:t>
      </w:r>
      <w:r w:rsidR="0048771B" w:rsidRPr="0048771B">
        <w:t>Cooling Water Intake</w:t>
      </w:r>
      <w:r w:rsidR="0048771B">
        <w:t xml:space="preserve"> Structures Existing Facilities</w:t>
      </w:r>
    </w:p>
    <w:p w14:paraId="0BB7AA39" w14:textId="578838B6" w:rsidR="0085470C" w:rsidRDefault="002E74EC" w:rsidP="0032248F">
      <w:r w:rsidRPr="002E74EC">
        <w:t xml:space="preserve">The activities in this category are related to NPDES </w:t>
      </w:r>
      <w:r w:rsidR="003976C5">
        <w:t>application and recordkeeping</w:t>
      </w:r>
      <w:r w:rsidRPr="002E74EC">
        <w:t xml:space="preserve"> requirements </w:t>
      </w:r>
      <w:r w:rsidR="0032248F">
        <w:t xml:space="preserve">defined under the 316(b) Existing Facility </w:t>
      </w:r>
      <w:r w:rsidR="0032248F" w:rsidRPr="0032248F">
        <w:t>Rule (79 FR 48300; August 15, 2014)</w:t>
      </w:r>
      <w:r w:rsidR="003976C5">
        <w:t>; which was</w:t>
      </w:r>
      <w:r w:rsidR="0032248F" w:rsidRPr="0032248F">
        <w:t xml:space="preserve"> </w:t>
      </w:r>
      <w:r>
        <w:t>included in the</w:t>
      </w:r>
      <w:r w:rsidRPr="002E74EC">
        <w:t xml:space="preserve"> </w:t>
      </w:r>
      <w:r w:rsidR="0032248F">
        <w:t xml:space="preserve">Supporting Statement for </w:t>
      </w:r>
      <w:r w:rsidRPr="002E74EC">
        <w:t xml:space="preserve">Existing Facilities Final Rule contained in a separate ICR (OMB </w:t>
      </w:r>
      <w:r w:rsidR="00437796">
        <w:t>control no.</w:t>
      </w:r>
      <w:r w:rsidRPr="002E74EC">
        <w:t xml:space="preserve"> 2040-0257; EPA ICR </w:t>
      </w:r>
      <w:r w:rsidR="00437796">
        <w:t>n</w:t>
      </w:r>
      <w:r w:rsidRPr="002E74EC">
        <w:t>o. 2060.07)</w:t>
      </w:r>
      <w:r w:rsidR="0032248F">
        <w:t xml:space="preserve">. This regulation applies to </w:t>
      </w:r>
      <w:r w:rsidR="0032248F" w:rsidRPr="0032248F">
        <w:t xml:space="preserve">industrial facilities constructed </w:t>
      </w:r>
      <w:r w:rsidR="0032248F">
        <w:t>prior to</w:t>
      </w:r>
      <w:r w:rsidR="0032248F" w:rsidRPr="0032248F">
        <w:t xml:space="preserve"> January 2002 that withdraw significant quantities of cooling water from waters of the U</w:t>
      </w:r>
      <w:r w:rsidR="00784FA2">
        <w:t>.</w:t>
      </w:r>
      <w:r w:rsidR="0032248F" w:rsidRPr="0032248F">
        <w:t>S.</w:t>
      </w:r>
      <w:r w:rsidR="00C23A7B" w:rsidRPr="00C23A7B">
        <w:t xml:space="preserve"> </w:t>
      </w:r>
      <w:r w:rsidR="00C23A7B">
        <w:t xml:space="preserve">The rule became effective October 14, 2014. </w:t>
      </w:r>
      <w:r w:rsidR="00B05003">
        <w:t xml:space="preserve">A major component of the burden is associated with the preparation </w:t>
      </w:r>
      <w:r w:rsidR="00876A28">
        <w:t xml:space="preserve">of </w:t>
      </w:r>
      <w:r w:rsidR="00625544">
        <w:t>permit application materials required under 122.21(r)</w:t>
      </w:r>
      <w:r w:rsidR="00876A28">
        <w:t>(2)-(13)</w:t>
      </w:r>
      <w:r w:rsidR="00625544">
        <w:t xml:space="preserve"> which must be submitted during the first permit renewal </w:t>
      </w:r>
      <w:r w:rsidR="00B05003">
        <w:t xml:space="preserve">that occurs during the five year period after October 2014. </w:t>
      </w:r>
      <w:r w:rsidR="00625544">
        <w:t>Once the permit has been renewed</w:t>
      </w:r>
      <w:r w:rsidR="00B05003">
        <w:t>, the burden will be associated with annual monitoring and reporting activities and the subsequent permit renewal applications for which the burden is significantly reduced compared to the initial renewal.</w:t>
      </w:r>
      <w:r w:rsidR="00A00C20">
        <w:t xml:space="preserve"> The initial CWIS Existing Facility Rule ICR covered the burden associated with the three</w:t>
      </w:r>
      <w:r w:rsidR="005E4876">
        <w:t>-</w:t>
      </w:r>
      <w:r w:rsidR="00A00C20">
        <w:t>year period from October 2014 through October 2017. Because the initial permit renewal is spread out over a five</w:t>
      </w:r>
      <w:r w:rsidR="005E4876">
        <w:t>-</w:t>
      </w:r>
      <w:r w:rsidR="00A00C20">
        <w:t xml:space="preserve">year period </w:t>
      </w:r>
      <w:r w:rsidR="00D91D64">
        <w:t xml:space="preserve">and the previous ICR assumed minimal application burden in the first year, </w:t>
      </w:r>
      <w:r w:rsidR="007361FD">
        <w:t>t</w:t>
      </w:r>
      <w:r w:rsidR="00A00C20">
        <w:t xml:space="preserve">he burden included in this ICR will include </w:t>
      </w:r>
      <w:r w:rsidR="00D91D64">
        <w:t xml:space="preserve">the final </w:t>
      </w:r>
      <w:r w:rsidR="00A00C20">
        <w:t>t</w:t>
      </w:r>
      <w:r w:rsidR="00D91D64">
        <w:t>hree</w:t>
      </w:r>
      <w:r w:rsidR="00A00C20">
        <w:t xml:space="preserve"> of the</w:t>
      </w:r>
      <w:r w:rsidR="00D91D64">
        <w:t xml:space="preserve"> initial permit renewal years w</w:t>
      </w:r>
      <w:r w:rsidR="005A6BAA">
        <w:t>hich correspond to the</w:t>
      </w:r>
      <w:r w:rsidR="00D91D64">
        <w:t xml:space="preserve"> </w:t>
      </w:r>
      <w:r w:rsidR="005A6BAA">
        <w:t xml:space="preserve">period with the </w:t>
      </w:r>
      <w:r w:rsidR="00A00C20">
        <w:t>high</w:t>
      </w:r>
      <w:r w:rsidR="005A6BAA">
        <w:t>est</w:t>
      </w:r>
      <w:r w:rsidR="00A00C20">
        <w:t xml:space="preserve"> burdens.</w:t>
      </w:r>
    </w:p>
    <w:p w14:paraId="48F01D7D" w14:textId="05F46447" w:rsidR="002E74EC" w:rsidRDefault="005A6BAA" w:rsidP="0032248F">
      <w:r w:rsidRPr="005A6BAA">
        <w:t>Below is a list of the types of respondents for which updated estimated respondent numbers were used to develop burden estimates</w:t>
      </w:r>
      <w:r w:rsidR="002E74EC" w:rsidRPr="002E74EC">
        <w:t>:</w:t>
      </w:r>
    </w:p>
    <w:p w14:paraId="1561B5D1" w14:textId="6E1771B8" w:rsidR="002E74EC" w:rsidRDefault="002E74EC" w:rsidP="0017120E">
      <w:pPr>
        <w:pStyle w:val="ListParagraph"/>
        <w:numPr>
          <w:ilvl w:val="0"/>
          <w:numId w:val="39"/>
        </w:numPr>
      </w:pPr>
      <w:r>
        <w:t xml:space="preserve">Total </w:t>
      </w:r>
      <w:r w:rsidR="00C95173">
        <w:t xml:space="preserve">power </w:t>
      </w:r>
      <w:r>
        <w:t>plants</w:t>
      </w:r>
      <w:r w:rsidR="00784FA2">
        <w:t>;</w:t>
      </w:r>
      <w:r>
        <w:t xml:space="preserve"> </w:t>
      </w:r>
    </w:p>
    <w:p w14:paraId="6088BD09" w14:textId="27A97B44" w:rsidR="002E74EC" w:rsidRDefault="002E74EC" w:rsidP="0017120E">
      <w:pPr>
        <w:pStyle w:val="ListParagraph"/>
        <w:numPr>
          <w:ilvl w:val="0"/>
          <w:numId w:val="39"/>
        </w:numPr>
      </w:pPr>
      <w:r>
        <w:t xml:space="preserve">Total </w:t>
      </w:r>
      <w:r w:rsidR="00C95173">
        <w:t xml:space="preserve">power </w:t>
      </w:r>
      <w:r>
        <w:t xml:space="preserve">plants with </w:t>
      </w:r>
      <w:r w:rsidR="00C95173">
        <w:t xml:space="preserve">a </w:t>
      </w:r>
      <w:r w:rsidR="005E4876">
        <w:t>design intake flow (</w:t>
      </w:r>
      <w:r>
        <w:t>DIF</w:t>
      </w:r>
      <w:r w:rsidR="005E4876">
        <w:t>)</w:t>
      </w:r>
      <w:r>
        <w:t xml:space="preserve"> greater than 50 MGD</w:t>
      </w:r>
      <w:r w:rsidR="00784FA2">
        <w:t>;</w:t>
      </w:r>
    </w:p>
    <w:p w14:paraId="78C8DF41" w14:textId="360F258B" w:rsidR="002E74EC" w:rsidRDefault="002E74EC" w:rsidP="0017120E">
      <w:pPr>
        <w:pStyle w:val="ListParagraph"/>
        <w:numPr>
          <w:ilvl w:val="0"/>
          <w:numId w:val="39"/>
        </w:numPr>
      </w:pPr>
      <w:r>
        <w:t xml:space="preserve">Total power plants with </w:t>
      </w:r>
      <w:r w:rsidR="00C95173">
        <w:t>an</w:t>
      </w:r>
      <w:r w:rsidR="007A59E5">
        <w:t xml:space="preserve"> actual intake flow</w:t>
      </w:r>
      <w:r w:rsidR="00C95173">
        <w:t xml:space="preserve"> </w:t>
      </w:r>
      <w:r w:rsidR="007A59E5">
        <w:t>(</w:t>
      </w:r>
      <w:r>
        <w:t>AIF</w:t>
      </w:r>
      <w:r w:rsidR="007A59E5">
        <w:t>)</w:t>
      </w:r>
      <w:r>
        <w:t xml:space="preserve"> greater than 125 MGD</w:t>
      </w:r>
      <w:r w:rsidR="00784FA2">
        <w:t>;</w:t>
      </w:r>
    </w:p>
    <w:p w14:paraId="4D29AA69" w14:textId="0BF020C9" w:rsidR="002E74EC" w:rsidRDefault="002E74EC" w:rsidP="0017120E">
      <w:pPr>
        <w:pStyle w:val="ListParagraph"/>
        <w:numPr>
          <w:ilvl w:val="0"/>
          <w:numId w:val="39"/>
        </w:numPr>
      </w:pPr>
      <w:r>
        <w:t xml:space="preserve">Total </w:t>
      </w:r>
      <w:r w:rsidR="00C95173">
        <w:t xml:space="preserve">manufacturers </w:t>
      </w:r>
      <w:r>
        <w:t>with cooling water</w:t>
      </w:r>
      <w:r w:rsidR="00784FA2">
        <w:t>;</w:t>
      </w:r>
    </w:p>
    <w:p w14:paraId="527B6A44" w14:textId="16266CF4" w:rsidR="002E74EC" w:rsidRDefault="002E74EC" w:rsidP="0017120E">
      <w:pPr>
        <w:pStyle w:val="ListParagraph"/>
        <w:numPr>
          <w:ilvl w:val="0"/>
          <w:numId w:val="39"/>
        </w:numPr>
      </w:pPr>
      <w:r>
        <w:t xml:space="preserve">Total </w:t>
      </w:r>
      <w:r w:rsidR="00C95173">
        <w:t xml:space="preserve">manufacturers </w:t>
      </w:r>
      <w:r>
        <w:t xml:space="preserve">with </w:t>
      </w:r>
      <w:r w:rsidR="00C95173">
        <w:t xml:space="preserve">an </w:t>
      </w:r>
      <w:r>
        <w:t>AIF greater than 125 MGD</w:t>
      </w:r>
      <w:r w:rsidR="00784FA2">
        <w:t>;</w:t>
      </w:r>
    </w:p>
    <w:p w14:paraId="63A890A9" w14:textId="5B2E8D61" w:rsidR="002E74EC" w:rsidRDefault="002E74EC" w:rsidP="0017120E">
      <w:pPr>
        <w:pStyle w:val="ListParagraph"/>
        <w:numPr>
          <w:ilvl w:val="0"/>
          <w:numId w:val="39"/>
        </w:numPr>
      </w:pPr>
      <w:r>
        <w:t>Annual new power plant units</w:t>
      </w:r>
      <w:r w:rsidR="00784FA2">
        <w:t>; and</w:t>
      </w:r>
    </w:p>
    <w:p w14:paraId="05AA0FBF" w14:textId="77777777" w:rsidR="0085470C" w:rsidRDefault="002E74EC" w:rsidP="0017120E">
      <w:pPr>
        <w:pStyle w:val="ListParagraph"/>
        <w:numPr>
          <w:ilvl w:val="0"/>
          <w:numId w:val="39"/>
        </w:numPr>
      </w:pPr>
      <w:r>
        <w:t>Annual new manufacturer units</w:t>
      </w:r>
      <w:r w:rsidR="00784FA2">
        <w:t>.</w:t>
      </w:r>
    </w:p>
    <w:p w14:paraId="56F3FE4F" w14:textId="77777777" w:rsidR="0085470C" w:rsidRDefault="005A6BAA" w:rsidP="0017120E">
      <w:r>
        <w:t>B</w:t>
      </w:r>
      <w:r w:rsidR="003573E0" w:rsidRPr="003573E0">
        <w:t xml:space="preserve">urden estimates were derived </w:t>
      </w:r>
      <w:r w:rsidR="00543C13">
        <w:t xml:space="preserve">from the previous ICR </w:t>
      </w:r>
      <w:r w:rsidR="003573E0" w:rsidRPr="003573E0">
        <w:t>for each respondent type</w:t>
      </w:r>
      <w:r>
        <w:t xml:space="preserve"> and</w:t>
      </w:r>
      <w:r w:rsidR="003573E0" w:rsidRPr="003573E0">
        <w:t xml:space="preserve"> were updated using the current estimate of the number of each respondent type</w:t>
      </w:r>
      <w:r>
        <w:t xml:space="preserve"> (see Appendix D)</w:t>
      </w:r>
      <w:r w:rsidR="003573E0">
        <w:t xml:space="preserve">. </w:t>
      </w:r>
    </w:p>
    <w:p w14:paraId="789552E3" w14:textId="77777777" w:rsidR="0085470C" w:rsidRDefault="00547D47" w:rsidP="0017120E">
      <w:r w:rsidRPr="00786C04">
        <w:rPr>
          <w:i/>
        </w:rPr>
        <w:t>Permittees.</w:t>
      </w:r>
      <w:r>
        <w:rPr>
          <w:i/>
        </w:rPr>
        <w:t xml:space="preserve"> </w:t>
      </w:r>
      <w:r w:rsidR="003573E0">
        <w:t>T</w:t>
      </w:r>
      <w:r w:rsidR="004832AB" w:rsidRPr="004832AB">
        <w:t>able A.</w:t>
      </w:r>
      <w:r w:rsidR="004832AB">
        <w:t>1</w:t>
      </w:r>
      <w:r w:rsidR="007F3A2F">
        <w:t>5</w:t>
      </w:r>
      <w:r w:rsidR="004832AB">
        <w:t xml:space="preserve"> </w:t>
      </w:r>
      <w:r w:rsidR="004832AB" w:rsidRPr="004832AB">
        <w:t>presents the estimated burden hours and frequency per facility for first time permit renewal applications and initial c</w:t>
      </w:r>
      <w:r w:rsidR="004832AB">
        <w:t>ompliance activities. Table A.1</w:t>
      </w:r>
      <w:r w:rsidR="007F3A2F">
        <w:t>6</w:t>
      </w:r>
      <w:r w:rsidR="004832AB" w:rsidRPr="004832AB">
        <w:t xml:space="preserve"> presents the estimated burden hours and frequency per facility for recurring activities that apply to all new CWIS facilities.</w:t>
      </w:r>
      <w:r w:rsidR="00710578">
        <w:t xml:space="preserve"> </w:t>
      </w:r>
    </w:p>
    <w:p w14:paraId="3FC676B3" w14:textId="20B5C6B8" w:rsidR="003573E0" w:rsidRDefault="003573E0" w:rsidP="00871F94">
      <w:pPr>
        <w:pStyle w:val="Caption"/>
      </w:pPr>
      <w:r>
        <w:t>Table A.1</w:t>
      </w:r>
      <w:r w:rsidR="007F3A2F">
        <w:t>5</w:t>
      </w:r>
      <w:r w:rsidR="004832AB">
        <w:t xml:space="preserve"> </w:t>
      </w:r>
      <w:r w:rsidR="004832AB" w:rsidRPr="004832AB">
        <w:t xml:space="preserve">Estimated </w:t>
      </w:r>
      <w:r w:rsidR="00524E71">
        <w:t>p</w:t>
      </w:r>
      <w:r w:rsidR="004832AB">
        <w:t xml:space="preserve">er </w:t>
      </w:r>
      <w:r w:rsidR="00C95173">
        <w:t>facility b</w:t>
      </w:r>
      <w:r w:rsidR="00C95173" w:rsidRPr="004832AB">
        <w:t xml:space="preserve">urden </w:t>
      </w:r>
      <w:r w:rsidR="00C95173">
        <w:t>h</w:t>
      </w:r>
      <w:r w:rsidR="00C95173" w:rsidRPr="004832AB">
        <w:t xml:space="preserve">ours </w:t>
      </w:r>
      <w:r w:rsidR="004832AB">
        <w:t>an</w:t>
      </w:r>
      <w:r w:rsidR="004832AB" w:rsidRPr="004832AB">
        <w:t xml:space="preserve">d </w:t>
      </w:r>
      <w:r w:rsidR="00C95173">
        <w:t>f</w:t>
      </w:r>
      <w:r w:rsidR="00C95173" w:rsidRPr="004832AB">
        <w:t xml:space="preserve">requency </w:t>
      </w:r>
      <w:r w:rsidR="004832AB">
        <w:t>f</w:t>
      </w:r>
      <w:r w:rsidR="004832AB" w:rsidRPr="004832AB">
        <w:t xml:space="preserve">or </w:t>
      </w:r>
      <w:r w:rsidR="00C95173">
        <w:t>f</w:t>
      </w:r>
      <w:r w:rsidR="00C95173" w:rsidRPr="004832AB">
        <w:t xml:space="preserve">irst </w:t>
      </w:r>
      <w:r w:rsidR="00C95173">
        <w:t>t</w:t>
      </w:r>
      <w:r w:rsidR="00C95173" w:rsidRPr="004832AB">
        <w:t xml:space="preserve">ime </w:t>
      </w:r>
      <w:r w:rsidR="00C95173">
        <w:t>p</w:t>
      </w:r>
      <w:r w:rsidR="00C95173" w:rsidRPr="004832AB">
        <w:t xml:space="preserve">ermit </w:t>
      </w:r>
      <w:r w:rsidR="00C95173">
        <w:t>r</w:t>
      </w:r>
      <w:r w:rsidR="00C95173" w:rsidRPr="004832AB">
        <w:t xml:space="preserve">enewal </w:t>
      </w:r>
      <w:r w:rsidR="00C95173">
        <w:t>a</w:t>
      </w:r>
      <w:r w:rsidR="00C95173" w:rsidRPr="004832AB">
        <w:t xml:space="preserve">pplications </w:t>
      </w:r>
      <w:r w:rsidR="004832AB">
        <w:t>a</w:t>
      </w:r>
      <w:r w:rsidR="004832AB" w:rsidRPr="004832AB">
        <w:t xml:space="preserve">nd </w:t>
      </w:r>
      <w:r w:rsidR="00C95173">
        <w:t>i</w:t>
      </w:r>
      <w:r w:rsidR="00C95173" w:rsidRPr="004832AB">
        <w:t xml:space="preserve">nitial </w:t>
      </w:r>
      <w:r w:rsidR="00C95173">
        <w:t>c</w:t>
      </w:r>
      <w:r w:rsidR="00C95173" w:rsidRPr="004832AB">
        <w:t xml:space="preserve">ompliance </w:t>
      </w:r>
      <w:r w:rsidR="00C95173">
        <w:t>a</w:t>
      </w:r>
      <w:r w:rsidR="00C95173" w:rsidRPr="004832AB">
        <w:t>ctivities</w:t>
      </w:r>
    </w:p>
    <w:tbl>
      <w:tblPr>
        <w:tblStyle w:val="TableGrid"/>
        <w:tblW w:w="0" w:type="auto"/>
        <w:tblLook w:val="04A0" w:firstRow="1" w:lastRow="0" w:firstColumn="1" w:lastColumn="0" w:noHBand="0" w:noVBand="1"/>
      </w:tblPr>
      <w:tblGrid>
        <w:gridCol w:w="4536"/>
        <w:gridCol w:w="3433"/>
        <w:gridCol w:w="1381"/>
      </w:tblGrid>
      <w:tr w:rsidR="00E75319" w14:paraId="42244884" w14:textId="77777777" w:rsidTr="003D16AA">
        <w:tc>
          <w:tcPr>
            <w:tcW w:w="4536" w:type="dxa"/>
            <w:shd w:val="clear" w:color="auto" w:fill="D9D9D9" w:themeFill="background1" w:themeFillShade="D9"/>
          </w:tcPr>
          <w:p w14:paraId="380043C9" w14:textId="57AC46A3" w:rsidR="00E75319" w:rsidRPr="00547D47" w:rsidRDefault="00ED4B49" w:rsidP="00A30867">
            <w:pPr>
              <w:pStyle w:val="TableTitle"/>
            </w:pPr>
            <w:r w:rsidRPr="00547D47">
              <w:t xml:space="preserve">Initial </w:t>
            </w:r>
            <w:r w:rsidR="00C95173" w:rsidRPr="00547D47">
              <w:t>permittee application activity</w:t>
            </w:r>
          </w:p>
        </w:tc>
        <w:tc>
          <w:tcPr>
            <w:tcW w:w="3433" w:type="dxa"/>
            <w:shd w:val="clear" w:color="auto" w:fill="D9D9D9" w:themeFill="background1" w:themeFillShade="D9"/>
          </w:tcPr>
          <w:p w14:paraId="7D355566" w14:textId="538EDFE4" w:rsidR="00E75319" w:rsidRPr="00547D47" w:rsidRDefault="00E75319" w:rsidP="00A30867">
            <w:pPr>
              <w:pStyle w:val="TableTitle"/>
            </w:pPr>
            <w:r w:rsidRPr="00547D47">
              <w:t>Frequency</w:t>
            </w:r>
          </w:p>
        </w:tc>
        <w:tc>
          <w:tcPr>
            <w:tcW w:w="1381" w:type="dxa"/>
            <w:shd w:val="clear" w:color="auto" w:fill="D9D9D9" w:themeFill="background1" w:themeFillShade="D9"/>
          </w:tcPr>
          <w:p w14:paraId="021A3307" w14:textId="2B302245" w:rsidR="00E75319" w:rsidRPr="00547D47" w:rsidRDefault="00E75319" w:rsidP="00A30867">
            <w:pPr>
              <w:pStyle w:val="TableTitle"/>
            </w:pPr>
            <w:r w:rsidRPr="00547D47">
              <w:t>Burden (hours)</w:t>
            </w:r>
          </w:p>
        </w:tc>
      </w:tr>
      <w:tr w:rsidR="00E75319" w14:paraId="56A71C98" w14:textId="77777777" w:rsidTr="00A30867">
        <w:tc>
          <w:tcPr>
            <w:tcW w:w="4536" w:type="dxa"/>
          </w:tcPr>
          <w:p w14:paraId="04FED9E8" w14:textId="42AF8DC1" w:rsidR="00E75319" w:rsidRPr="00547D47" w:rsidRDefault="00E75319" w:rsidP="00A30867">
            <w:pPr>
              <w:pStyle w:val="Tables"/>
            </w:pPr>
            <w:r w:rsidRPr="00547D47">
              <w:t xml:space="preserve">Permit </w:t>
            </w:r>
            <w:r w:rsidR="00C95173" w:rsidRPr="00547D47">
              <w:t xml:space="preserve">application activities </w:t>
            </w:r>
            <w:r w:rsidRPr="00547D47">
              <w:t>for power plants with DIF≥50 MG w/ AIF&lt;125 MGD</w:t>
            </w:r>
          </w:p>
        </w:tc>
        <w:tc>
          <w:tcPr>
            <w:tcW w:w="3433" w:type="dxa"/>
          </w:tcPr>
          <w:p w14:paraId="3FFA5D9E" w14:textId="31019D69" w:rsidR="00E75319" w:rsidRPr="00547D47" w:rsidRDefault="00E75319" w:rsidP="00A30867">
            <w:pPr>
              <w:pStyle w:val="Tables"/>
            </w:pPr>
            <w:r w:rsidRPr="00547D47">
              <w:t>Once per first permit renewal</w:t>
            </w:r>
          </w:p>
        </w:tc>
        <w:tc>
          <w:tcPr>
            <w:tcW w:w="1381" w:type="dxa"/>
          </w:tcPr>
          <w:p w14:paraId="02E6430E" w14:textId="7B882FC1" w:rsidR="00E75319" w:rsidRPr="00547D47" w:rsidRDefault="001F6C5A" w:rsidP="00A30867">
            <w:pPr>
              <w:pStyle w:val="Tables"/>
              <w:jc w:val="right"/>
              <w:rPr>
                <w:highlight w:val="yellow"/>
              </w:rPr>
            </w:pPr>
            <w:r w:rsidRPr="00547D47">
              <w:t>7</w:t>
            </w:r>
            <w:r w:rsidR="001D0745" w:rsidRPr="00547D47">
              <w:t>0</w:t>
            </w:r>
            <w:r w:rsidRPr="00547D47">
              <w:t>9</w:t>
            </w:r>
          </w:p>
        </w:tc>
      </w:tr>
      <w:tr w:rsidR="00E75319" w14:paraId="2E1A0661" w14:textId="77777777" w:rsidTr="00A30867">
        <w:tc>
          <w:tcPr>
            <w:tcW w:w="4536" w:type="dxa"/>
          </w:tcPr>
          <w:p w14:paraId="6400C903" w14:textId="34890FB7" w:rsidR="00E75319" w:rsidRPr="00547D47" w:rsidRDefault="001D0745" w:rsidP="00A30867">
            <w:pPr>
              <w:pStyle w:val="Tables"/>
            </w:pPr>
            <w:r w:rsidRPr="00547D47">
              <w:t xml:space="preserve">Permit </w:t>
            </w:r>
            <w:r w:rsidR="00C95173" w:rsidRPr="00547D47">
              <w:t xml:space="preserve">application activities </w:t>
            </w:r>
            <w:r w:rsidRPr="00547D47">
              <w:t>for power plants with DIF≥50 MGD w/ AIF&gt;125 MGD</w:t>
            </w:r>
          </w:p>
        </w:tc>
        <w:tc>
          <w:tcPr>
            <w:tcW w:w="3433" w:type="dxa"/>
          </w:tcPr>
          <w:p w14:paraId="0D2C681C" w14:textId="538C2523" w:rsidR="00E75319" w:rsidRPr="00547D47" w:rsidRDefault="00E75319" w:rsidP="00A30867">
            <w:pPr>
              <w:pStyle w:val="Tables"/>
            </w:pPr>
            <w:r w:rsidRPr="00547D47">
              <w:t>Once per first permit renewal</w:t>
            </w:r>
          </w:p>
        </w:tc>
        <w:tc>
          <w:tcPr>
            <w:tcW w:w="1381" w:type="dxa"/>
          </w:tcPr>
          <w:p w14:paraId="7BA2C2D9" w14:textId="46E8F269" w:rsidR="00E75319" w:rsidRPr="00547D47" w:rsidRDefault="001F6C5A" w:rsidP="00A30867">
            <w:pPr>
              <w:pStyle w:val="Tables"/>
              <w:jc w:val="right"/>
              <w:rPr>
                <w:highlight w:val="yellow"/>
              </w:rPr>
            </w:pPr>
            <w:r w:rsidRPr="00547D47">
              <w:t>2,201</w:t>
            </w:r>
          </w:p>
        </w:tc>
      </w:tr>
      <w:tr w:rsidR="00E75319" w14:paraId="03A8E66A" w14:textId="77777777" w:rsidTr="00A30867">
        <w:tc>
          <w:tcPr>
            <w:tcW w:w="4536" w:type="dxa"/>
          </w:tcPr>
          <w:p w14:paraId="37738158" w14:textId="76F08100" w:rsidR="00E75319" w:rsidRPr="00C13BF0" w:rsidRDefault="001D0745" w:rsidP="00A30867">
            <w:pPr>
              <w:pStyle w:val="Tables"/>
            </w:pPr>
            <w:r w:rsidRPr="00C13BF0">
              <w:t xml:space="preserve">Permit </w:t>
            </w:r>
            <w:r w:rsidR="00C95173" w:rsidRPr="00C13BF0">
              <w:t xml:space="preserve">application activities </w:t>
            </w:r>
            <w:r w:rsidRPr="00C13BF0">
              <w:t>for power plants with DIF&gt; 2 MGD and ≤ 50 MGD and manufacturers &gt; 2 MGD w/ AIF&lt;125 MGD</w:t>
            </w:r>
          </w:p>
        </w:tc>
        <w:tc>
          <w:tcPr>
            <w:tcW w:w="3433" w:type="dxa"/>
          </w:tcPr>
          <w:p w14:paraId="6535D918" w14:textId="02D33B83" w:rsidR="00E75319" w:rsidRPr="00C13BF0" w:rsidRDefault="00E75319" w:rsidP="00A30867">
            <w:pPr>
              <w:pStyle w:val="Tables"/>
            </w:pPr>
            <w:r w:rsidRPr="00C13BF0">
              <w:t>Once per first permit renewal</w:t>
            </w:r>
          </w:p>
        </w:tc>
        <w:tc>
          <w:tcPr>
            <w:tcW w:w="1381" w:type="dxa"/>
          </w:tcPr>
          <w:p w14:paraId="5DD65C89" w14:textId="427D8E6A" w:rsidR="00E75319" w:rsidRPr="00C13BF0" w:rsidRDefault="001F6C5A" w:rsidP="00A30867">
            <w:pPr>
              <w:pStyle w:val="Tables"/>
              <w:jc w:val="right"/>
              <w:rPr>
                <w:highlight w:val="yellow"/>
              </w:rPr>
            </w:pPr>
            <w:r w:rsidRPr="00C13BF0">
              <w:t>481</w:t>
            </w:r>
          </w:p>
        </w:tc>
      </w:tr>
      <w:tr w:rsidR="00E75319" w14:paraId="3B5471A9" w14:textId="77777777" w:rsidTr="00A30867">
        <w:tc>
          <w:tcPr>
            <w:tcW w:w="4536" w:type="dxa"/>
          </w:tcPr>
          <w:p w14:paraId="019C208A" w14:textId="0D644B20" w:rsidR="00E75319" w:rsidRPr="00C13BF0" w:rsidRDefault="0024383C" w:rsidP="00A30867">
            <w:pPr>
              <w:pStyle w:val="Tables"/>
            </w:pPr>
            <w:r w:rsidRPr="00C13BF0">
              <w:t xml:space="preserve">Permit </w:t>
            </w:r>
            <w:r w:rsidR="00C95173" w:rsidRPr="00C13BF0">
              <w:t xml:space="preserve">application activities </w:t>
            </w:r>
            <w:r w:rsidRPr="00C13BF0">
              <w:t>for manufacturers &gt; 2 MGD w/ AIF&gt;125 MGD</w:t>
            </w:r>
          </w:p>
        </w:tc>
        <w:tc>
          <w:tcPr>
            <w:tcW w:w="3433" w:type="dxa"/>
          </w:tcPr>
          <w:p w14:paraId="5D99122B" w14:textId="3719D85D" w:rsidR="00E75319" w:rsidRPr="00C13BF0" w:rsidRDefault="00E75319" w:rsidP="00A30867">
            <w:pPr>
              <w:pStyle w:val="Tables"/>
            </w:pPr>
            <w:r w:rsidRPr="00C13BF0">
              <w:t>Once per first permit renewal</w:t>
            </w:r>
          </w:p>
        </w:tc>
        <w:tc>
          <w:tcPr>
            <w:tcW w:w="1381" w:type="dxa"/>
          </w:tcPr>
          <w:p w14:paraId="545AD2C3" w14:textId="71A88201" w:rsidR="00E75319" w:rsidRPr="00C13BF0" w:rsidRDefault="001F6C5A" w:rsidP="00A30867">
            <w:pPr>
              <w:pStyle w:val="Tables"/>
              <w:jc w:val="right"/>
              <w:rPr>
                <w:highlight w:val="yellow"/>
              </w:rPr>
            </w:pPr>
            <w:r w:rsidRPr="00C13BF0">
              <w:t>2,531</w:t>
            </w:r>
          </w:p>
        </w:tc>
      </w:tr>
      <w:tr w:rsidR="00E75319" w14:paraId="7E298A11" w14:textId="77777777" w:rsidTr="00A30867">
        <w:tc>
          <w:tcPr>
            <w:tcW w:w="4536" w:type="dxa"/>
          </w:tcPr>
          <w:p w14:paraId="31992CAC" w14:textId="7A8852FA" w:rsidR="00E75319" w:rsidRPr="00C13BF0" w:rsidRDefault="0024383C" w:rsidP="00A30867">
            <w:pPr>
              <w:pStyle w:val="Tables"/>
            </w:pPr>
            <w:r w:rsidRPr="00C13BF0">
              <w:t xml:space="preserve">Permit </w:t>
            </w:r>
            <w:r w:rsidR="00C95173" w:rsidRPr="00C13BF0">
              <w:t xml:space="preserve">application activities </w:t>
            </w:r>
            <w:r w:rsidRPr="00C13BF0">
              <w:t xml:space="preserve">for </w:t>
            </w:r>
            <w:r w:rsidR="00C95173" w:rsidRPr="00C13BF0">
              <w:t xml:space="preserve">new generating </w:t>
            </w:r>
            <w:r w:rsidRPr="00C13BF0">
              <w:t xml:space="preserve">or </w:t>
            </w:r>
            <w:r w:rsidR="00C95173" w:rsidRPr="00C13BF0">
              <w:t>manufacturing units</w:t>
            </w:r>
          </w:p>
        </w:tc>
        <w:tc>
          <w:tcPr>
            <w:tcW w:w="3433" w:type="dxa"/>
          </w:tcPr>
          <w:p w14:paraId="5C5398E0" w14:textId="39A671C8" w:rsidR="00E75319" w:rsidRPr="00C13BF0" w:rsidRDefault="0024383C" w:rsidP="00A30867">
            <w:pPr>
              <w:pStyle w:val="Tables"/>
            </w:pPr>
            <w:r w:rsidRPr="00C13BF0">
              <w:t>Once per new unit</w:t>
            </w:r>
          </w:p>
        </w:tc>
        <w:tc>
          <w:tcPr>
            <w:tcW w:w="1381" w:type="dxa"/>
          </w:tcPr>
          <w:p w14:paraId="0E1CB3C7" w14:textId="17738CB0" w:rsidR="00E75319" w:rsidRPr="00C13BF0" w:rsidRDefault="001F6C5A" w:rsidP="00A30867">
            <w:pPr>
              <w:pStyle w:val="Tables"/>
              <w:jc w:val="right"/>
              <w:rPr>
                <w:highlight w:val="yellow"/>
              </w:rPr>
            </w:pPr>
            <w:r w:rsidRPr="00C13BF0">
              <w:t>260</w:t>
            </w:r>
          </w:p>
        </w:tc>
      </w:tr>
    </w:tbl>
    <w:p w14:paraId="017603A5" w14:textId="77777777" w:rsidR="0048771B" w:rsidRDefault="0048771B" w:rsidP="00DE1B27">
      <w:pPr>
        <w:spacing w:after="0"/>
      </w:pPr>
    </w:p>
    <w:p w14:paraId="44B15A28" w14:textId="4475D864" w:rsidR="00DE1B3A" w:rsidRDefault="00DE1B3A" w:rsidP="00871F94">
      <w:pPr>
        <w:pStyle w:val="Caption"/>
      </w:pPr>
      <w:r>
        <w:t>Table A.1</w:t>
      </w:r>
      <w:r w:rsidR="007F3A2F">
        <w:t>6</w:t>
      </w:r>
      <w:r w:rsidR="004832AB" w:rsidRPr="004832AB">
        <w:t xml:space="preserve"> Estimated </w:t>
      </w:r>
      <w:r w:rsidR="004832AB">
        <w:t xml:space="preserve">per </w:t>
      </w:r>
      <w:r w:rsidR="00C95173">
        <w:t>facility b</w:t>
      </w:r>
      <w:r w:rsidR="00C95173" w:rsidRPr="004832AB">
        <w:t xml:space="preserve">urden </w:t>
      </w:r>
      <w:r w:rsidR="00C95173">
        <w:t>h</w:t>
      </w:r>
      <w:r w:rsidR="00C95173" w:rsidRPr="004832AB">
        <w:t xml:space="preserve">ours </w:t>
      </w:r>
      <w:r w:rsidR="004832AB">
        <w:t>a</w:t>
      </w:r>
      <w:r w:rsidR="004832AB" w:rsidRPr="004832AB">
        <w:t xml:space="preserve">nd </w:t>
      </w:r>
      <w:r w:rsidR="00C95173">
        <w:t>f</w:t>
      </w:r>
      <w:r w:rsidR="00C95173" w:rsidRPr="004832AB">
        <w:t xml:space="preserve">requency </w:t>
      </w:r>
      <w:r w:rsidR="004832AB">
        <w:t>f</w:t>
      </w:r>
      <w:r w:rsidR="004832AB" w:rsidRPr="004832AB">
        <w:t xml:space="preserve">or </w:t>
      </w:r>
      <w:r w:rsidR="00C95173">
        <w:t>r</w:t>
      </w:r>
      <w:r w:rsidR="00C95173" w:rsidRPr="004832AB">
        <w:t xml:space="preserve">ecurring </w:t>
      </w:r>
      <w:r w:rsidR="00C95173">
        <w:t>a</w:t>
      </w:r>
      <w:r w:rsidR="00C95173" w:rsidRPr="004832AB">
        <w:t xml:space="preserve">ctivities </w:t>
      </w:r>
      <w:r w:rsidR="00C95173">
        <w:t>t</w:t>
      </w:r>
      <w:r w:rsidR="00C95173" w:rsidRPr="004832AB">
        <w:t xml:space="preserve">hat </w:t>
      </w:r>
      <w:r w:rsidR="00C95173">
        <w:t>a</w:t>
      </w:r>
      <w:r w:rsidR="00C95173" w:rsidRPr="004832AB">
        <w:t xml:space="preserve">pply </w:t>
      </w:r>
      <w:r w:rsidR="00812A7C">
        <w:t>t</w:t>
      </w:r>
      <w:r w:rsidR="004832AB" w:rsidRPr="004832AB">
        <w:t xml:space="preserve">o </w:t>
      </w:r>
      <w:r w:rsidR="00C95173">
        <w:t>a</w:t>
      </w:r>
      <w:r w:rsidR="00C95173" w:rsidRPr="004832AB">
        <w:t xml:space="preserve">ll </w:t>
      </w:r>
      <w:r w:rsidR="00C95173">
        <w:t>existing</w:t>
      </w:r>
      <w:r w:rsidR="00C95173" w:rsidRPr="004832AB">
        <w:t xml:space="preserve"> </w:t>
      </w:r>
      <w:r w:rsidR="004832AB" w:rsidRPr="004832AB">
        <w:t xml:space="preserve">CWIS </w:t>
      </w:r>
      <w:r w:rsidR="00C95173">
        <w:t>f</w:t>
      </w:r>
      <w:r w:rsidR="00C95173" w:rsidRPr="004832AB">
        <w:t>acilities</w:t>
      </w:r>
    </w:p>
    <w:tbl>
      <w:tblPr>
        <w:tblStyle w:val="TableGrid"/>
        <w:tblW w:w="0" w:type="auto"/>
        <w:tblLook w:val="04A0" w:firstRow="1" w:lastRow="0" w:firstColumn="1" w:lastColumn="0" w:noHBand="0" w:noVBand="1"/>
      </w:tblPr>
      <w:tblGrid>
        <w:gridCol w:w="4762"/>
        <w:gridCol w:w="3598"/>
        <w:gridCol w:w="990"/>
      </w:tblGrid>
      <w:tr w:rsidR="00ED4B49" w14:paraId="3A44E60A" w14:textId="77777777" w:rsidTr="003D16AA">
        <w:tc>
          <w:tcPr>
            <w:tcW w:w="4762" w:type="dxa"/>
            <w:shd w:val="clear" w:color="auto" w:fill="D9D9D9" w:themeFill="background1" w:themeFillShade="D9"/>
          </w:tcPr>
          <w:p w14:paraId="4A911703" w14:textId="611B8141" w:rsidR="00ED4B49" w:rsidRPr="00C13BF0" w:rsidRDefault="00ED4B49" w:rsidP="00A30867">
            <w:pPr>
              <w:pStyle w:val="TableTitle"/>
            </w:pPr>
            <w:r w:rsidRPr="00C13BF0">
              <w:t xml:space="preserve">Annual </w:t>
            </w:r>
            <w:r w:rsidR="00C95173" w:rsidRPr="00C13BF0">
              <w:t>activities</w:t>
            </w:r>
          </w:p>
        </w:tc>
        <w:tc>
          <w:tcPr>
            <w:tcW w:w="3598" w:type="dxa"/>
            <w:shd w:val="clear" w:color="auto" w:fill="D9D9D9" w:themeFill="background1" w:themeFillShade="D9"/>
          </w:tcPr>
          <w:p w14:paraId="3B2CAB27" w14:textId="58E33E63" w:rsidR="00ED4B49" w:rsidRPr="00C13BF0" w:rsidRDefault="00ED4B49" w:rsidP="00A30867">
            <w:pPr>
              <w:pStyle w:val="TableTitle"/>
            </w:pPr>
            <w:r w:rsidRPr="00C13BF0">
              <w:t>Frequency</w:t>
            </w:r>
          </w:p>
        </w:tc>
        <w:tc>
          <w:tcPr>
            <w:tcW w:w="990" w:type="dxa"/>
            <w:shd w:val="clear" w:color="auto" w:fill="D9D9D9" w:themeFill="background1" w:themeFillShade="D9"/>
          </w:tcPr>
          <w:p w14:paraId="3BAEC193" w14:textId="20DD4218" w:rsidR="00ED4B49" w:rsidRPr="00C13BF0" w:rsidRDefault="00ED4B49" w:rsidP="00A30867">
            <w:pPr>
              <w:pStyle w:val="TableTitle"/>
            </w:pPr>
            <w:r w:rsidRPr="00C13BF0">
              <w:t>Burden (hours)</w:t>
            </w:r>
          </w:p>
        </w:tc>
      </w:tr>
      <w:tr w:rsidR="00ED4B49" w14:paraId="4EC32384" w14:textId="77777777" w:rsidTr="00A30867">
        <w:tc>
          <w:tcPr>
            <w:tcW w:w="4762" w:type="dxa"/>
          </w:tcPr>
          <w:p w14:paraId="0039EBF9" w14:textId="4A01A1E7" w:rsidR="00ED4B49" w:rsidRPr="00C13BF0" w:rsidRDefault="00ED4B49" w:rsidP="00A30867">
            <w:pPr>
              <w:pStyle w:val="Tables"/>
            </w:pPr>
            <w:r w:rsidRPr="00C13BF0">
              <w:t xml:space="preserve">Compliance </w:t>
            </w:r>
            <w:r w:rsidR="00C95173" w:rsidRPr="00C13BF0">
              <w:t xml:space="preserve">monitoring </w:t>
            </w:r>
            <w:r w:rsidRPr="00C13BF0">
              <w:t xml:space="preserve">- </w:t>
            </w:r>
            <w:r w:rsidR="00C95173" w:rsidRPr="00C13BF0">
              <w:t xml:space="preserve">all existing facilities </w:t>
            </w:r>
            <w:r w:rsidRPr="00C13BF0">
              <w:t>(power plants and manufacturing)</w:t>
            </w:r>
          </w:p>
        </w:tc>
        <w:tc>
          <w:tcPr>
            <w:tcW w:w="3598" w:type="dxa"/>
          </w:tcPr>
          <w:p w14:paraId="491E56DE" w14:textId="01835220" w:rsidR="00ED4B49" w:rsidRPr="00C13BF0" w:rsidRDefault="00ED4B49" w:rsidP="00A30867">
            <w:pPr>
              <w:pStyle w:val="Tables"/>
            </w:pPr>
            <w:r w:rsidRPr="00C13BF0">
              <w:t>Annual</w:t>
            </w:r>
          </w:p>
        </w:tc>
        <w:tc>
          <w:tcPr>
            <w:tcW w:w="990" w:type="dxa"/>
          </w:tcPr>
          <w:p w14:paraId="2BF77152" w14:textId="1DF0A573" w:rsidR="00ED4B49" w:rsidRPr="00C13BF0" w:rsidRDefault="001D0745" w:rsidP="00A30867">
            <w:pPr>
              <w:pStyle w:val="Tables"/>
              <w:jc w:val="right"/>
            </w:pPr>
            <w:r w:rsidRPr="00C13BF0">
              <w:t>357</w:t>
            </w:r>
          </w:p>
        </w:tc>
      </w:tr>
      <w:tr w:rsidR="00ED4B49" w14:paraId="6AEC8F90" w14:textId="77777777" w:rsidTr="00A30867">
        <w:tc>
          <w:tcPr>
            <w:tcW w:w="4762" w:type="dxa"/>
          </w:tcPr>
          <w:p w14:paraId="2F3658CB" w14:textId="133F2265" w:rsidR="00ED4B49" w:rsidRPr="00C13BF0" w:rsidRDefault="001F6C5A" w:rsidP="00A30867">
            <w:pPr>
              <w:pStyle w:val="Tables"/>
            </w:pPr>
            <w:r w:rsidRPr="00C13BF0">
              <w:t xml:space="preserve">Recurring </w:t>
            </w:r>
            <w:r w:rsidR="00C95173" w:rsidRPr="00C13BF0">
              <w:t xml:space="preserve">reporting </w:t>
            </w:r>
            <w:r w:rsidRPr="00C13BF0">
              <w:t xml:space="preserve">and </w:t>
            </w:r>
            <w:r w:rsidR="00C95173" w:rsidRPr="00C13BF0">
              <w:t xml:space="preserve">recordkeeping </w:t>
            </w:r>
            <w:r w:rsidRPr="00C13BF0">
              <w:t xml:space="preserve">- </w:t>
            </w:r>
            <w:r w:rsidR="00C95173" w:rsidRPr="00C13BF0">
              <w:t xml:space="preserve">existing facilities </w:t>
            </w:r>
            <w:r w:rsidRPr="00C13BF0">
              <w:t>(power plants and manufacturing)</w:t>
            </w:r>
          </w:p>
        </w:tc>
        <w:tc>
          <w:tcPr>
            <w:tcW w:w="3598" w:type="dxa"/>
          </w:tcPr>
          <w:p w14:paraId="52F9356B" w14:textId="42400BE0" w:rsidR="00ED4B49" w:rsidRPr="00C13BF0" w:rsidRDefault="001F6C5A" w:rsidP="00A30867">
            <w:pPr>
              <w:pStyle w:val="Tables"/>
            </w:pPr>
            <w:r w:rsidRPr="00C13BF0">
              <w:t>Annual</w:t>
            </w:r>
          </w:p>
        </w:tc>
        <w:tc>
          <w:tcPr>
            <w:tcW w:w="990" w:type="dxa"/>
          </w:tcPr>
          <w:p w14:paraId="3D832343" w14:textId="2E6C4131" w:rsidR="00ED4B49" w:rsidRPr="00C13BF0" w:rsidRDefault="001D0745" w:rsidP="00A30867">
            <w:pPr>
              <w:pStyle w:val="Tables"/>
              <w:jc w:val="right"/>
            </w:pPr>
            <w:r w:rsidRPr="00C13BF0">
              <w:t>11</w:t>
            </w:r>
          </w:p>
        </w:tc>
      </w:tr>
      <w:tr w:rsidR="00ED4B49" w14:paraId="559284F3" w14:textId="77777777" w:rsidTr="00A30867">
        <w:tc>
          <w:tcPr>
            <w:tcW w:w="4762" w:type="dxa"/>
          </w:tcPr>
          <w:p w14:paraId="104C796E" w14:textId="06046997" w:rsidR="00ED4B49" w:rsidRPr="00C13BF0" w:rsidRDefault="001F6C5A" w:rsidP="00A30867">
            <w:pPr>
              <w:pStyle w:val="Tables"/>
            </w:pPr>
            <w:r w:rsidRPr="00C13BF0">
              <w:t xml:space="preserve">Compliance </w:t>
            </w:r>
            <w:r w:rsidR="00C95173" w:rsidRPr="00C13BF0">
              <w:t xml:space="preserve">monitoring </w:t>
            </w:r>
            <w:r w:rsidRPr="00C13BF0">
              <w:t xml:space="preserve">- </w:t>
            </w:r>
            <w:r w:rsidR="00C95173" w:rsidRPr="00C13BF0">
              <w:t>new units</w:t>
            </w:r>
          </w:p>
        </w:tc>
        <w:tc>
          <w:tcPr>
            <w:tcW w:w="3598" w:type="dxa"/>
          </w:tcPr>
          <w:p w14:paraId="60DB3D03" w14:textId="293FFBF9" w:rsidR="00ED4B49" w:rsidRPr="00C13BF0" w:rsidRDefault="001F6C5A" w:rsidP="00A30867">
            <w:pPr>
              <w:pStyle w:val="Tables"/>
            </w:pPr>
            <w:r w:rsidRPr="00C13BF0">
              <w:t>Annual</w:t>
            </w:r>
          </w:p>
        </w:tc>
        <w:tc>
          <w:tcPr>
            <w:tcW w:w="990" w:type="dxa"/>
          </w:tcPr>
          <w:p w14:paraId="55C083F0" w14:textId="1800E99A" w:rsidR="00ED4B49" w:rsidRPr="00C13BF0" w:rsidRDefault="00173011" w:rsidP="00A30867">
            <w:pPr>
              <w:pStyle w:val="Tables"/>
              <w:jc w:val="right"/>
            </w:pPr>
            <w:r w:rsidRPr="00C13BF0">
              <w:t>90</w:t>
            </w:r>
          </w:p>
        </w:tc>
      </w:tr>
      <w:tr w:rsidR="00ED4B49" w14:paraId="0F9DA9B8" w14:textId="77777777" w:rsidTr="00A30867">
        <w:trPr>
          <w:trHeight w:val="70"/>
        </w:trPr>
        <w:tc>
          <w:tcPr>
            <w:tcW w:w="4762" w:type="dxa"/>
          </w:tcPr>
          <w:p w14:paraId="7103344B" w14:textId="37B2D7AA" w:rsidR="00ED4B49" w:rsidRPr="00C13BF0" w:rsidRDefault="00173011" w:rsidP="00A30867">
            <w:pPr>
              <w:pStyle w:val="Tables"/>
            </w:pPr>
            <w:r w:rsidRPr="00C13BF0">
              <w:t xml:space="preserve">Recurring </w:t>
            </w:r>
            <w:r w:rsidR="00C95173" w:rsidRPr="00C13BF0">
              <w:t xml:space="preserve">reporting </w:t>
            </w:r>
            <w:r w:rsidRPr="00C13BF0">
              <w:t xml:space="preserve">and </w:t>
            </w:r>
            <w:r w:rsidR="00C95173" w:rsidRPr="00C13BF0">
              <w:t xml:space="preserve">recordkeeping </w:t>
            </w:r>
            <w:r w:rsidRPr="00C13BF0">
              <w:t xml:space="preserve">- </w:t>
            </w:r>
            <w:r w:rsidR="00C95173" w:rsidRPr="00C13BF0">
              <w:t>new units</w:t>
            </w:r>
          </w:p>
        </w:tc>
        <w:tc>
          <w:tcPr>
            <w:tcW w:w="3598" w:type="dxa"/>
          </w:tcPr>
          <w:p w14:paraId="22FA0F2B" w14:textId="71C71E16" w:rsidR="00ED4B49" w:rsidRPr="00C13BF0" w:rsidRDefault="004832AB" w:rsidP="00A30867">
            <w:pPr>
              <w:pStyle w:val="Tables"/>
            </w:pPr>
            <w:r w:rsidRPr="00C13BF0">
              <w:t>Annual</w:t>
            </w:r>
          </w:p>
        </w:tc>
        <w:tc>
          <w:tcPr>
            <w:tcW w:w="990" w:type="dxa"/>
          </w:tcPr>
          <w:p w14:paraId="6E24AA14" w14:textId="7B9DF252" w:rsidR="00ED4B49" w:rsidRPr="00C13BF0" w:rsidRDefault="00173011" w:rsidP="00A30867">
            <w:pPr>
              <w:pStyle w:val="Tables"/>
              <w:jc w:val="right"/>
            </w:pPr>
            <w:r w:rsidRPr="00C13BF0">
              <w:t>20</w:t>
            </w:r>
          </w:p>
        </w:tc>
      </w:tr>
    </w:tbl>
    <w:p w14:paraId="5B317375" w14:textId="77777777" w:rsidR="00ED4B49" w:rsidRDefault="00ED4B49" w:rsidP="00DE1B27">
      <w:pPr>
        <w:spacing w:after="0"/>
      </w:pPr>
    </w:p>
    <w:p w14:paraId="64E8D75C" w14:textId="77777777" w:rsidR="0085470C" w:rsidRDefault="00543C13">
      <w:r w:rsidRPr="00786C04">
        <w:rPr>
          <w:i/>
        </w:rPr>
        <w:t>States</w:t>
      </w:r>
      <w:r w:rsidR="001F73E8">
        <w:rPr>
          <w:i/>
        </w:rPr>
        <w:t>/federal</w:t>
      </w:r>
      <w:r w:rsidRPr="00786C04">
        <w:rPr>
          <w:i/>
        </w:rPr>
        <w:t>.</w:t>
      </w:r>
      <w:r w:rsidR="00547D47" w:rsidRPr="00547D47">
        <w:t xml:space="preserve"> </w:t>
      </w:r>
      <w:r w:rsidR="00547D47">
        <w:t>Table A.1</w:t>
      </w:r>
      <w:r w:rsidR="007F3A2F">
        <w:t>7</w:t>
      </w:r>
      <w:r w:rsidR="00547D47">
        <w:t xml:space="preserve"> presents the estimated annual number of responses and burden hours per response for </w:t>
      </w:r>
      <w:r w:rsidR="00627388">
        <w:t>s</w:t>
      </w:r>
      <w:r w:rsidR="00547D47">
        <w:t xml:space="preserve">tate </w:t>
      </w:r>
      <w:r w:rsidR="00627388">
        <w:t>a</w:t>
      </w:r>
      <w:r w:rsidR="00547D47">
        <w:t>gencies</w:t>
      </w:r>
      <w:r w:rsidR="001F73E8">
        <w:t xml:space="preserve"> and EPA</w:t>
      </w:r>
      <w:r w:rsidR="00547D47">
        <w:t>.</w:t>
      </w:r>
    </w:p>
    <w:p w14:paraId="1EAFE73C" w14:textId="1807237B" w:rsidR="00DE1B3A" w:rsidRDefault="00DE1B3A" w:rsidP="00871F94">
      <w:pPr>
        <w:pStyle w:val="Caption"/>
      </w:pPr>
      <w:r>
        <w:t>Table A.1</w:t>
      </w:r>
      <w:r w:rsidR="007F3A2F">
        <w:t>7</w:t>
      </w:r>
      <w:r w:rsidR="00812A7C">
        <w:t xml:space="preserve"> Estimated </w:t>
      </w:r>
      <w:r w:rsidR="00C95173">
        <w:t xml:space="preserve">annual number </w:t>
      </w:r>
      <w:r w:rsidR="00710578">
        <w:t xml:space="preserve">of </w:t>
      </w:r>
      <w:r w:rsidR="00C95173">
        <w:t xml:space="preserve">responses </w:t>
      </w:r>
      <w:r w:rsidR="00710578">
        <w:t xml:space="preserve">and </w:t>
      </w:r>
      <w:r w:rsidR="00C95173">
        <w:t xml:space="preserve">burden </w:t>
      </w:r>
      <w:r w:rsidR="00812A7C">
        <w:t xml:space="preserve">by </w:t>
      </w:r>
      <w:r w:rsidR="00C95173">
        <w:t>facility type</w:t>
      </w:r>
      <w:r w:rsidR="0080699D" w:rsidRPr="0080699D">
        <w:t xml:space="preserve"> </w:t>
      </w:r>
      <w:r w:rsidR="0080699D">
        <w:t xml:space="preserve">for </w:t>
      </w:r>
      <w:r w:rsidR="0080699D" w:rsidRPr="0080699D">
        <w:t>state agenc</w:t>
      </w:r>
      <w:r w:rsidR="0080699D">
        <w:t>ies</w:t>
      </w:r>
      <w:r w:rsidR="0080699D" w:rsidRPr="0080699D">
        <w:t xml:space="preserve"> and EPA</w:t>
      </w:r>
    </w:p>
    <w:tbl>
      <w:tblPr>
        <w:tblStyle w:val="TableGrid"/>
        <w:tblW w:w="9355" w:type="dxa"/>
        <w:tblLook w:val="04A0" w:firstRow="1" w:lastRow="0" w:firstColumn="1" w:lastColumn="0" w:noHBand="0" w:noVBand="1"/>
      </w:tblPr>
      <w:tblGrid>
        <w:gridCol w:w="4405"/>
        <w:gridCol w:w="990"/>
        <w:gridCol w:w="1530"/>
        <w:gridCol w:w="2430"/>
      </w:tblGrid>
      <w:tr w:rsidR="001F73E8" w14:paraId="11E4F375" w14:textId="77777777" w:rsidTr="00A30867">
        <w:tc>
          <w:tcPr>
            <w:tcW w:w="4405" w:type="dxa"/>
            <w:shd w:val="clear" w:color="auto" w:fill="D9D9D9" w:themeFill="background1" w:themeFillShade="D9"/>
          </w:tcPr>
          <w:p w14:paraId="2FAC8ED5" w14:textId="30F1AC57" w:rsidR="001F73E8" w:rsidRPr="00A30867" w:rsidRDefault="001F73E8" w:rsidP="00A30867">
            <w:pPr>
              <w:pStyle w:val="TableTitle"/>
            </w:pPr>
            <w:r w:rsidRPr="00C13BF0">
              <w:t>Facility type</w:t>
            </w:r>
          </w:p>
        </w:tc>
        <w:tc>
          <w:tcPr>
            <w:tcW w:w="2520" w:type="dxa"/>
            <w:gridSpan w:val="2"/>
            <w:shd w:val="clear" w:color="auto" w:fill="D9D9D9" w:themeFill="background1" w:themeFillShade="D9"/>
            <w:vAlign w:val="center"/>
          </w:tcPr>
          <w:p w14:paraId="20DE2673" w14:textId="2B4342E8" w:rsidR="001F73E8" w:rsidRPr="00C13BF0" w:rsidRDefault="001F73E8" w:rsidP="00A30867">
            <w:pPr>
              <w:pStyle w:val="TableTitle"/>
            </w:pPr>
            <w:r w:rsidRPr="00C13BF0">
              <w:t>Average responses/ year</w:t>
            </w:r>
          </w:p>
        </w:tc>
        <w:tc>
          <w:tcPr>
            <w:tcW w:w="2430" w:type="dxa"/>
            <w:shd w:val="clear" w:color="auto" w:fill="D9D9D9" w:themeFill="background1" w:themeFillShade="D9"/>
            <w:vAlign w:val="center"/>
          </w:tcPr>
          <w:p w14:paraId="3FF0BF3A" w14:textId="47624AD8" w:rsidR="001F73E8" w:rsidRPr="00C13BF0" w:rsidRDefault="001F73E8" w:rsidP="00A30867">
            <w:pPr>
              <w:pStyle w:val="TableTitle"/>
            </w:pPr>
            <w:r w:rsidRPr="00C13BF0">
              <w:t>Burden hours/ response</w:t>
            </w:r>
          </w:p>
        </w:tc>
      </w:tr>
      <w:tr w:rsidR="001F73E8" w14:paraId="3DE1ADA9" w14:textId="77777777" w:rsidTr="001F73E8">
        <w:tc>
          <w:tcPr>
            <w:tcW w:w="9355" w:type="dxa"/>
            <w:gridSpan w:val="4"/>
            <w:shd w:val="clear" w:color="auto" w:fill="D9D9D9" w:themeFill="background1" w:themeFillShade="D9"/>
            <w:vAlign w:val="center"/>
          </w:tcPr>
          <w:p w14:paraId="0475FFC4" w14:textId="6F127A52" w:rsidR="001F73E8" w:rsidRPr="00C13BF0" w:rsidRDefault="001F73E8" w:rsidP="00A30867">
            <w:pPr>
              <w:pStyle w:val="TableTitle"/>
            </w:pPr>
            <w:r>
              <w:t>P</w:t>
            </w:r>
            <w:r w:rsidRPr="00C13BF0">
              <w:t>ermit application activities</w:t>
            </w:r>
          </w:p>
        </w:tc>
      </w:tr>
      <w:tr w:rsidR="001F73E8" w14:paraId="4FBB96FB" w14:textId="77777777" w:rsidTr="00A30867">
        <w:tc>
          <w:tcPr>
            <w:tcW w:w="4405" w:type="dxa"/>
          </w:tcPr>
          <w:p w14:paraId="1A9FA08B" w14:textId="77777777" w:rsidR="001F73E8" w:rsidRPr="00C13BF0" w:rsidRDefault="001F73E8" w:rsidP="00A30867">
            <w:pPr>
              <w:pStyle w:val="Tables"/>
            </w:pPr>
          </w:p>
        </w:tc>
        <w:tc>
          <w:tcPr>
            <w:tcW w:w="990" w:type="dxa"/>
            <w:vAlign w:val="center"/>
          </w:tcPr>
          <w:p w14:paraId="78DEC305" w14:textId="593324AA" w:rsidR="001F73E8" w:rsidRPr="001F73E8" w:rsidRDefault="001F73E8" w:rsidP="00A30867">
            <w:pPr>
              <w:pStyle w:val="TableTitle"/>
            </w:pPr>
            <w:r w:rsidRPr="001F73E8">
              <w:t>States</w:t>
            </w:r>
          </w:p>
        </w:tc>
        <w:tc>
          <w:tcPr>
            <w:tcW w:w="1530" w:type="dxa"/>
            <w:vAlign w:val="center"/>
          </w:tcPr>
          <w:p w14:paraId="5D65DBF8" w14:textId="1A1284D2" w:rsidR="001F73E8" w:rsidRPr="001F73E8" w:rsidRDefault="001F73E8" w:rsidP="00A30867">
            <w:pPr>
              <w:pStyle w:val="TableTitle"/>
            </w:pPr>
            <w:r w:rsidRPr="001F73E8">
              <w:t>EPA</w:t>
            </w:r>
          </w:p>
        </w:tc>
        <w:tc>
          <w:tcPr>
            <w:tcW w:w="2430" w:type="dxa"/>
            <w:vAlign w:val="center"/>
          </w:tcPr>
          <w:p w14:paraId="14EC7E72" w14:textId="232B3088" w:rsidR="001F73E8" w:rsidRPr="001F73E8" w:rsidRDefault="001F73E8" w:rsidP="00A30867">
            <w:pPr>
              <w:pStyle w:val="TableTitle"/>
            </w:pPr>
            <w:r w:rsidRPr="001F73E8">
              <w:t>States and EPA</w:t>
            </w:r>
          </w:p>
        </w:tc>
      </w:tr>
      <w:tr w:rsidR="001F73E8" w14:paraId="57F0A8CA" w14:textId="77777777" w:rsidTr="00A30867">
        <w:tc>
          <w:tcPr>
            <w:tcW w:w="4405" w:type="dxa"/>
          </w:tcPr>
          <w:p w14:paraId="175C8BC0" w14:textId="2FEF5C1F" w:rsidR="001F73E8" w:rsidRPr="00C13BF0" w:rsidRDefault="001F73E8" w:rsidP="00A30867">
            <w:pPr>
              <w:pStyle w:val="Tables"/>
            </w:pPr>
            <w:r w:rsidRPr="00C13BF0">
              <w:t>Power plants with DIF≥50 MG w/ AIF&lt;125 MGD</w:t>
            </w:r>
          </w:p>
        </w:tc>
        <w:tc>
          <w:tcPr>
            <w:tcW w:w="990" w:type="dxa"/>
          </w:tcPr>
          <w:p w14:paraId="009E1829" w14:textId="2CE61685" w:rsidR="001F73E8" w:rsidRPr="00C13BF0" w:rsidRDefault="001F73E8" w:rsidP="00A30867">
            <w:pPr>
              <w:pStyle w:val="Tables"/>
              <w:jc w:val="right"/>
            </w:pPr>
            <w:r w:rsidRPr="00C13BF0">
              <w:t>925</w:t>
            </w:r>
          </w:p>
        </w:tc>
        <w:tc>
          <w:tcPr>
            <w:tcW w:w="1530" w:type="dxa"/>
          </w:tcPr>
          <w:p w14:paraId="591342DA" w14:textId="32AC1B86" w:rsidR="001F73E8" w:rsidRPr="00C13BF0" w:rsidRDefault="001F73E8" w:rsidP="00A30867">
            <w:pPr>
              <w:pStyle w:val="Tables"/>
              <w:jc w:val="right"/>
            </w:pPr>
            <w:r>
              <w:t>23.3</w:t>
            </w:r>
          </w:p>
        </w:tc>
        <w:tc>
          <w:tcPr>
            <w:tcW w:w="2430" w:type="dxa"/>
          </w:tcPr>
          <w:p w14:paraId="4C118A3A" w14:textId="27B4AB10" w:rsidR="001F73E8" w:rsidRPr="00C13BF0" w:rsidRDefault="001F73E8" w:rsidP="00A30867">
            <w:pPr>
              <w:pStyle w:val="Tables"/>
              <w:jc w:val="right"/>
            </w:pPr>
            <w:r w:rsidRPr="00C13BF0">
              <w:t>13</w:t>
            </w:r>
          </w:p>
        </w:tc>
      </w:tr>
      <w:tr w:rsidR="001F73E8" w14:paraId="1DB33C0F" w14:textId="77777777" w:rsidTr="00A30867">
        <w:tc>
          <w:tcPr>
            <w:tcW w:w="4405" w:type="dxa"/>
          </w:tcPr>
          <w:p w14:paraId="46882AE5" w14:textId="28E0377E" w:rsidR="001F73E8" w:rsidRPr="00C13BF0" w:rsidRDefault="001F73E8" w:rsidP="00A30867">
            <w:pPr>
              <w:pStyle w:val="Tables"/>
            </w:pPr>
            <w:r w:rsidRPr="00C13BF0">
              <w:t>Power plants with DIF≥50 MGD w/ AIF&gt;125 MGD</w:t>
            </w:r>
          </w:p>
        </w:tc>
        <w:tc>
          <w:tcPr>
            <w:tcW w:w="990" w:type="dxa"/>
          </w:tcPr>
          <w:p w14:paraId="37B1B245" w14:textId="06A40D3D" w:rsidR="001F73E8" w:rsidRPr="00C13BF0" w:rsidRDefault="001F73E8" w:rsidP="00A30867">
            <w:pPr>
              <w:pStyle w:val="Tables"/>
              <w:jc w:val="right"/>
            </w:pPr>
            <w:r w:rsidRPr="00C13BF0">
              <w:t>528</w:t>
            </w:r>
          </w:p>
        </w:tc>
        <w:tc>
          <w:tcPr>
            <w:tcW w:w="1530" w:type="dxa"/>
          </w:tcPr>
          <w:p w14:paraId="2478B390" w14:textId="0FA8BE7F" w:rsidR="001F73E8" w:rsidRPr="00C13BF0" w:rsidRDefault="001F73E8" w:rsidP="00A30867">
            <w:pPr>
              <w:pStyle w:val="Tables"/>
              <w:jc w:val="right"/>
            </w:pPr>
            <w:r>
              <w:t>15.3</w:t>
            </w:r>
          </w:p>
        </w:tc>
        <w:tc>
          <w:tcPr>
            <w:tcW w:w="2430" w:type="dxa"/>
          </w:tcPr>
          <w:p w14:paraId="3710E1CD" w14:textId="52F88E52" w:rsidR="001F73E8" w:rsidRPr="00C13BF0" w:rsidRDefault="001F73E8" w:rsidP="00A30867">
            <w:pPr>
              <w:pStyle w:val="Tables"/>
              <w:jc w:val="right"/>
            </w:pPr>
            <w:r w:rsidRPr="00C13BF0">
              <w:t>23</w:t>
            </w:r>
          </w:p>
        </w:tc>
      </w:tr>
      <w:tr w:rsidR="001F73E8" w14:paraId="165DD787" w14:textId="77777777" w:rsidTr="00A30867">
        <w:tc>
          <w:tcPr>
            <w:tcW w:w="4405" w:type="dxa"/>
          </w:tcPr>
          <w:p w14:paraId="0013C2FA" w14:textId="4197FA9F" w:rsidR="001F73E8" w:rsidRPr="00C13BF0" w:rsidRDefault="001F73E8" w:rsidP="00A30867">
            <w:pPr>
              <w:pStyle w:val="Tables"/>
            </w:pPr>
            <w:r w:rsidRPr="00C13BF0">
              <w:t>Power plants with DIF&gt; 2 MGD and ≤ 50 MGD and manufacturers &gt; 2 MGD w/ AIF&lt;125 MGD</w:t>
            </w:r>
          </w:p>
        </w:tc>
        <w:tc>
          <w:tcPr>
            <w:tcW w:w="990" w:type="dxa"/>
          </w:tcPr>
          <w:p w14:paraId="4FF7C40D" w14:textId="0E2CC4D9" w:rsidR="001F73E8" w:rsidRPr="00C13BF0" w:rsidRDefault="001F73E8" w:rsidP="00A30867">
            <w:pPr>
              <w:pStyle w:val="Tables"/>
              <w:jc w:val="right"/>
            </w:pPr>
            <w:r w:rsidRPr="00C13BF0">
              <w:t>1,259</w:t>
            </w:r>
          </w:p>
        </w:tc>
        <w:tc>
          <w:tcPr>
            <w:tcW w:w="1530" w:type="dxa"/>
          </w:tcPr>
          <w:p w14:paraId="5981A824" w14:textId="57A0C74E" w:rsidR="001F73E8" w:rsidRPr="00C13BF0" w:rsidRDefault="001F73E8" w:rsidP="00A30867">
            <w:pPr>
              <w:pStyle w:val="Tables"/>
              <w:jc w:val="right"/>
            </w:pPr>
            <w:r>
              <w:t>33.7</w:t>
            </w:r>
          </w:p>
        </w:tc>
        <w:tc>
          <w:tcPr>
            <w:tcW w:w="2430" w:type="dxa"/>
          </w:tcPr>
          <w:p w14:paraId="6F2916D5" w14:textId="458D51A3" w:rsidR="001F73E8" w:rsidRPr="00C13BF0" w:rsidRDefault="001F73E8" w:rsidP="00A30867">
            <w:pPr>
              <w:pStyle w:val="Tables"/>
              <w:jc w:val="right"/>
            </w:pPr>
            <w:r w:rsidRPr="00C13BF0">
              <w:t>13</w:t>
            </w:r>
          </w:p>
        </w:tc>
      </w:tr>
      <w:tr w:rsidR="001F73E8" w14:paraId="0719523C" w14:textId="77777777" w:rsidTr="00A30867">
        <w:tc>
          <w:tcPr>
            <w:tcW w:w="4405" w:type="dxa"/>
          </w:tcPr>
          <w:p w14:paraId="29220A1F" w14:textId="56D4DE23" w:rsidR="001F73E8" w:rsidRPr="00C13BF0" w:rsidRDefault="001F73E8" w:rsidP="00A30867">
            <w:pPr>
              <w:pStyle w:val="Tables"/>
            </w:pPr>
            <w:r w:rsidRPr="00C13BF0">
              <w:t>Power plants with DIF&gt; 2 MGD and ≤ 50 MGD and manufacturers &gt; 2 MGD w/ AIF&lt;125 MGD</w:t>
            </w:r>
          </w:p>
        </w:tc>
        <w:tc>
          <w:tcPr>
            <w:tcW w:w="990" w:type="dxa"/>
          </w:tcPr>
          <w:p w14:paraId="6803866C" w14:textId="27DB05B2" w:rsidR="001F73E8" w:rsidRPr="00C13BF0" w:rsidRDefault="001F73E8" w:rsidP="00A30867">
            <w:pPr>
              <w:pStyle w:val="Tables"/>
              <w:jc w:val="right"/>
            </w:pPr>
            <w:r w:rsidRPr="00C13BF0">
              <w:t>41</w:t>
            </w:r>
          </w:p>
        </w:tc>
        <w:tc>
          <w:tcPr>
            <w:tcW w:w="1530" w:type="dxa"/>
          </w:tcPr>
          <w:p w14:paraId="7D4F7D3F" w14:textId="4E0AEBE1" w:rsidR="001F73E8" w:rsidRPr="00C13BF0" w:rsidRDefault="001F73E8" w:rsidP="00A30867">
            <w:pPr>
              <w:pStyle w:val="Tables"/>
              <w:jc w:val="right"/>
            </w:pPr>
            <w:r>
              <w:t>26</w:t>
            </w:r>
          </w:p>
        </w:tc>
        <w:tc>
          <w:tcPr>
            <w:tcW w:w="2430" w:type="dxa"/>
          </w:tcPr>
          <w:p w14:paraId="6A48D4D1" w14:textId="5E1C4352" w:rsidR="001F73E8" w:rsidRPr="00C13BF0" w:rsidRDefault="001F73E8" w:rsidP="00A30867">
            <w:pPr>
              <w:pStyle w:val="Tables"/>
              <w:jc w:val="right"/>
            </w:pPr>
            <w:r w:rsidRPr="00C13BF0">
              <w:t>24</w:t>
            </w:r>
          </w:p>
        </w:tc>
      </w:tr>
      <w:tr w:rsidR="001F73E8" w14:paraId="79A85DBF" w14:textId="77777777" w:rsidTr="00A30867">
        <w:tc>
          <w:tcPr>
            <w:tcW w:w="4405" w:type="dxa"/>
          </w:tcPr>
          <w:p w14:paraId="369B06BD" w14:textId="0CADCEEE" w:rsidR="001F73E8" w:rsidRPr="00C13BF0" w:rsidRDefault="001F73E8" w:rsidP="00A30867">
            <w:pPr>
              <w:pStyle w:val="Tables"/>
            </w:pPr>
            <w:r w:rsidRPr="00C13BF0">
              <w:t>New units</w:t>
            </w:r>
          </w:p>
        </w:tc>
        <w:tc>
          <w:tcPr>
            <w:tcW w:w="990" w:type="dxa"/>
          </w:tcPr>
          <w:p w14:paraId="745E6283" w14:textId="4114D1C8" w:rsidR="001F73E8" w:rsidRPr="00C13BF0" w:rsidRDefault="001F73E8" w:rsidP="00A30867">
            <w:pPr>
              <w:pStyle w:val="Tables"/>
              <w:jc w:val="right"/>
            </w:pPr>
            <w:r w:rsidRPr="00C13BF0">
              <w:t>16</w:t>
            </w:r>
          </w:p>
        </w:tc>
        <w:tc>
          <w:tcPr>
            <w:tcW w:w="1530" w:type="dxa"/>
          </w:tcPr>
          <w:p w14:paraId="1D842C89" w14:textId="1407E9D6" w:rsidR="001F73E8" w:rsidRPr="00C13BF0" w:rsidRDefault="001F73E8" w:rsidP="00A30867">
            <w:pPr>
              <w:pStyle w:val="Tables"/>
              <w:jc w:val="right"/>
            </w:pPr>
            <w:r>
              <w:t>2</w:t>
            </w:r>
          </w:p>
        </w:tc>
        <w:tc>
          <w:tcPr>
            <w:tcW w:w="2430" w:type="dxa"/>
          </w:tcPr>
          <w:p w14:paraId="63F64455" w14:textId="6D84DFA2" w:rsidR="001F73E8" w:rsidRPr="00C13BF0" w:rsidRDefault="001F73E8" w:rsidP="00A30867">
            <w:pPr>
              <w:pStyle w:val="Tables"/>
              <w:jc w:val="right"/>
            </w:pPr>
            <w:r w:rsidRPr="00C13BF0">
              <w:t>11</w:t>
            </w:r>
          </w:p>
        </w:tc>
      </w:tr>
      <w:tr w:rsidR="001F73E8" w14:paraId="115AA90C" w14:textId="77777777" w:rsidTr="001F73E8">
        <w:tc>
          <w:tcPr>
            <w:tcW w:w="9355" w:type="dxa"/>
            <w:gridSpan w:val="4"/>
            <w:shd w:val="clear" w:color="auto" w:fill="D9D9D9" w:themeFill="background1" w:themeFillShade="D9"/>
            <w:vAlign w:val="center"/>
          </w:tcPr>
          <w:p w14:paraId="5A267B72" w14:textId="13509682" w:rsidR="001F73E8" w:rsidRPr="00C13BF0" w:rsidRDefault="001F73E8" w:rsidP="00A30867">
            <w:pPr>
              <w:pStyle w:val="TableTitle"/>
            </w:pPr>
            <w:r>
              <w:t>A</w:t>
            </w:r>
            <w:r w:rsidRPr="00C13BF0">
              <w:t>nnual activities</w:t>
            </w:r>
          </w:p>
        </w:tc>
      </w:tr>
      <w:tr w:rsidR="001F73E8" w14:paraId="71C6A64A" w14:textId="77777777" w:rsidTr="00A30867">
        <w:tc>
          <w:tcPr>
            <w:tcW w:w="4405" w:type="dxa"/>
          </w:tcPr>
          <w:p w14:paraId="22C6CEAB" w14:textId="17EC7930" w:rsidR="001F73E8" w:rsidRPr="00C13BF0" w:rsidRDefault="001F73E8" w:rsidP="00A30867">
            <w:pPr>
              <w:pStyle w:val="Tables"/>
            </w:pPr>
            <w:r w:rsidRPr="00C13BF0">
              <w:t>All facilities</w:t>
            </w:r>
          </w:p>
        </w:tc>
        <w:tc>
          <w:tcPr>
            <w:tcW w:w="990" w:type="dxa"/>
          </w:tcPr>
          <w:p w14:paraId="3FF33A88" w14:textId="5D36D4F2" w:rsidR="001F73E8" w:rsidRPr="00C13BF0" w:rsidRDefault="001F73E8" w:rsidP="00A30867">
            <w:pPr>
              <w:pStyle w:val="Tables"/>
              <w:jc w:val="right"/>
            </w:pPr>
            <w:r w:rsidRPr="00C13BF0">
              <w:t>2,078</w:t>
            </w:r>
          </w:p>
        </w:tc>
        <w:tc>
          <w:tcPr>
            <w:tcW w:w="1530" w:type="dxa"/>
          </w:tcPr>
          <w:p w14:paraId="5BA13F05" w14:textId="7F886CC0" w:rsidR="001F73E8" w:rsidRPr="00C13BF0" w:rsidRDefault="001F73E8" w:rsidP="00A30867">
            <w:pPr>
              <w:pStyle w:val="Tables"/>
              <w:jc w:val="right"/>
            </w:pPr>
            <w:r>
              <w:t>1,065</w:t>
            </w:r>
          </w:p>
        </w:tc>
        <w:tc>
          <w:tcPr>
            <w:tcW w:w="2430" w:type="dxa"/>
          </w:tcPr>
          <w:p w14:paraId="71194706" w14:textId="4FFA97E0" w:rsidR="001F73E8" w:rsidRPr="00C13BF0" w:rsidRDefault="001F73E8" w:rsidP="00A30867">
            <w:pPr>
              <w:pStyle w:val="Tables"/>
              <w:jc w:val="right"/>
            </w:pPr>
            <w:r w:rsidRPr="00C13BF0">
              <w:t>3</w:t>
            </w:r>
          </w:p>
        </w:tc>
      </w:tr>
    </w:tbl>
    <w:p w14:paraId="1C2E933F" w14:textId="7052E55D" w:rsidR="00BC2C1D" w:rsidRDefault="00BC2C1D" w:rsidP="00B101A0">
      <w:pPr>
        <w:pStyle w:val="Heading3"/>
      </w:pPr>
      <w:bookmarkStart w:id="41" w:name="_Toc510451641"/>
      <w:r>
        <w:t>A.1.8</w:t>
      </w:r>
      <w:r w:rsidR="00863F96">
        <w:t>.</w:t>
      </w:r>
      <w:r w:rsidR="00DE1B27">
        <w:tab/>
      </w:r>
      <w:r>
        <w:t>Other</w:t>
      </w:r>
      <w:bookmarkEnd w:id="41"/>
    </w:p>
    <w:p w14:paraId="41D3A85C" w14:textId="2CFE8114" w:rsidR="00BC2C1D" w:rsidRDefault="00BC2C1D" w:rsidP="00DE1B27">
      <w:pPr>
        <w:pStyle w:val="Heading4"/>
      </w:pPr>
      <w:r>
        <w:t>A.1.8.1</w:t>
      </w:r>
      <w:r w:rsidR="00784FA2">
        <w:t>.</w:t>
      </w:r>
      <w:r>
        <w:t xml:space="preserve"> </w:t>
      </w:r>
      <w:r w:rsidRPr="00BC2C1D">
        <w:t>Industrial Facility "No Stormwater Exposure" Certification</w:t>
      </w:r>
    </w:p>
    <w:p w14:paraId="1906B4BE" w14:textId="77777777" w:rsidR="0085470C" w:rsidRDefault="003523C7" w:rsidP="00786C04">
      <w:r>
        <w:t>The no exposure provision of the stormwater regulations provide</w:t>
      </w:r>
      <w:r w:rsidR="00784FA2">
        <w:t>s</w:t>
      </w:r>
      <w:r>
        <w:t xml:space="preserve"> industrial f</w:t>
      </w:r>
      <w:r w:rsidR="00C00E95">
        <w:t xml:space="preserve">acilities </w:t>
      </w:r>
      <w:r>
        <w:t xml:space="preserve">with industrial materials and activities that are sheltered from stormwater a simplified way of complying by </w:t>
      </w:r>
      <w:r w:rsidR="00C00E95">
        <w:t>certify</w:t>
      </w:r>
      <w:r>
        <w:t>ing</w:t>
      </w:r>
      <w:r w:rsidR="00C00E95">
        <w:t xml:space="preserve"> that there is no exposure</w:t>
      </w:r>
      <w:r>
        <w:t xml:space="preserve"> to stormwater.</w:t>
      </w:r>
    </w:p>
    <w:p w14:paraId="30C15044" w14:textId="2AD8E7BA" w:rsidR="0085470C" w:rsidRDefault="003523C7" w:rsidP="00786C04">
      <w:r w:rsidRPr="00786C04">
        <w:rPr>
          <w:i/>
        </w:rPr>
        <w:t>Permittees</w:t>
      </w:r>
      <w:r>
        <w:t xml:space="preserve">. An estimated 36,377 industrial facilities are eligible for </w:t>
      </w:r>
      <w:r w:rsidR="00643A78">
        <w:t>“no exposure certification” over a 5</w:t>
      </w:r>
      <w:r w:rsidR="002949B3">
        <w:t>-</w:t>
      </w:r>
      <w:r w:rsidR="00643A78">
        <w:t>year period. The time to complete and submit the certification is 0.75 hours.</w:t>
      </w:r>
    </w:p>
    <w:p w14:paraId="00E70369" w14:textId="1E5EAA8B" w:rsidR="00643A78" w:rsidRPr="00BC2C1D" w:rsidRDefault="00643A78" w:rsidP="00786C04">
      <w:r w:rsidRPr="00786C04">
        <w:rPr>
          <w:i/>
        </w:rPr>
        <w:t>States</w:t>
      </w:r>
      <w:r w:rsidR="0080699D">
        <w:rPr>
          <w:i/>
        </w:rPr>
        <w:t>/federal</w:t>
      </w:r>
      <w:r>
        <w:t xml:space="preserve">. </w:t>
      </w:r>
      <w:r w:rsidRPr="00643A78">
        <w:t xml:space="preserve">Permitting authorities will spend </w:t>
      </w:r>
      <w:r>
        <w:t>1</w:t>
      </w:r>
      <w:r w:rsidRPr="00643A78">
        <w:t xml:space="preserve"> hour </w:t>
      </w:r>
      <w:r>
        <w:t xml:space="preserve">reviewing and </w:t>
      </w:r>
      <w:r w:rsidRPr="00643A78">
        <w:t>processing each</w:t>
      </w:r>
      <w:r>
        <w:t xml:space="preserve"> certification.</w:t>
      </w:r>
    </w:p>
    <w:p w14:paraId="47687418" w14:textId="3AAAA014" w:rsidR="00BC2C1D" w:rsidRDefault="00BC2C1D" w:rsidP="00B101A0">
      <w:pPr>
        <w:pStyle w:val="Heading4"/>
      </w:pPr>
      <w:r>
        <w:t>A.1.8.2</w:t>
      </w:r>
      <w:r w:rsidR="00784FA2">
        <w:t>.</w:t>
      </w:r>
      <w:r>
        <w:t xml:space="preserve"> Airports</w:t>
      </w:r>
    </w:p>
    <w:p w14:paraId="66CDF179" w14:textId="77777777" w:rsidR="0085470C" w:rsidRDefault="00643A78" w:rsidP="00786C04">
      <w:r>
        <w:t xml:space="preserve">The Airport Deicing ELG allows </w:t>
      </w:r>
      <w:r w:rsidRPr="00643A78">
        <w:t>airports to certify that they are not using deicers containing urea for airfield pavement deicing operations</w:t>
      </w:r>
      <w:r>
        <w:t xml:space="preserve"> to </w:t>
      </w:r>
      <w:r w:rsidR="001E5224">
        <w:t xml:space="preserve">become exempt from </w:t>
      </w:r>
      <w:r>
        <w:t xml:space="preserve">permitting requirements. </w:t>
      </w:r>
    </w:p>
    <w:p w14:paraId="32851399" w14:textId="3CAA2804" w:rsidR="00643A78" w:rsidRDefault="00643A78" w:rsidP="00786C04">
      <w:r w:rsidRPr="00786C04">
        <w:rPr>
          <w:i/>
        </w:rPr>
        <w:t>Permittees</w:t>
      </w:r>
      <w:r>
        <w:t xml:space="preserve">. </w:t>
      </w:r>
      <w:r w:rsidR="003A56EB" w:rsidRPr="003A56EB">
        <w:t xml:space="preserve">The time to complete and submit the certification is </w:t>
      </w:r>
      <w:r w:rsidR="003A56EB">
        <w:t>1 hour.</w:t>
      </w:r>
    </w:p>
    <w:p w14:paraId="7B1A3968" w14:textId="3ECBE181" w:rsidR="00BC2C1D" w:rsidRDefault="00BC2C1D" w:rsidP="00B101A0">
      <w:pPr>
        <w:pStyle w:val="Heading4"/>
      </w:pPr>
      <w:r>
        <w:t>A.1.8.3</w:t>
      </w:r>
      <w:r w:rsidR="00784FA2">
        <w:t>.</w:t>
      </w:r>
      <w:r>
        <w:t xml:space="preserve"> </w:t>
      </w:r>
      <w:r w:rsidRPr="00BC2C1D">
        <w:t>Alaska Lands</w:t>
      </w:r>
    </w:p>
    <w:p w14:paraId="50952192" w14:textId="257F8583" w:rsidR="00BC2C1D" w:rsidRDefault="00BC2C1D" w:rsidP="00BC2C1D">
      <w:r w:rsidRPr="00B61CF2">
        <w:rPr>
          <w:i/>
        </w:rPr>
        <w:t>Permittees.</w:t>
      </w:r>
      <w:r w:rsidR="003A56EB">
        <w:rPr>
          <w:i/>
        </w:rPr>
        <w:t xml:space="preserve"> </w:t>
      </w:r>
      <w:r w:rsidR="00E7426E" w:rsidRPr="00E7426E">
        <w:t>The application for Transportation and Utility Systems and Facilities on Federal Lands will be used when applying for a right-of-way, permit, license, lease, or certificate for the use of Federal lands which lie within conservation system units and National Recreation or Conservation Areas as defined in the Alaska National Interest Lands Conservation Act. Conservation system units include the National Park System, National Wildlife Refuge System, National Wild and Scenic Rivers System, National Trails System, National Wilderness Preservation System, and National Forest Monuments.</w:t>
      </w:r>
      <w:r w:rsidR="00E7426E">
        <w:rPr>
          <w:i/>
        </w:rPr>
        <w:t xml:space="preserve"> </w:t>
      </w:r>
      <w:r w:rsidRPr="00486720">
        <w:t xml:space="preserve">The estimated total hours per </w:t>
      </w:r>
      <w:r>
        <w:t>permittee respondent</w:t>
      </w:r>
      <w:r w:rsidRPr="00486720">
        <w:t xml:space="preserve"> for </w:t>
      </w:r>
      <w:r>
        <w:t>submission of an a</w:t>
      </w:r>
      <w:r w:rsidRPr="00486720">
        <w:t xml:space="preserve">pplication for Transportation and </w:t>
      </w:r>
      <w:r w:rsidR="003A56EB">
        <w:t>Utility Systems and Facilities o</w:t>
      </w:r>
      <w:r w:rsidRPr="00486720">
        <w:t>n Federal Lands (Alaskan Lands Application)</w:t>
      </w:r>
      <w:r w:rsidRPr="00AB1BCC">
        <w:t xml:space="preserve"> </w:t>
      </w:r>
      <w:r>
        <w:t>is 30 hours per application.</w:t>
      </w:r>
    </w:p>
    <w:p w14:paraId="09FF0052" w14:textId="0E66B01B" w:rsidR="0048771B" w:rsidRDefault="00B14ECF" w:rsidP="00B101A0">
      <w:pPr>
        <w:pStyle w:val="Heading4"/>
      </w:pPr>
      <w:r>
        <w:t>A.1</w:t>
      </w:r>
      <w:r w:rsidR="00BC2C1D">
        <w:t>.8</w:t>
      </w:r>
      <w:r>
        <w:t>.</w:t>
      </w:r>
      <w:r w:rsidR="00BC2C1D">
        <w:t>4</w:t>
      </w:r>
      <w:r w:rsidR="0048771B">
        <w:t xml:space="preserve">. </w:t>
      </w:r>
      <w:r w:rsidR="0048771B" w:rsidRPr="0048771B">
        <w:t>NPDES Electronic Reporting Rule</w:t>
      </w:r>
    </w:p>
    <w:p w14:paraId="17AF70DB" w14:textId="77777777" w:rsidR="0085470C" w:rsidRDefault="009B2E92" w:rsidP="00827FA0">
      <w:r>
        <w:t xml:space="preserve">The Electronic Reporting Rule ICR included </w:t>
      </w:r>
      <w:r w:rsidR="001C4981">
        <w:t xml:space="preserve">both </w:t>
      </w:r>
      <w:r>
        <w:t xml:space="preserve">the initial one-time activities associated with the transition to electronic reporting </w:t>
      </w:r>
      <w:r w:rsidR="00141CC0">
        <w:t>(</w:t>
      </w:r>
      <w:r>
        <w:t xml:space="preserve">primarily in the first three years </w:t>
      </w:r>
      <w:r w:rsidR="00141CC0">
        <w:t>after promulgation)</w:t>
      </w:r>
      <w:r w:rsidR="001C4981">
        <w:t xml:space="preserve"> and ongoing activities</w:t>
      </w:r>
      <w:r w:rsidR="006D7D85">
        <w:t>,</w:t>
      </w:r>
      <w:r w:rsidR="001C4981">
        <w:t xml:space="preserve"> which </w:t>
      </w:r>
      <w:r w:rsidR="00141CC0">
        <w:t>reflect</w:t>
      </w:r>
      <w:r w:rsidR="001C4981">
        <w:t xml:space="preserve"> considerable burden reductions associated with data entry and document mailing</w:t>
      </w:r>
      <w:r>
        <w:t>.</w:t>
      </w:r>
      <w:r w:rsidR="00B14642">
        <w:t xml:space="preserve"> The Electronic Reporting Rule became effective </w:t>
      </w:r>
      <w:r w:rsidR="00B14642" w:rsidRPr="00B14642">
        <w:t xml:space="preserve">December </w:t>
      </w:r>
      <w:r w:rsidR="00B14642">
        <w:t xml:space="preserve">21, </w:t>
      </w:r>
      <w:r w:rsidR="00B14642" w:rsidRPr="00B14642">
        <w:t>2015</w:t>
      </w:r>
      <w:r w:rsidR="00B14642">
        <w:t xml:space="preserve"> and thus the </w:t>
      </w:r>
      <w:r w:rsidR="00A666A9">
        <w:t xml:space="preserve">Electronic Reporting Rule </w:t>
      </w:r>
      <w:r w:rsidR="00B14642">
        <w:t>ICR covers the calen</w:t>
      </w:r>
      <w:r w:rsidR="00827FA0">
        <w:t>dar years 2016, 2017, and 2018. The various requirements and deadlines are divided into two phases.</w:t>
      </w:r>
      <w:r w:rsidR="000F2D5E" w:rsidRPr="000F2D5E">
        <w:t xml:space="preserve"> The corresponding timeframe for </w:t>
      </w:r>
      <w:r w:rsidR="00784FA2">
        <w:t>today’s</w:t>
      </w:r>
      <w:r w:rsidR="00784FA2" w:rsidRPr="000F2D5E">
        <w:t xml:space="preserve"> </w:t>
      </w:r>
      <w:r w:rsidR="000F2D5E" w:rsidRPr="000F2D5E">
        <w:t>ICR is 2017, 2018, and 2019.</w:t>
      </w:r>
    </w:p>
    <w:p w14:paraId="50C85B76" w14:textId="77777777" w:rsidR="0085470C" w:rsidRDefault="00B14642" w:rsidP="00827FA0">
      <w:r>
        <w:t xml:space="preserve">Phase 1 </w:t>
      </w:r>
      <w:r w:rsidR="00784FA2">
        <w:t xml:space="preserve">of the Electronic Reporting Rule </w:t>
      </w:r>
      <w:r w:rsidR="001D57A7">
        <w:t xml:space="preserve">requires </w:t>
      </w:r>
      <w:r w:rsidR="00141CC0">
        <w:t xml:space="preserve">authorized state </w:t>
      </w:r>
      <w:r w:rsidR="001D57A7" w:rsidRPr="001D57A7">
        <w:t xml:space="preserve">NPDES programs </w:t>
      </w:r>
      <w:r w:rsidR="001D57A7">
        <w:t>to</w:t>
      </w:r>
      <w:r w:rsidR="001D57A7" w:rsidRPr="001D57A7">
        <w:t xml:space="preserve"> electronically transmit basic facility and permit information</w:t>
      </w:r>
      <w:r w:rsidR="001D57A7">
        <w:t xml:space="preserve"> </w:t>
      </w:r>
      <w:r w:rsidR="00141CC0">
        <w:t xml:space="preserve">to EPA </w:t>
      </w:r>
      <w:r w:rsidR="001D57A7">
        <w:t xml:space="preserve">within the first year. After one year </w:t>
      </w:r>
      <w:r w:rsidR="00534F10">
        <w:t xml:space="preserve">(by December 21, 2016) </w:t>
      </w:r>
      <w:r w:rsidR="00CC343C">
        <w:t xml:space="preserve">authorized </w:t>
      </w:r>
      <w:r w:rsidR="001D57A7" w:rsidRPr="001D57A7">
        <w:t xml:space="preserve">programs </w:t>
      </w:r>
      <w:r w:rsidR="001D57A7">
        <w:t xml:space="preserve">must begin </w:t>
      </w:r>
      <w:r w:rsidR="001D57A7" w:rsidRPr="001D57A7">
        <w:t>electronically transmitting their state data</w:t>
      </w:r>
      <w:r w:rsidR="006D7D85">
        <w:t>,</w:t>
      </w:r>
      <w:r w:rsidR="001D57A7" w:rsidRPr="001D57A7">
        <w:t xml:space="preserve"> includ</w:t>
      </w:r>
      <w:r w:rsidR="006D7D85">
        <w:t>ing</w:t>
      </w:r>
      <w:r w:rsidR="001D57A7" w:rsidRPr="001D57A7">
        <w:t xml:space="preserve"> information generated from compliance </w:t>
      </w:r>
      <w:r w:rsidR="007361FD">
        <w:t>assessment</w:t>
      </w:r>
      <w:r w:rsidR="001D57A7" w:rsidRPr="001D57A7">
        <w:t xml:space="preserve"> (e.g., inspections), violation determinations, and enforcement actions</w:t>
      </w:r>
      <w:r w:rsidR="001D57A7">
        <w:t xml:space="preserve">. </w:t>
      </w:r>
      <w:r w:rsidR="00827FA0">
        <w:t xml:space="preserve">Also, </w:t>
      </w:r>
      <w:r w:rsidR="00CC343C">
        <w:t xml:space="preserve">starting on </w:t>
      </w:r>
      <w:r w:rsidR="001377E5" w:rsidRPr="001377E5">
        <w:t xml:space="preserve">December </w:t>
      </w:r>
      <w:r w:rsidR="001377E5">
        <w:t xml:space="preserve">21, </w:t>
      </w:r>
      <w:r w:rsidR="001377E5" w:rsidRPr="001377E5">
        <w:t>2016</w:t>
      </w:r>
      <w:r w:rsidR="001377E5">
        <w:t xml:space="preserve"> </w:t>
      </w:r>
      <w:r w:rsidR="00CC343C">
        <w:t>permittees must submit DMRs electronically</w:t>
      </w:r>
      <w:r w:rsidR="00827FA0">
        <w:t>.</w:t>
      </w:r>
      <w:r w:rsidR="00827FA0" w:rsidRPr="00827FA0">
        <w:t xml:space="preserve"> </w:t>
      </w:r>
      <w:r w:rsidR="00870C7A" w:rsidRPr="00870C7A">
        <w:t xml:space="preserve">In addition, </w:t>
      </w:r>
      <w:r w:rsidR="006D7D85">
        <w:t xml:space="preserve">by this deadline, </w:t>
      </w:r>
      <w:r w:rsidR="00870C7A" w:rsidRPr="00870C7A">
        <w:t xml:space="preserve">facilities permitted under the NPDES </w:t>
      </w:r>
      <w:r w:rsidR="009D4ACC">
        <w:t>biosolids program</w:t>
      </w:r>
      <w:r w:rsidR="00870C7A" w:rsidRPr="00870C7A">
        <w:t xml:space="preserve"> where EPA is the control authority must submit annual reports electronically. </w:t>
      </w:r>
      <w:r w:rsidR="00534F10">
        <w:t xml:space="preserve">Thus, by the beginning of </w:t>
      </w:r>
      <w:r w:rsidR="006D7D85">
        <w:t xml:space="preserve">the </w:t>
      </w:r>
      <w:r w:rsidR="00534F10">
        <w:t>three</w:t>
      </w:r>
      <w:r w:rsidR="006D7D85">
        <w:t>-</w:t>
      </w:r>
      <w:r w:rsidR="00534F10">
        <w:t xml:space="preserve">year period covered by this ICR, the majority of the </w:t>
      </w:r>
      <w:r w:rsidR="007361FD">
        <w:t xml:space="preserve">one-time </w:t>
      </w:r>
      <w:r w:rsidR="00534F10">
        <w:t xml:space="preserve">implementation activities associated with Phase 1 will have been completed. For the purposes of this ICR, </w:t>
      </w:r>
      <w:r w:rsidR="001709A1">
        <w:t xml:space="preserve">the implementation activities are assumed to be mostly completed and </w:t>
      </w:r>
      <w:r w:rsidR="00534F10">
        <w:t xml:space="preserve">only ongoing activities related to the Phase 1 </w:t>
      </w:r>
      <w:r w:rsidR="001709A1">
        <w:t xml:space="preserve">and Phase 2 </w:t>
      </w:r>
      <w:r w:rsidR="00534F10">
        <w:t xml:space="preserve">requirements </w:t>
      </w:r>
      <w:r w:rsidR="003D6433">
        <w:t>will be included.</w:t>
      </w:r>
    </w:p>
    <w:p w14:paraId="0CD81AF6" w14:textId="70AA4FE8" w:rsidR="00B14642" w:rsidRDefault="003D6433" w:rsidP="00A30867">
      <w:r>
        <w:t xml:space="preserve">Under Phase 2, </w:t>
      </w:r>
      <w:r w:rsidR="00CC343C">
        <w:t>authorized</w:t>
      </w:r>
      <w:r w:rsidRPr="003D6433">
        <w:t xml:space="preserve"> programs have until December </w:t>
      </w:r>
      <w:r>
        <w:t xml:space="preserve">21, </w:t>
      </w:r>
      <w:r w:rsidRPr="003D6433">
        <w:t>2020</w:t>
      </w:r>
      <w:r>
        <w:t xml:space="preserve"> to</w:t>
      </w:r>
      <w:r w:rsidR="00827FA0" w:rsidRPr="00827FA0">
        <w:t xml:space="preserve"> begin electronically collecting, managing, and sharing the Phase 2 NPDES program data. This information includes</w:t>
      </w:r>
      <w:r w:rsidR="00827FA0">
        <w:t>:</w:t>
      </w:r>
    </w:p>
    <w:p w14:paraId="60404D8D" w14:textId="4B467D8A" w:rsidR="00827FA0" w:rsidRDefault="00827FA0">
      <w:pPr>
        <w:pStyle w:val="ListParagraph"/>
        <w:numPr>
          <w:ilvl w:val="0"/>
          <w:numId w:val="43"/>
        </w:numPr>
      </w:pPr>
      <w:r>
        <w:t>General permit reports (NOI</w:t>
      </w:r>
      <w:r w:rsidR="006D7D85">
        <w:t xml:space="preserve">, </w:t>
      </w:r>
      <w:r>
        <w:t>NOT</w:t>
      </w:r>
      <w:r w:rsidR="006E2136">
        <w:t xml:space="preserve">, </w:t>
      </w:r>
      <w:r>
        <w:t>No Exposure Certification (NOE)</w:t>
      </w:r>
      <w:r w:rsidR="006E2136">
        <w:t xml:space="preserve">, and </w:t>
      </w:r>
      <w:r>
        <w:t>Low Erosivity Waiver and Other Waivers from Stormwater Controls (LEW)</w:t>
      </w:r>
      <w:r w:rsidR="006E2136">
        <w:t>)</w:t>
      </w:r>
      <w:r>
        <w:t xml:space="preserve">; </w:t>
      </w:r>
    </w:p>
    <w:p w14:paraId="1DEBFFFA" w14:textId="16A4CF07" w:rsidR="00827FA0" w:rsidRDefault="00827FA0" w:rsidP="0017120E">
      <w:pPr>
        <w:pStyle w:val="ListParagraph"/>
        <w:numPr>
          <w:ilvl w:val="0"/>
          <w:numId w:val="43"/>
        </w:numPr>
      </w:pPr>
      <w:r>
        <w:t xml:space="preserve">Sewage Sludge/Biosolids Annual Program Report (where the state is the authorized NPDES biosolids program); </w:t>
      </w:r>
      <w:r w:rsidR="00C95173">
        <w:t>and</w:t>
      </w:r>
    </w:p>
    <w:p w14:paraId="0CE8E1CB" w14:textId="77777777" w:rsidR="0085470C" w:rsidRDefault="006E2136" w:rsidP="006E2136">
      <w:pPr>
        <w:pStyle w:val="ListParagraph"/>
        <w:numPr>
          <w:ilvl w:val="0"/>
          <w:numId w:val="43"/>
        </w:numPr>
      </w:pPr>
      <w:r>
        <w:t>O</w:t>
      </w:r>
      <w:r w:rsidR="00827FA0">
        <w:t>ther NPDES program reports (CAFO Annual Report,</w:t>
      </w:r>
      <w:r w:rsidRPr="006E2136">
        <w:t xml:space="preserve"> MS4 Program Reports,</w:t>
      </w:r>
      <w:r w:rsidR="00827FA0">
        <w:t xml:space="preserve"> Pretreatment Program Report</w:t>
      </w:r>
      <w:r>
        <w:t xml:space="preserve">s, </w:t>
      </w:r>
      <w:r w:rsidRPr="006E2136">
        <w:t>SIU Compliance Reports in Municipalities without approved Pretreatment Programs, Sewer Overflow Event Reports, CWA Section 316(b) Annual Reports</w:t>
      </w:r>
      <w:r w:rsidR="00827FA0">
        <w:t>).</w:t>
      </w:r>
    </w:p>
    <w:p w14:paraId="59B46F58" w14:textId="77777777" w:rsidR="0085470C" w:rsidRDefault="00827FA0" w:rsidP="009B2E92">
      <w:r>
        <w:t xml:space="preserve">Thus, </w:t>
      </w:r>
      <w:r w:rsidR="00A657E7">
        <w:t>the change in burden associated with conversion from paper to electronic reporting will occur over a five</w:t>
      </w:r>
      <w:r w:rsidR="006E2136">
        <w:t>-</w:t>
      </w:r>
      <w:r w:rsidR="00A657E7">
        <w:t>year period, half of which will fall within the three</w:t>
      </w:r>
      <w:r w:rsidR="006E2136">
        <w:t>-</w:t>
      </w:r>
      <w:r w:rsidR="00A657E7">
        <w:t>year period covered by this ICR.</w:t>
      </w:r>
      <w:r w:rsidR="000F2D5E" w:rsidRPr="000F2D5E">
        <w:t xml:space="preserve"> As Phase 2 requirements for many other reports are phased in, EPA expects more reports will switch to electronic transmission but this ICR only includes one additional year past the existing ICR.</w:t>
      </w:r>
    </w:p>
    <w:p w14:paraId="60C3C8BF" w14:textId="5A6116CC" w:rsidR="007F6EA9" w:rsidRDefault="000F2D5E" w:rsidP="00A30867">
      <w:r w:rsidRPr="0036174E">
        <w:rPr>
          <w:i/>
        </w:rPr>
        <w:t>Permittees.</w:t>
      </w:r>
      <w:r>
        <w:rPr>
          <w:i/>
        </w:rPr>
        <w:t xml:space="preserve"> </w:t>
      </w:r>
      <w:r w:rsidR="00CD19E0">
        <w:t>Permittee activities include:</w:t>
      </w:r>
    </w:p>
    <w:p w14:paraId="1341F3B5" w14:textId="1A18F113" w:rsidR="00CD19E0" w:rsidRDefault="00CD19E0" w:rsidP="003D16AA">
      <w:pPr>
        <w:pStyle w:val="ListParagraph"/>
        <w:numPr>
          <w:ilvl w:val="0"/>
          <w:numId w:val="52"/>
        </w:numPr>
      </w:pPr>
      <w:r>
        <w:t>Passcode reset</w:t>
      </w:r>
      <w:r w:rsidR="001A699E">
        <w:t>;</w:t>
      </w:r>
    </w:p>
    <w:p w14:paraId="5030F1BD" w14:textId="49E5164E" w:rsidR="00CD19E0" w:rsidRDefault="00CD19E0" w:rsidP="003D16AA">
      <w:pPr>
        <w:pStyle w:val="ListParagraph"/>
        <w:numPr>
          <w:ilvl w:val="0"/>
          <w:numId w:val="52"/>
        </w:numPr>
      </w:pPr>
      <w:r>
        <w:t>DMR mailing (</w:t>
      </w:r>
      <w:r w:rsidR="000F2D5E">
        <w:t xml:space="preserve">O&amp;M savings see section </w:t>
      </w:r>
      <w:r w:rsidR="000F2D5E" w:rsidRPr="008B7195">
        <w:t>A.2.2.9</w:t>
      </w:r>
      <w:r>
        <w:t>)</w:t>
      </w:r>
      <w:r w:rsidR="001A699E">
        <w:t>; and</w:t>
      </w:r>
    </w:p>
    <w:p w14:paraId="148E7AD2" w14:textId="77777777" w:rsidR="0085470C" w:rsidRDefault="00CD19E0" w:rsidP="003D16AA">
      <w:pPr>
        <w:pStyle w:val="ListParagraph"/>
        <w:numPr>
          <w:ilvl w:val="0"/>
          <w:numId w:val="52"/>
        </w:numPr>
      </w:pPr>
      <w:r>
        <w:t>Report mailing (</w:t>
      </w:r>
      <w:r w:rsidR="000F2D5E">
        <w:t>O&amp;M savings see section A.2.2.9)</w:t>
      </w:r>
      <w:r>
        <w:t>)</w:t>
      </w:r>
      <w:r w:rsidR="001A699E">
        <w:t>.</w:t>
      </w:r>
      <w:r>
        <w:t xml:space="preserve"> </w:t>
      </w:r>
    </w:p>
    <w:p w14:paraId="2D0AD51D" w14:textId="2E191D86" w:rsidR="000F2D5E" w:rsidRDefault="00963653" w:rsidP="009B2E92">
      <w:r>
        <w:t xml:space="preserve">The </w:t>
      </w:r>
      <w:r w:rsidR="00FD7095">
        <w:t xml:space="preserve">ongoing </w:t>
      </w:r>
      <w:r>
        <w:t xml:space="preserve">burden for </w:t>
      </w:r>
      <w:r w:rsidR="001377E5">
        <w:t>permittees</w:t>
      </w:r>
      <w:r>
        <w:t xml:space="preserve"> includes 0.4 h</w:t>
      </w:r>
      <w:r w:rsidR="007361FD">
        <w:t>ou</w:t>
      </w:r>
      <w:r>
        <w:t xml:space="preserve">rs per respondent per year </w:t>
      </w:r>
      <w:r w:rsidRPr="00963653">
        <w:t>to periodically reset the passcode</w:t>
      </w:r>
      <w:r w:rsidR="000F2D5E">
        <w:t xml:space="preserve">. </w:t>
      </w:r>
      <w:r w:rsidR="000F2D5E" w:rsidRPr="000F2D5E">
        <w:t>Burden for completing DMRs and reports is assumed to be relatively unchanged because the forms need to be completed regardless of whether they are prepared in electronic or paper format.</w:t>
      </w:r>
    </w:p>
    <w:p w14:paraId="186BF868" w14:textId="77777777" w:rsidR="000F2D5E" w:rsidRDefault="000F2D5E" w:rsidP="00A30867">
      <w:r w:rsidRPr="0036174E">
        <w:rPr>
          <w:i/>
        </w:rPr>
        <w:t>States</w:t>
      </w:r>
      <w:r>
        <w:t>. State agency activities include:</w:t>
      </w:r>
    </w:p>
    <w:p w14:paraId="01257737" w14:textId="298A2185" w:rsidR="000F2D5E" w:rsidRDefault="000F2D5E" w:rsidP="000F2D5E">
      <w:pPr>
        <w:pStyle w:val="ListParagraph"/>
        <w:numPr>
          <w:ilvl w:val="0"/>
          <w:numId w:val="53"/>
        </w:numPr>
      </w:pPr>
      <w:r>
        <w:t>Transfer of data from current state system to EPA system</w:t>
      </w:r>
      <w:r w:rsidR="001A699E">
        <w:t>;</w:t>
      </w:r>
    </w:p>
    <w:p w14:paraId="155B2CC2" w14:textId="3334AA2F" w:rsidR="000F2D5E" w:rsidRDefault="000F2D5E" w:rsidP="000F2D5E">
      <w:pPr>
        <w:pStyle w:val="ListParagraph"/>
        <w:numPr>
          <w:ilvl w:val="0"/>
          <w:numId w:val="53"/>
        </w:numPr>
      </w:pPr>
      <w:r w:rsidRPr="003676B4">
        <w:t xml:space="preserve">Training and </w:t>
      </w:r>
      <w:r>
        <w:t>t</w:t>
      </w:r>
      <w:r w:rsidRPr="003676B4">
        <w:t xml:space="preserve">echnical </w:t>
      </w:r>
      <w:r>
        <w:t>s</w:t>
      </w:r>
      <w:r w:rsidRPr="003676B4">
        <w:t>upport</w:t>
      </w:r>
      <w:r w:rsidR="001A699E">
        <w:t>;</w:t>
      </w:r>
    </w:p>
    <w:p w14:paraId="65D0D5A8" w14:textId="06718FC4" w:rsidR="000F2D5E" w:rsidRDefault="000F2D5E" w:rsidP="000F2D5E">
      <w:pPr>
        <w:pStyle w:val="ListParagraph"/>
        <w:numPr>
          <w:ilvl w:val="0"/>
          <w:numId w:val="53"/>
        </w:numPr>
      </w:pPr>
      <w:r w:rsidRPr="005C3FA7">
        <w:t xml:space="preserve">Required </w:t>
      </w:r>
      <w:r>
        <w:t>p</w:t>
      </w:r>
      <w:r w:rsidRPr="005C3FA7">
        <w:t xml:space="preserve">rogrammatic </w:t>
      </w:r>
      <w:r>
        <w:t>d</w:t>
      </w:r>
      <w:r w:rsidRPr="005C3FA7">
        <w:t xml:space="preserve">ata </w:t>
      </w:r>
      <w:r>
        <w:t>e</w:t>
      </w:r>
      <w:r w:rsidRPr="005C3FA7">
        <w:t>ntry</w:t>
      </w:r>
      <w:r w:rsidR="001A699E">
        <w:t>;</w:t>
      </w:r>
    </w:p>
    <w:p w14:paraId="17A188CE" w14:textId="14075A38" w:rsidR="000F2D5E" w:rsidRDefault="000F2D5E" w:rsidP="006E2136">
      <w:pPr>
        <w:pStyle w:val="ListParagraph"/>
        <w:numPr>
          <w:ilvl w:val="0"/>
          <w:numId w:val="53"/>
        </w:numPr>
      </w:pPr>
      <w:r>
        <w:t xml:space="preserve">Data </w:t>
      </w:r>
      <w:r w:rsidR="001A699E">
        <w:t>e</w:t>
      </w:r>
      <w:r>
        <w:t>ntry reduction</w:t>
      </w:r>
      <w:r w:rsidR="00BB2406">
        <w:t>—</w:t>
      </w:r>
      <w:r>
        <w:t>DMRs</w:t>
      </w:r>
      <w:r w:rsidR="001A699E">
        <w:t>;</w:t>
      </w:r>
    </w:p>
    <w:p w14:paraId="2B09FEE2" w14:textId="394EDF79" w:rsidR="000F2D5E" w:rsidRDefault="000F2D5E" w:rsidP="000F2D5E">
      <w:pPr>
        <w:pStyle w:val="ListParagraph"/>
        <w:numPr>
          <w:ilvl w:val="0"/>
          <w:numId w:val="53"/>
        </w:numPr>
      </w:pPr>
      <w:r>
        <w:t xml:space="preserve">Data </w:t>
      </w:r>
      <w:r w:rsidR="001A699E">
        <w:t>e</w:t>
      </w:r>
      <w:r>
        <w:t>ntry reduction</w:t>
      </w:r>
      <w:r w:rsidR="00BB2406">
        <w:t>—</w:t>
      </w:r>
      <w:r>
        <w:t>reports</w:t>
      </w:r>
      <w:r w:rsidR="001A699E">
        <w:t>; and</w:t>
      </w:r>
    </w:p>
    <w:p w14:paraId="5C860305" w14:textId="77777777" w:rsidR="0085470C" w:rsidRDefault="000F2D5E" w:rsidP="000F2D5E">
      <w:pPr>
        <w:pStyle w:val="ListParagraph"/>
        <w:numPr>
          <w:ilvl w:val="0"/>
          <w:numId w:val="53"/>
        </w:numPr>
      </w:pPr>
      <w:r>
        <w:t>DMR p</w:t>
      </w:r>
      <w:r w:rsidRPr="001935F1">
        <w:t>rinting/</w:t>
      </w:r>
      <w:r>
        <w:t>m</w:t>
      </w:r>
      <w:r w:rsidRPr="001935F1">
        <w:t xml:space="preserve">ailing </w:t>
      </w:r>
      <w:r>
        <w:t xml:space="preserve">(O&amp;M savings </w:t>
      </w:r>
      <w:r w:rsidRPr="001935F1">
        <w:t>see section A.2.2.9</w:t>
      </w:r>
      <w:r>
        <w:t>)</w:t>
      </w:r>
      <w:r w:rsidR="001A699E">
        <w:t>.</w:t>
      </w:r>
    </w:p>
    <w:p w14:paraId="0F476CEF" w14:textId="77777777" w:rsidR="0085470C" w:rsidRDefault="0051049C" w:rsidP="000F2D5E">
      <w:r w:rsidRPr="0051049C">
        <w:t>Underlying assumptions regarding burden estimates are described below.</w:t>
      </w:r>
    </w:p>
    <w:p w14:paraId="36890A5F" w14:textId="11629DAB" w:rsidR="000F2D5E" w:rsidRPr="00DE1B27" w:rsidRDefault="000F2D5E" w:rsidP="00DE1B27">
      <w:pPr>
        <w:pStyle w:val="Heading5"/>
      </w:pPr>
      <w:r w:rsidRPr="00DE1B27">
        <w:t>Transfer of Data</w:t>
      </w:r>
    </w:p>
    <w:p w14:paraId="0F88CC3E" w14:textId="77777777" w:rsidR="0085470C" w:rsidRDefault="00634164" w:rsidP="009B2E92">
      <w:r w:rsidRPr="00634164">
        <w:t xml:space="preserve">The analysis assumes states currently operating their own systems will bear an ongoing annual cost to manage transfer of data between their system and EPA’s. </w:t>
      </w:r>
      <w:r>
        <w:t>The annual burden estimate per state is 2,080 hours and</w:t>
      </w:r>
      <w:r w:rsidRPr="00634164">
        <w:t xml:space="preserve"> is based on an estimate of 1 full-time equivalent (FTE), or 2,080 hours, of programmer/technical labor per state per year</w:t>
      </w:r>
      <w:r>
        <w:t xml:space="preserve">. </w:t>
      </w:r>
    </w:p>
    <w:p w14:paraId="333BDEFB" w14:textId="1B3D08D6" w:rsidR="000F2D5E" w:rsidRDefault="000F2D5E" w:rsidP="00DE1B27">
      <w:pPr>
        <w:pStyle w:val="Heading5"/>
      </w:pPr>
      <w:r w:rsidRPr="0036174E">
        <w:t>Training and Technical Support</w:t>
      </w:r>
    </w:p>
    <w:p w14:paraId="1D40DA78" w14:textId="77777777" w:rsidR="0085470C" w:rsidRDefault="00634164" w:rsidP="009B2E92">
      <w:r w:rsidRPr="00634164">
        <w:t xml:space="preserve">The analysis also assumes that each authorized NPDES program, whether </w:t>
      </w:r>
      <w:r w:rsidR="00151D55">
        <w:t>it operates its</w:t>
      </w:r>
      <w:r w:rsidRPr="00634164">
        <w:t xml:space="preserve"> own system or use</w:t>
      </w:r>
      <w:r w:rsidR="00151D55">
        <w:t>s</w:t>
      </w:r>
      <w:r w:rsidRPr="00634164">
        <w:t xml:space="preserve"> EPA’s tools, will bear an ongoing annual cost to provide training and technical support to regulated entities</w:t>
      </w:r>
      <w:r>
        <w:t xml:space="preserve">. The estimated annual </w:t>
      </w:r>
      <w:r w:rsidRPr="00634164">
        <w:t xml:space="preserve">training and technical support </w:t>
      </w:r>
      <w:r>
        <w:t xml:space="preserve">burden per </w:t>
      </w:r>
      <w:r w:rsidR="00151D55">
        <w:t xml:space="preserve">authorized </w:t>
      </w:r>
      <w:r>
        <w:t xml:space="preserve">state is </w:t>
      </w:r>
      <w:r w:rsidR="00197114" w:rsidRPr="00197114">
        <w:t xml:space="preserve">2 FTEs of programmer/technical labor per state per year or </w:t>
      </w:r>
      <w:r w:rsidRPr="00634164">
        <w:t>4,160 hours of programmer/technical labor</w:t>
      </w:r>
      <w:r>
        <w:t>. This is a conservative estimate based on the upper end of the range reported in comments submitted by states.</w:t>
      </w:r>
      <w:r w:rsidRPr="00634164">
        <w:t xml:space="preserve"> </w:t>
      </w:r>
    </w:p>
    <w:p w14:paraId="5A8110B2" w14:textId="57C78B89" w:rsidR="00197114" w:rsidRPr="0036174E" w:rsidRDefault="00197114" w:rsidP="00DE1B27">
      <w:pPr>
        <w:pStyle w:val="Heading5"/>
      </w:pPr>
      <w:r w:rsidRPr="0036174E">
        <w:t>Required Programmatic Data Entry</w:t>
      </w:r>
    </w:p>
    <w:p w14:paraId="792BAD4D" w14:textId="77777777" w:rsidR="0085470C" w:rsidRDefault="00197114" w:rsidP="00197114">
      <w:r>
        <w:t>O</w:t>
      </w:r>
      <w:r w:rsidRPr="005C3FA7">
        <w:t xml:space="preserve">ngoing data entry associated with </w:t>
      </w:r>
      <w:r w:rsidR="001E5224">
        <w:t xml:space="preserve">states </w:t>
      </w:r>
      <w:r w:rsidRPr="005C3FA7">
        <w:t xml:space="preserve">submitting </w:t>
      </w:r>
      <w:r>
        <w:t xml:space="preserve">required </w:t>
      </w:r>
      <w:r w:rsidRPr="005C3FA7">
        <w:t>programmatic data to EPA</w:t>
      </w:r>
      <w:r>
        <w:t xml:space="preserve"> is estimated to have a total annual labor cost of $</w:t>
      </w:r>
      <w:r w:rsidRPr="00E660F9">
        <w:t>3</w:t>
      </w:r>
      <w:r>
        <w:t>,</w:t>
      </w:r>
      <w:r w:rsidRPr="00E660F9">
        <w:t>857</w:t>
      </w:r>
      <w:r>
        <w:t>,</w:t>
      </w:r>
      <w:r w:rsidRPr="00E660F9">
        <w:t>000</w:t>
      </w:r>
      <w:r>
        <w:t xml:space="preserve"> which is equivalent to </w:t>
      </w:r>
      <w:r w:rsidRPr="00E10A58">
        <w:t>85,445</w:t>
      </w:r>
      <w:r>
        <w:t xml:space="preserve"> hours.</w:t>
      </w:r>
    </w:p>
    <w:p w14:paraId="5383C2CB" w14:textId="49665111" w:rsidR="004167D4" w:rsidRPr="003D16AA" w:rsidRDefault="00197114" w:rsidP="00DE1B27">
      <w:pPr>
        <w:pStyle w:val="Heading5"/>
      </w:pPr>
      <w:r w:rsidRPr="0036174E">
        <w:t xml:space="preserve">Data Entry </w:t>
      </w:r>
      <w:r w:rsidR="001A699E" w:rsidRPr="001A699E">
        <w:t>R</w:t>
      </w:r>
      <w:r w:rsidRPr="001A699E">
        <w:t>eduction</w:t>
      </w:r>
      <w:r w:rsidR="00BB2406">
        <w:t>—</w:t>
      </w:r>
      <w:r w:rsidRPr="0036174E">
        <w:t>DMRs</w:t>
      </w:r>
    </w:p>
    <w:p w14:paraId="78FFC0AD" w14:textId="77777777" w:rsidR="0085470C" w:rsidRDefault="004167D4" w:rsidP="00463ED2">
      <w:r>
        <w:t>Estimate</w:t>
      </w:r>
      <w:r w:rsidR="00870C7A">
        <w:t>d</w:t>
      </w:r>
      <w:r>
        <w:t xml:space="preserve"> reductions </w:t>
      </w:r>
      <w:r w:rsidR="00870C7A" w:rsidRPr="00870C7A">
        <w:t xml:space="preserve">for processing DMRs </w:t>
      </w:r>
      <w:r>
        <w:t>for states are based on 20 minutes (0.33 h</w:t>
      </w:r>
      <w:r w:rsidR="007361FD">
        <w:t>ou</w:t>
      </w:r>
      <w:r>
        <w:t>rs) per DMR</w:t>
      </w:r>
      <w:r w:rsidR="00870C7A" w:rsidRPr="00870C7A">
        <w:t xml:space="preserve"> </w:t>
      </w:r>
      <w:r w:rsidR="00463ED2">
        <w:t>form with many</w:t>
      </w:r>
      <w:r w:rsidR="00463ED2" w:rsidRPr="00282677">
        <w:t xml:space="preserve"> facilities submit</w:t>
      </w:r>
      <w:r w:rsidR="00463ED2">
        <w:t>ting</w:t>
      </w:r>
      <w:r w:rsidR="00463ED2" w:rsidRPr="00282677">
        <w:t xml:space="preserve"> multiple forms</w:t>
      </w:r>
      <w:r w:rsidR="00463ED2">
        <w:t>. The average reduction per facility DMR submission is estimated to be 0.75 hours.</w:t>
      </w:r>
    </w:p>
    <w:p w14:paraId="1C4B44D9" w14:textId="3DECFD70" w:rsidR="00463ED2" w:rsidRPr="0036174E" w:rsidRDefault="00463ED2" w:rsidP="00DE1B27">
      <w:pPr>
        <w:pStyle w:val="Heading5"/>
      </w:pPr>
      <w:r w:rsidRPr="00282677">
        <w:t>Data Entry R</w:t>
      </w:r>
      <w:r w:rsidRPr="0036174E">
        <w:t>eduction</w:t>
      </w:r>
      <w:r w:rsidR="00BB2406">
        <w:t>—</w:t>
      </w:r>
      <w:r w:rsidRPr="00282677">
        <w:t>R</w:t>
      </w:r>
      <w:r w:rsidRPr="0036174E">
        <w:t>eports</w:t>
      </w:r>
    </w:p>
    <w:p w14:paraId="288974FA" w14:textId="77777777" w:rsidR="0085470C" w:rsidRDefault="00463ED2" w:rsidP="00463ED2">
      <w:pPr>
        <w:rPr>
          <w:rFonts w:ascii="Arial" w:hAnsi="Arial" w:cs="Arial"/>
          <w:b/>
          <w:bCs/>
          <w:szCs w:val="26"/>
        </w:rPr>
      </w:pPr>
      <w:r>
        <w:t xml:space="preserve">Estimated reductions </w:t>
      </w:r>
      <w:r w:rsidRPr="00870C7A">
        <w:t xml:space="preserve">for processing general permit reports and program reports </w:t>
      </w:r>
      <w:r>
        <w:t>for states are based on 7.</w:t>
      </w:r>
      <w:r w:rsidRPr="00870C7A">
        <w:t>5 minutes (0.125 h</w:t>
      </w:r>
      <w:r>
        <w:t>ou</w:t>
      </w:r>
      <w:r w:rsidRPr="00870C7A">
        <w:t>rs) per report</w:t>
      </w:r>
      <w:r>
        <w:t>.</w:t>
      </w:r>
    </w:p>
    <w:p w14:paraId="673B368D" w14:textId="0F4A180D" w:rsidR="00463ED2" w:rsidRDefault="007F6EA9" w:rsidP="00E24112">
      <w:pPr>
        <w:spacing w:after="120"/>
      </w:pPr>
      <w:r w:rsidRPr="00786C04">
        <w:rPr>
          <w:i/>
        </w:rPr>
        <w:t>Federal</w:t>
      </w:r>
      <w:r w:rsidR="00D2564C">
        <w:rPr>
          <w:i/>
        </w:rPr>
        <w:t>.</w:t>
      </w:r>
      <w:r>
        <w:t xml:space="preserve"> </w:t>
      </w:r>
      <w:r w:rsidR="00463ED2">
        <w:t>Federal activities include</w:t>
      </w:r>
      <w:r w:rsidR="001A699E">
        <w:t>:</w:t>
      </w:r>
    </w:p>
    <w:p w14:paraId="65A8A38D" w14:textId="4FC8EA5E" w:rsidR="00463ED2" w:rsidRDefault="00463ED2" w:rsidP="00463ED2">
      <w:pPr>
        <w:pStyle w:val="ListParagraph"/>
        <w:numPr>
          <w:ilvl w:val="0"/>
          <w:numId w:val="54"/>
        </w:numPr>
      </w:pPr>
      <w:r>
        <w:t>Operate and maintain the necessary changes in the ICIS-NPDES system</w:t>
      </w:r>
      <w:r w:rsidR="001A699E">
        <w:t>;</w:t>
      </w:r>
    </w:p>
    <w:p w14:paraId="11973A62" w14:textId="1D6C4E52" w:rsidR="00463ED2" w:rsidRDefault="00463ED2" w:rsidP="00463ED2">
      <w:pPr>
        <w:pStyle w:val="ListParagraph"/>
        <w:numPr>
          <w:ilvl w:val="0"/>
          <w:numId w:val="54"/>
        </w:numPr>
      </w:pPr>
      <w:r>
        <w:t xml:space="preserve">Data </w:t>
      </w:r>
      <w:r w:rsidR="001A699E">
        <w:t>e</w:t>
      </w:r>
      <w:r>
        <w:t>ntry reduction</w:t>
      </w:r>
      <w:r w:rsidR="00BB2406">
        <w:t>—</w:t>
      </w:r>
      <w:r>
        <w:t>DMRs and reports</w:t>
      </w:r>
      <w:r w:rsidR="001A699E">
        <w:t>;</w:t>
      </w:r>
    </w:p>
    <w:p w14:paraId="71A77320" w14:textId="0627A3DB" w:rsidR="00463ED2" w:rsidRDefault="00463ED2" w:rsidP="00463ED2">
      <w:pPr>
        <w:pStyle w:val="ListParagraph"/>
        <w:numPr>
          <w:ilvl w:val="0"/>
          <w:numId w:val="54"/>
        </w:numPr>
      </w:pPr>
      <w:r>
        <w:t>Oversight Letters</w:t>
      </w:r>
      <w:r w:rsidR="001A699E">
        <w:t>; and</w:t>
      </w:r>
    </w:p>
    <w:p w14:paraId="69B72ACA" w14:textId="77777777" w:rsidR="0085470C" w:rsidRDefault="00463ED2" w:rsidP="003D16AA">
      <w:pPr>
        <w:pStyle w:val="ListParagraph"/>
        <w:numPr>
          <w:ilvl w:val="0"/>
          <w:numId w:val="54"/>
        </w:numPr>
      </w:pPr>
      <w:r w:rsidRPr="007F1571">
        <w:t>DMR printing/mailing (O&amp;M savings see section A.2.2.9)</w:t>
      </w:r>
      <w:r w:rsidR="001A699E">
        <w:t>.</w:t>
      </w:r>
    </w:p>
    <w:p w14:paraId="51116F8A" w14:textId="77777777" w:rsidR="0085470C" w:rsidRDefault="0051049C" w:rsidP="009B2E92">
      <w:r w:rsidRPr="0051049C">
        <w:t>Underlying assumptions regarding burden estimates are described below.</w:t>
      </w:r>
    </w:p>
    <w:p w14:paraId="0B8384CA" w14:textId="7C29222F" w:rsidR="00463ED2" w:rsidRPr="003D16AA" w:rsidRDefault="00463ED2" w:rsidP="00DE1B27">
      <w:pPr>
        <w:pStyle w:val="Heading5"/>
      </w:pPr>
      <w:r w:rsidRPr="003D16AA">
        <w:t>Operate and Maintain Changes in the ICIS-NPDES System</w:t>
      </w:r>
    </w:p>
    <w:p w14:paraId="1E7DBE5A" w14:textId="77777777" w:rsidR="0085470C" w:rsidRDefault="004167D4" w:rsidP="009B2E92">
      <w:r w:rsidRPr="004167D4">
        <w:t xml:space="preserve">The </w:t>
      </w:r>
      <w:r>
        <w:t xml:space="preserve">estimated </w:t>
      </w:r>
      <w:r w:rsidRPr="004167D4">
        <w:t xml:space="preserve">annual </w:t>
      </w:r>
      <w:r>
        <w:t xml:space="preserve">EPA </w:t>
      </w:r>
      <w:r w:rsidRPr="004167D4">
        <w:t xml:space="preserve">burden </w:t>
      </w:r>
      <w:r>
        <w:t xml:space="preserve">for </w:t>
      </w:r>
      <w:r w:rsidRPr="004167D4">
        <w:t xml:space="preserve">ongoing </w:t>
      </w:r>
      <w:r>
        <w:t>activities to</w:t>
      </w:r>
      <w:r w:rsidRPr="004167D4">
        <w:t xml:space="preserve"> operate and maintain the necessary changes in the ICIS-NPDES system required by the rule is estimated at 16,389 hours per year</w:t>
      </w:r>
      <w:r>
        <w:t xml:space="preserve">. </w:t>
      </w:r>
    </w:p>
    <w:p w14:paraId="3BA15357" w14:textId="2F26F86A" w:rsidR="00463ED2" w:rsidRPr="003D16AA" w:rsidRDefault="00463ED2" w:rsidP="00DE1B27">
      <w:pPr>
        <w:pStyle w:val="Heading5"/>
      </w:pPr>
      <w:r w:rsidRPr="003D16AA">
        <w:t xml:space="preserve">Data Entry </w:t>
      </w:r>
      <w:r w:rsidR="001A699E">
        <w:t>R</w:t>
      </w:r>
      <w:r w:rsidRPr="003D16AA">
        <w:t>eduction</w:t>
      </w:r>
      <w:r w:rsidR="00BB2406">
        <w:t>—</w:t>
      </w:r>
      <w:r w:rsidRPr="003D16AA">
        <w:t>DMRs and Reports</w:t>
      </w:r>
    </w:p>
    <w:p w14:paraId="59757B17" w14:textId="77777777" w:rsidR="0085470C" w:rsidRDefault="004167D4" w:rsidP="009B2E92">
      <w:r w:rsidRPr="004167D4">
        <w:t>EPA Regions would receive savings from no longer having to enter information submitted by regulated entities on paper DMRs</w:t>
      </w:r>
      <w:r w:rsidR="00870C7A">
        <w:t>,</w:t>
      </w:r>
      <w:r w:rsidRPr="004167D4">
        <w:t xml:space="preserve"> general permit reports</w:t>
      </w:r>
      <w:r w:rsidR="00870C7A" w:rsidRPr="00870C7A">
        <w:t>, and program reports</w:t>
      </w:r>
      <w:r>
        <w:t xml:space="preserve">. </w:t>
      </w:r>
      <w:r w:rsidRPr="004167D4">
        <w:t xml:space="preserve">The average burden reduction per region for this activity is </w:t>
      </w:r>
      <w:r w:rsidR="00870C7A">
        <w:t>-</w:t>
      </w:r>
      <w:r w:rsidRPr="004167D4">
        <w:t>2,481 hours</w:t>
      </w:r>
      <w:r>
        <w:t>.</w:t>
      </w:r>
    </w:p>
    <w:p w14:paraId="51CD4D08" w14:textId="67664517" w:rsidR="00463ED2" w:rsidRDefault="00463ED2" w:rsidP="00DE1B27">
      <w:pPr>
        <w:pStyle w:val="Heading5"/>
      </w:pPr>
      <w:r w:rsidRPr="0036174E">
        <w:t>Oversight Letters</w:t>
      </w:r>
    </w:p>
    <w:p w14:paraId="0711D2B6" w14:textId="2CFACBDB" w:rsidR="00463ED2" w:rsidRDefault="00463ED2" w:rsidP="003D16AA">
      <w:r w:rsidRPr="003D16AA">
        <w:t xml:space="preserve">When </w:t>
      </w:r>
      <w:r w:rsidR="006E2136">
        <w:t xml:space="preserve">an </w:t>
      </w:r>
      <w:r w:rsidRPr="003D16AA">
        <w:t>authorized state, tribe, or territory has less than 90% participation rate for one or more data groups, EPA will use its CWA authority and ICR to issue targeted individual notices requiring NPDES-regulated entities to utilize their NPDES program’s electronic reporting system. It is estimated there will be 14,624 letters during the 3 year period or an average of 4,875 per year. It is estimated each letter will require 0.5 hours to prepare and send.</w:t>
      </w:r>
    </w:p>
    <w:p w14:paraId="75385FA7" w14:textId="0A244098" w:rsidR="003E71A0" w:rsidRDefault="008908BE" w:rsidP="00B101A0">
      <w:pPr>
        <w:pStyle w:val="Heading3"/>
      </w:pPr>
      <w:bookmarkStart w:id="42" w:name="_Toc510451642"/>
      <w:r>
        <w:t>A</w:t>
      </w:r>
      <w:r w:rsidRPr="0019239A">
        <w:t>.1.</w:t>
      </w:r>
      <w:r w:rsidR="007F6EA9">
        <w:t>9</w:t>
      </w:r>
      <w:r w:rsidR="00581132">
        <w:t>.</w:t>
      </w:r>
      <w:r w:rsidR="00DE1B27">
        <w:tab/>
      </w:r>
      <w:r w:rsidR="00581132">
        <w:t xml:space="preserve">General </w:t>
      </w:r>
      <w:r w:rsidR="003E71A0">
        <w:t>State Activities</w:t>
      </w:r>
      <w:bookmarkEnd w:id="42"/>
    </w:p>
    <w:p w14:paraId="1318FE2F" w14:textId="44E4B410" w:rsidR="0068144F" w:rsidRPr="0068144F" w:rsidRDefault="0068144F" w:rsidP="005A0595">
      <w:r>
        <w:t xml:space="preserve">This category applies to </w:t>
      </w:r>
      <w:r w:rsidR="006B3A50">
        <w:t xml:space="preserve">permitting authority </w:t>
      </w:r>
      <w:r w:rsidR="00F83C9F">
        <w:t xml:space="preserve">activities </w:t>
      </w:r>
      <w:r>
        <w:t xml:space="preserve">that </w:t>
      </w:r>
      <w:r w:rsidR="00F83C9F">
        <w:t>are not directly attributable to the individual categories described above.</w:t>
      </w:r>
    </w:p>
    <w:p w14:paraId="0EBA7797" w14:textId="0CF5441D" w:rsidR="003E71A0" w:rsidRDefault="0068144F" w:rsidP="00B101A0">
      <w:pPr>
        <w:pStyle w:val="Heading4"/>
      </w:pPr>
      <w:r>
        <w:t>A.1.</w:t>
      </w:r>
      <w:r w:rsidR="007F6EA9">
        <w:t>9</w:t>
      </w:r>
      <w:r>
        <w:t xml:space="preserve">.1. </w:t>
      </w:r>
      <w:r w:rsidRPr="0068144F">
        <w:t>Certification of EPA-issued Permits</w:t>
      </w:r>
    </w:p>
    <w:p w14:paraId="5CDC864C" w14:textId="21E9A3A7" w:rsidR="0068144F" w:rsidRDefault="0074454D" w:rsidP="005A0595">
      <w:r w:rsidRPr="0074454D">
        <w:t xml:space="preserve">When EPA issues </w:t>
      </w:r>
      <w:r w:rsidR="001E5224">
        <w:t xml:space="preserve">NPDES </w:t>
      </w:r>
      <w:r w:rsidRPr="0074454D">
        <w:t xml:space="preserve">permits, it must ensure that the permits are in compliance with state laws, including WQS. </w:t>
      </w:r>
      <w:r w:rsidR="00151D55">
        <w:t xml:space="preserve">Under CWA Section 401, </w:t>
      </w:r>
      <w:r w:rsidRPr="0074454D">
        <w:t>EPA may not issue a permit until the state certifies that the permit is in compliance with state laws</w:t>
      </w:r>
      <w:r>
        <w:t xml:space="preserve">. </w:t>
      </w:r>
      <w:r w:rsidR="002C5AAE" w:rsidRPr="00D5083F">
        <w:t xml:space="preserve">The respondents to this item are the estimated </w:t>
      </w:r>
      <w:r w:rsidR="001F6DBB">
        <w:t>637</w:t>
      </w:r>
      <w:r w:rsidR="002C5AAE" w:rsidRPr="00D5083F">
        <w:t xml:space="preserve"> entities including</w:t>
      </w:r>
      <w:r w:rsidR="002C5AAE" w:rsidRPr="002C5AAE">
        <w:t xml:space="preserve"> states, tribes, and U.S. territories </w:t>
      </w:r>
      <w:r>
        <w:t>that must certify EPA-issued permits</w:t>
      </w:r>
      <w:r w:rsidR="002C5AAE">
        <w:t xml:space="preserve">. </w:t>
      </w:r>
      <w:r w:rsidR="002C5AAE" w:rsidRPr="002C5AAE">
        <w:t>The average respondent burden is estimated to be 4 hours.</w:t>
      </w:r>
    </w:p>
    <w:p w14:paraId="01EB40FF" w14:textId="34050442" w:rsidR="00F83C9F" w:rsidRDefault="00F83C9F" w:rsidP="00B101A0">
      <w:pPr>
        <w:pStyle w:val="Heading4"/>
      </w:pPr>
      <w:r>
        <w:t>A.1.</w:t>
      </w:r>
      <w:r w:rsidR="007F6EA9">
        <w:t>9</w:t>
      </w:r>
      <w:r>
        <w:t xml:space="preserve">.2. </w:t>
      </w:r>
      <w:r w:rsidRPr="00F83C9F">
        <w:t xml:space="preserve">Inspection </w:t>
      </w:r>
      <w:r w:rsidR="007358A3">
        <w:t>and</w:t>
      </w:r>
      <w:r w:rsidRPr="00F83C9F">
        <w:t xml:space="preserve"> Investigation</w:t>
      </w:r>
    </w:p>
    <w:p w14:paraId="79E7013A" w14:textId="77777777" w:rsidR="0085470C" w:rsidRDefault="0018239C" w:rsidP="005A0595">
      <w:r>
        <w:t xml:space="preserve">Authorized states are required to maintain a “program for periodic inspections of </w:t>
      </w:r>
      <w:r w:rsidR="006B3A50">
        <w:t xml:space="preserve">the </w:t>
      </w:r>
      <w:r>
        <w:t>facilities and activities subject to regulation.”</w:t>
      </w:r>
      <w:r w:rsidR="0008077E">
        <w:t xml:space="preserve"> 40 CFR 123.26(b)(2).</w:t>
      </w:r>
      <w:r>
        <w:t xml:space="preserve"> Under EPA’s </w:t>
      </w:r>
      <w:r w:rsidRPr="0008077E">
        <w:rPr>
          <w:i/>
        </w:rPr>
        <w:t>Clean Water Act National Pollutant Discharge Elimination System Compliance Monitoring Strategy</w:t>
      </w:r>
      <w:r>
        <w:t xml:space="preserve"> (available at </w:t>
      </w:r>
      <w:hyperlink r:id="rId16" w:history="1">
        <w:r w:rsidRPr="001E02B7">
          <w:rPr>
            <w:rStyle w:val="Hyperlink"/>
          </w:rPr>
          <w:t>http://www2.epa.gov/compliance/clean-water-act-national-pollutant-discharge-elimination-system-compliance-monitoring</w:t>
        </w:r>
      </w:hyperlink>
      <w:r>
        <w:t>)</w:t>
      </w:r>
      <w:r w:rsidR="00C06769">
        <w:t>,</w:t>
      </w:r>
      <w:r>
        <w:t xml:space="preserve"> authorized states prepare annual Compliance Monitoring Strategy (CMS) plans that articulate commitments for compliance </w:t>
      </w:r>
      <w:r w:rsidR="001F6DBB">
        <w:t>assessment</w:t>
      </w:r>
      <w:r>
        <w:t xml:space="preserve"> activities</w:t>
      </w:r>
      <w:r w:rsidR="00F6341F">
        <w:t xml:space="preserve"> (e.g., inspections)</w:t>
      </w:r>
      <w:r>
        <w:t xml:space="preserve"> and end-of-year reports that summarize CMS plan implementation over the prior year. EPA has developed a</w:t>
      </w:r>
      <w:r w:rsidR="00245D90">
        <w:t xml:space="preserve"> </w:t>
      </w:r>
      <w:r>
        <w:t>template for states to use when preparing CMS plans and end-of-year reports.</w:t>
      </w:r>
    </w:p>
    <w:p w14:paraId="3F0A7B5F" w14:textId="013F7137" w:rsidR="0074454D" w:rsidRDefault="0074454D" w:rsidP="00A30867">
      <w:r w:rsidRPr="0074454D">
        <w:t xml:space="preserve">The various types of </w:t>
      </w:r>
      <w:r w:rsidR="006A18C8">
        <w:t>compliance monitoring activities</w:t>
      </w:r>
      <w:r w:rsidR="006A18C8" w:rsidRPr="0074454D">
        <w:t xml:space="preserve"> </w:t>
      </w:r>
      <w:r w:rsidR="00665095">
        <w:t>conducted by permitting authorities include</w:t>
      </w:r>
      <w:r>
        <w:t>:</w:t>
      </w:r>
    </w:p>
    <w:p w14:paraId="280A639F" w14:textId="1463426F" w:rsidR="00F76BB5" w:rsidRDefault="00F76BB5" w:rsidP="003A7067">
      <w:pPr>
        <w:pStyle w:val="ListParagraph"/>
        <w:numPr>
          <w:ilvl w:val="0"/>
          <w:numId w:val="17"/>
        </w:numPr>
      </w:pPr>
      <w:r>
        <w:t>Compliance Sampling Inspection (CSI). The estimated burden for th</w:t>
      </w:r>
      <w:r w:rsidR="006A18C8">
        <w:t>is</w:t>
      </w:r>
      <w:r>
        <w:t xml:space="preserve"> inspection is 120 hours.</w:t>
      </w:r>
    </w:p>
    <w:p w14:paraId="319C86EE" w14:textId="2C3B814A" w:rsidR="00F76BB5" w:rsidRDefault="00F76BB5" w:rsidP="003A7067">
      <w:pPr>
        <w:pStyle w:val="ListParagraph"/>
        <w:numPr>
          <w:ilvl w:val="0"/>
          <w:numId w:val="17"/>
        </w:numPr>
      </w:pPr>
      <w:r>
        <w:t>Compliance Evaluation Inspection (CEI). The estimated burden for this inspection is 24 hours.</w:t>
      </w:r>
    </w:p>
    <w:p w14:paraId="5CF12CD4" w14:textId="36A49307" w:rsidR="00F76BB5" w:rsidRDefault="00F76BB5" w:rsidP="003A7067">
      <w:pPr>
        <w:pStyle w:val="ListParagraph"/>
        <w:numPr>
          <w:ilvl w:val="0"/>
          <w:numId w:val="17"/>
        </w:numPr>
      </w:pPr>
      <w:r>
        <w:t>Performance Audit Inspection (PAI). The estimated burden for this inspection is 96 hours.</w:t>
      </w:r>
    </w:p>
    <w:p w14:paraId="2B51AF16" w14:textId="3665379D" w:rsidR="00F76BB5" w:rsidRDefault="00F76BB5" w:rsidP="003A7067">
      <w:pPr>
        <w:pStyle w:val="ListParagraph"/>
        <w:numPr>
          <w:ilvl w:val="0"/>
          <w:numId w:val="17"/>
        </w:numPr>
      </w:pPr>
      <w:r>
        <w:t>Diagnostic Inspection (DI). The estimated burden for this inspection is 128 hours.</w:t>
      </w:r>
    </w:p>
    <w:p w14:paraId="77B6B24F" w14:textId="388CCAC2" w:rsidR="00F76BB5" w:rsidRDefault="00F76BB5" w:rsidP="003A7067">
      <w:pPr>
        <w:pStyle w:val="ListParagraph"/>
        <w:numPr>
          <w:ilvl w:val="0"/>
          <w:numId w:val="17"/>
        </w:numPr>
      </w:pPr>
      <w:r>
        <w:t>Compliance Biomonitoring Inspection (CBI). The estimated burden for this inspection is 240 hours.</w:t>
      </w:r>
    </w:p>
    <w:p w14:paraId="36E3804E" w14:textId="3779ACCB" w:rsidR="00F76BB5" w:rsidRDefault="00F76BB5" w:rsidP="003A7067">
      <w:pPr>
        <w:pStyle w:val="ListParagraph"/>
        <w:numPr>
          <w:ilvl w:val="0"/>
          <w:numId w:val="17"/>
        </w:numPr>
      </w:pPr>
      <w:r>
        <w:t>Toxic Sampling Inspection (XSI). The estimated burden for this inspection is 280 hours.</w:t>
      </w:r>
    </w:p>
    <w:p w14:paraId="14E2DE01" w14:textId="77777777" w:rsidR="0085470C" w:rsidRDefault="00F76BB5" w:rsidP="003A7067">
      <w:pPr>
        <w:pStyle w:val="ListParagraph"/>
        <w:numPr>
          <w:ilvl w:val="0"/>
          <w:numId w:val="17"/>
        </w:numPr>
      </w:pPr>
      <w:r>
        <w:t>Reconnaissance Inspection (RI). The RI is the briefest of all NPDES inspections; the estimated burden for this inspection is 8 hours.</w:t>
      </w:r>
    </w:p>
    <w:p w14:paraId="3A033681" w14:textId="77777777" w:rsidR="0085470C" w:rsidRDefault="00245D90" w:rsidP="00F76BB5">
      <w:r>
        <w:t xml:space="preserve">The list of compliance monitoring activities described above is not the complete set of activities that EPA and </w:t>
      </w:r>
      <w:r w:rsidR="00BB2D73">
        <w:t>states</w:t>
      </w:r>
      <w:r>
        <w:t xml:space="preserve"> conduct pursuant to the CMS. </w:t>
      </w:r>
      <w:r w:rsidR="00F76BB5">
        <w:t xml:space="preserve">EPA estimates that on an annual basis for major facilities </w:t>
      </w:r>
      <w:r w:rsidR="002E4ED4">
        <w:t>9</w:t>
      </w:r>
      <w:r w:rsidR="00F76BB5" w:rsidRPr="00F76BB5">
        <w:t xml:space="preserve"> percent receive CSIs, 6</w:t>
      </w:r>
      <w:r w:rsidR="002E4ED4">
        <w:t>8</w:t>
      </w:r>
      <w:r w:rsidR="00F76BB5" w:rsidRPr="00F76BB5">
        <w:t xml:space="preserve"> percent receive CEIs, </w:t>
      </w:r>
      <w:r w:rsidR="002E4ED4">
        <w:t>6</w:t>
      </w:r>
      <w:r w:rsidR="00F76BB5" w:rsidRPr="00F76BB5">
        <w:t xml:space="preserve"> percent receive PAIs, 1 percent receive CBIs, </w:t>
      </w:r>
      <w:r w:rsidR="002E4ED4">
        <w:t>0.</w:t>
      </w:r>
      <w:r w:rsidR="00F76BB5" w:rsidRPr="00F76BB5">
        <w:t xml:space="preserve">4 percent receive XSIs, </w:t>
      </w:r>
      <w:r w:rsidR="002E4ED4">
        <w:t>18</w:t>
      </w:r>
      <w:r w:rsidR="00F76BB5" w:rsidRPr="00F76BB5">
        <w:t xml:space="preserve"> percent receive RIs</w:t>
      </w:r>
      <w:r w:rsidR="00C06769">
        <w:t>,</w:t>
      </w:r>
      <w:r w:rsidR="00F76BB5" w:rsidRPr="00F76BB5">
        <w:t xml:space="preserve"> and an additional </w:t>
      </w:r>
      <w:r w:rsidR="003520AB">
        <w:t>0.3</w:t>
      </w:r>
      <w:r w:rsidR="00F76BB5" w:rsidRPr="00F76BB5">
        <w:t xml:space="preserve"> percent of municipal </w:t>
      </w:r>
      <w:r w:rsidR="0009668D">
        <w:t xml:space="preserve">major </w:t>
      </w:r>
      <w:r w:rsidR="00F76BB5" w:rsidRPr="00F76BB5">
        <w:t>facilities receive D</w:t>
      </w:r>
      <w:r w:rsidR="00F76BB5">
        <w:t>I</w:t>
      </w:r>
      <w:r w:rsidR="00F76BB5" w:rsidRPr="00F76BB5">
        <w:t>s</w:t>
      </w:r>
      <w:r w:rsidR="002E4ED4">
        <w:rPr>
          <w:rStyle w:val="FootnoteReference"/>
        </w:rPr>
        <w:footnoteReference w:id="4"/>
      </w:r>
      <w:r w:rsidR="00F76BB5">
        <w:t>. Of the minor facilities</w:t>
      </w:r>
      <w:r w:rsidR="00F76BB5" w:rsidRPr="00F76BB5">
        <w:t xml:space="preserve">, 3 percent receive CSIs and 17 percent receive CEIs. In addition, 10 percent of </w:t>
      </w:r>
      <w:r w:rsidR="00F6341F">
        <w:t xml:space="preserve">industrial stormwater </w:t>
      </w:r>
      <w:r w:rsidR="00F76BB5" w:rsidRPr="00F76BB5">
        <w:t>general permittees, 5 percent of large (&gt; 5 acres) construction stormwater general permittees, 2.5 percent of small (1</w:t>
      </w:r>
      <w:r w:rsidR="00F6341F">
        <w:t>-</w:t>
      </w:r>
      <w:r w:rsidR="00F76BB5" w:rsidRPr="00F76BB5">
        <w:t xml:space="preserve">5 acres) construction stormwater general permittees, 20 percent of Phase I MS4s, and one-seventh of </w:t>
      </w:r>
      <w:r w:rsidR="00F6341F">
        <w:t>Phase II</w:t>
      </w:r>
      <w:r w:rsidR="00F6341F" w:rsidRPr="00F76BB5">
        <w:t xml:space="preserve"> </w:t>
      </w:r>
      <w:r w:rsidR="00F76BB5" w:rsidRPr="00F76BB5">
        <w:t>MS4s receive RIs</w:t>
      </w:r>
      <w:r w:rsidR="00F76BB5">
        <w:t>.</w:t>
      </w:r>
    </w:p>
    <w:p w14:paraId="59EFB583" w14:textId="4B4BE7AA" w:rsidR="00E67282" w:rsidRPr="0074454D" w:rsidRDefault="00E67282" w:rsidP="00F76BB5">
      <w:r w:rsidRPr="00E67282">
        <w:t xml:space="preserve">Also, </w:t>
      </w:r>
      <w:r>
        <w:t xml:space="preserve">EPA revised the estimates to include CEIs for </w:t>
      </w:r>
      <w:r w:rsidRPr="00E67282">
        <w:t xml:space="preserve">20 percent of MS4 permittees, 10 percent of industrial stormwater general permittees, and 10 percent of construction stormwater general permittees </w:t>
      </w:r>
      <w:r>
        <w:t xml:space="preserve">which </w:t>
      </w:r>
      <w:r w:rsidR="00FE2BF3">
        <w:t xml:space="preserve">EPA discovered </w:t>
      </w:r>
      <w:r>
        <w:t>had not been included in the previous ICR</w:t>
      </w:r>
      <w:r w:rsidRPr="00E67282">
        <w:t>.</w:t>
      </w:r>
    </w:p>
    <w:p w14:paraId="3AFD6A0A" w14:textId="4C65A229" w:rsidR="00F83C9F" w:rsidRDefault="00F83C9F" w:rsidP="00B101A0">
      <w:pPr>
        <w:pStyle w:val="Heading4"/>
      </w:pPr>
      <w:r>
        <w:t>A.1.</w:t>
      </w:r>
      <w:r w:rsidR="007F6EA9">
        <w:t>9</w:t>
      </w:r>
      <w:r>
        <w:t xml:space="preserve">.3. </w:t>
      </w:r>
      <w:r w:rsidRPr="00F83C9F">
        <w:t>Submittal of Permit Information to EPA</w:t>
      </w:r>
    </w:p>
    <w:p w14:paraId="2D102F05" w14:textId="7505493D" w:rsidR="00A54386" w:rsidRPr="00A54386" w:rsidRDefault="00A54386" w:rsidP="005A0595">
      <w:r>
        <w:t xml:space="preserve">This item applies to requirements for authorized states to make available to EPA for review </w:t>
      </w:r>
      <w:r w:rsidRPr="00A54386">
        <w:t>any information obtained or used in the administration of a state program</w:t>
      </w:r>
      <w:r>
        <w:t xml:space="preserve">. The burden estimate assumes that </w:t>
      </w:r>
      <w:r w:rsidR="004E6FA4">
        <w:t>s</w:t>
      </w:r>
      <w:r w:rsidRPr="00A54386">
        <w:t xml:space="preserve">tates </w:t>
      </w:r>
      <w:r w:rsidRPr="00F5532D">
        <w:t>must submit all major permits, about 5 percent of minor permits, and all general permits</w:t>
      </w:r>
      <w:r w:rsidR="00F5532D" w:rsidRPr="00F5532D">
        <w:t>, as well as general program information collected as part of the application process</w:t>
      </w:r>
      <w:r w:rsidRPr="00F5532D">
        <w:t xml:space="preserve">. Time required </w:t>
      </w:r>
      <w:r>
        <w:t xml:space="preserve">is estimated to be 10 minutes </w:t>
      </w:r>
      <w:r w:rsidR="00CA726A">
        <w:t xml:space="preserve">each and applies to </w:t>
      </w:r>
      <w:r w:rsidR="001C5E71">
        <w:t>70</w:t>
      </w:r>
      <w:r w:rsidR="001C5E71" w:rsidRPr="001C5E71">
        <w:t xml:space="preserve"> percent of the major</w:t>
      </w:r>
      <w:r w:rsidR="00100879">
        <w:t xml:space="preserve"> permits</w:t>
      </w:r>
      <w:r w:rsidR="00CA726A">
        <w:t>,</w:t>
      </w:r>
      <w:r w:rsidR="001C5E71" w:rsidRPr="001C5E71">
        <w:t xml:space="preserve"> </w:t>
      </w:r>
      <w:r w:rsidR="001C5E71">
        <w:t>5 percent of the minor</w:t>
      </w:r>
      <w:r w:rsidR="00100879">
        <w:t xml:space="preserve"> permits</w:t>
      </w:r>
      <w:r w:rsidR="00CA726A">
        <w:t>,</w:t>
      </w:r>
      <w:r w:rsidR="001C5E71">
        <w:t xml:space="preserve"> and </w:t>
      </w:r>
      <w:r w:rsidRPr="00A54386">
        <w:t>100 percent of the general permits transmit</w:t>
      </w:r>
      <w:r w:rsidR="00CA726A">
        <w:t>ted</w:t>
      </w:r>
      <w:r w:rsidRPr="00A54386">
        <w:t xml:space="preserve"> to EPA</w:t>
      </w:r>
      <w:r w:rsidR="001C5E71">
        <w:t xml:space="preserve">. </w:t>
      </w:r>
      <w:r w:rsidR="001C5E71" w:rsidRPr="001C5E71">
        <w:t>The remaining 30 percent of major permits require 2 hours of transmittal time</w:t>
      </w:r>
      <w:r w:rsidR="001C5E71">
        <w:t>.</w:t>
      </w:r>
    </w:p>
    <w:p w14:paraId="060DFA1F" w14:textId="59572D1F" w:rsidR="00F83C9F" w:rsidRPr="00F83C9F" w:rsidRDefault="00F83C9F" w:rsidP="00B101A0">
      <w:pPr>
        <w:pStyle w:val="Heading4"/>
      </w:pPr>
      <w:r>
        <w:t>A.1.</w:t>
      </w:r>
      <w:r w:rsidR="007F6EA9">
        <w:t>9</w:t>
      </w:r>
      <w:r>
        <w:t xml:space="preserve">.4. </w:t>
      </w:r>
      <w:r w:rsidRPr="00F83C9F">
        <w:t>NPDES Program Authorization</w:t>
      </w:r>
    </w:p>
    <w:p w14:paraId="42F6A4EC" w14:textId="5D1A2391" w:rsidR="003E71A0" w:rsidRDefault="00E23275" w:rsidP="00A42E82">
      <w:r w:rsidRPr="00151FFA">
        <w:t>This category includes</w:t>
      </w:r>
      <w:r w:rsidR="0066153C" w:rsidRPr="00151FFA">
        <w:t>:</w:t>
      </w:r>
      <w:r w:rsidRPr="00151FFA">
        <w:t xml:space="preserve"> state requests that an authorized program be transferred back to EPA</w:t>
      </w:r>
      <w:r w:rsidR="003E4663">
        <w:t>,</w:t>
      </w:r>
      <w:r w:rsidRPr="00151FFA">
        <w:t xml:space="preserve"> with</w:t>
      </w:r>
      <w:r w:rsidR="004B444D" w:rsidRPr="00151FFA">
        <w:t xml:space="preserve"> a burden estimate of 480 hours</w:t>
      </w:r>
      <w:r w:rsidR="0066153C" w:rsidRPr="00151FFA">
        <w:t>; state</w:t>
      </w:r>
      <w:r w:rsidRPr="00151FFA">
        <w:t xml:space="preserve"> </w:t>
      </w:r>
      <w:r w:rsidR="004B444D" w:rsidRPr="00151FFA">
        <w:t>request</w:t>
      </w:r>
      <w:r w:rsidR="0066153C" w:rsidRPr="00151FFA">
        <w:t>s</w:t>
      </w:r>
      <w:r w:rsidR="004B444D" w:rsidRPr="00151FFA">
        <w:t xml:space="preserve"> for NPDES program modifications</w:t>
      </w:r>
      <w:r w:rsidR="003E4663">
        <w:t>,</w:t>
      </w:r>
      <w:r w:rsidR="004B444D" w:rsidRPr="00151FFA">
        <w:t xml:space="preserve"> with a burden estimate of 250 hours</w:t>
      </w:r>
      <w:r w:rsidR="0066153C" w:rsidRPr="00151FFA">
        <w:t>;</w:t>
      </w:r>
      <w:r w:rsidR="004B444D" w:rsidRPr="00151FFA">
        <w:t xml:space="preserve"> and </w:t>
      </w:r>
      <w:r w:rsidR="0066153C" w:rsidRPr="00151FFA">
        <w:t xml:space="preserve">state </w:t>
      </w:r>
      <w:r w:rsidR="004B444D" w:rsidRPr="00151FFA">
        <w:t>request</w:t>
      </w:r>
      <w:r w:rsidR="003E4663">
        <w:t>s</w:t>
      </w:r>
      <w:r w:rsidR="004B444D" w:rsidRPr="00151FFA">
        <w:t xml:space="preserve"> for sewage sludge program approval under Part 501</w:t>
      </w:r>
      <w:r w:rsidR="003E4663">
        <w:t>,</w:t>
      </w:r>
      <w:r w:rsidR="004B444D" w:rsidRPr="00151FFA">
        <w:t xml:space="preserve"> with a burden estimate of 750</w:t>
      </w:r>
      <w:r w:rsidR="00BD113E" w:rsidRPr="00151FFA">
        <w:t xml:space="preserve"> hours</w:t>
      </w:r>
      <w:r w:rsidR="004B444D" w:rsidRPr="00151FFA">
        <w:t xml:space="preserve">. EPA estimates that </w:t>
      </w:r>
      <w:r w:rsidR="005C677A">
        <w:t>one</w:t>
      </w:r>
      <w:r w:rsidR="00FF31B4">
        <w:t xml:space="preserve"> state will request program authorization, </w:t>
      </w:r>
      <w:r w:rsidR="005C677A">
        <w:t>one</w:t>
      </w:r>
      <w:r w:rsidR="004B444D" w:rsidRPr="00151FFA">
        <w:t xml:space="preserve"> authorized state</w:t>
      </w:r>
      <w:r w:rsidR="0066153C" w:rsidRPr="00151FFA">
        <w:t xml:space="preserve"> </w:t>
      </w:r>
      <w:r w:rsidR="00427FD1" w:rsidRPr="00151FFA">
        <w:t>over the three</w:t>
      </w:r>
      <w:r w:rsidR="0084214B">
        <w:t>-</w:t>
      </w:r>
      <w:r w:rsidR="00427FD1" w:rsidRPr="00151FFA">
        <w:t>year period</w:t>
      </w:r>
      <w:r w:rsidR="004B444D" w:rsidRPr="00151FFA">
        <w:t xml:space="preserve"> will request that an authorized program </w:t>
      </w:r>
      <w:r w:rsidR="003E4663">
        <w:t xml:space="preserve">or program component </w:t>
      </w:r>
      <w:r w:rsidR="004B444D" w:rsidRPr="00151FFA">
        <w:t xml:space="preserve">be transferred, </w:t>
      </w:r>
      <w:r w:rsidR="004E6FA4" w:rsidRPr="00151FFA">
        <w:t xml:space="preserve">12 </w:t>
      </w:r>
      <w:r w:rsidR="00427FD1" w:rsidRPr="005812AC">
        <w:t>over the thre</w:t>
      </w:r>
      <w:r w:rsidR="00D5083F">
        <w:t>e</w:t>
      </w:r>
      <w:r w:rsidR="0084214B">
        <w:t>-</w:t>
      </w:r>
      <w:r w:rsidR="00427FD1" w:rsidRPr="005812AC">
        <w:t>year period</w:t>
      </w:r>
      <w:r w:rsidR="004B444D" w:rsidRPr="005812AC">
        <w:t xml:space="preserve"> will request program modification to update their legal authorities in response to the </w:t>
      </w:r>
      <w:r w:rsidR="00705569">
        <w:t>regulatory changes (e.g., rulemakings, state water quality standards revisions, etc.)</w:t>
      </w:r>
      <w:r w:rsidR="004B444D" w:rsidRPr="005812AC">
        <w:t xml:space="preserve"> anticipated in the NPDES program, and one </w:t>
      </w:r>
      <w:r w:rsidR="004E6FA4" w:rsidRPr="005812AC">
        <w:t>over the 3</w:t>
      </w:r>
      <w:r w:rsidR="00A41EED">
        <w:t>-</w:t>
      </w:r>
      <w:r w:rsidR="004E6FA4" w:rsidRPr="005812AC">
        <w:t xml:space="preserve">year period </w:t>
      </w:r>
      <w:r w:rsidR="004B444D" w:rsidRPr="005812AC">
        <w:t xml:space="preserve">will request </w:t>
      </w:r>
      <w:r w:rsidR="004E6FA4" w:rsidRPr="005812AC">
        <w:t>a</w:t>
      </w:r>
      <w:r w:rsidR="004B444D" w:rsidRPr="005812AC">
        <w:t xml:space="preserve"> sewage sludge program approval.</w:t>
      </w:r>
    </w:p>
    <w:p w14:paraId="178A78FA" w14:textId="6A3B36AD" w:rsidR="00786817" w:rsidRPr="005A1A1F" w:rsidRDefault="007875DF" w:rsidP="00B101A0">
      <w:pPr>
        <w:pStyle w:val="Heading2"/>
      </w:pPr>
      <w:bookmarkStart w:id="43" w:name="_Ref199651052"/>
      <w:bookmarkStart w:id="44" w:name="_Toc300908856"/>
      <w:bookmarkStart w:id="45" w:name="_Toc510451643"/>
      <w:r>
        <w:t>A.2</w:t>
      </w:r>
      <w:r w:rsidR="004B444D">
        <w:t>.</w:t>
      </w:r>
      <w:r>
        <w:t xml:space="preserve"> </w:t>
      </w:r>
      <w:r w:rsidR="00786817" w:rsidRPr="005A1A1F">
        <w:t>Estimating Respondent Costs</w:t>
      </w:r>
      <w:bookmarkEnd w:id="43"/>
      <w:bookmarkEnd w:id="44"/>
      <w:bookmarkEnd w:id="45"/>
    </w:p>
    <w:p w14:paraId="364FBBDA" w14:textId="46F75E4B" w:rsidR="00786817" w:rsidRDefault="004E6FA4" w:rsidP="00A30867">
      <w:r>
        <w:t>Once b</w:t>
      </w:r>
      <w:r w:rsidR="00786817" w:rsidRPr="005A1A1F">
        <w:t>urden hour</w:t>
      </w:r>
      <w:r>
        <w:t>s are estimated,</w:t>
      </w:r>
      <w:r w:rsidR="00786817" w:rsidRPr="005A1A1F">
        <w:t xml:space="preserve"> the next step is to estimate the labor cost </w:t>
      </w:r>
      <w:r w:rsidR="004B444D">
        <w:t>for</w:t>
      </w:r>
      <w:r w:rsidR="00786817" w:rsidRPr="005A1A1F">
        <w:t xml:space="preserve"> respondent</w:t>
      </w:r>
      <w:r w:rsidR="004B444D">
        <w:t>s</w:t>
      </w:r>
      <w:r w:rsidR="00786817" w:rsidRPr="005A1A1F">
        <w:t xml:space="preserve"> and the capital costs required to complete each activity. The total cost for each respondent activity is composed of the following:</w:t>
      </w:r>
    </w:p>
    <w:p w14:paraId="2BE67A68" w14:textId="58220A76" w:rsidR="00786817" w:rsidRPr="005A1A1F" w:rsidRDefault="00786817" w:rsidP="00A30867">
      <w:pPr>
        <w:pStyle w:val="Bullet1"/>
        <w:tabs>
          <w:tab w:val="clear" w:pos="360"/>
          <w:tab w:val="num" w:pos="720"/>
        </w:tabs>
        <w:spacing w:after="240"/>
        <w:ind w:left="720"/>
        <w:contextualSpacing/>
      </w:pPr>
      <w:r w:rsidRPr="005A1A1F">
        <w:t xml:space="preserve">Labor </w:t>
      </w:r>
      <w:r w:rsidR="00443AC8">
        <w:t>c</w:t>
      </w:r>
      <w:r w:rsidR="00443AC8" w:rsidRPr="005A1A1F">
        <w:t>ost</w:t>
      </w:r>
      <w:r w:rsidRPr="005A1A1F">
        <w:t>;</w:t>
      </w:r>
    </w:p>
    <w:p w14:paraId="43F2A3F3" w14:textId="00D0CF88" w:rsidR="00786817" w:rsidRPr="005A1A1F" w:rsidRDefault="00786817" w:rsidP="00A30867">
      <w:pPr>
        <w:pStyle w:val="Bullet1"/>
        <w:tabs>
          <w:tab w:val="clear" w:pos="360"/>
          <w:tab w:val="num" w:pos="720"/>
        </w:tabs>
        <w:spacing w:after="240"/>
        <w:ind w:left="720"/>
        <w:contextualSpacing/>
      </w:pPr>
      <w:r w:rsidRPr="005A1A1F">
        <w:t xml:space="preserve">Operating and </w:t>
      </w:r>
      <w:r w:rsidR="00443AC8">
        <w:t>m</w:t>
      </w:r>
      <w:r w:rsidR="00443AC8" w:rsidRPr="005A1A1F">
        <w:t xml:space="preserve">aintenance </w:t>
      </w:r>
      <w:r w:rsidRPr="005A1A1F">
        <w:t xml:space="preserve">(O&amp;M) </w:t>
      </w:r>
      <w:r w:rsidR="00443AC8">
        <w:t>c</w:t>
      </w:r>
      <w:r w:rsidR="00443AC8" w:rsidRPr="005A1A1F">
        <w:t>ost</w:t>
      </w:r>
      <w:r w:rsidRPr="005A1A1F">
        <w:t>; and</w:t>
      </w:r>
    </w:p>
    <w:p w14:paraId="05AC2A41" w14:textId="77777777" w:rsidR="0085470C" w:rsidRDefault="00786817" w:rsidP="00A30867">
      <w:pPr>
        <w:pStyle w:val="Bullet1"/>
        <w:tabs>
          <w:tab w:val="clear" w:pos="360"/>
          <w:tab w:val="num" w:pos="720"/>
        </w:tabs>
        <w:spacing w:after="240"/>
        <w:ind w:left="720"/>
        <w:contextualSpacing/>
      </w:pPr>
      <w:r w:rsidRPr="005A1A1F">
        <w:t>Capital/</w:t>
      </w:r>
      <w:r w:rsidR="00443AC8">
        <w:t>s</w:t>
      </w:r>
      <w:r w:rsidR="00443AC8" w:rsidRPr="005A1A1F">
        <w:t>tart</w:t>
      </w:r>
      <w:r w:rsidRPr="005A1A1F">
        <w:t xml:space="preserve">-up </w:t>
      </w:r>
      <w:r w:rsidR="00443AC8">
        <w:t>c</w:t>
      </w:r>
      <w:r w:rsidR="00443AC8" w:rsidRPr="005A1A1F">
        <w:t>ost</w:t>
      </w:r>
      <w:r w:rsidRPr="005A1A1F">
        <w:t>.</w:t>
      </w:r>
    </w:p>
    <w:p w14:paraId="41302B69" w14:textId="051B5C2F" w:rsidR="00786817" w:rsidRPr="005A1A1F" w:rsidRDefault="00786817" w:rsidP="00A30867">
      <w:r w:rsidRPr="00A30867">
        <w:t>The</w:t>
      </w:r>
      <w:r w:rsidRPr="005A1A1F">
        <w:t xml:space="preserve"> results of the respondents’ costs analysis are presented in the </w:t>
      </w:r>
      <w:r w:rsidR="004E6FA4" w:rsidRPr="004E6FA4">
        <w:t xml:space="preserve">Detailed Respondent Burden Results by Category </w:t>
      </w:r>
      <w:r w:rsidR="004E6FA4">
        <w:t>t</w:t>
      </w:r>
      <w:r w:rsidRPr="005A1A1F">
        <w:t xml:space="preserve">able in </w:t>
      </w:r>
      <w:r w:rsidRPr="004E6FA4">
        <w:t>Appendix B.</w:t>
      </w:r>
    </w:p>
    <w:p w14:paraId="6FFE3462" w14:textId="19D308C2" w:rsidR="00786817" w:rsidRPr="005A1A1F" w:rsidRDefault="007875DF" w:rsidP="00B101A0">
      <w:pPr>
        <w:pStyle w:val="Heading3"/>
      </w:pPr>
      <w:bookmarkStart w:id="46" w:name="_Toc300908857"/>
      <w:bookmarkStart w:id="47" w:name="_Toc510451644"/>
      <w:r>
        <w:t>A.2.1</w:t>
      </w:r>
      <w:r w:rsidR="004B444D">
        <w:t>.</w:t>
      </w:r>
      <w:r w:rsidR="00786817" w:rsidRPr="005A1A1F">
        <w:t xml:space="preserve"> Estimating Labor Costs</w:t>
      </w:r>
      <w:bookmarkEnd w:id="46"/>
      <w:bookmarkEnd w:id="47"/>
    </w:p>
    <w:p w14:paraId="062C7A42" w14:textId="77777777" w:rsidR="00786817" w:rsidRPr="005A1A1F" w:rsidRDefault="00786817" w:rsidP="00A30867">
      <w:r w:rsidRPr="005A1A1F">
        <w:t>When calculating respondent labor costs, EPA makes the following assumptions:</w:t>
      </w:r>
    </w:p>
    <w:p w14:paraId="735AE3C1" w14:textId="588F7BC4" w:rsidR="00786817" w:rsidRPr="005A1A1F" w:rsidRDefault="00786817" w:rsidP="00A30867">
      <w:pPr>
        <w:pStyle w:val="Bullet1"/>
        <w:spacing w:after="240"/>
        <w:ind w:left="720"/>
        <w:contextualSpacing/>
      </w:pPr>
      <w:r w:rsidRPr="005A1A1F">
        <w:t>EPA used a labor rate of $</w:t>
      </w:r>
      <w:r w:rsidR="00C457E0">
        <w:t>4</w:t>
      </w:r>
      <w:r w:rsidR="00353F72">
        <w:t>5.14</w:t>
      </w:r>
      <w:r w:rsidRPr="005A1A1F">
        <w:t xml:space="preserve"> per hour for all authorized state and territory respondent activities defined in this ICR. This hourly rate was based on the average hourly wage for state and municipal employees as determined by the U.S. Department of Labor</w:t>
      </w:r>
      <w:r w:rsidR="0005309E">
        <w:rPr>
          <w:rStyle w:val="FootnoteReference"/>
        </w:rPr>
        <w:footnoteReference w:id="5"/>
      </w:r>
      <w:r w:rsidRPr="005A1A1F">
        <w:t xml:space="preserve">. </w:t>
      </w:r>
    </w:p>
    <w:p w14:paraId="00E062A5" w14:textId="349E8A4C" w:rsidR="00786817" w:rsidRPr="005A1A1F" w:rsidRDefault="00786817" w:rsidP="00A30867">
      <w:pPr>
        <w:pStyle w:val="Bullet1"/>
        <w:spacing w:after="240"/>
        <w:ind w:left="720"/>
        <w:contextualSpacing/>
      </w:pPr>
      <w:r w:rsidRPr="005A1A1F">
        <w:t>The average hourly rate for municipal employees, which account for all POTW and MS4 costs, as determined by the U.S. Department of Labor, Bureau of Labor Statistics, is $</w:t>
      </w:r>
      <w:r w:rsidR="00002380">
        <w:t>37.2</w:t>
      </w:r>
      <w:r w:rsidR="00C12C56">
        <w:t>9</w:t>
      </w:r>
      <w:r w:rsidRPr="005A1A1F">
        <w:t xml:space="preserve"> (including overhead costs of 50 percent)</w:t>
      </w:r>
      <w:r w:rsidR="0005309E">
        <w:rPr>
          <w:rStyle w:val="FootnoteReference"/>
        </w:rPr>
        <w:footnoteReference w:id="6"/>
      </w:r>
      <w:r w:rsidRPr="005A1A1F">
        <w:t xml:space="preserve">. </w:t>
      </w:r>
    </w:p>
    <w:p w14:paraId="3B350D69" w14:textId="6C17789C" w:rsidR="00786817" w:rsidRPr="003A3E87" w:rsidRDefault="00786817" w:rsidP="00A30867">
      <w:pPr>
        <w:pStyle w:val="Bullet1"/>
        <w:spacing w:after="240"/>
        <w:ind w:left="720"/>
        <w:contextualSpacing/>
      </w:pPr>
      <w:r w:rsidRPr="005A1A1F">
        <w:t>EPA assumes the average hourly rate in the private sector is $</w:t>
      </w:r>
      <w:r w:rsidR="00353F72">
        <w:t>57.42</w:t>
      </w:r>
      <w:r w:rsidR="00E003AC">
        <w:rPr>
          <w:rStyle w:val="FootnoteReference"/>
        </w:rPr>
        <w:footnoteReference w:id="7"/>
      </w:r>
      <w:r w:rsidR="00E003AC">
        <w:t>.</w:t>
      </w:r>
      <w:r w:rsidRPr="005A1A1F">
        <w:t xml:space="preserve"> </w:t>
      </w:r>
    </w:p>
    <w:p w14:paraId="05954A0F" w14:textId="470024D1" w:rsidR="003A3E87" w:rsidRPr="005A1A1F" w:rsidRDefault="003A3E87" w:rsidP="00A30867">
      <w:pPr>
        <w:pStyle w:val="Bullet1"/>
        <w:spacing w:after="240"/>
        <w:ind w:left="720"/>
        <w:contextualSpacing/>
      </w:pPr>
      <w:r w:rsidRPr="003A3E87">
        <w:t>EPA determined the hourly employment cost of federal employees using methodology established in previous ICRs. According to the U.S. Office of Personnel Management, 2</w:t>
      </w:r>
      <w:r>
        <w:t>016</w:t>
      </w:r>
      <w:r w:rsidRPr="003A3E87">
        <w:t xml:space="preserve"> General Schedule (201</w:t>
      </w:r>
      <w:r>
        <w:t>6</w:t>
      </w:r>
      <w:r w:rsidRPr="003A3E87">
        <w:t>-GS), the average annual salary of a government employee at the GS-9, Step 10 level is $5</w:t>
      </w:r>
      <w:r>
        <w:t>5,666</w:t>
      </w:r>
      <w:r w:rsidRPr="003A3E87">
        <w:t>. At 2,080 hours per year, the hourly wage is $</w:t>
      </w:r>
      <w:r>
        <w:t>26.76</w:t>
      </w:r>
      <w:r w:rsidRPr="003A3E87">
        <w:t>. Assuming overhead costs of 60 percent, or $1</w:t>
      </w:r>
      <w:r>
        <w:t>6.06</w:t>
      </w:r>
      <w:r w:rsidRPr="003A3E87">
        <w:t xml:space="preserve"> per hour, the fully loaded cost of employment for a federal employee is $</w:t>
      </w:r>
      <w:r>
        <w:t>42.82</w:t>
      </w:r>
      <w:r w:rsidRPr="003A3E87">
        <w:t>.</w:t>
      </w:r>
    </w:p>
    <w:p w14:paraId="7D505B32" w14:textId="0D370C72" w:rsidR="00786817" w:rsidRPr="005A1A1F" w:rsidRDefault="007875DF" w:rsidP="00B101A0">
      <w:pPr>
        <w:pStyle w:val="Heading3"/>
      </w:pPr>
      <w:bookmarkStart w:id="48" w:name="_Toc300908858"/>
      <w:bookmarkStart w:id="49" w:name="_Toc510451645"/>
      <w:r>
        <w:t>A.2.2</w:t>
      </w:r>
      <w:r w:rsidR="00557479">
        <w:t>.</w:t>
      </w:r>
      <w:r w:rsidR="00786817" w:rsidRPr="005A1A1F">
        <w:t xml:space="preserve"> Operating and Maintenance (O&amp;M) Costs</w:t>
      </w:r>
      <w:bookmarkEnd w:id="48"/>
      <w:bookmarkEnd w:id="49"/>
    </w:p>
    <w:p w14:paraId="0EC7819B" w14:textId="1630D49F" w:rsidR="00786817" w:rsidRPr="005A1A1F" w:rsidRDefault="00786817" w:rsidP="00786817">
      <w:pPr>
        <w:rPr>
          <w:b/>
        </w:rPr>
      </w:pPr>
      <w:r w:rsidRPr="005A1A1F">
        <w:t xml:space="preserve">Most calculations in this ICR account for labor costs only. </w:t>
      </w:r>
      <w:r w:rsidR="001377E5" w:rsidRPr="001377E5">
        <w:t xml:space="preserve">A facility incurs O&amp;M costs when it uses services, materials, or supplies needed to comply with the rule’s reporting and recordkeeping requirements that the facility will not use otherwise. Another type of O&amp;M cost is for the purchase of contracted services such as laboratory analyses. The purchase of supplies such as filing cabinets and services such as photocopying or boat rental, </w:t>
      </w:r>
      <w:r w:rsidR="00E077FD">
        <w:t>is</w:t>
      </w:r>
      <w:r w:rsidR="001377E5" w:rsidRPr="001377E5">
        <w:t xml:space="preserve"> also considered O&amp;M costs, and </w:t>
      </w:r>
      <w:r w:rsidR="001377E5">
        <w:t>may also be</w:t>
      </w:r>
      <w:r w:rsidR="001377E5" w:rsidRPr="001377E5">
        <w:t xml:space="preserve"> referred to as ODCs.</w:t>
      </w:r>
      <w:r w:rsidRPr="005A1A1F">
        <w:t xml:space="preserve"> All costs presented in this section have been adjusted with the Consumer Price Index to </w:t>
      </w:r>
      <w:r w:rsidR="006523F5">
        <w:t>August</w:t>
      </w:r>
      <w:r w:rsidR="008D0332">
        <w:t xml:space="preserve"> 2016</w:t>
      </w:r>
      <w:r w:rsidRPr="005A1A1F">
        <w:t xml:space="preserve"> dollars. These costs are linked to the distinctive activities described below.</w:t>
      </w:r>
    </w:p>
    <w:p w14:paraId="16C3D547" w14:textId="4B8EDB2F" w:rsidR="00786817" w:rsidRPr="005A1A1F" w:rsidRDefault="007875DF" w:rsidP="00B101A0">
      <w:pPr>
        <w:pStyle w:val="Heading4"/>
      </w:pPr>
      <w:r>
        <w:t>A.2.2.1</w:t>
      </w:r>
      <w:r w:rsidR="00C04949">
        <w:t>.</w:t>
      </w:r>
      <w:r>
        <w:t xml:space="preserve"> </w:t>
      </w:r>
      <w:r w:rsidR="00786817" w:rsidRPr="005A1A1F">
        <w:t xml:space="preserve">Application Requirements for NPDES Permits </w:t>
      </w:r>
      <w:r w:rsidR="00F11BB6">
        <w:t>(Forms for POTWs and PrOTWs)</w:t>
      </w:r>
    </w:p>
    <w:p w14:paraId="081DDCC9" w14:textId="45251429" w:rsidR="0085470C" w:rsidRDefault="00786817" w:rsidP="00786817">
      <w:r w:rsidRPr="005A1A1F">
        <w:t xml:space="preserve">Assumptions and estimates for these O&amp;M costs (i.e., testing/contractor costs) are detailed in </w:t>
      </w:r>
      <w:r w:rsidRPr="00875526">
        <w:t xml:space="preserve">Tables </w:t>
      </w:r>
      <w:r w:rsidR="00557479" w:rsidRPr="00F14661">
        <w:t>A</w:t>
      </w:r>
      <w:r w:rsidR="00557479">
        <w:t>.</w:t>
      </w:r>
      <w:r w:rsidR="00710578">
        <w:t>1</w:t>
      </w:r>
      <w:r w:rsidR="007F3A2F">
        <w:t>8</w:t>
      </w:r>
      <w:r w:rsidR="00557479">
        <w:t xml:space="preserve"> to A.</w:t>
      </w:r>
      <w:r w:rsidR="007F3A2F">
        <w:t>20</w:t>
      </w:r>
      <w:r w:rsidRPr="005A1A1F">
        <w:t xml:space="preserve">. These assumptions come from </w:t>
      </w:r>
      <w:r w:rsidR="00BD113E">
        <w:t>the prior ICR (</w:t>
      </w:r>
      <w:r w:rsidRPr="005A1A1F">
        <w:t xml:space="preserve">OMB Control </w:t>
      </w:r>
      <w:r w:rsidR="000106BF">
        <w:t>n</w:t>
      </w:r>
      <w:r w:rsidR="000106BF" w:rsidRPr="005A1A1F">
        <w:t>o</w:t>
      </w:r>
      <w:r w:rsidRPr="005A1A1F">
        <w:t>. 2040-0086</w:t>
      </w:r>
      <w:r w:rsidR="000106BF">
        <w:t xml:space="preserve">, </w:t>
      </w:r>
      <w:r w:rsidR="000106BF" w:rsidRPr="005A1A1F">
        <w:t xml:space="preserve">EPA ICR </w:t>
      </w:r>
      <w:r w:rsidR="000106BF">
        <w:t>no.</w:t>
      </w:r>
      <w:r w:rsidR="000106BF" w:rsidRPr="005A1A1F">
        <w:t xml:space="preserve"> 0226.18</w:t>
      </w:r>
      <w:r w:rsidR="00BD113E">
        <w:t>)</w:t>
      </w:r>
      <w:r w:rsidRPr="005A1A1F">
        <w:t>.</w:t>
      </w:r>
    </w:p>
    <w:p w14:paraId="38301384" w14:textId="5F6DCCFD" w:rsidR="0076289A" w:rsidRDefault="0076289A" w:rsidP="00871F94">
      <w:pPr>
        <w:pStyle w:val="Caption"/>
      </w:pPr>
      <w:r>
        <w:t xml:space="preserve">Table </w:t>
      </w:r>
      <w:r w:rsidRPr="00F14661">
        <w:t>A.</w:t>
      </w:r>
      <w:r w:rsidR="00710578">
        <w:t>1</w:t>
      </w:r>
      <w:r w:rsidR="007F3A2F">
        <w:t>8</w:t>
      </w:r>
      <w:r w:rsidRPr="00F14661">
        <w:t xml:space="preserve"> Estimate</w:t>
      </w:r>
      <w:r w:rsidRPr="005A1A1F">
        <w:t xml:space="preserve"> of </w:t>
      </w:r>
      <w:r>
        <w:t xml:space="preserve">POTWs </w:t>
      </w:r>
      <w:r w:rsidRPr="005A1A1F">
        <w:t xml:space="preserve">that </w:t>
      </w:r>
      <w:r w:rsidR="00B83507">
        <w:t>Perform</w:t>
      </w:r>
      <w:r w:rsidRPr="005A1A1F">
        <w:t xml:space="preserve"> </w:t>
      </w:r>
      <w:r>
        <w:t xml:space="preserve">Form 2A </w:t>
      </w:r>
      <w:r w:rsidR="00323C94">
        <w:t>Pollutant T</w:t>
      </w:r>
      <w:r w:rsidRPr="005A1A1F">
        <w:t>esting</w:t>
      </w:r>
      <w:r w:rsidR="00B83507">
        <w:t xml:space="preserve"> In-House</w:t>
      </w:r>
    </w:p>
    <w:tbl>
      <w:tblPr>
        <w:tblW w:w="8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1737"/>
        <w:gridCol w:w="1683"/>
        <w:gridCol w:w="1728"/>
        <w:gridCol w:w="1701"/>
      </w:tblGrid>
      <w:tr w:rsidR="00B83507" w:rsidRPr="005A1A1F" w14:paraId="5DEA9C0F" w14:textId="77777777" w:rsidTr="00CC3489">
        <w:trPr>
          <w:trHeight w:val="255"/>
        </w:trPr>
        <w:tc>
          <w:tcPr>
            <w:tcW w:w="1845" w:type="dxa"/>
            <w:shd w:val="clear" w:color="auto" w:fill="D9D9D9" w:themeFill="background1" w:themeFillShade="D9"/>
            <w:vAlign w:val="bottom"/>
          </w:tcPr>
          <w:p w14:paraId="325C6354" w14:textId="77777777" w:rsidR="00B83507" w:rsidRPr="005A1A1F" w:rsidRDefault="00B83507" w:rsidP="00C9153B">
            <w:pPr>
              <w:pStyle w:val="TableTitle"/>
            </w:pPr>
            <w:r w:rsidRPr="005A1A1F">
              <w:t>Facility type</w:t>
            </w:r>
          </w:p>
        </w:tc>
        <w:tc>
          <w:tcPr>
            <w:tcW w:w="1737" w:type="dxa"/>
            <w:shd w:val="clear" w:color="auto" w:fill="D9D9D9" w:themeFill="background1" w:themeFillShade="D9"/>
            <w:vAlign w:val="center"/>
          </w:tcPr>
          <w:p w14:paraId="52C78BB3" w14:textId="77777777" w:rsidR="00B83507" w:rsidRPr="005A1A1F" w:rsidRDefault="00B83507" w:rsidP="00C9153B">
            <w:pPr>
              <w:pStyle w:val="TableTitle"/>
            </w:pPr>
            <w:r w:rsidRPr="005A1A1F">
              <w:t>Basic conventional and nonconventional</w:t>
            </w:r>
          </w:p>
        </w:tc>
        <w:tc>
          <w:tcPr>
            <w:tcW w:w="1683" w:type="dxa"/>
            <w:shd w:val="clear" w:color="auto" w:fill="D9D9D9" w:themeFill="background1" w:themeFillShade="D9"/>
            <w:vAlign w:val="center"/>
          </w:tcPr>
          <w:p w14:paraId="4C473F7F" w14:textId="77777777" w:rsidR="00B83507" w:rsidRPr="005A1A1F" w:rsidRDefault="00B83507" w:rsidP="00C9153B">
            <w:pPr>
              <w:pStyle w:val="TableTitle"/>
            </w:pPr>
            <w:r w:rsidRPr="005A1A1F">
              <w:t>Additional conventional and nonconventional</w:t>
            </w:r>
          </w:p>
        </w:tc>
        <w:tc>
          <w:tcPr>
            <w:tcW w:w="1728" w:type="dxa"/>
            <w:shd w:val="clear" w:color="auto" w:fill="D9D9D9" w:themeFill="background1" w:themeFillShade="D9"/>
            <w:vAlign w:val="center"/>
          </w:tcPr>
          <w:p w14:paraId="645BD36F" w14:textId="77777777" w:rsidR="00B83507" w:rsidRPr="005A1A1F" w:rsidRDefault="00B83507" w:rsidP="00C9153B">
            <w:pPr>
              <w:pStyle w:val="TableTitle"/>
            </w:pPr>
            <w:r w:rsidRPr="005A1A1F">
              <w:t>Priority pollutants and state WQS</w:t>
            </w:r>
          </w:p>
        </w:tc>
        <w:tc>
          <w:tcPr>
            <w:tcW w:w="1701" w:type="dxa"/>
            <w:shd w:val="clear" w:color="auto" w:fill="D9D9D9" w:themeFill="background1" w:themeFillShade="D9"/>
            <w:vAlign w:val="center"/>
          </w:tcPr>
          <w:p w14:paraId="31CB4389" w14:textId="77777777" w:rsidR="00B83507" w:rsidRPr="005A1A1F" w:rsidRDefault="00B83507" w:rsidP="00C9153B">
            <w:pPr>
              <w:pStyle w:val="TableTitle"/>
            </w:pPr>
            <w:r w:rsidRPr="005A1A1F">
              <w:t>Multiple species biomonitoring</w:t>
            </w:r>
          </w:p>
        </w:tc>
      </w:tr>
      <w:tr w:rsidR="00B85859" w:rsidRPr="005A1A1F" w14:paraId="06962680" w14:textId="77777777" w:rsidTr="00C9153B">
        <w:trPr>
          <w:trHeight w:val="255"/>
        </w:trPr>
        <w:tc>
          <w:tcPr>
            <w:tcW w:w="1845" w:type="dxa"/>
            <w:shd w:val="clear" w:color="auto" w:fill="auto"/>
            <w:noWrap/>
            <w:vAlign w:val="bottom"/>
          </w:tcPr>
          <w:p w14:paraId="649B5DAA" w14:textId="77777777" w:rsidR="00B85859" w:rsidRPr="005A1A1F" w:rsidRDefault="00B85859" w:rsidP="00C9153B">
            <w:pPr>
              <w:pStyle w:val="Tables"/>
            </w:pPr>
            <w:r w:rsidRPr="005A1A1F">
              <w:rPr>
                <w:rFonts w:ascii="Lucida Sans Unicode" w:hAnsi="Lucida Sans Unicode"/>
              </w:rPr>
              <w:t xml:space="preserve">≺ </w:t>
            </w:r>
            <w:r w:rsidRPr="005A1A1F">
              <w:t>0.1 mgd, no priority pollutants.</w:t>
            </w:r>
          </w:p>
        </w:tc>
        <w:tc>
          <w:tcPr>
            <w:tcW w:w="1737" w:type="dxa"/>
            <w:shd w:val="clear" w:color="auto" w:fill="auto"/>
            <w:noWrap/>
          </w:tcPr>
          <w:p w14:paraId="1D876B71" w14:textId="0BF96F08" w:rsidR="00B85859" w:rsidRPr="005A1A1F" w:rsidRDefault="00B85859" w:rsidP="00C9153B">
            <w:pPr>
              <w:pStyle w:val="Tables"/>
              <w:jc w:val="right"/>
            </w:pPr>
            <w:r w:rsidRPr="005A1A1F">
              <w:t>60%</w:t>
            </w:r>
          </w:p>
        </w:tc>
        <w:tc>
          <w:tcPr>
            <w:tcW w:w="1683" w:type="dxa"/>
            <w:shd w:val="clear" w:color="auto" w:fill="auto"/>
            <w:noWrap/>
          </w:tcPr>
          <w:p w14:paraId="5B1A5481" w14:textId="77777777" w:rsidR="00B85859" w:rsidRPr="005A1A1F" w:rsidRDefault="00B85859" w:rsidP="00C9153B">
            <w:pPr>
              <w:pStyle w:val="Tables"/>
              <w:jc w:val="right"/>
            </w:pPr>
          </w:p>
        </w:tc>
        <w:tc>
          <w:tcPr>
            <w:tcW w:w="1728" w:type="dxa"/>
            <w:shd w:val="clear" w:color="auto" w:fill="auto"/>
            <w:noWrap/>
          </w:tcPr>
          <w:p w14:paraId="62845C3B" w14:textId="77777777" w:rsidR="00B85859" w:rsidRPr="005A1A1F" w:rsidRDefault="00B85859" w:rsidP="00C9153B">
            <w:pPr>
              <w:pStyle w:val="Tables"/>
              <w:jc w:val="right"/>
            </w:pPr>
          </w:p>
        </w:tc>
        <w:tc>
          <w:tcPr>
            <w:tcW w:w="1701" w:type="dxa"/>
            <w:shd w:val="clear" w:color="auto" w:fill="auto"/>
            <w:noWrap/>
          </w:tcPr>
          <w:p w14:paraId="622D800C" w14:textId="77777777" w:rsidR="00B85859" w:rsidRPr="005A1A1F" w:rsidRDefault="00B85859" w:rsidP="00C9153B">
            <w:pPr>
              <w:pStyle w:val="Tables"/>
              <w:jc w:val="right"/>
            </w:pPr>
          </w:p>
        </w:tc>
      </w:tr>
      <w:tr w:rsidR="00B85859" w:rsidRPr="005A1A1F" w14:paraId="0A8D36FF" w14:textId="77777777" w:rsidTr="00C9153B">
        <w:trPr>
          <w:trHeight w:val="255"/>
        </w:trPr>
        <w:tc>
          <w:tcPr>
            <w:tcW w:w="1845" w:type="dxa"/>
            <w:shd w:val="clear" w:color="auto" w:fill="auto"/>
            <w:noWrap/>
            <w:vAlign w:val="bottom"/>
          </w:tcPr>
          <w:p w14:paraId="494FC3AE" w14:textId="77777777" w:rsidR="00B85859" w:rsidRPr="005A1A1F" w:rsidRDefault="00B85859" w:rsidP="00C9153B">
            <w:pPr>
              <w:pStyle w:val="Tables"/>
            </w:pPr>
            <w:r w:rsidRPr="005A1A1F">
              <w:t>0.1–1.0 mgd, no priority pollutants.</w:t>
            </w:r>
          </w:p>
        </w:tc>
        <w:tc>
          <w:tcPr>
            <w:tcW w:w="1737" w:type="dxa"/>
            <w:shd w:val="clear" w:color="auto" w:fill="auto"/>
            <w:noWrap/>
          </w:tcPr>
          <w:p w14:paraId="2CAB60D0" w14:textId="0DA67280" w:rsidR="00B85859" w:rsidRPr="005A1A1F" w:rsidRDefault="00B85859" w:rsidP="00C9153B">
            <w:pPr>
              <w:pStyle w:val="Tables"/>
              <w:jc w:val="right"/>
            </w:pPr>
            <w:r w:rsidRPr="005A1A1F">
              <w:t>80%</w:t>
            </w:r>
          </w:p>
        </w:tc>
        <w:tc>
          <w:tcPr>
            <w:tcW w:w="1683" w:type="dxa"/>
            <w:shd w:val="clear" w:color="auto" w:fill="auto"/>
            <w:noWrap/>
          </w:tcPr>
          <w:p w14:paraId="385833D8" w14:textId="277C260E" w:rsidR="00B85859" w:rsidRPr="005A1A1F" w:rsidRDefault="00B85859" w:rsidP="00C9153B">
            <w:pPr>
              <w:pStyle w:val="Tables"/>
              <w:jc w:val="right"/>
            </w:pPr>
            <w:r w:rsidRPr="005A1A1F">
              <w:t>80%</w:t>
            </w:r>
          </w:p>
        </w:tc>
        <w:tc>
          <w:tcPr>
            <w:tcW w:w="1728" w:type="dxa"/>
            <w:shd w:val="clear" w:color="auto" w:fill="auto"/>
            <w:noWrap/>
          </w:tcPr>
          <w:p w14:paraId="18E269B1" w14:textId="77777777" w:rsidR="00B85859" w:rsidRPr="005A1A1F" w:rsidRDefault="00B85859" w:rsidP="00C9153B">
            <w:pPr>
              <w:pStyle w:val="Tables"/>
              <w:jc w:val="right"/>
            </w:pPr>
          </w:p>
        </w:tc>
        <w:tc>
          <w:tcPr>
            <w:tcW w:w="1701" w:type="dxa"/>
            <w:shd w:val="clear" w:color="auto" w:fill="auto"/>
            <w:noWrap/>
          </w:tcPr>
          <w:p w14:paraId="5690C2C7" w14:textId="77777777" w:rsidR="00B85859" w:rsidRPr="005A1A1F" w:rsidRDefault="00B85859" w:rsidP="00C9153B">
            <w:pPr>
              <w:pStyle w:val="Tables"/>
              <w:jc w:val="right"/>
            </w:pPr>
          </w:p>
        </w:tc>
      </w:tr>
      <w:tr w:rsidR="00B85859" w:rsidRPr="005A1A1F" w14:paraId="6C483354" w14:textId="77777777" w:rsidTr="00C9153B">
        <w:trPr>
          <w:trHeight w:val="255"/>
        </w:trPr>
        <w:tc>
          <w:tcPr>
            <w:tcW w:w="1845" w:type="dxa"/>
            <w:shd w:val="clear" w:color="auto" w:fill="auto"/>
            <w:noWrap/>
            <w:vAlign w:val="bottom"/>
          </w:tcPr>
          <w:p w14:paraId="66837AEC" w14:textId="77777777" w:rsidR="00B85859" w:rsidRPr="005A1A1F" w:rsidRDefault="00B85859" w:rsidP="00C9153B">
            <w:pPr>
              <w:pStyle w:val="Tables"/>
            </w:pPr>
            <w:r w:rsidRPr="005A1A1F">
              <w:t>Minors, with priority pollutants.</w:t>
            </w:r>
          </w:p>
        </w:tc>
        <w:tc>
          <w:tcPr>
            <w:tcW w:w="1737" w:type="dxa"/>
            <w:shd w:val="clear" w:color="auto" w:fill="auto"/>
            <w:noWrap/>
          </w:tcPr>
          <w:p w14:paraId="6085687A" w14:textId="3A8D72E5" w:rsidR="00B85859" w:rsidRPr="005A1A1F" w:rsidRDefault="00B85859" w:rsidP="00C9153B">
            <w:pPr>
              <w:pStyle w:val="Tables"/>
              <w:jc w:val="right"/>
            </w:pPr>
            <w:r w:rsidRPr="005A1A1F">
              <w:t>85%</w:t>
            </w:r>
          </w:p>
        </w:tc>
        <w:tc>
          <w:tcPr>
            <w:tcW w:w="1683" w:type="dxa"/>
            <w:shd w:val="clear" w:color="auto" w:fill="auto"/>
            <w:noWrap/>
          </w:tcPr>
          <w:p w14:paraId="777E4451" w14:textId="037F19E7" w:rsidR="00B85859" w:rsidRPr="005A1A1F" w:rsidRDefault="00B85859" w:rsidP="00C9153B">
            <w:pPr>
              <w:pStyle w:val="Tables"/>
              <w:jc w:val="right"/>
            </w:pPr>
            <w:r w:rsidRPr="005A1A1F">
              <w:t>85%</w:t>
            </w:r>
          </w:p>
        </w:tc>
        <w:tc>
          <w:tcPr>
            <w:tcW w:w="1728" w:type="dxa"/>
            <w:shd w:val="clear" w:color="auto" w:fill="auto"/>
            <w:noWrap/>
          </w:tcPr>
          <w:p w14:paraId="727A2822" w14:textId="46C1C7F2" w:rsidR="00B85859" w:rsidRPr="005A1A1F" w:rsidRDefault="00B85859" w:rsidP="00C9153B">
            <w:pPr>
              <w:pStyle w:val="Tables"/>
              <w:jc w:val="right"/>
            </w:pPr>
            <w:r w:rsidRPr="005A1A1F">
              <w:t>50%</w:t>
            </w:r>
          </w:p>
        </w:tc>
        <w:tc>
          <w:tcPr>
            <w:tcW w:w="1701" w:type="dxa"/>
            <w:shd w:val="clear" w:color="auto" w:fill="auto"/>
            <w:noWrap/>
          </w:tcPr>
          <w:p w14:paraId="06EA799D" w14:textId="6066D135" w:rsidR="00B85859" w:rsidRPr="005A1A1F" w:rsidRDefault="00B85859" w:rsidP="00C9153B">
            <w:pPr>
              <w:pStyle w:val="Tables"/>
              <w:jc w:val="right"/>
            </w:pPr>
            <w:r w:rsidRPr="005A1A1F">
              <w:t>85%</w:t>
            </w:r>
          </w:p>
        </w:tc>
      </w:tr>
      <w:tr w:rsidR="004F7369" w:rsidRPr="005A1A1F" w14:paraId="4BD463D5" w14:textId="77777777" w:rsidTr="00C9153B">
        <w:trPr>
          <w:trHeight w:val="255"/>
        </w:trPr>
        <w:tc>
          <w:tcPr>
            <w:tcW w:w="1845" w:type="dxa"/>
            <w:shd w:val="clear" w:color="auto" w:fill="auto"/>
            <w:noWrap/>
            <w:vAlign w:val="bottom"/>
          </w:tcPr>
          <w:p w14:paraId="28E61FAB" w14:textId="77777777" w:rsidR="004F7369" w:rsidRPr="005A1A1F" w:rsidRDefault="004F7369" w:rsidP="00C9153B">
            <w:pPr>
              <w:pStyle w:val="Tables"/>
            </w:pPr>
            <w:r w:rsidRPr="005A1A1F">
              <w:t>Majors, no priority pollutants.</w:t>
            </w:r>
          </w:p>
        </w:tc>
        <w:tc>
          <w:tcPr>
            <w:tcW w:w="1737" w:type="dxa"/>
            <w:shd w:val="clear" w:color="auto" w:fill="auto"/>
            <w:noWrap/>
          </w:tcPr>
          <w:p w14:paraId="4C921F5B" w14:textId="35886AD9" w:rsidR="004F7369" w:rsidRPr="005A1A1F" w:rsidRDefault="004F7369" w:rsidP="00C9153B">
            <w:pPr>
              <w:pStyle w:val="Tables"/>
              <w:jc w:val="right"/>
            </w:pPr>
            <w:r w:rsidRPr="005A1A1F">
              <w:t>85%</w:t>
            </w:r>
          </w:p>
        </w:tc>
        <w:tc>
          <w:tcPr>
            <w:tcW w:w="1683" w:type="dxa"/>
            <w:shd w:val="clear" w:color="auto" w:fill="auto"/>
            <w:noWrap/>
          </w:tcPr>
          <w:p w14:paraId="044C3B4A" w14:textId="0FB66602" w:rsidR="004F7369" w:rsidRPr="005A1A1F" w:rsidRDefault="004F7369" w:rsidP="00C9153B">
            <w:pPr>
              <w:pStyle w:val="Tables"/>
              <w:jc w:val="right"/>
            </w:pPr>
            <w:r w:rsidRPr="005A1A1F">
              <w:t>85%</w:t>
            </w:r>
          </w:p>
        </w:tc>
        <w:tc>
          <w:tcPr>
            <w:tcW w:w="1728" w:type="dxa"/>
            <w:shd w:val="clear" w:color="auto" w:fill="auto"/>
            <w:noWrap/>
          </w:tcPr>
          <w:p w14:paraId="26A8B5A8" w14:textId="61FDF868" w:rsidR="004F7369" w:rsidRPr="005A1A1F" w:rsidRDefault="004F7369" w:rsidP="00C9153B">
            <w:pPr>
              <w:pStyle w:val="Tables"/>
              <w:jc w:val="right"/>
            </w:pPr>
            <w:r w:rsidRPr="005A1A1F">
              <w:t>10%</w:t>
            </w:r>
          </w:p>
        </w:tc>
        <w:tc>
          <w:tcPr>
            <w:tcW w:w="1701" w:type="dxa"/>
            <w:shd w:val="clear" w:color="auto" w:fill="auto"/>
            <w:noWrap/>
          </w:tcPr>
          <w:p w14:paraId="0DBAA18D" w14:textId="2585EB08" w:rsidR="004F7369" w:rsidRPr="005A1A1F" w:rsidRDefault="004F7369" w:rsidP="00C9153B">
            <w:pPr>
              <w:pStyle w:val="Tables"/>
              <w:jc w:val="right"/>
            </w:pPr>
            <w:r w:rsidRPr="005A1A1F">
              <w:t>75%</w:t>
            </w:r>
          </w:p>
        </w:tc>
      </w:tr>
      <w:tr w:rsidR="004F7369" w:rsidRPr="005A1A1F" w14:paraId="5C091A00" w14:textId="77777777" w:rsidTr="00C9153B">
        <w:trPr>
          <w:trHeight w:val="255"/>
        </w:trPr>
        <w:tc>
          <w:tcPr>
            <w:tcW w:w="1845" w:type="dxa"/>
            <w:shd w:val="clear" w:color="auto" w:fill="auto"/>
            <w:noWrap/>
            <w:vAlign w:val="bottom"/>
          </w:tcPr>
          <w:p w14:paraId="2E06B267" w14:textId="77777777" w:rsidR="004F7369" w:rsidRPr="005A1A1F" w:rsidRDefault="004F7369" w:rsidP="00C9153B">
            <w:pPr>
              <w:pStyle w:val="Tables"/>
            </w:pPr>
            <w:r w:rsidRPr="005A1A1F">
              <w:t>Majors, with priority pollutants.</w:t>
            </w:r>
          </w:p>
        </w:tc>
        <w:tc>
          <w:tcPr>
            <w:tcW w:w="1737" w:type="dxa"/>
            <w:shd w:val="clear" w:color="auto" w:fill="auto"/>
            <w:noWrap/>
          </w:tcPr>
          <w:p w14:paraId="11759E22" w14:textId="0ED302D2" w:rsidR="004F7369" w:rsidRPr="005A1A1F" w:rsidRDefault="004F7369" w:rsidP="00C9153B">
            <w:pPr>
              <w:pStyle w:val="Tables"/>
              <w:jc w:val="right"/>
            </w:pPr>
            <w:r w:rsidRPr="005A1A1F">
              <w:t>90%</w:t>
            </w:r>
          </w:p>
        </w:tc>
        <w:tc>
          <w:tcPr>
            <w:tcW w:w="1683" w:type="dxa"/>
            <w:shd w:val="clear" w:color="auto" w:fill="auto"/>
            <w:noWrap/>
          </w:tcPr>
          <w:p w14:paraId="058D181C" w14:textId="213A8F57" w:rsidR="004F7369" w:rsidRPr="005A1A1F" w:rsidRDefault="004F7369" w:rsidP="00C9153B">
            <w:pPr>
              <w:pStyle w:val="Tables"/>
              <w:jc w:val="right"/>
            </w:pPr>
            <w:r w:rsidRPr="005A1A1F">
              <w:t>90%</w:t>
            </w:r>
          </w:p>
        </w:tc>
        <w:tc>
          <w:tcPr>
            <w:tcW w:w="1728" w:type="dxa"/>
            <w:shd w:val="clear" w:color="auto" w:fill="auto"/>
            <w:noWrap/>
          </w:tcPr>
          <w:p w14:paraId="5F8D6912" w14:textId="3F058A9A" w:rsidR="004F7369" w:rsidRPr="005A1A1F" w:rsidRDefault="004F7369" w:rsidP="00C9153B">
            <w:pPr>
              <w:pStyle w:val="Tables"/>
              <w:jc w:val="right"/>
            </w:pPr>
            <w:r w:rsidRPr="005A1A1F">
              <w:t>70%</w:t>
            </w:r>
          </w:p>
        </w:tc>
        <w:tc>
          <w:tcPr>
            <w:tcW w:w="1701" w:type="dxa"/>
            <w:shd w:val="clear" w:color="auto" w:fill="auto"/>
            <w:noWrap/>
          </w:tcPr>
          <w:p w14:paraId="0617D9BF" w14:textId="75733D4F" w:rsidR="004F7369" w:rsidRPr="005A1A1F" w:rsidRDefault="004F7369" w:rsidP="00C9153B">
            <w:pPr>
              <w:pStyle w:val="Tables"/>
              <w:jc w:val="right"/>
            </w:pPr>
            <w:r w:rsidRPr="005A1A1F">
              <w:t>85%</w:t>
            </w:r>
          </w:p>
        </w:tc>
      </w:tr>
    </w:tbl>
    <w:p w14:paraId="59800B13" w14:textId="77777777" w:rsidR="009A5755" w:rsidRDefault="009A5755" w:rsidP="00DE1B27">
      <w:pPr>
        <w:spacing w:after="0"/>
      </w:pPr>
    </w:p>
    <w:p w14:paraId="2BD50C96" w14:textId="36AB36EE" w:rsidR="0076289A" w:rsidRDefault="0076289A" w:rsidP="00871F94">
      <w:pPr>
        <w:pStyle w:val="Caption"/>
      </w:pPr>
      <w:r>
        <w:t xml:space="preserve">Table </w:t>
      </w:r>
      <w:r w:rsidRPr="0076289A">
        <w:t>A.</w:t>
      </w:r>
      <w:r w:rsidR="00710578">
        <w:t>1</w:t>
      </w:r>
      <w:r w:rsidR="007F3A2F">
        <w:t>9</w:t>
      </w:r>
      <w:r w:rsidRPr="0076289A">
        <w:t xml:space="preserve"> Estimate of POTWs that </w:t>
      </w:r>
      <w:r w:rsidR="00B83507">
        <w:t>Perform</w:t>
      </w:r>
      <w:r w:rsidRPr="0076289A">
        <w:t xml:space="preserve"> Form 2S </w:t>
      </w:r>
      <w:r w:rsidR="00323C94">
        <w:t>p</w:t>
      </w:r>
      <w:r w:rsidR="00323C94" w:rsidRPr="0076289A">
        <w:t>ollutant</w:t>
      </w:r>
      <w:r w:rsidR="00323C94">
        <w:t xml:space="preserve"> T</w:t>
      </w:r>
      <w:r w:rsidRPr="0076289A">
        <w:t>esting</w:t>
      </w:r>
      <w:r w:rsidR="00B83507">
        <w:t xml:space="preserve"> In-House</w:t>
      </w: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520"/>
      </w:tblGrid>
      <w:tr w:rsidR="00B83507" w:rsidRPr="005A1A1F" w14:paraId="7AF7BA7B" w14:textId="77777777" w:rsidTr="00910CBC">
        <w:trPr>
          <w:trHeight w:val="255"/>
        </w:trPr>
        <w:tc>
          <w:tcPr>
            <w:tcW w:w="2880" w:type="dxa"/>
            <w:shd w:val="clear" w:color="auto" w:fill="D9D9D9" w:themeFill="background1" w:themeFillShade="D9"/>
            <w:vAlign w:val="bottom"/>
          </w:tcPr>
          <w:p w14:paraId="504AA294" w14:textId="77777777" w:rsidR="00B83507" w:rsidRPr="005A1A1F" w:rsidRDefault="00B83507" w:rsidP="00C9153B">
            <w:pPr>
              <w:pStyle w:val="TableTitle"/>
            </w:pPr>
            <w:r w:rsidRPr="005A1A1F">
              <w:t>Facility type</w:t>
            </w:r>
          </w:p>
        </w:tc>
        <w:tc>
          <w:tcPr>
            <w:tcW w:w="2520" w:type="dxa"/>
            <w:shd w:val="clear" w:color="auto" w:fill="D9D9D9" w:themeFill="background1" w:themeFillShade="D9"/>
            <w:vAlign w:val="bottom"/>
          </w:tcPr>
          <w:p w14:paraId="5F790F1F" w14:textId="77777777" w:rsidR="00B83507" w:rsidRPr="005A1A1F" w:rsidRDefault="00B83507" w:rsidP="00C9153B">
            <w:pPr>
              <w:pStyle w:val="TableTitle"/>
            </w:pPr>
            <w:r w:rsidRPr="005A1A1F">
              <w:t>Basic conventional and nonconventional</w:t>
            </w:r>
          </w:p>
        </w:tc>
      </w:tr>
      <w:tr w:rsidR="004F7369" w:rsidRPr="005A1A1F" w14:paraId="2B321DEA" w14:textId="77777777" w:rsidTr="00C9153B">
        <w:trPr>
          <w:trHeight w:val="255"/>
        </w:trPr>
        <w:tc>
          <w:tcPr>
            <w:tcW w:w="2880" w:type="dxa"/>
            <w:shd w:val="clear" w:color="auto" w:fill="auto"/>
            <w:noWrap/>
            <w:vAlign w:val="bottom"/>
          </w:tcPr>
          <w:p w14:paraId="0A1D8AB0" w14:textId="77777777" w:rsidR="004F7369" w:rsidRPr="005A1A1F" w:rsidRDefault="004F7369" w:rsidP="00C9153B">
            <w:pPr>
              <w:pStyle w:val="Tables"/>
            </w:pPr>
            <w:r w:rsidRPr="005A1A1F">
              <w:t>NPDES POTWs</w:t>
            </w:r>
          </w:p>
        </w:tc>
        <w:tc>
          <w:tcPr>
            <w:tcW w:w="2520" w:type="dxa"/>
            <w:shd w:val="clear" w:color="auto" w:fill="auto"/>
            <w:noWrap/>
          </w:tcPr>
          <w:p w14:paraId="78F22F2C" w14:textId="77777777" w:rsidR="004F7369" w:rsidRPr="005A1A1F" w:rsidRDefault="004F7369" w:rsidP="00C9153B">
            <w:pPr>
              <w:pStyle w:val="Tables"/>
              <w:jc w:val="right"/>
            </w:pPr>
            <w:r w:rsidRPr="005A1A1F">
              <w:t>95%</w:t>
            </w:r>
          </w:p>
        </w:tc>
      </w:tr>
      <w:tr w:rsidR="004F7369" w:rsidRPr="005A1A1F" w14:paraId="5DE63618" w14:textId="77777777" w:rsidTr="00C9153B">
        <w:trPr>
          <w:trHeight w:val="255"/>
        </w:trPr>
        <w:tc>
          <w:tcPr>
            <w:tcW w:w="2880" w:type="dxa"/>
            <w:shd w:val="clear" w:color="auto" w:fill="auto"/>
            <w:noWrap/>
            <w:vAlign w:val="bottom"/>
          </w:tcPr>
          <w:p w14:paraId="3CB27725" w14:textId="77777777" w:rsidR="004F7369" w:rsidRPr="005A1A1F" w:rsidRDefault="004F7369" w:rsidP="00C9153B">
            <w:pPr>
              <w:pStyle w:val="Tables"/>
            </w:pPr>
            <w:r w:rsidRPr="005A1A1F">
              <w:t>NPDES PrOTWs</w:t>
            </w:r>
          </w:p>
        </w:tc>
        <w:tc>
          <w:tcPr>
            <w:tcW w:w="2520" w:type="dxa"/>
            <w:shd w:val="clear" w:color="auto" w:fill="auto"/>
            <w:noWrap/>
          </w:tcPr>
          <w:p w14:paraId="5D79EA71" w14:textId="77777777" w:rsidR="004F7369" w:rsidRPr="005A1A1F" w:rsidRDefault="004F7369" w:rsidP="00C9153B">
            <w:pPr>
              <w:pStyle w:val="Tables"/>
              <w:jc w:val="right"/>
            </w:pPr>
            <w:r w:rsidRPr="005A1A1F">
              <w:t>95%</w:t>
            </w:r>
          </w:p>
        </w:tc>
      </w:tr>
      <w:tr w:rsidR="004F7369" w:rsidRPr="005A1A1F" w14:paraId="1DE3E2A1" w14:textId="77777777" w:rsidTr="00C9153B">
        <w:trPr>
          <w:trHeight w:val="255"/>
        </w:trPr>
        <w:tc>
          <w:tcPr>
            <w:tcW w:w="2880" w:type="dxa"/>
            <w:shd w:val="clear" w:color="auto" w:fill="auto"/>
            <w:noWrap/>
            <w:vAlign w:val="bottom"/>
          </w:tcPr>
          <w:p w14:paraId="63B610C8" w14:textId="77777777" w:rsidR="004F7369" w:rsidRPr="009C5163" w:rsidRDefault="004F7369" w:rsidP="00C9153B">
            <w:pPr>
              <w:pStyle w:val="Tables"/>
            </w:pPr>
            <w:r w:rsidRPr="009C5163">
              <w:t>Sludge Only POTWs</w:t>
            </w:r>
          </w:p>
        </w:tc>
        <w:tc>
          <w:tcPr>
            <w:tcW w:w="2520" w:type="dxa"/>
            <w:shd w:val="clear" w:color="auto" w:fill="auto"/>
            <w:noWrap/>
          </w:tcPr>
          <w:p w14:paraId="7A855DD2" w14:textId="77777777" w:rsidR="004F7369" w:rsidRPr="005A1A1F" w:rsidRDefault="004F7369" w:rsidP="00C9153B">
            <w:pPr>
              <w:pStyle w:val="Tables"/>
              <w:jc w:val="right"/>
            </w:pPr>
            <w:r w:rsidRPr="005A1A1F">
              <w:t>50%</w:t>
            </w:r>
          </w:p>
        </w:tc>
      </w:tr>
      <w:tr w:rsidR="004F7369" w:rsidRPr="005A1A1F" w14:paraId="2437FAD6" w14:textId="77777777" w:rsidTr="00C9153B">
        <w:trPr>
          <w:trHeight w:val="255"/>
        </w:trPr>
        <w:tc>
          <w:tcPr>
            <w:tcW w:w="2880" w:type="dxa"/>
            <w:shd w:val="clear" w:color="auto" w:fill="auto"/>
            <w:noWrap/>
            <w:vAlign w:val="bottom"/>
          </w:tcPr>
          <w:p w14:paraId="4A79F5FB" w14:textId="77777777" w:rsidR="004F7369" w:rsidRPr="009C5163" w:rsidRDefault="004F7369" w:rsidP="00C9153B">
            <w:pPr>
              <w:pStyle w:val="Tables"/>
            </w:pPr>
            <w:r w:rsidRPr="009C5163">
              <w:t>Sludge Only PrOTWs</w:t>
            </w:r>
          </w:p>
        </w:tc>
        <w:tc>
          <w:tcPr>
            <w:tcW w:w="2520" w:type="dxa"/>
            <w:shd w:val="clear" w:color="auto" w:fill="auto"/>
            <w:noWrap/>
          </w:tcPr>
          <w:p w14:paraId="49F7011C" w14:textId="77777777" w:rsidR="004F7369" w:rsidRPr="005A1A1F" w:rsidRDefault="004F7369" w:rsidP="00C9153B">
            <w:pPr>
              <w:pStyle w:val="Tables"/>
              <w:jc w:val="right"/>
            </w:pPr>
            <w:r w:rsidRPr="005A1A1F">
              <w:t>50%</w:t>
            </w:r>
          </w:p>
        </w:tc>
      </w:tr>
    </w:tbl>
    <w:p w14:paraId="129E9DAA" w14:textId="77777777" w:rsidR="00786817" w:rsidRPr="005A1A1F" w:rsidRDefault="00786817" w:rsidP="00DE1B27">
      <w:pPr>
        <w:spacing w:after="0"/>
      </w:pPr>
    </w:p>
    <w:p w14:paraId="2AA9F0FB" w14:textId="598D83A5" w:rsidR="003A7067" w:rsidRDefault="003A7067" w:rsidP="00871F94">
      <w:pPr>
        <w:pStyle w:val="Caption"/>
      </w:pPr>
      <w:r>
        <w:t xml:space="preserve">Table </w:t>
      </w:r>
      <w:r w:rsidRPr="00F14661">
        <w:t>A.</w:t>
      </w:r>
      <w:r w:rsidR="007F3A2F">
        <w:t>20</w:t>
      </w:r>
      <w:r w:rsidR="00672BA3">
        <w:t xml:space="preserve"> </w:t>
      </w:r>
      <w:r w:rsidRPr="005A1A1F">
        <w:t>Testing/</w:t>
      </w:r>
      <w:r w:rsidR="005D20F1">
        <w:t>C</w:t>
      </w:r>
      <w:r w:rsidRPr="005A1A1F">
        <w:t>ontractor cos</w:t>
      </w:r>
      <w:r>
        <w:t>ts (O&amp;M costs)</w:t>
      </w:r>
    </w:p>
    <w:tbl>
      <w:tblPr>
        <w:tblStyle w:val="TableGrid10"/>
        <w:tblW w:w="7920" w:type="dxa"/>
        <w:tblLook w:val="0000" w:firstRow="0" w:lastRow="0" w:firstColumn="0" w:lastColumn="0" w:noHBand="0" w:noVBand="0"/>
      </w:tblPr>
      <w:tblGrid>
        <w:gridCol w:w="3222"/>
        <w:gridCol w:w="1287"/>
        <w:gridCol w:w="1620"/>
        <w:gridCol w:w="1791"/>
      </w:tblGrid>
      <w:tr w:rsidR="005A0595" w:rsidRPr="005A1A1F" w14:paraId="61831170" w14:textId="77777777" w:rsidTr="00485DBB">
        <w:trPr>
          <w:trHeight w:val="255"/>
        </w:trPr>
        <w:tc>
          <w:tcPr>
            <w:tcW w:w="3222" w:type="dxa"/>
            <w:shd w:val="clear" w:color="auto" w:fill="D9D9D9" w:themeFill="background1" w:themeFillShade="D9"/>
            <w:noWrap/>
          </w:tcPr>
          <w:p w14:paraId="006D3272" w14:textId="77777777" w:rsidR="005A0595" w:rsidRPr="005A1A1F" w:rsidRDefault="005A0595" w:rsidP="00C9153B">
            <w:pPr>
              <w:pStyle w:val="TableTitle"/>
            </w:pPr>
          </w:p>
        </w:tc>
        <w:tc>
          <w:tcPr>
            <w:tcW w:w="1287" w:type="dxa"/>
            <w:shd w:val="clear" w:color="auto" w:fill="D9D9D9" w:themeFill="background1" w:themeFillShade="D9"/>
            <w:noWrap/>
          </w:tcPr>
          <w:p w14:paraId="1FADA527" w14:textId="77777777" w:rsidR="005A0595" w:rsidRPr="005A1A1F" w:rsidRDefault="005A0595" w:rsidP="00C9153B">
            <w:pPr>
              <w:pStyle w:val="TableTitle"/>
            </w:pPr>
            <w:r w:rsidRPr="005A1A1F">
              <w:t>Tests/year</w:t>
            </w:r>
          </w:p>
        </w:tc>
        <w:tc>
          <w:tcPr>
            <w:tcW w:w="1620" w:type="dxa"/>
            <w:shd w:val="clear" w:color="auto" w:fill="D9D9D9" w:themeFill="background1" w:themeFillShade="D9"/>
            <w:noWrap/>
          </w:tcPr>
          <w:p w14:paraId="63A5996A" w14:textId="77777777" w:rsidR="005A0595" w:rsidRPr="005A1A1F" w:rsidRDefault="005A0595" w:rsidP="00C9153B">
            <w:pPr>
              <w:pStyle w:val="TableTitle"/>
            </w:pPr>
            <w:r w:rsidRPr="005A1A1F">
              <w:t>Cost per test ($)</w:t>
            </w:r>
          </w:p>
        </w:tc>
        <w:tc>
          <w:tcPr>
            <w:tcW w:w="1791" w:type="dxa"/>
            <w:shd w:val="clear" w:color="auto" w:fill="D9D9D9" w:themeFill="background1" w:themeFillShade="D9"/>
            <w:noWrap/>
          </w:tcPr>
          <w:p w14:paraId="62FB65F3" w14:textId="77777777" w:rsidR="005A0595" w:rsidRPr="005A1A1F" w:rsidRDefault="005A0595" w:rsidP="00C9153B">
            <w:pPr>
              <w:pStyle w:val="TableTitle"/>
            </w:pPr>
            <w:r w:rsidRPr="005A1A1F">
              <w:t>Total $</w:t>
            </w:r>
          </w:p>
        </w:tc>
      </w:tr>
      <w:tr w:rsidR="005A0595" w:rsidRPr="005A1A1F" w14:paraId="194B62C4" w14:textId="77777777" w:rsidTr="00485DBB">
        <w:trPr>
          <w:trHeight w:val="255"/>
        </w:trPr>
        <w:tc>
          <w:tcPr>
            <w:tcW w:w="3222" w:type="dxa"/>
            <w:shd w:val="clear" w:color="auto" w:fill="D9D9D9" w:themeFill="background1" w:themeFillShade="D9"/>
            <w:noWrap/>
          </w:tcPr>
          <w:p w14:paraId="7C40E0AF" w14:textId="77777777" w:rsidR="005A0595" w:rsidRPr="005A1A1F" w:rsidRDefault="005A0595" w:rsidP="00C9153B">
            <w:pPr>
              <w:pStyle w:val="TableTitle"/>
            </w:pPr>
            <w:r w:rsidRPr="005A1A1F">
              <w:t>Form 2A</w:t>
            </w:r>
          </w:p>
        </w:tc>
        <w:tc>
          <w:tcPr>
            <w:tcW w:w="1287" w:type="dxa"/>
            <w:shd w:val="clear" w:color="auto" w:fill="D9D9D9" w:themeFill="background1" w:themeFillShade="D9"/>
            <w:noWrap/>
          </w:tcPr>
          <w:p w14:paraId="5BA3E1E8" w14:textId="77777777" w:rsidR="005A0595" w:rsidRPr="005A1A1F" w:rsidRDefault="005A0595" w:rsidP="00C9153B">
            <w:pPr>
              <w:pStyle w:val="TableTitle"/>
            </w:pPr>
          </w:p>
        </w:tc>
        <w:tc>
          <w:tcPr>
            <w:tcW w:w="1620" w:type="dxa"/>
            <w:shd w:val="clear" w:color="auto" w:fill="D9D9D9" w:themeFill="background1" w:themeFillShade="D9"/>
            <w:noWrap/>
          </w:tcPr>
          <w:p w14:paraId="391E5F8B" w14:textId="77777777" w:rsidR="005A0595" w:rsidRPr="005A1A1F" w:rsidRDefault="005A0595" w:rsidP="00C9153B">
            <w:pPr>
              <w:pStyle w:val="TableTitle"/>
            </w:pPr>
          </w:p>
        </w:tc>
        <w:tc>
          <w:tcPr>
            <w:tcW w:w="1791" w:type="dxa"/>
            <w:shd w:val="clear" w:color="auto" w:fill="D9D9D9" w:themeFill="background1" w:themeFillShade="D9"/>
            <w:noWrap/>
          </w:tcPr>
          <w:p w14:paraId="5D441E4D" w14:textId="77777777" w:rsidR="005A0595" w:rsidRPr="005A1A1F" w:rsidRDefault="005A0595" w:rsidP="00C9153B">
            <w:pPr>
              <w:pStyle w:val="TableTitle"/>
            </w:pPr>
          </w:p>
        </w:tc>
      </w:tr>
      <w:tr w:rsidR="000C34EF" w:rsidRPr="005A1A1F" w14:paraId="09CCD167" w14:textId="77777777" w:rsidTr="00C9153B">
        <w:trPr>
          <w:trHeight w:val="255"/>
        </w:trPr>
        <w:tc>
          <w:tcPr>
            <w:tcW w:w="3222" w:type="dxa"/>
            <w:noWrap/>
          </w:tcPr>
          <w:p w14:paraId="7C18B72A" w14:textId="77777777" w:rsidR="000C34EF" w:rsidRPr="005A1A1F" w:rsidRDefault="000C34EF" w:rsidP="00C9153B">
            <w:pPr>
              <w:pStyle w:val="Tables"/>
            </w:pPr>
            <w:r w:rsidRPr="005A1A1F">
              <w:t>Basic conventional and non-conventional</w:t>
            </w:r>
          </w:p>
        </w:tc>
        <w:tc>
          <w:tcPr>
            <w:tcW w:w="1287" w:type="dxa"/>
            <w:noWrap/>
          </w:tcPr>
          <w:p w14:paraId="07048056" w14:textId="77777777" w:rsidR="000C34EF" w:rsidRPr="005A1A1F" w:rsidRDefault="000C34EF" w:rsidP="00C9153B">
            <w:pPr>
              <w:pStyle w:val="Tables"/>
              <w:jc w:val="right"/>
            </w:pPr>
            <w:r w:rsidRPr="005A1A1F">
              <w:t>3</w:t>
            </w:r>
          </w:p>
        </w:tc>
        <w:tc>
          <w:tcPr>
            <w:tcW w:w="1620" w:type="dxa"/>
            <w:noWrap/>
          </w:tcPr>
          <w:p w14:paraId="52BC2720" w14:textId="5929396D" w:rsidR="000C34EF" w:rsidRPr="000C34EF" w:rsidRDefault="000C34EF" w:rsidP="00C9153B">
            <w:pPr>
              <w:pStyle w:val="Tables"/>
              <w:jc w:val="right"/>
            </w:pPr>
            <w:r w:rsidRPr="000C34EF">
              <w:t>$119</w:t>
            </w:r>
          </w:p>
        </w:tc>
        <w:tc>
          <w:tcPr>
            <w:tcW w:w="1791" w:type="dxa"/>
            <w:noWrap/>
          </w:tcPr>
          <w:p w14:paraId="1735E632" w14:textId="0D0373E1" w:rsidR="000C34EF" w:rsidRPr="000C34EF" w:rsidRDefault="000C34EF" w:rsidP="00C9153B">
            <w:pPr>
              <w:pStyle w:val="Tables"/>
              <w:jc w:val="right"/>
            </w:pPr>
            <w:r w:rsidRPr="000C34EF">
              <w:t xml:space="preserve">$202,419 </w:t>
            </w:r>
          </w:p>
        </w:tc>
      </w:tr>
      <w:tr w:rsidR="000C34EF" w:rsidRPr="005A1A1F" w14:paraId="1D374DC3" w14:textId="77777777" w:rsidTr="00C9153B">
        <w:trPr>
          <w:trHeight w:val="255"/>
        </w:trPr>
        <w:tc>
          <w:tcPr>
            <w:tcW w:w="3222" w:type="dxa"/>
            <w:noWrap/>
          </w:tcPr>
          <w:p w14:paraId="118A099A" w14:textId="77777777" w:rsidR="000C34EF" w:rsidRPr="005A1A1F" w:rsidRDefault="000C34EF" w:rsidP="00C9153B">
            <w:pPr>
              <w:pStyle w:val="Tables"/>
            </w:pPr>
            <w:r w:rsidRPr="005A1A1F">
              <w:t>Additional conventional and non-conventional</w:t>
            </w:r>
          </w:p>
        </w:tc>
        <w:tc>
          <w:tcPr>
            <w:tcW w:w="1287" w:type="dxa"/>
            <w:noWrap/>
          </w:tcPr>
          <w:p w14:paraId="2EB759DC" w14:textId="77777777" w:rsidR="000C34EF" w:rsidRPr="005A1A1F" w:rsidRDefault="000C34EF" w:rsidP="00C9153B">
            <w:pPr>
              <w:pStyle w:val="Tables"/>
              <w:jc w:val="right"/>
            </w:pPr>
            <w:r w:rsidRPr="005A1A1F">
              <w:t>3</w:t>
            </w:r>
          </w:p>
        </w:tc>
        <w:tc>
          <w:tcPr>
            <w:tcW w:w="1620" w:type="dxa"/>
            <w:noWrap/>
          </w:tcPr>
          <w:p w14:paraId="4AFF221D" w14:textId="3D66BD25" w:rsidR="000C34EF" w:rsidRPr="000C34EF" w:rsidRDefault="000C34EF" w:rsidP="00C9153B">
            <w:pPr>
              <w:pStyle w:val="Tables"/>
              <w:jc w:val="right"/>
            </w:pPr>
            <w:r w:rsidRPr="000C34EF">
              <w:t>$237</w:t>
            </w:r>
          </w:p>
        </w:tc>
        <w:tc>
          <w:tcPr>
            <w:tcW w:w="1791" w:type="dxa"/>
            <w:noWrap/>
          </w:tcPr>
          <w:p w14:paraId="38CCA088" w14:textId="6FC0B607" w:rsidR="000C34EF" w:rsidRPr="000C34EF" w:rsidRDefault="000C34EF" w:rsidP="00C9153B">
            <w:pPr>
              <w:pStyle w:val="Tables"/>
              <w:jc w:val="right"/>
            </w:pPr>
            <w:r w:rsidRPr="000C34EF">
              <w:t xml:space="preserve">$250,983 </w:t>
            </w:r>
          </w:p>
        </w:tc>
      </w:tr>
      <w:tr w:rsidR="000C34EF" w:rsidRPr="005A1A1F" w14:paraId="14CE55CD" w14:textId="77777777" w:rsidTr="00C9153B">
        <w:trPr>
          <w:trHeight w:val="255"/>
        </w:trPr>
        <w:tc>
          <w:tcPr>
            <w:tcW w:w="3222" w:type="dxa"/>
            <w:noWrap/>
          </w:tcPr>
          <w:p w14:paraId="6DAEE8D6" w14:textId="5E80826D" w:rsidR="000C34EF" w:rsidRPr="005A1A1F" w:rsidRDefault="000C34EF" w:rsidP="00C9153B">
            <w:pPr>
              <w:pStyle w:val="Tables"/>
            </w:pPr>
            <w:r w:rsidRPr="005A1A1F">
              <w:t xml:space="preserve">Priority </w:t>
            </w:r>
            <w:r w:rsidR="00550926">
              <w:t>p</w:t>
            </w:r>
            <w:r w:rsidR="00550926" w:rsidRPr="005A1A1F">
              <w:t>ollutants</w:t>
            </w:r>
            <w:r w:rsidRPr="005A1A1F">
              <w:t>/state WQS</w:t>
            </w:r>
          </w:p>
        </w:tc>
        <w:tc>
          <w:tcPr>
            <w:tcW w:w="1287" w:type="dxa"/>
            <w:noWrap/>
          </w:tcPr>
          <w:p w14:paraId="7ECFD767" w14:textId="77777777" w:rsidR="000C34EF" w:rsidRPr="005A1A1F" w:rsidRDefault="000C34EF" w:rsidP="00C9153B">
            <w:pPr>
              <w:pStyle w:val="Tables"/>
              <w:jc w:val="right"/>
            </w:pPr>
            <w:r w:rsidRPr="005A1A1F">
              <w:t>3</w:t>
            </w:r>
          </w:p>
        </w:tc>
        <w:tc>
          <w:tcPr>
            <w:tcW w:w="1620" w:type="dxa"/>
            <w:noWrap/>
          </w:tcPr>
          <w:p w14:paraId="06879796" w14:textId="546B4E49" w:rsidR="000C34EF" w:rsidRPr="000C34EF" w:rsidRDefault="000C34EF" w:rsidP="00C9153B">
            <w:pPr>
              <w:pStyle w:val="Tables"/>
              <w:jc w:val="right"/>
            </w:pPr>
            <w:r w:rsidRPr="000C34EF">
              <w:t>$1,365</w:t>
            </w:r>
          </w:p>
        </w:tc>
        <w:tc>
          <w:tcPr>
            <w:tcW w:w="1791" w:type="dxa"/>
            <w:noWrap/>
          </w:tcPr>
          <w:p w14:paraId="1ACF1110" w14:textId="539BF46D" w:rsidR="000C34EF" w:rsidRPr="000C34EF" w:rsidRDefault="000C34EF" w:rsidP="00C9153B">
            <w:pPr>
              <w:pStyle w:val="Tables"/>
              <w:jc w:val="right"/>
            </w:pPr>
            <w:r w:rsidRPr="000C34EF">
              <w:t xml:space="preserve">$3,144,960 </w:t>
            </w:r>
          </w:p>
        </w:tc>
      </w:tr>
      <w:tr w:rsidR="000C34EF" w:rsidRPr="005A1A1F" w14:paraId="4F53252F" w14:textId="77777777" w:rsidTr="00C9153B">
        <w:trPr>
          <w:trHeight w:val="255"/>
        </w:trPr>
        <w:tc>
          <w:tcPr>
            <w:tcW w:w="3222" w:type="dxa"/>
            <w:noWrap/>
          </w:tcPr>
          <w:p w14:paraId="4ABE5BC9" w14:textId="5F5D2823" w:rsidR="000C34EF" w:rsidRPr="005A1A1F" w:rsidRDefault="000C34EF" w:rsidP="00C9153B">
            <w:pPr>
              <w:pStyle w:val="Tables"/>
            </w:pPr>
            <w:r w:rsidRPr="005A1A1F">
              <w:t xml:space="preserve">Multiple </w:t>
            </w:r>
            <w:r w:rsidR="00550926">
              <w:t>s</w:t>
            </w:r>
            <w:r w:rsidR="00550926" w:rsidRPr="005A1A1F">
              <w:t xml:space="preserve">pecies </w:t>
            </w:r>
            <w:r w:rsidR="00550926">
              <w:t>b</w:t>
            </w:r>
            <w:r w:rsidR="00550926" w:rsidRPr="005A1A1F">
              <w:t>iomonitoring</w:t>
            </w:r>
          </w:p>
        </w:tc>
        <w:tc>
          <w:tcPr>
            <w:tcW w:w="1287" w:type="dxa"/>
            <w:noWrap/>
          </w:tcPr>
          <w:p w14:paraId="76D14504" w14:textId="77777777" w:rsidR="000C34EF" w:rsidRPr="005A1A1F" w:rsidRDefault="000C34EF" w:rsidP="00C9153B">
            <w:pPr>
              <w:pStyle w:val="Tables"/>
              <w:jc w:val="right"/>
            </w:pPr>
            <w:r w:rsidRPr="005A1A1F">
              <w:t>1</w:t>
            </w:r>
          </w:p>
        </w:tc>
        <w:tc>
          <w:tcPr>
            <w:tcW w:w="1620" w:type="dxa"/>
            <w:noWrap/>
          </w:tcPr>
          <w:p w14:paraId="55519C7E" w14:textId="31DCF14E" w:rsidR="000C34EF" w:rsidRPr="000C34EF" w:rsidRDefault="000C34EF" w:rsidP="00C9153B">
            <w:pPr>
              <w:pStyle w:val="Tables"/>
              <w:jc w:val="right"/>
            </w:pPr>
            <w:r w:rsidRPr="000C34EF">
              <w:t>$9,496</w:t>
            </w:r>
          </w:p>
        </w:tc>
        <w:tc>
          <w:tcPr>
            <w:tcW w:w="1791" w:type="dxa"/>
            <w:noWrap/>
          </w:tcPr>
          <w:p w14:paraId="36ED794C" w14:textId="1FAF9132" w:rsidR="000C34EF" w:rsidRPr="000C34EF" w:rsidRDefault="000C34EF" w:rsidP="00C9153B">
            <w:pPr>
              <w:pStyle w:val="Tables"/>
              <w:jc w:val="right"/>
            </w:pPr>
            <w:r w:rsidRPr="000C34EF">
              <w:t xml:space="preserve">$2,032,144 </w:t>
            </w:r>
          </w:p>
        </w:tc>
      </w:tr>
      <w:tr w:rsidR="000C34EF" w:rsidRPr="005A1A1F" w14:paraId="44568A23" w14:textId="77777777" w:rsidTr="00485DBB">
        <w:trPr>
          <w:trHeight w:val="255"/>
        </w:trPr>
        <w:tc>
          <w:tcPr>
            <w:tcW w:w="3222" w:type="dxa"/>
            <w:shd w:val="clear" w:color="auto" w:fill="D9D9D9" w:themeFill="background1" w:themeFillShade="D9"/>
            <w:noWrap/>
          </w:tcPr>
          <w:p w14:paraId="43C66E57" w14:textId="77777777" w:rsidR="000C34EF" w:rsidRPr="005A1A1F" w:rsidRDefault="000C34EF" w:rsidP="00C9153B">
            <w:pPr>
              <w:pStyle w:val="TableTitle"/>
            </w:pPr>
            <w:r w:rsidRPr="005A1A1F">
              <w:t>Form 2S</w:t>
            </w:r>
          </w:p>
        </w:tc>
        <w:tc>
          <w:tcPr>
            <w:tcW w:w="1287" w:type="dxa"/>
            <w:shd w:val="clear" w:color="auto" w:fill="D9D9D9" w:themeFill="background1" w:themeFillShade="D9"/>
            <w:noWrap/>
          </w:tcPr>
          <w:p w14:paraId="133C9BF6" w14:textId="77777777" w:rsidR="000C34EF" w:rsidRPr="005A1A1F" w:rsidRDefault="000C34EF" w:rsidP="00C9153B">
            <w:pPr>
              <w:pStyle w:val="TableTitle"/>
            </w:pPr>
          </w:p>
        </w:tc>
        <w:tc>
          <w:tcPr>
            <w:tcW w:w="1620" w:type="dxa"/>
            <w:shd w:val="clear" w:color="auto" w:fill="D9D9D9" w:themeFill="background1" w:themeFillShade="D9"/>
            <w:noWrap/>
          </w:tcPr>
          <w:p w14:paraId="1737DB46" w14:textId="77777777" w:rsidR="000C34EF" w:rsidRPr="005A1A1F" w:rsidRDefault="000C34EF" w:rsidP="00C9153B">
            <w:pPr>
              <w:pStyle w:val="TableTitle"/>
            </w:pPr>
          </w:p>
        </w:tc>
        <w:tc>
          <w:tcPr>
            <w:tcW w:w="1791" w:type="dxa"/>
            <w:shd w:val="clear" w:color="auto" w:fill="D9D9D9" w:themeFill="background1" w:themeFillShade="D9"/>
            <w:noWrap/>
          </w:tcPr>
          <w:p w14:paraId="54E3DB07" w14:textId="77777777" w:rsidR="000C34EF" w:rsidRPr="005A1A1F" w:rsidRDefault="000C34EF" w:rsidP="00C9153B">
            <w:pPr>
              <w:pStyle w:val="TableTitle"/>
            </w:pPr>
          </w:p>
        </w:tc>
      </w:tr>
      <w:tr w:rsidR="000C34EF" w:rsidRPr="005A1A1F" w14:paraId="590209AD" w14:textId="77777777" w:rsidTr="00C9153B">
        <w:trPr>
          <w:trHeight w:val="255"/>
        </w:trPr>
        <w:tc>
          <w:tcPr>
            <w:tcW w:w="3222" w:type="dxa"/>
            <w:noWrap/>
          </w:tcPr>
          <w:p w14:paraId="46FE3E73" w14:textId="77777777" w:rsidR="000C34EF" w:rsidRPr="005A1A1F" w:rsidRDefault="000C34EF" w:rsidP="00C9153B">
            <w:pPr>
              <w:pStyle w:val="Tables"/>
            </w:pPr>
            <w:r w:rsidRPr="005A1A1F">
              <w:t>NPDES and sludge-only facilities</w:t>
            </w:r>
          </w:p>
        </w:tc>
        <w:tc>
          <w:tcPr>
            <w:tcW w:w="1287" w:type="dxa"/>
            <w:noWrap/>
          </w:tcPr>
          <w:p w14:paraId="20EADEAF" w14:textId="77777777" w:rsidR="000C34EF" w:rsidRPr="005A1A1F" w:rsidRDefault="000C34EF" w:rsidP="00C9153B">
            <w:pPr>
              <w:pStyle w:val="Tables"/>
              <w:jc w:val="right"/>
            </w:pPr>
            <w:r w:rsidRPr="005A1A1F">
              <w:t>1</w:t>
            </w:r>
          </w:p>
        </w:tc>
        <w:tc>
          <w:tcPr>
            <w:tcW w:w="1620" w:type="dxa"/>
            <w:noWrap/>
          </w:tcPr>
          <w:p w14:paraId="6D6D9AEA" w14:textId="2D61F425" w:rsidR="000C34EF" w:rsidRPr="005A1A1F" w:rsidRDefault="000C34EF" w:rsidP="00C9153B">
            <w:pPr>
              <w:pStyle w:val="Tables"/>
              <w:jc w:val="right"/>
            </w:pPr>
            <w:r>
              <w:t xml:space="preserve">$237 </w:t>
            </w:r>
          </w:p>
        </w:tc>
        <w:tc>
          <w:tcPr>
            <w:tcW w:w="1791" w:type="dxa"/>
            <w:noWrap/>
          </w:tcPr>
          <w:p w14:paraId="20DCFDD1" w14:textId="21E00623" w:rsidR="000C34EF" w:rsidRPr="005A1A1F" w:rsidRDefault="000C34EF" w:rsidP="00C9153B">
            <w:pPr>
              <w:pStyle w:val="Tables"/>
              <w:jc w:val="right"/>
            </w:pPr>
            <w:r>
              <w:t xml:space="preserve">$68,493 </w:t>
            </w:r>
          </w:p>
        </w:tc>
      </w:tr>
      <w:tr w:rsidR="000C34EF" w:rsidRPr="005A1A1F" w14:paraId="5FBB3886" w14:textId="77777777" w:rsidTr="00485DBB">
        <w:trPr>
          <w:trHeight w:val="255"/>
        </w:trPr>
        <w:tc>
          <w:tcPr>
            <w:tcW w:w="3222" w:type="dxa"/>
            <w:shd w:val="clear" w:color="auto" w:fill="D9D9D9" w:themeFill="background1" w:themeFillShade="D9"/>
            <w:noWrap/>
          </w:tcPr>
          <w:p w14:paraId="3E3A0804" w14:textId="77777777" w:rsidR="000C34EF" w:rsidRPr="005A1A1F" w:rsidRDefault="000C34EF" w:rsidP="00C9153B">
            <w:pPr>
              <w:pStyle w:val="TableTitle"/>
            </w:pPr>
            <w:r w:rsidRPr="005A1A1F">
              <w:t>Section 308 Requests</w:t>
            </w:r>
          </w:p>
        </w:tc>
        <w:tc>
          <w:tcPr>
            <w:tcW w:w="1287" w:type="dxa"/>
            <w:shd w:val="clear" w:color="auto" w:fill="D9D9D9" w:themeFill="background1" w:themeFillShade="D9"/>
            <w:noWrap/>
          </w:tcPr>
          <w:p w14:paraId="18DE656C" w14:textId="77777777" w:rsidR="000C34EF" w:rsidRPr="005A1A1F" w:rsidRDefault="000C34EF" w:rsidP="00C9153B">
            <w:pPr>
              <w:pStyle w:val="TableTitle"/>
            </w:pPr>
          </w:p>
        </w:tc>
        <w:tc>
          <w:tcPr>
            <w:tcW w:w="1620" w:type="dxa"/>
            <w:shd w:val="clear" w:color="auto" w:fill="D9D9D9" w:themeFill="background1" w:themeFillShade="D9"/>
            <w:noWrap/>
          </w:tcPr>
          <w:p w14:paraId="26E59C1B" w14:textId="77777777" w:rsidR="000C34EF" w:rsidRPr="005A1A1F" w:rsidRDefault="000C34EF" w:rsidP="00C9153B">
            <w:pPr>
              <w:pStyle w:val="TableTitle"/>
            </w:pPr>
          </w:p>
        </w:tc>
        <w:tc>
          <w:tcPr>
            <w:tcW w:w="1791" w:type="dxa"/>
            <w:shd w:val="clear" w:color="auto" w:fill="D9D9D9" w:themeFill="background1" w:themeFillShade="D9"/>
            <w:noWrap/>
          </w:tcPr>
          <w:p w14:paraId="51A2704E" w14:textId="77777777" w:rsidR="000C34EF" w:rsidRPr="005A1A1F" w:rsidRDefault="000C34EF" w:rsidP="00C9153B">
            <w:pPr>
              <w:pStyle w:val="TableTitle"/>
            </w:pPr>
          </w:p>
        </w:tc>
      </w:tr>
      <w:tr w:rsidR="000C34EF" w:rsidRPr="005A1A1F" w14:paraId="25F8C33E" w14:textId="77777777" w:rsidTr="00C9153B">
        <w:trPr>
          <w:trHeight w:val="255"/>
        </w:trPr>
        <w:tc>
          <w:tcPr>
            <w:tcW w:w="3222" w:type="dxa"/>
            <w:noWrap/>
          </w:tcPr>
          <w:p w14:paraId="2C7464DE" w14:textId="77777777" w:rsidR="000C34EF" w:rsidRPr="005A1A1F" w:rsidRDefault="000C34EF" w:rsidP="00C9153B">
            <w:pPr>
              <w:pStyle w:val="Tables"/>
            </w:pPr>
            <w:r w:rsidRPr="005A1A1F">
              <w:t>Municipal (complex)</w:t>
            </w:r>
          </w:p>
        </w:tc>
        <w:tc>
          <w:tcPr>
            <w:tcW w:w="1287" w:type="dxa"/>
            <w:noWrap/>
          </w:tcPr>
          <w:p w14:paraId="40D0A205" w14:textId="77777777" w:rsidR="000C34EF" w:rsidRPr="005A1A1F" w:rsidRDefault="000C34EF" w:rsidP="00C9153B">
            <w:pPr>
              <w:pStyle w:val="Tables"/>
              <w:jc w:val="right"/>
            </w:pPr>
            <w:r w:rsidRPr="005A1A1F">
              <w:t>1</w:t>
            </w:r>
          </w:p>
        </w:tc>
        <w:tc>
          <w:tcPr>
            <w:tcW w:w="1620" w:type="dxa"/>
            <w:noWrap/>
          </w:tcPr>
          <w:p w14:paraId="1EE46652" w14:textId="2A582643" w:rsidR="000C34EF" w:rsidRPr="005A1A1F" w:rsidRDefault="000C34EF" w:rsidP="00C9153B">
            <w:pPr>
              <w:pStyle w:val="Tables"/>
              <w:jc w:val="right"/>
            </w:pPr>
            <w:r>
              <w:t xml:space="preserve">$1,365 </w:t>
            </w:r>
          </w:p>
        </w:tc>
        <w:tc>
          <w:tcPr>
            <w:tcW w:w="1791" w:type="dxa"/>
            <w:noWrap/>
          </w:tcPr>
          <w:p w14:paraId="3B361CB9" w14:textId="12C09F00" w:rsidR="000C34EF" w:rsidRPr="005A1A1F" w:rsidRDefault="000C34EF" w:rsidP="00C9153B">
            <w:pPr>
              <w:pStyle w:val="Tables"/>
              <w:jc w:val="right"/>
            </w:pPr>
            <w:r>
              <w:t xml:space="preserve">$4,778 </w:t>
            </w:r>
          </w:p>
        </w:tc>
      </w:tr>
      <w:tr w:rsidR="000C34EF" w:rsidRPr="005A1A1F" w14:paraId="3A1D7911" w14:textId="77777777" w:rsidTr="00C9153B">
        <w:trPr>
          <w:trHeight w:val="255"/>
        </w:trPr>
        <w:tc>
          <w:tcPr>
            <w:tcW w:w="3222" w:type="dxa"/>
            <w:noWrap/>
          </w:tcPr>
          <w:p w14:paraId="5366F9CA" w14:textId="77777777" w:rsidR="000C34EF" w:rsidRPr="005A1A1F" w:rsidRDefault="000C34EF" w:rsidP="00C9153B">
            <w:pPr>
              <w:pStyle w:val="Tables"/>
            </w:pPr>
            <w:r w:rsidRPr="005A1A1F">
              <w:t>Nonmunicipal (medium)</w:t>
            </w:r>
          </w:p>
        </w:tc>
        <w:tc>
          <w:tcPr>
            <w:tcW w:w="1287" w:type="dxa"/>
            <w:noWrap/>
          </w:tcPr>
          <w:p w14:paraId="28DFE231" w14:textId="77777777" w:rsidR="000C34EF" w:rsidRPr="005A1A1F" w:rsidRDefault="000C34EF" w:rsidP="00C9153B">
            <w:pPr>
              <w:pStyle w:val="Tables"/>
              <w:jc w:val="right"/>
            </w:pPr>
            <w:r w:rsidRPr="005A1A1F">
              <w:t>1</w:t>
            </w:r>
          </w:p>
        </w:tc>
        <w:tc>
          <w:tcPr>
            <w:tcW w:w="1620" w:type="dxa"/>
            <w:noWrap/>
          </w:tcPr>
          <w:p w14:paraId="2FF53829" w14:textId="02A0817F" w:rsidR="000C34EF" w:rsidRPr="005A1A1F" w:rsidRDefault="000C34EF" w:rsidP="00C9153B">
            <w:pPr>
              <w:pStyle w:val="Tables"/>
              <w:jc w:val="right"/>
            </w:pPr>
            <w:r>
              <w:t xml:space="preserve">$1,187 </w:t>
            </w:r>
          </w:p>
        </w:tc>
        <w:tc>
          <w:tcPr>
            <w:tcW w:w="1791" w:type="dxa"/>
            <w:noWrap/>
          </w:tcPr>
          <w:p w14:paraId="6D7845DF" w14:textId="629484FB" w:rsidR="000C34EF" w:rsidRPr="005A1A1F" w:rsidRDefault="000C34EF" w:rsidP="00C9153B">
            <w:pPr>
              <w:pStyle w:val="Tables"/>
              <w:jc w:val="right"/>
            </w:pPr>
            <w:r>
              <w:t xml:space="preserve">$5,638 </w:t>
            </w:r>
          </w:p>
        </w:tc>
      </w:tr>
    </w:tbl>
    <w:p w14:paraId="642E2F85" w14:textId="73E668F7" w:rsidR="00786817" w:rsidRPr="005A1A1F" w:rsidRDefault="007875DF" w:rsidP="00DE1B27">
      <w:pPr>
        <w:pStyle w:val="Heading4"/>
        <w:spacing w:before="240"/>
      </w:pPr>
      <w:r>
        <w:t xml:space="preserve">A.2.2.2. </w:t>
      </w:r>
      <w:r w:rsidR="00786817" w:rsidRPr="005A1A1F">
        <w:t xml:space="preserve">Baseline Determination and Estimate of the Incremental Monitoring Burden and Cost for Remining Sites </w:t>
      </w:r>
      <w:r w:rsidR="00F11BB6">
        <w:t>(DMR Sampling Analysis)</w:t>
      </w:r>
    </w:p>
    <w:p w14:paraId="5AE1E20C" w14:textId="61D808FE" w:rsidR="00786817" w:rsidRPr="005A1A1F" w:rsidRDefault="00786817" w:rsidP="00786817">
      <w:r w:rsidRPr="005A1A1F">
        <w:t>EPA assumes that baseline determination monitoring and annual monitoring costs will be required for all the reporting requirements for mining sites in Indiana (5), Kentucky (7), and Tennessee (9). EPA assumes a sample analysis and mileage cost of $</w:t>
      </w:r>
      <w:r w:rsidR="005A0595">
        <w:t>3</w:t>
      </w:r>
      <w:r w:rsidR="00C42FE5">
        <w:t>4</w:t>
      </w:r>
      <w:r w:rsidRPr="005A1A1F">
        <w:t xml:space="preserve">/sample </w:t>
      </w:r>
      <w:r w:rsidR="00A02128">
        <w:t xml:space="preserve">adjusted to </w:t>
      </w:r>
      <w:r w:rsidR="00C42FE5">
        <w:t>August</w:t>
      </w:r>
      <w:r w:rsidR="00A02128">
        <w:t xml:space="preserve"> 201</w:t>
      </w:r>
      <w:r w:rsidR="00C42FE5">
        <w:t>6</w:t>
      </w:r>
      <w:r w:rsidR="00A02128">
        <w:t xml:space="preserve"> using the CPI </w:t>
      </w:r>
      <w:r w:rsidRPr="005A1A1F">
        <w:t>(</w:t>
      </w:r>
      <w:r w:rsidR="00A02128">
        <w:t xml:space="preserve">Source: </w:t>
      </w:r>
      <w:r w:rsidRPr="005A1A1F">
        <w:t xml:space="preserve">Baseline Standards and BMPs for the Coal Mining Point Source Category-Coal Remining Subcategory and Western Alkaline Coal Mining Subcategory ICR; OMB </w:t>
      </w:r>
      <w:r w:rsidR="00437796">
        <w:t>control no.</w:t>
      </w:r>
      <w:r w:rsidRPr="005A1A1F">
        <w:t xml:space="preserve"> 2040-0239; EPA ICR </w:t>
      </w:r>
      <w:r w:rsidR="00437796">
        <w:t>n</w:t>
      </w:r>
      <w:r w:rsidRPr="005A1A1F">
        <w:t>o. 1944.03).</w:t>
      </w:r>
    </w:p>
    <w:p w14:paraId="26A9D34F" w14:textId="448DE307" w:rsidR="00786817" w:rsidRPr="005A1A1F" w:rsidRDefault="007875DF" w:rsidP="00B101A0">
      <w:pPr>
        <w:pStyle w:val="Heading4"/>
      </w:pPr>
      <w:r>
        <w:t>A.2.2.3</w:t>
      </w:r>
      <w:r w:rsidR="00C04949">
        <w:t>.</w:t>
      </w:r>
      <w:r>
        <w:t xml:space="preserve"> </w:t>
      </w:r>
      <w:r w:rsidR="00786817" w:rsidRPr="005A1A1F">
        <w:t xml:space="preserve">Minimum Monitoring Requirements for Direct Discharging Mills in the Bleached Papergrade Kraft and Soda Subcategory and the Papergrade Sulfite Subcategory of the Pulp, Paper, and Paperboard Point Source Category </w:t>
      </w:r>
      <w:r w:rsidR="00F11BB6">
        <w:t>(DMR Sampling Analysis)</w:t>
      </w:r>
    </w:p>
    <w:p w14:paraId="33EC9ECF" w14:textId="77777777" w:rsidR="0085470C" w:rsidRDefault="00786817" w:rsidP="00786817">
      <w:r w:rsidRPr="005A1A1F">
        <w:t>To estimate O&amp;M costs associated with these activities, EPA assumes that mills will send their collected samples to outside laboratories for analysis. Some facilities could perform in-house analysis for some pollutants (i.e., adsorbable organic halides (AOX) and/or chloroform). However, for the purposes of this ICR, EPA assumed that all analyses will be contracted to outside laboratories to express the full potential analytical costs of minimum monitoring on Subparts B and E mills. In the future, facilities might elect to conduct analysis in house, particularly AOX analyses, because the monitoring requirement is daily.</w:t>
      </w:r>
    </w:p>
    <w:p w14:paraId="1856EA71" w14:textId="1BF53B46" w:rsidR="0085470C" w:rsidRDefault="00786817" w:rsidP="00786817">
      <w:r w:rsidRPr="005A1A1F">
        <w:t xml:space="preserve">Analytical costs performed at outside laboratories were taken from the Minimum Monitoring Requirements for Direct Discharging Mills in the Bleached Papergrade Kraft and Soda Subcategory and the Papergrade Sulfite Subcategory of the Pulp, Paper, and Paperboard Point Source Category ICR (OMB </w:t>
      </w:r>
      <w:r w:rsidR="00437796">
        <w:t>control no.</w:t>
      </w:r>
      <w:r w:rsidRPr="005A1A1F">
        <w:t xml:space="preserve"> 2040-0243; EPA ICR </w:t>
      </w:r>
      <w:r w:rsidR="00437796">
        <w:t>n</w:t>
      </w:r>
      <w:r w:rsidR="00F11BB6">
        <w:t>o. 1878.02). These costs are $1</w:t>
      </w:r>
      <w:r w:rsidR="0051049C">
        <w:t>83</w:t>
      </w:r>
      <w:r w:rsidRPr="005A1A1F">
        <w:t xml:space="preserve"> for AOX, $1,</w:t>
      </w:r>
      <w:r w:rsidR="00F11BB6">
        <w:t>3</w:t>
      </w:r>
      <w:r w:rsidR="0051049C">
        <w:t>26</w:t>
      </w:r>
      <w:r w:rsidRPr="005A1A1F">
        <w:t xml:space="preserve"> for TCDD/TCDF, $</w:t>
      </w:r>
      <w:r w:rsidR="00F11BB6">
        <w:t>7</w:t>
      </w:r>
      <w:r w:rsidR="0051049C">
        <w:t>57</w:t>
      </w:r>
      <w:r w:rsidRPr="005A1A1F">
        <w:t xml:space="preserve"> for chlorinated phenolics, and $</w:t>
      </w:r>
      <w:r w:rsidR="00F11BB6">
        <w:t>40</w:t>
      </w:r>
      <w:r w:rsidR="0051049C">
        <w:t>8</w:t>
      </w:r>
      <w:r w:rsidRPr="005A1A1F">
        <w:t xml:space="preserve"> for chloroform.</w:t>
      </w:r>
    </w:p>
    <w:p w14:paraId="052EFD5E" w14:textId="75CB6E64" w:rsidR="00786817" w:rsidRDefault="00786817" w:rsidP="00786817">
      <w:r w:rsidRPr="005A1A1F">
        <w:t>Seventy-five Subpart B Bleached Papergrade Kraft &amp; Soda mills perform daily sampling for AOX, weekly sampling for chloroform, and monthly grab sampling for TCDD, TCDF, and chlorinated phenolics. Thirty-eight Subpart B Bleached Papergrade Kraft &amp; Soda mills perform monthly composite sampling for TCDD, TCDF, and chlorinated phenolics. Five of the Subpart E Ca / Sodium / Mg Sulfite mills perform daily AOX sampling. Two each for the Subpart E Ammonium Sulfite and Specialty Grade perform monthly sampling for TCDD, TCDF, and chlorinated phenolics</w:t>
      </w:r>
      <w:r w:rsidR="00A36C97">
        <w:t>.</w:t>
      </w:r>
    </w:p>
    <w:p w14:paraId="545D678A" w14:textId="13D9A521" w:rsidR="0048771B" w:rsidRDefault="0048771B" w:rsidP="00B101A0">
      <w:pPr>
        <w:pStyle w:val="Heading4"/>
      </w:pPr>
      <w:r>
        <w:t xml:space="preserve">A.2.2.4. Animal Sector </w:t>
      </w:r>
      <w:r w:rsidR="006311D0">
        <w:t>T</w:t>
      </w:r>
      <w:r w:rsidR="006311D0" w:rsidRPr="006311D0">
        <w:t>esting/</w:t>
      </w:r>
      <w:r w:rsidR="00550926">
        <w:t>A</w:t>
      </w:r>
      <w:r w:rsidR="006311D0" w:rsidRPr="006311D0">
        <w:t xml:space="preserve">nalysis </w:t>
      </w:r>
      <w:r w:rsidR="0095673A">
        <w:t xml:space="preserve">and Public Notice </w:t>
      </w:r>
      <w:r w:rsidR="006311D0">
        <w:t>C</w:t>
      </w:r>
      <w:r w:rsidR="006311D0" w:rsidRPr="006311D0">
        <w:t>osts</w:t>
      </w:r>
    </w:p>
    <w:p w14:paraId="40FFA9E3" w14:textId="1E7F7075" w:rsidR="007054CC" w:rsidRDefault="0048771B" w:rsidP="00786817">
      <w:r w:rsidRPr="0048771B">
        <w:t xml:space="preserve">The </w:t>
      </w:r>
      <w:r w:rsidR="006311D0">
        <w:t xml:space="preserve">Animal Sector includes </w:t>
      </w:r>
      <w:r w:rsidR="0095673A">
        <w:t xml:space="preserve">O&amp;M </w:t>
      </w:r>
      <w:r w:rsidR="006311D0">
        <w:t>cost</w:t>
      </w:r>
      <w:r w:rsidR="00550926">
        <w:t>s</w:t>
      </w:r>
      <w:r w:rsidR="006311D0">
        <w:t xml:space="preserve"> that a</w:t>
      </w:r>
      <w:r w:rsidRPr="0048771B">
        <w:t xml:space="preserve">ccount for </w:t>
      </w:r>
      <w:r w:rsidR="007054CC">
        <w:t xml:space="preserve">state agencies issuing public notices </w:t>
      </w:r>
      <w:r w:rsidRPr="0048771B">
        <w:t>and certain testing</w:t>
      </w:r>
      <w:r w:rsidR="00550926">
        <w:t xml:space="preserve"> and </w:t>
      </w:r>
      <w:r w:rsidRPr="0048771B">
        <w:t>analysis costs incurred by respondents that perform activities outside the normal operation practices</w:t>
      </w:r>
      <w:r w:rsidR="006311D0">
        <w:t>.</w:t>
      </w:r>
      <w:r w:rsidR="006A4856">
        <w:t xml:space="preserve"> O&amp;M costs are based on costs from the </w:t>
      </w:r>
      <w:r w:rsidR="006A4856" w:rsidRPr="006A4856">
        <w:t xml:space="preserve">Consolidated Animal Sectors </w:t>
      </w:r>
      <w:r w:rsidR="006A4856">
        <w:t xml:space="preserve">ICR </w:t>
      </w:r>
      <w:r w:rsidR="006A4856" w:rsidRPr="006A4856">
        <w:t xml:space="preserve">(OMB </w:t>
      </w:r>
      <w:r w:rsidR="00437796">
        <w:t>control no.</w:t>
      </w:r>
      <w:r w:rsidR="006A4856" w:rsidRPr="006A4856">
        <w:t xml:space="preserve"> 2040-0250; EPA ICR </w:t>
      </w:r>
      <w:r w:rsidR="000106BF">
        <w:t>no.</w:t>
      </w:r>
      <w:r w:rsidR="000106BF" w:rsidRPr="006A4856">
        <w:t xml:space="preserve"> </w:t>
      </w:r>
      <w:r w:rsidR="006A4856" w:rsidRPr="006A4856">
        <w:t>1989.10)</w:t>
      </w:r>
      <w:r w:rsidR="006A4856">
        <w:t>. T</w:t>
      </w:r>
      <w:r w:rsidR="006A4856" w:rsidRPr="006A4856">
        <w:t xml:space="preserve">he average cost </w:t>
      </w:r>
      <w:r w:rsidR="006A4856">
        <w:t xml:space="preserve">for </w:t>
      </w:r>
      <w:r w:rsidR="006A4856" w:rsidRPr="006A4856">
        <w:t xml:space="preserve">state agencies </w:t>
      </w:r>
      <w:r w:rsidR="006A4856">
        <w:t>to issue a public notice was $1,</w:t>
      </w:r>
      <w:r w:rsidR="00032DA1">
        <w:t>410</w:t>
      </w:r>
      <w:r w:rsidR="006A4856">
        <w:t xml:space="preserve"> per notice and t</w:t>
      </w:r>
      <w:r w:rsidR="00947C43">
        <w:t>he average testing and analysis cost was $7</w:t>
      </w:r>
      <w:r w:rsidR="00032DA1">
        <w:t>6</w:t>
      </w:r>
      <w:r w:rsidR="00550926">
        <w:t xml:space="preserve"> per </w:t>
      </w:r>
      <w:r w:rsidR="00947C43">
        <w:t>event</w:t>
      </w:r>
      <w:r w:rsidR="006A4856">
        <w:t>.</w:t>
      </w:r>
      <w:r w:rsidR="00AB1D84">
        <w:t xml:space="preserve"> O&amp;M </w:t>
      </w:r>
      <w:r w:rsidR="0095673A">
        <w:t>for recordkeeping was assumed to be 10% of recordkeeping labor costs.</w:t>
      </w:r>
    </w:p>
    <w:p w14:paraId="6A593D7D" w14:textId="385EC185" w:rsidR="009E665B" w:rsidRDefault="009E665B" w:rsidP="00B101A0">
      <w:pPr>
        <w:pStyle w:val="Heading4"/>
      </w:pPr>
      <w:r>
        <w:t>A.2.2.5</w:t>
      </w:r>
      <w:r w:rsidR="00C71FC3">
        <w:t>.</w:t>
      </w:r>
      <w:r>
        <w:t xml:space="preserve"> Pretreatment </w:t>
      </w:r>
    </w:p>
    <w:p w14:paraId="16EB2132" w14:textId="7EEEAB9A" w:rsidR="009E665B" w:rsidRPr="009E665B" w:rsidRDefault="001F37A7">
      <w:r>
        <w:t xml:space="preserve">There are </w:t>
      </w:r>
      <w:r w:rsidR="00242555" w:rsidRPr="00242555">
        <w:t xml:space="preserve">O&amp;M </w:t>
      </w:r>
      <w:r>
        <w:t xml:space="preserve">costs </w:t>
      </w:r>
      <w:r w:rsidR="00242555" w:rsidRPr="00242555">
        <w:t xml:space="preserve">incurred by IUs </w:t>
      </w:r>
      <w:r>
        <w:t>for discharge monitoring</w:t>
      </w:r>
      <w:r w:rsidR="00242555" w:rsidRPr="00242555">
        <w:t xml:space="preserve">. The total annual </w:t>
      </w:r>
      <w:r>
        <w:t>re</w:t>
      </w:r>
      <w:r w:rsidR="00242555" w:rsidRPr="00242555">
        <w:t xml:space="preserve">spondent </w:t>
      </w:r>
      <w:r w:rsidR="00242555">
        <w:t xml:space="preserve">O&amp;M </w:t>
      </w:r>
      <w:r w:rsidR="00242555" w:rsidRPr="00242555">
        <w:t xml:space="preserve">costs associated with this ICR are estimated to </w:t>
      </w:r>
      <w:r w:rsidR="00242555" w:rsidRPr="00485DBB">
        <w:t>be $2,5</w:t>
      </w:r>
      <w:r w:rsidR="000C34EF" w:rsidRPr="00485DBB">
        <w:t>65,</w:t>
      </w:r>
      <w:r w:rsidR="000C34EF">
        <w:t>555</w:t>
      </w:r>
      <w:r>
        <w:t>.</w:t>
      </w:r>
    </w:p>
    <w:p w14:paraId="2E9BB9C4" w14:textId="77777777" w:rsidR="0085470C" w:rsidRDefault="009E665B" w:rsidP="001814FD">
      <w:pPr>
        <w:pStyle w:val="Heading4"/>
      </w:pPr>
      <w:r>
        <w:t>A.2.2.6</w:t>
      </w:r>
      <w:r w:rsidR="00C71FC3">
        <w:t>.</w:t>
      </w:r>
      <w:r w:rsidR="007054CC">
        <w:t xml:space="preserve"> </w:t>
      </w:r>
      <w:r w:rsidR="002B3F3A">
        <w:t xml:space="preserve">CWIS Phase I </w:t>
      </w:r>
      <w:r w:rsidR="00197619">
        <w:t>O&amp;M and ODC C</w:t>
      </w:r>
      <w:r w:rsidR="00E16FA4" w:rsidRPr="00E16FA4">
        <w:t>osts</w:t>
      </w:r>
    </w:p>
    <w:p w14:paraId="78BF53FF" w14:textId="77777777" w:rsidR="0085470C" w:rsidRDefault="00CF28BD" w:rsidP="002B3F3A">
      <w:r>
        <w:t xml:space="preserve">O&amp;M and ODC costs are associated with multiple activities including flow, velocity and biological monitoring. </w:t>
      </w:r>
      <w:r w:rsidR="001377E5" w:rsidRPr="001377E5">
        <w:t xml:space="preserve">EPA assumes that samples taken for the Source Water Baseline Biological Characterization Study </w:t>
      </w:r>
      <w:r w:rsidR="001377E5">
        <w:t xml:space="preserve">to be included with the application </w:t>
      </w:r>
      <w:r w:rsidR="001377E5" w:rsidRPr="001377E5">
        <w:t>will be analyzed by a contracted laboratory</w:t>
      </w:r>
      <w:r w:rsidR="000D0E8D">
        <w:t xml:space="preserve">. </w:t>
      </w:r>
      <w:r w:rsidR="000D0E8D" w:rsidRPr="000D0E8D">
        <w:t xml:space="preserve">For annual O&amp;M costs, EPA assumes </w:t>
      </w:r>
      <w:r w:rsidR="000D0E8D">
        <w:t>that entrainment monitoring sampling analysis</w:t>
      </w:r>
      <w:r w:rsidR="000D0E8D" w:rsidRPr="000D0E8D">
        <w:t xml:space="preserve"> will be performed by an outside laboratory</w:t>
      </w:r>
      <w:r w:rsidR="000D0E8D">
        <w:t>.</w:t>
      </w:r>
      <w:r w:rsidR="000D0E8D" w:rsidRPr="000D0E8D">
        <w:t xml:space="preserve"> </w:t>
      </w:r>
      <w:r w:rsidR="002E20B8">
        <w:t xml:space="preserve">Table </w:t>
      </w:r>
      <w:r w:rsidR="00E16FA4">
        <w:t>A.</w:t>
      </w:r>
      <w:r w:rsidR="007F3A2F">
        <w:t>21</w:t>
      </w:r>
      <w:r w:rsidR="002E20B8">
        <w:t xml:space="preserve"> presents a summary of </w:t>
      </w:r>
      <w:r w:rsidR="00965B02">
        <w:t xml:space="preserve">average </w:t>
      </w:r>
      <w:r w:rsidR="002E20B8">
        <w:t xml:space="preserve">O&amp;M and ODC costs </w:t>
      </w:r>
      <w:r w:rsidR="000B2EE3">
        <w:t xml:space="preserve">per permit </w:t>
      </w:r>
      <w:r w:rsidR="002E20B8">
        <w:t xml:space="preserve">for each </w:t>
      </w:r>
      <w:r w:rsidR="00383121">
        <w:t xml:space="preserve">activity </w:t>
      </w:r>
      <w:r w:rsidR="002E20B8">
        <w:t>category</w:t>
      </w:r>
      <w:r w:rsidR="006523F5">
        <w:t>.</w:t>
      </w:r>
    </w:p>
    <w:p w14:paraId="36BCEFA1" w14:textId="51B4988E" w:rsidR="00E16FA4" w:rsidRDefault="00E16FA4" w:rsidP="00871F94">
      <w:pPr>
        <w:pStyle w:val="Caption"/>
      </w:pPr>
      <w:r>
        <w:t>Table A</w:t>
      </w:r>
      <w:r w:rsidR="00A70D2D">
        <w:t>.</w:t>
      </w:r>
      <w:r w:rsidR="007F3A2F">
        <w:t>21</w:t>
      </w:r>
      <w:r>
        <w:t xml:space="preserve"> Summary of CWIS Phase I </w:t>
      </w:r>
      <w:r w:rsidRPr="00E16FA4">
        <w:t xml:space="preserve">O&amp;M and ODC </w:t>
      </w:r>
      <w:r w:rsidR="0005631A">
        <w:t>A</w:t>
      </w:r>
      <w:r w:rsidR="00965B02">
        <w:t xml:space="preserve">verage </w:t>
      </w:r>
      <w:r w:rsidR="0005631A">
        <w:t>A</w:t>
      </w:r>
      <w:r w:rsidR="00965B02">
        <w:t xml:space="preserve">nnual </w:t>
      </w:r>
      <w:r w:rsidR="0005631A">
        <w:t>C</w:t>
      </w:r>
      <w:r w:rsidR="00965B02" w:rsidRPr="00E16FA4">
        <w:t>osts</w:t>
      </w:r>
      <w:r w:rsidR="00965B02">
        <w:t xml:space="preserve"> </w:t>
      </w:r>
      <w:r w:rsidR="001A7BC4">
        <w:t xml:space="preserve">per </w:t>
      </w:r>
      <w:r w:rsidR="0005631A">
        <w:t>P</w:t>
      </w:r>
      <w:r w:rsidR="00965B02">
        <w:t>ermit</w:t>
      </w:r>
    </w:p>
    <w:tbl>
      <w:tblPr>
        <w:tblStyle w:val="TableGrid"/>
        <w:tblW w:w="0" w:type="auto"/>
        <w:tblLook w:val="04A0" w:firstRow="1" w:lastRow="0" w:firstColumn="1" w:lastColumn="0" w:noHBand="0" w:noVBand="1"/>
      </w:tblPr>
      <w:tblGrid>
        <w:gridCol w:w="6565"/>
        <w:gridCol w:w="2160"/>
      </w:tblGrid>
      <w:tr w:rsidR="002E20B8" w14:paraId="26C5177A" w14:textId="714CD9FD" w:rsidTr="00485DBB">
        <w:tc>
          <w:tcPr>
            <w:tcW w:w="6565" w:type="dxa"/>
            <w:shd w:val="clear" w:color="auto" w:fill="D9D9D9" w:themeFill="background1" w:themeFillShade="D9"/>
          </w:tcPr>
          <w:p w14:paraId="6AF205CA" w14:textId="7772E548" w:rsidR="002E20B8" w:rsidRPr="003D16AA" w:rsidRDefault="002E20B8" w:rsidP="00C9153B">
            <w:pPr>
              <w:pStyle w:val="TableTitle"/>
            </w:pPr>
            <w:r w:rsidRPr="003D16AA">
              <w:t xml:space="preserve">Activity </w:t>
            </w:r>
            <w:r w:rsidR="00965B02" w:rsidRPr="003D16AA">
              <w:t>category</w:t>
            </w:r>
          </w:p>
        </w:tc>
        <w:tc>
          <w:tcPr>
            <w:tcW w:w="2160" w:type="dxa"/>
            <w:shd w:val="clear" w:color="auto" w:fill="D9D9D9" w:themeFill="background1" w:themeFillShade="D9"/>
          </w:tcPr>
          <w:p w14:paraId="2910F708" w14:textId="77777777" w:rsidR="002E20B8" w:rsidRPr="003D16AA" w:rsidRDefault="002E20B8" w:rsidP="00C9153B">
            <w:pPr>
              <w:pStyle w:val="TableTitle"/>
            </w:pPr>
            <w:r w:rsidRPr="003D16AA">
              <w:t>O&amp;M/ODC Cost</w:t>
            </w:r>
          </w:p>
          <w:p w14:paraId="61D4FD42" w14:textId="79AEE287" w:rsidR="00383121" w:rsidRPr="003D16AA" w:rsidRDefault="00383121" w:rsidP="00C9153B">
            <w:pPr>
              <w:pStyle w:val="TableTitle"/>
            </w:pPr>
            <w:r w:rsidRPr="003D16AA">
              <w:t>(</w:t>
            </w:r>
            <w:r w:rsidR="001E44B0" w:rsidRPr="003D16AA">
              <w:t>August 2016</w:t>
            </w:r>
            <w:r w:rsidRPr="003D16AA">
              <w:t xml:space="preserve"> Dollars)</w:t>
            </w:r>
          </w:p>
        </w:tc>
      </w:tr>
      <w:tr w:rsidR="000922A7" w14:paraId="66F06B55" w14:textId="201A586D" w:rsidTr="00C9153B">
        <w:tc>
          <w:tcPr>
            <w:tcW w:w="6565" w:type="dxa"/>
          </w:tcPr>
          <w:p w14:paraId="722261E2" w14:textId="0532B409" w:rsidR="000922A7" w:rsidRPr="003D16AA" w:rsidRDefault="000922A7" w:rsidP="00C9153B">
            <w:pPr>
              <w:pStyle w:val="Tables"/>
            </w:pPr>
            <w:r w:rsidRPr="003D16AA">
              <w:t>Costs for NPDES permit application activities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120EA4" w14:textId="3DD62662" w:rsidR="000922A7" w:rsidRPr="003D16AA" w:rsidRDefault="000922A7" w:rsidP="00C9153B">
            <w:pPr>
              <w:pStyle w:val="Tables"/>
              <w:jc w:val="right"/>
            </w:pPr>
            <w:r>
              <w:t xml:space="preserve">$34,496 </w:t>
            </w:r>
          </w:p>
        </w:tc>
      </w:tr>
      <w:tr w:rsidR="000922A7" w14:paraId="0EF34EC7" w14:textId="77777777" w:rsidTr="00C9153B">
        <w:tc>
          <w:tcPr>
            <w:tcW w:w="6565" w:type="dxa"/>
          </w:tcPr>
          <w:p w14:paraId="2279A17A" w14:textId="7A1A64E8" w:rsidR="000922A7" w:rsidRPr="003D16AA" w:rsidRDefault="000922A7" w:rsidP="00C9153B">
            <w:pPr>
              <w:pStyle w:val="Tables"/>
            </w:pPr>
            <w:r w:rsidRPr="003D16AA">
              <w:t>Costs for NPDES permit renewal activities</w:t>
            </w:r>
          </w:p>
        </w:tc>
        <w:tc>
          <w:tcPr>
            <w:tcW w:w="2160" w:type="dxa"/>
            <w:tcBorders>
              <w:top w:val="nil"/>
              <w:left w:val="single" w:sz="4" w:space="0" w:color="auto"/>
              <w:bottom w:val="single" w:sz="4" w:space="0" w:color="auto"/>
              <w:right w:val="single" w:sz="4" w:space="0" w:color="auto"/>
            </w:tcBorders>
            <w:shd w:val="clear" w:color="auto" w:fill="auto"/>
          </w:tcPr>
          <w:p w14:paraId="2F3492DF" w14:textId="5B8B4DC6" w:rsidR="000922A7" w:rsidRPr="003D16AA" w:rsidRDefault="000922A7" w:rsidP="00C9153B">
            <w:pPr>
              <w:pStyle w:val="Tables"/>
              <w:jc w:val="right"/>
            </w:pPr>
            <w:r>
              <w:t xml:space="preserve">$29,820 </w:t>
            </w:r>
          </w:p>
        </w:tc>
      </w:tr>
      <w:tr w:rsidR="000922A7" w14:paraId="0C49C9EC" w14:textId="77777777" w:rsidTr="00C9153B">
        <w:tc>
          <w:tcPr>
            <w:tcW w:w="6565" w:type="dxa"/>
          </w:tcPr>
          <w:p w14:paraId="68E9C5A7" w14:textId="16D33080" w:rsidR="000922A7" w:rsidRPr="003D16AA" w:rsidRDefault="000922A7" w:rsidP="00C9153B">
            <w:pPr>
              <w:pStyle w:val="Tables"/>
            </w:pPr>
            <w:r w:rsidRPr="003D16AA">
              <w:t>Costs for NPDES permit annual activities</w:t>
            </w:r>
          </w:p>
        </w:tc>
        <w:tc>
          <w:tcPr>
            <w:tcW w:w="2160" w:type="dxa"/>
          </w:tcPr>
          <w:p w14:paraId="6B508D4E" w14:textId="3AF3F420" w:rsidR="000922A7" w:rsidRPr="003D16AA" w:rsidRDefault="000922A7" w:rsidP="00C9153B">
            <w:pPr>
              <w:pStyle w:val="Tables"/>
              <w:jc w:val="right"/>
            </w:pPr>
            <w:r w:rsidRPr="00965B02">
              <w:t xml:space="preserve">$10,853 </w:t>
            </w:r>
          </w:p>
        </w:tc>
      </w:tr>
    </w:tbl>
    <w:p w14:paraId="6CE703CB" w14:textId="09DE7D96" w:rsidR="00E16FA4" w:rsidRDefault="009E665B" w:rsidP="00DE1B27">
      <w:pPr>
        <w:pStyle w:val="Heading4"/>
        <w:spacing w:before="240"/>
      </w:pPr>
      <w:r>
        <w:t>A.2.2.7</w:t>
      </w:r>
      <w:r w:rsidR="00C71FC3">
        <w:t>.</w:t>
      </w:r>
      <w:r w:rsidR="00E16FA4" w:rsidRPr="00E16FA4">
        <w:t xml:space="preserve"> Cooling Water Intake Structures Phase III - New Offshore Oil and Gas Facilities</w:t>
      </w:r>
      <w:r w:rsidR="00197619">
        <w:t xml:space="preserve"> </w:t>
      </w:r>
      <w:r w:rsidR="00197619" w:rsidRPr="00197619">
        <w:t>O&amp;M Costs</w:t>
      </w:r>
    </w:p>
    <w:p w14:paraId="73A13457" w14:textId="77777777" w:rsidR="0085470C" w:rsidRDefault="009023BF" w:rsidP="00C9153B">
      <w:r>
        <w:t xml:space="preserve">Estimated </w:t>
      </w:r>
      <w:r w:rsidR="004411E7">
        <w:t xml:space="preserve">O&amp;M costs for permit application </w:t>
      </w:r>
      <w:r>
        <w:t xml:space="preserve">and permit renewal </w:t>
      </w:r>
      <w:r w:rsidR="004411E7">
        <w:t>activities include $</w:t>
      </w:r>
      <w:r>
        <w:t>9</w:t>
      </w:r>
      <w:r w:rsidR="00C42FE5">
        <w:t>93</w:t>
      </w:r>
      <w:r w:rsidR="004411E7">
        <w:t xml:space="preserve"> for </w:t>
      </w:r>
      <w:r>
        <w:t xml:space="preserve">various </w:t>
      </w:r>
      <w:r w:rsidR="004411E7">
        <w:t>ODCs</w:t>
      </w:r>
      <w:r>
        <w:t xml:space="preserve">. </w:t>
      </w:r>
      <w:r w:rsidR="004411E7" w:rsidRPr="009023BF">
        <w:t>For annual O&amp;M costs, EPA assumed that the analysis of impingement monitoring samples will be done on-site, while entrainment monitoring samples is performed by an outside laboratory. Laboratory analysis for entrainment samples is estimated to cost $3,</w:t>
      </w:r>
      <w:r w:rsidR="005D2905">
        <w:t>963</w:t>
      </w:r>
      <w:r w:rsidR="004411E7">
        <w:t xml:space="preserve"> </w:t>
      </w:r>
      <w:r w:rsidR="004411E7" w:rsidRPr="009023BF">
        <w:t>per year per facility. The ODCs associated with biological monitoring are estimated to be approximately $8</w:t>
      </w:r>
      <w:r w:rsidR="005D2905">
        <w:t>69</w:t>
      </w:r>
      <w:r w:rsidR="004411E7" w:rsidRPr="009023BF">
        <w:t xml:space="preserve"> per facility</w:t>
      </w:r>
      <w:r w:rsidR="004411E7">
        <w:t xml:space="preserve">. </w:t>
      </w:r>
      <w:r>
        <w:t>Table A.</w:t>
      </w:r>
      <w:r w:rsidR="009A7DCF">
        <w:t>2</w:t>
      </w:r>
      <w:r w:rsidR="007F3A2F">
        <w:t>2</w:t>
      </w:r>
      <w:r>
        <w:t xml:space="preserve"> presents a summary of the estimated annual O&amp;M costs across all CWIS Phase II</w:t>
      </w:r>
      <w:r w:rsidR="00A70D2D">
        <w:t>I</w:t>
      </w:r>
      <w:r>
        <w:t xml:space="preserve"> Facilities</w:t>
      </w:r>
    </w:p>
    <w:p w14:paraId="4B741A4D" w14:textId="71033CA1" w:rsidR="00A70D2D" w:rsidRDefault="00A70D2D" w:rsidP="00871F94">
      <w:pPr>
        <w:pStyle w:val="Caption"/>
      </w:pPr>
      <w:r>
        <w:t>Table A.</w:t>
      </w:r>
      <w:r w:rsidR="009A7DCF">
        <w:t>2</w:t>
      </w:r>
      <w:r w:rsidR="007F3A2F">
        <w:t>2</w:t>
      </w:r>
      <w:r>
        <w:t xml:space="preserve"> Summary of </w:t>
      </w:r>
      <w:r w:rsidR="00E07DBB">
        <w:t>E</w:t>
      </w:r>
      <w:r w:rsidR="00965B02">
        <w:t xml:space="preserve">stimated </w:t>
      </w:r>
      <w:r w:rsidR="00E07DBB">
        <w:t>A</w:t>
      </w:r>
      <w:r w:rsidR="00965B02">
        <w:t xml:space="preserve">nnual </w:t>
      </w:r>
      <w:r w:rsidR="00E07DBB">
        <w:t>T</w:t>
      </w:r>
      <w:r w:rsidR="00965B02">
        <w:t xml:space="preserve">otal </w:t>
      </w:r>
      <w:r>
        <w:t xml:space="preserve">O&amp;M </w:t>
      </w:r>
      <w:r w:rsidR="00E07DBB">
        <w:t>C</w:t>
      </w:r>
      <w:r w:rsidR="00965B02">
        <w:t xml:space="preserve">osts </w:t>
      </w:r>
      <w:r>
        <w:t xml:space="preserve">for </w:t>
      </w:r>
      <w:r w:rsidR="00E07DBB">
        <w:t>A</w:t>
      </w:r>
      <w:r w:rsidR="00965B02">
        <w:t xml:space="preserve">ll </w:t>
      </w:r>
      <w:r>
        <w:t xml:space="preserve">CWIS Phase III </w:t>
      </w:r>
      <w:r w:rsidR="00E07DBB">
        <w:t>F</w:t>
      </w:r>
      <w:r w:rsidR="00965B02">
        <w:t>acilities</w:t>
      </w:r>
    </w:p>
    <w:tbl>
      <w:tblPr>
        <w:tblStyle w:val="TableGrid"/>
        <w:tblW w:w="0" w:type="auto"/>
        <w:tblLook w:val="04A0" w:firstRow="1" w:lastRow="0" w:firstColumn="1" w:lastColumn="0" w:noHBand="0" w:noVBand="1"/>
      </w:tblPr>
      <w:tblGrid>
        <w:gridCol w:w="6385"/>
        <w:gridCol w:w="2340"/>
      </w:tblGrid>
      <w:tr w:rsidR="003E3D0D" w14:paraId="78740BC5" w14:textId="77777777" w:rsidTr="003D16AA">
        <w:tc>
          <w:tcPr>
            <w:tcW w:w="6385" w:type="dxa"/>
            <w:shd w:val="clear" w:color="auto" w:fill="D9D9D9" w:themeFill="background1" w:themeFillShade="D9"/>
          </w:tcPr>
          <w:p w14:paraId="125E6D33" w14:textId="5350AA32" w:rsidR="003E3D0D" w:rsidRPr="003D16AA" w:rsidRDefault="000B2EE3" w:rsidP="00C9153B">
            <w:pPr>
              <w:pStyle w:val="TableTitle"/>
            </w:pPr>
            <w:r w:rsidRPr="003D16AA">
              <w:t xml:space="preserve">Activity </w:t>
            </w:r>
            <w:r w:rsidR="00E07DBB">
              <w:t>C</w:t>
            </w:r>
            <w:r w:rsidR="00965B02" w:rsidRPr="003D16AA">
              <w:t>ategory</w:t>
            </w:r>
          </w:p>
        </w:tc>
        <w:tc>
          <w:tcPr>
            <w:tcW w:w="2340" w:type="dxa"/>
            <w:shd w:val="clear" w:color="auto" w:fill="D9D9D9" w:themeFill="background1" w:themeFillShade="D9"/>
          </w:tcPr>
          <w:p w14:paraId="4B8FFA85" w14:textId="77777777" w:rsidR="003E3D0D" w:rsidRPr="003D16AA" w:rsidRDefault="003E3D0D" w:rsidP="00C9153B">
            <w:pPr>
              <w:pStyle w:val="TableTitle"/>
            </w:pPr>
            <w:r w:rsidRPr="003D16AA">
              <w:t>O&amp;M/ODC Cost</w:t>
            </w:r>
          </w:p>
          <w:p w14:paraId="6D8A949C" w14:textId="3BC3F511" w:rsidR="003E3D0D" w:rsidRPr="003D16AA" w:rsidRDefault="003E3D0D" w:rsidP="00C9153B">
            <w:pPr>
              <w:pStyle w:val="TableTitle"/>
            </w:pPr>
            <w:r w:rsidRPr="003D16AA">
              <w:t>(</w:t>
            </w:r>
            <w:r w:rsidR="00C22DBF" w:rsidRPr="003D16AA">
              <w:t>August 2016</w:t>
            </w:r>
            <w:r w:rsidR="00351F59" w:rsidRPr="003D16AA">
              <w:t xml:space="preserve"> </w:t>
            </w:r>
            <w:r w:rsidRPr="003D16AA">
              <w:t>Dollars)</w:t>
            </w:r>
          </w:p>
        </w:tc>
      </w:tr>
      <w:tr w:rsidR="00C22DBF" w14:paraId="0106DFEC" w14:textId="77777777" w:rsidTr="00C9153B">
        <w:tc>
          <w:tcPr>
            <w:tcW w:w="6385" w:type="dxa"/>
          </w:tcPr>
          <w:p w14:paraId="16F48260" w14:textId="035AABCB" w:rsidR="00C22DBF" w:rsidRPr="003D16AA" w:rsidRDefault="00C22DBF" w:rsidP="00C9153B">
            <w:pPr>
              <w:pStyle w:val="Tables"/>
            </w:pPr>
            <w:r w:rsidRPr="003D16AA">
              <w:t xml:space="preserve">Total </w:t>
            </w:r>
            <w:r w:rsidR="00C71FC3">
              <w:t>f</w:t>
            </w:r>
            <w:r w:rsidRPr="003D16AA">
              <w:t xml:space="preserve">acility </w:t>
            </w:r>
            <w:r w:rsidR="00965B02">
              <w:t>c</w:t>
            </w:r>
            <w:r w:rsidR="00965B02" w:rsidRPr="003D16AA">
              <w:t xml:space="preserve">ost </w:t>
            </w:r>
            <w:r w:rsidR="00965B02">
              <w:t>e</w:t>
            </w:r>
            <w:r w:rsidR="00965B02" w:rsidRPr="003D16AA">
              <w:t xml:space="preserve">stimates </w:t>
            </w:r>
            <w:r w:rsidRPr="003D16AA">
              <w:t xml:space="preserve">for NPDES </w:t>
            </w:r>
            <w:r w:rsidR="00965B02">
              <w:t>p</w:t>
            </w:r>
            <w:r w:rsidR="00965B02" w:rsidRPr="003D16AA">
              <w:t xml:space="preserve">ermit </w:t>
            </w:r>
            <w:r w:rsidR="00965B02">
              <w:t>a</w:t>
            </w:r>
            <w:r w:rsidR="00965B02" w:rsidRPr="003D16AA">
              <w:t xml:space="preserve">pplication </w:t>
            </w:r>
            <w:r w:rsidR="00965B02">
              <w:t>a</w:t>
            </w:r>
            <w:r w:rsidR="00965B02" w:rsidRPr="003D16AA">
              <w:t>ctivities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D3A4F74" w14:textId="679D5C13" w:rsidR="00C22DBF" w:rsidRPr="003D16AA" w:rsidRDefault="00C22DBF" w:rsidP="00C9153B">
            <w:pPr>
              <w:pStyle w:val="Tables"/>
              <w:jc w:val="right"/>
            </w:pPr>
            <w:r w:rsidRPr="00965B02">
              <w:t xml:space="preserve">$5,960 </w:t>
            </w:r>
          </w:p>
        </w:tc>
      </w:tr>
      <w:tr w:rsidR="00C22DBF" w14:paraId="6BFA1148" w14:textId="77777777" w:rsidTr="00C9153B">
        <w:tc>
          <w:tcPr>
            <w:tcW w:w="6385" w:type="dxa"/>
          </w:tcPr>
          <w:p w14:paraId="7FC91ED9" w14:textId="057E7CC4" w:rsidR="00C22DBF" w:rsidRPr="003D16AA" w:rsidRDefault="00C22DBF" w:rsidP="00C9153B">
            <w:pPr>
              <w:pStyle w:val="Tables"/>
            </w:pPr>
            <w:r w:rsidRPr="003D16AA">
              <w:t xml:space="preserve">Total </w:t>
            </w:r>
            <w:r w:rsidR="00C71FC3">
              <w:t>f</w:t>
            </w:r>
            <w:r w:rsidRPr="003D16AA">
              <w:t xml:space="preserve">acility </w:t>
            </w:r>
            <w:r w:rsidR="00965B02">
              <w:t>c</w:t>
            </w:r>
            <w:r w:rsidR="00965B02" w:rsidRPr="003D16AA">
              <w:t xml:space="preserve">ost </w:t>
            </w:r>
            <w:r w:rsidR="00965B02">
              <w:t>e</w:t>
            </w:r>
            <w:r w:rsidR="00965B02" w:rsidRPr="003D16AA">
              <w:t xml:space="preserve">stimates </w:t>
            </w:r>
            <w:r w:rsidRPr="003D16AA">
              <w:t xml:space="preserve">for NPDES </w:t>
            </w:r>
            <w:r w:rsidR="00965B02">
              <w:t>p</w:t>
            </w:r>
            <w:r w:rsidR="00965B02" w:rsidRPr="003D16AA">
              <w:t xml:space="preserve">ermit </w:t>
            </w:r>
            <w:r w:rsidR="00965B02">
              <w:t>a</w:t>
            </w:r>
            <w:r w:rsidR="00965B02" w:rsidRPr="003D16AA">
              <w:t xml:space="preserve">pplication </w:t>
            </w:r>
            <w:r w:rsidR="00965B02">
              <w:t>a</w:t>
            </w:r>
            <w:r w:rsidR="00965B02" w:rsidRPr="003D16AA">
              <w:t xml:space="preserve">ctivities </w:t>
            </w:r>
            <w:r w:rsidRPr="003D16AA">
              <w:t>(</w:t>
            </w:r>
            <w:r w:rsidR="00C71FC3">
              <w:t>r</w:t>
            </w:r>
            <w:r w:rsidRPr="003D16AA">
              <w:t>enewals)</w:t>
            </w:r>
          </w:p>
        </w:tc>
        <w:tc>
          <w:tcPr>
            <w:tcW w:w="2340" w:type="dxa"/>
            <w:tcBorders>
              <w:top w:val="nil"/>
              <w:left w:val="single" w:sz="4" w:space="0" w:color="auto"/>
              <w:bottom w:val="single" w:sz="4" w:space="0" w:color="auto"/>
              <w:right w:val="single" w:sz="4" w:space="0" w:color="auto"/>
            </w:tcBorders>
            <w:shd w:val="clear" w:color="auto" w:fill="auto"/>
          </w:tcPr>
          <w:p w14:paraId="61B15AED" w14:textId="1AE22902" w:rsidR="00C22DBF" w:rsidRPr="003D16AA" w:rsidRDefault="00C22DBF" w:rsidP="00C9153B">
            <w:pPr>
              <w:pStyle w:val="Tables"/>
              <w:jc w:val="right"/>
            </w:pPr>
            <w:r w:rsidRPr="00965B02">
              <w:t xml:space="preserve">$5,960 </w:t>
            </w:r>
          </w:p>
        </w:tc>
      </w:tr>
      <w:tr w:rsidR="00C22DBF" w14:paraId="6CB0AF03" w14:textId="77777777" w:rsidTr="00C9153B">
        <w:tc>
          <w:tcPr>
            <w:tcW w:w="6385" w:type="dxa"/>
          </w:tcPr>
          <w:p w14:paraId="7375F987" w14:textId="60851AEE" w:rsidR="00C22DBF" w:rsidRPr="003D16AA" w:rsidRDefault="00C22DBF" w:rsidP="00C9153B">
            <w:pPr>
              <w:pStyle w:val="Tables"/>
            </w:pPr>
            <w:r w:rsidRPr="003D16AA">
              <w:t xml:space="preserve">Total </w:t>
            </w:r>
            <w:r w:rsidR="00C71FC3">
              <w:t>f</w:t>
            </w:r>
            <w:r w:rsidRPr="003D16AA">
              <w:t xml:space="preserve">acility </w:t>
            </w:r>
            <w:r w:rsidR="00965B02">
              <w:t>c</w:t>
            </w:r>
            <w:r w:rsidR="00965B02" w:rsidRPr="003D16AA">
              <w:t xml:space="preserve">ost </w:t>
            </w:r>
            <w:r w:rsidR="00965B02">
              <w:t>e</w:t>
            </w:r>
            <w:r w:rsidR="00965B02" w:rsidRPr="003D16AA">
              <w:t xml:space="preserve">stimates </w:t>
            </w:r>
            <w:r w:rsidRPr="003D16AA">
              <w:t xml:space="preserve">for </w:t>
            </w:r>
            <w:r w:rsidR="00965B02">
              <w:t>a</w:t>
            </w:r>
            <w:r w:rsidR="00965B02" w:rsidRPr="003D16AA">
              <w:t xml:space="preserve">nnual </w:t>
            </w:r>
            <w:r w:rsidR="00965B02">
              <w:t>m</w:t>
            </w:r>
            <w:r w:rsidR="00965B02" w:rsidRPr="003D16AA">
              <w:t xml:space="preserve">onitoring </w:t>
            </w:r>
            <w:r w:rsidRPr="003D16AA">
              <w:t xml:space="preserve">and </w:t>
            </w:r>
            <w:r w:rsidR="00886670">
              <w:t>i</w:t>
            </w:r>
            <w:r w:rsidR="00886670" w:rsidRPr="003D16AA">
              <w:t>nspection</w:t>
            </w:r>
            <w:r w:rsidRPr="003D16AA">
              <w:t xml:space="preserve"> </w:t>
            </w:r>
            <w:r w:rsidR="00965B02">
              <w:t>a</w:t>
            </w:r>
            <w:r w:rsidR="00965B02" w:rsidRPr="003D16AA">
              <w:t>ctivities</w:t>
            </w:r>
          </w:p>
        </w:tc>
        <w:tc>
          <w:tcPr>
            <w:tcW w:w="2340" w:type="dxa"/>
            <w:tcBorders>
              <w:top w:val="nil"/>
              <w:left w:val="single" w:sz="4" w:space="0" w:color="auto"/>
              <w:bottom w:val="single" w:sz="4" w:space="0" w:color="auto"/>
              <w:right w:val="single" w:sz="4" w:space="0" w:color="auto"/>
            </w:tcBorders>
            <w:shd w:val="clear" w:color="auto" w:fill="auto"/>
          </w:tcPr>
          <w:p w14:paraId="0FF2B259" w14:textId="769A51FA" w:rsidR="00C22DBF" w:rsidRPr="003D16AA" w:rsidRDefault="00C22DBF" w:rsidP="00C9153B">
            <w:pPr>
              <w:pStyle w:val="Tables"/>
              <w:jc w:val="right"/>
            </w:pPr>
            <w:r w:rsidRPr="00965B02">
              <w:t>$8</w:t>
            </w:r>
            <w:r w:rsidR="00044771">
              <w:t>47,934</w:t>
            </w:r>
            <w:r w:rsidRPr="00965B02">
              <w:t xml:space="preserve"> </w:t>
            </w:r>
          </w:p>
        </w:tc>
      </w:tr>
    </w:tbl>
    <w:p w14:paraId="76C3359C" w14:textId="37849638" w:rsidR="009E665B" w:rsidRDefault="009E665B" w:rsidP="00DE1B27">
      <w:pPr>
        <w:pStyle w:val="Heading4"/>
        <w:spacing w:before="240"/>
      </w:pPr>
      <w:r>
        <w:t>A.2.2.8</w:t>
      </w:r>
      <w:r w:rsidR="00C71FC3">
        <w:t>.</w:t>
      </w:r>
      <w:r>
        <w:t xml:space="preserve"> </w:t>
      </w:r>
      <w:r w:rsidRPr="009E665B">
        <w:t>Cooling Water Intake Structures</w:t>
      </w:r>
      <w:r>
        <w:t xml:space="preserve"> Existing Facility </w:t>
      </w:r>
      <w:r w:rsidRPr="009E665B">
        <w:t>O&amp;M Costs</w:t>
      </w:r>
    </w:p>
    <w:p w14:paraId="7C73480A" w14:textId="77777777" w:rsidR="0085470C" w:rsidRDefault="00A70D2D" w:rsidP="00E51F9F">
      <w:r>
        <w:t xml:space="preserve">O&amp;M costs include </w:t>
      </w:r>
      <w:r w:rsidRPr="00A70D2D">
        <w:t>costs for the operation and upkeep of capital equipment</w:t>
      </w:r>
      <w:r>
        <w:t>,</w:t>
      </w:r>
      <w:r w:rsidRPr="00A70D2D">
        <w:t xml:space="preserve"> cost for the purchase of contracted services, such as laboratory analyses</w:t>
      </w:r>
      <w:r>
        <w:t>, and t</w:t>
      </w:r>
      <w:r w:rsidRPr="00A70D2D">
        <w:t xml:space="preserve">he purchase of supplies such as filing cabinets and services such as photocopying or boat rental </w:t>
      </w:r>
      <w:r>
        <w:t>which</w:t>
      </w:r>
      <w:r w:rsidRPr="00A70D2D">
        <w:t xml:space="preserve"> are referred to as other direct costs (ODCs).</w:t>
      </w:r>
      <w:r>
        <w:t xml:space="preserve"> Table </w:t>
      </w:r>
      <w:r w:rsidR="00241CDF">
        <w:t>A.</w:t>
      </w:r>
      <w:r w:rsidR="009A7DCF">
        <w:t>2</w:t>
      </w:r>
      <w:r w:rsidR="007F3A2F">
        <w:t>3</w:t>
      </w:r>
      <w:r w:rsidR="00241CDF">
        <w:t xml:space="preserve"> </w:t>
      </w:r>
      <w:r w:rsidR="00642035">
        <w:t xml:space="preserve">presents a summary of the </w:t>
      </w:r>
      <w:r w:rsidR="00641480" w:rsidRPr="00641480">
        <w:t xml:space="preserve">estimated annual O&amp;M costs across all CWIS </w:t>
      </w:r>
      <w:r w:rsidR="00641480">
        <w:t xml:space="preserve">Existing </w:t>
      </w:r>
      <w:r w:rsidR="00641480" w:rsidRPr="00641480">
        <w:t>Facilities</w:t>
      </w:r>
      <w:r w:rsidR="00641480">
        <w:t>.</w:t>
      </w:r>
    </w:p>
    <w:p w14:paraId="4488B442" w14:textId="4307D8A8" w:rsidR="00F81216" w:rsidRDefault="00F81216" w:rsidP="00871F94">
      <w:pPr>
        <w:pStyle w:val="Caption"/>
      </w:pPr>
      <w:r>
        <w:t>Table A.</w:t>
      </w:r>
      <w:r w:rsidR="009A7DCF">
        <w:t>2</w:t>
      </w:r>
      <w:r w:rsidR="007F3A2F">
        <w:t>3</w:t>
      </w:r>
      <w:r w:rsidR="00835725" w:rsidRPr="00835725">
        <w:t xml:space="preserve"> </w:t>
      </w:r>
      <w:r w:rsidR="00835725">
        <w:t>E</w:t>
      </w:r>
      <w:r w:rsidR="00835725" w:rsidRPr="00835725">
        <w:t xml:space="preserve">stimated </w:t>
      </w:r>
      <w:r w:rsidR="00E07DBB">
        <w:t>A</w:t>
      </w:r>
      <w:r w:rsidR="00305979" w:rsidRPr="00835725">
        <w:t xml:space="preserve">nnual </w:t>
      </w:r>
      <w:r w:rsidR="00835725" w:rsidRPr="00835725">
        <w:t xml:space="preserve">O&amp;M </w:t>
      </w:r>
      <w:r w:rsidR="00E07DBB">
        <w:t>C</w:t>
      </w:r>
      <w:r w:rsidR="00305979" w:rsidRPr="00835725">
        <w:t>osts</w:t>
      </w:r>
      <w:r w:rsidR="00305979">
        <w:t xml:space="preserve"> </w:t>
      </w:r>
      <w:r w:rsidR="00835725">
        <w:t xml:space="preserve">for </w:t>
      </w:r>
      <w:r w:rsidR="00E07DBB">
        <w:t>E</w:t>
      </w:r>
      <w:r w:rsidR="00305979" w:rsidRPr="00835725">
        <w:t xml:space="preserve">xisting </w:t>
      </w:r>
      <w:r w:rsidR="00E07DBB">
        <w:t>F</w:t>
      </w:r>
      <w:r w:rsidR="00305979" w:rsidRPr="00835725">
        <w:t>acility</w:t>
      </w:r>
    </w:p>
    <w:tbl>
      <w:tblPr>
        <w:tblStyle w:val="TableGrid"/>
        <w:tblW w:w="0" w:type="auto"/>
        <w:tblLook w:val="04A0" w:firstRow="1" w:lastRow="0" w:firstColumn="1" w:lastColumn="0" w:noHBand="0" w:noVBand="1"/>
      </w:tblPr>
      <w:tblGrid>
        <w:gridCol w:w="6385"/>
        <w:gridCol w:w="2520"/>
      </w:tblGrid>
      <w:tr w:rsidR="00D241E8" w14:paraId="5F56116E" w14:textId="77777777" w:rsidTr="003D16AA">
        <w:tc>
          <w:tcPr>
            <w:tcW w:w="6385" w:type="dxa"/>
            <w:shd w:val="clear" w:color="auto" w:fill="D9D9D9" w:themeFill="background1" w:themeFillShade="D9"/>
          </w:tcPr>
          <w:p w14:paraId="25AD1CE4" w14:textId="58ABCEC3" w:rsidR="00D241E8" w:rsidRPr="003D16AA" w:rsidRDefault="00D241E8" w:rsidP="00C9153B">
            <w:pPr>
              <w:pStyle w:val="TableTitle"/>
            </w:pPr>
            <w:r w:rsidRPr="003D16AA">
              <w:t xml:space="preserve">Activity </w:t>
            </w:r>
            <w:r w:rsidR="00E07DBB">
              <w:t>C</w:t>
            </w:r>
            <w:r w:rsidR="00305979" w:rsidRPr="003D16AA">
              <w:t>ategory</w:t>
            </w:r>
          </w:p>
        </w:tc>
        <w:tc>
          <w:tcPr>
            <w:tcW w:w="2520" w:type="dxa"/>
            <w:shd w:val="clear" w:color="auto" w:fill="D9D9D9" w:themeFill="background1" w:themeFillShade="D9"/>
          </w:tcPr>
          <w:p w14:paraId="7D3A146A" w14:textId="1B1A6763" w:rsidR="00D241E8" w:rsidRPr="003D16AA" w:rsidRDefault="00D241E8" w:rsidP="00C9153B">
            <w:pPr>
              <w:pStyle w:val="TableTitle"/>
            </w:pPr>
            <w:r w:rsidRPr="003D16AA">
              <w:t xml:space="preserve">O&amp;M/ODC </w:t>
            </w:r>
            <w:r w:rsidR="00305979">
              <w:t>c</w:t>
            </w:r>
            <w:r w:rsidR="00305979" w:rsidRPr="003D16AA">
              <w:t>ost</w:t>
            </w:r>
          </w:p>
          <w:p w14:paraId="382E328D" w14:textId="5EFCF15E" w:rsidR="00D241E8" w:rsidRPr="003D16AA" w:rsidRDefault="00D241E8" w:rsidP="00C9153B">
            <w:pPr>
              <w:pStyle w:val="TableTitle"/>
            </w:pPr>
            <w:r w:rsidRPr="003D16AA">
              <w:t>(</w:t>
            </w:r>
            <w:r w:rsidR="00974B05" w:rsidRPr="003D16AA">
              <w:t>August 2016</w:t>
            </w:r>
            <w:r w:rsidR="00F81216" w:rsidRPr="003D16AA">
              <w:t xml:space="preserve"> </w:t>
            </w:r>
            <w:r w:rsidRPr="003D16AA">
              <w:t>Dollars)</w:t>
            </w:r>
          </w:p>
        </w:tc>
      </w:tr>
      <w:tr w:rsidR="00974B05" w14:paraId="6BE65FC9" w14:textId="77777777" w:rsidTr="00C9153B">
        <w:tc>
          <w:tcPr>
            <w:tcW w:w="6385" w:type="dxa"/>
          </w:tcPr>
          <w:p w14:paraId="03E78A5F" w14:textId="4D84F0F3" w:rsidR="00974B05" w:rsidRPr="003D16AA" w:rsidRDefault="00974B05" w:rsidP="00C9153B">
            <w:pPr>
              <w:pStyle w:val="Tables"/>
            </w:pPr>
            <w:r w:rsidRPr="003D16AA">
              <w:t xml:space="preserve">Total </w:t>
            </w:r>
            <w:r w:rsidR="00305979">
              <w:t>f</w:t>
            </w:r>
            <w:r w:rsidR="00305979" w:rsidRPr="003D16AA">
              <w:t xml:space="preserve">acility </w:t>
            </w:r>
            <w:r w:rsidR="00305979">
              <w:t>c</w:t>
            </w:r>
            <w:r w:rsidR="00305979" w:rsidRPr="003D16AA">
              <w:t xml:space="preserve">ost </w:t>
            </w:r>
            <w:r w:rsidR="00305979">
              <w:t>e</w:t>
            </w:r>
            <w:r w:rsidR="00305979" w:rsidRPr="003D16AA">
              <w:t xml:space="preserve">stimates </w:t>
            </w:r>
            <w:r w:rsidRPr="003D16AA">
              <w:t xml:space="preserve">for NPDES </w:t>
            </w:r>
            <w:r w:rsidR="00305979">
              <w:t>p</w:t>
            </w:r>
            <w:r w:rsidR="00305979" w:rsidRPr="003D16AA">
              <w:t xml:space="preserve">ermit </w:t>
            </w:r>
            <w:r w:rsidR="00305979">
              <w:t>a</w:t>
            </w:r>
            <w:r w:rsidR="00305979" w:rsidRPr="003D16AA">
              <w:t xml:space="preserve">pplication </w:t>
            </w:r>
            <w:r w:rsidR="00305979">
              <w:t>a</w:t>
            </w:r>
            <w:r w:rsidR="00305979" w:rsidRPr="003D16AA">
              <w:t>ctivities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B41715" w14:textId="6DE69BE9" w:rsidR="00974B05" w:rsidRPr="003D16AA" w:rsidRDefault="00974B05" w:rsidP="00C9153B">
            <w:pPr>
              <w:pStyle w:val="Tables"/>
              <w:jc w:val="right"/>
            </w:pPr>
            <w:r w:rsidRPr="003D16AA">
              <w:t>$13,415,373</w:t>
            </w:r>
          </w:p>
        </w:tc>
      </w:tr>
      <w:tr w:rsidR="00974B05" w14:paraId="0B024D0D" w14:textId="77777777" w:rsidTr="00C9153B">
        <w:tc>
          <w:tcPr>
            <w:tcW w:w="6385" w:type="dxa"/>
          </w:tcPr>
          <w:p w14:paraId="16B153F8" w14:textId="50251BD8" w:rsidR="00974B05" w:rsidRPr="003D16AA" w:rsidRDefault="00974B05" w:rsidP="00C9153B">
            <w:pPr>
              <w:pStyle w:val="Tables"/>
            </w:pPr>
            <w:r w:rsidRPr="003D16AA">
              <w:t xml:space="preserve">Total </w:t>
            </w:r>
            <w:r w:rsidR="00305979">
              <w:t>f</w:t>
            </w:r>
            <w:r w:rsidR="00305979" w:rsidRPr="003D16AA">
              <w:t xml:space="preserve">acility </w:t>
            </w:r>
            <w:r w:rsidR="00305979">
              <w:t>c</w:t>
            </w:r>
            <w:r w:rsidR="00305979" w:rsidRPr="003D16AA">
              <w:t xml:space="preserve">ost </w:t>
            </w:r>
            <w:r w:rsidR="00305979">
              <w:t>e</w:t>
            </w:r>
            <w:r w:rsidR="00305979" w:rsidRPr="003D16AA">
              <w:t xml:space="preserve">stimates </w:t>
            </w:r>
            <w:r w:rsidRPr="003D16AA">
              <w:t xml:space="preserve">for </w:t>
            </w:r>
            <w:r w:rsidR="00305979">
              <w:t>a</w:t>
            </w:r>
            <w:r w:rsidR="00305979" w:rsidRPr="003D16AA">
              <w:t xml:space="preserve">nnual </w:t>
            </w:r>
            <w:r w:rsidR="00305979">
              <w:t>a</w:t>
            </w:r>
            <w:r w:rsidR="00305979" w:rsidRPr="003D16AA">
              <w:t>ctivities</w:t>
            </w:r>
          </w:p>
        </w:tc>
        <w:tc>
          <w:tcPr>
            <w:tcW w:w="2520" w:type="dxa"/>
            <w:tcBorders>
              <w:top w:val="nil"/>
              <w:left w:val="single" w:sz="4" w:space="0" w:color="auto"/>
              <w:bottom w:val="single" w:sz="4" w:space="0" w:color="auto"/>
              <w:right w:val="single" w:sz="4" w:space="0" w:color="auto"/>
            </w:tcBorders>
            <w:shd w:val="clear" w:color="auto" w:fill="auto"/>
          </w:tcPr>
          <w:p w14:paraId="2BEF00E6" w14:textId="42F82A30" w:rsidR="00974B05" w:rsidRPr="003D16AA" w:rsidRDefault="00974B05" w:rsidP="00C9153B">
            <w:pPr>
              <w:pStyle w:val="Tables"/>
              <w:jc w:val="right"/>
            </w:pPr>
            <w:r w:rsidRPr="003D16AA">
              <w:t>$1,135,294</w:t>
            </w:r>
          </w:p>
        </w:tc>
      </w:tr>
    </w:tbl>
    <w:p w14:paraId="75187CA3" w14:textId="4D042FC2" w:rsidR="000A24BD" w:rsidRDefault="000A24BD" w:rsidP="00DE1B27">
      <w:pPr>
        <w:pStyle w:val="Heading4"/>
        <w:spacing w:before="240"/>
      </w:pPr>
      <w:r>
        <w:t xml:space="preserve">A.2.2.9 Electronic Reporting Rule </w:t>
      </w:r>
    </w:p>
    <w:p w14:paraId="14F43949" w14:textId="77777777" w:rsidR="0085470C" w:rsidRDefault="000A24BD" w:rsidP="00463ED2">
      <w:r w:rsidRPr="00373C11">
        <w:t xml:space="preserve">Once regulated entities establish their electronic accounts, they will experience savings </w:t>
      </w:r>
      <w:r w:rsidR="00546EEF">
        <w:t>because</w:t>
      </w:r>
      <w:r w:rsidRPr="00373C11">
        <w:t xml:space="preserve"> they no longer have to mail their submissions to the </w:t>
      </w:r>
      <w:r w:rsidR="00546EEF">
        <w:t>permitting authority</w:t>
      </w:r>
      <w:r w:rsidRPr="00373C11">
        <w:t>. Regulated entities submitting DMRs electronically will save on paper and postage.</w:t>
      </w:r>
      <w:r>
        <w:t xml:space="preserve"> </w:t>
      </w:r>
      <w:r w:rsidRPr="00373C11">
        <w:t>According to EPA program experts, the average DMR form is five pages long.</w:t>
      </w:r>
      <w:r>
        <w:t xml:space="preserve"> </w:t>
      </w:r>
      <w:r w:rsidRPr="00373C11">
        <w:t xml:space="preserve">DMRs are partially filled out by the regulated entity, sent to an independent laboratory for completion, and then sent to the </w:t>
      </w:r>
      <w:r w:rsidR="00546EEF">
        <w:t>permitting authority</w:t>
      </w:r>
      <w:r w:rsidRPr="00373C11">
        <w:t>. Therefore, electronic DMR submission will save two standard envelopes, two first class stamps and five to 20 pages of paper</w:t>
      </w:r>
      <w:r w:rsidR="00886670">
        <w:t>.</w:t>
      </w:r>
      <w:r w:rsidR="00463ED2">
        <w:t xml:space="preserve"> The average</w:t>
      </w:r>
      <w:r w:rsidRPr="00373C11">
        <w:t xml:space="preserve"> </w:t>
      </w:r>
      <w:r w:rsidR="00463ED2">
        <w:t xml:space="preserve">total was </w:t>
      </w:r>
      <w:r>
        <w:t>$</w:t>
      </w:r>
      <w:r w:rsidR="00A13ED1">
        <w:t>1.15</w:t>
      </w:r>
      <w:r w:rsidRPr="00373C11">
        <w:t xml:space="preserve"> per submission</w:t>
      </w:r>
      <w:r>
        <w:t>. Estimated paper and mailing saving for program reports is $0.5</w:t>
      </w:r>
      <w:r w:rsidR="00463ED2">
        <w:t>6</w:t>
      </w:r>
      <w:r>
        <w:t xml:space="preserve"> per submission.</w:t>
      </w:r>
      <w:r w:rsidR="00A13ED1">
        <w:t xml:space="preserve"> </w:t>
      </w:r>
      <w:r w:rsidR="00463ED2" w:rsidRPr="009E6B3F">
        <w:t>In the source ICR</w:t>
      </w:r>
      <w:r w:rsidR="00AC765F">
        <w:t>,</w:t>
      </w:r>
      <w:r w:rsidR="00463ED2" w:rsidRPr="009E6B3F">
        <w:t xml:space="preserve"> the report savings applied to each sludge report, pretreatment report, and CSO report only. Using data from “year 2” (</w:t>
      </w:r>
      <w:r w:rsidR="004C3640">
        <w:t xml:space="preserve">third year - </w:t>
      </w:r>
      <w:r w:rsidR="00463ED2" w:rsidRPr="009E6B3F">
        <w:t>2018) in the existing ICR, the estimated annual number of DMRs is 249,156 for municipal respondents and 809,361 for private respondents.</w:t>
      </w:r>
      <w:r w:rsidR="00C50376" w:rsidRPr="00C50376">
        <w:t xml:space="preserve"> The estimated annual number of program reports is 7,175.</w:t>
      </w:r>
    </w:p>
    <w:p w14:paraId="1AC4CFBE" w14:textId="46CF2CBD" w:rsidR="000A24BD" w:rsidRPr="004A79AE" w:rsidRDefault="00A13ED1" w:rsidP="00E51F9F">
      <w:r>
        <w:t xml:space="preserve">EPA </w:t>
      </w:r>
      <w:r w:rsidR="00AC765F">
        <w:t>R</w:t>
      </w:r>
      <w:r>
        <w:t>egions with NPDES authority and a</w:t>
      </w:r>
      <w:r w:rsidR="00546EEF">
        <w:t>uthorized state</w:t>
      </w:r>
      <w:r w:rsidR="000A24BD" w:rsidRPr="00F621FA">
        <w:t xml:space="preserve"> NPDES programs will also experience savings from no longer sending pre-populated DMR forms to regulated entities. </w:t>
      </w:r>
      <w:r w:rsidR="000A24BD">
        <w:t>Prior to the implementation of electronic reporting</w:t>
      </w:r>
      <w:r w:rsidR="000A24BD" w:rsidRPr="00F621FA">
        <w:t xml:space="preserve">, authorized </w:t>
      </w:r>
      <w:r w:rsidR="00546EEF">
        <w:t>states</w:t>
      </w:r>
      <w:r w:rsidR="000A24BD" w:rsidRPr="00F621FA">
        <w:t xml:space="preserve"> </w:t>
      </w:r>
      <w:r w:rsidR="00AC765F">
        <w:t xml:space="preserve">would </w:t>
      </w:r>
      <w:r w:rsidR="000A24BD" w:rsidRPr="00F621FA">
        <w:t xml:space="preserve">mail DMR forms with regulated entity-specific limits to an estimated 50% of all </w:t>
      </w:r>
      <w:r w:rsidR="00546EEF">
        <w:t>NPDES-</w:t>
      </w:r>
      <w:r w:rsidR="000A24BD" w:rsidRPr="00F621FA">
        <w:t>regulated entities</w:t>
      </w:r>
      <w:r w:rsidR="000A24BD">
        <w:t xml:space="preserve">. EPA estimates </w:t>
      </w:r>
      <w:r w:rsidR="000A24BD" w:rsidRPr="00F621FA">
        <w:t xml:space="preserve">electronic DMR submission </w:t>
      </w:r>
      <w:r w:rsidR="000A24BD">
        <w:t xml:space="preserve">will save </w:t>
      </w:r>
      <w:r>
        <w:t xml:space="preserve">EPA and </w:t>
      </w:r>
      <w:r w:rsidR="0080699D">
        <w:t>s</w:t>
      </w:r>
      <w:r w:rsidR="000A24BD">
        <w:t xml:space="preserve">tate </w:t>
      </w:r>
      <w:r w:rsidR="0080699D">
        <w:t>a</w:t>
      </w:r>
      <w:r w:rsidR="000A24BD">
        <w:t>gencies an average of $</w:t>
      </w:r>
      <w:r>
        <w:t>4.12</w:t>
      </w:r>
      <w:r w:rsidR="000A24BD">
        <w:t xml:space="preserve"> per DMR in</w:t>
      </w:r>
      <w:r w:rsidR="000A24BD" w:rsidRPr="00CF0231">
        <w:t xml:space="preserve"> paper and mailing </w:t>
      </w:r>
      <w:r w:rsidR="000A24BD">
        <w:t>costs.</w:t>
      </w:r>
    </w:p>
    <w:p w14:paraId="76BAA4AF" w14:textId="54F4C9B2" w:rsidR="00786817" w:rsidRPr="005A1A1F" w:rsidRDefault="007875DF" w:rsidP="00B101A0">
      <w:pPr>
        <w:pStyle w:val="Heading3"/>
      </w:pPr>
      <w:bookmarkStart w:id="50" w:name="_Toc300908859"/>
      <w:bookmarkStart w:id="51" w:name="_Toc510451646"/>
      <w:r>
        <w:t>A.2.3</w:t>
      </w:r>
      <w:r w:rsidR="00C04949">
        <w:t>.</w:t>
      </w:r>
      <w:r>
        <w:t xml:space="preserve"> </w:t>
      </w:r>
      <w:r w:rsidR="00786817" w:rsidRPr="005A1A1F">
        <w:t>Capital/Start-up Costs</w:t>
      </w:r>
      <w:bookmarkEnd w:id="50"/>
      <w:bookmarkEnd w:id="51"/>
    </w:p>
    <w:p w14:paraId="714CCDD9" w14:textId="4EB49F3D" w:rsidR="00786817" w:rsidRPr="005A1A1F" w:rsidRDefault="00786817" w:rsidP="00786817">
      <w:pPr>
        <w:rPr>
          <w:b/>
        </w:rPr>
      </w:pPr>
      <w:r w:rsidRPr="005A1A1F">
        <w:t xml:space="preserve">Most calculations in the ICR account for labor costs only. The ICR does, however, account for certain capital and start-up costs incurred by respondents that perform activities outside the normal operating practices. All costs presented in this section have been adjusted with the Consumer Price </w:t>
      </w:r>
      <w:r w:rsidRPr="00F420C9">
        <w:t xml:space="preserve">Index to </w:t>
      </w:r>
      <w:r w:rsidR="00A678D4">
        <w:t>August</w:t>
      </w:r>
      <w:r w:rsidR="00F420C9" w:rsidRPr="00E51F9F">
        <w:t xml:space="preserve"> 2016</w:t>
      </w:r>
      <w:r w:rsidRPr="005A1A1F">
        <w:t xml:space="preserve"> dollars. These costs are linked to </w:t>
      </w:r>
      <w:r w:rsidR="00A678D4">
        <w:t>several</w:t>
      </w:r>
      <w:r w:rsidRPr="005A1A1F">
        <w:t xml:space="preserve"> distinctive activities.</w:t>
      </w:r>
    </w:p>
    <w:p w14:paraId="2A81FCD6" w14:textId="4FD65121" w:rsidR="00786817" w:rsidRPr="005A1A1F" w:rsidRDefault="007875DF" w:rsidP="00B101A0">
      <w:pPr>
        <w:pStyle w:val="Heading4"/>
      </w:pPr>
      <w:r>
        <w:t>A.2.3.1</w:t>
      </w:r>
      <w:r w:rsidR="00F11BB6">
        <w:t>.</w:t>
      </w:r>
      <w:r w:rsidR="00786817" w:rsidRPr="005A1A1F">
        <w:t xml:space="preserve"> CSO Control Policy </w:t>
      </w:r>
      <w:r w:rsidR="00F11BB6">
        <w:t>(CSO Notification)</w:t>
      </w:r>
    </w:p>
    <w:p w14:paraId="57CD7316" w14:textId="6D3FD17C" w:rsidR="00786817" w:rsidRPr="005A1A1F" w:rsidRDefault="00786817" w:rsidP="00786817">
      <w:r w:rsidRPr="005A1A1F">
        <w:fldChar w:fldCharType="begin"/>
      </w:r>
      <w:r w:rsidRPr="005A1A1F">
        <w:instrText xml:space="preserve"> SEQ CHAPTER \h \r 1</w:instrText>
      </w:r>
      <w:r w:rsidRPr="005A1A1F">
        <w:fldChar w:fldCharType="end"/>
      </w:r>
      <w:r w:rsidRPr="005A1A1F">
        <w:t xml:space="preserve">The capital costs associated with public notification of CSO locations, events, and public health and environmental effects are included in this ICR. The costs are for municipalities to </w:t>
      </w:r>
      <w:r w:rsidR="00634EDE">
        <w:t xml:space="preserve">replace </w:t>
      </w:r>
      <w:r w:rsidRPr="005A1A1F">
        <w:t>notification signs. From estimates presented in the previous CSO Control Policy ICR (</w:t>
      </w:r>
      <w:r w:rsidRPr="005A1A1F">
        <w:rPr>
          <w:bCs/>
        </w:rPr>
        <w:t xml:space="preserve">OMB </w:t>
      </w:r>
      <w:r w:rsidR="00437796">
        <w:rPr>
          <w:bCs/>
        </w:rPr>
        <w:t>control no.</w:t>
      </w:r>
      <w:r w:rsidRPr="005A1A1F">
        <w:rPr>
          <w:bCs/>
        </w:rPr>
        <w:t xml:space="preserve"> 2040-0170; EPA ICR </w:t>
      </w:r>
      <w:r w:rsidR="00437796">
        <w:rPr>
          <w:bCs/>
        </w:rPr>
        <w:t>n</w:t>
      </w:r>
      <w:r w:rsidRPr="005A1A1F">
        <w:rPr>
          <w:bCs/>
        </w:rPr>
        <w:t>o. 1680.04</w:t>
      </w:r>
      <w:r w:rsidRPr="005A1A1F">
        <w:fldChar w:fldCharType="begin"/>
      </w:r>
      <w:r w:rsidRPr="005A1A1F">
        <w:instrText xml:space="preserve"> SEQ CHAPTER \h \r 1</w:instrText>
      </w:r>
      <w:r w:rsidRPr="005A1A1F">
        <w:fldChar w:fldCharType="end"/>
      </w:r>
      <w:r w:rsidRPr="005A1A1F">
        <w:rPr>
          <w:bCs/>
        </w:rPr>
        <w:t xml:space="preserve">) </w:t>
      </w:r>
      <w:r w:rsidRPr="005A1A1F">
        <w:t xml:space="preserve">each sign </w:t>
      </w:r>
      <w:r w:rsidR="00634EDE">
        <w:t>will be replaced every 10 years which is equal to an average annual cost of $12.</w:t>
      </w:r>
    </w:p>
    <w:p w14:paraId="7FC4E88F" w14:textId="69D7BF3A" w:rsidR="00786817" w:rsidRPr="005A1A1F" w:rsidRDefault="007875DF" w:rsidP="00B101A0">
      <w:pPr>
        <w:pStyle w:val="Heading4"/>
      </w:pPr>
      <w:r>
        <w:t>A.2.3.2</w:t>
      </w:r>
      <w:r w:rsidR="00C04949">
        <w:t>.</w:t>
      </w:r>
      <w:r>
        <w:t xml:space="preserve"> </w:t>
      </w:r>
      <w:r w:rsidR="00786817" w:rsidRPr="005A1A1F">
        <w:t xml:space="preserve">Baseline Determination and Estimate of the Incremental Monitoring Burden and Cost for Remining Sites </w:t>
      </w:r>
      <w:r w:rsidR="005C0FAE">
        <w:t>(DMR Sampling Analysis)</w:t>
      </w:r>
    </w:p>
    <w:p w14:paraId="1C3B53D1" w14:textId="77777777" w:rsidR="0085470C" w:rsidRDefault="00786817" w:rsidP="00786817">
      <w:r w:rsidRPr="005A1A1F">
        <w:t>EPA assumes that flow metering from an installed weir is required for mining sites in Indiana and Tennessee. For all other states, EPA assumes that flow metering is already required and installed as part of the state Rahall remining permit program.</w:t>
      </w:r>
    </w:p>
    <w:p w14:paraId="21A04813" w14:textId="137D2960" w:rsidR="00786817" w:rsidRDefault="00786817" w:rsidP="00786817">
      <w:r w:rsidRPr="005A1A1F">
        <w:t>For Indiana and Tennessee, EPA assumes installed weir costs of $1,</w:t>
      </w:r>
      <w:r w:rsidR="005C0FAE">
        <w:t>5</w:t>
      </w:r>
      <w:r w:rsidR="00A678D4">
        <w:t>68</w:t>
      </w:r>
      <w:r w:rsidRPr="005A1A1F">
        <w:t xml:space="preserve"> on the basis of an escalation of 2004 cost estimates from previous the Baseline Standards and BMPs for the Coal Mining Point Source Category-Coal Remining Subcategory and Western Alkaline Coal Mining Subcategory ICR (OMB </w:t>
      </w:r>
      <w:r w:rsidR="00437796">
        <w:t>control no.</w:t>
      </w:r>
      <w:r w:rsidRPr="005A1A1F">
        <w:t xml:space="preserve"> 2040-0239; EPA ICR </w:t>
      </w:r>
      <w:r w:rsidR="00437796">
        <w:t>n</w:t>
      </w:r>
      <w:r w:rsidRPr="005A1A1F">
        <w:t>o. 1944.03)</w:t>
      </w:r>
      <w:r w:rsidRPr="005A1A1F">
        <w:rPr>
          <w:bCs/>
        </w:rPr>
        <w:t xml:space="preserve"> (originally from </w:t>
      </w:r>
      <w:r w:rsidRPr="005A1A1F">
        <w:t>Weir &amp; Flume Sales Company and Tarco Tech Industries). Indiana will have 5 sites/year × 4 preexisting discharge points/site. Tennessee will have 9 sites/year × 4 preexisting discharge points/site. These costs are annualized using a 7 percent discount rate and an estimated 10-year life for the weir.</w:t>
      </w:r>
    </w:p>
    <w:p w14:paraId="5470CBBF" w14:textId="30D30B2A" w:rsidR="0002002D" w:rsidRDefault="0002002D" w:rsidP="00B101A0">
      <w:pPr>
        <w:pStyle w:val="Heading4"/>
      </w:pPr>
      <w:r>
        <w:t>A.2.3.3</w:t>
      </w:r>
      <w:r w:rsidR="00AC765F">
        <w:t>.</w:t>
      </w:r>
      <w:r>
        <w:t xml:space="preserve"> </w:t>
      </w:r>
      <w:r w:rsidR="00AF481D">
        <w:t>Start-up Costs for the Animal Sector</w:t>
      </w:r>
    </w:p>
    <w:p w14:paraId="2AA7426E" w14:textId="38A90D24" w:rsidR="0002002D" w:rsidRDefault="001D64E1" w:rsidP="00AF481D">
      <w:r>
        <w:t>S</w:t>
      </w:r>
      <w:r w:rsidR="00AB1D84">
        <w:t xml:space="preserve">tart-up </w:t>
      </w:r>
      <w:r>
        <w:t xml:space="preserve">capital </w:t>
      </w:r>
      <w:r w:rsidR="00AB1D84">
        <w:t xml:space="preserve">costs </w:t>
      </w:r>
      <w:r>
        <w:t xml:space="preserve">for </w:t>
      </w:r>
      <w:r w:rsidR="00AB1D84">
        <w:t xml:space="preserve">Animal Sector </w:t>
      </w:r>
      <w:r>
        <w:t xml:space="preserve">facilities include </w:t>
      </w:r>
      <w:r w:rsidR="00AB1D84" w:rsidRPr="00AB1D84">
        <w:t xml:space="preserve">the </w:t>
      </w:r>
      <w:r w:rsidR="00AB1D84">
        <w:t>$3</w:t>
      </w:r>
      <w:r w:rsidR="005E43D8">
        <w:t>6</w:t>
      </w:r>
      <w:r w:rsidR="00AB1D84">
        <w:t xml:space="preserve"> </w:t>
      </w:r>
      <w:r w:rsidR="00AB1D84" w:rsidRPr="00AB1D84">
        <w:t xml:space="preserve">purchase of a soil auger to collect soil samples and </w:t>
      </w:r>
      <w:r w:rsidR="00AB1D84">
        <w:t>the $4</w:t>
      </w:r>
      <w:r w:rsidR="005E43D8">
        <w:t>3</w:t>
      </w:r>
      <w:r w:rsidR="00AB1D84">
        <w:t xml:space="preserve"> purchase of </w:t>
      </w:r>
      <w:r w:rsidR="00AB1D84" w:rsidRPr="00AB1D84">
        <w:t xml:space="preserve">a manure sampler. CAFOs will also need </w:t>
      </w:r>
      <w:r w:rsidR="00AB1D84">
        <w:t>pay $4</w:t>
      </w:r>
      <w:r w:rsidR="005E43D8">
        <w:t>3</w:t>
      </w:r>
      <w:r w:rsidR="00AB1D84">
        <w:t xml:space="preserve"> </w:t>
      </w:r>
      <w:r w:rsidR="00AB1D84" w:rsidRPr="00AB1D84">
        <w:t xml:space="preserve">to install depth markers in their lagoons. All operations will need to </w:t>
      </w:r>
      <w:r w:rsidR="00AB1D84">
        <w:t xml:space="preserve">expend an estimated </w:t>
      </w:r>
      <w:r w:rsidR="00AF481D">
        <w:t>$1,3</w:t>
      </w:r>
      <w:r w:rsidR="00032DA1">
        <w:t>97</w:t>
      </w:r>
      <w:r w:rsidR="00AF481D">
        <w:t xml:space="preserve"> to </w:t>
      </w:r>
      <w:r w:rsidR="00AB1D84" w:rsidRPr="00AB1D84">
        <w:t>develop the NMP elements that pertain to the production area, including performing an engineering analysis of the waste storage volume requirements needed to comply with the CAFO rule</w:t>
      </w:r>
      <w:r w:rsidR="00AF481D">
        <w:t xml:space="preserve">. </w:t>
      </w:r>
    </w:p>
    <w:p w14:paraId="4098C25F" w14:textId="2B600BBF" w:rsidR="001D64E1" w:rsidRDefault="0002002D" w:rsidP="00B101A0">
      <w:pPr>
        <w:pStyle w:val="Heading4"/>
      </w:pPr>
      <w:r>
        <w:t>A.2.3.4</w:t>
      </w:r>
      <w:r w:rsidR="00AC765F">
        <w:t>.</w:t>
      </w:r>
      <w:r>
        <w:t xml:space="preserve"> </w:t>
      </w:r>
      <w:r w:rsidR="001D64E1">
        <w:t xml:space="preserve">CWIS Phase I </w:t>
      </w:r>
      <w:r w:rsidR="001D64E1" w:rsidRPr="001D64E1">
        <w:t xml:space="preserve">Purchase </w:t>
      </w:r>
      <w:r w:rsidR="007358A3">
        <w:t>and</w:t>
      </w:r>
      <w:r w:rsidR="001D64E1" w:rsidRPr="001D64E1">
        <w:t xml:space="preserve"> Installation of Pilot Study Technology</w:t>
      </w:r>
    </w:p>
    <w:p w14:paraId="16CF1099" w14:textId="0568816C" w:rsidR="00F420C9" w:rsidRDefault="001D64E1" w:rsidP="00E51F9F">
      <w:r w:rsidRPr="001D64E1">
        <w:t xml:space="preserve">EPA anticipates that </w:t>
      </w:r>
      <w:r w:rsidR="00D51DC6">
        <w:t>Track II</w:t>
      </w:r>
      <w:r>
        <w:t xml:space="preserve"> facilities that operate once-through </w:t>
      </w:r>
      <w:r w:rsidR="00F420C9" w:rsidRPr="00F420C9">
        <w:t xml:space="preserve">cooling </w:t>
      </w:r>
      <w:r>
        <w:t xml:space="preserve">intakes </w:t>
      </w:r>
      <w:r w:rsidRPr="001D64E1">
        <w:t>will perform pilot studies to det</w:t>
      </w:r>
      <w:r>
        <w:t xml:space="preserve">ermine the effectiveness of their chosen </w:t>
      </w:r>
      <w:r w:rsidRPr="001D64E1">
        <w:t>technology</w:t>
      </w:r>
      <w:r>
        <w:t xml:space="preserve">. </w:t>
      </w:r>
      <w:r w:rsidRPr="001D64E1">
        <w:t>For costing purposes, EPA is assuming that a pilot study will be performed using a Gunderboom system</w:t>
      </w:r>
      <w:r>
        <w:t>. EPA estimated the pilot study would cost $30</w:t>
      </w:r>
      <w:r w:rsidR="00EE222C">
        <w:t>7</w:t>
      </w:r>
      <w:r>
        <w:t>,000.</w:t>
      </w:r>
    </w:p>
    <w:p w14:paraId="7743ED8D" w14:textId="1EAF6ECA" w:rsidR="00F420C9" w:rsidRDefault="00F420C9" w:rsidP="00B101A0">
      <w:pPr>
        <w:pStyle w:val="Heading4"/>
      </w:pPr>
      <w:r>
        <w:t>A.2.3.5</w:t>
      </w:r>
      <w:r w:rsidR="00AC765F">
        <w:t>.</w:t>
      </w:r>
      <w:r>
        <w:t xml:space="preserve"> CWIS </w:t>
      </w:r>
      <w:r w:rsidRPr="00F420C9">
        <w:t xml:space="preserve">Phase III New Offshore Oil </w:t>
      </w:r>
      <w:r w:rsidR="007358A3">
        <w:t>and</w:t>
      </w:r>
      <w:r w:rsidRPr="00F420C9">
        <w:t xml:space="preserve"> Gas </w:t>
      </w:r>
    </w:p>
    <w:p w14:paraId="23BE500A" w14:textId="741CC88E" w:rsidR="005E3609" w:rsidRDefault="005E3609" w:rsidP="00E51F9F">
      <w:r>
        <w:t>EPA estimated that the initial permit application capital costs for i</w:t>
      </w:r>
      <w:r w:rsidRPr="005E3609">
        <w:t>nstall</w:t>
      </w:r>
      <w:r>
        <w:t>ing a</w:t>
      </w:r>
      <w:r w:rsidRPr="005E3609">
        <w:t xml:space="preserve"> remote monitoring device for impingement monitoring</w:t>
      </w:r>
      <w:r>
        <w:t xml:space="preserve"> at each facility was $2</w:t>
      </w:r>
      <w:r w:rsidR="00EE222C">
        <w:t>5,392</w:t>
      </w:r>
      <w:r>
        <w:t>.</w:t>
      </w:r>
    </w:p>
    <w:p w14:paraId="739D7A37" w14:textId="77777777" w:rsidR="00EC7134" w:rsidRDefault="00EC7134">
      <w:pPr>
        <w:autoSpaceDE/>
        <w:autoSpaceDN/>
        <w:adjustRightInd/>
        <w:spacing w:after="160" w:line="259" w:lineRule="auto"/>
        <w:rPr>
          <w:rFonts w:ascii="Arial" w:hAnsi="Arial" w:cs="Arial"/>
          <w:b/>
          <w:bCs/>
          <w:kern w:val="32"/>
          <w:sz w:val="32"/>
          <w:szCs w:val="32"/>
        </w:rPr>
      </w:pPr>
      <w:r>
        <w:br w:type="page"/>
      </w:r>
    </w:p>
    <w:p w14:paraId="589C218F" w14:textId="3D118E93" w:rsidR="003B787D" w:rsidRDefault="00A64B9D" w:rsidP="00B101A0">
      <w:pPr>
        <w:pStyle w:val="Heading1"/>
      </w:pPr>
      <w:bookmarkStart w:id="52" w:name="_Toc510451647"/>
      <w:r w:rsidRPr="009653E8">
        <w:t>Appendix</w:t>
      </w:r>
      <w:r>
        <w:t xml:space="preserve"> </w:t>
      </w:r>
      <w:r w:rsidR="00D10A51">
        <w:t>B</w:t>
      </w:r>
      <w:r w:rsidR="00BB2406">
        <w:t>—</w:t>
      </w:r>
      <w:r w:rsidRPr="00A64B9D">
        <w:t xml:space="preserve">Detailed </w:t>
      </w:r>
      <w:r w:rsidR="003B787D">
        <w:t>Respondent Burden Results by Category</w:t>
      </w:r>
      <w:bookmarkEnd w:id="52"/>
      <w:r w:rsidR="003B787D">
        <w:t xml:space="preserve"> </w:t>
      </w:r>
    </w:p>
    <w:p w14:paraId="0AA0DB9A" w14:textId="77777777" w:rsidR="0085470C" w:rsidRDefault="004A2F42" w:rsidP="004A2F42">
      <w:pPr>
        <w:keepNext/>
        <w:keepLines/>
        <w:numPr>
          <w:ilvl w:val="12"/>
          <w:numId w:val="0"/>
        </w:numPr>
      </w:pPr>
      <w:r>
        <w:t>Table B.1 presents the calculated respondent burden and cost estimates grouped by activity type and respondent type. This table includes a section for respondents that are permit holders (which can include both private and municipal entities)</w:t>
      </w:r>
      <w:r w:rsidR="003C6AF7">
        <w:t xml:space="preserve"> and</w:t>
      </w:r>
      <w:r>
        <w:t xml:space="preserve"> a section for respondents which are states acting as the NPDES permitting authority. </w:t>
      </w:r>
    </w:p>
    <w:p w14:paraId="78244D51" w14:textId="17434453" w:rsidR="00A64B9D" w:rsidRDefault="009E1602" w:rsidP="00A42D5C">
      <w:r>
        <w:t>(</w:t>
      </w:r>
      <w:r w:rsidR="0051630C">
        <w:t>S</w:t>
      </w:r>
      <w:r w:rsidR="003A188A">
        <w:t xml:space="preserve">ee attached </w:t>
      </w:r>
      <w:r w:rsidR="0048073A">
        <w:t xml:space="preserve">PDF </w:t>
      </w:r>
      <w:r w:rsidR="0051630C">
        <w:t>document</w:t>
      </w:r>
      <w:r>
        <w:t>)</w:t>
      </w:r>
    </w:p>
    <w:p w14:paraId="7A0A9EE9" w14:textId="77777777" w:rsidR="001F11E1" w:rsidRDefault="001F11E1">
      <w:pPr>
        <w:autoSpaceDE/>
        <w:autoSpaceDN/>
        <w:adjustRightInd/>
        <w:spacing w:after="160" w:line="259" w:lineRule="auto"/>
        <w:rPr>
          <w:rFonts w:ascii="Arial" w:hAnsi="Arial" w:cs="Arial"/>
          <w:b/>
          <w:bCs/>
          <w:kern w:val="32"/>
          <w:sz w:val="32"/>
          <w:szCs w:val="32"/>
        </w:rPr>
      </w:pPr>
      <w:r>
        <w:br w:type="page"/>
      </w:r>
    </w:p>
    <w:p w14:paraId="17580F69" w14:textId="7693DE6A" w:rsidR="00A64B9D" w:rsidRDefault="00A64B9D" w:rsidP="00B101A0">
      <w:pPr>
        <w:pStyle w:val="Heading1"/>
      </w:pPr>
      <w:bookmarkStart w:id="53" w:name="_Toc510451648"/>
      <w:r>
        <w:t xml:space="preserve">Appendix </w:t>
      </w:r>
      <w:r w:rsidR="005E1AC7">
        <w:t>C</w:t>
      </w:r>
      <w:r w:rsidR="00BB2406">
        <w:t>—</w:t>
      </w:r>
      <w:r w:rsidR="00112C69">
        <w:t>Detailed Agency Burden</w:t>
      </w:r>
      <w:r w:rsidR="004D0EF3">
        <w:t xml:space="preserve"> Estimates</w:t>
      </w:r>
      <w:bookmarkEnd w:id="53"/>
    </w:p>
    <w:p w14:paraId="68407AC7" w14:textId="0B20E8E9" w:rsidR="004A2F42" w:rsidRDefault="001660DE" w:rsidP="00875526">
      <w:r>
        <w:t>Table C.1</w:t>
      </w:r>
      <w:r w:rsidRPr="001660DE">
        <w:t xml:space="preserve"> presents a summary of the Ag</w:t>
      </w:r>
      <w:r>
        <w:t>en</w:t>
      </w:r>
      <w:r w:rsidRPr="001660DE">
        <w:t>cy burden associated with administration of individual permits similar to the state activities in Appendix B.</w:t>
      </w:r>
      <w:r>
        <w:t xml:space="preserve"> </w:t>
      </w:r>
      <w:r w:rsidR="004A2F42">
        <w:t>Table C.1 presents a summary of the Agency burden that is associated with NPDES program oversight</w:t>
      </w:r>
      <w:r>
        <w:t>.</w:t>
      </w:r>
    </w:p>
    <w:p w14:paraId="04256E1C" w14:textId="00759DD9" w:rsidR="00112C69" w:rsidRDefault="009E1602" w:rsidP="00A42D5C">
      <w:r>
        <w:t>(S</w:t>
      </w:r>
      <w:r w:rsidR="003A188A">
        <w:t xml:space="preserve">ee attached </w:t>
      </w:r>
      <w:r w:rsidR="0048073A">
        <w:t xml:space="preserve">PDF </w:t>
      </w:r>
      <w:r w:rsidR="0051630C">
        <w:t>document</w:t>
      </w:r>
      <w:r>
        <w:t>)</w:t>
      </w:r>
    </w:p>
    <w:p w14:paraId="152DCCDC" w14:textId="77777777" w:rsidR="001F11E1" w:rsidRDefault="001F11E1">
      <w:pPr>
        <w:autoSpaceDE/>
        <w:autoSpaceDN/>
        <w:adjustRightInd/>
        <w:spacing w:after="160" w:line="259" w:lineRule="auto"/>
        <w:rPr>
          <w:rFonts w:ascii="Arial" w:hAnsi="Arial" w:cs="Arial"/>
          <w:b/>
          <w:bCs/>
          <w:kern w:val="32"/>
          <w:sz w:val="32"/>
          <w:szCs w:val="32"/>
        </w:rPr>
      </w:pPr>
      <w:r>
        <w:br w:type="page"/>
      </w:r>
    </w:p>
    <w:p w14:paraId="7CE13328" w14:textId="57619578" w:rsidR="00700765" w:rsidRDefault="00700765" w:rsidP="00B101A0">
      <w:pPr>
        <w:pStyle w:val="Heading1"/>
      </w:pPr>
      <w:bookmarkStart w:id="54" w:name="_Toc510451649"/>
      <w:r w:rsidRPr="00700765">
        <w:t>Appendix D</w:t>
      </w:r>
      <w:r w:rsidR="00BB2406">
        <w:t>—</w:t>
      </w:r>
      <w:r w:rsidRPr="00700765">
        <w:t xml:space="preserve">Number of </w:t>
      </w:r>
      <w:r>
        <w:t>R</w:t>
      </w:r>
      <w:r w:rsidRPr="00700765">
        <w:t>espondent</w:t>
      </w:r>
      <w:r w:rsidR="00464677">
        <w:t>s</w:t>
      </w:r>
      <w:r w:rsidRPr="00700765">
        <w:t xml:space="preserve"> </w:t>
      </w:r>
      <w:r>
        <w:t>in Each I</w:t>
      </w:r>
      <w:r w:rsidRPr="00700765">
        <w:t xml:space="preserve">nput </w:t>
      </w:r>
      <w:r>
        <w:t>C</w:t>
      </w:r>
      <w:r w:rsidRPr="00700765">
        <w:t>ategory</w:t>
      </w:r>
      <w:bookmarkEnd w:id="54"/>
      <w:r w:rsidRPr="00700765">
        <w:t xml:space="preserve"> </w:t>
      </w:r>
    </w:p>
    <w:p w14:paraId="11CF8981" w14:textId="77777777" w:rsidR="0085470C" w:rsidRDefault="00700765" w:rsidP="00700765">
      <w:r>
        <w:t xml:space="preserve">Table D.1 presents the number of respondents in each respondent input category. These values were used to derive the adjusted burden estimates to account for changes in </w:t>
      </w:r>
      <w:r w:rsidRPr="00700765">
        <w:t xml:space="preserve">the </w:t>
      </w:r>
      <w:r w:rsidR="00464677">
        <w:t xml:space="preserve">number of </w:t>
      </w:r>
      <w:r w:rsidRPr="00700765">
        <w:t>respondent</w:t>
      </w:r>
      <w:r w:rsidR="00464677">
        <w:t>s</w:t>
      </w:r>
      <w:r w:rsidRPr="00700765">
        <w:t xml:space="preserve"> </w:t>
      </w:r>
      <w:r>
        <w:t>from the previous ICR.</w:t>
      </w:r>
      <w:r w:rsidR="00E908B0">
        <w:t xml:space="preserve"> </w:t>
      </w:r>
      <w:r w:rsidR="00E20D41" w:rsidRPr="00E20D41">
        <w:t xml:space="preserve">Estimates for the number of respondent for each type of permit are based on </w:t>
      </w:r>
      <w:r w:rsidR="00E20D41">
        <w:t xml:space="preserve">data from either </w:t>
      </w:r>
      <w:r w:rsidR="00E20D41" w:rsidRPr="00E20D41">
        <w:t>queries to the NPDES-ICIS database conducted in September 2016</w:t>
      </w:r>
      <w:r w:rsidR="00E20D41">
        <w:t xml:space="preserve">, </w:t>
      </w:r>
      <w:r w:rsidR="00CA260A" w:rsidRPr="00CA260A">
        <w:t>EPA estimates</w:t>
      </w:r>
      <w:r w:rsidR="00CA260A">
        <w:t xml:space="preserve">, or </w:t>
      </w:r>
      <w:r w:rsidR="00E20D41">
        <w:t>values from previous ICRs</w:t>
      </w:r>
      <w:r w:rsidR="00E20D41" w:rsidRPr="00E20D41">
        <w:t>.</w:t>
      </w:r>
      <w:r w:rsidR="00E20D41">
        <w:t xml:space="preserve"> </w:t>
      </w:r>
    </w:p>
    <w:p w14:paraId="20270471" w14:textId="739E0FC2" w:rsidR="00700765" w:rsidRDefault="00700765" w:rsidP="00700765">
      <w:r w:rsidRPr="00700765">
        <w:t>(See attached PDF document)</w:t>
      </w:r>
      <w:r>
        <w:t xml:space="preserve"> </w:t>
      </w:r>
      <w:r>
        <w:br w:type="page"/>
      </w:r>
    </w:p>
    <w:p w14:paraId="393C6941" w14:textId="4EAE6E95" w:rsidR="003D47A5" w:rsidRDefault="005E1AC7" w:rsidP="00B101A0">
      <w:pPr>
        <w:pStyle w:val="Heading1"/>
      </w:pPr>
      <w:bookmarkStart w:id="55" w:name="_Toc510451650"/>
      <w:r>
        <w:t xml:space="preserve">Appendix </w:t>
      </w:r>
      <w:r w:rsidR="00700765">
        <w:t>E</w:t>
      </w:r>
      <w:r w:rsidR="00BB2406">
        <w:t>—</w:t>
      </w:r>
      <w:r w:rsidR="00A7565E">
        <w:t xml:space="preserve">Number of </w:t>
      </w:r>
      <w:r w:rsidR="00F71E9B">
        <w:t xml:space="preserve">Unique </w:t>
      </w:r>
      <w:r w:rsidR="00A7565E">
        <w:t>Respondents</w:t>
      </w:r>
      <w:bookmarkEnd w:id="55"/>
      <w:r w:rsidR="00A7565E">
        <w:t xml:space="preserve"> </w:t>
      </w:r>
    </w:p>
    <w:p w14:paraId="4A393707" w14:textId="77777777" w:rsidR="0085470C" w:rsidRDefault="004A2F42" w:rsidP="004A2F42">
      <w:pPr>
        <w:numPr>
          <w:ilvl w:val="12"/>
          <w:numId w:val="0"/>
        </w:numPr>
      </w:pPr>
      <w:r>
        <w:t xml:space="preserve">Table </w:t>
      </w:r>
      <w:r w:rsidR="00700765">
        <w:t>E</w:t>
      </w:r>
      <w:r>
        <w:t>.1 presents a</w:t>
      </w:r>
      <w:r w:rsidRPr="00525FA3">
        <w:t xml:space="preserve"> summary of the number of respondents in each permit category. </w:t>
      </w:r>
      <w:r w:rsidRPr="005A1A1F">
        <w:t xml:space="preserve">On the basis of </w:t>
      </w:r>
      <w:r>
        <w:t>2010</w:t>
      </w:r>
      <w:r w:rsidRPr="005A1A1F">
        <w:t xml:space="preserve"> U.S. Census data, an estimated 94.85 percent of the </w:t>
      </w:r>
      <w:r w:rsidR="003C2BF3">
        <w:t xml:space="preserve">U.S. </w:t>
      </w:r>
      <w:r w:rsidRPr="005A1A1F">
        <w:t xml:space="preserve">population resides in </w:t>
      </w:r>
      <w:r w:rsidR="003C2BF3">
        <w:t xml:space="preserve">the 46 </w:t>
      </w:r>
      <w:r w:rsidRPr="005A1A1F">
        <w:t xml:space="preserve">states </w:t>
      </w:r>
      <w:r w:rsidR="003C2BF3">
        <w:t xml:space="preserve">and 1 territory </w:t>
      </w:r>
      <w:r w:rsidRPr="005A1A1F">
        <w:t xml:space="preserve">authorized to issue </w:t>
      </w:r>
      <w:r w:rsidR="00E908B0">
        <w:t xml:space="preserve">individual and </w:t>
      </w:r>
      <w:r w:rsidRPr="005A1A1F">
        <w:t xml:space="preserve">general permits. This population percentage has been applied to the respondent values to estimate </w:t>
      </w:r>
      <w:r w:rsidR="00E20D41">
        <w:t xml:space="preserve">the distribution of </w:t>
      </w:r>
      <w:r w:rsidRPr="005A1A1F">
        <w:t xml:space="preserve">those </w:t>
      </w:r>
      <w:r w:rsidR="00E20D41">
        <w:t xml:space="preserve">individual and </w:t>
      </w:r>
      <w:r w:rsidRPr="005A1A1F">
        <w:t>general permittees that report directly to authorized states.</w:t>
      </w:r>
      <w:r w:rsidR="00E20D41" w:rsidRPr="00E20D41">
        <w:t xml:space="preserve"> </w:t>
      </w:r>
      <w:r w:rsidR="00E20D41">
        <w:t>As with the number of respondents in Appendix D, e</w:t>
      </w:r>
      <w:r w:rsidR="00E20D41" w:rsidRPr="00E20D41">
        <w:t xml:space="preserve">stimates for the number of </w:t>
      </w:r>
      <w:r w:rsidR="00E20D41">
        <w:t xml:space="preserve">unique </w:t>
      </w:r>
      <w:r w:rsidR="00E20D41" w:rsidRPr="00E20D41">
        <w:t xml:space="preserve">respondent for each type of permit are based on data from either queries to the NPDES-ICIS database conducted in September 2016, </w:t>
      </w:r>
      <w:r w:rsidR="00CA260A" w:rsidRPr="00CA260A">
        <w:t>EPA estimates</w:t>
      </w:r>
      <w:r w:rsidR="00CA260A">
        <w:t xml:space="preserve">, or </w:t>
      </w:r>
      <w:r w:rsidR="00E20D41" w:rsidRPr="00E20D41">
        <w:t>values from previous ICRs</w:t>
      </w:r>
      <w:r w:rsidR="00CA260A">
        <w:t>.</w:t>
      </w:r>
    </w:p>
    <w:p w14:paraId="35418D4C" w14:textId="2B4326EE" w:rsidR="00A7565E" w:rsidRDefault="009E1602" w:rsidP="00A42D5C">
      <w:r>
        <w:t>(S</w:t>
      </w:r>
      <w:r w:rsidR="003A188A">
        <w:t xml:space="preserve">ee attached </w:t>
      </w:r>
      <w:r w:rsidR="001E54BE">
        <w:t xml:space="preserve">PDF </w:t>
      </w:r>
      <w:r w:rsidR="0051630C">
        <w:t>document</w:t>
      </w:r>
      <w:r>
        <w:t>)</w:t>
      </w:r>
    </w:p>
    <w:p w14:paraId="077965B1" w14:textId="77777777" w:rsidR="005A54B0" w:rsidRDefault="005A54B0">
      <w:pPr>
        <w:autoSpaceDE/>
        <w:autoSpaceDN/>
        <w:adjustRightInd/>
        <w:spacing w:after="160" w:line="259" w:lineRule="auto"/>
        <w:rPr>
          <w:rFonts w:ascii="Arial" w:hAnsi="Arial" w:cs="Arial"/>
          <w:b/>
          <w:bCs/>
          <w:kern w:val="32"/>
          <w:sz w:val="32"/>
          <w:szCs w:val="32"/>
        </w:rPr>
      </w:pPr>
      <w:r>
        <w:br w:type="page"/>
      </w:r>
    </w:p>
    <w:p w14:paraId="7043941B" w14:textId="427A6FEE" w:rsidR="0085470C" w:rsidRDefault="005E1AC7" w:rsidP="001814FD">
      <w:pPr>
        <w:pStyle w:val="Heading1"/>
      </w:pPr>
      <w:bookmarkStart w:id="56" w:name="_Toc510451651"/>
      <w:r>
        <w:t xml:space="preserve">Appendix </w:t>
      </w:r>
      <w:r w:rsidR="005D466C">
        <w:t>F</w:t>
      </w:r>
      <w:r w:rsidR="00BB2406">
        <w:t>—</w:t>
      </w:r>
      <w:r w:rsidR="00321D7B" w:rsidRPr="00321D7B">
        <w:t>Copy of Regulation Authorizing Data Collection</w:t>
      </w:r>
      <w:r w:rsidR="00E35B6D">
        <w:t xml:space="preserve"> and Federal Register Notice</w:t>
      </w:r>
      <w:bookmarkEnd w:id="56"/>
    </w:p>
    <w:p w14:paraId="40320AEC" w14:textId="38B54100" w:rsidR="00CC2786" w:rsidRPr="00634EDE" w:rsidRDefault="005D466C" w:rsidP="00DE1B27">
      <w:pPr>
        <w:pStyle w:val="Heading2"/>
      </w:pPr>
      <w:bookmarkStart w:id="57" w:name="_Toc510451652"/>
      <w:r w:rsidRPr="009616EC">
        <w:t>F</w:t>
      </w:r>
      <w:r w:rsidR="00CC2786" w:rsidRPr="009616EC">
        <w:t>.1</w:t>
      </w:r>
      <w:r w:rsidR="00DE1B27">
        <w:tab/>
      </w:r>
      <w:r w:rsidR="00CC2786" w:rsidRPr="009616EC">
        <w:t>Clean Water Act Section 402</w:t>
      </w:r>
      <w:bookmarkEnd w:id="57"/>
    </w:p>
    <w:p w14:paraId="783BC249" w14:textId="77777777" w:rsidR="0085470C" w:rsidRDefault="009E1602" w:rsidP="009E1602">
      <w:r>
        <w:t xml:space="preserve">(See attached </w:t>
      </w:r>
      <w:r w:rsidR="009E2162">
        <w:t xml:space="preserve">PDF </w:t>
      </w:r>
      <w:r w:rsidR="0051630C">
        <w:t>document</w:t>
      </w:r>
      <w:r>
        <w:t>)</w:t>
      </w:r>
    </w:p>
    <w:p w14:paraId="6A897F13" w14:textId="4999EF5F" w:rsidR="00CC2786" w:rsidRPr="00634EDE" w:rsidRDefault="005D466C" w:rsidP="00DE1B27">
      <w:pPr>
        <w:pStyle w:val="Heading2"/>
      </w:pPr>
      <w:bookmarkStart w:id="58" w:name="_Toc510451653"/>
      <w:r w:rsidRPr="009616EC">
        <w:t>F</w:t>
      </w:r>
      <w:r w:rsidR="00CC2786" w:rsidRPr="009616EC">
        <w:t>.2</w:t>
      </w:r>
      <w:r w:rsidR="00DE1B27">
        <w:tab/>
      </w:r>
      <w:r w:rsidR="00CC2786" w:rsidRPr="009616EC">
        <w:t>ICR Federal Register Notice</w:t>
      </w:r>
      <w:bookmarkEnd w:id="58"/>
    </w:p>
    <w:p w14:paraId="7E3CFA16" w14:textId="61B47395" w:rsidR="00654522" w:rsidRDefault="009E1602" w:rsidP="009E1602">
      <w:r>
        <w:t xml:space="preserve">(See attached </w:t>
      </w:r>
      <w:r w:rsidR="009E2162">
        <w:t xml:space="preserve">PDF </w:t>
      </w:r>
      <w:r w:rsidR="0051630C">
        <w:t>document</w:t>
      </w:r>
      <w:r>
        <w:t>)</w:t>
      </w:r>
    </w:p>
    <w:p w14:paraId="62C2F4BE" w14:textId="77777777" w:rsidR="00654522" w:rsidRDefault="00654522">
      <w:pPr>
        <w:autoSpaceDE/>
        <w:autoSpaceDN/>
        <w:adjustRightInd/>
        <w:spacing w:after="160" w:line="259" w:lineRule="auto"/>
      </w:pPr>
      <w:r>
        <w:br w:type="page"/>
      </w:r>
    </w:p>
    <w:p w14:paraId="6C340027" w14:textId="1EC774B9" w:rsidR="00654522" w:rsidRDefault="00654522" w:rsidP="00B101A0">
      <w:pPr>
        <w:pStyle w:val="Heading1"/>
      </w:pPr>
      <w:bookmarkStart w:id="59" w:name="_Toc510451654"/>
      <w:r>
        <w:t>Appendix G</w:t>
      </w:r>
      <w:r w:rsidR="00BB2406">
        <w:t>—</w:t>
      </w:r>
      <w:r>
        <w:t>Application Forms</w:t>
      </w:r>
      <w:bookmarkEnd w:id="59"/>
    </w:p>
    <w:p w14:paraId="10798149" w14:textId="77777777" w:rsidR="0092307F" w:rsidRDefault="0092307F" w:rsidP="0092307F">
      <w:r>
        <w:t xml:space="preserve">Forms included: </w:t>
      </w:r>
    </w:p>
    <w:p w14:paraId="20617C94" w14:textId="77777777" w:rsidR="0092307F" w:rsidRDefault="0092307F" w:rsidP="00DE1B27">
      <w:pPr>
        <w:pStyle w:val="ListParagraph"/>
        <w:numPr>
          <w:ilvl w:val="0"/>
          <w:numId w:val="59"/>
        </w:numPr>
        <w:ind w:left="360"/>
      </w:pPr>
      <w:r>
        <w:t xml:space="preserve">Application Forms 1, 2A, 2B, 2C, 2D, 2E, 2F, 2S; </w:t>
      </w:r>
    </w:p>
    <w:p w14:paraId="56F4EFF0" w14:textId="77777777" w:rsidR="0092307F" w:rsidRDefault="0092307F" w:rsidP="00DE1B27">
      <w:pPr>
        <w:pStyle w:val="ListParagraph"/>
        <w:numPr>
          <w:ilvl w:val="0"/>
          <w:numId w:val="59"/>
        </w:numPr>
        <w:ind w:left="360"/>
      </w:pPr>
      <w:r>
        <w:t xml:space="preserve">Construction General Permit NOI, NOT; </w:t>
      </w:r>
    </w:p>
    <w:p w14:paraId="0DA5B08B" w14:textId="77777777" w:rsidR="0092307F" w:rsidRDefault="0092307F" w:rsidP="00DE1B27">
      <w:pPr>
        <w:pStyle w:val="ListParagraph"/>
        <w:numPr>
          <w:ilvl w:val="0"/>
          <w:numId w:val="59"/>
        </w:numPr>
        <w:ind w:left="360"/>
      </w:pPr>
      <w:r>
        <w:t xml:space="preserve">Pesticide General Permit NOI, NOT, Annual Report; </w:t>
      </w:r>
    </w:p>
    <w:p w14:paraId="28727C9F" w14:textId="77777777" w:rsidR="0092307F" w:rsidRDefault="0092307F" w:rsidP="00DE1B27">
      <w:pPr>
        <w:pStyle w:val="ListParagraph"/>
        <w:numPr>
          <w:ilvl w:val="0"/>
          <w:numId w:val="59"/>
        </w:numPr>
        <w:ind w:left="360"/>
      </w:pPr>
      <w:r>
        <w:t xml:space="preserve">Multi Sector General Permit NOI, NOT, DMR, Annual Report, No Exposure Certification Form; </w:t>
      </w:r>
    </w:p>
    <w:p w14:paraId="4B23951C" w14:textId="77777777" w:rsidR="0092307F" w:rsidRDefault="0092307F" w:rsidP="00DE1B27">
      <w:pPr>
        <w:pStyle w:val="ListParagraph"/>
        <w:numPr>
          <w:ilvl w:val="0"/>
          <w:numId w:val="59"/>
        </w:numPr>
        <w:ind w:left="360"/>
      </w:pPr>
      <w:r>
        <w:t xml:space="preserve">Vessel General Permit NOI, NOT, PARI; </w:t>
      </w:r>
    </w:p>
    <w:p w14:paraId="2F1C399A" w14:textId="77777777" w:rsidR="0092307F" w:rsidRDefault="0092307F" w:rsidP="00DE1B27">
      <w:pPr>
        <w:pStyle w:val="ListParagraph"/>
        <w:numPr>
          <w:ilvl w:val="0"/>
          <w:numId w:val="59"/>
        </w:numPr>
        <w:ind w:left="360"/>
      </w:pPr>
      <w:r>
        <w:t>Small Vessel General Permit PARI; and</w:t>
      </w:r>
    </w:p>
    <w:p w14:paraId="62F9DA42" w14:textId="77777777" w:rsidR="0085470C" w:rsidRDefault="0092307F" w:rsidP="00DE1B27">
      <w:pPr>
        <w:pStyle w:val="ListParagraph"/>
        <w:numPr>
          <w:ilvl w:val="0"/>
          <w:numId w:val="59"/>
        </w:numPr>
        <w:ind w:left="360"/>
      </w:pPr>
      <w:r>
        <w:t>Uniform Federal Transportation/Utility System Application Form</w:t>
      </w:r>
    </w:p>
    <w:p w14:paraId="0EB33DE0" w14:textId="09C2A0F2" w:rsidR="00722A06" w:rsidRDefault="00654522" w:rsidP="00937DE7">
      <w:r w:rsidRPr="007330BF">
        <w:t>(See attached PDF document)</w:t>
      </w:r>
    </w:p>
    <w:sectPr w:rsidR="00722A06" w:rsidSect="006C4ECB">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A35A5" w14:textId="77777777" w:rsidR="00D200A5" w:rsidRDefault="00D200A5" w:rsidP="00A42E82">
      <w:r>
        <w:separator/>
      </w:r>
    </w:p>
  </w:endnote>
  <w:endnote w:type="continuationSeparator" w:id="0">
    <w:p w14:paraId="7B479429" w14:textId="77777777" w:rsidR="00D200A5" w:rsidRDefault="00D200A5" w:rsidP="00A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AMLOJ J+ Melior">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1C1B" w14:textId="0E545446" w:rsidR="00AC336C" w:rsidRDefault="00AC336C" w:rsidP="00C9153B">
    <w:pPr>
      <w:pStyle w:val="Footer"/>
      <w:tabs>
        <w:tab w:val="clear" w:pos="4320"/>
        <w:tab w:val="clear" w:pos="8640"/>
        <w:tab w:val="center" w:pos="4680"/>
      </w:tabs>
    </w:pPr>
    <w:r>
      <w:t>September 2017</w:t>
    </w:r>
    <w:r>
      <w:tab/>
    </w:r>
    <w:r>
      <w:ptab w:relativeTo="margin" w:alignment="center" w:leader="none"/>
    </w:r>
    <w:r>
      <w:fldChar w:fldCharType="begin"/>
    </w:r>
    <w:r>
      <w:instrText xml:space="preserve"> PAGE  \* roman  \* MERGEFORMAT </w:instrText>
    </w:r>
    <w:r>
      <w:fldChar w:fldCharType="separate"/>
    </w:r>
    <w:r w:rsidR="00523EFF">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5F2C" w14:textId="77890CD3" w:rsidR="00AC336C" w:rsidRDefault="00AC336C" w:rsidP="00C9153B">
    <w:pPr>
      <w:pStyle w:val="Footer"/>
      <w:tabs>
        <w:tab w:val="clear" w:pos="4320"/>
        <w:tab w:val="clear" w:pos="8640"/>
        <w:tab w:val="center" w:pos="4680"/>
      </w:tabs>
    </w:pPr>
    <w:r>
      <w:t>September 2017</w:t>
    </w:r>
    <w:r>
      <w:tab/>
    </w:r>
    <w:r>
      <w:fldChar w:fldCharType="begin"/>
    </w:r>
    <w:r>
      <w:instrText xml:space="preserve"> PAGE   \* MERGEFORMAT </w:instrText>
    </w:r>
    <w:r>
      <w:fldChar w:fldCharType="separate"/>
    </w:r>
    <w:r w:rsidR="00904E5E">
      <w:rPr>
        <w:noProof/>
      </w:rPr>
      <w:t>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972B" w14:textId="77777777" w:rsidR="00D200A5" w:rsidRDefault="00D200A5" w:rsidP="00A42E82">
      <w:r>
        <w:separator/>
      </w:r>
    </w:p>
  </w:footnote>
  <w:footnote w:type="continuationSeparator" w:id="0">
    <w:p w14:paraId="206914D6" w14:textId="77777777" w:rsidR="00D200A5" w:rsidRDefault="00D200A5" w:rsidP="00A42E82">
      <w:r>
        <w:continuationSeparator/>
      </w:r>
    </w:p>
  </w:footnote>
  <w:footnote w:id="1">
    <w:p w14:paraId="6822541F" w14:textId="22DAD30E" w:rsidR="00AC336C" w:rsidRPr="00D945AE" w:rsidRDefault="00AC336C" w:rsidP="00A30867">
      <w:pPr>
        <w:pStyle w:val="FootnoteText"/>
      </w:pPr>
      <w:r w:rsidRPr="00D945AE">
        <w:rPr>
          <w:rStyle w:val="FootnoteReference"/>
        </w:rPr>
        <w:footnoteRef/>
      </w:r>
      <w:r w:rsidRPr="00D945AE">
        <w:t xml:space="preserve"> EPA defines a point source as </w:t>
      </w:r>
      <w:r>
        <w:t>“</w:t>
      </w:r>
      <w:r w:rsidRPr="00D945AE">
        <w:t xml:space="preserve">any discernible, confined, and discrete conveyance, including but not limited to, any pipe, ditch, channel, tunnel, conduit, well, discrete fissure, container, rolling stock, </w:t>
      </w:r>
      <w:r>
        <w:t>CAFO</w:t>
      </w:r>
      <w:r w:rsidRPr="00D945AE">
        <w:t>, landfill leachate collection system, vessel or other floating craft from which pollutants are or may be discharged</w:t>
      </w:r>
      <w:r>
        <w:t xml:space="preserve">. </w:t>
      </w:r>
      <w:r w:rsidRPr="00D945AE">
        <w:t>This term does not include return flows from irrigated agriculture or agricultural stormwater runoff</w:t>
      </w:r>
      <w:r>
        <w:t>”</w:t>
      </w:r>
      <w:r w:rsidRPr="00D945AE">
        <w:t xml:space="preserve"> (40 CFR 122.2)</w:t>
      </w:r>
      <w:r>
        <w:t>.</w:t>
      </w:r>
      <w:r w:rsidRPr="00D945AE">
        <w:t xml:space="preserve"> </w:t>
      </w:r>
    </w:p>
  </w:footnote>
  <w:footnote w:id="2">
    <w:p w14:paraId="77635F78" w14:textId="00B170CC" w:rsidR="00AC336C" w:rsidRDefault="00AC336C" w:rsidP="00A30867">
      <w:pPr>
        <w:pStyle w:val="FootnoteText"/>
      </w:pPr>
      <w:r>
        <w:rPr>
          <w:rStyle w:val="FootnoteReference"/>
        </w:rPr>
        <w:footnoteRef/>
      </w:r>
      <w:r>
        <w:t xml:space="preserve"> </w:t>
      </w:r>
      <w:r w:rsidRPr="008D2911">
        <w:t>On</w:t>
      </w:r>
      <w:r>
        <w:t xml:space="preserve"> </w:t>
      </w:r>
      <w:r w:rsidRPr="008D2911">
        <w:t>August 31, 2016,</w:t>
      </w:r>
      <w:r>
        <w:t xml:space="preserve"> the</w:t>
      </w:r>
      <w:r w:rsidRPr="008D2911">
        <w:t xml:space="preserve"> Idaho Department of Environmental Quality </w:t>
      </w:r>
      <w:r>
        <w:t>submitted an</w:t>
      </w:r>
      <w:r w:rsidRPr="008D2911">
        <w:t xml:space="preserve"> application to </w:t>
      </w:r>
      <w:r>
        <w:t>administer</w:t>
      </w:r>
      <w:r w:rsidRPr="008D2911">
        <w:t xml:space="preserve"> the NPDES permitting program in the state. </w:t>
      </w:r>
      <w:r>
        <w:t>Idaho</w:t>
      </w:r>
      <w:r w:rsidRPr="008D2911">
        <w:t xml:space="preserve"> intends to implement the program using a phased approach, meaning that </w:t>
      </w:r>
      <w:r>
        <w:t xml:space="preserve">it will assume control of </w:t>
      </w:r>
      <w:r w:rsidRPr="008D2911">
        <w:t xml:space="preserve">different </w:t>
      </w:r>
      <w:r>
        <w:t xml:space="preserve">program </w:t>
      </w:r>
      <w:r w:rsidRPr="008D2911">
        <w:t xml:space="preserve">components </w:t>
      </w:r>
      <w:r>
        <w:t xml:space="preserve">over several </w:t>
      </w:r>
      <w:r w:rsidRPr="008D2911">
        <w:t xml:space="preserve">years. In this ICR, the burden associated with permittees in </w:t>
      </w:r>
      <w:r>
        <w:t>Idaho</w:t>
      </w:r>
      <w:r w:rsidRPr="008D2911">
        <w:t xml:space="preserve"> is included as part of the federal burden because of the recent nature of the authorization and the phased approach. In the next renewal cycle, this burden </w:t>
      </w:r>
      <w:r>
        <w:t>may</w:t>
      </w:r>
      <w:r w:rsidRPr="008D2911">
        <w:t xml:space="preserve"> be shifted to the state</w:t>
      </w:r>
      <w:r>
        <w:t>,</w:t>
      </w:r>
      <w:r w:rsidRPr="008D2911">
        <w:t xml:space="preserve"> </w:t>
      </w:r>
      <w:r>
        <w:t>depending on the status of the state’s authorization to administer the NPDES program.</w:t>
      </w:r>
    </w:p>
  </w:footnote>
  <w:footnote w:id="3">
    <w:p w14:paraId="67D8E1B1" w14:textId="77777777" w:rsidR="00AC336C" w:rsidRDefault="00AC336C" w:rsidP="00A30867">
      <w:pPr>
        <w:pStyle w:val="FootnoteText"/>
      </w:pPr>
      <w:r>
        <w:rPr>
          <w:rStyle w:val="FootnoteReference"/>
        </w:rPr>
        <w:footnoteRef/>
      </w:r>
      <w:r>
        <w:t xml:space="preserve"> </w:t>
      </w:r>
      <w:r w:rsidRPr="00875E9B">
        <w:t xml:space="preserve">The criteria for when an antidegradation demonstration must be performed are different for bioaccumulative </w:t>
      </w:r>
      <w:r w:rsidRPr="00EF1FFC">
        <w:t>chemicals</w:t>
      </w:r>
      <w:r w:rsidRPr="00875E9B">
        <w:t xml:space="preserve"> of concern (BCCs) and non-BCCs</w:t>
      </w:r>
      <w:r>
        <w:t>.</w:t>
      </w:r>
    </w:p>
  </w:footnote>
  <w:footnote w:id="4">
    <w:p w14:paraId="7D2093AA" w14:textId="652A1462" w:rsidR="00AC336C" w:rsidRDefault="00AC336C" w:rsidP="00A30867">
      <w:pPr>
        <w:pStyle w:val="FootnoteText"/>
      </w:pPr>
      <w:r>
        <w:rPr>
          <w:rStyle w:val="FootnoteReference"/>
        </w:rPr>
        <w:footnoteRef/>
      </w:r>
      <w:r>
        <w:t xml:space="preserve"> Estimates for majors were revised from the previous ICR based on ICIS data.</w:t>
      </w:r>
    </w:p>
  </w:footnote>
  <w:footnote w:id="5">
    <w:p w14:paraId="37B1C34B" w14:textId="520732CB" w:rsidR="00AC336C" w:rsidRDefault="00AC336C" w:rsidP="00A30867">
      <w:pPr>
        <w:pStyle w:val="FootnoteText"/>
      </w:pPr>
      <w:r>
        <w:rPr>
          <w:rStyle w:val="FootnoteReference"/>
        </w:rPr>
        <w:footnoteRef/>
      </w:r>
      <w:r>
        <w:t xml:space="preserve"> B</w:t>
      </w:r>
      <w:r w:rsidRPr="005A1A1F">
        <w:t xml:space="preserve">ased on U.S. Department of Labor, Bureau of Labor Statistics, </w:t>
      </w:r>
      <w:r w:rsidRPr="00C457E0">
        <w:t>Table 3. Employer costs per hour worked for employee compensation and costs as a percent of total compensation: State and local</w:t>
      </w:r>
      <w:r>
        <w:t xml:space="preserve"> </w:t>
      </w:r>
      <w:r w:rsidRPr="00C457E0">
        <w:t xml:space="preserve">government workers, by major occupational and industry group, </w:t>
      </w:r>
      <w:r>
        <w:t>June</w:t>
      </w:r>
      <w:r w:rsidRPr="00C457E0">
        <w:t xml:space="preserve"> 201</w:t>
      </w:r>
      <w:r>
        <w:t>6</w:t>
      </w:r>
      <w:r w:rsidRPr="00146F63">
        <w:t>.</w:t>
      </w:r>
    </w:p>
  </w:footnote>
  <w:footnote w:id="6">
    <w:p w14:paraId="4F5FE5D2" w14:textId="137B651D" w:rsidR="00AC336C" w:rsidRDefault="00AC336C" w:rsidP="00A30867">
      <w:pPr>
        <w:pStyle w:val="FootnoteText"/>
      </w:pPr>
      <w:r>
        <w:rPr>
          <w:rStyle w:val="FootnoteReference"/>
        </w:rPr>
        <w:footnoteRef/>
      </w:r>
      <w:r>
        <w:t xml:space="preserve"> </w:t>
      </w:r>
      <w:r w:rsidRPr="005A1A1F">
        <w:t xml:space="preserve">Updated rates are derived from the U.S. Department of Labor, Bureau of Labor Statistics, in a table titled </w:t>
      </w:r>
      <w:r w:rsidRPr="003D089D">
        <w:t>May 2015 National Industry-Specific Occupational Employment and Wage Estimates</w:t>
      </w:r>
      <w:r>
        <w:t xml:space="preserve"> </w:t>
      </w:r>
      <w:r w:rsidRPr="003D089D">
        <w:t>NAICS 999300 - Local Governmen</w:t>
      </w:r>
      <w:r w:rsidRPr="00146F63">
        <w:t>t, excluding schools and hospitals (OES Designation),</w:t>
      </w:r>
      <w:r w:rsidRPr="005A1A1F">
        <w:t xml:space="preserve"> and adjusted to </w:t>
      </w:r>
      <w:r>
        <w:t>June 2016</w:t>
      </w:r>
      <w:r w:rsidRPr="005A1A1F">
        <w:t xml:space="preserve"> dollars using the </w:t>
      </w:r>
      <w:r>
        <w:t xml:space="preserve">not </w:t>
      </w:r>
      <w:r w:rsidRPr="005A1A1F">
        <w:t>seasonally adjusted Employment Cost Index (ECI) for state and local government employees.</w:t>
      </w:r>
    </w:p>
  </w:footnote>
  <w:footnote w:id="7">
    <w:p w14:paraId="01621563" w14:textId="4F3CC275" w:rsidR="00AC336C" w:rsidRDefault="00AC336C" w:rsidP="00A30867">
      <w:pPr>
        <w:pStyle w:val="FootnoteText"/>
      </w:pPr>
      <w:r>
        <w:rPr>
          <w:rStyle w:val="FootnoteReference"/>
        </w:rPr>
        <w:footnoteRef/>
      </w:r>
      <w:r>
        <w:t xml:space="preserve"> </w:t>
      </w:r>
      <w:r w:rsidRPr="00A30867">
        <w:t>Determined</w:t>
      </w:r>
      <w:r w:rsidRPr="005A1A1F">
        <w:t xml:space="preserve"> by the U.S. Department of Labor, Bureau of Labor Statistics, Total Compensation for Manage</w:t>
      </w:r>
      <w:r>
        <w:t>ment, professional, and related;</w:t>
      </w:r>
      <w:r w:rsidRPr="005A1A1F">
        <w:t xml:space="preserve"> </w:t>
      </w:r>
      <w:r w:rsidRPr="000041BC">
        <w:rPr>
          <w:i/>
        </w:rPr>
        <w:t xml:space="preserve">Table 5. Employer costs per hour worked for employee compensation and costs as a percent of total compensation: Private industry workers, by major occupational group and bargaining unit status, </w:t>
      </w:r>
      <w:r>
        <w:rPr>
          <w:i/>
        </w:rPr>
        <w:t>June 2016</w:t>
      </w:r>
      <w:r w:rsidRPr="00146F63">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D79"/>
    <w:multiLevelType w:val="hybridMultilevel"/>
    <w:tmpl w:val="2AC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2C24"/>
    <w:multiLevelType w:val="hybridMultilevel"/>
    <w:tmpl w:val="2788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76141"/>
    <w:multiLevelType w:val="hybridMultilevel"/>
    <w:tmpl w:val="A4EEB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2C0D9E"/>
    <w:multiLevelType w:val="hybridMultilevel"/>
    <w:tmpl w:val="A070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53C29"/>
    <w:multiLevelType w:val="hybridMultilevel"/>
    <w:tmpl w:val="70D0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550DD"/>
    <w:multiLevelType w:val="hybridMultilevel"/>
    <w:tmpl w:val="CFA4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32E26"/>
    <w:multiLevelType w:val="hybridMultilevel"/>
    <w:tmpl w:val="3D2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E26D0"/>
    <w:multiLevelType w:val="hybridMultilevel"/>
    <w:tmpl w:val="4734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E7BA2"/>
    <w:multiLevelType w:val="hybridMultilevel"/>
    <w:tmpl w:val="A874F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16F9D"/>
    <w:multiLevelType w:val="hybridMultilevel"/>
    <w:tmpl w:val="38C2E16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E763D"/>
    <w:multiLevelType w:val="hybridMultilevel"/>
    <w:tmpl w:val="A99C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4AC3B05"/>
    <w:multiLevelType w:val="hybridMultilevel"/>
    <w:tmpl w:val="E314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40833"/>
    <w:multiLevelType w:val="hybridMultilevel"/>
    <w:tmpl w:val="5686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5654A8"/>
    <w:multiLevelType w:val="hybridMultilevel"/>
    <w:tmpl w:val="D3E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F7D84"/>
    <w:multiLevelType w:val="hybridMultilevel"/>
    <w:tmpl w:val="102A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EA0DE7"/>
    <w:multiLevelType w:val="hybridMultilevel"/>
    <w:tmpl w:val="1EB2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694FB4"/>
    <w:multiLevelType w:val="hybridMultilevel"/>
    <w:tmpl w:val="C2F0FE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1B8C7FA8"/>
    <w:multiLevelType w:val="hybridMultilevel"/>
    <w:tmpl w:val="4DFE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C91FFC"/>
    <w:multiLevelType w:val="hybridMultilevel"/>
    <w:tmpl w:val="709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F63022"/>
    <w:multiLevelType w:val="hybridMultilevel"/>
    <w:tmpl w:val="91BE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502BC1"/>
    <w:multiLevelType w:val="hybridMultilevel"/>
    <w:tmpl w:val="A8EA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2157A4"/>
    <w:multiLevelType w:val="hybridMultilevel"/>
    <w:tmpl w:val="D27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3C2041"/>
    <w:multiLevelType w:val="hybridMultilevel"/>
    <w:tmpl w:val="1AE4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A866AA"/>
    <w:multiLevelType w:val="hybridMultilevel"/>
    <w:tmpl w:val="B7B8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8B66C2"/>
    <w:multiLevelType w:val="hybridMultilevel"/>
    <w:tmpl w:val="CBFA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E2441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09874DC"/>
    <w:multiLevelType w:val="hybridMultilevel"/>
    <w:tmpl w:val="FDF0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146ABC"/>
    <w:multiLevelType w:val="hybridMultilevel"/>
    <w:tmpl w:val="E1BE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9928F7"/>
    <w:multiLevelType w:val="hybridMultilevel"/>
    <w:tmpl w:val="71D6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A7109"/>
    <w:multiLevelType w:val="hybridMultilevel"/>
    <w:tmpl w:val="61DA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450382"/>
    <w:multiLevelType w:val="hybridMultilevel"/>
    <w:tmpl w:val="710A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BC4D5F"/>
    <w:multiLevelType w:val="hybridMultilevel"/>
    <w:tmpl w:val="582E3EF6"/>
    <w:lvl w:ilvl="0" w:tplc="04090001">
      <w:start w:val="1"/>
      <w:numFmt w:val="bullet"/>
      <w:lvlText w:val=""/>
      <w:lvlJc w:val="left"/>
      <w:pPr>
        <w:ind w:left="720" w:hanging="360"/>
      </w:pPr>
      <w:rPr>
        <w:rFonts w:ascii="Symbol" w:hAnsi="Symbol" w:hint="default"/>
      </w:rPr>
    </w:lvl>
    <w:lvl w:ilvl="1" w:tplc="4A400D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BE6E65"/>
    <w:multiLevelType w:val="hybridMultilevel"/>
    <w:tmpl w:val="C2B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A1887"/>
    <w:multiLevelType w:val="hybridMultilevel"/>
    <w:tmpl w:val="3B2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FB3AC4"/>
    <w:multiLevelType w:val="hybridMultilevel"/>
    <w:tmpl w:val="582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0C521B"/>
    <w:multiLevelType w:val="hybridMultilevel"/>
    <w:tmpl w:val="283E3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4425C3F"/>
    <w:multiLevelType w:val="hybridMultilevel"/>
    <w:tmpl w:val="6E6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F81027"/>
    <w:multiLevelType w:val="hybridMultilevel"/>
    <w:tmpl w:val="9AA2B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57C73DE"/>
    <w:multiLevelType w:val="hybridMultilevel"/>
    <w:tmpl w:val="1B3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C2063A"/>
    <w:multiLevelType w:val="hybridMultilevel"/>
    <w:tmpl w:val="31D2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3D62C1"/>
    <w:multiLevelType w:val="hybridMultilevel"/>
    <w:tmpl w:val="A2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CCE4D09"/>
    <w:multiLevelType w:val="hybridMultilevel"/>
    <w:tmpl w:val="1944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722072"/>
    <w:multiLevelType w:val="hybridMultilevel"/>
    <w:tmpl w:val="D3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D450A0"/>
    <w:multiLevelType w:val="hybridMultilevel"/>
    <w:tmpl w:val="B96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1A43E9E"/>
    <w:multiLevelType w:val="hybridMultilevel"/>
    <w:tmpl w:val="C56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017BAE"/>
    <w:multiLevelType w:val="hybridMultilevel"/>
    <w:tmpl w:val="4886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5E2947"/>
    <w:multiLevelType w:val="hybridMultilevel"/>
    <w:tmpl w:val="979E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4D466B"/>
    <w:multiLevelType w:val="hybridMultilevel"/>
    <w:tmpl w:val="6AC8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775DBB"/>
    <w:multiLevelType w:val="hybridMultilevel"/>
    <w:tmpl w:val="642A3F82"/>
    <w:lvl w:ilvl="0" w:tplc="CD4A3876">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pStyle w:val="Heading6"/>
      <w:lvlText w:val="%6."/>
      <w:lvlJc w:val="right"/>
      <w:pPr>
        <w:tabs>
          <w:tab w:val="num" w:pos="4320"/>
        </w:tabs>
        <w:ind w:left="4320" w:hanging="180"/>
      </w:pPr>
    </w:lvl>
    <w:lvl w:ilvl="6" w:tplc="04090001" w:tentative="1">
      <w:start w:val="1"/>
      <w:numFmt w:val="decimal"/>
      <w:pStyle w:val="Heading7"/>
      <w:lvlText w:val="%7."/>
      <w:lvlJc w:val="left"/>
      <w:pPr>
        <w:tabs>
          <w:tab w:val="num" w:pos="5040"/>
        </w:tabs>
        <w:ind w:left="5040" w:hanging="360"/>
      </w:pPr>
    </w:lvl>
    <w:lvl w:ilvl="7" w:tplc="04090003" w:tentative="1">
      <w:start w:val="1"/>
      <w:numFmt w:val="lowerLetter"/>
      <w:pStyle w:val="Heading8"/>
      <w:lvlText w:val="%8."/>
      <w:lvlJc w:val="left"/>
      <w:pPr>
        <w:tabs>
          <w:tab w:val="num" w:pos="5760"/>
        </w:tabs>
        <w:ind w:left="5760" w:hanging="360"/>
      </w:pPr>
    </w:lvl>
    <w:lvl w:ilvl="8" w:tplc="04090005">
      <w:start w:val="1"/>
      <w:numFmt w:val="lowerRoman"/>
      <w:pStyle w:val="Heading9"/>
      <w:lvlText w:val="%9."/>
      <w:lvlJc w:val="right"/>
      <w:pPr>
        <w:tabs>
          <w:tab w:val="num" w:pos="6480"/>
        </w:tabs>
        <w:ind w:left="6480" w:hanging="180"/>
      </w:pPr>
    </w:lvl>
  </w:abstractNum>
  <w:abstractNum w:abstractNumId="53">
    <w:nsid w:val="6A3C5D43"/>
    <w:multiLevelType w:val="hybridMultilevel"/>
    <w:tmpl w:val="365E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0B442D"/>
    <w:multiLevelType w:val="hybridMultilevel"/>
    <w:tmpl w:val="71D8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582E23"/>
    <w:multiLevelType w:val="hybridMultilevel"/>
    <w:tmpl w:val="699E3D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76B71150"/>
    <w:multiLevelType w:val="hybridMultilevel"/>
    <w:tmpl w:val="D48C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007437"/>
    <w:multiLevelType w:val="hybridMultilevel"/>
    <w:tmpl w:val="6542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495E15"/>
    <w:multiLevelType w:val="hybridMultilevel"/>
    <w:tmpl w:val="2EB0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11"/>
  </w:num>
  <w:num w:numId="4">
    <w:abstractNumId w:val="26"/>
  </w:num>
  <w:num w:numId="5">
    <w:abstractNumId w:val="43"/>
  </w:num>
  <w:num w:numId="6">
    <w:abstractNumId w:val="16"/>
  </w:num>
  <w:num w:numId="7">
    <w:abstractNumId w:val="32"/>
  </w:num>
  <w:num w:numId="8">
    <w:abstractNumId w:val="36"/>
  </w:num>
  <w:num w:numId="9">
    <w:abstractNumId w:val="49"/>
  </w:num>
  <w:num w:numId="10">
    <w:abstractNumId w:val="42"/>
  </w:num>
  <w:num w:numId="11">
    <w:abstractNumId w:val="35"/>
  </w:num>
  <w:num w:numId="12">
    <w:abstractNumId w:val="13"/>
  </w:num>
  <w:num w:numId="13">
    <w:abstractNumId w:val="14"/>
  </w:num>
  <w:num w:numId="14">
    <w:abstractNumId w:val="18"/>
  </w:num>
  <w:num w:numId="15">
    <w:abstractNumId w:val="51"/>
  </w:num>
  <w:num w:numId="16">
    <w:abstractNumId w:val="57"/>
  </w:num>
  <w:num w:numId="17">
    <w:abstractNumId w:val="3"/>
  </w:num>
  <w:num w:numId="18">
    <w:abstractNumId w:val="47"/>
  </w:num>
  <w:num w:numId="19">
    <w:abstractNumId w:val="33"/>
  </w:num>
  <w:num w:numId="20">
    <w:abstractNumId w:val="40"/>
  </w:num>
  <w:num w:numId="21">
    <w:abstractNumId w:val="48"/>
  </w:num>
  <w:num w:numId="22">
    <w:abstractNumId w:val="39"/>
  </w:num>
  <w:num w:numId="23">
    <w:abstractNumId w:val="44"/>
  </w:num>
  <w:num w:numId="24">
    <w:abstractNumId w:val="17"/>
  </w:num>
  <w:num w:numId="25">
    <w:abstractNumId w:val="29"/>
  </w:num>
  <w:num w:numId="26">
    <w:abstractNumId w:val="25"/>
  </w:num>
  <w:num w:numId="27">
    <w:abstractNumId w:val="31"/>
  </w:num>
  <w:num w:numId="28">
    <w:abstractNumId w:val="28"/>
  </w:num>
  <w:num w:numId="29">
    <w:abstractNumId w:val="46"/>
  </w:num>
  <w:num w:numId="30">
    <w:abstractNumId w:val="0"/>
  </w:num>
  <w:num w:numId="31">
    <w:abstractNumId w:val="12"/>
  </w:num>
  <w:num w:numId="32">
    <w:abstractNumId w:val="56"/>
  </w:num>
  <w:num w:numId="33">
    <w:abstractNumId w:val="5"/>
  </w:num>
  <w:num w:numId="34">
    <w:abstractNumId w:val="2"/>
  </w:num>
  <w:num w:numId="35">
    <w:abstractNumId w:val="20"/>
  </w:num>
  <w:num w:numId="36">
    <w:abstractNumId w:val="6"/>
  </w:num>
  <w:num w:numId="37">
    <w:abstractNumId w:val="19"/>
  </w:num>
  <w:num w:numId="38">
    <w:abstractNumId w:val="45"/>
  </w:num>
  <w:num w:numId="39">
    <w:abstractNumId w:val="41"/>
  </w:num>
  <w:num w:numId="40">
    <w:abstractNumId w:val="37"/>
  </w:num>
  <w:num w:numId="41">
    <w:abstractNumId w:val="21"/>
  </w:num>
  <w:num w:numId="42">
    <w:abstractNumId w:val="4"/>
  </w:num>
  <w:num w:numId="43">
    <w:abstractNumId w:val="24"/>
  </w:num>
  <w:num w:numId="44">
    <w:abstractNumId w:val="34"/>
  </w:num>
  <w:num w:numId="45">
    <w:abstractNumId w:val="54"/>
  </w:num>
  <w:num w:numId="46">
    <w:abstractNumId w:val="7"/>
  </w:num>
  <w:num w:numId="47">
    <w:abstractNumId w:val="23"/>
  </w:num>
  <w:num w:numId="48">
    <w:abstractNumId w:val="15"/>
  </w:num>
  <w:num w:numId="49">
    <w:abstractNumId w:val="38"/>
  </w:num>
  <w:num w:numId="50">
    <w:abstractNumId w:val="8"/>
  </w:num>
  <w:num w:numId="51">
    <w:abstractNumId w:val="50"/>
  </w:num>
  <w:num w:numId="52">
    <w:abstractNumId w:val="1"/>
  </w:num>
  <w:num w:numId="53">
    <w:abstractNumId w:val="22"/>
  </w:num>
  <w:num w:numId="54">
    <w:abstractNumId w:val="58"/>
  </w:num>
  <w:num w:numId="55">
    <w:abstractNumId w:val="53"/>
  </w:num>
  <w:num w:numId="56">
    <w:abstractNumId w:val="9"/>
  </w:num>
  <w:num w:numId="57">
    <w:abstractNumId w:val="10"/>
  </w:num>
  <w:num w:numId="58">
    <w:abstractNumId w:val="55"/>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77"/>
    <w:rsid w:val="00000AF0"/>
    <w:rsid w:val="00001F1A"/>
    <w:rsid w:val="00002380"/>
    <w:rsid w:val="000041BC"/>
    <w:rsid w:val="00007CFD"/>
    <w:rsid w:val="000106BF"/>
    <w:rsid w:val="00012731"/>
    <w:rsid w:val="00013981"/>
    <w:rsid w:val="0001539D"/>
    <w:rsid w:val="000155E2"/>
    <w:rsid w:val="00015813"/>
    <w:rsid w:val="00016002"/>
    <w:rsid w:val="00017169"/>
    <w:rsid w:val="00017C72"/>
    <w:rsid w:val="0002002D"/>
    <w:rsid w:val="00020114"/>
    <w:rsid w:val="00020501"/>
    <w:rsid w:val="00023967"/>
    <w:rsid w:val="00023FB4"/>
    <w:rsid w:val="00025B14"/>
    <w:rsid w:val="0003104C"/>
    <w:rsid w:val="00032DA1"/>
    <w:rsid w:val="00034D54"/>
    <w:rsid w:val="00034D67"/>
    <w:rsid w:val="00035229"/>
    <w:rsid w:val="0003525F"/>
    <w:rsid w:val="0003528C"/>
    <w:rsid w:val="0003528E"/>
    <w:rsid w:val="000357C1"/>
    <w:rsid w:val="00035C1F"/>
    <w:rsid w:val="00035EFF"/>
    <w:rsid w:val="00040099"/>
    <w:rsid w:val="00041B6F"/>
    <w:rsid w:val="00042EFD"/>
    <w:rsid w:val="000436DA"/>
    <w:rsid w:val="00043987"/>
    <w:rsid w:val="00044771"/>
    <w:rsid w:val="0004626D"/>
    <w:rsid w:val="000467D4"/>
    <w:rsid w:val="00047193"/>
    <w:rsid w:val="00047F83"/>
    <w:rsid w:val="00050107"/>
    <w:rsid w:val="00052A46"/>
    <w:rsid w:val="0005309E"/>
    <w:rsid w:val="0005388D"/>
    <w:rsid w:val="00054102"/>
    <w:rsid w:val="0005631A"/>
    <w:rsid w:val="00056CFB"/>
    <w:rsid w:val="00060CE3"/>
    <w:rsid w:val="00061ACC"/>
    <w:rsid w:val="00062DFD"/>
    <w:rsid w:val="00063BCC"/>
    <w:rsid w:val="0006410A"/>
    <w:rsid w:val="00065A10"/>
    <w:rsid w:val="00066787"/>
    <w:rsid w:val="00067F02"/>
    <w:rsid w:val="0007121B"/>
    <w:rsid w:val="000725BB"/>
    <w:rsid w:val="000772BC"/>
    <w:rsid w:val="0008077E"/>
    <w:rsid w:val="00080BCB"/>
    <w:rsid w:val="00081065"/>
    <w:rsid w:val="00083936"/>
    <w:rsid w:val="000839CA"/>
    <w:rsid w:val="00083F80"/>
    <w:rsid w:val="000849B3"/>
    <w:rsid w:val="00084B0D"/>
    <w:rsid w:val="00085324"/>
    <w:rsid w:val="0008544B"/>
    <w:rsid w:val="000854BE"/>
    <w:rsid w:val="00086457"/>
    <w:rsid w:val="0008669A"/>
    <w:rsid w:val="00087F50"/>
    <w:rsid w:val="000922A7"/>
    <w:rsid w:val="00093E48"/>
    <w:rsid w:val="0009496B"/>
    <w:rsid w:val="0009668D"/>
    <w:rsid w:val="00096FE6"/>
    <w:rsid w:val="000A0CF3"/>
    <w:rsid w:val="000A24BD"/>
    <w:rsid w:val="000A28CD"/>
    <w:rsid w:val="000A2BA1"/>
    <w:rsid w:val="000A3ED0"/>
    <w:rsid w:val="000A4AD6"/>
    <w:rsid w:val="000B1438"/>
    <w:rsid w:val="000B1827"/>
    <w:rsid w:val="000B253B"/>
    <w:rsid w:val="000B2EE3"/>
    <w:rsid w:val="000B38BE"/>
    <w:rsid w:val="000B4692"/>
    <w:rsid w:val="000B6B16"/>
    <w:rsid w:val="000C0574"/>
    <w:rsid w:val="000C0AB3"/>
    <w:rsid w:val="000C1DE6"/>
    <w:rsid w:val="000C32BA"/>
    <w:rsid w:val="000C34EF"/>
    <w:rsid w:val="000C38A6"/>
    <w:rsid w:val="000C431A"/>
    <w:rsid w:val="000C4400"/>
    <w:rsid w:val="000C46A2"/>
    <w:rsid w:val="000C48DC"/>
    <w:rsid w:val="000C50CD"/>
    <w:rsid w:val="000C5B2E"/>
    <w:rsid w:val="000C647C"/>
    <w:rsid w:val="000D0912"/>
    <w:rsid w:val="000D09F7"/>
    <w:rsid w:val="000D0E8D"/>
    <w:rsid w:val="000D391F"/>
    <w:rsid w:val="000D4D42"/>
    <w:rsid w:val="000D57D5"/>
    <w:rsid w:val="000E18C6"/>
    <w:rsid w:val="000E2DEF"/>
    <w:rsid w:val="000E4E0B"/>
    <w:rsid w:val="000E711E"/>
    <w:rsid w:val="000F01BF"/>
    <w:rsid w:val="000F049E"/>
    <w:rsid w:val="000F06DB"/>
    <w:rsid w:val="000F0893"/>
    <w:rsid w:val="000F134A"/>
    <w:rsid w:val="000F1D71"/>
    <w:rsid w:val="000F23E8"/>
    <w:rsid w:val="000F2D5E"/>
    <w:rsid w:val="000F3097"/>
    <w:rsid w:val="000F496D"/>
    <w:rsid w:val="000F5166"/>
    <w:rsid w:val="00100879"/>
    <w:rsid w:val="00100C13"/>
    <w:rsid w:val="001016C9"/>
    <w:rsid w:val="00101E17"/>
    <w:rsid w:val="00103DD0"/>
    <w:rsid w:val="00104D2F"/>
    <w:rsid w:val="0010581D"/>
    <w:rsid w:val="00110AB2"/>
    <w:rsid w:val="00110EC4"/>
    <w:rsid w:val="00112C69"/>
    <w:rsid w:val="00114167"/>
    <w:rsid w:val="00114BFE"/>
    <w:rsid w:val="00114E70"/>
    <w:rsid w:val="001153D1"/>
    <w:rsid w:val="00120219"/>
    <w:rsid w:val="00120C0B"/>
    <w:rsid w:val="00123B84"/>
    <w:rsid w:val="00123DE1"/>
    <w:rsid w:val="00124354"/>
    <w:rsid w:val="00124A36"/>
    <w:rsid w:val="00124DCA"/>
    <w:rsid w:val="00125967"/>
    <w:rsid w:val="00126742"/>
    <w:rsid w:val="001303AB"/>
    <w:rsid w:val="00133063"/>
    <w:rsid w:val="00134A7F"/>
    <w:rsid w:val="0013504C"/>
    <w:rsid w:val="00135674"/>
    <w:rsid w:val="001365EF"/>
    <w:rsid w:val="001377E5"/>
    <w:rsid w:val="00140E02"/>
    <w:rsid w:val="00141859"/>
    <w:rsid w:val="00141AEC"/>
    <w:rsid w:val="00141CC0"/>
    <w:rsid w:val="001421BC"/>
    <w:rsid w:val="001433AC"/>
    <w:rsid w:val="001445CD"/>
    <w:rsid w:val="00145D00"/>
    <w:rsid w:val="00145F14"/>
    <w:rsid w:val="001467B3"/>
    <w:rsid w:val="00146F63"/>
    <w:rsid w:val="001477FE"/>
    <w:rsid w:val="00147818"/>
    <w:rsid w:val="001506FA"/>
    <w:rsid w:val="00150883"/>
    <w:rsid w:val="00151D55"/>
    <w:rsid w:val="00151FFA"/>
    <w:rsid w:val="0015284E"/>
    <w:rsid w:val="0015314D"/>
    <w:rsid w:val="0015409A"/>
    <w:rsid w:val="001547DA"/>
    <w:rsid w:val="00154BC9"/>
    <w:rsid w:val="001554CE"/>
    <w:rsid w:val="0016381C"/>
    <w:rsid w:val="00164189"/>
    <w:rsid w:val="00164D19"/>
    <w:rsid w:val="001660DE"/>
    <w:rsid w:val="001669BF"/>
    <w:rsid w:val="0016776A"/>
    <w:rsid w:val="00167F8B"/>
    <w:rsid w:val="001701CE"/>
    <w:rsid w:val="001709A1"/>
    <w:rsid w:val="001710DA"/>
    <w:rsid w:val="0017120E"/>
    <w:rsid w:val="00173011"/>
    <w:rsid w:val="00173081"/>
    <w:rsid w:val="00173456"/>
    <w:rsid w:val="00173597"/>
    <w:rsid w:val="00173BC4"/>
    <w:rsid w:val="00174FBC"/>
    <w:rsid w:val="00175000"/>
    <w:rsid w:val="00175205"/>
    <w:rsid w:val="001757E1"/>
    <w:rsid w:val="00175B0E"/>
    <w:rsid w:val="00175B36"/>
    <w:rsid w:val="0017745D"/>
    <w:rsid w:val="001803C3"/>
    <w:rsid w:val="00180820"/>
    <w:rsid w:val="001814FD"/>
    <w:rsid w:val="0018239C"/>
    <w:rsid w:val="0018582C"/>
    <w:rsid w:val="0019008D"/>
    <w:rsid w:val="00191ED8"/>
    <w:rsid w:val="00192159"/>
    <w:rsid w:val="0019239A"/>
    <w:rsid w:val="00193CE0"/>
    <w:rsid w:val="00194826"/>
    <w:rsid w:val="00194C17"/>
    <w:rsid w:val="00194D79"/>
    <w:rsid w:val="0019693A"/>
    <w:rsid w:val="0019709A"/>
    <w:rsid w:val="00197114"/>
    <w:rsid w:val="00197619"/>
    <w:rsid w:val="001979A9"/>
    <w:rsid w:val="001A0437"/>
    <w:rsid w:val="001A186A"/>
    <w:rsid w:val="001A1AAE"/>
    <w:rsid w:val="001A2F6C"/>
    <w:rsid w:val="001A3283"/>
    <w:rsid w:val="001A368D"/>
    <w:rsid w:val="001A3BD2"/>
    <w:rsid w:val="001A3D24"/>
    <w:rsid w:val="001A699E"/>
    <w:rsid w:val="001A72F4"/>
    <w:rsid w:val="001A7BC4"/>
    <w:rsid w:val="001B116D"/>
    <w:rsid w:val="001B13C7"/>
    <w:rsid w:val="001B1A22"/>
    <w:rsid w:val="001B284D"/>
    <w:rsid w:val="001B3919"/>
    <w:rsid w:val="001B467C"/>
    <w:rsid w:val="001B4C30"/>
    <w:rsid w:val="001B5F50"/>
    <w:rsid w:val="001B6078"/>
    <w:rsid w:val="001C1394"/>
    <w:rsid w:val="001C2358"/>
    <w:rsid w:val="001C2631"/>
    <w:rsid w:val="001C4686"/>
    <w:rsid w:val="001C4981"/>
    <w:rsid w:val="001C4B48"/>
    <w:rsid w:val="001C4C9A"/>
    <w:rsid w:val="001C5308"/>
    <w:rsid w:val="001C56F9"/>
    <w:rsid w:val="001C5E71"/>
    <w:rsid w:val="001C6305"/>
    <w:rsid w:val="001C6D93"/>
    <w:rsid w:val="001D0745"/>
    <w:rsid w:val="001D1A4B"/>
    <w:rsid w:val="001D3519"/>
    <w:rsid w:val="001D56B6"/>
    <w:rsid w:val="001D57A7"/>
    <w:rsid w:val="001D64E1"/>
    <w:rsid w:val="001D79AB"/>
    <w:rsid w:val="001E15B4"/>
    <w:rsid w:val="001E1826"/>
    <w:rsid w:val="001E1ADB"/>
    <w:rsid w:val="001E22DB"/>
    <w:rsid w:val="001E44B0"/>
    <w:rsid w:val="001E5224"/>
    <w:rsid w:val="001E54BE"/>
    <w:rsid w:val="001E583A"/>
    <w:rsid w:val="001E6F0B"/>
    <w:rsid w:val="001E7008"/>
    <w:rsid w:val="001E75DD"/>
    <w:rsid w:val="001F0E04"/>
    <w:rsid w:val="001F11E1"/>
    <w:rsid w:val="001F1BF7"/>
    <w:rsid w:val="001F2C49"/>
    <w:rsid w:val="001F37A7"/>
    <w:rsid w:val="001F4D1D"/>
    <w:rsid w:val="001F5AB0"/>
    <w:rsid w:val="001F6782"/>
    <w:rsid w:val="001F6C5A"/>
    <w:rsid w:val="001F6DBB"/>
    <w:rsid w:val="001F73E8"/>
    <w:rsid w:val="00200F70"/>
    <w:rsid w:val="00202584"/>
    <w:rsid w:val="00202F03"/>
    <w:rsid w:val="002030E4"/>
    <w:rsid w:val="00204C57"/>
    <w:rsid w:val="002057FE"/>
    <w:rsid w:val="002068C8"/>
    <w:rsid w:val="002102F1"/>
    <w:rsid w:val="00210702"/>
    <w:rsid w:val="00211607"/>
    <w:rsid w:val="00212898"/>
    <w:rsid w:val="0021647D"/>
    <w:rsid w:val="00221DA9"/>
    <w:rsid w:val="00222E7B"/>
    <w:rsid w:val="0022351E"/>
    <w:rsid w:val="00223B3B"/>
    <w:rsid w:val="00223D44"/>
    <w:rsid w:val="00224D1F"/>
    <w:rsid w:val="00224DA9"/>
    <w:rsid w:val="00225716"/>
    <w:rsid w:val="0022713C"/>
    <w:rsid w:val="00227945"/>
    <w:rsid w:val="00227A7C"/>
    <w:rsid w:val="00230188"/>
    <w:rsid w:val="002307FC"/>
    <w:rsid w:val="00230EC6"/>
    <w:rsid w:val="00230F2C"/>
    <w:rsid w:val="002316FE"/>
    <w:rsid w:val="002321B4"/>
    <w:rsid w:val="00232889"/>
    <w:rsid w:val="00232B83"/>
    <w:rsid w:val="00232F43"/>
    <w:rsid w:val="0023491F"/>
    <w:rsid w:val="00236E21"/>
    <w:rsid w:val="00237096"/>
    <w:rsid w:val="00240127"/>
    <w:rsid w:val="002409E4"/>
    <w:rsid w:val="00241CDF"/>
    <w:rsid w:val="00241D36"/>
    <w:rsid w:val="00242555"/>
    <w:rsid w:val="00243554"/>
    <w:rsid w:val="002436F1"/>
    <w:rsid w:val="0024383C"/>
    <w:rsid w:val="00245D90"/>
    <w:rsid w:val="002462B9"/>
    <w:rsid w:val="00246C2C"/>
    <w:rsid w:val="002474A8"/>
    <w:rsid w:val="002513F2"/>
    <w:rsid w:val="00254627"/>
    <w:rsid w:val="00254AF9"/>
    <w:rsid w:val="00255BFC"/>
    <w:rsid w:val="0025608D"/>
    <w:rsid w:val="00261E98"/>
    <w:rsid w:val="00262A2D"/>
    <w:rsid w:val="00263CB0"/>
    <w:rsid w:val="0026672F"/>
    <w:rsid w:val="00266CAF"/>
    <w:rsid w:val="00266DBD"/>
    <w:rsid w:val="00267BA4"/>
    <w:rsid w:val="002701AE"/>
    <w:rsid w:val="00271EBC"/>
    <w:rsid w:val="00272CE1"/>
    <w:rsid w:val="002742BA"/>
    <w:rsid w:val="0027719F"/>
    <w:rsid w:val="00277220"/>
    <w:rsid w:val="00280477"/>
    <w:rsid w:val="00282E8F"/>
    <w:rsid w:val="00290DED"/>
    <w:rsid w:val="00290E6C"/>
    <w:rsid w:val="00291468"/>
    <w:rsid w:val="00291C40"/>
    <w:rsid w:val="00291FA6"/>
    <w:rsid w:val="00292047"/>
    <w:rsid w:val="00293C27"/>
    <w:rsid w:val="00293D16"/>
    <w:rsid w:val="002948D5"/>
    <w:rsid w:val="002949B3"/>
    <w:rsid w:val="00295440"/>
    <w:rsid w:val="00295513"/>
    <w:rsid w:val="00295D01"/>
    <w:rsid w:val="00296109"/>
    <w:rsid w:val="002961C6"/>
    <w:rsid w:val="002961D9"/>
    <w:rsid w:val="002976F8"/>
    <w:rsid w:val="002A0C26"/>
    <w:rsid w:val="002A2B5D"/>
    <w:rsid w:val="002A2CA9"/>
    <w:rsid w:val="002A3E05"/>
    <w:rsid w:val="002A4587"/>
    <w:rsid w:val="002A6EAA"/>
    <w:rsid w:val="002B20E1"/>
    <w:rsid w:val="002B35B8"/>
    <w:rsid w:val="002B3F3A"/>
    <w:rsid w:val="002B4132"/>
    <w:rsid w:val="002B4D78"/>
    <w:rsid w:val="002B5F86"/>
    <w:rsid w:val="002B788B"/>
    <w:rsid w:val="002C0E78"/>
    <w:rsid w:val="002C1A3F"/>
    <w:rsid w:val="002C1A8A"/>
    <w:rsid w:val="002C2937"/>
    <w:rsid w:val="002C2A47"/>
    <w:rsid w:val="002C4D4C"/>
    <w:rsid w:val="002C5386"/>
    <w:rsid w:val="002C5AAE"/>
    <w:rsid w:val="002C724C"/>
    <w:rsid w:val="002C72C9"/>
    <w:rsid w:val="002C7588"/>
    <w:rsid w:val="002C7C4A"/>
    <w:rsid w:val="002D025B"/>
    <w:rsid w:val="002D1079"/>
    <w:rsid w:val="002D1C59"/>
    <w:rsid w:val="002D5B4E"/>
    <w:rsid w:val="002D7999"/>
    <w:rsid w:val="002E114A"/>
    <w:rsid w:val="002E16EF"/>
    <w:rsid w:val="002E20B8"/>
    <w:rsid w:val="002E29FE"/>
    <w:rsid w:val="002E2A3B"/>
    <w:rsid w:val="002E4ED4"/>
    <w:rsid w:val="002E54C6"/>
    <w:rsid w:val="002E5E2B"/>
    <w:rsid w:val="002E686E"/>
    <w:rsid w:val="002E6EF5"/>
    <w:rsid w:val="002E74EC"/>
    <w:rsid w:val="002E7511"/>
    <w:rsid w:val="002F02DA"/>
    <w:rsid w:val="002F0421"/>
    <w:rsid w:val="002F0CC6"/>
    <w:rsid w:val="002F1134"/>
    <w:rsid w:val="002F1ADA"/>
    <w:rsid w:val="002F1AE9"/>
    <w:rsid w:val="002F37AE"/>
    <w:rsid w:val="002F4753"/>
    <w:rsid w:val="002F568F"/>
    <w:rsid w:val="002F79C6"/>
    <w:rsid w:val="00300F09"/>
    <w:rsid w:val="0030167D"/>
    <w:rsid w:val="00301D0A"/>
    <w:rsid w:val="00303AA6"/>
    <w:rsid w:val="0030589E"/>
    <w:rsid w:val="00305979"/>
    <w:rsid w:val="00306716"/>
    <w:rsid w:val="0031060A"/>
    <w:rsid w:val="00310650"/>
    <w:rsid w:val="003107E4"/>
    <w:rsid w:val="00310BCA"/>
    <w:rsid w:val="00311C8E"/>
    <w:rsid w:val="00311D9F"/>
    <w:rsid w:val="00311F20"/>
    <w:rsid w:val="003142F0"/>
    <w:rsid w:val="00315BB5"/>
    <w:rsid w:val="00316933"/>
    <w:rsid w:val="00321D7B"/>
    <w:rsid w:val="00321E11"/>
    <w:rsid w:val="0032248F"/>
    <w:rsid w:val="003224FC"/>
    <w:rsid w:val="003228BA"/>
    <w:rsid w:val="00323C94"/>
    <w:rsid w:val="00324DCF"/>
    <w:rsid w:val="00325C84"/>
    <w:rsid w:val="00330982"/>
    <w:rsid w:val="003311B8"/>
    <w:rsid w:val="003333F7"/>
    <w:rsid w:val="003341B7"/>
    <w:rsid w:val="0033559B"/>
    <w:rsid w:val="00335FE5"/>
    <w:rsid w:val="0033679D"/>
    <w:rsid w:val="00341C64"/>
    <w:rsid w:val="00342BFD"/>
    <w:rsid w:val="003441E7"/>
    <w:rsid w:val="00344C4C"/>
    <w:rsid w:val="00345F8F"/>
    <w:rsid w:val="003477F2"/>
    <w:rsid w:val="003478FE"/>
    <w:rsid w:val="00351AF5"/>
    <w:rsid w:val="00351F59"/>
    <w:rsid w:val="003520AB"/>
    <w:rsid w:val="003523C7"/>
    <w:rsid w:val="00352E6F"/>
    <w:rsid w:val="00353147"/>
    <w:rsid w:val="003533DF"/>
    <w:rsid w:val="00353F72"/>
    <w:rsid w:val="0035534B"/>
    <w:rsid w:val="003563CE"/>
    <w:rsid w:val="003573E0"/>
    <w:rsid w:val="0035780D"/>
    <w:rsid w:val="00361F6B"/>
    <w:rsid w:val="00362A63"/>
    <w:rsid w:val="00363156"/>
    <w:rsid w:val="003634A5"/>
    <w:rsid w:val="0036374E"/>
    <w:rsid w:val="00363A5D"/>
    <w:rsid w:val="00363F86"/>
    <w:rsid w:val="00364FEB"/>
    <w:rsid w:val="003667B0"/>
    <w:rsid w:val="00367228"/>
    <w:rsid w:val="00367615"/>
    <w:rsid w:val="003676E8"/>
    <w:rsid w:val="00370FF8"/>
    <w:rsid w:val="00371BF5"/>
    <w:rsid w:val="00372B22"/>
    <w:rsid w:val="00373C11"/>
    <w:rsid w:val="003748CC"/>
    <w:rsid w:val="00374959"/>
    <w:rsid w:val="00374AF7"/>
    <w:rsid w:val="00374D0E"/>
    <w:rsid w:val="003759E0"/>
    <w:rsid w:val="00376DA5"/>
    <w:rsid w:val="00382183"/>
    <w:rsid w:val="00382B58"/>
    <w:rsid w:val="00383121"/>
    <w:rsid w:val="003854BD"/>
    <w:rsid w:val="00386575"/>
    <w:rsid w:val="00386B28"/>
    <w:rsid w:val="00387D1A"/>
    <w:rsid w:val="00387FA6"/>
    <w:rsid w:val="003912B4"/>
    <w:rsid w:val="003942D4"/>
    <w:rsid w:val="00395C42"/>
    <w:rsid w:val="003969C0"/>
    <w:rsid w:val="003976C5"/>
    <w:rsid w:val="003A188A"/>
    <w:rsid w:val="003A1F6A"/>
    <w:rsid w:val="003A2DB8"/>
    <w:rsid w:val="003A3E87"/>
    <w:rsid w:val="003A4028"/>
    <w:rsid w:val="003A404D"/>
    <w:rsid w:val="003A56EB"/>
    <w:rsid w:val="003A64A1"/>
    <w:rsid w:val="003A6C3A"/>
    <w:rsid w:val="003A7067"/>
    <w:rsid w:val="003A7401"/>
    <w:rsid w:val="003A745C"/>
    <w:rsid w:val="003A7B71"/>
    <w:rsid w:val="003B2FEC"/>
    <w:rsid w:val="003B6BC5"/>
    <w:rsid w:val="003B787D"/>
    <w:rsid w:val="003B7FF6"/>
    <w:rsid w:val="003C0B30"/>
    <w:rsid w:val="003C1205"/>
    <w:rsid w:val="003C2170"/>
    <w:rsid w:val="003C2BF3"/>
    <w:rsid w:val="003C3E45"/>
    <w:rsid w:val="003C4519"/>
    <w:rsid w:val="003C4948"/>
    <w:rsid w:val="003C5100"/>
    <w:rsid w:val="003C5DAA"/>
    <w:rsid w:val="003C6AF7"/>
    <w:rsid w:val="003C73AD"/>
    <w:rsid w:val="003C77DA"/>
    <w:rsid w:val="003C7FD9"/>
    <w:rsid w:val="003D04FB"/>
    <w:rsid w:val="003D089D"/>
    <w:rsid w:val="003D139B"/>
    <w:rsid w:val="003D16AA"/>
    <w:rsid w:val="003D1A26"/>
    <w:rsid w:val="003D1E99"/>
    <w:rsid w:val="003D263B"/>
    <w:rsid w:val="003D399F"/>
    <w:rsid w:val="003D3EC4"/>
    <w:rsid w:val="003D47A5"/>
    <w:rsid w:val="003D5004"/>
    <w:rsid w:val="003D5168"/>
    <w:rsid w:val="003D52A5"/>
    <w:rsid w:val="003D6433"/>
    <w:rsid w:val="003E351A"/>
    <w:rsid w:val="003E3B2E"/>
    <w:rsid w:val="003E3D0D"/>
    <w:rsid w:val="003E4141"/>
    <w:rsid w:val="003E4663"/>
    <w:rsid w:val="003E5304"/>
    <w:rsid w:val="003E5A79"/>
    <w:rsid w:val="003E71A0"/>
    <w:rsid w:val="003E7C48"/>
    <w:rsid w:val="003F019B"/>
    <w:rsid w:val="003F0723"/>
    <w:rsid w:val="003F32A7"/>
    <w:rsid w:val="003F393F"/>
    <w:rsid w:val="003F473B"/>
    <w:rsid w:val="003F54A7"/>
    <w:rsid w:val="003F54E4"/>
    <w:rsid w:val="003F5B63"/>
    <w:rsid w:val="003F65D6"/>
    <w:rsid w:val="003F6CB5"/>
    <w:rsid w:val="003F7669"/>
    <w:rsid w:val="003F785A"/>
    <w:rsid w:val="00400773"/>
    <w:rsid w:val="00400A0F"/>
    <w:rsid w:val="00402F18"/>
    <w:rsid w:val="00407ABD"/>
    <w:rsid w:val="00407CA8"/>
    <w:rsid w:val="0041000C"/>
    <w:rsid w:val="00410677"/>
    <w:rsid w:val="0041098B"/>
    <w:rsid w:val="00410E6F"/>
    <w:rsid w:val="00413CC0"/>
    <w:rsid w:val="004147E1"/>
    <w:rsid w:val="00415591"/>
    <w:rsid w:val="004167D4"/>
    <w:rsid w:val="004209F1"/>
    <w:rsid w:val="004239F4"/>
    <w:rsid w:val="00426F60"/>
    <w:rsid w:val="004279B7"/>
    <w:rsid w:val="00427FD1"/>
    <w:rsid w:val="0043004F"/>
    <w:rsid w:val="004304D1"/>
    <w:rsid w:val="004313BB"/>
    <w:rsid w:val="004331DF"/>
    <w:rsid w:val="00433D40"/>
    <w:rsid w:val="004356B9"/>
    <w:rsid w:val="004357A9"/>
    <w:rsid w:val="00436313"/>
    <w:rsid w:val="004366AF"/>
    <w:rsid w:val="004366C5"/>
    <w:rsid w:val="0043689A"/>
    <w:rsid w:val="00436AB4"/>
    <w:rsid w:val="00436B24"/>
    <w:rsid w:val="00437796"/>
    <w:rsid w:val="00437ACF"/>
    <w:rsid w:val="00440494"/>
    <w:rsid w:val="004411E7"/>
    <w:rsid w:val="00441DF0"/>
    <w:rsid w:val="00442974"/>
    <w:rsid w:val="00443840"/>
    <w:rsid w:val="00443AC8"/>
    <w:rsid w:val="00443B3B"/>
    <w:rsid w:val="00444BA1"/>
    <w:rsid w:val="00445C8C"/>
    <w:rsid w:val="004462CB"/>
    <w:rsid w:val="00446657"/>
    <w:rsid w:val="00446D5E"/>
    <w:rsid w:val="004474A1"/>
    <w:rsid w:val="0045043F"/>
    <w:rsid w:val="00450CA1"/>
    <w:rsid w:val="0045315F"/>
    <w:rsid w:val="00455338"/>
    <w:rsid w:val="00456769"/>
    <w:rsid w:val="00456888"/>
    <w:rsid w:val="00456EDF"/>
    <w:rsid w:val="0046075E"/>
    <w:rsid w:val="004607F3"/>
    <w:rsid w:val="00460D06"/>
    <w:rsid w:val="00460DB6"/>
    <w:rsid w:val="004612D2"/>
    <w:rsid w:val="004616FB"/>
    <w:rsid w:val="00461E2C"/>
    <w:rsid w:val="00462408"/>
    <w:rsid w:val="00463AAB"/>
    <w:rsid w:val="00463ED2"/>
    <w:rsid w:val="00464181"/>
    <w:rsid w:val="00464509"/>
    <w:rsid w:val="00464677"/>
    <w:rsid w:val="00464961"/>
    <w:rsid w:val="00465EEF"/>
    <w:rsid w:val="00466767"/>
    <w:rsid w:val="00467C92"/>
    <w:rsid w:val="00467F1B"/>
    <w:rsid w:val="00470A5E"/>
    <w:rsid w:val="00471DF8"/>
    <w:rsid w:val="00475756"/>
    <w:rsid w:val="00476925"/>
    <w:rsid w:val="004773BB"/>
    <w:rsid w:val="00477D89"/>
    <w:rsid w:val="00477EEC"/>
    <w:rsid w:val="0048073A"/>
    <w:rsid w:val="00481DE1"/>
    <w:rsid w:val="00482884"/>
    <w:rsid w:val="004832AB"/>
    <w:rsid w:val="00485DBB"/>
    <w:rsid w:val="00485FC0"/>
    <w:rsid w:val="00486720"/>
    <w:rsid w:val="004874B4"/>
    <w:rsid w:val="0048771B"/>
    <w:rsid w:val="00487D96"/>
    <w:rsid w:val="004902B2"/>
    <w:rsid w:val="0049037A"/>
    <w:rsid w:val="004909DA"/>
    <w:rsid w:val="004919F0"/>
    <w:rsid w:val="0049204B"/>
    <w:rsid w:val="00492971"/>
    <w:rsid w:val="00493536"/>
    <w:rsid w:val="00494361"/>
    <w:rsid w:val="0049478E"/>
    <w:rsid w:val="004956A4"/>
    <w:rsid w:val="00497A47"/>
    <w:rsid w:val="004A098B"/>
    <w:rsid w:val="004A16A8"/>
    <w:rsid w:val="004A2F42"/>
    <w:rsid w:val="004A350C"/>
    <w:rsid w:val="004A3706"/>
    <w:rsid w:val="004A3A49"/>
    <w:rsid w:val="004A4F90"/>
    <w:rsid w:val="004A59C2"/>
    <w:rsid w:val="004A65AF"/>
    <w:rsid w:val="004A79AE"/>
    <w:rsid w:val="004B06E2"/>
    <w:rsid w:val="004B0FBB"/>
    <w:rsid w:val="004B4232"/>
    <w:rsid w:val="004B444D"/>
    <w:rsid w:val="004B5007"/>
    <w:rsid w:val="004C042F"/>
    <w:rsid w:val="004C07D6"/>
    <w:rsid w:val="004C1524"/>
    <w:rsid w:val="004C1A3F"/>
    <w:rsid w:val="004C2B7F"/>
    <w:rsid w:val="004C3640"/>
    <w:rsid w:val="004C4096"/>
    <w:rsid w:val="004C50FD"/>
    <w:rsid w:val="004C54F7"/>
    <w:rsid w:val="004C6720"/>
    <w:rsid w:val="004C70A5"/>
    <w:rsid w:val="004C7C3E"/>
    <w:rsid w:val="004D0EF3"/>
    <w:rsid w:val="004D2333"/>
    <w:rsid w:val="004D29EA"/>
    <w:rsid w:val="004D389C"/>
    <w:rsid w:val="004D38C5"/>
    <w:rsid w:val="004D50B4"/>
    <w:rsid w:val="004D5802"/>
    <w:rsid w:val="004D5815"/>
    <w:rsid w:val="004D5D28"/>
    <w:rsid w:val="004D785A"/>
    <w:rsid w:val="004D7F6F"/>
    <w:rsid w:val="004E01E6"/>
    <w:rsid w:val="004E4592"/>
    <w:rsid w:val="004E57D0"/>
    <w:rsid w:val="004E6342"/>
    <w:rsid w:val="004E651D"/>
    <w:rsid w:val="004E6FA4"/>
    <w:rsid w:val="004E707F"/>
    <w:rsid w:val="004E7467"/>
    <w:rsid w:val="004F0DE0"/>
    <w:rsid w:val="004F230D"/>
    <w:rsid w:val="004F2E4C"/>
    <w:rsid w:val="004F7369"/>
    <w:rsid w:val="00500C14"/>
    <w:rsid w:val="00500C45"/>
    <w:rsid w:val="00501EBD"/>
    <w:rsid w:val="005022FD"/>
    <w:rsid w:val="0050244F"/>
    <w:rsid w:val="00504780"/>
    <w:rsid w:val="00505FAA"/>
    <w:rsid w:val="00506C9B"/>
    <w:rsid w:val="005077DF"/>
    <w:rsid w:val="0051049C"/>
    <w:rsid w:val="00512137"/>
    <w:rsid w:val="005129E0"/>
    <w:rsid w:val="00512B7F"/>
    <w:rsid w:val="0051374E"/>
    <w:rsid w:val="00514699"/>
    <w:rsid w:val="00514EE4"/>
    <w:rsid w:val="0051630C"/>
    <w:rsid w:val="005163C1"/>
    <w:rsid w:val="00517135"/>
    <w:rsid w:val="00517B85"/>
    <w:rsid w:val="00520899"/>
    <w:rsid w:val="005219FA"/>
    <w:rsid w:val="00521AC0"/>
    <w:rsid w:val="00523A13"/>
    <w:rsid w:val="00523EFF"/>
    <w:rsid w:val="00524A7A"/>
    <w:rsid w:val="00524E71"/>
    <w:rsid w:val="0052505F"/>
    <w:rsid w:val="00525114"/>
    <w:rsid w:val="00525C59"/>
    <w:rsid w:val="00525D5F"/>
    <w:rsid w:val="00525FA3"/>
    <w:rsid w:val="00526028"/>
    <w:rsid w:val="0052681B"/>
    <w:rsid w:val="00527806"/>
    <w:rsid w:val="00527DEC"/>
    <w:rsid w:val="00530D86"/>
    <w:rsid w:val="00530E04"/>
    <w:rsid w:val="00530E5A"/>
    <w:rsid w:val="00534F10"/>
    <w:rsid w:val="00535F9E"/>
    <w:rsid w:val="00536699"/>
    <w:rsid w:val="005437E9"/>
    <w:rsid w:val="00543B35"/>
    <w:rsid w:val="00543C13"/>
    <w:rsid w:val="0054425A"/>
    <w:rsid w:val="00546EEF"/>
    <w:rsid w:val="00547B57"/>
    <w:rsid w:val="00547CB3"/>
    <w:rsid w:val="00547D47"/>
    <w:rsid w:val="005505D2"/>
    <w:rsid w:val="00550926"/>
    <w:rsid w:val="005509DE"/>
    <w:rsid w:val="00551B5B"/>
    <w:rsid w:val="0055220D"/>
    <w:rsid w:val="00554CE0"/>
    <w:rsid w:val="00555D5A"/>
    <w:rsid w:val="00555F26"/>
    <w:rsid w:val="005563BB"/>
    <w:rsid w:val="00556593"/>
    <w:rsid w:val="0055679E"/>
    <w:rsid w:val="00557479"/>
    <w:rsid w:val="00557FE5"/>
    <w:rsid w:val="00560318"/>
    <w:rsid w:val="00560FD0"/>
    <w:rsid w:val="00561910"/>
    <w:rsid w:val="00563791"/>
    <w:rsid w:val="00563F79"/>
    <w:rsid w:val="005640D5"/>
    <w:rsid w:val="00565193"/>
    <w:rsid w:val="00565C9F"/>
    <w:rsid w:val="00566E77"/>
    <w:rsid w:val="00566F0F"/>
    <w:rsid w:val="00572B57"/>
    <w:rsid w:val="00574FED"/>
    <w:rsid w:val="005772C5"/>
    <w:rsid w:val="00577303"/>
    <w:rsid w:val="005773CB"/>
    <w:rsid w:val="00580CC1"/>
    <w:rsid w:val="00581132"/>
    <w:rsid w:val="005812AC"/>
    <w:rsid w:val="0058266F"/>
    <w:rsid w:val="00582766"/>
    <w:rsid w:val="005842E5"/>
    <w:rsid w:val="00584A1F"/>
    <w:rsid w:val="00584F76"/>
    <w:rsid w:val="0058527F"/>
    <w:rsid w:val="00586FEF"/>
    <w:rsid w:val="00591116"/>
    <w:rsid w:val="00594900"/>
    <w:rsid w:val="00595301"/>
    <w:rsid w:val="00595E79"/>
    <w:rsid w:val="00597EDE"/>
    <w:rsid w:val="005A0595"/>
    <w:rsid w:val="005A0965"/>
    <w:rsid w:val="005A26C1"/>
    <w:rsid w:val="005A5035"/>
    <w:rsid w:val="005A54B0"/>
    <w:rsid w:val="005A6BAA"/>
    <w:rsid w:val="005A6F7C"/>
    <w:rsid w:val="005A7FD0"/>
    <w:rsid w:val="005B060B"/>
    <w:rsid w:val="005B1070"/>
    <w:rsid w:val="005B2442"/>
    <w:rsid w:val="005B268F"/>
    <w:rsid w:val="005B4061"/>
    <w:rsid w:val="005B476F"/>
    <w:rsid w:val="005B4A1C"/>
    <w:rsid w:val="005B4FEB"/>
    <w:rsid w:val="005B5028"/>
    <w:rsid w:val="005B5584"/>
    <w:rsid w:val="005B6DFE"/>
    <w:rsid w:val="005B7A4D"/>
    <w:rsid w:val="005C0FAE"/>
    <w:rsid w:val="005C1913"/>
    <w:rsid w:val="005C1975"/>
    <w:rsid w:val="005C2A26"/>
    <w:rsid w:val="005C460A"/>
    <w:rsid w:val="005C64BC"/>
    <w:rsid w:val="005C677A"/>
    <w:rsid w:val="005C7766"/>
    <w:rsid w:val="005D0BD0"/>
    <w:rsid w:val="005D0CC8"/>
    <w:rsid w:val="005D1CDE"/>
    <w:rsid w:val="005D2051"/>
    <w:rsid w:val="005D20F1"/>
    <w:rsid w:val="005D2905"/>
    <w:rsid w:val="005D2B87"/>
    <w:rsid w:val="005D2F9B"/>
    <w:rsid w:val="005D325D"/>
    <w:rsid w:val="005D339E"/>
    <w:rsid w:val="005D394C"/>
    <w:rsid w:val="005D466C"/>
    <w:rsid w:val="005D55B5"/>
    <w:rsid w:val="005D5C63"/>
    <w:rsid w:val="005D6697"/>
    <w:rsid w:val="005D763C"/>
    <w:rsid w:val="005E09B2"/>
    <w:rsid w:val="005E0FCB"/>
    <w:rsid w:val="005E1AC7"/>
    <w:rsid w:val="005E1D31"/>
    <w:rsid w:val="005E2EB2"/>
    <w:rsid w:val="005E2FA8"/>
    <w:rsid w:val="005E3609"/>
    <w:rsid w:val="005E37E6"/>
    <w:rsid w:val="005E43D8"/>
    <w:rsid w:val="005E4876"/>
    <w:rsid w:val="005E74F0"/>
    <w:rsid w:val="005E7FBC"/>
    <w:rsid w:val="005F0329"/>
    <w:rsid w:val="005F2021"/>
    <w:rsid w:val="005F44FC"/>
    <w:rsid w:val="005F454E"/>
    <w:rsid w:val="005F5A20"/>
    <w:rsid w:val="005F79B4"/>
    <w:rsid w:val="005F7E05"/>
    <w:rsid w:val="00600A52"/>
    <w:rsid w:val="00601555"/>
    <w:rsid w:val="00602958"/>
    <w:rsid w:val="00603A5D"/>
    <w:rsid w:val="00605265"/>
    <w:rsid w:val="00606560"/>
    <w:rsid w:val="006066D8"/>
    <w:rsid w:val="0060775A"/>
    <w:rsid w:val="00607773"/>
    <w:rsid w:val="00610C56"/>
    <w:rsid w:val="0061273A"/>
    <w:rsid w:val="006150BD"/>
    <w:rsid w:val="006162FB"/>
    <w:rsid w:val="0061653C"/>
    <w:rsid w:val="00624720"/>
    <w:rsid w:val="00625544"/>
    <w:rsid w:val="00625AE2"/>
    <w:rsid w:val="00626B24"/>
    <w:rsid w:val="00627388"/>
    <w:rsid w:val="00627C20"/>
    <w:rsid w:val="006306B7"/>
    <w:rsid w:val="006311D0"/>
    <w:rsid w:val="006314CE"/>
    <w:rsid w:val="006316FB"/>
    <w:rsid w:val="00631D32"/>
    <w:rsid w:val="00632906"/>
    <w:rsid w:val="00632B46"/>
    <w:rsid w:val="00633264"/>
    <w:rsid w:val="00634164"/>
    <w:rsid w:val="0063467A"/>
    <w:rsid w:val="00634753"/>
    <w:rsid w:val="00634EDE"/>
    <w:rsid w:val="00635BAD"/>
    <w:rsid w:val="00636D87"/>
    <w:rsid w:val="00637430"/>
    <w:rsid w:val="00637AA1"/>
    <w:rsid w:val="00641480"/>
    <w:rsid w:val="006416E2"/>
    <w:rsid w:val="00642035"/>
    <w:rsid w:val="0064275D"/>
    <w:rsid w:val="00643543"/>
    <w:rsid w:val="00643A78"/>
    <w:rsid w:val="00644D74"/>
    <w:rsid w:val="00644F4D"/>
    <w:rsid w:val="006452EC"/>
    <w:rsid w:val="00646ADE"/>
    <w:rsid w:val="00651598"/>
    <w:rsid w:val="006523F5"/>
    <w:rsid w:val="00652EC9"/>
    <w:rsid w:val="00654522"/>
    <w:rsid w:val="00654B8B"/>
    <w:rsid w:val="00655AF7"/>
    <w:rsid w:val="0066153C"/>
    <w:rsid w:val="00661542"/>
    <w:rsid w:val="00661B26"/>
    <w:rsid w:val="0066261B"/>
    <w:rsid w:val="006629BB"/>
    <w:rsid w:val="006640D5"/>
    <w:rsid w:val="00664FA7"/>
    <w:rsid w:val="00665095"/>
    <w:rsid w:val="006656CF"/>
    <w:rsid w:val="00665E98"/>
    <w:rsid w:val="00666773"/>
    <w:rsid w:val="00666EF9"/>
    <w:rsid w:val="00667BEB"/>
    <w:rsid w:val="0067107B"/>
    <w:rsid w:val="00672BA3"/>
    <w:rsid w:val="006730CB"/>
    <w:rsid w:val="00673A96"/>
    <w:rsid w:val="006800CB"/>
    <w:rsid w:val="00680F49"/>
    <w:rsid w:val="0068144F"/>
    <w:rsid w:val="00683745"/>
    <w:rsid w:val="006857F4"/>
    <w:rsid w:val="00686BDB"/>
    <w:rsid w:val="00687A2A"/>
    <w:rsid w:val="00687B5D"/>
    <w:rsid w:val="00691FA7"/>
    <w:rsid w:val="006946C3"/>
    <w:rsid w:val="00694CDF"/>
    <w:rsid w:val="0069551A"/>
    <w:rsid w:val="00696E0F"/>
    <w:rsid w:val="00696E9A"/>
    <w:rsid w:val="006972A3"/>
    <w:rsid w:val="00697DAF"/>
    <w:rsid w:val="006A10D8"/>
    <w:rsid w:val="006A18C8"/>
    <w:rsid w:val="006A195A"/>
    <w:rsid w:val="006A243D"/>
    <w:rsid w:val="006A24F1"/>
    <w:rsid w:val="006A2708"/>
    <w:rsid w:val="006A329B"/>
    <w:rsid w:val="006A4856"/>
    <w:rsid w:val="006A7443"/>
    <w:rsid w:val="006A7A6D"/>
    <w:rsid w:val="006B3066"/>
    <w:rsid w:val="006B3A50"/>
    <w:rsid w:val="006B4074"/>
    <w:rsid w:val="006B48E0"/>
    <w:rsid w:val="006B6C76"/>
    <w:rsid w:val="006B6D0C"/>
    <w:rsid w:val="006C0A34"/>
    <w:rsid w:val="006C18EA"/>
    <w:rsid w:val="006C2E35"/>
    <w:rsid w:val="006C39FE"/>
    <w:rsid w:val="006C476D"/>
    <w:rsid w:val="006C4BC4"/>
    <w:rsid w:val="006C4ECB"/>
    <w:rsid w:val="006C4FC4"/>
    <w:rsid w:val="006C7E71"/>
    <w:rsid w:val="006D0395"/>
    <w:rsid w:val="006D06E3"/>
    <w:rsid w:val="006D0BE5"/>
    <w:rsid w:val="006D0BEE"/>
    <w:rsid w:val="006D2C87"/>
    <w:rsid w:val="006D4555"/>
    <w:rsid w:val="006D51DF"/>
    <w:rsid w:val="006D794A"/>
    <w:rsid w:val="006D7D85"/>
    <w:rsid w:val="006D7DA7"/>
    <w:rsid w:val="006E0786"/>
    <w:rsid w:val="006E1615"/>
    <w:rsid w:val="006E1EBC"/>
    <w:rsid w:val="006E2136"/>
    <w:rsid w:val="006E2F03"/>
    <w:rsid w:val="006E3D87"/>
    <w:rsid w:val="006E627B"/>
    <w:rsid w:val="006E7278"/>
    <w:rsid w:val="006E75E7"/>
    <w:rsid w:val="006E7A89"/>
    <w:rsid w:val="006F144E"/>
    <w:rsid w:val="006F175A"/>
    <w:rsid w:val="006F272B"/>
    <w:rsid w:val="006F2AE5"/>
    <w:rsid w:val="006F3D2E"/>
    <w:rsid w:val="006F3DA3"/>
    <w:rsid w:val="006F40C9"/>
    <w:rsid w:val="006F5D74"/>
    <w:rsid w:val="006F6A79"/>
    <w:rsid w:val="00700765"/>
    <w:rsid w:val="00702C8D"/>
    <w:rsid w:val="007038C7"/>
    <w:rsid w:val="007054CC"/>
    <w:rsid w:val="00705569"/>
    <w:rsid w:val="007055A5"/>
    <w:rsid w:val="00705E13"/>
    <w:rsid w:val="00710578"/>
    <w:rsid w:val="00713477"/>
    <w:rsid w:val="00713999"/>
    <w:rsid w:val="007157D3"/>
    <w:rsid w:val="00715F46"/>
    <w:rsid w:val="00717BB1"/>
    <w:rsid w:val="00720534"/>
    <w:rsid w:val="00720592"/>
    <w:rsid w:val="00720F69"/>
    <w:rsid w:val="007212F0"/>
    <w:rsid w:val="007215AD"/>
    <w:rsid w:val="007217F3"/>
    <w:rsid w:val="00722518"/>
    <w:rsid w:val="00722A06"/>
    <w:rsid w:val="00730602"/>
    <w:rsid w:val="007310B9"/>
    <w:rsid w:val="00731640"/>
    <w:rsid w:val="007318B5"/>
    <w:rsid w:val="007324C1"/>
    <w:rsid w:val="00732FE1"/>
    <w:rsid w:val="00733729"/>
    <w:rsid w:val="00734448"/>
    <w:rsid w:val="00734893"/>
    <w:rsid w:val="00734E3B"/>
    <w:rsid w:val="00735449"/>
    <w:rsid w:val="007357DC"/>
    <w:rsid w:val="007358A3"/>
    <w:rsid w:val="007361FD"/>
    <w:rsid w:val="00737190"/>
    <w:rsid w:val="00740C98"/>
    <w:rsid w:val="00740E9E"/>
    <w:rsid w:val="007410A0"/>
    <w:rsid w:val="0074168B"/>
    <w:rsid w:val="00742217"/>
    <w:rsid w:val="0074454D"/>
    <w:rsid w:val="00745310"/>
    <w:rsid w:val="0074594F"/>
    <w:rsid w:val="007464B0"/>
    <w:rsid w:val="00746F74"/>
    <w:rsid w:val="00747AEF"/>
    <w:rsid w:val="0075070B"/>
    <w:rsid w:val="007519FB"/>
    <w:rsid w:val="00753E12"/>
    <w:rsid w:val="007551CA"/>
    <w:rsid w:val="00756AEC"/>
    <w:rsid w:val="00756CDD"/>
    <w:rsid w:val="00757229"/>
    <w:rsid w:val="00757CC0"/>
    <w:rsid w:val="00757D0F"/>
    <w:rsid w:val="00757EC9"/>
    <w:rsid w:val="0076289A"/>
    <w:rsid w:val="007660FD"/>
    <w:rsid w:val="00766EC7"/>
    <w:rsid w:val="00770DDB"/>
    <w:rsid w:val="00772153"/>
    <w:rsid w:val="007724D8"/>
    <w:rsid w:val="00772A8A"/>
    <w:rsid w:val="00774860"/>
    <w:rsid w:val="00777F7F"/>
    <w:rsid w:val="00782980"/>
    <w:rsid w:val="007829A2"/>
    <w:rsid w:val="00783650"/>
    <w:rsid w:val="00783A2E"/>
    <w:rsid w:val="00784FA2"/>
    <w:rsid w:val="00786817"/>
    <w:rsid w:val="00786A73"/>
    <w:rsid w:val="00786C04"/>
    <w:rsid w:val="00786F01"/>
    <w:rsid w:val="007875DF"/>
    <w:rsid w:val="007876F9"/>
    <w:rsid w:val="0079058E"/>
    <w:rsid w:val="00790B0E"/>
    <w:rsid w:val="00791C1A"/>
    <w:rsid w:val="00792F8F"/>
    <w:rsid w:val="0079316E"/>
    <w:rsid w:val="007931D3"/>
    <w:rsid w:val="00795551"/>
    <w:rsid w:val="00796236"/>
    <w:rsid w:val="007A2D9C"/>
    <w:rsid w:val="007A3058"/>
    <w:rsid w:val="007A59E5"/>
    <w:rsid w:val="007A6A31"/>
    <w:rsid w:val="007A7B53"/>
    <w:rsid w:val="007B0D98"/>
    <w:rsid w:val="007B1EFF"/>
    <w:rsid w:val="007B339F"/>
    <w:rsid w:val="007B7441"/>
    <w:rsid w:val="007B7E3A"/>
    <w:rsid w:val="007C164E"/>
    <w:rsid w:val="007C404B"/>
    <w:rsid w:val="007C494A"/>
    <w:rsid w:val="007C5A21"/>
    <w:rsid w:val="007C7FF3"/>
    <w:rsid w:val="007D03D1"/>
    <w:rsid w:val="007D053D"/>
    <w:rsid w:val="007D0DA4"/>
    <w:rsid w:val="007D0DA6"/>
    <w:rsid w:val="007D1B2A"/>
    <w:rsid w:val="007D1F75"/>
    <w:rsid w:val="007D231F"/>
    <w:rsid w:val="007D32B7"/>
    <w:rsid w:val="007D523A"/>
    <w:rsid w:val="007D6387"/>
    <w:rsid w:val="007D64A7"/>
    <w:rsid w:val="007D6B3C"/>
    <w:rsid w:val="007E1305"/>
    <w:rsid w:val="007E4120"/>
    <w:rsid w:val="007E6388"/>
    <w:rsid w:val="007F114B"/>
    <w:rsid w:val="007F11D6"/>
    <w:rsid w:val="007F2877"/>
    <w:rsid w:val="007F2D16"/>
    <w:rsid w:val="007F3A2F"/>
    <w:rsid w:val="007F4185"/>
    <w:rsid w:val="007F490C"/>
    <w:rsid w:val="007F51D2"/>
    <w:rsid w:val="007F5227"/>
    <w:rsid w:val="007F5D04"/>
    <w:rsid w:val="007F6EA9"/>
    <w:rsid w:val="007F77D3"/>
    <w:rsid w:val="007F7CAE"/>
    <w:rsid w:val="00800147"/>
    <w:rsid w:val="00800DD5"/>
    <w:rsid w:val="00801703"/>
    <w:rsid w:val="00801FA1"/>
    <w:rsid w:val="008020C4"/>
    <w:rsid w:val="00802140"/>
    <w:rsid w:val="0080349D"/>
    <w:rsid w:val="00805A58"/>
    <w:rsid w:val="00805AC0"/>
    <w:rsid w:val="0080699D"/>
    <w:rsid w:val="00810A91"/>
    <w:rsid w:val="00811FCD"/>
    <w:rsid w:val="00812A7C"/>
    <w:rsid w:val="008130D0"/>
    <w:rsid w:val="00813BB6"/>
    <w:rsid w:val="00814F01"/>
    <w:rsid w:val="008177BE"/>
    <w:rsid w:val="008204D5"/>
    <w:rsid w:val="008224E7"/>
    <w:rsid w:val="00822F9E"/>
    <w:rsid w:val="00825090"/>
    <w:rsid w:val="00825E24"/>
    <w:rsid w:val="0082654C"/>
    <w:rsid w:val="0082676E"/>
    <w:rsid w:val="0082689C"/>
    <w:rsid w:val="00826B15"/>
    <w:rsid w:val="00827FA0"/>
    <w:rsid w:val="00831B9C"/>
    <w:rsid w:val="00831C69"/>
    <w:rsid w:val="00833212"/>
    <w:rsid w:val="00834E06"/>
    <w:rsid w:val="00835725"/>
    <w:rsid w:val="00835A5F"/>
    <w:rsid w:val="0083691D"/>
    <w:rsid w:val="008409BC"/>
    <w:rsid w:val="00840BAD"/>
    <w:rsid w:val="00841484"/>
    <w:rsid w:val="00841A56"/>
    <w:rsid w:val="0084214B"/>
    <w:rsid w:val="008431EB"/>
    <w:rsid w:val="00844293"/>
    <w:rsid w:val="008443EA"/>
    <w:rsid w:val="00847FE5"/>
    <w:rsid w:val="0085268B"/>
    <w:rsid w:val="00854134"/>
    <w:rsid w:val="0085416B"/>
    <w:rsid w:val="0085470C"/>
    <w:rsid w:val="008568B8"/>
    <w:rsid w:val="00856C62"/>
    <w:rsid w:val="00857B5A"/>
    <w:rsid w:val="00861380"/>
    <w:rsid w:val="008613DE"/>
    <w:rsid w:val="00863F96"/>
    <w:rsid w:val="00864215"/>
    <w:rsid w:val="008677FC"/>
    <w:rsid w:val="008708A5"/>
    <w:rsid w:val="00870C7A"/>
    <w:rsid w:val="00871F94"/>
    <w:rsid w:val="00872DA2"/>
    <w:rsid w:val="00874BD4"/>
    <w:rsid w:val="00874C6E"/>
    <w:rsid w:val="00875526"/>
    <w:rsid w:val="008755E8"/>
    <w:rsid w:val="00875E9B"/>
    <w:rsid w:val="008769C5"/>
    <w:rsid w:val="00876A28"/>
    <w:rsid w:val="00884698"/>
    <w:rsid w:val="008853C5"/>
    <w:rsid w:val="00885B9E"/>
    <w:rsid w:val="0088609F"/>
    <w:rsid w:val="00886167"/>
    <w:rsid w:val="008861FD"/>
    <w:rsid w:val="00886670"/>
    <w:rsid w:val="00886C33"/>
    <w:rsid w:val="008908BE"/>
    <w:rsid w:val="00890D4D"/>
    <w:rsid w:val="008919ED"/>
    <w:rsid w:val="00891DA5"/>
    <w:rsid w:val="00892D63"/>
    <w:rsid w:val="00893606"/>
    <w:rsid w:val="00896938"/>
    <w:rsid w:val="00897148"/>
    <w:rsid w:val="008978CF"/>
    <w:rsid w:val="00897D13"/>
    <w:rsid w:val="008A089A"/>
    <w:rsid w:val="008A2B11"/>
    <w:rsid w:val="008A2B69"/>
    <w:rsid w:val="008A5B46"/>
    <w:rsid w:val="008A6978"/>
    <w:rsid w:val="008A6A61"/>
    <w:rsid w:val="008A73BF"/>
    <w:rsid w:val="008A7827"/>
    <w:rsid w:val="008A7EBE"/>
    <w:rsid w:val="008B143E"/>
    <w:rsid w:val="008B2C94"/>
    <w:rsid w:val="008B3F63"/>
    <w:rsid w:val="008B42F9"/>
    <w:rsid w:val="008B4BAD"/>
    <w:rsid w:val="008B5158"/>
    <w:rsid w:val="008B6A5B"/>
    <w:rsid w:val="008B6C6A"/>
    <w:rsid w:val="008B7EFB"/>
    <w:rsid w:val="008C1BD8"/>
    <w:rsid w:val="008C2C73"/>
    <w:rsid w:val="008C4F7B"/>
    <w:rsid w:val="008C54FD"/>
    <w:rsid w:val="008C7581"/>
    <w:rsid w:val="008C77F6"/>
    <w:rsid w:val="008D0124"/>
    <w:rsid w:val="008D0332"/>
    <w:rsid w:val="008D15F4"/>
    <w:rsid w:val="008D2911"/>
    <w:rsid w:val="008D29CD"/>
    <w:rsid w:val="008D4628"/>
    <w:rsid w:val="008D471B"/>
    <w:rsid w:val="008D5B77"/>
    <w:rsid w:val="008D6167"/>
    <w:rsid w:val="008D6259"/>
    <w:rsid w:val="008D63B6"/>
    <w:rsid w:val="008D766A"/>
    <w:rsid w:val="008E15D1"/>
    <w:rsid w:val="008E1833"/>
    <w:rsid w:val="008E2BDA"/>
    <w:rsid w:val="008E40C4"/>
    <w:rsid w:val="008E4BAB"/>
    <w:rsid w:val="008F04BB"/>
    <w:rsid w:val="008F0A95"/>
    <w:rsid w:val="008F1ADE"/>
    <w:rsid w:val="008F264F"/>
    <w:rsid w:val="008F2A53"/>
    <w:rsid w:val="008F2FBD"/>
    <w:rsid w:val="008F34D8"/>
    <w:rsid w:val="008F3C9E"/>
    <w:rsid w:val="008F47C9"/>
    <w:rsid w:val="008F54C5"/>
    <w:rsid w:val="008F59B8"/>
    <w:rsid w:val="008F6679"/>
    <w:rsid w:val="008F69FE"/>
    <w:rsid w:val="008F74CC"/>
    <w:rsid w:val="008F7686"/>
    <w:rsid w:val="009001DA"/>
    <w:rsid w:val="00900385"/>
    <w:rsid w:val="0090178D"/>
    <w:rsid w:val="009023BF"/>
    <w:rsid w:val="00902C43"/>
    <w:rsid w:val="00903623"/>
    <w:rsid w:val="00903C14"/>
    <w:rsid w:val="00904E5E"/>
    <w:rsid w:val="00905056"/>
    <w:rsid w:val="009059B5"/>
    <w:rsid w:val="00906099"/>
    <w:rsid w:val="00910CBC"/>
    <w:rsid w:val="0091115A"/>
    <w:rsid w:val="009137B7"/>
    <w:rsid w:val="009145D7"/>
    <w:rsid w:val="00915217"/>
    <w:rsid w:val="009153E0"/>
    <w:rsid w:val="009156C7"/>
    <w:rsid w:val="009160A8"/>
    <w:rsid w:val="00916DD6"/>
    <w:rsid w:val="00916F1D"/>
    <w:rsid w:val="00920715"/>
    <w:rsid w:val="00920D8E"/>
    <w:rsid w:val="00921002"/>
    <w:rsid w:val="0092307F"/>
    <w:rsid w:val="009235C9"/>
    <w:rsid w:val="00923A0E"/>
    <w:rsid w:val="00923C51"/>
    <w:rsid w:val="009257F6"/>
    <w:rsid w:val="00927680"/>
    <w:rsid w:val="00927F89"/>
    <w:rsid w:val="00927F93"/>
    <w:rsid w:val="009308C9"/>
    <w:rsid w:val="00931530"/>
    <w:rsid w:val="00932494"/>
    <w:rsid w:val="009324E4"/>
    <w:rsid w:val="00932519"/>
    <w:rsid w:val="00934D52"/>
    <w:rsid w:val="0093548A"/>
    <w:rsid w:val="0093634E"/>
    <w:rsid w:val="009363A2"/>
    <w:rsid w:val="0093655F"/>
    <w:rsid w:val="00936789"/>
    <w:rsid w:val="0093706A"/>
    <w:rsid w:val="009378EC"/>
    <w:rsid w:val="009379E6"/>
    <w:rsid w:val="00937DE7"/>
    <w:rsid w:val="009409E6"/>
    <w:rsid w:val="00940BCC"/>
    <w:rsid w:val="00941A45"/>
    <w:rsid w:val="00944A10"/>
    <w:rsid w:val="009459D6"/>
    <w:rsid w:val="00945D67"/>
    <w:rsid w:val="009469B6"/>
    <w:rsid w:val="00947A64"/>
    <w:rsid w:val="00947C43"/>
    <w:rsid w:val="00950D3B"/>
    <w:rsid w:val="00951060"/>
    <w:rsid w:val="00953273"/>
    <w:rsid w:val="00953417"/>
    <w:rsid w:val="00953758"/>
    <w:rsid w:val="009556F7"/>
    <w:rsid w:val="00955AED"/>
    <w:rsid w:val="0095673A"/>
    <w:rsid w:val="0096057B"/>
    <w:rsid w:val="00960B12"/>
    <w:rsid w:val="009616EC"/>
    <w:rsid w:val="00963650"/>
    <w:rsid w:val="00963653"/>
    <w:rsid w:val="00963800"/>
    <w:rsid w:val="0096381D"/>
    <w:rsid w:val="009653E8"/>
    <w:rsid w:val="00965460"/>
    <w:rsid w:val="00965B02"/>
    <w:rsid w:val="009665CE"/>
    <w:rsid w:val="009673F2"/>
    <w:rsid w:val="00967664"/>
    <w:rsid w:val="00967A43"/>
    <w:rsid w:val="00970263"/>
    <w:rsid w:val="009704B4"/>
    <w:rsid w:val="00970D2E"/>
    <w:rsid w:val="00971BF0"/>
    <w:rsid w:val="00972D14"/>
    <w:rsid w:val="009734C9"/>
    <w:rsid w:val="009741CD"/>
    <w:rsid w:val="00974913"/>
    <w:rsid w:val="00974B05"/>
    <w:rsid w:val="00975ABE"/>
    <w:rsid w:val="00975AE6"/>
    <w:rsid w:val="0097698F"/>
    <w:rsid w:val="0098040C"/>
    <w:rsid w:val="00981368"/>
    <w:rsid w:val="00981EED"/>
    <w:rsid w:val="0098538B"/>
    <w:rsid w:val="00985674"/>
    <w:rsid w:val="00990328"/>
    <w:rsid w:val="00992A5D"/>
    <w:rsid w:val="009948B3"/>
    <w:rsid w:val="009974BC"/>
    <w:rsid w:val="009974E8"/>
    <w:rsid w:val="009A5755"/>
    <w:rsid w:val="009A701C"/>
    <w:rsid w:val="009A7DCF"/>
    <w:rsid w:val="009B0BA6"/>
    <w:rsid w:val="009B0DBF"/>
    <w:rsid w:val="009B1FA1"/>
    <w:rsid w:val="009B2A54"/>
    <w:rsid w:val="009B2E92"/>
    <w:rsid w:val="009B5E2C"/>
    <w:rsid w:val="009B632C"/>
    <w:rsid w:val="009B7078"/>
    <w:rsid w:val="009C1FCA"/>
    <w:rsid w:val="009C3AE3"/>
    <w:rsid w:val="009C3D0F"/>
    <w:rsid w:val="009C3EF2"/>
    <w:rsid w:val="009C4EA8"/>
    <w:rsid w:val="009C632C"/>
    <w:rsid w:val="009C77F7"/>
    <w:rsid w:val="009D1B37"/>
    <w:rsid w:val="009D2F89"/>
    <w:rsid w:val="009D3F9D"/>
    <w:rsid w:val="009D4ACC"/>
    <w:rsid w:val="009D57FA"/>
    <w:rsid w:val="009D59A1"/>
    <w:rsid w:val="009D665B"/>
    <w:rsid w:val="009D7C5B"/>
    <w:rsid w:val="009E1602"/>
    <w:rsid w:val="009E1D2F"/>
    <w:rsid w:val="009E1D5C"/>
    <w:rsid w:val="009E2162"/>
    <w:rsid w:val="009E2687"/>
    <w:rsid w:val="009E33BB"/>
    <w:rsid w:val="009E665B"/>
    <w:rsid w:val="009E68FD"/>
    <w:rsid w:val="009E7D66"/>
    <w:rsid w:val="009F09AD"/>
    <w:rsid w:val="009F0A4F"/>
    <w:rsid w:val="009F31BB"/>
    <w:rsid w:val="009F3273"/>
    <w:rsid w:val="009F3302"/>
    <w:rsid w:val="009F3B81"/>
    <w:rsid w:val="009F3D64"/>
    <w:rsid w:val="009F4BD9"/>
    <w:rsid w:val="009F50CF"/>
    <w:rsid w:val="009F54A4"/>
    <w:rsid w:val="009F6628"/>
    <w:rsid w:val="009F685A"/>
    <w:rsid w:val="009F6DDF"/>
    <w:rsid w:val="009F7106"/>
    <w:rsid w:val="00A001E7"/>
    <w:rsid w:val="00A00C20"/>
    <w:rsid w:val="00A0114C"/>
    <w:rsid w:val="00A01A88"/>
    <w:rsid w:val="00A02128"/>
    <w:rsid w:val="00A04E1A"/>
    <w:rsid w:val="00A06D74"/>
    <w:rsid w:val="00A1017E"/>
    <w:rsid w:val="00A1055F"/>
    <w:rsid w:val="00A132DA"/>
    <w:rsid w:val="00A13ED1"/>
    <w:rsid w:val="00A1431A"/>
    <w:rsid w:val="00A1453D"/>
    <w:rsid w:val="00A160A3"/>
    <w:rsid w:val="00A178CE"/>
    <w:rsid w:val="00A17927"/>
    <w:rsid w:val="00A17DD8"/>
    <w:rsid w:val="00A2070E"/>
    <w:rsid w:val="00A20C79"/>
    <w:rsid w:val="00A23F01"/>
    <w:rsid w:val="00A24157"/>
    <w:rsid w:val="00A24675"/>
    <w:rsid w:val="00A24E66"/>
    <w:rsid w:val="00A250F4"/>
    <w:rsid w:val="00A25F59"/>
    <w:rsid w:val="00A26708"/>
    <w:rsid w:val="00A27D46"/>
    <w:rsid w:val="00A30867"/>
    <w:rsid w:val="00A32659"/>
    <w:rsid w:val="00A32D5E"/>
    <w:rsid w:val="00A350ED"/>
    <w:rsid w:val="00A358DE"/>
    <w:rsid w:val="00A35B95"/>
    <w:rsid w:val="00A361CB"/>
    <w:rsid w:val="00A36C97"/>
    <w:rsid w:val="00A36F66"/>
    <w:rsid w:val="00A40FC1"/>
    <w:rsid w:val="00A41A20"/>
    <w:rsid w:val="00A41EED"/>
    <w:rsid w:val="00A42116"/>
    <w:rsid w:val="00A426DF"/>
    <w:rsid w:val="00A42D5C"/>
    <w:rsid w:val="00A42E82"/>
    <w:rsid w:val="00A44AE7"/>
    <w:rsid w:val="00A44CC8"/>
    <w:rsid w:val="00A45610"/>
    <w:rsid w:val="00A456D0"/>
    <w:rsid w:val="00A50FBA"/>
    <w:rsid w:val="00A51C06"/>
    <w:rsid w:val="00A533AA"/>
    <w:rsid w:val="00A53F5D"/>
    <w:rsid w:val="00A54386"/>
    <w:rsid w:val="00A55378"/>
    <w:rsid w:val="00A55D47"/>
    <w:rsid w:val="00A57565"/>
    <w:rsid w:val="00A576D4"/>
    <w:rsid w:val="00A60B49"/>
    <w:rsid w:val="00A623A1"/>
    <w:rsid w:val="00A629C8"/>
    <w:rsid w:val="00A63A5A"/>
    <w:rsid w:val="00A6400B"/>
    <w:rsid w:val="00A64284"/>
    <w:rsid w:val="00A64A1F"/>
    <w:rsid w:val="00A64B9D"/>
    <w:rsid w:val="00A64CE7"/>
    <w:rsid w:val="00A657E7"/>
    <w:rsid w:val="00A666A9"/>
    <w:rsid w:val="00A66843"/>
    <w:rsid w:val="00A678D4"/>
    <w:rsid w:val="00A70068"/>
    <w:rsid w:val="00A70CE4"/>
    <w:rsid w:val="00A70D2D"/>
    <w:rsid w:val="00A7565E"/>
    <w:rsid w:val="00A7608E"/>
    <w:rsid w:val="00A7646D"/>
    <w:rsid w:val="00A76623"/>
    <w:rsid w:val="00A766BB"/>
    <w:rsid w:val="00A80F93"/>
    <w:rsid w:val="00A81AB0"/>
    <w:rsid w:val="00A8376D"/>
    <w:rsid w:val="00A85186"/>
    <w:rsid w:val="00A85B9D"/>
    <w:rsid w:val="00A87024"/>
    <w:rsid w:val="00A87F57"/>
    <w:rsid w:val="00A90C8B"/>
    <w:rsid w:val="00A9100E"/>
    <w:rsid w:val="00A910C0"/>
    <w:rsid w:val="00A9179F"/>
    <w:rsid w:val="00A94399"/>
    <w:rsid w:val="00A95822"/>
    <w:rsid w:val="00A95A11"/>
    <w:rsid w:val="00A96890"/>
    <w:rsid w:val="00A96FEF"/>
    <w:rsid w:val="00AA0BBC"/>
    <w:rsid w:val="00AA1346"/>
    <w:rsid w:val="00AA2478"/>
    <w:rsid w:val="00AA59E6"/>
    <w:rsid w:val="00AA5B72"/>
    <w:rsid w:val="00AA5E12"/>
    <w:rsid w:val="00AA7E16"/>
    <w:rsid w:val="00AB0ECF"/>
    <w:rsid w:val="00AB14CD"/>
    <w:rsid w:val="00AB1BCC"/>
    <w:rsid w:val="00AB1D84"/>
    <w:rsid w:val="00AB1F22"/>
    <w:rsid w:val="00AB3E3E"/>
    <w:rsid w:val="00AB5F01"/>
    <w:rsid w:val="00AB617D"/>
    <w:rsid w:val="00AB62D4"/>
    <w:rsid w:val="00AB65FC"/>
    <w:rsid w:val="00AB7402"/>
    <w:rsid w:val="00AC052A"/>
    <w:rsid w:val="00AC064E"/>
    <w:rsid w:val="00AC0B7C"/>
    <w:rsid w:val="00AC0F8B"/>
    <w:rsid w:val="00AC2B85"/>
    <w:rsid w:val="00AC328A"/>
    <w:rsid w:val="00AC336C"/>
    <w:rsid w:val="00AC38A5"/>
    <w:rsid w:val="00AC4761"/>
    <w:rsid w:val="00AC4812"/>
    <w:rsid w:val="00AC6528"/>
    <w:rsid w:val="00AC6BF6"/>
    <w:rsid w:val="00AC765F"/>
    <w:rsid w:val="00AC7E76"/>
    <w:rsid w:val="00AC7F9B"/>
    <w:rsid w:val="00AD1FB3"/>
    <w:rsid w:val="00AD2626"/>
    <w:rsid w:val="00AD2B99"/>
    <w:rsid w:val="00AD3567"/>
    <w:rsid w:val="00AD3EC4"/>
    <w:rsid w:val="00AD5DAF"/>
    <w:rsid w:val="00AD5EE2"/>
    <w:rsid w:val="00AE0F1F"/>
    <w:rsid w:val="00AE115C"/>
    <w:rsid w:val="00AE1332"/>
    <w:rsid w:val="00AE133F"/>
    <w:rsid w:val="00AE2C30"/>
    <w:rsid w:val="00AE3A09"/>
    <w:rsid w:val="00AE46F1"/>
    <w:rsid w:val="00AE4D70"/>
    <w:rsid w:val="00AE63F1"/>
    <w:rsid w:val="00AF0A6D"/>
    <w:rsid w:val="00AF3122"/>
    <w:rsid w:val="00AF3A2A"/>
    <w:rsid w:val="00AF46B4"/>
    <w:rsid w:val="00AF481D"/>
    <w:rsid w:val="00AF5536"/>
    <w:rsid w:val="00AF6FD1"/>
    <w:rsid w:val="00AF7469"/>
    <w:rsid w:val="00AF746B"/>
    <w:rsid w:val="00B0213E"/>
    <w:rsid w:val="00B04107"/>
    <w:rsid w:val="00B043A9"/>
    <w:rsid w:val="00B05003"/>
    <w:rsid w:val="00B05FA9"/>
    <w:rsid w:val="00B0617D"/>
    <w:rsid w:val="00B101A0"/>
    <w:rsid w:val="00B11A7B"/>
    <w:rsid w:val="00B12B11"/>
    <w:rsid w:val="00B12F22"/>
    <w:rsid w:val="00B13AEB"/>
    <w:rsid w:val="00B14642"/>
    <w:rsid w:val="00B14EC9"/>
    <w:rsid w:val="00B14ECF"/>
    <w:rsid w:val="00B162D4"/>
    <w:rsid w:val="00B172BE"/>
    <w:rsid w:val="00B17ECF"/>
    <w:rsid w:val="00B2001A"/>
    <w:rsid w:val="00B203F1"/>
    <w:rsid w:val="00B21BD7"/>
    <w:rsid w:val="00B22807"/>
    <w:rsid w:val="00B23531"/>
    <w:rsid w:val="00B251CC"/>
    <w:rsid w:val="00B251FD"/>
    <w:rsid w:val="00B26E6E"/>
    <w:rsid w:val="00B276B0"/>
    <w:rsid w:val="00B31572"/>
    <w:rsid w:val="00B31E29"/>
    <w:rsid w:val="00B32570"/>
    <w:rsid w:val="00B32AB1"/>
    <w:rsid w:val="00B33478"/>
    <w:rsid w:val="00B33CEF"/>
    <w:rsid w:val="00B340F2"/>
    <w:rsid w:val="00B34692"/>
    <w:rsid w:val="00B347FB"/>
    <w:rsid w:val="00B36F72"/>
    <w:rsid w:val="00B37079"/>
    <w:rsid w:val="00B41D1E"/>
    <w:rsid w:val="00B42D7C"/>
    <w:rsid w:val="00B46F36"/>
    <w:rsid w:val="00B50213"/>
    <w:rsid w:val="00B51B56"/>
    <w:rsid w:val="00B51CE8"/>
    <w:rsid w:val="00B52727"/>
    <w:rsid w:val="00B527B6"/>
    <w:rsid w:val="00B56084"/>
    <w:rsid w:val="00B57095"/>
    <w:rsid w:val="00B57D7D"/>
    <w:rsid w:val="00B60EBB"/>
    <w:rsid w:val="00B61475"/>
    <w:rsid w:val="00B615BE"/>
    <w:rsid w:val="00B61CF2"/>
    <w:rsid w:val="00B62DB5"/>
    <w:rsid w:val="00B65886"/>
    <w:rsid w:val="00B7083D"/>
    <w:rsid w:val="00B70BF6"/>
    <w:rsid w:val="00B733E5"/>
    <w:rsid w:val="00B73D5D"/>
    <w:rsid w:val="00B750DC"/>
    <w:rsid w:val="00B76D3E"/>
    <w:rsid w:val="00B76FE6"/>
    <w:rsid w:val="00B77B36"/>
    <w:rsid w:val="00B80FE0"/>
    <w:rsid w:val="00B81E5E"/>
    <w:rsid w:val="00B83507"/>
    <w:rsid w:val="00B83F45"/>
    <w:rsid w:val="00B84AD5"/>
    <w:rsid w:val="00B85859"/>
    <w:rsid w:val="00B8666E"/>
    <w:rsid w:val="00B86DE4"/>
    <w:rsid w:val="00B86EC0"/>
    <w:rsid w:val="00B87881"/>
    <w:rsid w:val="00B91781"/>
    <w:rsid w:val="00B91911"/>
    <w:rsid w:val="00B920C7"/>
    <w:rsid w:val="00B92122"/>
    <w:rsid w:val="00B922B2"/>
    <w:rsid w:val="00B9255F"/>
    <w:rsid w:val="00B92CF7"/>
    <w:rsid w:val="00B9428B"/>
    <w:rsid w:val="00B96675"/>
    <w:rsid w:val="00BA080B"/>
    <w:rsid w:val="00BA4E9B"/>
    <w:rsid w:val="00BA5765"/>
    <w:rsid w:val="00BA5CD8"/>
    <w:rsid w:val="00BA5ECA"/>
    <w:rsid w:val="00BA7198"/>
    <w:rsid w:val="00BB2406"/>
    <w:rsid w:val="00BB264F"/>
    <w:rsid w:val="00BB2D73"/>
    <w:rsid w:val="00BB43F0"/>
    <w:rsid w:val="00BB4F34"/>
    <w:rsid w:val="00BB5002"/>
    <w:rsid w:val="00BB7CED"/>
    <w:rsid w:val="00BB7F25"/>
    <w:rsid w:val="00BC01D3"/>
    <w:rsid w:val="00BC14BB"/>
    <w:rsid w:val="00BC15DB"/>
    <w:rsid w:val="00BC2C1D"/>
    <w:rsid w:val="00BC3FD8"/>
    <w:rsid w:val="00BC4D7F"/>
    <w:rsid w:val="00BC5438"/>
    <w:rsid w:val="00BC7EE9"/>
    <w:rsid w:val="00BD0935"/>
    <w:rsid w:val="00BD113E"/>
    <w:rsid w:val="00BD4002"/>
    <w:rsid w:val="00BD441E"/>
    <w:rsid w:val="00BD5995"/>
    <w:rsid w:val="00BD67C9"/>
    <w:rsid w:val="00BD6F42"/>
    <w:rsid w:val="00BD7669"/>
    <w:rsid w:val="00BD7766"/>
    <w:rsid w:val="00BE0045"/>
    <w:rsid w:val="00BE0630"/>
    <w:rsid w:val="00BE2478"/>
    <w:rsid w:val="00BE3875"/>
    <w:rsid w:val="00BE3F79"/>
    <w:rsid w:val="00BE6253"/>
    <w:rsid w:val="00BE6913"/>
    <w:rsid w:val="00BF1A20"/>
    <w:rsid w:val="00BF27B4"/>
    <w:rsid w:val="00BF5653"/>
    <w:rsid w:val="00BF759D"/>
    <w:rsid w:val="00BF7F5B"/>
    <w:rsid w:val="00C00E95"/>
    <w:rsid w:val="00C04949"/>
    <w:rsid w:val="00C06125"/>
    <w:rsid w:val="00C061D7"/>
    <w:rsid w:val="00C06769"/>
    <w:rsid w:val="00C124DC"/>
    <w:rsid w:val="00C12C56"/>
    <w:rsid w:val="00C12E40"/>
    <w:rsid w:val="00C136B2"/>
    <w:rsid w:val="00C13BF0"/>
    <w:rsid w:val="00C16FBF"/>
    <w:rsid w:val="00C20528"/>
    <w:rsid w:val="00C22DBF"/>
    <w:rsid w:val="00C23055"/>
    <w:rsid w:val="00C23A7B"/>
    <w:rsid w:val="00C2425A"/>
    <w:rsid w:val="00C24D81"/>
    <w:rsid w:val="00C25249"/>
    <w:rsid w:val="00C255C4"/>
    <w:rsid w:val="00C25833"/>
    <w:rsid w:val="00C2688C"/>
    <w:rsid w:val="00C26960"/>
    <w:rsid w:val="00C27B68"/>
    <w:rsid w:val="00C306DA"/>
    <w:rsid w:val="00C319B5"/>
    <w:rsid w:val="00C34B45"/>
    <w:rsid w:val="00C357D0"/>
    <w:rsid w:val="00C366C2"/>
    <w:rsid w:val="00C4033F"/>
    <w:rsid w:val="00C40B1B"/>
    <w:rsid w:val="00C42317"/>
    <w:rsid w:val="00C42FE5"/>
    <w:rsid w:val="00C4565F"/>
    <w:rsid w:val="00C457E0"/>
    <w:rsid w:val="00C461EB"/>
    <w:rsid w:val="00C47EE6"/>
    <w:rsid w:val="00C50109"/>
    <w:rsid w:val="00C50376"/>
    <w:rsid w:val="00C50579"/>
    <w:rsid w:val="00C5191F"/>
    <w:rsid w:val="00C52FC9"/>
    <w:rsid w:val="00C536A5"/>
    <w:rsid w:val="00C55586"/>
    <w:rsid w:val="00C556DA"/>
    <w:rsid w:val="00C63CA5"/>
    <w:rsid w:val="00C643EF"/>
    <w:rsid w:val="00C64938"/>
    <w:rsid w:val="00C6496A"/>
    <w:rsid w:val="00C6520E"/>
    <w:rsid w:val="00C6668C"/>
    <w:rsid w:val="00C67BBA"/>
    <w:rsid w:val="00C71FC3"/>
    <w:rsid w:val="00C72D25"/>
    <w:rsid w:val="00C72E37"/>
    <w:rsid w:val="00C73667"/>
    <w:rsid w:val="00C738FF"/>
    <w:rsid w:val="00C75477"/>
    <w:rsid w:val="00C76FF1"/>
    <w:rsid w:val="00C8246E"/>
    <w:rsid w:val="00C82ABC"/>
    <w:rsid w:val="00C86F4D"/>
    <w:rsid w:val="00C8750B"/>
    <w:rsid w:val="00C9153B"/>
    <w:rsid w:val="00C92118"/>
    <w:rsid w:val="00C92C97"/>
    <w:rsid w:val="00C93044"/>
    <w:rsid w:val="00C949F5"/>
    <w:rsid w:val="00C94BF8"/>
    <w:rsid w:val="00C95173"/>
    <w:rsid w:val="00C95663"/>
    <w:rsid w:val="00C9588D"/>
    <w:rsid w:val="00C979D4"/>
    <w:rsid w:val="00CA0FC1"/>
    <w:rsid w:val="00CA234C"/>
    <w:rsid w:val="00CA2398"/>
    <w:rsid w:val="00CA260A"/>
    <w:rsid w:val="00CA2A1D"/>
    <w:rsid w:val="00CA35BA"/>
    <w:rsid w:val="00CA5536"/>
    <w:rsid w:val="00CA69A6"/>
    <w:rsid w:val="00CA726A"/>
    <w:rsid w:val="00CA7ADC"/>
    <w:rsid w:val="00CB1013"/>
    <w:rsid w:val="00CB18BC"/>
    <w:rsid w:val="00CB42D7"/>
    <w:rsid w:val="00CB46C8"/>
    <w:rsid w:val="00CB5381"/>
    <w:rsid w:val="00CB67AF"/>
    <w:rsid w:val="00CB6BDA"/>
    <w:rsid w:val="00CC03BA"/>
    <w:rsid w:val="00CC0963"/>
    <w:rsid w:val="00CC1D5C"/>
    <w:rsid w:val="00CC21CC"/>
    <w:rsid w:val="00CC2786"/>
    <w:rsid w:val="00CC343C"/>
    <w:rsid w:val="00CC3489"/>
    <w:rsid w:val="00CC40F3"/>
    <w:rsid w:val="00CC4FDC"/>
    <w:rsid w:val="00CD0843"/>
    <w:rsid w:val="00CD0A30"/>
    <w:rsid w:val="00CD19E0"/>
    <w:rsid w:val="00CD1C5B"/>
    <w:rsid w:val="00CD3862"/>
    <w:rsid w:val="00CD443C"/>
    <w:rsid w:val="00CD4B26"/>
    <w:rsid w:val="00CD50D1"/>
    <w:rsid w:val="00CD5139"/>
    <w:rsid w:val="00CD6614"/>
    <w:rsid w:val="00CD7029"/>
    <w:rsid w:val="00CE1A54"/>
    <w:rsid w:val="00CE1AB4"/>
    <w:rsid w:val="00CE2ED9"/>
    <w:rsid w:val="00CE3388"/>
    <w:rsid w:val="00CE5150"/>
    <w:rsid w:val="00CE6263"/>
    <w:rsid w:val="00CE78EF"/>
    <w:rsid w:val="00CF0024"/>
    <w:rsid w:val="00CF0231"/>
    <w:rsid w:val="00CF0FE6"/>
    <w:rsid w:val="00CF13B2"/>
    <w:rsid w:val="00CF1A55"/>
    <w:rsid w:val="00CF28BD"/>
    <w:rsid w:val="00CF37E4"/>
    <w:rsid w:val="00CF685C"/>
    <w:rsid w:val="00CF7521"/>
    <w:rsid w:val="00CF7678"/>
    <w:rsid w:val="00D01E36"/>
    <w:rsid w:val="00D023AD"/>
    <w:rsid w:val="00D03157"/>
    <w:rsid w:val="00D05732"/>
    <w:rsid w:val="00D0689D"/>
    <w:rsid w:val="00D06AF4"/>
    <w:rsid w:val="00D105F0"/>
    <w:rsid w:val="00D10A51"/>
    <w:rsid w:val="00D10CF5"/>
    <w:rsid w:val="00D10F4C"/>
    <w:rsid w:val="00D11123"/>
    <w:rsid w:val="00D1157A"/>
    <w:rsid w:val="00D13796"/>
    <w:rsid w:val="00D13F7B"/>
    <w:rsid w:val="00D141CC"/>
    <w:rsid w:val="00D1619D"/>
    <w:rsid w:val="00D177EC"/>
    <w:rsid w:val="00D200A5"/>
    <w:rsid w:val="00D203DA"/>
    <w:rsid w:val="00D207B2"/>
    <w:rsid w:val="00D21AFF"/>
    <w:rsid w:val="00D233B0"/>
    <w:rsid w:val="00D241E8"/>
    <w:rsid w:val="00D24D34"/>
    <w:rsid w:val="00D25239"/>
    <w:rsid w:val="00D2564C"/>
    <w:rsid w:val="00D260B9"/>
    <w:rsid w:val="00D26A1D"/>
    <w:rsid w:val="00D26CEC"/>
    <w:rsid w:val="00D3084F"/>
    <w:rsid w:val="00D316EF"/>
    <w:rsid w:val="00D33F8F"/>
    <w:rsid w:val="00D34D7E"/>
    <w:rsid w:val="00D35427"/>
    <w:rsid w:val="00D3634A"/>
    <w:rsid w:val="00D43A10"/>
    <w:rsid w:val="00D4495F"/>
    <w:rsid w:val="00D44A92"/>
    <w:rsid w:val="00D473BC"/>
    <w:rsid w:val="00D47E71"/>
    <w:rsid w:val="00D5083F"/>
    <w:rsid w:val="00D5152B"/>
    <w:rsid w:val="00D51DC6"/>
    <w:rsid w:val="00D5283D"/>
    <w:rsid w:val="00D532C0"/>
    <w:rsid w:val="00D53307"/>
    <w:rsid w:val="00D53709"/>
    <w:rsid w:val="00D55746"/>
    <w:rsid w:val="00D56550"/>
    <w:rsid w:val="00D600D2"/>
    <w:rsid w:val="00D60200"/>
    <w:rsid w:val="00D604B3"/>
    <w:rsid w:val="00D6073F"/>
    <w:rsid w:val="00D629CD"/>
    <w:rsid w:val="00D640D6"/>
    <w:rsid w:val="00D6469F"/>
    <w:rsid w:val="00D65E45"/>
    <w:rsid w:val="00D6666F"/>
    <w:rsid w:val="00D667E8"/>
    <w:rsid w:val="00D7088C"/>
    <w:rsid w:val="00D713F5"/>
    <w:rsid w:val="00D71899"/>
    <w:rsid w:val="00D71C30"/>
    <w:rsid w:val="00D72092"/>
    <w:rsid w:val="00D7237E"/>
    <w:rsid w:val="00D7286A"/>
    <w:rsid w:val="00D72AF4"/>
    <w:rsid w:val="00D73881"/>
    <w:rsid w:val="00D751EF"/>
    <w:rsid w:val="00D75370"/>
    <w:rsid w:val="00D7618F"/>
    <w:rsid w:val="00D80C55"/>
    <w:rsid w:val="00D80F07"/>
    <w:rsid w:val="00D81ACE"/>
    <w:rsid w:val="00D82146"/>
    <w:rsid w:val="00D823DB"/>
    <w:rsid w:val="00D828EB"/>
    <w:rsid w:val="00D8370B"/>
    <w:rsid w:val="00D83786"/>
    <w:rsid w:val="00D83DB2"/>
    <w:rsid w:val="00D850DA"/>
    <w:rsid w:val="00D8628D"/>
    <w:rsid w:val="00D86F96"/>
    <w:rsid w:val="00D91D64"/>
    <w:rsid w:val="00D91F90"/>
    <w:rsid w:val="00D925AA"/>
    <w:rsid w:val="00D93A45"/>
    <w:rsid w:val="00D93F8C"/>
    <w:rsid w:val="00D93FDE"/>
    <w:rsid w:val="00D94313"/>
    <w:rsid w:val="00D95245"/>
    <w:rsid w:val="00D95D25"/>
    <w:rsid w:val="00D95E54"/>
    <w:rsid w:val="00D966B6"/>
    <w:rsid w:val="00DA0A68"/>
    <w:rsid w:val="00DA350B"/>
    <w:rsid w:val="00DA3910"/>
    <w:rsid w:val="00DA3957"/>
    <w:rsid w:val="00DA7354"/>
    <w:rsid w:val="00DB339D"/>
    <w:rsid w:val="00DB36A7"/>
    <w:rsid w:val="00DB4555"/>
    <w:rsid w:val="00DB476C"/>
    <w:rsid w:val="00DB4B30"/>
    <w:rsid w:val="00DB4ED1"/>
    <w:rsid w:val="00DB5767"/>
    <w:rsid w:val="00DB6378"/>
    <w:rsid w:val="00DB6FCD"/>
    <w:rsid w:val="00DB7964"/>
    <w:rsid w:val="00DC032A"/>
    <w:rsid w:val="00DC0A8D"/>
    <w:rsid w:val="00DC0ED1"/>
    <w:rsid w:val="00DC2BF9"/>
    <w:rsid w:val="00DC3889"/>
    <w:rsid w:val="00DC4113"/>
    <w:rsid w:val="00DC4556"/>
    <w:rsid w:val="00DC4563"/>
    <w:rsid w:val="00DC5D5D"/>
    <w:rsid w:val="00DC7374"/>
    <w:rsid w:val="00DD097A"/>
    <w:rsid w:val="00DD0DB3"/>
    <w:rsid w:val="00DD4921"/>
    <w:rsid w:val="00DD51FD"/>
    <w:rsid w:val="00DD5AA2"/>
    <w:rsid w:val="00DD5D98"/>
    <w:rsid w:val="00DD65EB"/>
    <w:rsid w:val="00DD6C0D"/>
    <w:rsid w:val="00DE0828"/>
    <w:rsid w:val="00DE0DB7"/>
    <w:rsid w:val="00DE1033"/>
    <w:rsid w:val="00DE1256"/>
    <w:rsid w:val="00DE1B27"/>
    <w:rsid w:val="00DE1B3A"/>
    <w:rsid w:val="00DE1E2E"/>
    <w:rsid w:val="00DE22FA"/>
    <w:rsid w:val="00DE3CC3"/>
    <w:rsid w:val="00DF1B7A"/>
    <w:rsid w:val="00DF1C28"/>
    <w:rsid w:val="00DF28A8"/>
    <w:rsid w:val="00DF2D46"/>
    <w:rsid w:val="00DF2E36"/>
    <w:rsid w:val="00DF3ADE"/>
    <w:rsid w:val="00DF53EF"/>
    <w:rsid w:val="00DF7211"/>
    <w:rsid w:val="00DF75E2"/>
    <w:rsid w:val="00DF7B76"/>
    <w:rsid w:val="00E003AC"/>
    <w:rsid w:val="00E01449"/>
    <w:rsid w:val="00E0187E"/>
    <w:rsid w:val="00E01AAC"/>
    <w:rsid w:val="00E02336"/>
    <w:rsid w:val="00E02FC5"/>
    <w:rsid w:val="00E0458C"/>
    <w:rsid w:val="00E046A2"/>
    <w:rsid w:val="00E04B3F"/>
    <w:rsid w:val="00E04CB6"/>
    <w:rsid w:val="00E05261"/>
    <w:rsid w:val="00E05965"/>
    <w:rsid w:val="00E077FD"/>
    <w:rsid w:val="00E07935"/>
    <w:rsid w:val="00E07BFF"/>
    <w:rsid w:val="00E07DBB"/>
    <w:rsid w:val="00E10494"/>
    <w:rsid w:val="00E1183D"/>
    <w:rsid w:val="00E1259D"/>
    <w:rsid w:val="00E15DC9"/>
    <w:rsid w:val="00E16D4A"/>
    <w:rsid w:val="00E16FA4"/>
    <w:rsid w:val="00E17650"/>
    <w:rsid w:val="00E179F6"/>
    <w:rsid w:val="00E20BEB"/>
    <w:rsid w:val="00E20D41"/>
    <w:rsid w:val="00E21F0E"/>
    <w:rsid w:val="00E21F83"/>
    <w:rsid w:val="00E223BA"/>
    <w:rsid w:val="00E22C3E"/>
    <w:rsid w:val="00E22EAF"/>
    <w:rsid w:val="00E23275"/>
    <w:rsid w:val="00E24112"/>
    <w:rsid w:val="00E265BF"/>
    <w:rsid w:val="00E2670A"/>
    <w:rsid w:val="00E27A85"/>
    <w:rsid w:val="00E30334"/>
    <w:rsid w:val="00E30741"/>
    <w:rsid w:val="00E31CDC"/>
    <w:rsid w:val="00E31F23"/>
    <w:rsid w:val="00E32685"/>
    <w:rsid w:val="00E329D2"/>
    <w:rsid w:val="00E33DF9"/>
    <w:rsid w:val="00E35B6D"/>
    <w:rsid w:val="00E40545"/>
    <w:rsid w:val="00E40A12"/>
    <w:rsid w:val="00E40C57"/>
    <w:rsid w:val="00E4136A"/>
    <w:rsid w:val="00E447A5"/>
    <w:rsid w:val="00E44D16"/>
    <w:rsid w:val="00E45BB0"/>
    <w:rsid w:val="00E45F7F"/>
    <w:rsid w:val="00E461D6"/>
    <w:rsid w:val="00E50BEE"/>
    <w:rsid w:val="00E50F2B"/>
    <w:rsid w:val="00E51897"/>
    <w:rsid w:val="00E51F9F"/>
    <w:rsid w:val="00E52453"/>
    <w:rsid w:val="00E53E0B"/>
    <w:rsid w:val="00E542EC"/>
    <w:rsid w:val="00E5488B"/>
    <w:rsid w:val="00E54B91"/>
    <w:rsid w:val="00E55075"/>
    <w:rsid w:val="00E617AE"/>
    <w:rsid w:val="00E62DDB"/>
    <w:rsid w:val="00E63181"/>
    <w:rsid w:val="00E63BC6"/>
    <w:rsid w:val="00E6458C"/>
    <w:rsid w:val="00E65AAB"/>
    <w:rsid w:val="00E665C8"/>
    <w:rsid w:val="00E6674F"/>
    <w:rsid w:val="00E66AC0"/>
    <w:rsid w:val="00E66AE1"/>
    <w:rsid w:val="00E67282"/>
    <w:rsid w:val="00E704A8"/>
    <w:rsid w:val="00E71392"/>
    <w:rsid w:val="00E7220F"/>
    <w:rsid w:val="00E7426E"/>
    <w:rsid w:val="00E75319"/>
    <w:rsid w:val="00E75860"/>
    <w:rsid w:val="00E760C8"/>
    <w:rsid w:val="00E76652"/>
    <w:rsid w:val="00E768CE"/>
    <w:rsid w:val="00E76ECB"/>
    <w:rsid w:val="00E80718"/>
    <w:rsid w:val="00E80DD2"/>
    <w:rsid w:val="00E82C20"/>
    <w:rsid w:val="00E86425"/>
    <w:rsid w:val="00E867CF"/>
    <w:rsid w:val="00E908B0"/>
    <w:rsid w:val="00E91754"/>
    <w:rsid w:val="00E91ADA"/>
    <w:rsid w:val="00E9259A"/>
    <w:rsid w:val="00E94CBC"/>
    <w:rsid w:val="00E94ECE"/>
    <w:rsid w:val="00E960B0"/>
    <w:rsid w:val="00E96E81"/>
    <w:rsid w:val="00E97149"/>
    <w:rsid w:val="00E97CE4"/>
    <w:rsid w:val="00EA0FEA"/>
    <w:rsid w:val="00EA3A52"/>
    <w:rsid w:val="00EA3BDE"/>
    <w:rsid w:val="00EB17F2"/>
    <w:rsid w:val="00EB3706"/>
    <w:rsid w:val="00EB3D59"/>
    <w:rsid w:val="00EB6335"/>
    <w:rsid w:val="00EB7492"/>
    <w:rsid w:val="00EC1DA1"/>
    <w:rsid w:val="00EC2A36"/>
    <w:rsid w:val="00EC2BE0"/>
    <w:rsid w:val="00EC4695"/>
    <w:rsid w:val="00EC4B53"/>
    <w:rsid w:val="00EC4D1F"/>
    <w:rsid w:val="00EC7134"/>
    <w:rsid w:val="00ED066C"/>
    <w:rsid w:val="00ED080E"/>
    <w:rsid w:val="00ED0CE0"/>
    <w:rsid w:val="00ED2DAA"/>
    <w:rsid w:val="00ED4B49"/>
    <w:rsid w:val="00ED5E4D"/>
    <w:rsid w:val="00ED6608"/>
    <w:rsid w:val="00ED74DF"/>
    <w:rsid w:val="00EE08A4"/>
    <w:rsid w:val="00EE0EE7"/>
    <w:rsid w:val="00EE10F6"/>
    <w:rsid w:val="00EE120D"/>
    <w:rsid w:val="00EE169C"/>
    <w:rsid w:val="00EE1943"/>
    <w:rsid w:val="00EE222C"/>
    <w:rsid w:val="00EE4792"/>
    <w:rsid w:val="00EE4DCD"/>
    <w:rsid w:val="00EF07D1"/>
    <w:rsid w:val="00EF1990"/>
    <w:rsid w:val="00EF1ABF"/>
    <w:rsid w:val="00EF1FFC"/>
    <w:rsid w:val="00EF3892"/>
    <w:rsid w:val="00EF646C"/>
    <w:rsid w:val="00EF7DEC"/>
    <w:rsid w:val="00EF7F1B"/>
    <w:rsid w:val="00F04403"/>
    <w:rsid w:val="00F0476C"/>
    <w:rsid w:val="00F0499E"/>
    <w:rsid w:val="00F05181"/>
    <w:rsid w:val="00F058BE"/>
    <w:rsid w:val="00F068AB"/>
    <w:rsid w:val="00F07E08"/>
    <w:rsid w:val="00F110B2"/>
    <w:rsid w:val="00F11B46"/>
    <w:rsid w:val="00F11BB6"/>
    <w:rsid w:val="00F12CC2"/>
    <w:rsid w:val="00F12EF4"/>
    <w:rsid w:val="00F13CB7"/>
    <w:rsid w:val="00F14661"/>
    <w:rsid w:val="00F14781"/>
    <w:rsid w:val="00F1524A"/>
    <w:rsid w:val="00F16461"/>
    <w:rsid w:val="00F17306"/>
    <w:rsid w:val="00F17D04"/>
    <w:rsid w:val="00F20A1C"/>
    <w:rsid w:val="00F2144A"/>
    <w:rsid w:val="00F22AC4"/>
    <w:rsid w:val="00F22E66"/>
    <w:rsid w:val="00F23640"/>
    <w:rsid w:val="00F236A8"/>
    <w:rsid w:val="00F245D7"/>
    <w:rsid w:val="00F253DA"/>
    <w:rsid w:val="00F277C3"/>
    <w:rsid w:val="00F27A7C"/>
    <w:rsid w:val="00F27D75"/>
    <w:rsid w:val="00F3093C"/>
    <w:rsid w:val="00F3190C"/>
    <w:rsid w:val="00F33232"/>
    <w:rsid w:val="00F34FEE"/>
    <w:rsid w:val="00F3740E"/>
    <w:rsid w:val="00F37F07"/>
    <w:rsid w:val="00F40706"/>
    <w:rsid w:val="00F40A06"/>
    <w:rsid w:val="00F40F26"/>
    <w:rsid w:val="00F412AD"/>
    <w:rsid w:val="00F41354"/>
    <w:rsid w:val="00F420C9"/>
    <w:rsid w:val="00F45D34"/>
    <w:rsid w:val="00F4601B"/>
    <w:rsid w:val="00F46507"/>
    <w:rsid w:val="00F47B1E"/>
    <w:rsid w:val="00F47B3D"/>
    <w:rsid w:val="00F5019F"/>
    <w:rsid w:val="00F50F21"/>
    <w:rsid w:val="00F51A99"/>
    <w:rsid w:val="00F53B59"/>
    <w:rsid w:val="00F53B6C"/>
    <w:rsid w:val="00F5420D"/>
    <w:rsid w:val="00F5532D"/>
    <w:rsid w:val="00F57F0A"/>
    <w:rsid w:val="00F60221"/>
    <w:rsid w:val="00F60AC7"/>
    <w:rsid w:val="00F60B46"/>
    <w:rsid w:val="00F6190E"/>
    <w:rsid w:val="00F621FA"/>
    <w:rsid w:val="00F62339"/>
    <w:rsid w:val="00F6304C"/>
    <w:rsid w:val="00F6341F"/>
    <w:rsid w:val="00F63684"/>
    <w:rsid w:val="00F63866"/>
    <w:rsid w:val="00F6610B"/>
    <w:rsid w:val="00F66FE3"/>
    <w:rsid w:val="00F67CCD"/>
    <w:rsid w:val="00F707B1"/>
    <w:rsid w:val="00F70FDF"/>
    <w:rsid w:val="00F713B5"/>
    <w:rsid w:val="00F71E9B"/>
    <w:rsid w:val="00F722F9"/>
    <w:rsid w:val="00F732C1"/>
    <w:rsid w:val="00F745C7"/>
    <w:rsid w:val="00F747CB"/>
    <w:rsid w:val="00F768B8"/>
    <w:rsid w:val="00F768BA"/>
    <w:rsid w:val="00F76BB5"/>
    <w:rsid w:val="00F8009E"/>
    <w:rsid w:val="00F81216"/>
    <w:rsid w:val="00F812EB"/>
    <w:rsid w:val="00F83BAF"/>
    <w:rsid w:val="00F83C9F"/>
    <w:rsid w:val="00F851F2"/>
    <w:rsid w:val="00F85EE1"/>
    <w:rsid w:val="00F87BBA"/>
    <w:rsid w:val="00F902B0"/>
    <w:rsid w:val="00F938DF"/>
    <w:rsid w:val="00F944C9"/>
    <w:rsid w:val="00F949B2"/>
    <w:rsid w:val="00F94CD1"/>
    <w:rsid w:val="00F951D9"/>
    <w:rsid w:val="00F967AD"/>
    <w:rsid w:val="00F9752C"/>
    <w:rsid w:val="00F97812"/>
    <w:rsid w:val="00FA0F58"/>
    <w:rsid w:val="00FA1280"/>
    <w:rsid w:val="00FA1491"/>
    <w:rsid w:val="00FA1C26"/>
    <w:rsid w:val="00FA376F"/>
    <w:rsid w:val="00FA3B45"/>
    <w:rsid w:val="00FA6190"/>
    <w:rsid w:val="00FA6387"/>
    <w:rsid w:val="00FA6657"/>
    <w:rsid w:val="00FA6EC8"/>
    <w:rsid w:val="00FB12B2"/>
    <w:rsid w:val="00FB2BB0"/>
    <w:rsid w:val="00FB307F"/>
    <w:rsid w:val="00FB339B"/>
    <w:rsid w:val="00FB69A9"/>
    <w:rsid w:val="00FC024A"/>
    <w:rsid w:val="00FC0F16"/>
    <w:rsid w:val="00FC1731"/>
    <w:rsid w:val="00FC19DB"/>
    <w:rsid w:val="00FC23EF"/>
    <w:rsid w:val="00FC26CC"/>
    <w:rsid w:val="00FC39BC"/>
    <w:rsid w:val="00FC43C9"/>
    <w:rsid w:val="00FC45C7"/>
    <w:rsid w:val="00FC4DB7"/>
    <w:rsid w:val="00FC5FCD"/>
    <w:rsid w:val="00FC76B1"/>
    <w:rsid w:val="00FD00D9"/>
    <w:rsid w:val="00FD16A5"/>
    <w:rsid w:val="00FD17C6"/>
    <w:rsid w:val="00FD1D71"/>
    <w:rsid w:val="00FD3563"/>
    <w:rsid w:val="00FD3C3B"/>
    <w:rsid w:val="00FD4A0B"/>
    <w:rsid w:val="00FD6992"/>
    <w:rsid w:val="00FD7095"/>
    <w:rsid w:val="00FD7298"/>
    <w:rsid w:val="00FD7518"/>
    <w:rsid w:val="00FD751F"/>
    <w:rsid w:val="00FE2BF3"/>
    <w:rsid w:val="00FE4C28"/>
    <w:rsid w:val="00FE562B"/>
    <w:rsid w:val="00FE63A8"/>
    <w:rsid w:val="00FE7026"/>
    <w:rsid w:val="00FE745C"/>
    <w:rsid w:val="00FF0883"/>
    <w:rsid w:val="00FF0D49"/>
    <w:rsid w:val="00FF1843"/>
    <w:rsid w:val="00FF1AAB"/>
    <w:rsid w:val="00FF2166"/>
    <w:rsid w:val="00FF2476"/>
    <w:rsid w:val="00FF31B4"/>
    <w:rsid w:val="00FF43AB"/>
    <w:rsid w:val="00FF442D"/>
    <w:rsid w:val="00FF5B74"/>
    <w:rsid w:val="00FF6918"/>
    <w:rsid w:val="00FF6AA0"/>
    <w:rsid w:val="00FF6B7C"/>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4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9E"/>
    <w:pPr>
      <w:autoSpaceDE w:val="0"/>
      <w:autoSpaceDN w:val="0"/>
      <w:adjustRightInd w:val="0"/>
      <w:spacing w:after="240"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1814FD"/>
    <w:pPr>
      <w:keepNext/>
      <w:spacing w:before="240" w:after="0"/>
      <w:ind w:left="720" w:hanging="720"/>
      <w:outlineLvl w:val="0"/>
    </w:pPr>
    <w:rPr>
      <w:rFonts w:asciiTheme="minorHAnsi" w:hAnsiTheme="minorHAnsi" w:cs="Arial"/>
      <w:b/>
      <w:bCs/>
      <w:kern w:val="32"/>
      <w:sz w:val="32"/>
      <w:szCs w:val="32"/>
    </w:rPr>
  </w:style>
  <w:style w:type="paragraph" w:styleId="Heading2">
    <w:name w:val="heading 2"/>
    <w:basedOn w:val="Normal"/>
    <w:next w:val="Normal"/>
    <w:link w:val="Heading2Char"/>
    <w:qFormat/>
    <w:rsid w:val="00F0499E"/>
    <w:pPr>
      <w:keepNext/>
      <w:spacing w:before="240" w:after="60"/>
      <w:ind w:left="720" w:hanging="720"/>
      <w:outlineLvl w:val="1"/>
    </w:pPr>
    <w:rPr>
      <w:rFonts w:asciiTheme="minorHAnsi" w:hAnsiTheme="minorHAnsi" w:cs="Arial"/>
      <w:b/>
      <w:bCs/>
      <w:i/>
      <w:iCs/>
      <w:sz w:val="28"/>
      <w:szCs w:val="28"/>
    </w:rPr>
  </w:style>
  <w:style w:type="paragraph" w:styleId="Heading3">
    <w:name w:val="heading 3"/>
    <w:basedOn w:val="Normal"/>
    <w:next w:val="Normal"/>
    <w:link w:val="Heading3Char"/>
    <w:qFormat/>
    <w:rsid w:val="001814FD"/>
    <w:pPr>
      <w:keepNext/>
      <w:spacing w:before="240" w:after="60"/>
      <w:ind w:left="720" w:hanging="720"/>
      <w:outlineLvl w:val="2"/>
    </w:pPr>
    <w:rPr>
      <w:rFonts w:asciiTheme="minorHAnsi" w:hAnsiTheme="minorHAnsi" w:cs="Arial"/>
      <w:b/>
      <w:bCs/>
      <w:szCs w:val="26"/>
    </w:rPr>
  </w:style>
  <w:style w:type="paragraph" w:styleId="Heading4">
    <w:name w:val="heading 4"/>
    <w:basedOn w:val="Normal"/>
    <w:next w:val="Normal"/>
    <w:link w:val="Heading4Char"/>
    <w:qFormat/>
    <w:rsid w:val="004366AF"/>
    <w:pPr>
      <w:keepNext/>
      <w:spacing w:after="60"/>
      <w:outlineLvl w:val="3"/>
    </w:pPr>
    <w:rPr>
      <w:rFonts w:asciiTheme="minorHAnsi" w:hAnsiTheme="minorHAnsi"/>
      <w:b/>
      <w:i/>
    </w:rPr>
  </w:style>
  <w:style w:type="paragraph" w:styleId="Heading5">
    <w:name w:val="heading 5"/>
    <w:basedOn w:val="Normal"/>
    <w:next w:val="Normal"/>
    <w:link w:val="Heading5Char"/>
    <w:qFormat/>
    <w:rsid w:val="004366AF"/>
    <w:pPr>
      <w:keepNext/>
      <w:spacing w:after="0"/>
      <w:outlineLvl w:val="4"/>
    </w:pPr>
    <w:rPr>
      <w:b/>
      <w:i/>
    </w:rPr>
  </w:style>
  <w:style w:type="paragraph" w:styleId="Heading6">
    <w:name w:val="heading 6"/>
    <w:basedOn w:val="Normal"/>
    <w:next w:val="Normal"/>
    <w:link w:val="Heading6Char"/>
    <w:qFormat/>
    <w:rsid w:val="00A42E82"/>
    <w:pPr>
      <w:keepNext/>
      <w:keepLines/>
      <w:numPr>
        <w:ilvl w:val="5"/>
        <w:numId w:val="2"/>
      </w:numPr>
      <w:tabs>
        <w:tab w:val="clear" w:pos="4320"/>
      </w:tabs>
      <w:autoSpaceDE/>
      <w:autoSpaceDN/>
      <w:adjustRightInd/>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42E82"/>
    <w:pPr>
      <w:keepNext/>
      <w:keepLines/>
      <w:numPr>
        <w:ilvl w:val="6"/>
        <w:numId w:val="2"/>
      </w:numPr>
      <w:tabs>
        <w:tab w:val="clear" w:pos="5040"/>
      </w:tabs>
      <w:autoSpaceDE/>
      <w:autoSpaceDN/>
      <w:adjustRightInd/>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A42E82"/>
    <w:pPr>
      <w:keepNext/>
      <w:keepLines/>
      <w:numPr>
        <w:ilvl w:val="7"/>
        <w:numId w:val="2"/>
      </w:numPr>
      <w:tabs>
        <w:tab w:val="clear" w:pos="5760"/>
      </w:tabs>
      <w:autoSpaceDE/>
      <w:autoSpaceDN/>
      <w:adjustRightInd/>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42E82"/>
    <w:pPr>
      <w:keepNext/>
      <w:keepLines/>
      <w:numPr>
        <w:ilvl w:val="8"/>
        <w:numId w:val="2"/>
      </w:numPr>
      <w:tabs>
        <w:tab w:val="clear" w:pos="6480"/>
      </w:tabs>
      <w:autoSpaceDE/>
      <w:autoSpaceDN/>
      <w:adjustRightInd/>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4FD"/>
    <w:rPr>
      <w:rFonts w:eastAsia="Times New Roman" w:cs="Arial"/>
      <w:b/>
      <w:bCs/>
      <w:kern w:val="32"/>
      <w:sz w:val="32"/>
      <w:szCs w:val="32"/>
    </w:rPr>
  </w:style>
  <w:style w:type="character" w:customStyle="1" w:styleId="Heading2Char">
    <w:name w:val="Heading 2 Char"/>
    <w:basedOn w:val="DefaultParagraphFont"/>
    <w:link w:val="Heading2"/>
    <w:rsid w:val="00F0499E"/>
    <w:rPr>
      <w:rFonts w:eastAsia="Times New Roman" w:cs="Arial"/>
      <w:b/>
      <w:bCs/>
      <w:i/>
      <w:iCs/>
      <w:sz w:val="28"/>
      <w:szCs w:val="28"/>
    </w:rPr>
  </w:style>
  <w:style w:type="paragraph" w:styleId="Title">
    <w:name w:val="Title"/>
    <w:basedOn w:val="Normal"/>
    <w:next w:val="Normal"/>
    <w:link w:val="TitleChar"/>
    <w:uiPriority w:val="10"/>
    <w:qFormat/>
    <w:rsid w:val="001814FD"/>
    <w:pPr>
      <w:spacing w:before="240" w:after="60"/>
      <w:jc w:val="center"/>
      <w:outlineLvl w:val="0"/>
    </w:pPr>
    <w:rPr>
      <w:rFonts w:asciiTheme="majorHAnsi" w:eastAsiaTheme="majorEastAsia" w:hAnsiTheme="majorHAnsi"/>
      <w:b/>
      <w:bCs/>
      <w:kern w:val="28"/>
      <w:sz w:val="40"/>
      <w:szCs w:val="40"/>
    </w:rPr>
  </w:style>
  <w:style w:type="character" w:customStyle="1" w:styleId="TitleChar">
    <w:name w:val="Title Char"/>
    <w:basedOn w:val="DefaultParagraphFont"/>
    <w:link w:val="Title"/>
    <w:uiPriority w:val="10"/>
    <w:rsid w:val="001814FD"/>
    <w:rPr>
      <w:rFonts w:asciiTheme="majorHAnsi" w:eastAsiaTheme="majorEastAsia" w:hAnsiTheme="majorHAnsi" w:cs="Times New Roman"/>
      <w:b/>
      <w:bCs/>
      <w:kern w:val="28"/>
      <w:sz w:val="40"/>
      <w:szCs w:val="40"/>
    </w:rPr>
  </w:style>
  <w:style w:type="paragraph" w:styleId="BalloonText">
    <w:name w:val="Balloon Text"/>
    <w:basedOn w:val="Normal"/>
    <w:link w:val="BalloonTextChar"/>
    <w:semiHidden/>
    <w:rsid w:val="00B36F72"/>
    <w:rPr>
      <w:rFonts w:ascii="Tahoma" w:hAnsi="Tahoma" w:cs="Tahoma"/>
      <w:sz w:val="16"/>
      <w:szCs w:val="16"/>
    </w:rPr>
  </w:style>
  <w:style w:type="character" w:customStyle="1" w:styleId="BalloonTextChar">
    <w:name w:val="Balloon Text Char"/>
    <w:basedOn w:val="DefaultParagraphFont"/>
    <w:link w:val="BalloonText"/>
    <w:semiHidden/>
    <w:rsid w:val="00B36F72"/>
    <w:rPr>
      <w:rFonts w:ascii="Tahoma" w:eastAsia="Times New Roman" w:hAnsi="Tahoma" w:cs="Tahoma"/>
      <w:sz w:val="16"/>
      <w:szCs w:val="16"/>
    </w:rPr>
  </w:style>
  <w:style w:type="character" w:styleId="CommentReference">
    <w:name w:val="annotation reference"/>
    <w:basedOn w:val="DefaultParagraphFont"/>
    <w:semiHidden/>
    <w:rsid w:val="00B36F72"/>
    <w:rPr>
      <w:sz w:val="16"/>
      <w:szCs w:val="16"/>
    </w:rPr>
  </w:style>
  <w:style w:type="paragraph" w:styleId="CommentText">
    <w:name w:val="annotation text"/>
    <w:basedOn w:val="Normal"/>
    <w:link w:val="CommentTextChar"/>
    <w:semiHidden/>
    <w:rsid w:val="00B36F72"/>
    <w:rPr>
      <w:sz w:val="20"/>
      <w:szCs w:val="20"/>
    </w:rPr>
  </w:style>
  <w:style w:type="character" w:customStyle="1" w:styleId="CommentTextChar">
    <w:name w:val="Comment Text Char"/>
    <w:basedOn w:val="DefaultParagraphFont"/>
    <w:link w:val="CommentText"/>
    <w:semiHidden/>
    <w:rsid w:val="00B36F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6F72"/>
    <w:rPr>
      <w:b/>
      <w:bCs/>
    </w:rPr>
  </w:style>
  <w:style w:type="character" w:customStyle="1" w:styleId="CommentSubjectChar">
    <w:name w:val="Comment Subject Char"/>
    <w:basedOn w:val="CommentTextChar"/>
    <w:link w:val="CommentSubject"/>
    <w:semiHidden/>
    <w:rsid w:val="00B36F72"/>
    <w:rPr>
      <w:rFonts w:ascii="Times New Roman" w:eastAsia="Times New Roman" w:hAnsi="Times New Roman" w:cs="Times New Roman"/>
      <w:b/>
      <w:bCs/>
      <w:sz w:val="20"/>
      <w:szCs w:val="20"/>
    </w:rPr>
  </w:style>
  <w:style w:type="paragraph" w:styleId="Footer">
    <w:name w:val="footer"/>
    <w:basedOn w:val="Normal"/>
    <w:link w:val="FooterChar"/>
    <w:uiPriority w:val="99"/>
    <w:rsid w:val="001814FD"/>
    <w:pPr>
      <w:tabs>
        <w:tab w:val="center" w:pos="4320"/>
        <w:tab w:val="right" w:pos="8640"/>
      </w:tabs>
      <w:spacing w:after="0"/>
    </w:pPr>
  </w:style>
  <w:style w:type="character" w:customStyle="1" w:styleId="FooterChar">
    <w:name w:val="Footer Char"/>
    <w:basedOn w:val="DefaultParagraphFont"/>
    <w:link w:val="Footer"/>
    <w:uiPriority w:val="99"/>
    <w:rsid w:val="001814FD"/>
    <w:rPr>
      <w:rFonts w:ascii="Cambria" w:eastAsia="Times New Roman" w:hAnsi="Cambria" w:cs="Times New Roman"/>
      <w:sz w:val="24"/>
      <w:szCs w:val="24"/>
    </w:rPr>
  </w:style>
  <w:style w:type="character" w:styleId="FootnoteReference">
    <w:name w:val="footnote reference"/>
    <w:rsid w:val="00B36F72"/>
    <w:rPr>
      <w:vertAlign w:val="superscript"/>
    </w:rPr>
  </w:style>
  <w:style w:type="paragraph" w:styleId="FootnoteText">
    <w:name w:val="footnote text"/>
    <w:basedOn w:val="Normal"/>
    <w:link w:val="FootnoteTextChar"/>
    <w:rsid w:val="00A30867"/>
    <w:pPr>
      <w:spacing w:after="60"/>
      <w:ind w:left="90" w:hanging="90"/>
    </w:pPr>
    <w:rPr>
      <w:sz w:val="20"/>
      <w:szCs w:val="20"/>
    </w:rPr>
  </w:style>
  <w:style w:type="character" w:customStyle="1" w:styleId="FootnoteTextChar">
    <w:name w:val="Footnote Text Char"/>
    <w:basedOn w:val="DefaultParagraphFont"/>
    <w:link w:val="FootnoteText"/>
    <w:rsid w:val="00A30867"/>
    <w:rPr>
      <w:rFonts w:ascii="Cambria" w:eastAsia="Times New Roman" w:hAnsi="Cambria" w:cs="Times New Roman"/>
      <w:sz w:val="20"/>
      <w:szCs w:val="20"/>
    </w:rPr>
  </w:style>
  <w:style w:type="paragraph" w:styleId="Header">
    <w:name w:val="header"/>
    <w:basedOn w:val="Normal"/>
    <w:link w:val="HeaderChar"/>
    <w:rsid w:val="00B36F72"/>
    <w:pPr>
      <w:tabs>
        <w:tab w:val="center" w:pos="4320"/>
        <w:tab w:val="right" w:pos="8640"/>
      </w:tabs>
    </w:pPr>
  </w:style>
  <w:style w:type="character" w:customStyle="1" w:styleId="HeaderChar">
    <w:name w:val="Header Char"/>
    <w:basedOn w:val="DefaultParagraphFont"/>
    <w:link w:val="Header"/>
    <w:rsid w:val="00B36F7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814FD"/>
    <w:rPr>
      <w:rFonts w:eastAsia="Times New Roman" w:cs="Arial"/>
      <w:b/>
      <w:bCs/>
      <w:sz w:val="24"/>
      <w:szCs w:val="26"/>
    </w:rPr>
  </w:style>
  <w:style w:type="character" w:styleId="Hyperlink">
    <w:name w:val="Hyperlink"/>
    <w:basedOn w:val="DefaultParagraphFont"/>
    <w:uiPriority w:val="99"/>
    <w:rsid w:val="00B36F72"/>
    <w:rPr>
      <w:color w:val="0000FF"/>
      <w:u w:val="single"/>
    </w:rPr>
  </w:style>
  <w:style w:type="paragraph" w:customStyle="1" w:styleId="Level1">
    <w:name w:val="Level 1"/>
    <w:basedOn w:val="Normal"/>
    <w:rsid w:val="00B36F72"/>
    <w:pPr>
      <w:ind w:left="720" w:hanging="720"/>
    </w:pPr>
  </w:style>
  <w:style w:type="paragraph" w:styleId="List">
    <w:name w:val="List"/>
    <w:basedOn w:val="Normal"/>
    <w:rsid w:val="00B36F72"/>
    <w:pPr>
      <w:ind w:left="720" w:hanging="720"/>
    </w:pPr>
  </w:style>
  <w:style w:type="paragraph" w:customStyle="1" w:styleId="TableTitle">
    <w:name w:val="Table Title"/>
    <w:basedOn w:val="Normal"/>
    <w:rsid w:val="00871F94"/>
    <w:pPr>
      <w:keepNext/>
      <w:keepLines/>
      <w:spacing w:after="0"/>
      <w:jc w:val="center"/>
    </w:pPr>
    <w:rPr>
      <w:rFonts w:asciiTheme="minorHAnsi" w:hAnsiTheme="minorHAnsi" w:cs="Arial"/>
      <w:b/>
      <w:sz w:val="20"/>
      <w:szCs w:val="20"/>
    </w:rPr>
  </w:style>
  <w:style w:type="paragraph" w:styleId="TOC1">
    <w:name w:val="toc 1"/>
    <w:basedOn w:val="Normal"/>
    <w:next w:val="Normal"/>
    <w:uiPriority w:val="39"/>
    <w:rsid w:val="00F747CB"/>
    <w:pPr>
      <w:tabs>
        <w:tab w:val="left" w:pos="720"/>
        <w:tab w:val="right" w:leader="dot" w:pos="9360"/>
      </w:tabs>
      <w:spacing w:before="240" w:after="0"/>
      <w:ind w:left="360" w:hanging="360"/>
    </w:pPr>
    <w:rPr>
      <w:b/>
    </w:rPr>
  </w:style>
  <w:style w:type="paragraph" w:styleId="TOC2">
    <w:name w:val="toc 2"/>
    <w:basedOn w:val="Normal"/>
    <w:next w:val="Normal"/>
    <w:uiPriority w:val="39"/>
    <w:rsid w:val="001814FD"/>
    <w:pPr>
      <w:spacing w:before="120" w:after="0"/>
      <w:ind w:left="720" w:hanging="360"/>
    </w:pPr>
    <w:rPr>
      <w:sz w:val="20"/>
    </w:rPr>
  </w:style>
  <w:style w:type="paragraph" w:styleId="TOC3">
    <w:name w:val="toc 3"/>
    <w:basedOn w:val="Normal"/>
    <w:next w:val="Normal"/>
    <w:uiPriority w:val="39"/>
    <w:rsid w:val="001814FD"/>
    <w:pPr>
      <w:tabs>
        <w:tab w:val="right" w:leader="dot" w:pos="9350"/>
      </w:tabs>
      <w:spacing w:after="0"/>
      <w:ind w:left="1080" w:hanging="360"/>
    </w:pPr>
    <w:rPr>
      <w:noProof/>
      <w:sz w:val="20"/>
    </w:rPr>
  </w:style>
  <w:style w:type="character" w:customStyle="1" w:styleId="Heading4Char">
    <w:name w:val="Heading 4 Char"/>
    <w:basedOn w:val="DefaultParagraphFont"/>
    <w:link w:val="Heading4"/>
    <w:rsid w:val="004366AF"/>
    <w:rPr>
      <w:rFonts w:eastAsia="Times New Roman" w:cs="Times New Roman"/>
      <w:b/>
      <w:i/>
      <w:sz w:val="24"/>
      <w:szCs w:val="24"/>
    </w:rPr>
  </w:style>
  <w:style w:type="character" w:customStyle="1" w:styleId="Heading5Char">
    <w:name w:val="Heading 5 Char"/>
    <w:basedOn w:val="DefaultParagraphFont"/>
    <w:link w:val="Heading5"/>
    <w:rsid w:val="004366AF"/>
    <w:rPr>
      <w:rFonts w:ascii="Cambria" w:eastAsia="Times New Roman" w:hAnsi="Cambria" w:cs="Times New Roman"/>
      <w:b/>
      <w:i/>
      <w:sz w:val="24"/>
      <w:szCs w:val="24"/>
    </w:rPr>
  </w:style>
  <w:style w:type="character" w:customStyle="1" w:styleId="Heading6Char">
    <w:name w:val="Heading 6 Char"/>
    <w:basedOn w:val="DefaultParagraphFont"/>
    <w:link w:val="Heading6"/>
    <w:rsid w:val="00A42E8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A42E8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A42E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42E8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B36F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A42E8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rsid w:val="00A42E82"/>
  </w:style>
  <w:style w:type="paragraph" w:customStyle="1" w:styleId="Heading40">
    <w:name w:val="Heading4"/>
    <w:basedOn w:val="Normal"/>
    <w:rsid w:val="00A42E82"/>
    <w:pPr>
      <w:keepNext/>
      <w:spacing w:before="240" w:after="40"/>
    </w:pPr>
    <w:rPr>
      <w:rFonts w:ascii="Arial" w:hAnsi="Arial"/>
      <w:b/>
    </w:rPr>
  </w:style>
  <w:style w:type="paragraph" w:customStyle="1" w:styleId="Style3">
    <w:name w:val="Style3"/>
    <w:basedOn w:val="TOC2"/>
    <w:autoRedefine/>
    <w:rsid w:val="00A42E82"/>
    <w:pPr>
      <w:tabs>
        <w:tab w:val="left" w:pos="720"/>
        <w:tab w:val="left" w:pos="1080"/>
        <w:tab w:val="right" w:leader="dot" w:pos="9360"/>
      </w:tabs>
      <w:ind w:left="0" w:firstLine="0"/>
    </w:pPr>
    <w:rPr>
      <w:rFonts w:ascii="Times New Roman" w:hAnsi="Times New Roman"/>
      <w:bCs/>
      <w:noProof/>
      <w:sz w:val="24"/>
      <w:szCs w:val="20"/>
    </w:rPr>
  </w:style>
  <w:style w:type="paragraph" w:customStyle="1" w:styleId="Level2">
    <w:name w:val="Level 2"/>
    <w:rsid w:val="00B36F72"/>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ables">
    <w:name w:val="Tables"/>
    <w:basedOn w:val="Normal"/>
    <w:link w:val="TablesChar"/>
    <w:semiHidden/>
    <w:rsid w:val="00EF1FFC"/>
    <w:pPr>
      <w:widowControl w:val="0"/>
      <w:spacing w:after="0"/>
    </w:pPr>
    <w:rPr>
      <w:rFonts w:asciiTheme="minorHAnsi" w:hAnsiTheme="minorHAnsi" w:cs="Arial"/>
      <w:sz w:val="20"/>
      <w:szCs w:val="20"/>
    </w:rPr>
  </w:style>
  <w:style w:type="character" w:customStyle="1" w:styleId="TablesChar">
    <w:name w:val="Tables Char"/>
    <w:link w:val="Tables"/>
    <w:semiHidden/>
    <w:rsid w:val="00EF1FFC"/>
    <w:rPr>
      <w:rFonts w:eastAsia="Times New Roman" w:cs="Arial"/>
      <w:sz w:val="20"/>
      <w:szCs w:val="20"/>
    </w:rPr>
  </w:style>
  <w:style w:type="paragraph" w:customStyle="1" w:styleId="BodyTextIn">
    <w:name w:val="Body Text In"/>
    <w:rsid w:val="00A42E82"/>
    <w:pPr>
      <w:widowControl w:val="0"/>
      <w:autoSpaceDE w:val="0"/>
      <w:autoSpaceDN w:val="0"/>
      <w:adjustRightInd w:val="0"/>
      <w:spacing w:after="0" w:line="240" w:lineRule="auto"/>
      <w:ind w:firstLine="720"/>
      <w:jc w:val="both"/>
    </w:pPr>
    <w:rPr>
      <w:rFonts w:ascii="Book Antiqua" w:eastAsia="Times New Roman" w:hAnsi="Book Antiqua" w:cs="Book Antiqua"/>
      <w:sz w:val="24"/>
      <w:szCs w:val="24"/>
    </w:rPr>
  </w:style>
  <w:style w:type="paragraph" w:customStyle="1" w:styleId="BulletedTxt">
    <w:name w:val="Bulleted Txt"/>
    <w:basedOn w:val="Normal"/>
    <w:rsid w:val="00A42E82"/>
    <w:pPr>
      <w:ind w:left="360" w:hanging="360"/>
    </w:pPr>
  </w:style>
  <w:style w:type="paragraph" w:customStyle="1" w:styleId="StyleHeading4After1075pt">
    <w:name w:val="Style Heading 4 + After:  10.75 pt"/>
    <w:basedOn w:val="Heading4"/>
    <w:rsid w:val="00A42E82"/>
    <w:pPr>
      <w:keepNext w:val="0"/>
      <w:spacing w:before="160" w:after="160"/>
    </w:pPr>
    <w:rPr>
      <w:b w:val="0"/>
      <w:bCs/>
      <w:szCs w:val="20"/>
    </w:rPr>
  </w:style>
  <w:style w:type="paragraph" w:customStyle="1" w:styleId="StyleHeading4Left025After1075pt">
    <w:name w:val="Style Heading 4 + Left:  0.25&quot; After:  10.75 pt"/>
    <w:basedOn w:val="Heading4"/>
    <w:rsid w:val="00A42E82"/>
    <w:pPr>
      <w:keepNext w:val="0"/>
      <w:spacing w:before="160" w:after="160"/>
      <w:ind w:left="360"/>
    </w:pPr>
    <w:rPr>
      <w:b w:val="0"/>
      <w:bCs/>
      <w:szCs w:val="20"/>
    </w:rPr>
  </w:style>
  <w:style w:type="paragraph" w:customStyle="1" w:styleId="BulletText">
    <w:name w:val="Bullet Text"/>
    <w:basedOn w:val="Normal"/>
    <w:semiHidden/>
    <w:rsid w:val="00A42E82"/>
    <w:pPr>
      <w:spacing w:after="110"/>
      <w:ind w:left="774" w:right="432" w:hanging="342"/>
      <w:jc w:val="both"/>
    </w:pPr>
    <w:rPr>
      <w:rFonts w:ascii="Shruti" w:hAnsi="Shruti" w:cs="Shruti"/>
      <w:sz w:val="22"/>
      <w:szCs w:val="22"/>
    </w:rPr>
  </w:style>
  <w:style w:type="character" w:customStyle="1" w:styleId="a">
    <w:name w:val="_"/>
    <w:semiHidden/>
    <w:rsid w:val="00A42E82"/>
  </w:style>
  <w:style w:type="character" w:styleId="PageNumber">
    <w:name w:val="page number"/>
    <w:basedOn w:val="DefaultParagraphFont"/>
    <w:semiHidden/>
    <w:rsid w:val="00B36F72"/>
  </w:style>
  <w:style w:type="numbering" w:styleId="111111">
    <w:name w:val="Outline List 2"/>
    <w:basedOn w:val="NoList"/>
    <w:semiHidden/>
    <w:rsid w:val="00A42E82"/>
    <w:pPr>
      <w:numPr>
        <w:numId w:val="3"/>
      </w:numPr>
    </w:pPr>
  </w:style>
  <w:style w:type="numbering" w:styleId="1ai">
    <w:name w:val="Outline List 1"/>
    <w:basedOn w:val="NoList"/>
    <w:semiHidden/>
    <w:rsid w:val="00A42E82"/>
    <w:pPr>
      <w:numPr>
        <w:numId w:val="4"/>
      </w:numPr>
    </w:pPr>
  </w:style>
  <w:style w:type="numbering" w:styleId="ArticleSection">
    <w:name w:val="Outline List 3"/>
    <w:basedOn w:val="NoList"/>
    <w:semiHidden/>
    <w:rsid w:val="00A42E82"/>
    <w:pPr>
      <w:numPr>
        <w:numId w:val="5"/>
      </w:numPr>
    </w:pPr>
  </w:style>
  <w:style w:type="paragraph" w:styleId="BlockText">
    <w:name w:val="Block Text"/>
    <w:basedOn w:val="Normal"/>
    <w:semiHidden/>
    <w:rsid w:val="00A42E82"/>
    <w:pPr>
      <w:spacing w:after="120"/>
      <w:ind w:left="1440" w:right="1440"/>
    </w:pPr>
  </w:style>
  <w:style w:type="paragraph" w:styleId="BodyText">
    <w:name w:val="Body Text"/>
    <w:basedOn w:val="Normal"/>
    <w:link w:val="BodyTextChar"/>
    <w:semiHidden/>
    <w:rsid w:val="00A42E82"/>
    <w:pPr>
      <w:spacing w:after="120"/>
    </w:pPr>
  </w:style>
  <w:style w:type="character" w:customStyle="1" w:styleId="BodyTextChar">
    <w:name w:val="Body Text Char"/>
    <w:basedOn w:val="DefaultParagraphFont"/>
    <w:link w:val="BodyText"/>
    <w:semiHidden/>
    <w:rsid w:val="00A42E82"/>
    <w:rPr>
      <w:rFonts w:ascii="Times New Roman" w:eastAsia="Times New Roman" w:hAnsi="Times New Roman" w:cs="Times New Roman"/>
      <w:sz w:val="24"/>
      <w:szCs w:val="24"/>
    </w:rPr>
  </w:style>
  <w:style w:type="paragraph" w:styleId="BodyText2">
    <w:name w:val="Body Text 2"/>
    <w:basedOn w:val="Normal"/>
    <w:link w:val="BodyText2Char"/>
    <w:semiHidden/>
    <w:rsid w:val="00A42E82"/>
    <w:pPr>
      <w:spacing w:after="120" w:line="480" w:lineRule="auto"/>
    </w:pPr>
  </w:style>
  <w:style w:type="character" w:customStyle="1" w:styleId="BodyText2Char">
    <w:name w:val="Body Text 2 Char"/>
    <w:basedOn w:val="DefaultParagraphFont"/>
    <w:link w:val="BodyText2"/>
    <w:semiHidden/>
    <w:rsid w:val="00A42E82"/>
    <w:rPr>
      <w:rFonts w:ascii="Times New Roman" w:eastAsia="Times New Roman" w:hAnsi="Times New Roman" w:cs="Times New Roman"/>
      <w:sz w:val="24"/>
      <w:szCs w:val="24"/>
    </w:rPr>
  </w:style>
  <w:style w:type="paragraph" w:styleId="BodyText3">
    <w:name w:val="Body Text 3"/>
    <w:basedOn w:val="Normal"/>
    <w:link w:val="BodyText3Char"/>
    <w:semiHidden/>
    <w:rsid w:val="00A42E82"/>
    <w:pPr>
      <w:spacing w:after="120"/>
    </w:pPr>
    <w:rPr>
      <w:sz w:val="16"/>
      <w:szCs w:val="16"/>
    </w:rPr>
  </w:style>
  <w:style w:type="character" w:customStyle="1" w:styleId="BodyText3Char">
    <w:name w:val="Body Text 3 Char"/>
    <w:basedOn w:val="DefaultParagraphFont"/>
    <w:link w:val="BodyText3"/>
    <w:semiHidden/>
    <w:rsid w:val="00A42E82"/>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A42E82"/>
    <w:pPr>
      <w:ind w:firstLine="210"/>
    </w:pPr>
  </w:style>
  <w:style w:type="character" w:customStyle="1" w:styleId="BodyTextFirstIndentChar">
    <w:name w:val="Body Text First Indent Char"/>
    <w:basedOn w:val="BodyTextChar"/>
    <w:link w:val="BodyTextFirstIndent"/>
    <w:semiHidden/>
    <w:rsid w:val="00A42E82"/>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42E82"/>
    <w:pPr>
      <w:spacing w:after="120"/>
      <w:ind w:left="360"/>
    </w:pPr>
  </w:style>
  <w:style w:type="character" w:customStyle="1" w:styleId="BodyTextIndentChar">
    <w:name w:val="Body Text Indent Char"/>
    <w:basedOn w:val="DefaultParagraphFont"/>
    <w:link w:val="BodyTextIndent"/>
    <w:semiHidden/>
    <w:rsid w:val="00A42E8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A42E82"/>
    <w:pPr>
      <w:ind w:firstLine="210"/>
    </w:pPr>
  </w:style>
  <w:style w:type="character" w:customStyle="1" w:styleId="BodyTextFirstIndent2Char">
    <w:name w:val="Body Text First Indent 2 Char"/>
    <w:basedOn w:val="BodyTextIndentChar"/>
    <w:link w:val="BodyTextFirstIndent2"/>
    <w:semiHidden/>
    <w:rsid w:val="00A42E8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42E82"/>
    <w:pPr>
      <w:spacing w:after="120" w:line="480" w:lineRule="auto"/>
      <w:ind w:left="360"/>
    </w:pPr>
  </w:style>
  <w:style w:type="character" w:customStyle="1" w:styleId="BodyTextIndent2Char">
    <w:name w:val="Body Text Indent 2 Char"/>
    <w:basedOn w:val="DefaultParagraphFont"/>
    <w:link w:val="BodyTextIndent2"/>
    <w:semiHidden/>
    <w:rsid w:val="00A42E8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42E82"/>
    <w:pPr>
      <w:spacing w:after="120"/>
      <w:ind w:left="360"/>
    </w:pPr>
    <w:rPr>
      <w:sz w:val="16"/>
      <w:szCs w:val="16"/>
    </w:rPr>
  </w:style>
  <w:style w:type="character" w:customStyle="1" w:styleId="BodyTextIndent3Char">
    <w:name w:val="Body Text Indent 3 Char"/>
    <w:basedOn w:val="DefaultParagraphFont"/>
    <w:link w:val="BodyTextIndent3"/>
    <w:semiHidden/>
    <w:rsid w:val="00A42E82"/>
    <w:rPr>
      <w:rFonts w:ascii="Times New Roman" w:eastAsia="Times New Roman" w:hAnsi="Times New Roman" w:cs="Times New Roman"/>
      <w:sz w:val="16"/>
      <w:szCs w:val="16"/>
    </w:rPr>
  </w:style>
  <w:style w:type="paragraph" w:styleId="Closing">
    <w:name w:val="Closing"/>
    <w:basedOn w:val="Normal"/>
    <w:link w:val="ClosingChar"/>
    <w:semiHidden/>
    <w:rsid w:val="00A42E82"/>
    <w:pPr>
      <w:ind w:left="4320"/>
    </w:pPr>
  </w:style>
  <w:style w:type="character" w:customStyle="1" w:styleId="ClosingChar">
    <w:name w:val="Closing Char"/>
    <w:basedOn w:val="DefaultParagraphFont"/>
    <w:link w:val="Closing"/>
    <w:semiHidden/>
    <w:rsid w:val="00A42E82"/>
    <w:rPr>
      <w:rFonts w:ascii="Times New Roman" w:eastAsia="Times New Roman" w:hAnsi="Times New Roman" w:cs="Times New Roman"/>
      <w:sz w:val="24"/>
      <w:szCs w:val="24"/>
    </w:rPr>
  </w:style>
  <w:style w:type="paragraph" w:styleId="Date">
    <w:name w:val="Date"/>
    <w:basedOn w:val="Normal"/>
    <w:next w:val="Normal"/>
    <w:link w:val="DateChar"/>
    <w:semiHidden/>
    <w:rsid w:val="00A42E82"/>
  </w:style>
  <w:style w:type="character" w:customStyle="1" w:styleId="DateChar">
    <w:name w:val="Date Char"/>
    <w:basedOn w:val="DefaultParagraphFont"/>
    <w:link w:val="Date"/>
    <w:semiHidden/>
    <w:rsid w:val="00A42E82"/>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A42E82"/>
  </w:style>
  <w:style w:type="character" w:customStyle="1" w:styleId="E-mailSignatureChar">
    <w:name w:val="E-mail Signature Char"/>
    <w:basedOn w:val="DefaultParagraphFont"/>
    <w:link w:val="E-mailSignature"/>
    <w:semiHidden/>
    <w:rsid w:val="00A42E82"/>
    <w:rPr>
      <w:rFonts w:ascii="Times New Roman" w:eastAsia="Times New Roman" w:hAnsi="Times New Roman" w:cs="Times New Roman"/>
      <w:sz w:val="24"/>
      <w:szCs w:val="24"/>
    </w:rPr>
  </w:style>
  <w:style w:type="character" w:styleId="Emphasis">
    <w:name w:val="Emphasis"/>
    <w:qFormat/>
    <w:rsid w:val="00A42E82"/>
    <w:rPr>
      <w:i/>
      <w:iCs/>
    </w:rPr>
  </w:style>
  <w:style w:type="paragraph" w:styleId="EnvelopeAddress">
    <w:name w:val="envelope address"/>
    <w:basedOn w:val="Normal"/>
    <w:semiHidden/>
    <w:rsid w:val="00A42E8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42E82"/>
    <w:rPr>
      <w:rFonts w:ascii="Arial" w:hAnsi="Arial" w:cs="Arial"/>
      <w:sz w:val="20"/>
      <w:szCs w:val="20"/>
    </w:rPr>
  </w:style>
  <w:style w:type="character" w:styleId="FollowedHyperlink">
    <w:name w:val="FollowedHyperlink"/>
    <w:semiHidden/>
    <w:rsid w:val="00A42E82"/>
    <w:rPr>
      <w:color w:val="800080"/>
      <w:u w:val="single"/>
    </w:rPr>
  </w:style>
  <w:style w:type="character" w:styleId="HTMLAcronym">
    <w:name w:val="HTML Acronym"/>
    <w:basedOn w:val="DefaultParagraphFont"/>
    <w:semiHidden/>
    <w:rsid w:val="00A42E82"/>
  </w:style>
  <w:style w:type="paragraph" w:styleId="HTMLAddress">
    <w:name w:val="HTML Address"/>
    <w:basedOn w:val="Normal"/>
    <w:link w:val="HTMLAddressChar"/>
    <w:semiHidden/>
    <w:rsid w:val="00A42E82"/>
    <w:rPr>
      <w:i/>
      <w:iCs/>
    </w:rPr>
  </w:style>
  <w:style w:type="character" w:customStyle="1" w:styleId="HTMLAddressChar">
    <w:name w:val="HTML Address Char"/>
    <w:basedOn w:val="DefaultParagraphFont"/>
    <w:link w:val="HTMLAddress"/>
    <w:semiHidden/>
    <w:rsid w:val="00A42E82"/>
    <w:rPr>
      <w:rFonts w:ascii="Times New Roman" w:eastAsia="Times New Roman" w:hAnsi="Times New Roman" w:cs="Times New Roman"/>
      <w:i/>
      <w:iCs/>
      <w:sz w:val="24"/>
      <w:szCs w:val="24"/>
    </w:rPr>
  </w:style>
  <w:style w:type="character" w:styleId="HTMLCite">
    <w:name w:val="HTML Cite"/>
    <w:semiHidden/>
    <w:rsid w:val="00A42E82"/>
    <w:rPr>
      <w:i/>
      <w:iCs/>
    </w:rPr>
  </w:style>
  <w:style w:type="character" w:styleId="HTMLCode">
    <w:name w:val="HTML Code"/>
    <w:semiHidden/>
    <w:rsid w:val="00A42E82"/>
    <w:rPr>
      <w:rFonts w:ascii="Courier New" w:hAnsi="Courier New" w:cs="Courier New"/>
      <w:sz w:val="20"/>
      <w:szCs w:val="20"/>
    </w:rPr>
  </w:style>
  <w:style w:type="character" w:styleId="HTMLDefinition">
    <w:name w:val="HTML Definition"/>
    <w:semiHidden/>
    <w:rsid w:val="00A42E82"/>
    <w:rPr>
      <w:i/>
      <w:iCs/>
    </w:rPr>
  </w:style>
  <w:style w:type="character" w:styleId="HTMLKeyboard">
    <w:name w:val="HTML Keyboard"/>
    <w:semiHidden/>
    <w:rsid w:val="00A42E82"/>
    <w:rPr>
      <w:rFonts w:ascii="Courier New" w:hAnsi="Courier New" w:cs="Courier New"/>
      <w:sz w:val="20"/>
      <w:szCs w:val="20"/>
    </w:rPr>
  </w:style>
  <w:style w:type="paragraph" w:styleId="HTMLPreformatted">
    <w:name w:val="HTML Preformatted"/>
    <w:basedOn w:val="Normal"/>
    <w:link w:val="HTMLPreformattedChar"/>
    <w:semiHidden/>
    <w:rsid w:val="00A42E8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42E82"/>
    <w:rPr>
      <w:rFonts w:ascii="Courier New" w:eastAsia="Times New Roman" w:hAnsi="Courier New" w:cs="Courier New"/>
      <w:sz w:val="20"/>
      <w:szCs w:val="20"/>
    </w:rPr>
  </w:style>
  <w:style w:type="character" w:styleId="HTMLSample">
    <w:name w:val="HTML Sample"/>
    <w:semiHidden/>
    <w:rsid w:val="00A42E82"/>
    <w:rPr>
      <w:rFonts w:ascii="Courier New" w:hAnsi="Courier New" w:cs="Courier New"/>
    </w:rPr>
  </w:style>
  <w:style w:type="character" w:styleId="HTMLTypewriter">
    <w:name w:val="HTML Typewriter"/>
    <w:semiHidden/>
    <w:rsid w:val="00A42E82"/>
    <w:rPr>
      <w:rFonts w:ascii="Courier New" w:hAnsi="Courier New" w:cs="Courier New"/>
      <w:sz w:val="20"/>
      <w:szCs w:val="20"/>
    </w:rPr>
  </w:style>
  <w:style w:type="character" w:styleId="HTMLVariable">
    <w:name w:val="HTML Variable"/>
    <w:semiHidden/>
    <w:rsid w:val="00A42E82"/>
    <w:rPr>
      <w:i/>
      <w:iCs/>
    </w:rPr>
  </w:style>
  <w:style w:type="character" w:styleId="LineNumber">
    <w:name w:val="line number"/>
    <w:basedOn w:val="DefaultParagraphFont"/>
    <w:semiHidden/>
    <w:rsid w:val="00A42E82"/>
  </w:style>
  <w:style w:type="paragraph" w:styleId="List2">
    <w:name w:val="List 2"/>
    <w:basedOn w:val="Normal"/>
    <w:semiHidden/>
    <w:rsid w:val="00A42E82"/>
    <w:pPr>
      <w:ind w:left="720" w:hanging="360"/>
    </w:pPr>
  </w:style>
  <w:style w:type="paragraph" w:styleId="List3">
    <w:name w:val="List 3"/>
    <w:basedOn w:val="Normal"/>
    <w:semiHidden/>
    <w:rsid w:val="00A42E82"/>
    <w:pPr>
      <w:ind w:left="1080" w:hanging="360"/>
    </w:pPr>
  </w:style>
  <w:style w:type="paragraph" w:styleId="List4">
    <w:name w:val="List 4"/>
    <w:basedOn w:val="Normal"/>
    <w:semiHidden/>
    <w:rsid w:val="00A42E82"/>
    <w:pPr>
      <w:ind w:left="1440" w:hanging="360"/>
    </w:pPr>
  </w:style>
  <w:style w:type="paragraph" w:styleId="List5">
    <w:name w:val="List 5"/>
    <w:basedOn w:val="Normal"/>
    <w:semiHidden/>
    <w:rsid w:val="00A42E82"/>
    <w:pPr>
      <w:ind w:left="1800" w:hanging="360"/>
    </w:pPr>
  </w:style>
  <w:style w:type="paragraph" w:styleId="ListBullet">
    <w:name w:val="List Bullet"/>
    <w:basedOn w:val="Normal"/>
    <w:semiHidden/>
    <w:rsid w:val="00A42E82"/>
    <w:pPr>
      <w:tabs>
        <w:tab w:val="num" w:pos="360"/>
      </w:tabs>
      <w:ind w:left="360" w:hanging="360"/>
    </w:pPr>
  </w:style>
  <w:style w:type="paragraph" w:styleId="ListBullet2">
    <w:name w:val="List Bullet 2"/>
    <w:basedOn w:val="Normal"/>
    <w:semiHidden/>
    <w:rsid w:val="00A42E82"/>
    <w:pPr>
      <w:tabs>
        <w:tab w:val="num" w:pos="720"/>
      </w:tabs>
      <w:ind w:left="720" w:hanging="360"/>
    </w:pPr>
  </w:style>
  <w:style w:type="paragraph" w:styleId="ListBullet3">
    <w:name w:val="List Bullet 3"/>
    <w:basedOn w:val="Normal"/>
    <w:semiHidden/>
    <w:rsid w:val="00A42E82"/>
    <w:pPr>
      <w:tabs>
        <w:tab w:val="num" w:pos="1080"/>
      </w:tabs>
      <w:ind w:left="1080" w:hanging="360"/>
    </w:pPr>
  </w:style>
  <w:style w:type="paragraph" w:styleId="ListBullet4">
    <w:name w:val="List Bullet 4"/>
    <w:basedOn w:val="Normal"/>
    <w:semiHidden/>
    <w:rsid w:val="00A42E82"/>
    <w:pPr>
      <w:tabs>
        <w:tab w:val="num" w:pos="1440"/>
      </w:tabs>
      <w:ind w:left="1440" w:hanging="360"/>
    </w:pPr>
  </w:style>
  <w:style w:type="paragraph" w:styleId="ListBullet5">
    <w:name w:val="List Bullet 5"/>
    <w:basedOn w:val="Normal"/>
    <w:semiHidden/>
    <w:rsid w:val="00A42E82"/>
    <w:pPr>
      <w:tabs>
        <w:tab w:val="num" w:pos="1800"/>
      </w:tabs>
      <w:ind w:left="1800" w:hanging="360"/>
    </w:pPr>
  </w:style>
  <w:style w:type="paragraph" w:styleId="ListContinue">
    <w:name w:val="List Continue"/>
    <w:basedOn w:val="Normal"/>
    <w:semiHidden/>
    <w:rsid w:val="00A42E82"/>
    <w:pPr>
      <w:spacing w:after="120"/>
      <w:ind w:left="360"/>
    </w:pPr>
  </w:style>
  <w:style w:type="paragraph" w:styleId="ListContinue2">
    <w:name w:val="List Continue 2"/>
    <w:basedOn w:val="Normal"/>
    <w:semiHidden/>
    <w:rsid w:val="00A42E82"/>
    <w:pPr>
      <w:spacing w:after="120"/>
      <w:ind w:left="720"/>
    </w:pPr>
  </w:style>
  <w:style w:type="paragraph" w:styleId="ListContinue3">
    <w:name w:val="List Continue 3"/>
    <w:basedOn w:val="Normal"/>
    <w:semiHidden/>
    <w:rsid w:val="00A42E82"/>
    <w:pPr>
      <w:spacing w:after="120"/>
      <w:ind w:left="1080"/>
    </w:pPr>
  </w:style>
  <w:style w:type="paragraph" w:styleId="ListContinue4">
    <w:name w:val="List Continue 4"/>
    <w:basedOn w:val="Normal"/>
    <w:semiHidden/>
    <w:rsid w:val="00A42E82"/>
    <w:pPr>
      <w:spacing w:after="120"/>
      <w:ind w:left="1440"/>
    </w:pPr>
  </w:style>
  <w:style w:type="paragraph" w:styleId="ListContinue5">
    <w:name w:val="List Continue 5"/>
    <w:basedOn w:val="Normal"/>
    <w:semiHidden/>
    <w:rsid w:val="00A42E82"/>
    <w:pPr>
      <w:spacing w:after="120"/>
      <w:ind w:left="1800"/>
    </w:pPr>
  </w:style>
  <w:style w:type="paragraph" w:styleId="ListNumber">
    <w:name w:val="List Number"/>
    <w:basedOn w:val="Normal"/>
    <w:semiHidden/>
    <w:rsid w:val="00A42E82"/>
    <w:pPr>
      <w:tabs>
        <w:tab w:val="num" w:pos="360"/>
      </w:tabs>
      <w:ind w:left="360" w:hanging="360"/>
    </w:pPr>
  </w:style>
  <w:style w:type="paragraph" w:styleId="ListNumber2">
    <w:name w:val="List Number 2"/>
    <w:basedOn w:val="Normal"/>
    <w:semiHidden/>
    <w:rsid w:val="00A42E82"/>
    <w:pPr>
      <w:tabs>
        <w:tab w:val="num" w:pos="720"/>
      </w:tabs>
      <w:ind w:left="720" w:hanging="360"/>
    </w:pPr>
  </w:style>
  <w:style w:type="paragraph" w:styleId="ListNumber3">
    <w:name w:val="List Number 3"/>
    <w:basedOn w:val="Normal"/>
    <w:semiHidden/>
    <w:rsid w:val="00A42E82"/>
    <w:pPr>
      <w:tabs>
        <w:tab w:val="num" w:pos="1080"/>
      </w:tabs>
      <w:ind w:left="1080" w:hanging="360"/>
    </w:pPr>
  </w:style>
  <w:style w:type="paragraph" w:styleId="ListNumber4">
    <w:name w:val="List Number 4"/>
    <w:basedOn w:val="Normal"/>
    <w:semiHidden/>
    <w:rsid w:val="00A42E82"/>
    <w:pPr>
      <w:tabs>
        <w:tab w:val="num" w:pos="1440"/>
      </w:tabs>
      <w:ind w:left="1440" w:hanging="360"/>
    </w:pPr>
  </w:style>
  <w:style w:type="paragraph" w:styleId="ListNumber5">
    <w:name w:val="List Number 5"/>
    <w:basedOn w:val="Normal"/>
    <w:semiHidden/>
    <w:rsid w:val="00A42E82"/>
    <w:pPr>
      <w:tabs>
        <w:tab w:val="num" w:pos="1800"/>
      </w:tabs>
      <w:ind w:left="1800" w:hanging="360"/>
    </w:pPr>
  </w:style>
  <w:style w:type="paragraph" w:styleId="MessageHeader">
    <w:name w:val="Message Header"/>
    <w:basedOn w:val="Normal"/>
    <w:link w:val="MessageHeaderChar"/>
    <w:semiHidden/>
    <w:rsid w:val="00A42E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42E82"/>
    <w:rPr>
      <w:rFonts w:ascii="Arial" w:eastAsia="Times New Roman" w:hAnsi="Arial" w:cs="Arial"/>
      <w:sz w:val="24"/>
      <w:szCs w:val="24"/>
      <w:shd w:val="pct20" w:color="auto" w:fill="auto"/>
    </w:rPr>
  </w:style>
  <w:style w:type="paragraph" w:styleId="NormalWeb">
    <w:name w:val="Normal (Web)"/>
    <w:basedOn w:val="Normal"/>
    <w:semiHidden/>
    <w:rsid w:val="00A42E82"/>
  </w:style>
  <w:style w:type="paragraph" w:styleId="NormalIndent">
    <w:name w:val="Normal Indent"/>
    <w:basedOn w:val="Normal"/>
    <w:semiHidden/>
    <w:rsid w:val="00A42E82"/>
    <w:pPr>
      <w:ind w:left="720"/>
    </w:pPr>
  </w:style>
  <w:style w:type="paragraph" w:styleId="NoteHeading">
    <w:name w:val="Note Heading"/>
    <w:basedOn w:val="Normal"/>
    <w:next w:val="Normal"/>
    <w:link w:val="NoteHeadingChar"/>
    <w:semiHidden/>
    <w:rsid w:val="00A42E82"/>
  </w:style>
  <w:style w:type="character" w:customStyle="1" w:styleId="NoteHeadingChar">
    <w:name w:val="Note Heading Char"/>
    <w:basedOn w:val="DefaultParagraphFont"/>
    <w:link w:val="NoteHeading"/>
    <w:semiHidden/>
    <w:rsid w:val="00A42E82"/>
    <w:rPr>
      <w:rFonts w:ascii="Times New Roman" w:eastAsia="Times New Roman" w:hAnsi="Times New Roman" w:cs="Times New Roman"/>
      <w:sz w:val="24"/>
      <w:szCs w:val="24"/>
    </w:rPr>
  </w:style>
  <w:style w:type="paragraph" w:styleId="PlainText">
    <w:name w:val="Plain Text"/>
    <w:basedOn w:val="Normal"/>
    <w:link w:val="PlainTextChar"/>
    <w:uiPriority w:val="99"/>
    <w:semiHidden/>
    <w:rsid w:val="00A42E8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42E82"/>
    <w:rPr>
      <w:rFonts w:ascii="Courier New" w:eastAsia="Times New Roman" w:hAnsi="Courier New" w:cs="Courier New"/>
      <w:sz w:val="20"/>
      <w:szCs w:val="20"/>
    </w:rPr>
  </w:style>
  <w:style w:type="paragraph" w:styleId="Salutation">
    <w:name w:val="Salutation"/>
    <w:basedOn w:val="Normal"/>
    <w:next w:val="Normal"/>
    <w:link w:val="SalutationChar"/>
    <w:semiHidden/>
    <w:rsid w:val="00A42E82"/>
  </w:style>
  <w:style w:type="character" w:customStyle="1" w:styleId="SalutationChar">
    <w:name w:val="Salutation Char"/>
    <w:basedOn w:val="DefaultParagraphFont"/>
    <w:link w:val="Salutation"/>
    <w:semiHidden/>
    <w:rsid w:val="00A42E82"/>
    <w:rPr>
      <w:rFonts w:ascii="Times New Roman" w:eastAsia="Times New Roman" w:hAnsi="Times New Roman" w:cs="Times New Roman"/>
      <w:sz w:val="24"/>
      <w:szCs w:val="24"/>
    </w:rPr>
  </w:style>
  <w:style w:type="paragraph" w:styleId="Signature">
    <w:name w:val="Signature"/>
    <w:basedOn w:val="Normal"/>
    <w:link w:val="SignatureChar"/>
    <w:semiHidden/>
    <w:rsid w:val="00A42E82"/>
    <w:pPr>
      <w:ind w:left="4320"/>
    </w:pPr>
  </w:style>
  <w:style w:type="character" w:customStyle="1" w:styleId="SignatureChar">
    <w:name w:val="Signature Char"/>
    <w:basedOn w:val="DefaultParagraphFont"/>
    <w:link w:val="Signature"/>
    <w:semiHidden/>
    <w:rsid w:val="00A42E82"/>
    <w:rPr>
      <w:rFonts w:ascii="Times New Roman" w:eastAsia="Times New Roman" w:hAnsi="Times New Roman" w:cs="Times New Roman"/>
      <w:sz w:val="24"/>
      <w:szCs w:val="24"/>
    </w:rPr>
  </w:style>
  <w:style w:type="character" w:styleId="Strong">
    <w:name w:val="Strong"/>
    <w:qFormat/>
    <w:rsid w:val="00A42E82"/>
    <w:rPr>
      <w:b/>
      <w:bCs/>
    </w:rPr>
  </w:style>
  <w:style w:type="paragraph" w:styleId="Subtitle">
    <w:name w:val="Subtitle"/>
    <w:basedOn w:val="Normal"/>
    <w:link w:val="SubtitleChar"/>
    <w:qFormat/>
    <w:rsid w:val="00A42E82"/>
    <w:pPr>
      <w:spacing w:after="60"/>
      <w:jc w:val="center"/>
      <w:outlineLvl w:val="1"/>
    </w:pPr>
    <w:rPr>
      <w:rFonts w:ascii="Arial" w:hAnsi="Arial" w:cs="Arial"/>
    </w:rPr>
  </w:style>
  <w:style w:type="character" w:customStyle="1" w:styleId="SubtitleChar">
    <w:name w:val="Subtitle Char"/>
    <w:basedOn w:val="DefaultParagraphFont"/>
    <w:link w:val="Subtitle"/>
    <w:rsid w:val="00A42E82"/>
    <w:rPr>
      <w:rFonts w:ascii="Arial" w:eastAsia="Times New Roman" w:hAnsi="Arial" w:cs="Arial"/>
      <w:sz w:val="24"/>
      <w:szCs w:val="24"/>
    </w:rPr>
  </w:style>
  <w:style w:type="table" w:styleId="Table3Deffects1">
    <w:name w:val="Table 3D effect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A42E82"/>
    <w:pPr>
      <w:ind w:left="720"/>
    </w:pPr>
    <w:rPr>
      <w:sz w:val="20"/>
      <w:szCs w:val="20"/>
    </w:rPr>
  </w:style>
  <w:style w:type="paragraph" w:styleId="TOC5">
    <w:name w:val="toc 5"/>
    <w:basedOn w:val="Normal"/>
    <w:next w:val="Normal"/>
    <w:autoRedefine/>
    <w:uiPriority w:val="39"/>
    <w:rsid w:val="00A42E82"/>
    <w:pPr>
      <w:ind w:left="960"/>
    </w:pPr>
    <w:rPr>
      <w:sz w:val="20"/>
      <w:szCs w:val="20"/>
    </w:rPr>
  </w:style>
  <w:style w:type="paragraph" w:styleId="TOC6">
    <w:name w:val="toc 6"/>
    <w:basedOn w:val="Normal"/>
    <w:next w:val="Normal"/>
    <w:autoRedefine/>
    <w:uiPriority w:val="39"/>
    <w:rsid w:val="00A42E82"/>
    <w:pPr>
      <w:ind w:left="1200"/>
    </w:pPr>
    <w:rPr>
      <w:sz w:val="20"/>
      <w:szCs w:val="20"/>
    </w:rPr>
  </w:style>
  <w:style w:type="paragraph" w:styleId="TOC7">
    <w:name w:val="toc 7"/>
    <w:basedOn w:val="Normal"/>
    <w:next w:val="Normal"/>
    <w:autoRedefine/>
    <w:uiPriority w:val="39"/>
    <w:rsid w:val="00A42E82"/>
    <w:pPr>
      <w:ind w:left="1440"/>
    </w:pPr>
    <w:rPr>
      <w:sz w:val="20"/>
      <w:szCs w:val="20"/>
    </w:rPr>
  </w:style>
  <w:style w:type="paragraph" w:styleId="TOC8">
    <w:name w:val="toc 8"/>
    <w:basedOn w:val="Normal"/>
    <w:next w:val="Normal"/>
    <w:autoRedefine/>
    <w:uiPriority w:val="39"/>
    <w:rsid w:val="00A42E82"/>
    <w:pPr>
      <w:ind w:left="1680"/>
    </w:pPr>
    <w:rPr>
      <w:sz w:val="20"/>
      <w:szCs w:val="20"/>
    </w:rPr>
  </w:style>
  <w:style w:type="paragraph" w:styleId="TOC9">
    <w:name w:val="toc 9"/>
    <w:basedOn w:val="Normal"/>
    <w:next w:val="Normal"/>
    <w:autoRedefine/>
    <w:uiPriority w:val="39"/>
    <w:rsid w:val="00A42E82"/>
    <w:pPr>
      <w:ind w:left="1920"/>
    </w:pPr>
    <w:rPr>
      <w:sz w:val="20"/>
      <w:szCs w:val="20"/>
    </w:rPr>
  </w:style>
  <w:style w:type="paragraph" w:customStyle="1" w:styleId="CM14">
    <w:name w:val="CM14"/>
    <w:basedOn w:val="Normal"/>
    <w:next w:val="Normal"/>
    <w:rsid w:val="00A42E82"/>
    <w:pPr>
      <w:spacing w:after="90"/>
    </w:pPr>
    <w:rPr>
      <w:rFonts w:ascii="AMLOJ J+ Melior" w:hAnsi="AMLOJ J+ Melior"/>
    </w:rPr>
  </w:style>
  <w:style w:type="paragraph" w:styleId="TableofFigures">
    <w:name w:val="table of figures"/>
    <w:basedOn w:val="Normal"/>
    <w:next w:val="Normal"/>
    <w:semiHidden/>
    <w:rsid w:val="00A42E82"/>
  </w:style>
  <w:style w:type="paragraph" w:customStyle="1" w:styleId="Table">
    <w:name w:val="Table"/>
    <w:basedOn w:val="Normal"/>
    <w:rsid w:val="00A42E82"/>
    <w:pPr>
      <w:numPr>
        <w:ilvl w:val="12"/>
      </w:numPr>
    </w:pPr>
    <w:rPr>
      <w:b/>
      <w:bCs/>
    </w:rPr>
  </w:style>
  <w:style w:type="paragraph" w:customStyle="1" w:styleId="Exhibit">
    <w:name w:val="Exhibit"/>
    <w:basedOn w:val="Normal"/>
    <w:link w:val="ExhibitChar"/>
    <w:rsid w:val="00A42E82"/>
    <w:rPr>
      <w:b/>
    </w:rPr>
  </w:style>
  <w:style w:type="character" w:customStyle="1" w:styleId="ExhibitChar">
    <w:name w:val="Exhibit Char"/>
    <w:link w:val="Exhibit"/>
    <w:rsid w:val="00A42E82"/>
    <w:rPr>
      <w:rFonts w:ascii="Times New Roman" w:eastAsia="Times New Roman" w:hAnsi="Times New Roman" w:cs="Times New Roman"/>
      <w:b/>
      <w:sz w:val="24"/>
      <w:szCs w:val="24"/>
    </w:rPr>
  </w:style>
  <w:style w:type="paragraph" w:customStyle="1" w:styleId="Subhead1">
    <w:name w:val="Subhead 1"/>
    <w:basedOn w:val="Normal"/>
    <w:semiHidden/>
    <w:rsid w:val="00A42E82"/>
    <w:pPr>
      <w:spacing w:after="110"/>
      <w:ind w:left="432"/>
    </w:pPr>
    <w:rPr>
      <w:rFonts w:ascii="Shruti" w:hAnsi="Shruti" w:cs="Shruti"/>
      <w:sz w:val="22"/>
      <w:szCs w:val="22"/>
      <w:u w:val="single"/>
    </w:rPr>
  </w:style>
  <w:style w:type="paragraph" w:customStyle="1" w:styleId="4Exhibit">
    <w:name w:val="4Exhibit"/>
    <w:basedOn w:val="Normal"/>
    <w:rsid w:val="00A42E82"/>
    <w:pPr>
      <w:tabs>
        <w:tab w:val="right" w:pos="9360"/>
      </w:tabs>
    </w:pPr>
    <w:rPr>
      <w:b/>
      <w:iCs/>
    </w:rPr>
  </w:style>
  <w:style w:type="paragraph" w:customStyle="1" w:styleId="Normal12pt">
    <w:name w:val="Normal + 12 pt"/>
    <w:basedOn w:val="Normal"/>
    <w:rsid w:val="00A42E82"/>
    <w:pPr>
      <w:numPr>
        <w:ilvl w:val="12"/>
      </w:numPr>
      <w:tabs>
        <w:tab w:val="left" w:pos="-720"/>
        <w:tab w:val="left" w:pos="0"/>
        <w:tab w:val="left" w:pos="720"/>
        <w:tab w:val="left" w:pos="1152"/>
        <w:tab w:val="left" w:pos="1584"/>
      </w:tabs>
    </w:pPr>
  </w:style>
  <w:style w:type="paragraph" w:customStyle="1" w:styleId="3Header">
    <w:name w:val="3Header"/>
    <w:basedOn w:val="Normal"/>
    <w:rsid w:val="00A42E82"/>
    <w:pPr>
      <w:tabs>
        <w:tab w:val="left" w:pos="-720"/>
        <w:tab w:val="left" w:pos="0"/>
        <w:tab w:val="left" w:pos="720"/>
        <w:tab w:val="left" w:pos="1152"/>
        <w:tab w:val="left" w:pos="1584"/>
      </w:tabs>
      <w:spacing w:before="120" w:after="60"/>
      <w:ind w:left="720" w:hanging="720"/>
    </w:pPr>
    <w:rPr>
      <w:b/>
      <w:bCs/>
      <w:i/>
      <w:iCs/>
    </w:rPr>
  </w:style>
  <w:style w:type="paragraph" w:customStyle="1" w:styleId="Bullet1">
    <w:name w:val="Bullet 1"/>
    <w:basedOn w:val="Normal"/>
    <w:rsid w:val="00B36F72"/>
    <w:pPr>
      <w:keepNext/>
      <w:numPr>
        <w:numId w:val="18"/>
      </w:numPr>
      <w:autoSpaceDE/>
      <w:autoSpaceDN/>
      <w:adjustRightInd/>
      <w:spacing w:after="40"/>
    </w:pPr>
  </w:style>
  <w:style w:type="paragraph" w:customStyle="1" w:styleId="Bullet2">
    <w:name w:val="Bullet 2"/>
    <w:basedOn w:val="Normal"/>
    <w:rsid w:val="00A42E82"/>
    <w:pPr>
      <w:numPr>
        <w:ilvl w:val="1"/>
        <w:numId w:val="1"/>
      </w:numPr>
      <w:spacing w:after="40"/>
    </w:pPr>
  </w:style>
  <w:style w:type="character" w:customStyle="1" w:styleId="CharChar1">
    <w:name w:val="Char Char1"/>
    <w:rsid w:val="00A42E82"/>
    <w:rPr>
      <w:lang w:val="en-US" w:eastAsia="en-US" w:bidi="ar-SA"/>
    </w:rPr>
  </w:style>
  <w:style w:type="character" w:customStyle="1" w:styleId="CharChar25">
    <w:name w:val="Char Char25"/>
    <w:rsid w:val="00A42E82"/>
    <w:rPr>
      <w:lang w:val="en-US" w:eastAsia="en-US" w:bidi="ar-SA"/>
    </w:rPr>
  </w:style>
  <w:style w:type="character" w:customStyle="1" w:styleId="CharChar34">
    <w:name w:val="Char Char34"/>
    <w:rsid w:val="00A42E82"/>
    <w:rPr>
      <w:rFonts w:ascii="Arial" w:hAnsi="Arial" w:cs="Arial"/>
      <w:b/>
      <w:bCs/>
      <w:kern w:val="32"/>
      <w:sz w:val="36"/>
      <w:szCs w:val="32"/>
      <w:lang w:val="en-US" w:eastAsia="en-US" w:bidi="ar-SA"/>
    </w:rPr>
  </w:style>
  <w:style w:type="character" w:customStyle="1" w:styleId="CharChar20">
    <w:name w:val="Char Char20"/>
    <w:rsid w:val="00A42E82"/>
    <w:rPr>
      <w:sz w:val="24"/>
      <w:szCs w:val="24"/>
      <w:lang w:val="en-US" w:eastAsia="en-US" w:bidi="ar-SA"/>
    </w:rPr>
  </w:style>
  <w:style w:type="paragraph" w:styleId="EndnoteText">
    <w:name w:val="endnote text"/>
    <w:basedOn w:val="Normal"/>
    <w:link w:val="EndnoteTextChar"/>
    <w:semiHidden/>
    <w:rsid w:val="00A42E82"/>
    <w:pPr>
      <w:autoSpaceDE/>
      <w:autoSpaceDN/>
      <w:adjustRightInd/>
    </w:pPr>
    <w:rPr>
      <w:sz w:val="20"/>
      <w:szCs w:val="20"/>
    </w:rPr>
  </w:style>
  <w:style w:type="character" w:customStyle="1" w:styleId="EndnoteTextChar">
    <w:name w:val="Endnote Text Char"/>
    <w:basedOn w:val="DefaultParagraphFont"/>
    <w:link w:val="EndnoteText"/>
    <w:semiHidden/>
    <w:rsid w:val="00A42E82"/>
    <w:rPr>
      <w:rFonts w:ascii="Times New Roman" w:eastAsia="Times New Roman" w:hAnsi="Times New Roman" w:cs="Times New Roman"/>
      <w:sz w:val="20"/>
      <w:szCs w:val="20"/>
    </w:rPr>
  </w:style>
  <w:style w:type="character" w:styleId="EndnoteReference">
    <w:name w:val="endnote reference"/>
    <w:semiHidden/>
    <w:rsid w:val="00A42E82"/>
    <w:rPr>
      <w:vertAlign w:val="superscript"/>
    </w:rPr>
  </w:style>
  <w:style w:type="paragraph" w:customStyle="1" w:styleId="Default">
    <w:name w:val="Default"/>
    <w:rsid w:val="00A4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Factsheet">
    <w:name w:val="Bodytext_Factsheet"/>
    <w:basedOn w:val="Normal"/>
    <w:uiPriority w:val="99"/>
    <w:rsid w:val="00A42E82"/>
    <w:pPr>
      <w:autoSpaceDE/>
      <w:autoSpaceDN/>
      <w:adjustRightInd/>
      <w:ind w:firstLine="576"/>
    </w:pPr>
  </w:style>
  <w:style w:type="paragraph" w:styleId="ListParagraph">
    <w:name w:val="List Paragraph"/>
    <w:basedOn w:val="Normal"/>
    <w:uiPriority w:val="34"/>
    <w:qFormat/>
    <w:rsid w:val="00B36F72"/>
    <w:pPr>
      <w:ind w:left="720"/>
      <w:contextualSpacing/>
    </w:pPr>
  </w:style>
  <w:style w:type="paragraph" w:styleId="Revision">
    <w:name w:val="Revision"/>
    <w:hidden/>
    <w:uiPriority w:val="99"/>
    <w:semiHidden/>
    <w:rsid w:val="005A0595"/>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871F94"/>
    <w:pPr>
      <w:keepNext/>
      <w:spacing w:after="60"/>
    </w:pPr>
    <w:rPr>
      <w:rFonts w:asciiTheme="minorHAnsi" w:hAnsiTheme="minorHAnsi"/>
      <w:b/>
      <w:bCs/>
      <w:sz w:val="22"/>
      <w:szCs w:val="22"/>
    </w:rPr>
  </w:style>
  <w:style w:type="character" w:customStyle="1" w:styleId="ICR-4th">
    <w:name w:val="ICR-4th"/>
    <w:rsid w:val="00B36F72"/>
    <w:rPr>
      <w:i/>
      <w:iCs/>
    </w:rPr>
  </w:style>
  <w:style w:type="paragraph" w:customStyle="1" w:styleId="Level3">
    <w:name w:val="Level 3"/>
    <w:rsid w:val="00B36F72"/>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B36F72"/>
    <w:pPr>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Level5">
    <w:name w:val="Level 5"/>
    <w:rsid w:val="00B36F72"/>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B36F72"/>
    <w:pPr>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Level7">
    <w:name w:val="Level 7"/>
    <w:rsid w:val="00B36F72"/>
    <w:pPr>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Level8">
    <w:name w:val="Level 8"/>
    <w:rsid w:val="00B36F72"/>
    <w:pPr>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Level9">
    <w:name w:val="Level 9"/>
    <w:semiHidden/>
    <w:rsid w:val="00B36F72"/>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814FD"/>
    <w:pPr>
      <w:keepLines/>
      <w:autoSpaceDE/>
      <w:autoSpaceDN/>
      <w:adjustRightInd/>
      <w:spacing w:line="259" w:lineRule="auto"/>
      <w:outlineLvl w:val="9"/>
    </w:pPr>
    <w:rPr>
      <w:rFonts w:asciiTheme="majorHAnsi" w:eastAsiaTheme="majorEastAsia" w:hAnsiTheme="majorHAnsi" w:cstheme="majorBidi"/>
      <w:bCs w:val="0"/>
      <w:kern w:val="0"/>
    </w:rPr>
  </w:style>
  <w:style w:type="table" w:customStyle="1" w:styleId="TableGrid10">
    <w:name w:val="Table Grid1"/>
    <w:basedOn w:val="TableNormal"/>
    <w:next w:val="TableGrid"/>
    <w:uiPriority w:val="39"/>
    <w:rsid w:val="00E4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B1438"/>
    <w:rPr>
      <w:color w:val="2B579A"/>
      <w:shd w:val="clear" w:color="auto" w:fill="E6E6E6"/>
    </w:rPr>
  </w:style>
  <w:style w:type="paragraph" w:customStyle="1" w:styleId="Tablenote">
    <w:name w:val="Table note"/>
    <w:basedOn w:val="Normal"/>
    <w:qFormat/>
    <w:rsid w:val="00A30867"/>
    <w:pPr>
      <w:spacing w:before="60"/>
      <w:contextualSpacing/>
    </w:pPr>
    <w:rPr>
      <w:rFonts w:asciiTheme="minorHAnsi" w:hAnsiTheme="minorHAnsi" w:cs="Arial"/>
      <w:sz w:val="18"/>
      <w:szCs w:val="18"/>
    </w:rPr>
  </w:style>
  <w:style w:type="character" w:customStyle="1" w:styleId="p">
    <w:name w:val="p"/>
    <w:basedOn w:val="DefaultParagraphFont"/>
    <w:rsid w:val="005B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9E"/>
    <w:pPr>
      <w:autoSpaceDE w:val="0"/>
      <w:autoSpaceDN w:val="0"/>
      <w:adjustRightInd w:val="0"/>
      <w:spacing w:after="240"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1814FD"/>
    <w:pPr>
      <w:keepNext/>
      <w:spacing w:before="240" w:after="0"/>
      <w:ind w:left="720" w:hanging="720"/>
      <w:outlineLvl w:val="0"/>
    </w:pPr>
    <w:rPr>
      <w:rFonts w:asciiTheme="minorHAnsi" w:hAnsiTheme="minorHAnsi" w:cs="Arial"/>
      <w:b/>
      <w:bCs/>
      <w:kern w:val="32"/>
      <w:sz w:val="32"/>
      <w:szCs w:val="32"/>
    </w:rPr>
  </w:style>
  <w:style w:type="paragraph" w:styleId="Heading2">
    <w:name w:val="heading 2"/>
    <w:basedOn w:val="Normal"/>
    <w:next w:val="Normal"/>
    <w:link w:val="Heading2Char"/>
    <w:qFormat/>
    <w:rsid w:val="00F0499E"/>
    <w:pPr>
      <w:keepNext/>
      <w:spacing w:before="240" w:after="60"/>
      <w:ind w:left="720" w:hanging="720"/>
      <w:outlineLvl w:val="1"/>
    </w:pPr>
    <w:rPr>
      <w:rFonts w:asciiTheme="minorHAnsi" w:hAnsiTheme="minorHAnsi" w:cs="Arial"/>
      <w:b/>
      <w:bCs/>
      <w:i/>
      <w:iCs/>
      <w:sz w:val="28"/>
      <w:szCs w:val="28"/>
    </w:rPr>
  </w:style>
  <w:style w:type="paragraph" w:styleId="Heading3">
    <w:name w:val="heading 3"/>
    <w:basedOn w:val="Normal"/>
    <w:next w:val="Normal"/>
    <w:link w:val="Heading3Char"/>
    <w:qFormat/>
    <w:rsid w:val="001814FD"/>
    <w:pPr>
      <w:keepNext/>
      <w:spacing w:before="240" w:after="60"/>
      <w:ind w:left="720" w:hanging="720"/>
      <w:outlineLvl w:val="2"/>
    </w:pPr>
    <w:rPr>
      <w:rFonts w:asciiTheme="minorHAnsi" w:hAnsiTheme="minorHAnsi" w:cs="Arial"/>
      <w:b/>
      <w:bCs/>
      <w:szCs w:val="26"/>
    </w:rPr>
  </w:style>
  <w:style w:type="paragraph" w:styleId="Heading4">
    <w:name w:val="heading 4"/>
    <w:basedOn w:val="Normal"/>
    <w:next w:val="Normal"/>
    <w:link w:val="Heading4Char"/>
    <w:qFormat/>
    <w:rsid w:val="004366AF"/>
    <w:pPr>
      <w:keepNext/>
      <w:spacing w:after="60"/>
      <w:outlineLvl w:val="3"/>
    </w:pPr>
    <w:rPr>
      <w:rFonts w:asciiTheme="minorHAnsi" w:hAnsiTheme="minorHAnsi"/>
      <w:b/>
      <w:i/>
    </w:rPr>
  </w:style>
  <w:style w:type="paragraph" w:styleId="Heading5">
    <w:name w:val="heading 5"/>
    <w:basedOn w:val="Normal"/>
    <w:next w:val="Normal"/>
    <w:link w:val="Heading5Char"/>
    <w:qFormat/>
    <w:rsid w:val="004366AF"/>
    <w:pPr>
      <w:keepNext/>
      <w:spacing w:after="0"/>
      <w:outlineLvl w:val="4"/>
    </w:pPr>
    <w:rPr>
      <w:b/>
      <w:i/>
    </w:rPr>
  </w:style>
  <w:style w:type="paragraph" w:styleId="Heading6">
    <w:name w:val="heading 6"/>
    <w:basedOn w:val="Normal"/>
    <w:next w:val="Normal"/>
    <w:link w:val="Heading6Char"/>
    <w:qFormat/>
    <w:rsid w:val="00A42E82"/>
    <w:pPr>
      <w:keepNext/>
      <w:keepLines/>
      <w:numPr>
        <w:ilvl w:val="5"/>
        <w:numId w:val="2"/>
      </w:numPr>
      <w:tabs>
        <w:tab w:val="clear" w:pos="4320"/>
      </w:tabs>
      <w:autoSpaceDE/>
      <w:autoSpaceDN/>
      <w:adjustRightInd/>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42E82"/>
    <w:pPr>
      <w:keepNext/>
      <w:keepLines/>
      <w:numPr>
        <w:ilvl w:val="6"/>
        <w:numId w:val="2"/>
      </w:numPr>
      <w:tabs>
        <w:tab w:val="clear" w:pos="5040"/>
      </w:tabs>
      <w:autoSpaceDE/>
      <w:autoSpaceDN/>
      <w:adjustRightInd/>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A42E82"/>
    <w:pPr>
      <w:keepNext/>
      <w:keepLines/>
      <w:numPr>
        <w:ilvl w:val="7"/>
        <w:numId w:val="2"/>
      </w:numPr>
      <w:tabs>
        <w:tab w:val="clear" w:pos="5760"/>
      </w:tabs>
      <w:autoSpaceDE/>
      <w:autoSpaceDN/>
      <w:adjustRightInd/>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42E82"/>
    <w:pPr>
      <w:keepNext/>
      <w:keepLines/>
      <w:numPr>
        <w:ilvl w:val="8"/>
        <w:numId w:val="2"/>
      </w:numPr>
      <w:tabs>
        <w:tab w:val="clear" w:pos="6480"/>
      </w:tabs>
      <w:autoSpaceDE/>
      <w:autoSpaceDN/>
      <w:adjustRightInd/>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4FD"/>
    <w:rPr>
      <w:rFonts w:eastAsia="Times New Roman" w:cs="Arial"/>
      <w:b/>
      <w:bCs/>
      <w:kern w:val="32"/>
      <w:sz w:val="32"/>
      <w:szCs w:val="32"/>
    </w:rPr>
  </w:style>
  <w:style w:type="character" w:customStyle="1" w:styleId="Heading2Char">
    <w:name w:val="Heading 2 Char"/>
    <w:basedOn w:val="DefaultParagraphFont"/>
    <w:link w:val="Heading2"/>
    <w:rsid w:val="00F0499E"/>
    <w:rPr>
      <w:rFonts w:eastAsia="Times New Roman" w:cs="Arial"/>
      <w:b/>
      <w:bCs/>
      <w:i/>
      <w:iCs/>
      <w:sz w:val="28"/>
      <w:szCs w:val="28"/>
    </w:rPr>
  </w:style>
  <w:style w:type="paragraph" w:styleId="Title">
    <w:name w:val="Title"/>
    <w:basedOn w:val="Normal"/>
    <w:next w:val="Normal"/>
    <w:link w:val="TitleChar"/>
    <w:uiPriority w:val="10"/>
    <w:qFormat/>
    <w:rsid w:val="001814FD"/>
    <w:pPr>
      <w:spacing w:before="240" w:after="60"/>
      <w:jc w:val="center"/>
      <w:outlineLvl w:val="0"/>
    </w:pPr>
    <w:rPr>
      <w:rFonts w:asciiTheme="majorHAnsi" w:eastAsiaTheme="majorEastAsia" w:hAnsiTheme="majorHAnsi"/>
      <w:b/>
      <w:bCs/>
      <w:kern w:val="28"/>
      <w:sz w:val="40"/>
      <w:szCs w:val="40"/>
    </w:rPr>
  </w:style>
  <w:style w:type="character" w:customStyle="1" w:styleId="TitleChar">
    <w:name w:val="Title Char"/>
    <w:basedOn w:val="DefaultParagraphFont"/>
    <w:link w:val="Title"/>
    <w:uiPriority w:val="10"/>
    <w:rsid w:val="001814FD"/>
    <w:rPr>
      <w:rFonts w:asciiTheme="majorHAnsi" w:eastAsiaTheme="majorEastAsia" w:hAnsiTheme="majorHAnsi" w:cs="Times New Roman"/>
      <w:b/>
      <w:bCs/>
      <w:kern w:val="28"/>
      <w:sz w:val="40"/>
      <w:szCs w:val="40"/>
    </w:rPr>
  </w:style>
  <w:style w:type="paragraph" w:styleId="BalloonText">
    <w:name w:val="Balloon Text"/>
    <w:basedOn w:val="Normal"/>
    <w:link w:val="BalloonTextChar"/>
    <w:semiHidden/>
    <w:rsid w:val="00B36F72"/>
    <w:rPr>
      <w:rFonts w:ascii="Tahoma" w:hAnsi="Tahoma" w:cs="Tahoma"/>
      <w:sz w:val="16"/>
      <w:szCs w:val="16"/>
    </w:rPr>
  </w:style>
  <w:style w:type="character" w:customStyle="1" w:styleId="BalloonTextChar">
    <w:name w:val="Balloon Text Char"/>
    <w:basedOn w:val="DefaultParagraphFont"/>
    <w:link w:val="BalloonText"/>
    <w:semiHidden/>
    <w:rsid w:val="00B36F72"/>
    <w:rPr>
      <w:rFonts w:ascii="Tahoma" w:eastAsia="Times New Roman" w:hAnsi="Tahoma" w:cs="Tahoma"/>
      <w:sz w:val="16"/>
      <w:szCs w:val="16"/>
    </w:rPr>
  </w:style>
  <w:style w:type="character" w:styleId="CommentReference">
    <w:name w:val="annotation reference"/>
    <w:basedOn w:val="DefaultParagraphFont"/>
    <w:semiHidden/>
    <w:rsid w:val="00B36F72"/>
    <w:rPr>
      <w:sz w:val="16"/>
      <w:szCs w:val="16"/>
    </w:rPr>
  </w:style>
  <w:style w:type="paragraph" w:styleId="CommentText">
    <w:name w:val="annotation text"/>
    <w:basedOn w:val="Normal"/>
    <w:link w:val="CommentTextChar"/>
    <w:semiHidden/>
    <w:rsid w:val="00B36F72"/>
    <w:rPr>
      <w:sz w:val="20"/>
      <w:szCs w:val="20"/>
    </w:rPr>
  </w:style>
  <w:style w:type="character" w:customStyle="1" w:styleId="CommentTextChar">
    <w:name w:val="Comment Text Char"/>
    <w:basedOn w:val="DefaultParagraphFont"/>
    <w:link w:val="CommentText"/>
    <w:semiHidden/>
    <w:rsid w:val="00B36F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6F72"/>
    <w:rPr>
      <w:b/>
      <w:bCs/>
    </w:rPr>
  </w:style>
  <w:style w:type="character" w:customStyle="1" w:styleId="CommentSubjectChar">
    <w:name w:val="Comment Subject Char"/>
    <w:basedOn w:val="CommentTextChar"/>
    <w:link w:val="CommentSubject"/>
    <w:semiHidden/>
    <w:rsid w:val="00B36F72"/>
    <w:rPr>
      <w:rFonts w:ascii="Times New Roman" w:eastAsia="Times New Roman" w:hAnsi="Times New Roman" w:cs="Times New Roman"/>
      <w:b/>
      <w:bCs/>
      <w:sz w:val="20"/>
      <w:szCs w:val="20"/>
    </w:rPr>
  </w:style>
  <w:style w:type="paragraph" w:styleId="Footer">
    <w:name w:val="footer"/>
    <w:basedOn w:val="Normal"/>
    <w:link w:val="FooterChar"/>
    <w:uiPriority w:val="99"/>
    <w:rsid w:val="001814FD"/>
    <w:pPr>
      <w:tabs>
        <w:tab w:val="center" w:pos="4320"/>
        <w:tab w:val="right" w:pos="8640"/>
      </w:tabs>
      <w:spacing w:after="0"/>
    </w:pPr>
  </w:style>
  <w:style w:type="character" w:customStyle="1" w:styleId="FooterChar">
    <w:name w:val="Footer Char"/>
    <w:basedOn w:val="DefaultParagraphFont"/>
    <w:link w:val="Footer"/>
    <w:uiPriority w:val="99"/>
    <w:rsid w:val="001814FD"/>
    <w:rPr>
      <w:rFonts w:ascii="Cambria" w:eastAsia="Times New Roman" w:hAnsi="Cambria" w:cs="Times New Roman"/>
      <w:sz w:val="24"/>
      <w:szCs w:val="24"/>
    </w:rPr>
  </w:style>
  <w:style w:type="character" w:styleId="FootnoteReference">
    <w:name w:val="footnote reference"/>
    <w:rsid w:val="00B36F72"/>
    <w:rPr>
      <w:vertAlign w:val="superscript"/>
    </w:rPr>
  </w:style>
  <w:style w:type="paragraph" w:styleId="FootnoteText">
    <w:name w:val="footnote text"/>
    <w:basedOn w:val="Normal"/>
    <w:link w:val="FootnoteTextChar"/>
    <w:rsid w:val="00A30867"/>
    <w:pPr>
      <w:spacing w:after="60"/>
      <w:ind w:left="90" w:hanging="90"/>
    </w:pPr>
    <w:rPr>
      <w:sz w:val="20"/>
      <w:szCs w:val="20"/>
    </w:rPr>
  </w:style>
  <w:style w:type="character" w:customStyle="1" w:styleId="FootnoteTextChar">
    <w:name w:val="Footnote Text Char"/>
    <w:basedOn w:val="DefaultParagraphFont"/>
    <w:link w:val="FootnoteText"/>
    <w:rsid w:val="00A30867"/>
    <w:rPr>
      <w:rFonts w:ascii="Cambria" w:eastAsia="Times New Roman" w:hAnsi="Cambria" w:cs="Times New Roman"/>
      <w:sz w:val="20"/>
      <w:szCs w:val="20"/>
    </w:rPr>
  </w:style>
  <w:style w:type="paragraph" w:styleId="Header">
    <w:name w:val="header"/>
    <w:basedOn w:val="Normal"/>
    <w:link w:val="HeaderChar"/>
    <w:rsid w:val="00B36F72"/>
    <w:pPr>
      <w:tabs>
        <w:tab w:val="center" w:pos="4320"/>
        <w:tab w:val="right" w:pos="8640"/>
      </w:tabs>
    </w:pPr>
  </w:style>
  <w:style w:type="character" w:customStyle="1" w:styleId="HeaderChar">
    <w:name w:val="Header Char"/>
    <w:basedOn w:val="DefaultParagraphFont"/>
    <w:link w:val="Header"/>
    <w:rsid w:val="00B36F7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814FD"/>
    <w:rPr>
      <w:rFonts w:eastAsia="Times New Roman" w:cs="Arial"/>
      <w:b/>
      <w:bCs/>
      <w:sz w:val="24"/>
      <w:szCs w:val="26"/>
    </w:rPr>
  </w:style>
  <w:style w:type="character" w:styleId="Hyperlink">
    <w:name w:val="Hyperlink"/>
    <w:basedOn w:val="DefaultParagraphFont"/>
    <w:uiPriority w:val="99"/>
    <w:rsid w:val="00B36F72"/>
    <w:rPr>
      <w:color w:val="0000FF"/>
      <w:u w:val="single"/>
    </w:rPr>
  </w:style>
  <w:style w:type="paragraph" w:customStyle="1" w:styleId="Level1">
    <w:name w:val="Level 1"/>
    <w:basedOn w:val="Normal"/>
    <w:rsid w:val="00B36F72"/>
    <w:pPr>
      <w:ind w:left="720" w:hanging="720"/>
    </w:pPr>
  </w:style>
  <w:style w:type="paragraph" w:styleId="List">
    <w:name w:val="List"/>
    <w:basedOn w:val="Normal"/>
    <w:rsid w:val="00B36F72"/>
    <w:pPr>
      <w:ind w:left="720" w:hanging="720"/>
    </w:pPr>
  </w:style>
  <w:style w:type="paragraph" w:customStyle="1" w:styleId="TableTitle">
    <w:name w:val="Table Title"/>
    <w:basedOn w:val="Normal"/>
    <w:rsid w:val="00871F94"/>
    <w:pPr>
      <w:keepNext/>
      <w:keepLines/>
      <w:spacing w:after="0"/>
      <w:jc w:val="center"/>
    </w:pPr>
    <w:rPr>
      <w:rFonts w:asciiTheme="minorHAnsi" w:hAnsiTheme="minorHAnsi" w:cs="Arial"/>
      <w:b/>
      <w:sz w:val="20"/>
      <w:szCs w:val="20"/>
    </w:rPr>
  </w:style>
  <w:style w:type="paragraph" w:styleId="TOC1">
    <w:name w:val="toc 1"/>
    <w:basedOn w:val="Normal"/>
    <w:next w:val="Normal"/>
    <w:uiPriority w:val="39"/>
    <w:rsid w:val="00F747CB"/>
    <w:pPr>
      <w:tabs>
        <w:tab w:val="left" w:pos="720"/>
        <w:tab w:val="right" w:leader="dot" w:pos="9360"/>
      </w:tabs>
      <w:spacing w:before="240" w:after="0"/>
      <w:ind w:left="360" w:hanging="360"/>
    </w:pPr>
    <w:rPr>
      <w:b/>
    </w:rPr>
  </w:style>
  <w:style w:type="paragraph" w:styleId="TOC2">
    <w:name w:val="toc 2"/>
    <w:basedOn w:val="Normal"/>
    <w:next w:val="Normal"/>
    <w:uiPriority w:val="39"/>
    <w:rsid w:val="001814FD"/>
    <w:pPr>
      <w:spacing w:before="120" w:after="0"/>
      <w:ind w:left="720" w:hanging="360"/>
    </w:pPr>
    <w:rPr>
      <w:sz w:val="20"/>
    </w:rPr>
  </w:style>
  <w:style w:type="paragraph" w:styleId="TOC3">
    <w:name w:val="toc 3"/>
    <w:basedOn w:val="Normal"/>
    <w:next w:val="Normal"/>
    <w:uiPriority w:val="39"/>
    <w:rsid w:val="001814FD"/>
    <w:pPr>
      <w:tabs>
        <w:tab w:val="right" w:leader="dot" w:pos="9350"/>
      </w:tabs>
      <w:spacing w:after="0"/>
      <w:ind w:left="1080" w:hanging="360"/>
    </w:pPr>
    <w:rPr>
      <w:noProof/>
      <w:sz w:val="20"/>
    </w:rPr>
  </w:style>
  <w:style w:type="character" w:customStyle="1" w:styleId="Heading4Char">
    <w:name w:val="Heading 4 Char"/>
    <w:basedOn w:val="DefaultParagraphFont"/>
    <w:link w:val="Heading4"/>
    <w:rsid w:val="004366AF"/>
    <w:rPr>
      <w:rFonts w:eastAsia="Times New Roman" w:cs="Times New Roman"/>
      <w:b/>
      <w:i/>
      <w:sz w:val="24"/>
      <w:szCs w:val="24"/>
    </w:rPr>
  </w:style>
  <w:style w:type="character" w:customStyle="1" w:styleId="Heading5Char">
    <w:name w:val="Heading 5 Char"/>
    <w:basedOn w:val="DefaultParagraphFont"/>
    <w:link w:val="Heading5"/>
    <w:rsid w:val="004366AF"/>
    <w:rPr>
      <w:rFonts w:ascii="Cambria" w:eastAsia="Times New Roman" w:hAnsi="Cambria" w:cs="Times New Roman"/>
      <w:b/>
      <w:i/>
      <w:sz w:val="24"/>
      <w:szCs w:val="24"/>
    </w:rPr>
  </w:style>
  <w:style w:type="character" w:customStyle="1" w:styleId="Heading6Char">
    <w:name w:val="Heading 6 Char"/>
    <w:basedOn w:val="DefaultParagraphFont"/>
    <w:link w:val="Heading6"/>
    <w:rsid w:val="00A42E8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A42E8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A42E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42E8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B36F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A42E8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rsid w:val="00A42E82"/>
  </w:style>
  <w:style w:type="paragraph" w:customStyle="1" w:styleId="Heading40">
    <w:name w:val="Heading4"/>
    <w:basedOn w:val="Normal"/>
    <w:rsid w:val="00A42E82"/>
    <w:pPr>
      <w:keepNext/>
      <w:spacing w:before="240" w:after="40"/>
    </w:pPr>
    <w:rPr>
      <w:rFonts w:ascii="Arial" w:hAnsi="Arial"/>
      <w:b/>
    </w:rPr>
  </w:style>
  <w:style w:type="paragraph" w:customStyle="1" w:styleId="Style3">
    <w:name w:val="Style3"/>
    <w:basedOn w:val="TOC2"/>
    <w:autoRedefine/>
    <w:rsid w:val="00A42E82"/>
    <w:pPr>
      <w:tabs>
        <w:tab w:val="left" w:pos="720"/>
        <w:tab w:val="left" w:pos="1080"/>
        <w:tab w:val="right" w:leader="dot" w:pos="9360"/>
      </w:tabs>
      <w:ind w:left="0" w:firstLine="0"/>
    </w:pPr>
    <w:rPr>
      <w:rFonts w:ascii="Times New Roman" w:hAnsi="Times New Roman"/>
      <w:bCs/>
      <w:noProof/>
      <w:sz w:val="24"/>
      <w:szCs w:val="20"/>
    </w:rPr>
  </w:style>
  <w:style w:type="paragraph" w:customStyle="1" w:styleId="Level2">
    <w:name w:val="Level 2"/>
    <w:rsid w:val="00B36F72"/>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ables">
    <w:name w:val="Tables"/>
    <w:basedOn w:val="Normal"/>
    <w:link w:val="TablesChar"/>
    <w:semiHidden/>
    <w:rsid w:val="00EF1FFC"/>
    <w:pPr>
      <w:widowControl w:val="0"/>
      <w:spacing w:after="0"/>
    </w:pPr>
    <w:rPr>
      <w:rFonts w:asciiTheme="minorHAnsi" w:hAnsiTheme="minorHAnsi" w:cs="Arial"/>
      <w:sz w:val="20"/>
      <w:szCs w:val="20"/>
    </w:rPr>
  </w:style>
  <w:style w:type="character" w:customStyle="1" w:styleId="TablesChar">
    <w:name w:val="Tables Char"/>
    <w:link w:val="Tables"/>
    <w:semiHidden/>
    <w:rsid w:val="00EF1FFC"/>
    <w:rPr>
      <w:rFonts w:eastAsia="Times New Roman" w:cs="Arial"/>
      <w:sz w:val="20"/>
      <w:szCs w:val="20"/>
    </w:rPr>
  </w:style>
  <w:style w:type="paragraph" w:customStyle="1" w:styleId="BodyTextIn">
    <w:name w:val="Body Text In"/>
    <w:rsid w:val="00A42E82"/>
    <w:pPr>
      <w:widowControl w:val="0"/>
      <w:autoSpaceDE w:val="0"/>
      <w:autoSpaceDN w:val="0"/>
      <w:adjustRightInd w:val="0"/>
      <w:spacing w:after="0" w:line="240" w:lineRule="auto"/>
      <w:ind w:firstLine="720"/>
      <w:jc w:val="both"/>
    </w:pPr>
    <w:rPr>
      <w:rFonts w:ascii="Book Antiqua" w:eastAsia="Times New Roman" w:hAnsi="Book Antiqua" w:cs="Book Antiqua"/>
      <w:sz w:val="24"/>
      <w:szCs w:val="24"/>
    </w:rPr>
  </w:style>
  <w:style w:type="paragraph" w:customStyle="1" w:styleId="BulletedTxt">
    <w:name w:val="Bulleted Txt"/>
    <w:basedOn w:val="Normal"/>
    <w:rsid w:val="00A42E82"/>
    <w:pPr>
      <w:ind w:left="360" w:hanging="360"/>
    </w:pPr>
  </w:style>
  <w:style w:type="paragraph" w:customStyle="1" w:styleId="StyleHeading4After1075pt">
    <w:name w:val="Style Heading 4 + After:  10.75 pt"/>
    <w:basedOn w:val="Heading4"/>
    <w:rsid w:val="00A42E82"/>
    <w:pPr>
      <w:keepNext w:val="0"/>
      <w:spacing w:before="160" w:after="160"/>
    </w:pPr>
    <w:rPr>
      <w:b w:val="0"/>
      <w:bCs/>
      <w:szCs w:val="20"/>
    </w:rPr>
  </w:style>
  <w:style w:type="paragraph" w:customStyle="1" w:styleId="StyleHeading4Left025After1075pt">
    <w:name w:val="Style Heading 4 + Left:  0.25&quot; After:  10.75 pt"/>
    <w:basedOn w:val="Heading4"/>
    <w:rsid w:val="00A42E82"/>
    <w:pPr>
      <w:keepNext w:val="0"/>
      <w:spacing w:before="160" w:after="160"/>
      <w:ind w:left="360"/>
    </w:pPr>
    <w:rPr>
      <w:b w:val="0"/>
      <w:bCs/>
      <w:szCs w:val="20"/>
    </w:rPr>
  </w:style>
  <w:style w:type="paragraph" w:customStyle="1" w:styleId="BulletText">
    <w:name w:val="Bullet Text"/>
    <w:basedOn w:val="Normal"/>
    <w:semiHidden/>
    <w:rsid w:val="00A42E82"/>
    <w:pPr>
      <w:spacing w:after="110"/>
      <w:ind w:left="774" w:right="432" w:hanging="342"/>
      <w:jc w:val="both"/>
    </w:pPr>
    <w:rPr>
      <w:rFonts w:ascii="Shruti" w:hAnsi="Shruti" w:cs="Shruti"/>
      <w:sz w:val="22"/>
      <w:szCs w:val="22"/>
    </w:rPr>
  </w:style>
  <w:style w:type="character" w:customStyle="1" w:styleId="a">
    <w:name w:val="_"/>
    <w:semiHidden/>
    <w:rsid w:val="00A42E82"/>
  </w:style>
  <w:style w:type="character" w:styleId="PageNumber">
    <w:name w:val="page number"/>
    <w:basedOn w:val="DefaultParagraphFont"/>
    <w:semiHidden/>
    <w:rsid w:val="00B36F72"/>
  </w:style>
  <w:style w:type="numbering" w:styleId="111111">
    <w:name w:val="Outline List 2"/>
    <w:basedOn w:val="NoList"/>
    <w:semiHidden/>
    <w:rsid w:val="00A42E82"/>
    <w:pPr>
      <w:numPr>
        <w:numId w:val="3"/>
      </w:numPr>
    </w:pPr>
  </w:style>
  <w:style w:type="numbering" w:styleId="1ai">
    <w:name w:val="Outline List 1"/>
    <w:basedOn w:val="NoList"/>
    <w:semiHidden/>
    <w:rsid w:val="00A42E82"/>
    <w:pPr>
      <w:numPr>
        <w:numId w:val="4"/>
      </w:numPr>
    </w:pPr>
  </w:style>
  <w:style w:type="numbering" w:styleId="ArticleSection">
    <w:name w:val="Outline List 3"/>
    <w:basedOn w:val="NoList"/>
    <w:semiHidden/>
    <w:rsid w:val="00A42E82"/>
    <w:pPr>
      <w:numPr>
        <w:numId w:val="5"/>
      </w:numPr>
    </w:pPr>
  </w:style>
  <w:style w:type="paragraph" w:styleId="BlockText">
    <w:name w:val="Block Text"/>
    <w:basedOn w:val="Normal"/>
    <w:semiHidden/>
    <w:rsid w:val="00A42E82"/>
    <w:pPr>
      <w:spacing w:after="120"/>
      <w:ind w:left="1440" w:right="1440"/>
    </w:pPr>
  </w:style>
  <w:style w:type="paragraph" w:styleId="BodyText">
    <w:name w:val="Body Text"/>
    <w:basedOn w:val="Normal"/>
    <w:link w:val="BodyTextChar"/>
    <w:semiHidden/>
    <w:rsid w:val="00A42E82"/>
    <w:pPr>
      <w:spacing w:after="120"/>
    </w:pPr>
  </w:style>
  <w:style w:type="character" w:customStyle="1" w:styleId="BodyTextChar">
    <w:name w:val="Body Text Char"/>
    <w:basedOn w:val="DefaultParagraphFont"/>
    <w:link w:val="BodyText"/>
    <w:semiHidden/>
    <w:rsid w:val="00A42E82"/>
    <w:rPr>
      <w:rFonts w:ascii="Times New Roman" w:eastAsia="Times New Roman" w:hAnsi="Times New Roman" w:cs="Times New Roman"/>
      <w:sz w:val="24"/>
      <w:szCs w:val="24"/>
    </w:rPr>
  </w:style>
  <w:style w:type="paragraph" w:styleId="BodyText2">
    <w:name w:val="Body Text 2"/>
    <w:basedOn w:val="Normal"/>
    <w:link w:val="BodyText2Char"/>
    <w:semiHidden/>
    <w:rsid w:val="00A42E82"/>
    <w:pPr>
      <w:spacing w:after="120" w:line="480" w:lineRule="auto"/>
    </w:pPr>
  </w:style>
  <w:style w:type="character" w:customStyle="1" w:styleId="BodyText2Char">
    <w:name w:val="Body Text 2 Char"/>
    <w:basedOn w:val="DefaultParagraphFont"/>
    <w:link w:val="BodyText2"/>
    <w:semiHidden/>
    <w:rsid w:val="00A42E82"/>
    <w:rPr>
      <w:rFonts w:ascii="Times New Roman" w:eastAsia="Times New Roman" w:hAnsi="Times New Roman" w:cs="Times New Roman"/>
      <w:sz w:val="24"/>
      <w:szCs w:val="24"/>
    </w:rPr>
  </w:style>
  <w:style w:type="paragraph" w:styleId="BodyText3">
    <w:name w:val="Body Text 3"/>
    <w:basedOn w:val="Normal"/>
    <w:link w:val="BodyText3Char"/>
    <w:semiHidden/>
    <w:rsid w:val="00A42E82"/>
    <w:pPr>
      <w:spacing w:after="120"/>
    </w:pPr>
    <w:rPr>
      <w:sz w:val="16"/>
      <w:szCs w:val="16"/>
    </w:rPr>
  </w:style>
  <w:style w:type="character" w:customStyle="1" w:styleId="BodyText3Char">
    <w:name w:val="Body Text 3 Char"/>
    <w:basedOn w:val="DefaultParagraphFont"/>
    <w:link w:val="BodyText3"/>
    <w:semiHidden/>
    <w:rsid w:val="00A42E82"/>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A42E82"/>
    <w:pPr>
      <w:ind w:firstLine="210"/>
    </w:pPr>
  </w:style>
  <w:style w:type="character" w:customStyle="1" w:styleId="BodyTextFirstIndentChar">
    <w:name w:val="Body Text First Indent Char"/>
    <w:basedOn w:val="BodyTextChar"/>
    <w:link w:val="BodyTextFirstIndent"/>
    <w:semiHidden/>
    <w:rsid w:val="00A42E82"/>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42E82"/>
    <w:pPr>
      <w:spacing w:after="120"/>
      <w:ind w:left="360"/>
    </w:pPr>
  </w:style>
  <w:style w:type="character" w:customStyle="1" w:styleId="BodyTextIndentChar">
    <w:name w:val="Body Text Indent Char"/>
    <w:basedOn w:val="DefaultParagraphFont"/>
    <w:link w:val="BodyTextIndent"/>
    <w:semiHidden/>
    <w:rsid w:val="00A42E8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A42E82"/>
    <w:pPr>
      <w:ind w:firstLine="210"/>
    </w:pPr>
  </w:style>
  <w:style w:type="character" w:customStyle="1" w:styleId="BodyTextFirstIndent2Char">
    <w:name w:val="Body Text First Indent 2 Char"/>
    <w:basedOn w:val="BodyTextIndentChar"/>
    <w:link w:val="BodyTextFirstIndent2"/>
    <w:semiHidden/>
    <w:rsid w:val="00A42E8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42E82"/>
    <w:pPr>
      <w:spacing w:after="120" w:line="480" w:lineRule="auto"/>
      <w:ind w:left="360"/>
    </w:pPr>
  </w:style>
  <w:style w:type="character" w:customStyle="1" w:styleId="BodyTextIndent2Char">
    <w:name w:val="Body Text Indent 2 Char"/>
    <w:basedOn w:val="DefaultParagraphFont"/>
    <w:link w:val="BodyTextIndent2"/>
    <w:semiHidden/>
    <w:rsid w:val="00A42E8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42E82"/>
    <w:pPr>
      <w:spacing w:after="120"/>
      <w:ind w:left="360"/>
    </w:pPr>
    <w:rPr>
      <w:sz w:val="16"/>
      <w:szCs w:val="16"/>
    </w:rPr>
  </w:style>
  <w:style w:type="character" w:customStyle="1" w:styleId="BodyTextIndent3Char">
    <w:name w:val="Body Text Indent 3 Char"/>
    <w:basedOn w:val="DefaultParagraphFont"/>
    <w:link w:val="BodyTextIndent3"/>
    <w:semiHidden/>
    <w:rsid w:val="00A42E82"/>
    <w:rPr>
      <w:rFonts w:ascii="Times New Roman" w:eastAsia="Times New Roman" w:hAnsi="Times New Roman" w:cs="Times New Roman"/>
      <w:sz w:val="16"/>
      <w:szCs w:val="16"/>
    </w:rPr>
  </w:style>
  <w:style w:type="paragraph" w:styleId="Closing">
    <w:name w:val="Closing"/>
    <w:basedOn w:val="Normal"/>
    <w:link w:val="ClosingChar"/>
    <w:semiHidden/>
    <w:rsid w:val="00A42E82"/>
    <w:pPr>
      <w:ind w:left="4320"/>
    </w:pPr>
  </w:style>
  <w:style w:type="character" w:customStyle="1" w:styleId="ClosingChar">
    <w:name w:val="Closing Char"/>
    <w:basedOn w:val="DefaultParagraphFont"/>
    <w:link w:val="Closing"/>
    <w:semiHidden/>
    <w:rsid w:val="00A42E82"/>
    <w:rPr>
      <w:rFonts w:ascii="Times New Roman" w:eastAsia="Times New Roman" w:hAnsi="Times New Roman" w:cs="Times New Roman"/>
      <w:sz w:val="24"/>
      <w:szCs w:val="24"/>
    </w:rPr>
  </w:style>
  <w:style w:type="paragraph" w:styleId="Date">
    <w:name w:val="Date"/>
    <w:basedOn w:val="Normal"/>
    <w:next w:val="Normal"/>
    <w:link w:val="DateChar"/>
    <w:semiHidden/>
    <w:rsid w:val="00A42E82"/>
  </w:style>
  <w:style w:type="character" w:customStyle="1" w:styleId="DateChar">
    <w:name w:val="Date Char"/>
    <w:basedOn w:val="DefaultParagraphFont"/>
    <w:link w:val="Date"/>
    <w:semiHidden/>
    <w:rsid w:val="00A42E82"/>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A42E82"/>
  </w:style>
  <w:style w:type="character" w:customStyle="1" w:styleId="E-mailSignatureChar">
    <w:name w:val="E-mail Signature Char"/>
    <w:basedOn w:val="DefaultParagraphFont"/>
    <w:link w:val="E-mailSignature"/>
    <w:semiHidden/>
    <w:rsid w:val="00A42E82"/>
    <w:rPr>
      <w:rFonts w:ascii="Times New Roman" w:eastAsia="Times New Roman" w:hAnsi="Times New Roman" w:cs="Times New Roman"/>
      <w:sz w:val="24"/>
      <w:szCs w:val="24"/>
    </w:rPr>
  </w:style>
  <w:style w:type="character" w:styleId="Emphasis">
    <w:name w:val="Emphasis"/>
    <w:qFormat/>
    <w:rsid w:val="00A42E82"/>
    <w:rPr>
      <w:i/>
      <w:iCs/>
    </w:rPr>
  </w:style>
  <w:style w:type="paragraph" w:styleId="EnvelopeAddress">
    <w:name w:val="envelope address"/>
    <w:basedOn w:val="Normal"/>
    <w:semiHidden/>
    <w:rsid w:val="00A42E8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42E82"/>
    <w:rPr>
      <w:rFonts w:ascii="Arial" w:hAnsi="Arial" w:cs="Arial"/>
      <w:sz w:val="20"/>
      <w:szCs w:val="20"/>
    </w:rPr>
  </w:style>
  <w:style w:type="character" w:styleId="FollowedHyperlink">
    <w:name w:val="FollowedHyperlink"/>
    <w:semiHidden/>
    <w:rsid w:val="00A42E82"/>
    <w:rPr>
      <w:color w:val="800080"/>
      <w:u w:val="single"/>
    </w:rPr>
  </w:style>
  <w:style w:type="character" w:styleId="HTMLAcronym">
    <w:name w:val="HTML Acronym"/>
    <w:basedOn w:val="DefaultParagraphFont"/>
    <w:semiHidden/>
    <w:rsid w:val="00A42E82"/>
  </w:style>
  <w:style w:type="paragraph" w:styleId="HTMLAddress">
    <w:name w:val="HTML Address"/>
    <w:basedOn w:val="Normal"/>
    <w:link w:val="HTMLAddressChar"/>
    <w:semiHidden/>
    <w:rsid w:val="00A42E82"/>
    <w:rPr>
      <w:i/>
      <w:iCs/>
    </w:rPr>
  </w:style>
  <w:style w:type="character" w:customStyle="1" w:styleId="HTMLAddressChar">
    <w:name w:val="HTML Address Char"/>
    <w:basedOn w:val="DefaultParagraphFont"/>
    <w:link w:val="HTMLAddress"/>
    <w:semiHidden/>
    <w:rsid w:val="00A42E82"/>
    <w:rPr>
      <w:rFonts w:ascii="Times New Roman" w:eastAsia="Times New Roman" w:hAnsi="Times New Roman" w:cs="Times New Roman"/>
      <w:i/>
      <w:iCs/>
      <w:sz w:val="24"/>
      <w:szCs w:val="24"/>
    </w:rPr>
  </w:style>
  <w:style w:type="character" w:styleId="HTMLCite">
    <w:name w:val="HTML Cite"/>
    <w:semiHidden/>
    <w:rsid w:val="00A42E82"/>
    <w:rPr>
      <w:i/>
      <w:iCs/>
    </w:rPr>
  </w:style>
  <w:style w:type="character" w:styleId="HTMLCode">
    <w:name w:val="HTML Code"/>
    <w:semiHidden/>
    <w:rsid w:val="00A42E82"/>
    <w:rPr>
      <w:rFonts w:ascii="Courier New" w:hAnsi="Courier New" w:cs="Courier New"/>
      <w:sz w:val="20"/>
      <w:szCs w:val="20"/>
    </w:rPr>
  </w:style>
  <w:style w:type="character" w:styleId="HTMLDefinition">
    <w:name w:val="HTML Definition"/>
    <w:semiHidden/>
    <w:rsid w:val="00A42E82"/>
    <w:rPr>
      <w:i/>
      <w:iCs/>
    </w:rPr>
  </w:style>
  <w:style w:type="character" w:styleId="HTMLKeyboard">
    <w:name w:val="HTML Keyboard"/>
    <w:semiHidden/>
    <w:rsid w:val="00A42E82"/>
    <w:rPr>
      <w:rFonts w:ascii="Courier New" w:hAnsi="Courier New" w:cs="Courier New"/>
      <w:sz w:val="20"/>
      <w:szCs w:val="20"/>
    </w:rPr>
  </w:style>
  <w:style w:type="paragraph" w:styleId="HTMLPreformatted">
    <w:name w:val="HTML Preformatted"/>
    <w:basedOn w:val="Normal"/>
    <w:link w:val="HTMLPreformattedChar"/>
    <w:semiHidden/>
    <w:rsid w:val="00A42E8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42E82"/>
    <w:rPr>
      <w:rFonts w:ascii="Courier New" w:eastAsia="Times New Roman" w:hAnsi="Courier New" w:cs="Courier New"/>
      <w:sz w:val="20"/>
      <w:szCs w:val="20"/>
    </w:rPr>
  </w:style>
  <w:style w:type="character" w:styleId="HTMLSample">
    <w:name w:val="HTML Sample"/>
    <w:semiHidden/>
    <w:rsid w:val="00A42E82"/>
    <w:rPr>
      <w:rFonts w:ascii="Courier New" w:hAnsi="Courier New" w:cs="Courier New"/>
    </w:rPr>
  </w:style>
  <w:style w:type="character" w:styleId="HTMLTypewriter">
    <w:name w:val="HTML Typewriter"/>
    <w:semiHidden/>
    <w:rsid w:val="00A42E82"/>
    <w:rPr>
      <w:rFonts w:ascii="Courier New" w:hAnsi="Courier New" w:cs="Courier New"/>
      <w:sz w:val="20"/>
      <w:szCs w:val="20"/>
    </w:rPr>
  </w:style>
  <w:style w:type="character" w:styleId="HTMLVariable">
    <w:name w:val="HTML Variable"/>
    <w:semiHidden/>
    <w:rsid w:val="00A42E82"/>
    <w:rPr>
      <w:i/>
      <w:iCs/>
    </w:rPr>
  </w:style>
  <w:style w:type="character" w:styleId="LineNumber">
    <w:name w:val="line number"/>
    <w:basedOn w:val="DefaultParagraphFont"/>
    <w:semiHidden/>
    <w:rsid w:val="00A42E82"/>
  </w:style>
  <w:style w:type="paragraph" w:styleId="List2">
    <w:name w:val="List 2"/>
    <w:basedOn w:val="Normal"/>
    <w:semiHidden/>
    <w:rsid w:val="00A42E82"/>
    <w:pPr>
      <w:ind w:left="720" w:hanging="360"/>
    </w:pPr>
  </w:style>
  <w:style w:type="paragraph" w:styleId="List3">
    <w:name w:val="List 3"/>
    <w:basedOn w:val="Normal"/>
    <w:semiHidden/>
    <w:rsid w:val="00A42E82"/>
    <w:pPr>
      <w:ind w:left="1080" w:hanging="360"/>
    </w:pPr>
  </w:style>
  <w:style w:type="paragraph" w:styleId="List4">
    <w:name w:val="List 4"/>
    <w:basedOn w:val="Normal"/>
    <w:semiHidden/>
    <w:rsid w:val="00A42E82"/>
    <w:pPr>
      <w:ind w:left="1440" w:hanging="360"/>
    </w:pPr>
  </w:style>
  <w:style w:type="paragraph" w:styleId="List5">
    <w:name w:val="List 5"/>
    <w:basedOn w:val="Normal"/>
    <w:semiHidden/>
    <w:rsid w:val="00A42E82"/>
    <w:pPr>
      <w:ind w:left="1800" w:hanging="360"/>
    </w:pPr>
  </w:style>
  <w:style w:type="paragraph" w:styleId="ListBullet">
    <w:name w:val="List Bullet"/>
    <w:basedOn w:val="Normal"/>
    <w:semiHidden/>
    <w:rsid w:val="00A42E82"/>
    <w:pPr>
      <w:tabs>
        <w:tab w:val="num" w:pos="360"/>
      </w:tabs>
      <w:ind w:left="360" w:hanging="360"/>
    </w:pPr>
  </w:style>
  <w:style w:type="paragraph" w:styleId="ListBullet2">
    <w:name w:val="List Bullet 2"/>
    <w:basedOn w:val="Normal"/>
    <w:semiHidden/>
    <w:rsid w:val="00A42E82"/>
    <w:pPr>
      <w:tabs>
        <w:tab w:val="num" w:pos="720"/>
      </w:tabs>
      <w:ind w:left="720" w:hanging="360"/>
    </w:pPr>
  </w:style>
  <w:style w:type="paragraph" w:styleId="ListBullet3">
    <w:name w:val="List Bullet 3"/>
    <w:basedOn w:val="Normal"/>
    <w:semiHidden/>
    <w:rsid w:val="00A42E82"/>
    <w:pPr>
      <w:tabs>
        <w:tab w:val="num" w:pos="1080"/>
      </w:tabs>
      <w:ind w:left="1080" w:hanging="360"/>
    </w:pPr>
  </w:style>
  <w:style w:type="paragraph" w:styleId="ListBullet4">
    <w:name w:val="List Bullet 4"/>
    <w:basedOn w:val="Normal"/>
    <w:semiHidden/>
    <w:rsid w:val="00A42E82"/>
    <w:pPr>
      <w:tabs>
        <w:tab w:val="num" w:pos="1440"/>
      </w:tabs>
      <w:ind w:left="1440" w:hanging="360"/>
    </w:pPr>
  </w:style>
  <w:style w:type="paragraph" w:styleId="ListBullet5">
    <w:name w:val="List Bullet 5"/>
    <w:basedOn w:val="Normal"/>
    <w:semiHidden/>
    <w:rsid w:val="00A42E82"/>
    <w:pPr>
      <w:tabs>
        <w:tab w:val="num" w:pos="1800"/>
      </w:tabs>
      <w:ind w:left="1800" w:hanging="360"/>
    </w:pPr>
  </w:style>
  <w:style w:type="paragraph" w:styleId="ListContinue">
    <w:name w:val="List Continue"/>
    <w:basedOn w:val="Normal"/>
    <w:semiHidden/>
    <w:rsid w:val="00A42E82"/>
    <w:pPr>
      <w:spacing w:after="120"/>
      <w:ind w:left="360"/>
    </w:pPr>
  </w:style>
  <w:style w:type="paragraph" w:styleId="ListContinue2">
    <w:name w:val="List Continue 2"/>
    <w:basedOn w:val="Normal"/>
    <w:semiHidden/>
    <w:rsid w:val="00A42E82"/>
    <w:pPr>
      <w:spacing w:after="120"/>
      <w:ind w:left="720"/>
    </w:pPr>
  </w:style>
  <w:style w:type="paragraph" w:styleId="ListContinue3">
    <w:name w:val="List Continue 3"/>
    <w:basedOn w:val="Normal"/>
    <w:semiHidden/>
    <w:rsid w:val="00A42E82"/>
    <w:pPr>
      <w:spacing w:after="120"/>
      <w:ind w:left="1080"/>
    </w:pPr>
  </w:style>
  <w:style w:type="paragraph" w:styleId="ListContinue4">
    <w:name w:val="List Continue 4"/>
    <w:basedOn w:val="Normal"/>
    <w:semiHidden/>
    <w:rsid w:val="00A42E82"/>
    <w:pPr>
      <w:spacing w:after="120"/>
      <w:ind w:left="1440"/>
    </w:pPr>
  </w:style>
  <w:style w:type="paragraph" w:styleId="ListContinue5">
    <w:name w:val="List Continue 5"/>
    <w:basedOn w:val="Normal"/>
    <w:semiHidden/>
    <w:rsid w:val="00A42E82"/>
    <w:pPr>
      <w:spacing w:after="120"/>
      <w:ind w:left="1800"/>
    </w:pPr>
  </w:style>
  <w:style w:type="paragraph" w:styleId="ListNumber">
    <w:name w:val="List Number"/>
    <w:basedOn w:val="Normal"/>
    <w:semiHidden/>
    <w:rsid w:val="00A42E82"/>
    <w:pPr>
      <w:tabs>
        <w:tab w:val="num" w:pos="360"/>
      </w:tabs>
      <w:ind w:left="360" w:hanging="360"/>
    </w:pPr>
  </w:style>
  <w:style w:type="paragraph" w:styleId="ListNumber2">
    <w:name w:val="List Number 2"/>
    <w:basedOn w:val="Normal"/>
    <w:semiHidden/>
    <w:rsid w:val="00A42E82"/>
    <w:pPr>
      <w:tabs>
        <w:tab w:val="num" w:pos="720"/>
      </w:tabs>
      <w:ind w:left="720" w:hanging="360"/>
    </w:pPr>
  </w:style>
  <w:style w:type="paragraph" w:styleId="ListNumber3">
    <w:name w:val="List Number 3"/>
    <w:basedOn w:val="Normal"/>
    <w:semiHidden/>
    <w:rsid w:val="00A42E82"/>
    <w:pPr>
      <w:tabs>
        <w:tab w:val="num" w:pos="1080"/>
      </w:tabs>
      <w:ind w:left="1080" w:hanging="360"/>
    </w:pPr>
  </w:style>
  <w:style w:type="paragraph" w:styleId="ListNumber4">
    <w:name w:val="List Number 4"/>
    <w:basedOn w:val="Normal"/>
    <w:semiHidden/>
    <w:rsid w:val="00A42E82"/>
    <w:pPr>
      <w:tabs>
        <w:tab w:val="num" w:pos="1440"/>
      </w:tabs>
      <w:ind w:left="1440" w:hanging="360"/>
    </w:pPr>
  </w:style>
  <w:style w:type="paragraph" w:styleId="ListNumber5">
    <w:name w:val="List Number 5"/>
    <w:basedOn w:val="Normal"/>
    <w:semiHidden/>
    <w:rsid w:val="00A42E82"/>
    <w:pPr>
      <w:tabs>
        <w:tab w:val="num" w:pos="1800"/>
      </w:tabs>
      <w:ind w:left="1800" w:hanging="360"/>
    </w:pPr>
  </w:style>
  <w:style w:type="paragraph" w:styleId="MessageHeader">
    <w:name w:val="Message Header"/>
    <w:basedOn w:val="Normal"/>
    <w:link w:val="MessageHeaderChar"/>
    <w:semiHidden/>
    <w:rsid w:val="00A42E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42E82"/>
    <w:rPr>
      <w:rFonts w:ascii="Arial" w:eastAsia="Times New Roman" w:hAnsi="Arial" w:cs="Arial"/>
      <w:sz w:val="24"/>
      <w:szCs w:val="24"/>
      <w:shd w:val="pct20" w:color="auto" w:fill="auto"/>
    </w:rPr>
  </w:style>
  <w:style w:type="paragraph" w:styleId="NormalWeb">
    <w:name w:val="Normal (Web)"/>
    <w:basedOn w:val="Normal"/>
    <w:semiHidden/>
    <w:rsid w:val="00A42E82"/>
  </w:style>
  <w:style w:type="paragraph" w:styleId="NormalIndent">
    <w:name w:val="Normal Indent"/>
    <w:basedOn w:val="Normal"/>
    <w:semiHidden/>
    <w:rsid w:val="00A42E82"/>
    <w:pPr>
      <w:ind w:left="720"/>
    </w:pPr>
  </w:style>
  <w:style w:type="paragraph" w:styleId="NoteHeading">
    <w:name w:val="Note Heading"/>
    <w:basedOn w:val="Normal"/>
    <w:next w:val="Normal"/>
    <w:link w:val="NoteHeadingChar"/>
    <w:semiHidden/>
    <w:rsid w:val="00A42E82"/>
  </w:style>
  <w:style w:type="character" w:customStyle="1" w:styleId="NoteHeadingChar">
    <w:name w:val="Note Heading Char"/>
    <w:basedOn w:val="DefaultParagraphFont"/>
    <w:link w:val="NoteHeading"/>
    <w:semiHidden/>
    <w:rsid w:val="00A42E82"/>
    <w:rPr>
      <w:rFonts w:ascii="Times New Roman" w:eastAsia="Times New Roman" w:hAnsi="Times New Roman" w:cs="Times New Roman"/>
      <w:sz w:val="24"/>
      <w:szCs w:val="24"/>
    </w:rPr>
  </w:style>
  <w:style w:type="paragraph" w:styleId="PlainText">
    <w:name w:val="Plain Text"/>
    <w:basedOn w:val="Normal"/>
    <w:link w:val="PlainTextChar"/>
    <w:uiPriority w:val="99"/>
    <w:semiHidden/>
    <w:rsid w:val="00A42E8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42E82"/>
    <w:rPr>
      <w:rFonts w:ascii="Courier New" w:eastAsia="Times New Roman" w:hAnsi="Courier New" w:cs="Courier New"/>
      <w:sz w:val="20"/>
      <w:szCs w:val="20"/>
    </w:rPr>
  </w:style>
  <w:style w:type="paragraph" w:styleId="Salutation">
    <w:name w:val="Salutation"/>
    <w:basedOn w:val="Normal"/>
    <w:next w:val="Normal"/>
    <w:link w:val="SalutationChar"/>
    <w:semiHidden/>
    <w:rsid w:val="00A42E82"/>
  </w:style>
  <w:style w:type="character" w:customStyle="1" w:styleId="SalutationChar">
    <w:name w:val="Salutation Char"/>
    <w:basedOn w:val="DefaultParagraphFont"/>
    <w:link w:val="Salutation"/>
    <w:semiHidden/>
    <w:rsid w:val="00A42E82"/>
    <w:rPr>
      <w:rFonts w:ascii="Times New Roman" w:eastAsia="Times New Roman" w:hAnsi="Times New Roman" w:cs="Times New Roman"/>
      <w:sz w:val="24"/>
      <w:szCs w:val="24"/>
    </w:rPr>
  </w:style>
  <w:style w:type="paragraph" w:styleId="Signature">
    <w:name w:val="Signature"/>
    <w:basedOn w:val="Normal"/>
    <w:link w:val="SignatureChar"/>
    <w:semiHidden/>
    <w:rsid w:val="00A42E82"/>
    <w:pPr>
      <w:ind w:left="4320"/>
    </w:pPr>
  </w:style>
  <w:style w:type="character" w:customStyle="1" w:styleId="SignatureChar">
    <w:name w:val="Signature Char"/>
    <w:basedOn w:val="DefaultParagraphFont"/>
    <w:link w:val="Signature"/>
    <w:semiHidden/>
    <w:rsid w:val="00A42E82"/>
    <w:rPr>
      <w:rFonts w:ascii="Times New Roman" w:eastAsia="Times New Roman" w:hAnsi="Times New Roman" w:cs="Times New Roman"/>
      <w:sz w:val="24"/>
      <w:szCs w:val="24"/>
    </w:rPr>
  </w:style>
  <w:style w:type="character" w:styleId="Strong">
    <w:name w:val="Strong"/>
    <w:qFormat/>
    <w:rsid w:val="00A42E82"/>
    <w:rPr>
      <w:b/>
      <w:bCs/>
    </w:rPr>
  </w:style>
  <w:style w:type="paragraph" w:styleId="Subtitle">
    <w:name w:val="Subtitle"/>
    <w:basedOn w:val="Normal"/>
    <w:link w:val="SubtitleChar"/>
    <w:qFormat/>
    <w:rsid w:val="00A42E82"/>
    <w:pPr>
      <w:spacing w:after="60"/>
      <w:jc w:val="center"/>
      <w:outlineLvl w:val="1"/>
    </w:pPr>
    <w:rPr>
      <w:rFonts w:ascii="Arial" w:hAnsi="Arial" w:cs="Arial"/>
    </w:rPr>
  </w:style>
  <w:style w:type="character" w:customStyle="1" w:styleId="SubtitleChar">
    <w:name w:val="Subtitle Char"/>
    <w:basedOn w:val="DefaultParagraphFont"/>
    <w:link w:val="Subtitle"/>
    <w:rsid w:val="00A42E82"/>
    <w:rPr>
      <w:rFonts w:ascii="Arial" w:eastAsia="Times New Roman" w:hAnsi="Arial" w:cs="Arial"/>
      <w:sz w:val="24"/>
      <w:szCs w:val="24"/>
    </w:rPr>
  </w:style>
  <w:style w:type="table" w:styleId="Table3Deffects1">
    <w:name w:val="Table 3D effect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A42E82"/>
    <w:pPr>
      <w:ind w:left="720"/>
    </w:pPr>
    <w:rPr>
      <w:sz w:val="20"/>
      <w:szCs w:val="20"/>
    </w:rPr>
  </w:style>
  <w:style w:type="paragraph" w:styleId="TOC5">
    <w:name w:val="toc 5"/>
    <w:basedOn w:val="Normal"/>
    <w:next w:val="Normal"/>
    <w:autoRedefine/>
    <w:uiPriority w:val="39"/>
    <w:rsid w:val="00A42E82"/>
    <w:pPr>
      <w:ind w:left="960"/>
    </w:pPr>
    <w:rPr>
      <w:sz w:val="20"/>
      <w:szCs w:val="20"/>
    </w:rPr>
  </w:style>
  <w:style w:type="paragraph" w:styleId="TOC6">
    <w:name w:val="toc 6"/>
    <w:basedOn w:val="Normal"/>
    <w:next w:val="Normal"/>
    <w:autoRedefine/>
    <w:uiPriority w:val="39"/>
    <w:rsid w:val="00A42E82"/>
    <w:pPr>
      <w:ind w:left="1200"/>
    </w:pPr>
    <w:rPr>
      <w:sz w:val="20"/>
      <w:szCs w:val="20"/>
    </w:rPr>
  </w:style>
  <w:style w:type="paragraph" w:styleId="TOC7">
    <w:name w:val="toc 7"/>
    <w:basedOn w:val="Normal"/>
    <w:next w:val="Normal"/>
    <w:autoRedefine/>
    <w:uiPriority w:val="39"/>
    <w:rsid w:val="00A42E82"/>
    <w:pPr>
      <w:ind w:left="1440"/>
    </w:pPr>
    <w:rPr>
      <w:sz w:val="20"/>
      <w:szCs w:val="20"/>
    </w:rPr>
  </w:style>
  <w:style w:type="paragraph" w:styleId="TOC8">
    <w:name w:val="toc 8"/>
    <w:basedOn w:val="Normal"/>
    <w:next w:val="Normal"/>
    <w:autoRedefine/>
    <w:uiPriority w:val="39"/>
    <w:rsid w:val="00A42E82"/>
    <w:pPr>
      <w:ind w:left="1680"/>
    </w:pPr>
    <w:rPr>
      <w:sz w:val="20"/>
      <w:szCs w:val="20"/>
    </w:rPr>
  </w:style>
  <w:style w:type="paragraph" w:styleId="TOC9">
    <w:name w:val="toc 9"/>
    <w:basedOn w:val="Normal"/>
    <w:next w:val="Normal"/>
    <w:autoRedefine/>
    <w:uiPriority w:val="39"/>
    <w:rsid w:val="00A42E82"/>
    <w:pPr>
      <w:ind w:left="1920"/>
    </w:pPr>
    <w:rPr>
      <w:sz w:val="20"/>
      <w:szCs w:val="20"/>
    </w:rPr>
  </w:style>
  <w:style w:type="paragraph" w:customStyle="1" w:styleId="CM14">
    <w:name w:val="CM14"/>
    <w:basedOn w:val="Normal"/>
    <w:next w:val="Normal"/>
    <w:rsid w:val="00A42E82"/>
    <w:pPr>
      <w:spacing w:after="90"/>
    </w:pPr>
    <w:rPr>
      <w:rFonts w:ascii="AMLOJ J+ Melior" w:hAnsi="AMLOJ J+ Melior"/>
    </w:rPr>
  </w:style>
  <w:style w:type="paragraph" w:styleId="TableofFigures">
    <w:name w:val="table of figures"/>
    <w:basedOn w:val="Normal"/>
    <w:next w:val="Normal"/>
    <w:semiHidden/>
    <w:rsid w:val="00A42E82"/>
  </w:style>
  <w:style w:type="paragraph" w:customStyle="1" w:styleId="Table">
    <w:name w:val="Table"/>
    <w:basedOn w:val="Normal"/>
    <w:rsid w:val="00A42E82"/>
    <w:pPr>
      <w:numPr>
        <w:ilvl w:val="12"/>
      </w:numPr>
    </w:pPr>
    <w:rPr>
      <w:b/>
      <w:bCs/>
    </w:rPr>
  </w:style>
  <w:style w:type="paragraph" w:customStyle="1" w:styleId="Exhibit">
    <w:name w:val="Exhibit"/>
    <w:basedOn w:val="Normal"/>
    <w:link w:val="ExhibitChar"/>
    <w:rsid w:val="00A42E82"/>
    <w:rPr>
      <w:b/>
    </w:rPr>
  </w:style>
  <w:style w:type="character" w:customStyle="1" w:styleId="ExhibitChar">
    <w:name w:val="Exhibit Char"/>
    <w:link w:val="Exhibit"/>
    <w:rsid w:val="00A42E82"/>
    <w:rPr>
      <w:rFonts w:ascii="Times New Roman" w:eastAsia="Times New Roman" w:hAnsi="Times New Roman" w:cs="Times New Roman"/>
      <w:b/>
      <w:sz w:val="24"/>
      <w:szCs w:val="24"/>
    </w:rPr>
  </w:style>
  <w:style w:type="paragraph" w:customStyle="1" w:styleId="Subhead1">
    <w:name w:val="Subhead 1"/>
    <w:basedOn w:val="Normal"/>
    <w:semiHidden/>
    <w:rsid w:val="00A42E82"/>
    <w:pPr>
      <w:spacing w:after="110"/>
      <w:ind w:left="432"/>
    </w:pPr>
    <w:rPr>
      <w:rFonts w:ascii="Shruti" w:hAnsi="Shruti" w:cs="Shruti"/>
      <w:sz w:val="22"/>
      <w:szCs w:val="22"/>
      <w:u w:val="single"/>
    </w:rPr>
  </w:style>
  <w:style w:type="paragraph" w:customStyle="1" w:styleId="4Exhibit">
    <w:name w:val="4Exhibit"/>
    <w:basedOn w:val="Normal"/>
    <w:rsid w:val="00A42E82"/>
    <w:pPr>
      <w:tabs>
        <w:tab w:val="right" w:pos="9360"/>
      </w:tabs>
    </w:pPr>
    <w:rPr>
      <w:b/>
      <w:iCs/>
    </w:rPr>
  </w:style>
  <w:style w:type="paragraph" w:customStyle="1" w:styleId="Normal12pt">
    <w:name w:val="Normal + 12 pt"/>
    <w:basedOn w:val="Normal"/>
    <w:rsid w:val="00A42E82"/>
    <w:pPr>
      <w:numPr>
        <w:ilvl w:val="12"/>
      </w:numPr>
      <w:tabs>
        <w:tab w:val="left" w:pos="-720"/>
        <w:tab w:val="left" w:pos="0"/>
        <w:tab w:val="left" w:pos="720"/>
        <w:tab w:val="left" w:pos="1152"/>
        <w:tab w:val="left" w:pos="1584"/>
      </w:tabs>
    </w:pPr>
  </w:style>
  <w:style w:type="paragraph" w:customStyle="1" w:styleId="3Header">
    <w:name w:val="3Header"/>
    <w:basedOn w:val="Normal"/>
    <w:rsid w:val="00A42E82"/>
    <w:pPr>
      <w:tabs>
        <w:tab w:val="left" w:pos="-720"/>
        <w:tab w:val="left" w:pos="0"/>
        <w:tab w:val="left" w:pos="720"/>
        <w:tab w:val="left" w:pos="1152"/>
        <w:tab w:val="left" w:pos="1584"/>
      </w:tabs>
      <w:spacing w:before="120" w:after="60"/>
      <w:ind w:left="720" w:hanging="720"/>
    </w:pPr>
    <w:rPr>
      <w:b/>
      <w:bCs/>
      <w:i/>
      <w:iCs/>
    </w:rPr>
  </w:style>
  <w:style w:type="paragraph" w:customStyle="1" w:styleId="Bullet1">
    <w:name w:val="Bullet 1"/>
    <w:basedOn w:val="Normal"/>
    <w:rsid w:val="00B36F72"/>
    <w:pPr>
      <w:keepNext/>
      <w:numPr>
        <w:numId w:val="18"/>
      </w:numPr>
      <w:autoSpaceDE/>
      <w:autoSpaceDN/>
      <w:adjustRightInd/>
      <w:spacing w:after="40"/>
    </w:pPr>
  </w:style>
  <w:style w:type="paragraph" w:customStyle="1" w:styleId="Bullet2">
    <w:name w:val="Bullet 2"/>
    <w:basedOn w:val="Normal"/>
    <w:rsid w:val="00A42E82"/>
    <w:pPr>
      <w:numPr>
        <w:ilvl w:val="1"/>
        <w:numId w:val="1"/>
      </w:numPr>
      <w:spacing w:after="40"/>
    </w:pPr>
  </w:style>
  <w:style w:type="character" w:customStyle="1" w:styleId="CharChar1">
    <w:name w:val="Char Char1"/>
    <w:rsid w:val="00A42E82"/>
    <w:rPr>
      <w:lang w:val="en-US" w:eastAsia="en-US" w:bidi="ar-SA"/>
    </w:rPr>
  </w:style>
  <w:style w:type="character" w:customStyle="1" w:styleId="CharChar25">
    <w:name w:val="Char Char25"/>
    <w:rsid w:val="00A42E82"/>
    <w:rPr>
      <w:lang w:val="en-US" w:eastAsia="en-US" w:bidi="ar-SA"/>
    </w:rPr>
  </w:style>
  <w:style w:type="character" w:customStyle="1" w:styleId="CharChar34">
    <w:name w:val="Char Char34"/>
    <w:rsid w:val="00A42E82"/>
    <w:rPr>
      <w:rFonts w:ascii="Arial" w:hAnsi="Arial" w:cs="Arial"/>
      <w:b/>
      <w:bCs/>
      <w:kern w:val="32"/>
      <w:sz w:val="36"/>
      <w:szCs w:val="32"/>
      <w:lang w:val="en-US" w:eastAsia="en-US" w:bidi="ar-SA"/>
    </w:rPr>
  </w:style>
  <w:style w:type="character" w:customStyle="1" w:styleId="CharChar20">
    <w:name w:val="Char Char20"/>
    <w:rsid w:val="00A42E82"/>
    <w:rPr>
      <w:sz w:val="24"/>
      <w:szCs w:val="24"/>
      <w:lang w:val="en-US" w:eastAsia="en-US" w:bidi="ar-SA"/>
    </w:rPr>
  </w:style>
  <w:style w:type="paragraph" w:styleId="EndnoteText">
    <w:name w:val="endnote text"/>
    <w:basedOn w:val="Normal"/>
    <w:link w:val="EndnoteTextChar"/>
    <w:semiHidden/>
    <w:rsid w:val="00A42E82"/>
    <w:pPr>
      <w:autoSpaceDE/>
      <w:autoSpaceDN/>
      <w:adjustRightInd/>
    </w:pPr>
    <w:rPr>
      <w:sz w:val="20"/>
      <w:szCs w:val="20"/>
    </w:rPr>
  </w:style>
  <w:style w:type="character" w:customStyle="1" w:styleId="EndnoteTextChar">
    <w:name w:val="Endnote Text Char"/>
    <w:basedOn w:val="DefaultParagraphFont"/>
    <w:link w:val="EndnoteText"/>
    <w:semiHidden/>
    <w:rsid w:val="00A42E82"/>
    <w:rPr>
      <w:rFonts w:ascii="Times New Roman" w:eastAsia="Times New Roman" w:hAnsi="Times New Roman" w:cs="Times New Roman"/>
      <w:sz w:val="20"/>
      <w:szCs w:val="20"/>
    </w:rPr>
  </w:style>
  <w:style w:type="character" w:styleId="EndnoteReference">
    <w:name w:val="endnote reference"/>
    <w:semiHidden/>
    <w:rsid w:val="00A42E82"/>
    <w:rPr>
      <w:vertAlign w:val="superscript"/>
    </w:rPr>
  </w:style>
  <w:style w:type="paragraph" w:customStyle="1" w:styleId="Default">
    <w:name w:val="Default"/>
    <w:rsid w:val="00A4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Factsheet">
    <w:name w:val="Bodytext_Factsheet"/>
    <w:basedOn w:val="Normal"/>
    <w:uiPriority w:val="99"/>
    <w:rsid w:val="00A42E82"/>
    <w:pPr>
      <w:autoSpaceDE/>
      <w:autoSpaceDN/>
      <w:adjustRightInd/>
      <w:ind w:firstLine="576"/>
    </w:pPr>
  </w:style>
  <w:style w:type="paragraph" w:styleId="ListParagraph">
    <w:name w:val="List Paragraph"/>
    <w:basedOn w:val="Normal"/>
    <w:uiPriority w:val="34"/>
    <w:qFormat/>
    <w:rsid w:val="00B36F72"/>
    <w:pPr>
      <w:ind w:left="720"/>
      <w:contextualSpacing/>
    </w:pPr>
  </w:style>
  <w:style w:type="paragraph" w:styleId="Revision">
    <w:name w:val="Revision"/>
    <w:hidden/>
    <w:uiPriority w:val="99"/>
    <w:semiHidden/>
    <w:rsid w:val="005A0595"/>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871F94"/>
    <w:pPr>
      <w:keepNext/>
      <w:spacing w:after="60"/>
    </w:pPr>
    <w:rPr>
      <w:rFonts w:asciiTheme="minorHAnsi" w:hAnsiTheme="minorHAnsi"/>
      <w:b/>
      <w:bCs/>
      <w:sz w:val="22"/>
      <w:szCs w:val="22"/>
    </w:rPr>
  </w:style>
  <w:style w:type="character" w:customStyle="1" w:styleId="ICR-4th">
    <w:name w:val="ICR-4th"/>
    <w:rsid w:val="00B36F72"/>
    <w:rPr>
      <w:i/>
      <w:iCs/>
    </w:rPr>
  </w:style>
  <w:style w:type="paragraph" w:customStyle="1" w:styleId="Level3">
    <w:name w:val="Level 3"/>
    <w:rsid w:val="00B36F72"/>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B36F72"/>
    <w:pPr>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Level5">
    <w:name w:val="Level 5"/>
    <w:rsid w:val="00B36F72"/>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B36F72"/>
    <w:pPr>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Level7">
    <w:name w:val="Level 7"/>
    <w:rsid w:val="00B36F72"/>
    <w:pPr>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Level8">
    <w:name w:val="Level 8"/>
    <w:rsid w:val="00B36F72"/>
    <w:pPr>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Level9">
    <w:name w:val="Level 9"/>
    <w:semiHidden/>
    <w:rsid w:val="00B36F72"/>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814FD"/>
    <w:pPr>
      <w:keepLines/>
      <w:autoSpaceDE/>
      <w:autoSpaceDN/>
      <w:adjustRightInd/>
      <w:spacing w:line="259" w:lineRule="auto"/>
      <w:outlineLvl w:val="9"/>
    </w:pPr>
    <w:rPr>
      <w:rFonts w:asciiTheme="majorHAnsi" w:eastAsiaTheme="majorEastAsia" w:hAnsiTheme="majorHAnsi" w:cstheme="majorBidi"/>
      <w:bCs w:val="0"/>
      <w:kern w:val="0"/>
    </w:rPr>
  </w:style>
  <w:style w:type="table" w:customStyle="1" w:styleId="TableGrid10">
    <w:name w:val="Table Grid1"/>
    <w:basedOn w:val="TableNormal"/>
    <w:next w:val="TableGrid"/>
    <w:uiPriority w:val="39"/>
    <w:rsid w:val="00E4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B1438"/>
    <w:rPr>
      <w:color w:val="2B579A"/>
      <w:shd w:val="clear" w:color="auto" w:fill="E6E6E6"/>
    </w:rPr>
  </w:style>
  <w:style w:type="paragraph" w:customStyle="1" w:styleId="Tablenote">
    <w:name w:val="Table note"/>
    <w:basedOn w:val="Normal"/>
    <w:qFormat/>
    <w:rsid w:val="00A30867"/>
    <w:pPr>
      <w:spacing w:before="60"/>
      <w:contextualSpacing/>
    </w:pPr>
    <w:rPr>
      <w:rFonts w:asciiTheme="minorHAnsi" w:hAnsiTheme="minorHAnsi" w:cs="Arial"/>
      <w:sz w:val="18"/>
      <w:szCs w:val="18"/>
    </w:rPr>
  </w:style>
  <w:style w:type="character" w:customStyle="1" w:styleId="p">
    <w:name w:val="p"/>
    <w:basedOn w:val="DefaultParagraphFont"/>
    <w:rsid w:val="005B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073">
      <w:bodyDiv w:val="1"/>
      <w:marLeft w:val="0"/>
      <w:marRight w:val="0"/>
      <w:marTop w:val="0"/>
      <w:marBottom w:val="0"/>
      <w:divBdr>
        <w:top w:val="none" w:sz="0" w:space="0" w:color="auto"/>
        <w:left w:val="none" w:sz="0" w:space="0" w:color="auto"/>
        <w:bottom w:val="none" w:sz="0" w:space="0" w:color="auto"/>
        <w:right w:val="none" w:sz="0" w:space="0" w:color="auto"/>
      </w:divBdr>
    </w:div>
    <w:div w:id="172770828">
      <w:bodyDiv w:val="1"/>
      <w:marLeft w:val="0"/>
      <w:marRight w:val="0"/>
      <w:marTop w:val="0"/>
      <w:marBottom w:val="0"/>
      <w:divBdr>
        <w:top w:val="none" w:sz="0" w:space="0" w:color="auto"/>
        <w:left w:val="none" w:sz="0" w:space="0" w:color="auto"/>
        <w:bottom w:val="none" w:sz="0" w:space="0" w:color="auto"/>
        <w:right w:val="none" w:sz="0" w:space="0" w:color="auto"/>
      </w:divBdr>
    </w:div>
    <w:div w:id="189075460">
      <w:bodyDiv w:val="1"/>
      <w:marLeft w:val="0"/>
      <w:marRight w:val="0"/>
      <w:marTop w:val="0"/>
      <w:marBottom w:val="0"/>
      <w:divBdr>
        <w:top w:val="none" w:sz="0" w:space="0" w:color="auto"/>
        <w:left w:val="none" w:sz="0" w:space="0" w:color="auto"/>
        <w:bottom w:val="none" w:sz="0" w:space="0" w:color="auto"/>
        <w:right w:val="none" w:sz="0" w:space="0" w:color="auto"/>
      </w:divBdr>
    </w:div>
    <w:div w:id="432823725">
      <w:bodyDiv w:val="1"/>
      <w:marLeft w:val="0"/>
      <w:marRight w:val="0"/>
      <w:marTop w:val="0"/>
      <w:marBottom w:val="0"/>
      <w:divBdr>
        <w:top w:val="none" w:sz="0" w:space="0" w:color="auto"/>
        <w:left w:val="none" w:sz="0" w:space="0" w:color="auto"/>
        <w:bottom w:val="none" w:sz="0" w:space="0" w:color="auto"/>
        <w:right w:val="none" w:sz="0" w:space="0" w:color="auto"/>
      </w:divBdr>
    </w:div>
    <w:div w:id="480390068">
      <w:bodyDiv w:val="1"/>
      <w:marLeft w:val="0"/>
      <w:marRight w:val="0"/>
      <w:marTop w:val="0"/>
      <w:marBottom w:val="0"/>
      <w:divBdr>
        <w:top w:val="none" w:sz="0" w:space="0" w:color="auto"/>
        <w:left w:val="none" w:sz="0" w:space="0" w:color="auto"/>
        <w:bottom w:val="none" w:sz="0" w:space="0" w:color="auto"/>
        <w:right w:val="none" w:sz="0" w:space="0" w:color="auto"/>
      </w:divBdr>
    </w:div>
    <w:div w:id="527527875">
      <w:bodyDiv w:val="1"/>
      <w:marLeft w:val="0"/>
      <w:marRight w:val="0"/>
      <w:marTop w:val="0"/>
      <w:marBottom w:val="0"/>
      <w:divBdr>
        <w:top w:val="none" w:sz="0" w:space="0" w:color="auto"/>
        <w:left w:val="none" w:sz="0" w:space="0" w:color="auto"/>
        <w:bottom w:val="none" w:sz="0" w:space="0" w:color="auto"/>
        <w:right w:val="none" w:sz="0" w:space="0" w:color="auto"/>
      </w:divBdr>
    </w:div>
    <w:div w:id="638925518">
      <w:bodyDiv w:val="1"/>
      <w:marLeft w:val="0"/>
      <w:marRight w:val="0"/>
      <w:marTop w:val="0"/>
      <w:marBottom w:val="0"/>
      <w:divBdr>
        <w:top w:val="none" w:sz="0" w:space="0" w:color="auto"/>
        <w:left w:val="none" w:sz="0" w:space="0" w:color="auto"/>
        <w:bottom w:val="none" w:sz="0" w:space="0" w:color="auto"/>
        <w:right w:val="none" w:sz="0" w:space="0" w:color="auto"/>
      </w:divBdr>
    </w:div>
    <w:div w:id="655575225">
      <w:bodyDiv w:val="1"/>
      <w:marLeft w:val="0"/>
      <w:marRight w:val="0"/>
      <w:marTop w:val="0"/>
      <w:marBottom w:val="0"/>
      <w:divBdr>
        <w:top w:val="none" w:sz="0" w:space="0" w:color="auto"/>
        <w:left w:val="none" w:sz="0" w:space="0" w:color="auto"/>
        <w:bottom w:val="none" w:sz="0" w:space="0" w:color="auto"/>
        <w:right w:val="none" w:sz="0" w:space="0" w:color="auto"/>
      </w:divBdr>
    </w:div>
    <w:div w:id="846020420">
      <w:bodyDiv w:val="1"/>
      <w:marLeft w:val="0"/>
      <w:marRight w:val="0"/>
      <w:marTop w:val="0"/>
      <w:marBottom w:val="0"/>
      <w:divBdr>
        <w:top w:val="none" w:sz="0" w:space="0" w:color="auto"/>
        <w:left w:val="none" w:sz="0" w:space="0" w:color="auto"/>
        <w:bottom w:val="none" w:sz="0" w:space="0" w:color="auto"/>
        <w:right w:val="none" w:sz="0" w:space="0" w:color="auto"/>
      </w:divBdr>
    </w:div>
    <w:div w:id="1048797938">
      <w:bodyDiv w:val="1"/>
      <w:marLeft w:val="0"/>
      <w:marRight w:val="0"/>
      <w:marTop w:val="0"/>
      <w:marBottom w:val="0"/>
      <w:divBdr>
        <w:top w:val="none" w:sz="0" w:space="0" w:color="auto"/>
        <w:left w:val="none" w:sz="0" w:space="0" w:color="auto"/>
        <w:bottom w:val="none" w:sz="0" w:space="0" w:color="auto"/>
        <w:right w:val="none" w:sz="0" w:space="0" w:color="auto"/>
      </w:divBdr>
    </w:div>
    <w:div w:id="1084104519">
      <w:bodyDiv w:val="1"/>
      <w:marLeft w:val="0"/>
      <w:marRight w:val="0"/>
      <w:marTop w:val="0"/>
      <w:marBottom w:val="0"/>
      <w:divBdr>
        <w:top w:val="none" w:sz="0" w:space="0" w:color="auto"/>
        <w:left w:val="none" w:sz="0" w:space="0" w:color="auto"/>
        <w:bottom w:val="none" w:sz="0" w:space="0" w:color="auto"/>
        <w:right w:val="none" w:sz="0" w:space="0" w:color="auto"/>
      </w:divBdr>
    </w:div>
    <w:div w:id="1109399296">
      <w:bodyDiv w:val="1"/>
      <w:marLeft w:val="0"/>
      <w:marRight w:val="0"/>
      <w:marTop w:val="0"/>
      <w:marBottom w:val="0"/>
      <w:divBdr>
        <w:top w:val="none" w:sz="0" w:space="0" w:color="auto"/>
        <w:left w:val="none" w:sz="0" w:space="0" w:color="auto"/>
        <w:bottom w:val="none" w:sz="0" w:space="0" w:color="auto"/>
        <w:right w:val="none" w:sz="0" w:space="0" w:color="auto"/>
      </w:divBdr>
    </w:div>
    <w:div w:id="1177840734">
      <w:bodyDiv w:val="1"/>
      <w:marLeft w:val="0"/>
      <w:marRight w:val="0"/>
      <w:marTop w:val="0"/>
      <w:marBottom w:val="0"/>
      <w:divBdr>
        <w:top w:val="none" w:sz="0" w:space="0" w:color="auto"/>
        <w:left w:val="none" w:sz="0" w:space="0" w:color="auto"/>
        <w:bottom w:val="none" w:sz="0" w:space="0" w:color="auto"/>
        <w:right w:val="none" w:sz="0" w:space="0" w:color="auto"/>
      </w:divBdr>
    </w:div>
    <w:div w:id="1598826452">
      <w:bodyDiv w:val="1"/>
      <w:marLeft w:val="0"/>
      <w:marRight w:val="0"/>
      <w:marTop w:val="0"/>
      <w:marBottom w:val="0"/>
      <w:divBdr>
        <w:top w:val="none" w:sz="0" w:space="0" w:color="auto"/>
        <w:left w:val="none" w:sz="0" w:space="0" w:color="auto"/>
        <w:bottom w:val="none" w:sz="0" w:space="0" w:color="auto"/>
        <w:right w:val="none" w:sz="0" w:space="0" w:color="auto"/>
      </w:divBdr>
    </w:div>
    <w:div w:id="1811899954">
      <w:bodyDiv w:val="1"/>
      <w:marLeft w:val="0"/>
      <w:marRight w:val="0"/>
      <w:marTop w:val="0"/>
      <w:marBottom w:val="0"/>
      <w:divBdr>
        <w:top w:val="none" w:sz="0" w:space="0" w:color="auto"/>
        <w:left w:val="none" w:sz="0" w:space="0" w:color="auto"/>
        <w:bottom w:val="none" w:sz="0" w:space="0" w:color="auto"/>
        <w:right w:val="none" w:sz="0" w:space="0" w:color="auto"/>
      </w:divBdr>
    </w:div>
    <w:div w:id="1876575630">
      <w:bodyDiv w:val="1"/>
      <w:marLeft w:val="0"/>
      <w:marRight w:val="0"/>
      <w:marTop w:val="0"/>
      <w:marBottom w:val="0"/>
      <w:divBdr>
        <w:top w:val="none" w:sz="0" w:space="0" w:color="auto"/>
        <w:left w:val="none" w:sz="0" w:space="0" w:color="auto"/>
        <w:bottom w:val="none" w:sz="0" w:space="0" w:color="auto"/>
        <w:right w:val="none" w:sz="0" w:space="0" w:color="auto"/>
      </w:divBdr>
    </w:div>
    <w:div w:id="1929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2.epa.gov/compliance/clean-water-act-national-pollutant-discharge-elimination-system-compliance-monito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cho.ep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epa.gov/env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B743C13B12D4DADA5BCB4E6AB6FEE" ma:contentTypeVersion="20" ma:contentTypeDescription="Create a new document." ma:contentTypeScope="" ma:versionID="f41756913031d59180f9278de2da45ac">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e7b331bd-c879-404b-a4e3-fb702f727c1b" targetNamespace="http://schemas.microsoft.com/office/2006/metadata/properties" ma:root="true" ma:fieldsID="3c59362342255e76ba83c24a7252ea99" ns1:_="" ns3:_="" ns4:_="" ns5:_="" ns6:_="">
    <xsd:import namespace="http://schemas.microsoft.com/sharepoint/v3"/>
    <xsd:import namespace="4ffa91fb-a0ff-4ac5-b2db-65c790d184a4"/>
    <xsd:import namespace="http://schemas.microsoft.com/sharepoint.v3"/>
    <xsd:import namespace="http://schemas.microsoft.com/sharepoint/v3/fields"/>
    <xsd:import namespace="e7b331bd-c879-404b-a4e3-fb702f727c1b"/>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3f25e4-f7df-40c0-bf22-e84d26443485}" ma:internalName="TaxCatchAllLabel" ma:readOnly="true" ma:showField="CatchAllDataLabel" ma:web="e7b331bd-c879-404b-a4e3-fb702f727c1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3f25e4-f7df-40c0-bf22-e84d26443485}" ma:internalName="TaxCatchAll" ma:showField="CatchAllData" ma:web="e7b331bd-c879-404b-a4e3-fb702f727c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331bd-c879-404b-a4e3-fb702f727c1b"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2015-11-13T01:01:46+00:00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81D8-843F-4E43-971F-ADE24DC4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7b331bd-c879-404b-a4e3-fb702f72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4B077-4641-4C4E-8907-E379F3A5AF04}">
  <ds:schemaRefs>
    <ds:schemaRef ds:uri="Microsoft.SharePoint.Taxonomy.ContentTypeSync"/>
  </ds:schemaRefs>
</ds:datastoreItem>
</file>

<file path=customXml/itemProps3.xml><?xml version="1.0" encoding="utf-8"?>
<ds:datastoreItem xmlns:ds="http://schemas.openxmlformats.org/officeDocument/2006/customXml" ds:itemID="{7AAD0E89-9506-4DEF-AE46-554DE6B51835}">
  <ds:schemaRefs>
    <ds:schemaRef ds:uri="http://schemas.microsoft.com/sharepoint/v3/contenttype/forms"/>
  </ds:schemaRefs>
</ds:datastoreItem>
</file>

<file path=customXml/itemProps4.xml><?xml version="1.0" encoding="utf-8"?>
<ds:datastoreItem xmlns:ds="http://schemas.openxmlformats.org/officeDocument/2006/customXml" ds:itemID="{786B24C4-9A4D-4B86-A2F3-E37E03D56DF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E4B0036D-8F2F-4B6B-AFA4-7B2A18D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28352</Words>
  <Characters>161611</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189584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 John</dc:creator>
  <cp:keywords/>
  <dc:description/>
  <cp:lastModifiedBy>SYSTEM</cp:lastModifiedBy>
  <cp:revision>2</cp:revision>
  <cp:lastPrinted>2017-08-24T13:18:00Z</cp:lastPrinted>
  <dcterms:created xsi:type="dcterms:W3CDTF">2018-04-05T01:27:00Z</dcterms:created>
  <dcterms:modified xsi:type="dcterms:W3CDTF">2018-04-05T01:27:00Z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0x0101009AAB743C13B12D4DADA5BCB4E6AB6FEE</vt:lpwstr>
  </property>
  <property fmtid="{D5CDD505-2E9C-101B-9397-08002B2CF9AE}" pid="3" name="TaxKeyword">
    <vt:lpwstr/>
  </property>
  <property fmtid="{D5CDD505-2E9C-101B-9397-08002B2CF9AE}" pid="4" name="Document Type">
    <vt:lpwstr/>
  </property>
</Properties>
</file>