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D5DBC" w14:textId="77777777" w:rsidR="00BB3C7A" w:rsidRDefault="00BB3C7A" w:rsidP="00BB444D">
      <w:pPr>
        <w:rPr>
          <w:rFonts w:asciiTheme="majorHAnsi" w:eastAsia="Arial Unicode MS" w:hAnsiTheme="majorHAnsi" w:cstheme="majorHAnsi"/>
          <w:color w:val="000000"/>
          <w:szCs w:val="24"/>
        </w:rPr>
      </w:pPr>
    </w:p>
    <w:p w14:paraId="56C1AB52" w14:textId="77777777" w:rsidR="00BB3C7A" w:rsidRDefault="00BB3C7A" w:rsidP="00BB444D">
      <w:pPr>
        <w:rPr>
          <w:rFonts w:asciiTheme="majorHAnsi" w:eastAsia="Arial Unicode MS" w:hAnsiTheme="majorHAnsi" w:cstheme="majorHAnsi"/>
          <w:color w:val="000000"/>
          <w:szCs w:val="24"/>
        </w:rPr>
      </w:pPr>
    </w:p>
    <w:p w14:paraId="5ED64134" w14:textId="77777777" w:rsidR="00BB3C7A" w:rsidRDefault="00BB3C7A" w:rsidP="00BB444D">
      <w:pPr>
        <w:rPr>
          <w:rFonts w:asciiTheme="majorHAnsi" w:eastAsia="Arial Unicode MS" w:hAnsiTheme="majorHAnsi" w:cstheme="majorHAnsi"/>
          <w:color w:val="000000"/>
          <w:szCs w:val="24"/>
        </w:rPr>
      </w:pPr>
      <w:r>
        <w:rPr>
          <w:rFonts w:asciiTheme="majorHAnsi" w:eastAsia="Arial Unicode MS" w:hAnsiTheme="majorHAnsi" w:cstheme="majorHAnsi"/>
          <w:color w:val="000000"/>
          <w:szCs w:val="24"/>
        </w:rPr>
        <w:t>June 22, 2018</w:t>
      </w:r>
    </w:p>
    <w:p w14:paraId="5C904E9E" w14:textId="77777777" w:rsidR="00BB3C7A" w:rsidRDefault="00BB3C7A" w:rsidP="00BB444D">
      <w:pPr>
        <w:rPr>
          <w:rFonts w:asciiTheme="majorHAnsi" w:eastAsia="Arial Unicode MS" w:hAnsiTheme="majorHAnsi" w:cstheme="majorHAnsi"/>
          <w:color w:val="000000"/>
          <w:szCs w:val="24"/>
        </w:rPr>
      </w:pPr>
    </w:p>
    <w:p w14:paraId="2724DE5D" w14:textId="77777777" w:rsidR="00BB3C7A" w:rsidRDefault="00BB3C7A" w:rsidP="00BB444D">
      <w:pPr>
        <w:rPr>
          <w:rFonts w:asciiTheme="majorHAnsi" w:eastAsia="Arial Unicode MS" w:hAnsiTheme="majorHAnsi" w:cstheme="majorHAnsi"/>
          <w:color w:val="000000"/>
          <w:szCs w:val="24"/>
        </w:rPr>
      </w:pPr>
    </w:p>
    <w:p w14:paraId="4C735CE4" w14:textId="77777777" w:rsidR="00BB444D" w:rsidRPr="00BB444D" w:rsidRDefault="00BB444D" w:rsidP="00BB444D">
      <w:pPr>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Collette Pollard</w:t>
      </w:r>
    </w:p>
    <w:p w14:paraId="00BF7F22" w14:textId="77777777" w:rsidR="00BB444D" w:rsidRPr="00BB444D" w:rsidRDefault="00BB444D" w:rsidP="00BB444D">
      <w:pPr>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Reports Management Officer, QDMA</w:t>
      </w:r>
    </w:p>
    <w:p w14:paraId="4D7CE8D5" w14:textId="77777777" w:rsidR="00BB444D" w:rsidRPr="00BB444D" w:rsidRDefault="00BB444D" w:rsidP="00BB444D">
      <w:pPr>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Department of Housing and Urban Development</w:t>
      </w:r>
    </w:p>
    <w:p w14:paraId="4BFD1709" w14:textId="77777777" w:rsidR="00BB444D" w:rsidRPr="00BB444D" w:rsidRDefault="00BB444D" w:rsidP="00BB444D">
      <w:pPr>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451 7th Street, SW, Room 4176</w:t>
      </w:r>
    </w:p>
    <w:p w14:paraId="4769898A" w14:textId="77777777" w:rsidR="00BB444D" w:rsidRPr="00BB444D" w:rsidRDefault="00BB444D" w:rsidP="00BB444D">
      <w:pPr>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Washington, DC 20410-5000</w:t>
      </w:r>
    </w:p>
    <w:p w14:paraId="36CE41BC" w14:textId="77777777" w:rsidR="00BB444D" w:rsidRPr="00BB444D" w:rsidRDefault="00BB444D" w:rsidP="00BB444D">
      <w:pPr>
        <w:rPr>
          <w:rFonts w:asciiTheme="majorHAnsi" w:eastAsia="Arial Unicode MS" w:hAnsiTheme="majorHAnsi" w:cstheme="majorHAnsi"/>
          <w:color w:val="000000"/>
          <w:szCs w:val="24"/>
        </w:rPr>
      </w:pPr>
    </w:p>
    <w:p w14:paraId="21BC9188" w14:textId="77777777" w:rsidR="00BB444D" w:rsidRPr="00BB444D" w:rsidRDefault="00BB444D" w:rsidP="00BB444D">
      <w:pPr>
        <w:ind w:left="720" w:hanging="720"/>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RE:</w:t>
      </w:r>
      <w:r w:rsidRPr="00BB444D">
        <w:rPr>
          <w:rFonts w:asciiTheme="majorHAnsi" w:eastAsia="Arial Unicode MS" w:hAnsiTheme="majorHAnsi" w:cstheme="majorHAnsi"/>
          <w:color w:val="000000"/>
          <w:szCs w:val="24"/>
        </w:rPr>
        <w:tab/>
      </w:r>
      <w:r w:rsidRPr="00BB444D">
        <w:rPr>
          <w:rFonts w:asciiTheme="majorHAnsi" w:eastAsia="Arial Unicode MS" w:hAnsiTheme="majorHAnsi" w:cstheme="majorHAnsi"/>
          <w:b/>
          <w:color w:val="000000"/>
          <w:szCs w:val="24"/>
        </w:rPr>
        <w:t>Docket No. FR-7005-N-08</w:t>
      </w:r>
      <w:r>
        <w:rPr>
          <w:rFonts w:asciiTheme="majorHAnsi" w:eastAsia="Arial Unicode MS" w:hAnsiTheme="majorHAnsi" w:cstheme="majorHAnsi"/>
          <w:color w:val="000000"/>
          <w:szCs w:val="24"/>
        </w:rPr>
        <w:t xml:space="preserve">:  </w:t>
      </w:r>
      <w:r w:rsidRPr="00BB444D">
        <w:rPr>
          <w:rFonts w:asciiTheme="majorHAnsi" w:eastAsia="Arial Unicode MS" w:hAnsiTheme="majorHAnsi" w:cstheme="majorHAnsi"/>
          <w:color w:val="000000"/>
          <w:szCs w:val="24"/>
        </w:rPr>
        <w:t>60-Day Notice of Proposed Information Collection:  Management Reviews of Multifamily Housing Programs:  HUD-9834</w:t>
      </w:r>
    </w:p>
    <w:p w14:paraId="5A27C5C7" w14:textId="77777777" w:rsidR="00BB444D" w:rsidRPr="00BB444D" w:rsidRDefault="00BB444D" w:rsidP="00BB444D">
      <w:pPr>
        <w:ind w:firstLine="720"/>
        <w:rPr>
          <w:rFonts w:asciiTheme="majorHAnsi" w:eastAsia="Arial Unicode MS" w:hAnsiTheme="majorHAnsi" w:cstheme="majorHAnsi"/>
          <w:color w:val="000000"/>
          <w:szCs w:val="24"/>
        </w:rPr>
      </w:pPr>
      <w:r w:rsidRPr="00BB444D">
        <w:rPr>
          <w:rFonts w:asciiTheme="majorHAnsi" w:eastAsia="Arial Unicode MS" w:hAnsiTheme="majorHAnsi" w:cstheme="majorHAnsi"/>
          <w:color w:val="000000"/>
          <w:szCs w:val="24"/>
        </w:rPr>
        <w:t>OMB Approval No. 2502-0178</w:t>
      </w:r>
    </w:p>
    <w:p w14:paraId="42DB460C" w14:textId="77777777" w:rsidR="00BB444D" w:rsidRPr="00BB444D" w:rsidRDefault="00BB444D" w:rsidP="00BB444D">
      <w:pPr>
        <w:rPr>
          <w:rFonts w:asciiTheme="majorHAnsi" w:eastAsia="Arial Unicode MS" w:hAnsiTheme="majorHAnsi" w:cstheme="majorHAnsi"/>
          <w:color w:val="000000"/>
          <w:szCs w:val="24"/>
        </w:rPr>
      </w:pPr>
    </w:p>
    <w:p w14:paraId="711B23A2" w14:textId="77777777" w:rsidR="00BB444D" w:rsidRPr="00BB444D" w:rsidRDefault="00BB444D" w:rsidP="00BB444D">
      <w:pPr>
        <w:autoSpaceDE w:val="0"/>
        <w:autoSpaceDN w:val="0"/>
        <w:adjustRightInd w:val="0"/>
        <w:rPr>
          <w:rFonts w:asciiTheme="majorHAnsi" w:eastAsiaTheme="minorHAnsi" w:hAnsiTheme="majorHAnsi" w:cstheme="majorHAnsi"/>
          <w:i/>
          <w:iCs/>
          <w:szCs w:val="24"/>
        </w:rPr>
      </w:pPr>
      <w:r w:rsidRPr="00BB444D">
        <w:rPr>
          <w:rFonts w:asciiTheme="majorHAnsi" w:eastAsiaTheme="minorHAnsi" w:hAnsiTheme="majorHAnsi" w:cstheme="majorHAnsi"/>
          <w:i/>
          <w:iCs/>
          <w:szCs w:val="24"/>
        </w:rPr>
        <w:t>By electronic submission</w:t>
      </w:r>
    </w:p>
    <w:p w14:paraId="3932DF8F" w14:textId="77777777" w:rsidR="00BB444D" w:rsidRPr="00BB444D" w:rsidRDefault="00BB444D" w:rsidP="00BB444D">
      <w:pPr>
        <w:rPr>
          <w:rFonts w:asciiTheme="majorHAnsi" w:eastAsia="Arial Unicode MS" w:hAnsiTheme="majorHAnsi" w:cstheme="majorHAnsi"/>
          <w:color w:val="000000"/>
          <w:szCs w:val="24"/>
        </w:rPr>
      </w:pPr>
    </w:p>
    <w:p w14:paraId="6FB74564" w14:textId="77777777" w:rsidR="00BB444D" w:rsidRDefault="00BB444D" w:rsidP="00BB444D">
      <w:pPr>
        <w:rPr>
          <w:rFonts w:asciiTheme="majorHAnsi" w:eastAsia="Arial Unicode MS" w:hAnsiTheme="majorHAnsi" w:cstheme="majorHAnsi"/>
          <w:color w:val="000000"/>
          <w:szCs w:val="24"/>
        </w:rPr>
      </w:pPr>
      <w:r>
        <w:rPr>
          <w:rFonts w:asciiTheme="majorHAnsi" w:eastAsia="Arial Unicode MS" w:hAnsiTheme="majorHAnsi" w:cstheme="majorHAnsi"/>
          <w:color w:val="000000"/>
          <w:szCs w:val="24"/>
        </w:rPr>
        <w:t>Dear Ms. Pollard:</w:t>
      </w:r>
    </w:p>
    <w:p w14:paraId="64EE025D" w14:textId="77777777" w:rsidR="00BB444D" w:rsidRDefault="00BB444D" w:rsidP="00BB444D">
      <w:pPr>
        <w:rPr>
          <w:rFonts w:asciiTheme="majorHAnsi" w:eastAsia="Arial Unicode MS" w:hAnsiTheme="majorHAnsi" w:cstheme="majorHAnsi"/>
          <w:color w:val="000000"/>
          <w:szCs w:val="24"/>
        </w:rPr>
      </w:pPr>
    </w:p>
    <w:p w14:paraId="19DD9F80" w14:textId="77777777" w:rsidR="00CB54D0" w:rsidRPr="00A1339E" w:rsidRDefault="00BB444D" w:rsidP="00CB54D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 xml:space="preserve">Please accept the following comments from </w:t>
      </w:r>
      <w:r w:rsidR="00CB54D0" w:rsidRPr="00A1339E">
        <w:rPr>
          <w:rFonts w:asciiTheme="majorHAnsi" w:eastAsia="Arial Unicode MS" w:hAnsiTheme="majorHAnsi" w:cstheme="majorHAnsi"/>
          <w:color w:val="000000" w:themeColor="text1"/>
          <w:szCs w:val="24"/>
        </w:rPr>
        <w:t>CGI Federal, Inc. regarding the 60-day Notice of Proposed Information Collection referenced above i</w:t>
      </w:r>
      <w:r w:rsidRPr="00A1339E">
        <w:rPr>
          <w:rFonts w:asciiTheme="majorHAnsi" w:eastAsia="Arial Unicode MS" w:hAnsiTheme="majorHAnsi" w:cstheme="majorHAnsi"/>
          <w:color w:val="000000" w:themeColor="text1"/>
          <w:szCs w:val="24"/>
        </w:rPr>
        <w:t>n accordance with the invitation for public comment listed in the Federal Register</w:t>
      </w:r>
      <w:r w:rsidR="00CB54D0" w:rsidRPr="00A1339E">
        <w:rPr>
          <w:rFonts w:asciiTheme="majorHAnsi" w:eastAsia="Arial Unicode MS" w:hAnsiTheme="majorHAnsi" w:cstheme="majorHAnsi"/>
          <w:color w:val="000000" w:themeColor="text1"/>
          <w:szCs w:val="24"/>
        </w:rPr>
        <w:t xml:space="preserve"> April 24, 2018.  CGI </w:t>
      </w:r>
      <w:r w:rsidRPr="00A1339E">
        <w:rPr>
          <w:rFonts w:asciiTheme="majorHAnsi" w:eastAsia="Arial Unicode MS" w:hAnsiTheme="majorHAnsi" w:cstheme="majorHAnsi"/>
          <w:color w:val="000000" w:themeColor="text1"/>
          <w:szCs w:val="24"/>
        </w:rPr>
        <w:t xml:space="preserve">currently </w:t>
      </w:r>
      <w:r w:rsidR="00E7044D" w:rsidRPr="00A1339E">
        <w:rPr>
          <w:rFonts w:asciiTheme="majorHAnsi" w:eastAsia="Arial Unicode MS" w:hAnsiTheme="majorHAnsi" w:cstheme="majorHAnsi"/>
          <w:color w:val="000000" w:themeColor="text1"/>
          <w:szCs w:val="24"/>
        </w:rPr>
        <w:t>conducts</w:t>
      </w:r>
      <w:r w:rsidRPr="00A1339E">
        <w:rPr>
          <w:rFonts w:asciiTheme="majorHAnsi" w:eastAsia="Arial Unicode MS" w:hAnsiTheme="majorHAnsi" w:cstheme="majorHAnsi"/>
          <w:color w:val="000000" w:themeColor="text1"/>
          <w:szCs w:val="24"/>
        </w:rPr>
        <w:t xml:space="preserve"> </w:t>
      </w:r>
      <w:r w:rsidR="00A667A7">
        <w:rPr>
          <w:rFonts w:asciiTheme="majorHAnsi" w:eastAsia="Arial Unicode MS" w:hAnsiTheme="majorHAnsi" w:cstheme="majorHAnsi"/>
          <w:color w:val="000000" w:themeColor="text1"/>
          <w:szCs w:val="24"/>
        </w:rPr>
        <w:t>Management and Occupancy Reviews</w:t>
      </w:r>
      <w:r w:rsidR="00E7044D" w:rsidRPr="00A1339E">
        <w:rPr>
          <w:rFonts w:asciiTheme="majorHAnsi" w:eastAsia="Arial Unicode MS" w:hAnsiTheme="majorHAnsi" w:cstheme="majorHAnsi"/>
          <w:color w:val="000000" w:themeColor="text1"/>
          <w:szCs w:val="24"/>
        </w:rPr>
        <w:t xml:space="preserve"> for </w:t>
      </w:r>
      <w:r w:rsidRPr="00A1339E">
        <w:rPr>
          <w:rFonts w:asciiTheme="majorHAnsi" w:eastAsia="Arial Unicode MS" w:hAnsiTheme="majorHAnsi" w:cstheme="majorHAnsi"/>
          <w:color w:val="000000" w:themeColor="text1"/>
          <w:szCs w:val="24"/>
        </w:rPr>
        <w:t xml:space="preserve">Project Based Section 8 properties in </w:t>
      </w:r>
      <w:r w:rsidR="00CB54D0" w:rsidRPr="00A1339E">
        <w:rPr>
          <w:rFonts w:asciiTheme="majorHAnsi" w:eastAsia="Arial Unicode MS" w:hAnsiTheme="majorHAnsi" w:cstheme="majorHAnsi"/>
          <w:color w:val="000000" w:themeColor="text1"/>
          <w:szCs w:val="24"/>
        </w:rPr>
        <w:t>Californ</w:t>
      </w:r>
      <w:r w:rsidR="00A667A7">
        <w:rPr>
          <w:rFonts w:asciiTheme="majorHAnsi" w:eastAsia="Arial Unicode MS" w:hAnsiTheme="majorHAnsi" w:cstheme="majorHAnsi"/>
          <w:color w:val="000000" w:themeColor="text1"/>
          <w:szCs w:val="24"/>
        </w:rPr>
        <w:t>ia, Florida, Ohio, New York,</w:t>
      </w:r>
      <w:r w:rsidR="00CB54D0" w:rsidRPr="00A1339E">
        <w:rPr>
          <w:rFonts w:asciiTheme="majorHAnsi" w:eastAsia="Arial Unicode MS" w:hAnsiTheme="majorHAnsi" w:cstheme="majorHAnsi"/>
          <w:color w:val="000000" w:themeColor="text1"/>
          <w:szCs w:val="24"/>
        </w:rPr>
        <w:t xml:space="preserve"> Washington D.C.</w:t>
      </w:r>
      <w:r w:rsidRPr="00A1339E">
        <w:rPr>
          <w:rFonts w:asciiTheme="majorHAnsi" w:eastAsia="Arial Unicode MS" w:hAnsiTheme="majorHAnsi" w:cstheme="majorHAnsi"/>
          <w:color w:val="000000" w:themeColor="text1"/>
          <w:szCs w:val="24"/>
        </w:rPr>
        <w:t xml:space="preserve"> </w:t>
      </w:r>
      <w:r w:rsidR="00A667A7">
        <w:rPr>
          <w:rFonts w:asciiTheme="majorHAnsi" w:eastAsia="Arial Unicode MS" w:hAnsiTheme="majorHAnsi" w:cstheme="majorHAnsi"/>
          <w:color w:val="000000" w:themeColor="text1"/>
          <w:szCs w:val="24"/>
        </w:rPr>
        <w:t>and Virgin Islands.</w:t>
      </w:r>
      <w:r w:rsidRPr="00A1339E">
        <w:rPr>
          <w:rFonts w:asciiTheme="majorHAnsi" w:eastAsia="Arial Unicode MS" w:hAnsiTheme="majorHAnsi" w:cstheme="majorHAnsi"/>
          <w:color w:val="000000" w:themeColor="text1"/>
          <w:szCs w:val="24"/>
        </w:rPr>
        <w:t xml:space="preserve"> We have served in this capacity for </w:t>
      </w:r>
      <w:r w:rsidR="00A667A7">
        <w:rPr>
          <w:rFonts w:asciiTheme="majorHAnsi" w:eastAsia="Arial Unicode MS" w:hAnsiTheme="majorHAnsi" w:cstheme="majorHAnsi"/>
          <w:color w:val="000000" w:themeColor="text1"/>
          <w:szCs w:val="24"/>
        </w:rPr>
        <w:t>more than</w:t>
      </w:r>
      <w:r w:rsidR="00E7044D" w:rsidRPr="00A1339E">
        <w:rPr>
          <w:rFonts w:asciiTheme="majorHAnsi" w:eastAsia="Arial Unicode MS" w:hAnsiTheme="majorHAnsi" w:cstheme="majorHAnsi"/>
          <w:color w:val="000000" w:themeColor="text1"/>
          <w:szCs w:val="24"/>
        </w:rPr>
        <w:t xml:space="preserve"> 17</w:t>
      </w:r>
      <w:r w:rsidR="00520B36" w:rsidRPr="00A1339E">
        <w:rPr>
          <w:rFonts w:asciiTheme="majorHAnsi" w:eastAsia="Arial Unicode MS" w:hAnsiTheme="majorHAnsi" w:cstheme="majorHAnsi"/>
          <w:color w:val="000000" w:themeColor="text1"/>
          <w:szCs w:val="24"/>
        </w:rPr>
        <w:t xml:space="preserve"> </w:t>
      </w:r>
      <w:r w:rsidR="00CB54D0" w:rsidRPr="00A1339E">
        <w:rPr>
          <w:rFonts w:asciiTheme="majorHAnsi" w:eastAsia="Arial Unicode MS" w:hAnsiTheme="majorHAnsi" w:cstheme="majorHAnsi"/>
          <w:color w:val="000000" w:themeColor="text1"/>
          <w:szCs w:val="24"/>
        </w:rPr>
        <w:t>years</w:t>
      </w:r>
      <w:r w:rsidRPr="00A1339E">
        <w:rPr>
          <w:rFonts w:asciiTheme="majorHAnsi" w:eastAsia="Arial Unicode MS" w:hAnsiTheme="majorHAnsi" w:cstheme="majorHAnsi"/>
          <w:color w:val="000000" w:themeColor="text1"/>
          <w:szCs w:val="24"/>
        </w:rPr>
        <w:t xml:space="preserve">.  </w:t>
      </w:r>
    </w:p>
    <w:p w14:paraId="663CB2B0" w14:textId="77777777" w:rsidR="00CB54D0" w:rsidRPr="00A1339E" w:rsidRDefault="00CB54D0" w:rsidP="00CB54D0">
      <w:pPr>
        <w:rPr>
          <w:rFonts w:asciiTheme="majorHAnsi" w:eastAsia="Arial Unicode MS" w:hAnsiTheme="majorHAnsi" w:cstheme="majorHAnsi"/>
          <w:color w:val="000000" w:themeColor="text1"/>
          <w:szCs w:val="24"/>
        </w:rPr>
      </w:pPr>
    </w:p>
    <w:p w14:paraId="419FE4D3" w14:textId="77777777" w:rsidR="00BB444D" w:rsidRPr="00A1339E" w:rsidRDefault="00CB54D0" w:rsidP="00CB54D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 xml:space="preserve">The comments below are being submitted by CGI </w:t>
      </w:r>
      <w:r w:rsidR="00BB444D" w:rsidRPr="00A1339E">
        <w:rPr>
          <w:rFonts w:asciiTheme="majorHAnsi" w:eastAsia="Arial Unicode MS" w:hAnsiTheme="majorHAnsi" w:cstheme="majorHAnsi"/>
          <w:color w:val="000000" w:themeColor="text1"/>
          <w:szCs w:val="24"/>
        </w:rPr>
        <w:t>from the PBCA perspective</w:t>
      </w:r>
      <w:r w:rsidRPr="00A1339E">
        <w:rPr>
          <w:rFonts w:asciiTheme="majorHAnsi" w:eastAsia="Arial Unicode MS" w:hAnsiTheme="majorHAnsi" w:cstheme="majorHAnsi"/>
          <w:color w:val="000000" w:themeColor="text1"/>
          <w:szCs w:val="24"/>
        </w:rPr>
        <w:t>:</w:t>
      </w:r>
    </w:p>
    <w:p w14:paraId="2E1A5928" w14:textId="77777777" w:rsidR="00974038" w:rsidRPr="00A1339E" w:rsidRDefault="00974038" w:rsidP="00974038">
      <w:pPr>
        <w:rPr>
          <w:rFonts w:asciiTheme="majorHAnsi" w:eastAsia="Arial Unicode MS" w:hAnsiTheme="majorHAnsi" w:cstheme="majorHAnsi"/>
          <w:color w:val="000000" w:themeColor="text1"/>
          <w:szCs w:val="24"/>
        </w:rPr>
      </w:pPr>
    </w:p>
    <w:p w14:paraId="43DB1997" w14:textId="10F3CD6D" w:rsidR="007D1252" w:rsidRDefault="00357387" w:rsidP="00C30003">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 xml:space="preserve">It is our opinion that the form HUD-9834 is necessary and useful during the MOR process to measure a project’s compliance with HUD regulations.  </w:t>
      </w:r>
      <w:r w:rsidR="007D1252" w:rsidRPr="00A1339E">
        <w:rPr>
          <w:rFonts w:asciiTheme="majorHAnsi" w:eastAsia="Arial Unicode MS" w:hAnsiTheme="majorHAnsi" w:cstheme="majorHAnsi"/>
          <w:color w:val="000000" w:themeColor="text1"/>
          <w:szCs w:val="24"/>
        </w:rPr>
        <w:t xml:space="preserve">The form HUD-9834 incorporates all areas of project management for owner/agents administering federally assisted rental assistance and is a critical tool used by the PBCA to document the project’s current practices and report the information to HUD.  The </w:t>
      </w:r>
      <w:r w:rsidRPr="00A1339E">
        <w:rPr>
          <w:rFonts w:asciiTheme="majorHAnsi" w:eastAsia="Arial Unicode MS" w:hAnsiTheme="majorHAnsi" w:cstheme="majorHAnsi"/>
          <w:color w:val="000000" w:themeColor="text1"/>
          <w:szCs w:val="24"/>
        </w:rPr>
        <w:t xml:space="preserve">inability to manipulate formatting within the document presents a challenge and often delays the timely completion of the information.  Each project </w:t>
      </w:r>
      <w:r w:rsidR="007D1252" w:rsidRPr="00A1339E">
        <w:rPr>
          <w:rFonts w:asciiTheme="majorHAnsi" w:eastAsia="Arial Unicode MS" w:hAnsiTheme="majorHAnsi" w:cstheme="majorHAnsi"/>
          <w:color w:val="000000" w:themeColor="text1"/>
          <w:szCs w:val="24"/>
        </w:rPr>
        <w:t xml:space="preserve">review </w:t>
      </w:r>
      <w:r w:rsidRPr="00A1339E">
        <w:rPr>
          <w:rFonts w:asciiTheme="majorHAnsi" w:eastAsia="Arial Unicode MS" w:hAnsiTheme="majorHAnsi" w:cstheme="majorHAnsi"/>
          <w:color w:val="000000" w:themeColor="text1"/>
          <w:szCs w:val="24"/>
        </w:rPr>
        <w:t>is unique and often requires additional documentation</w:t>
      </w:r>
      <w:r w:rsidR="007D1252" w:rsidRPr="00A1339E">
        <w:rPr>
          <w:rFonts w:asciiTheme="majorHAnsi" w:eastAsia="Arial Unicode MS" w:hAnsiTheme="majorHAnsi" w:cstheme="majorHAnsi"/>
          <w:color w:val="000000" w:themeColor="text1"/>
          <w:szCs w:val="24"/>
        </w:rPr>
        <w:t xml:space="preserve"> in various areas</w:t>
      </w:r>
      <w:r w:rsidRPr="00A1339E">
        <w:rPr>
          <w:rFonts w:asciiTheme="majorHAnsi" w:eastAsia="Arial Unicode MS" w:hAnsiTheme="majorHAnsi" w:cstheme="majorHAnsi"/>
          <w:color w:val="000000" w:themeColor="text1"/>
          <w:szCs w:val="24"/>
        </w:rPr>
        <w:t xml:space="preserve"> to capture </w:t>
      </w:r>
      <w:r w:rsidR="007D1252" w:rsidRPr="00A1339E">
        <w:rPr>
          <w:rFonts w:asciiTheme="majorHAnsi" w:eastAsia="Arial Unicode MS" w:hAnsiTheme="majorHAnsi" w:cstheme="majorHAnsi"/>
          <w:color w:val="000000" w:themeColor="text1"/>
          <w:szCs w:val="24"/>
        </w:rPr>
        <w:t xml:space="preserve">and clarify </w:t>
      </w:r>
      <w:r w:rsidRPr="00A1339E">
        <w:rPr>
          <w:rFonts w:asciiTheme="majorHAnsi" w:eastAsia="Arial Unicode MS" w:hAnsiTheme="majorHAnsi" w:cstheme="majorHAnsi"/>
          <w:color w:val="000000" w:themeColor="text1"/>
          <w:szCs w:val="24"/>
        </w:rPr>
        <w:t xml:space="preserve">the </w:t>
      </w:r>
      <w:r w:rsidR="007D1252" w:rsidRPr="00A1339E">
        <w:rPr>
          <w:rFonts w:asciiTheme="majorHAnsi" w:eastAsia="Arial Unicode MS" w:hAnsiTheme="majorHAnsi" w:cstheme="majorHAnsi"/>
          <w:color w:val="000000" w:themeColor="text1"/>
          <w:szCs w:val="24"/>
        </w:rPr>
        <w:t xml:space="preserve">PBCA’s full assessment of the review.  </w:t>
      </w:r>
    </w:p>
    <w:p w14:paraId="741C7D33" w14:textId="13F93945" w:rsidR="00E4156D" w:rsidRDefault="00E4156D" w:rsidP="00C30003">
      <w:pPr>
        <w:rPr>
          <w:rFonts w:asciiTheme="majorHAnsi" w:eastAsia="Arial Unicode MS" w:hAnsiTheme="majorHAnsi" w:cstheme="majorHAnsi"/>
          <w:color w:val="000000" w:themeColor="text1"/>
          <w:szCs w:val="24"/>
        </w:rPr>
      </w:pPr>
    </w:p>
    <w:p w14:paraId="5B16B74C" w14:textId="573254D0" w:rsidR="00E95B3A" w:rsidRPr="00E95B3A" w:rsidRDefault="00E95B3A" w:rsidP="00C30003">
      <w:pPr>
        <w:rPr>
          <w:rFonts w:asciiTheme="majorHAnsi" w:eastAsia="Arial Unicode MS" w:hAnsiTheme="majorHAnsi" w:cstheme="majorHAnsi"/>
          <w:i/>
          <w:color w:val="2E74B5" w:themeColor="accent1" w:themeShade="BF"/>
          <w:szCs w:val="24"/>
        </w:rPr>
      </w:pPr>
      <w:proofErr w:type="gramStart"/>
      <w:r>
        <w:rPr>
          <w:rFonts w:asciiTheme="majorHAnsi" w:eastAsia="Arial Unicode MS" w:hAnsiTheme="majorHAnsi" w:cstheme="majorHAnsi"/>
          <w:i/>
          <w:color w:val="2E74B5" w:themeColor="accent1" w:themeShade="BF"/>
          <w:szCs w:val="24"/>
        </w:rPr>
        <w:lastRenderedPageBreak/>
        <w:t>In the course of</w:t>
      </w:r>
      <w:proofErr w:type="gramEnd"/>
      <w:r>
        <w:rPr>
          <w:rFonts w:asciiTheme="majorHAnsi" w:eastAsia="Arial Unicode MS" w:hAnsiTheme="majorHAnsi" w:cstheme="majorHAnsi"/>
          <w:i/>
          <w:color w:val="2E74B5" w:themeColor="accent1" w:themeShade="BF"/>
          <w:szCs w:val="24"/>
        </w:rPr>
        <w:t xml:space="preserve"> addressing HUD’s Streamlining directive, a revised and updated form HUD-9834 will be implemented to minimize inapplicable questions based on the identity and affiliation of the reviewer. The replacement form will be constructed in Excel, making possible limited formatting within the document.  The form has long suggested that where necessary, additional pages should be added to improve clarity. This will continue to be the case with the revised version due to be published </w:t>
      </w:r>
      <w:proofErr w:type="gramStart"/>
      <w:r>
        <w:rPr>
          <w:rFonts w:asciiTheme="majorHAnsi" w:eastAsia="Arial Unicode MS" w:hAnsiTheme="majorHAnsi" w:cstheme="majorHAnsi"/>
          <w:i/>
          <w:color w:val="2E74B5" w:themeColor="accent1" w:themeShade="BF"/>
          <w:szCs w:val="24"/>
        </w:rPr>
        <w:t xml:space="preserve">in the near </w:t>
      </w:r>
      <w:bookmarkStart w:id="0" w:name="_GoBack"/>
      <w:bookmarkEnd w:id="0"/>
      <w:r>
        <w:rPr>
          <w:rFonts w:asciiTheme="majorHAnsi" w:eastAsia="Arial Unicode MS" w:hAnsiTheme="majorHAnsi" w:cstheme="majorHAnsi"/>
          <w:i/>
          <w:color w:val="2E74B5" w:themeColor="accent1" w:themeShade="BF"/>
          <w:szCs w:val="24"/>
        </w:rPr>
        <w:t>future</w:t>
      </w:r>
      <w:proofErr w:type="gramEnd"/>
      <w:r>
        <w:rPr>
          <w:rFonts w:asciiTheme="majorHAnsi" w:eastAsia="Arial Unicode MS" w:hAnsiTheme="majorHAnsi" w:cstheme="majorHAnsi"/>
          <w:i/>
          <w:color w:val="2E74B5" w:themeColor="accent1" w:themeShade="BF"/>
          <w:szCs w:val="24"/>
        </w:rPr>
        <w:t>.</w:t>
      </w:r>
    </w:p>
    <w:p w14:paraId="47718953" w14:textId="77777777" w:rsidR="007D1252" w:rsidRPr="00A1339E" w:rsidRDefault="007D1252" w:rsidP="00C30003">
      <w:pPr>
        <w:rPr>
          <w:rFonts w:asciiTheme="majorHAnsi" w:eastAsia="Arial Unicode MS" w:hAnsiTheme="majorHAnsi" w:cstheme="majorHAnsi"/>
          <w:color w:val="000000" w:themeColor="text1"/>
          <w:szCs w:val="24"/>
        </w:rPr>
      </w:pPr>
    </w:p>
    <w:p w14:paraId="69AE1C54" w14:textId="40EC9FBB" w:rsidR="00A3594A" w:rsidRDefault="00EF052A" w:rsidP="00A3594A">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 xml:space="preserve">While HUD is </w:t>
      </w:r>
      <w:r w:rsidR="00ED532F" w:rsidRPr="00A1339E">
        <w:rPr>
          <w:rFonts w:asciiTheme="majorHAnsi" w:eastAsia="Arial Unicode MS" w:hAnsiTheme="majorHAnsi" w:cstheme="majorHAnsi"/>
          <w:color w:val="000000" w:themeColor="text1"/>
          <w:szCs w:val="24"/>
        </w:rPr>
        <w:t xml:space="preserve">currently </w:t>
      </w:r>
      <w:r w:rsidR="00A3594A" w:rsidRPr="00A1339E">
        <w:rPr>
          <w:rFonts w:asciiTheme="majorHAnsi" w:eastAsia="Arial Unicode MS" w:hAnsiTheme="majorHAnsi" w:cstheme="majorHAnsi"/>
          <w:color w:val="000000" w:themeColor="text1"/>
          <w:szCs w:val="24"/>
        </w:rPr>
        <w:t>engaged</w:t>
      </w:r>
      <w:r w:rsidRPr="00A1339E">
        <w:rPr>
          <w:rFonts w:asciiTheme="majorHAnsi" w:eastAsia="Arial Unicode MS" w:hAnsiTheme="majorHAnsi" w:cstheme="majorHAnsi"/>
          <w:color w:val="000000" w:themeColor="text1"/>
          <w:szCs w:val="24"/>
        </w:rPr>
        <w:t xml:space="preserve"> is rule making that would reduce the frequency for regularly-scheduled MORs, the scoring method of the MOR must be considered before implementing a risk-based approach.   </w:t>
      </w:r>
      <w:r w:rsidR="00ED532F" w:rsidRPr="00A1339E">
        <w:rPr>
          <w:rFonts w:asciiTheme="majorHAnsi" w:eastAsia="Arial Unicode MS" w:hAnsiTheme="majorHAnsi" w:cstheme="majorHAnsi"/>
          <w:color w:val="000000" w:themeColor="text1"/>
          <w:szCs w:val="24"/>
        </w:rPr>
        <w:t xml:space="preserve">The current scoring system is </w:t>
      </w:r>
      <w:r w:rsidR="00D2792C" w:rsidRPr="00A1339E">
        <w:rPr>
          <w:rFonts w:asciiTheme="majorHAnsi" w:eastAsia="Arial Unicode MS" w:hAnsiTheme="majorHAnsi" w:cstheme="majorHAnsi"/>
          <w:color w:val="000000" w:themeColor="text1"/>
          <w:szCs w:val="24"/>
        </w:rPr>
        <w:t xml:space="preserve">perceived as being somewhat </w:t>
      </w:r>
      <w:r w:rsidR="00ED532F" w:rsidRPr="00A1339E">
        <w:rPr>
          <w:rFonts w:asciiTheme="majorHAnsi" w:eastAsia="Arial Unicode MS" w:hAnsiTheme="majorHAnsi" w:cstheme="majorHAnsi"/>
          <w:color w:val="000000" w:themeColor="text1"/>
          <w:szCs w:val="24"/>
        </w:rPr>
        <w:t>subjective and may artificially inflate scores.  The review of the tenant files</w:t>
      </w:r>
      <w:r w:rsidR="00D2792C" w:rsidRPr="00A1339E">
        <w:rPr>
          <w:rFonts w:asciiTheme="majorHAnsi" w:eastAsia="Arial Unicode MS" w:hAnsiTheme="majorHAnsi" w:cstheme="majorHAnsi"/>
          <w:color w:val="000000" w:themeColor="text1"/>
          <w:szCs w:val="24"/>
        </w:rPr>
        <w:t xml:space="preserve"> Section E of the form HUD-9834, </w:t>
      </w:r>
      <w:r w:rsidR="00ED532F" w:rsidRPr="00A1339E">
        <w:rPr>
          <w:rFonts w:asciiTheme="majorHAnsi" w:eastAsia="Arial Unicode MS" w:hAnsiTheme="majorHAnsi" w:cstheme="majorHAnsi"/>
          <w:color w:val="000000" w:themeColor="text1"/>
          <w:szCs w:val="24"/>
        </w:rPr>
        <w:t xml:space="preserve">is the largest component of the MOR, yet critical deficiencies noted in this section are often minimalized </w:t>
      </w:r>
      <w:r w:rsidR="00BA283A" w:rsidRPr="00A1339E">
        <w:rPr>
          <w:rFonts w:asciiTheme="majorHAnsi" w:eastAsia="Arial Unicode MS" w:hAnsiTheme="majorHAnsi" w:cstheme="majorHAnsi"/>
          <w:color w:val="000000" w:themeColor="text1"/>
          <w:szCs w:val="24"/>
        </w:rPr>
        <w:t xml:space="preserve">by </w:t>
      </w:r>
      <w:r w:rsidR="00ED532F" w:rsidRPr="00A1339E">
        <w:rPr>
          <w:rFonts w:asciiTheme="majorHAnsi" w:eastAsia="Arial Unicode MS" w:hAnsiTheme="majorHAnsi" w:cstheme="majorHAnsi"/>
          <w:color w:val="000000" w:themeColor="text1"/>
          <w:szCs w:val="24"/>
        </w:rPr>
        <w:t xml:space="preserve">Sections A, B, C, F, &amp; G of the </w:t>
      </w:r>
      <w:r w:rsidR="00A3594A" w:rsidRPr="00A1339E">
        <w:rPr>
          <w:rFonts w:asciiTheme="majorHAnsi" w:eastAsia="Arial Unicode MS" w:hAnsiTheme="majorHAnsi" w:cstheme="majorHAnsi"/>
          <w:color w:val="000000" w:themeColor="text1"/>
          <w:szCs w:val="24"/>
        </w:rPr>
        <w:t>form HUD-9834</w:t>
      </w:r>
      <w:r w:rsidR="00D2792C" w:rsidRPr="00A1339E">
        <w:rPr>
          <w:rFonts w:asciiTheme="majorHAnsi" w:eastAsia="Arial Unicode MS" w:hAnsiTheme="majorHAnsi" w:cstheme="majorHAnsi"/>
          <w:color w:val="000000" w:themeColor="text1"/>
          <w:szCs w:val="24"/>
        </w:rPr>
        <w:t xml:space="preserve">.  These sections </w:t>
      </w:r>
      <w:r w:rsidR="00A3594A" w:rsidRPr="00A1339E">
        <w:rPr>
          <w:rFonts w:asciiTheme="majorHAnsi" w:eastAsia="Arial Unicode MS" w:hAnsiTheme="majorHAnsi" w:cstheme="majorHAnsi"/>
          <w:color w:val="000000" w:themeColor="text1"/>
          <w:szCs w:val="24"/>
        </w:rPr>
        <w:t>consist of basic competencies one would expect of an owner/agent such as keeping the project neat, following up on issues identified by the REAC Inspection report, lead-based paint compliance, and treating the tenants with respect</w:t>
      </w:r>
      <w:r w:rsidR="00A3594A" w:rsidRPr="00A1339E">
        <w:rPr>
          <w:rFonts w:asciiTheme="majorHAnsi" w:eastAsia="Arial Unicode MS" w:hAnsiTheme="majorHAnsi" w:cstheme="majorHAnsi"/>
          <w:i/>
          <w:color w:val="000000" w:themeColor="text1"/>
          <w:szCs w:val="24"/>
        </w:rPr>
        <w:t>.</w:t>
      </w:r>
      <w:r w:rsidR="00BB3C7A" w:rsidRPr="00A1339E">
        <w:rPr>
          <w:rFonts w:asciiTheme="majorHAnsi" w:eastAsia="Arial Unicode MS" w:hAnsiTheme="majorHAnsi" w:cstheme="majorHAnsi"/>
          <w:i/>
          <w:color w:val="000000" w:themeColor="text1"/>
          <w:szCs w:val="24"/>
        </w:rPr>
        <w:t xml:space="preserve"> </w:t>
      </w:r>
      <w:r w:rsidR="00EF527A" w:rsidRPr="00A1339E">
        <w:rPr>
          <w:rFonts w:asciiTheme="majorHAnsi" w:eastAsia="Arial Unicode MS" w:hAnsiTheme="majorHAnsi" w:cstheme="majorHAnsi"/>
          <w:color w:val="000000" w:themeColor="text1"/>
          <w:szCs w:val="24"/>
        </w:rPr>
        <w:t xml:space="preserve">Above Average scores in </w:t>
      </w:r>
      <w:r w:rsidR="00A3594A" w:rsidRPr="00A1339E">
        <w:rPr>
          <w:rFonts w:asciiTheme="majorHAnsi" w:eastAsia="Arial Unicode MS" w:hAnsiTheme="majorHAnsi" w:cstheme="majorHAnsi"/>
          <w:color w:val="000000" w:themeColor="text1"/>
          <w:szCs w:val="24"/>
        </w:rPr>
        <w:t xml:space="preserve">Sections A, B, C, F, &amp; G </w:t>
      </w:r>
      <w:r w:rsidR="00ED532F" w:rsidRPr="00A1339E">
        <w:rPr>
          <w:rFonts w:asciiTheme="majorHAnsi" w:eastAsia="Arial Unicode MS" w:hAnsiTheme="majorHAnsi" w:cstheme="majorHAnsi"/>
          <w:color w:val="000000" w:themeColor="text1"/>
          <w:szCs w:val="24"/>
        </w:rPr>
        <w:t>can easily counter balance the overall score</w:t>
      </w:r>
      <w:r w:rsidR="00A3594A" w:rsidRPr="00A1339E">
        <w:rPr>
          <w:rFonts w:asciiTheme="majorHAnsi" w:eastAsia="Arial Unicode MS" w:hAnsiTheme="majorHAnsi" w:cstheme="majorHAnsi"/>
          <w:color w:val="000000" w:themeColor="text1"/>
          <w:szCs w:val="24"/>
        </w:rPr>
        <w:t xml:space="preserve"> making it possible for a project to receive an overall score of Satisfactory or higher wh</w:t>
      </w:r>
      <w:r w:rsidR="00EF527A" w:rsidRPr="00A1339E">
        <w:rPr>
          <w:rFonts w:asciiTheme="majorHAnsi" w:eastAsia="Arial Unicode MS" w:hAnsiTheme="majorHAnsi" w:cstheme="majorHAnsi"/>
          <w:color w:val="000000" w:themeColor="text1"/>
          <w:szCs w:val="24"/>
        </w:rPr>
        <w:t>en critical deficiencies are found in the tenant file review.</w:t>
      </w:r>
      <w:r w:rsidR="00A3594A" w:rsidRPr="00A1339E">
        <w:rPr>
          <w:rFonts w:asciiTheme="majorHAnsi" w:eastAsia="Arial Unicode MS" w:hAnsiTheme="majorHAnsi" w:cstheme="majorHAnsi"/>
          <w:color w:val="000000" w:themeColor="text1"/>
          <w:szCs w:val="24"/>
        </w:rPr>
        <w:t xml:space="preserve"> </w:t>
      </w:r>
      <w:r w:rsidR="00EF527A" w:rsidRPr="00A1339E">
        <w:rPr>
          <w:rFonts w:asciiTheme="majorHAnsi" w:eastAsia="Arial Unicode MS" w:hAnsiTheme="majorHAnsi" w:cstheme="majorHAnsi"/>
          <w:color w:val="000000" w:themeColor="text1"/>
          <w:szCs w:val="24"/>
        </w:rPr>
        <w:t xml:space="preserve"> </w:t>
      </w:r>
      <w:r w:rsidR="00E7044D" w:rsidRPr="00A1339E">
        <w:rPr>
          <w:rFonts w:asciiTheme="majorHAnsi" w:eastAsia="Arial Unicode MS" w:hAnsiTheme="majorHAnsi" w:cstheme="majorHAnsi"/>
          <w:color w:val="000000" w:themeColor="text1"/>
          <w:szCs w:val="24"/>
        </w:rPr>
        <w:t>In addition</w:t>
      </w:r>
      <w:r w:rsidR="00EF527A" w:rsidRPr="00A1339E">
        <w:rPr>
          <w:rFonts w:asciiTheme="majorHAnsi" w:eastAsia="Arial Unicode MS" w:hAnsiTheme="majorHAnsi" w:cstheme="majorHAnsi"/>
          <w:color w:val="000000" w:themeColor="text1"/>
          <w:szCs w:val="24"/>
        </w:rPr>
        <w:t xml:space="preserve">, applying a risk-based approach to MORs will exacerbate the frustration </w:t>
      </w:r>
      <w:r w:rsidR="00D2792C" w:rsidRPr="00A1339E">
        <w:rPr>
          <w:rFonts w:asciiTheme="majorHAnsi" w:eastAsia="Arial Unicode MS" w:hAnsiTheme="majorHAnsi" w:cstheme="majorHAnsi"/>
          <w:color w:val="000000" w:themeColor="text1"/>
          <w:szCs w:val="24"/>
        </w:rPr>
        <w:t xml:space="preserve">already </w:t>
      </w:r>
      <w:r w:rsidR="00EF527A" w:rsidRPr="00A1339E">
        <w:rPr>
          <w:rFonts w:asciiTheme="majorHAnsi" w:eastAsia="Arial Unicode MS" w:hAnsiTheme="majorHAnsi" w:cstheme="majorHAnsi"/>
          <w:color w:val="000000" w:themeColor="text1"/>
          <w:szCs w:val="24"/>
        </w:rPr>
        <w:t>expressed by owner/agents concerning the</w:t>
      </w:r>
      <w:r w:rsidR="00D2792C" w:rsidRPr="00A1339E">
        <w:rPr>
          <w:rFonts w:asciiTheme="majorHAnsi" w:eastAsia="Arial Unicode MS" w:hAnsiTheme="majorHAnsi" w:cstheme="majorHAnsi"/>
          <w:color w:val="000000" w:themeColor="text1"/>
          <w:szCs w:val="24"/>
        </w:rPr>
        <w:t>ir</w:t>
      </w:r>
      <w:r w:rsidR="00EF527A" w:rsidRPr="00A1339E">
        <w:rPr>
          <w:rFonts w:asciiTheme="majorHAnsi" w:eastAsia="Arial Unicode MS" w:hAnsiTheme="majorHAnsi" w:cstheme="majorHAnsi"/>
          <w:color w:val="000000" w:themeColor="text1"/>
          <w:szCs w:val="24"/>
        </w:rPr>
        <w:t xml:space="preserve"> perceived subjectivity of the current scoring system.  Reducing the frequency of MORs for high performing properties will </w:t>
      </w:r>
      <w:r w:rsidR="00D2792C" w:rsidRPr="00A1339E">
        <w:rPr>
          <w:rFonts w:asciiTheme="majorHAnsi" w:eastAsia="Arial Unicode MS" w:hAnsiTheme="majorHAnsi" w:cstheme="majorHAnsi"/>
          <w:color w:val="000000" w:themeColor="text1"/>
          <w:szCs w:val="24"/>
        </w:rPr>
        <w:t>no doubt motivate</w:t>
      </w:r>
      <w:r w:rsidR="00EF527A" w:rsidRPr="00A1339E">
        <w:rPr>
          <w:rFonts w:asciiTheme="majorHAnsi" w:eastAsia="Arial Unicode MS" w:hAnsiTheme="majorHAnsi" w:cstheme="majorHAnsi"/>
          <w:color w:val="000000" w:themeColor="text1"/>
          <w:szCs w:val="24"/>
        </w:rPr>
        <w:t xml:space="preserve"> </w:t>
      </w:r>
      <w:r w:rsidR="00D2792C" w:rsidRPr="00A1339E">
        <w:rPr>
          <w:rFonts w:asciiTheme="majorHAnsi" w:eastAsia="Arial Unicode MS" w:hAnsiTheme="majorHAnsi" w:cstheme="majorHAnsi"/>
          <w:color w:val="000000" w:themeColor="text1"/>
          <w:szCs w:val="24"/>
        </w:rPr>
        <w:t xml:space="preserve">owner/agents to appeal lower scores while overshadowing the most important </w:t>
      </w:r>
      <w:r w:rsidR="00BB3C7A" w:rsidRPr="00A1339E">
        <w:rPr>
          <w:rFonts w:asciiTheme="majorHAnsi" w:eastAsia="Arial Unicode MS" w:hAnsiTheme="majorHAnsi" w:cstheme="majorHAnsi"/>
          <w:color w:val="000000" w:themeColor="text1"/>
          <w:szCs w:val="24"/>
        </w:rPr>
        <w:t>objective</w:t>
      </w:r>
      <w:r w:rsidR="00D2792C" w:rsidRPr="00A1339E">
        <w:rPr>
          <w:rFonts w:asciiTheme="majorHAnsi" w:eastAsia="Arial Unicode MS" w:hAnsiTheme="majorHAnsi" w:cstheme="majorHAnsi"/>
          <w:color w:val="000000" w:themeColor="text1"/>
          <w:szCs w:val="24"/>
        </w:rPr>
        <w:t xml:space="preserve"> of the MOR – providing quality project management.  </w:t>
      </w:r>
      <w:r w:rsidR="00EF527A" w:rsidRPr="00A1339E">
        <w:rPr>
          <w:rFonts w:asciiTheme="majorHAnsi" w:eastAsia="Arial Unicode MS" w:hAnsiTheme="majorHAnsi" w:cstheme="majorHAnsi"/>
          <w:color w:val="000000" w:themeColor="text1"/>
          <w:szCs w:val="24"/>
        </w:rPr>
        <w:t xml:space="preserve"> </w:t>
      </w:r>
      <w:r w:rsidR="00E7044D" w:rsidRPr="00A1339E">
        <w:rPr>
          <w:rFonts w:asciiTheme="majorHAnsi" w:eastAsia="Arial Unicode MS" w:hAnsiTheme="majorHAnsi" w:cstheme="majorHAnsi"/>
          <w:color w:val="000000" w:themeColor="text1"/>
          <w:szCs w:val="24"/>
        </w:rPr>
        <w:t xml:space="preserve">Furthermore, </w:t>
      </w:r>
      <w:proofErr w:type="gramStart"/>
      <w:r w:rsidR="00E7044D" w:rsidRPr="00A1339E">
        <w:rPr>
          <w:rFonts w:asciiTheme="majorHAnsi" w:eastAsia="Arial Unicode MS" w:hAnsiTheme="majorHAnsi" w:cstheme="majorHAnsi"/>
          <w:color w:val="000000" w:themeColor="text1"/>
          <w:szCs w:val="24"/>
        </w:rPr>
        <w:t>It</w:t>
      </w:r>
      <w:proofErr w:type="gramEnd"/>
      <w:r w:rsidR="00E7044D" w:rsidRPr="00A1339E">
        <w:rPr>
          <w:rFonts w:asciiTheme="majorHAnsi" w:eastAsia="Arial Unicode MS" w:hAnsiTheme="majorHAnsi" w:cstheme="majorHAnsi"/>
          <w:color w:val="000000" w:themeColor="text1"/>
          <w:szCs w:val="24"/>
        </w:rPr>
        <w:t xml:space="preserve"> is suggested that these types of issues be recognized as either pass or fail ratings which would translate to an immediate below average overall rating due to the severity of the issue at hand.  </w:t>
      </w:r>
    </w:p>
    <w:p w14:paraId="50B89F8D" w14:textId="55CDBD29" w:rsidR="00E95B3A" w:rsidRDefault="00E95B3A" w:rsidP="00A3594A">
      <w:pPr>
        <w:rPr>
          <w:rFonts w:asciiTheme="majorHAnsi" w:eastAsia="Arial Unicode MS" w:hAnsiTheme="majorHAnsi" w:cstheme="majorHAnsi"/>
          <w:color w:val="000000" w:themeColor="text1"/>
          <w:szCs w:val="24"/>
        </w:rPr>
      </w:pPr>
    </w:p>
    <w:p w14:paraId="50DEBF09" w14:textId="7E88F8E3" w:rsidR="00E95B3A" w:rsidRPr="00E95B3A" w:rsidRDefault="00E95B3A" w:rsidP="00A3594A">
      <w:pPr>
        <w:rPr>
          <w:rFonts w:asciiTheme="majorHAnsi" w:eastAsia="Arial Unicode MS" w:hAnsiTheme="majorHAnsi" w:cstheme="majorHAnsi"/>
          <w:i/>
          <w:color w:val="2E74B5" w:themeColor="accent1" w:themeShade="BF"/>
          <w:szCs w:val="24"/>
        </w:rPr>
      </w:pPr>
      <w:r w:rsidRPr="00E95B3A">
        <w:rPr>
          <w:rFonts w:asciiTheme="majorHAnsi" w:eastAsia="Arial Unicode MS" w:hAnsiTheme="majorHAnsi" w:cstheme="majorHAnsi"/>
          <w:i/>
          <w:color w:val="2E74B5" w:themeColor="accent1" w:themeShade="BF"/>
          <w:szCs w:val="24"/>
        </w:rPr>
        <w:t xml:space="preserve">Thank you for addressing the scoring method currently in use with the form HUD-9834.  </w:t>
      </w:r>
      <w:r>
        <w:rPr>
          <w:rFonts w:asciiTheme="majorHAnsi" w:eastAsia="Arial Unicode MS" w:hAnsiTheme="majorHAnsi" w:cstheme="majorHAnsi"/>
          <w:i/>
          <w:color w:val="2E74B5" w:themeColor="accent1" w:themeShade="BF"/>
          <w:szCs w:val="24"/>
        </w:rPr>
        <w:t>Your suggestions will be taken into consideration</w:t>
      </w:r>
      <w:r w:rsidR="00FA4199">
        <w:rPr>
          <w:rFonts w:asciiTheme="majorHAnsi" w:eastAsia="Arial Unicode MS" w:hAnsiTheme="majorHAnsi" w:cstheme="majorHAnsi"/>
          <w:i/>
          <w:color w:val="2E74B5" w:themeColor="accent1" w:themeShade="BF"/>
          <w:szCs w:val="24"/>
        </w:rPr>
        <w:t>, as</w:t>
      </w:r>
      <w:r>
        <w:rPr>
          <w:rFonts w:asciiTheme="majorHAnsi" w:eastAsia="Arial Unicode MS" w:hAnsiTheme="majorHAnsi" w:cstheme="majorHAnsi"/>
          <w:i/>
          <w:color w:val="2E74B5" w:themeColor="accent1" w:themeShade="BF"/>
          <w:szCs w:val="24"/>
        </w:rPr>
        <w:t xml:space="preserve"> </w:t>
      </w:r>
      <w:r w:rsidRPr="00E95B3A">
        <w:rPr>
          <w:rFonts w:asciiTheme="majorHAnsi" w:eastAsia="Arial Unicode MS" w:hAnsiTheme="majorHAnsi" w:cstheme="majorHAnsi"/>
          <w:i/>
          <w:color w:val="2E74B5" w:themeColor="accent1" w:themeShade="BF"/>
          <w:szCs w:val="24"/>
        </w:rPr>
        <w:t>HUD recognizes the potential for subjective</w:t>
      </w:r>
      <w:r>
        <w:rPr>
          <w:rFonts w:asciiTheme="majorHAnsi" w:eastAsia="Arial Unicode MS" w:hAnsiTheme="majorHAnsi" w:cstheme="majorHAnsi"/>
          <w:i/>
          <w:color w:val="2E74B5" w:themeColor="accent1" w:themeShade="BF"/>
          <w:szCs w:val="24"/>
        </w:rPr>
        <w:t xml:space="preserve"> reporting. Using staffing and expertise available </w:t>
      </w:r>
      <w:r w:rsidR="00FA4199">
        <w:rPr>
          <w:rFonts w:asciiTheme="majorHAnsi" w:eastAsia="Arial Unicode MS" w:hAnsiTheme="majorHAnsi" w:cstheme="majorHAnsi"/>
          <w:i/>
          <w:color w:val="2E74B5" w:themeColor="accent1" w:themeShade="BF"/>
          <w:szCs w:val="24"/>
        </w:rPr>
        <w:t xml:space="preserve">to </w:t>
      </w:r>
      <w:r>
        <w:rPr>
          <w:rFonts w:asciiTheme="majorHAnsi" w:eastAsia="Arial Unicode MS" w:hAnsiTheme="majorHAnsi" w:cstheme="majorHAnsi"/>
          <w:i/>
          <w:color w:val="2E74B5" w:themeColor="accent1" w:themeShade="BF"/>
          <w:szCs w:val="24"/>
        </w:rPr>
        <w:t xml:space="preserve">HUD, continuing efforts are underway to improve the scoring methodology, and are expected to be reflected in upcoming rulemaking.  </w:t>
      </w:r>
    </w:p>
    <w:p w14:paraId="5781A0ED" w14:textId="77777777" w:rsidR="00520B36" w:rsidRPr="00A1339E" w:rsidRDefault="00520B36" w:rsidP="00BB444D">
      <w:pPr>
        <w:rPr>
          <w:rFonts w:asciiTheme="majorHAnsi" w:eastAsia="Arial Unicode MS" w:hAnsiTheme="majorHAnsi" w:cstheme="majorHAnsi"/>
          <w:color w:val="000000" w:themeColor="text1"/>
          <w:szCs w:val="24"/>
        </w:rPr>
      </w:pPr>
    </w:p>
    <w:p w14:paraId="230778D8" w14:textId="67C11C4A" w:rsidR="00BB444D" w:rsidRDefault="00B4391F" w:rsidP="00BB444D">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 xml:space="preserve">We understand HUD’s desire to minimize the burden of the collection of information however conducting an on-site review of a project allows the PBCA to see practical results of the owner/agents standard operation procedures.  Allowing owner/agents to </w:t>
      </w:r>
      <w:r w:rsidR="003032A0" w:rsidRPr="00A1339E">
        <w:rPr>
          <w:rFonts w:asciiTheme="majorHAnsi" w:eastAsia="Arial Unicode MS" w:hAnsiTheme="majorHAnsi" w:cstheme="majorHAnsi"/>
          <w:color w:val="000000" w:themeColor="text1"/>
          <w:szCs w:val="24"/>
        </w:rPr>
        <w:t xml:space="preserve">complete the form HUD-9834 </w:t>
      </w:r>
      <w:r w:rsidRPr="00A1339E">
        <w:rPr>
          <w:rFonts w:asciiTheme="majorHAnsi" w:eastAsia="Arial Unicode MS" w:hAnsiTheme="majorHAnsi" w:cstheme="majorHAnsi"/>
          <w:color w:val="000000" w:themeColor="text1"/>
          <w:szCs w:val="24"/>
        </w:rPr>
        <w:t xml:space="preserve">and </w:t>
      </w:r>
      <w:r w:rsidR="007C1C9F" w:rsidRPr="00A1339E">
        <w:rPr>
          <w:rFonts w:asciiTheme="majorHAnsi" w:eastAsia="Arial Unicode MS" w:hAnsiTheme="majorHAnsi" w:cstheme="majorHAnsi"/>
          <w:color w:val="000000" w:themeColor="text1"/>
          <w:szCs w:val="24"/>
        </w:rPr>
        <w:t>submit</w:t>
      </w:r>
      <w:r w:rsidRPr="00A1339E">
        <w:rPr>
          <w:rFonts w:asciiTheme="majorHAnsi" w:eastAsia="Arial Unicode MS" w:hAnsiTheme="majorHAnsi" w:cstheme="majorHAnsi"/>
          <w:color w:val="000000" w:themeColor="text1"/>
          <w:szCs w:val="24"/>
        </w:rPr>
        <w:t xml:space="preserve"> their response electronically</w:t>
      </w:r>
      <w:r w:rsidR="007C1C9F" w:rsidRPr="00A1339E">
        <w:rPr>
          <w:rFonts w:asciiTheme="majorHAnsi" w:eastAsia="Arial Unicode MS" w:hAnsiTheme="majorHAnsi" w:cstheme="majorHAnsi"/>
          <w:color w:val="000000" w:themeColor="text1"/>
          <w:szCs w:val="24"/>
        </w:rPr>
        <w:t>,</w:t>
      </w:r>
      <w:r w:rsidRPr="00A1339E">
        <w:rPr>
          <w:rFonts w:asciiTheme="majorHAnsi" w:eastAsia="Arial Unicode MS" w:hAnsiTheme="majorHAnsi" w:cstheme="majorHAnsi"/>
          <w:color w:val="000000" w:themeColor="text1"/>
          <w:szCs w:val="24"/>
        </w:rPr>
        <w:t xml:space="preserve"> not only provides projects with the opportunity to make corrections to documents</w:t>
      </w:r>
      <w:r w:rsidR="007C1C9F" w:rsidRPr="00A1339E">
        <w:rPr>
          <w:rFonts w:asciiTheme="majorHAnsi" w:eastAsia="Arial Unicode MS" w:hAnsiTheme="majorHAnsi" w:cstheme="majorHAnsi"/>
          <w:color w:val="000000" w:themeColor="text1"/>
          <w:szCs w:val="24"/>
        </w:rPr>
        <w:t xml:space="preserve"> prior to submission</w:t>
      </w:r>
      <w:r w:rsidRPr="00A1339E">
        <w:rPr>
          <w:rFonts w:asciiTheme="majorHAnsi" w:eastAsia="Arial Unicode MS" w:hAnsiTheme="majorHAnsi" w:cstheme="majorHAnsi"/>
          <w:color w:val="000000" w:themeColor="text1"/>
          <w:szCs w:val="24"/>
        </w:rPr>
        <w:t xml:space="preserve">, but also </w:t>
      </w:r>
      <w:r w:rsidR="007C1C9F" w:rsidRPr="00A1339E">
        <w:rPr>
          <w:rFonts w:asciiTheme="majorHAnsi" w:eastAsia="Arial Unicode MS" w:hAnsiTheme="majorHAnsi" w:cstheme="majorHAnsi"/>
          <w:color w:val="000000" w:themeColor="text1"/>
          <w:szCs w:val="24"/>
        </w:rPr>
        <w:t>intensifies</w:t>
      </w:r>
      <w:r w:rsidRPr="00A1339E">
        <w:rPr>
          <w:rFonts w:asciiTheme="majorHAnsi" w:eastAsia="Arial Unicode MS" w:hAnsiTheme="majorHAnsi" w:cstheme="majorHAnsi"/>
          <w:color w:val="000000" w:themeColor="text1"/>
          <w:szCs w:val="24"/>
        </w:rPr>
        <w:t xml:space="preserve"> the risk </w:t>
      </w:r>
      <w:r w:rsidRPr="00A1339E">
        <w:rPr>
          <w:rFonts w:asciiTheme="majorHAnsi" w:eastAsia="Arial Unicode MS" w:hAnsiTheme="majorHAnsi" w:cstheme="majorHAnsi"/>
          <w:color w:val="000000" w:themeColor="text1"/>
          <w:szCs w:val="24"/>
        </w:rPr>
        <w:lastRenderedPageBreak/>
        <w:t>of exposing personally identifiable</w:t>
      </w:r>
      <w:r w:rsidR="007C1C9F" w:rsidRPr="00A1339E">
        <w:rPr>
          <w:rFonts w:asciiTheme="majorHAnsi" w:eastAsia="Arial Unicode MS" w:hAnsiTheme="majorHAnsi" w:cstheme="majorHAnsi"/>
          <w:color w:val="000000" w:themeColor="text1"/>
          <w:szCs w:val="24"/>
        </w:rPr>
        <w:t xml:space="preserve"> information.  </w:t>
      </w:r>
      <w:r w:rsidR="00B35BC1" w:rsidRPr="00A1339E">
        <w:rPr>
          <w:rFonts w:asciiTheme="majorHAnsi" w:eastAsia="Arial Unicode MS" w:hAnsiTheme="majorHAnsi" w:cstheme="majorHAnsi"/>
          <w:color w:val="000000" w:themeColor="text1"/>
          <w:szCs w:val="24"/>
        </w:rPr>
        <w:t>Furthermore, t</w:t>
      </w:r>
      <w:r w:rsidR="007C1C9F" w:rsidRPr="00A1339E">
        <w:rPr>
          <w:rFonts w:asciiTheme="majorHAnsi" w:eastAsia="Arial Unicode MS" w:hAnsiTheme="majorHAnsi" w:cstheme="majorHAnsi"/>
          <w:color w:val="000000" w:themeColor="text1"/>
          <w:szCs w:val="24"/>
        </w:rPr>
        <w:t>he authenticity</w:t>
      </w:r>
      <w:r w:rsidR="00B35BC1" w:rsidRPr="00A1339E">
        <w:rPr>
          <w:rFonts w:asciiTheme="majorHAnsi" w:eastAsia="Arial Unicode MS" w:hAnsiTheme="majorHAnsi" w:cstheme="majorHAnsi"/>
          <w:color w:val="000000" w:themeColor="text1"/>
          <w:szCs w:val="24"/>
        </w:rPr>
        <w:t xml:space="preserve"> of compliance</w:t>
      </w:r>
      <w:r w:rsidR="007C1C9F" w:rsidRPr="00A1339E">
        <w:rPr>
          <w:rFonts w:asciiTheme="majorHAnsi" w:eastAsia="Arial Unicode MS" w:hAnsiTheme="majorHAnsi" w:cstheme="majorHAnsi"/>
          <w:color w:val="000000" w:themeColor="text1"/>
          <w:szCs w:val="24"/>
        </w:rPr>
        <w:t xml:space="preserve"> observed </w:t>
      </w:r>
      <w:r w:rsidR="00B35BC1" w:rsidRPr="00A1339E">
        <w:rPr>
          <w:rFonts w:asciiTheme="majorHAnsi" w:eastAsia="Arial Unicode MS" w:hAnsiTheme="majorHAnsi" w:cstheme="majorHAnsi"/>
          <w:color w:val="000000" w:themeColor="text1"/>
          <w:szCs w:val="24"/>
        </w:rPr>
        <w:t xml:space="preserve">and recorded by the PBCA </w:t>
      </w:r>
      <w:r w:rsidR="007C1C9F" w:rsidRPr="00A1339E">
        <w:rPr>
          <w:rFonts w:asciiTheme="majorHAnsi" w:eastAsia="Arial Unicode MS" w:hAnsiTheme="majorHAnsi" w:cstheme="majorHAnsi"/>
          <w:color w:val="000000" w:themeColor="text1"/>
          <w:szCs w:val="24"/>
        </w:rPr>
        <w:t>during an on-site visit</w:t>
      </w:r>
      <w:r w:rsidR="00B35BC1" w:rsidRPr="00A1339E">
        <w:rPr>
          <w:rFonts w:asciiTheme="majorHAnsi" w:eastAsia="Arial Unicode MS" w:hAnsiTheme="majorHAnsi" w:cstheme="majorHAnsi"/>
          <w:color w:val="000000" w:themeColor="text1"/>
          <w:szCs w:val="24"/>
        </w:rPr>
        <w:t xml:space="preserve"> is eliminated giving the owner/agent the ability to control the narrative</w:t>
      </w:r>
    </w:p>
    <w:p w14:paraId="76673E96" w14:textId="71D8FC6C" w:rsidR="00FA4199" w:rsidRDefault="00FA4199" w:rsidP="00BB444D">
      <w:pPr>
        <w:rPr>
          <w:rFonts w:asciiTheme="majorHAnsi" w:eastAsia="Arial Unicode MS" w:hAnsiTheme="majorHAnsi" w:cstheme="majorHAnsi"/>
          <w:color w:val="000000" w:themeColor="text1"/>
          <w:szCs w:val="24"/>
        </w:rPr>
      </w:pPr>
    </w:p>
    <w:p w14:paraId="2C58A5DC" w14:textId="79348A2C" w:rsidR="00FA4199" w:rsidRPr="00FA4199" w:rsidRDefault="00FA4199" w:rsidP="00BB444D">
      <w:pPr>
        <w:rPr>
          <w:rFonts w:asciiTheme="majorHAnsi" w:eastAsia="Arial Unicode MS" w:hAnsiTheme="majorHAnsi" w:cstheme="majorHAnsi"/>
          <w:i/>
          <w:color w:val="2E74B5" w:themeColor="accent1" w:themeShade="BF"/>
          <w:szCs w:val="24"/>
        </w:rPr>
      </w:pPr>
      <w:r>
        <w:rPr>
          <w:rFonts w:asciiTheme="majorHAnsi" w:eastAsia="Arial Unicode MS" w:hAnsiTheme="majorHAnsi" w:cstheme="majorHAnsi"/>
          <w:i/>
          <w:color w:val="2E74B5" w:themeColor="accent1" w:themeShade="BF"/>
          <w:szCs w:val="24"/>
        </w:rPr>
        <w:t xml:space="preserve">HUD fully agrees with objections to all owing owner/agents </w:t>
      </w:r>
      <w:r w:rsidRPr="00FA4199">
        <w:rPr>
          <w:rFonts w:asciiTheme="majorHAnsi" w:eastAsia="Arial Unicode MS" w:hAnsiTheme="majorHAnsi" w:cstheme="majorHAnsi"/>
          <w:i/>
          <w:color w:val="2E74B5" w:themeColor="accent1" w:themeShade="BF"/>
          <w:szCs w:val="24"/>
        </w:rPr>
        <w:t>to complete the form HUD-9834</w:t>
      </w:r>
      <w:r>
        <w:rPr>
          <w:rFonts w:asciiTheme="majorHAnsi" w:eastAsia="Arial Unicode MS" w:hAnsiTheme="majorHAnsi" w:cstheme="majorHAnsi"/>
          <w:i/>
          <w:color w:val="2E74B5" w:themeColor="accent1" w:themeShade="BF"/>
          <w:szCs w:val="24"/>
        </w:rPr>
        <w:t>.</w:t>
      </w:r>
      <w:r w:rsidRPr="00FA4199">
        <w:rPr>
          <w:rFonts w:asciiTheme="majorHAnsi" w:eastAsia="Arial Unicode MS" w:hAnsiTheme="majorHAnsi" w:cstheme="majorHAnsi"/>
          <w:i/>
          <w:color w:val="2E74B5" w:themeColor="accent1" w:themeShade="BF"/>
          <w:szCs w:val="24"/>
        </w:rPr>
        <w:t xml:space="preserve"> </w:t>
      </w:r>
      <w:r>
        <w:rPr>
          <w:rFonts w:asciiTheme="majorHAnsi" w:eastAsia="Arial Unicode MS" w:hAnsiTheme="majorHAnsi" w:cstheme="majorHAnsi"/>
          <w:i/>
          <w:color w:val="2E74B5" w:themeColor="accent1" w:themeShade="BF"/>
          <w:szCs w:val="24"/>
        </w:rPr>
        <w:t xml:space="preserve">This </w:t>
      </w:r>
      <w:r w:rsidRPr="00FA4199">
        <w:rPr>
          <w:rFonts w:asciiTheme="majorHAnsi" w:eastAsia="Arial Unicode MS" w:hAnsiTheme="majorHAnsi" w:cstheme="majorHAnsi"/>
          <w:i/>
          <w:color w:val="2E74B5" w:themeColor="accent1" w:themeShade="BF"/>
          <w:szCs w:val="24"/>
        </w:rPr>
        <w:t xml:space="preserve">is not HUD’s policy, and </w:t>
      </w:r>
      <w:r>
        <w:rPr>
          <w:rFonts w:asciiTheme="majorHAnsi" w:eastAsia="Arial Unicode MS" w:hAnsiTheme="majorHAnsi" w:cstheme="majorHAnsi"/>
          <w:i/>
          <w:color w:val="2E74B5" w:themeColor="accent1" w:themeShade="BF"/>
          <w:szCs w:val="24"/>
        </w:rPr>
        <w:t>reflects poorly on reviewers who engage in such practices. Upcoming revisions planned in the Project Monitoring chapter of the Asset Management handbook 4350.1 will emphasize this fact. Streamlining processes have also eliminated two exhibits that required owners to submit documents in advance of the review visit.</w:t>
      </w:r>
    </w:p>
    <w:p w14:paraId="70B3BAA7" w14:textId="77777777" w:rsidR="00974038" w:rsidRPr="00A1339E" w:rsidRDefault="00974038" w:rsidP="00BB444D">
      <w:pPr>
        <w:rPr>
          <w:rFonts w:asciiTheme="majorHAnsi" w:eastAsia="Arial Unicode MS" w:hAnsiTheme="majorHAnsi" w:cstheme="majorHAnsi"/>
          <w:color w:val="000000" w:themeColor="text1"/>
          <w:szCs w:val="24"/>
        </w:rPr>
      </w:pPr>
    </w:p>
    <w:p w14:paraId="3A0C7DBF" w14:textId="2EE37BF1" w:rsidR="00A20F4A" w:rsidRDefault="00B35BC1" w:rsidP="00CB54D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Although HUD is considering reducing the frequency for regularly-scheduled MORs, w</w:t>
      </w:r>
      <w:r w:rsidR="00D01CFF" w:rsidRPr="00A1339E">
        <w:rPr>
          <w:rFonts w:asciiTheme="majorHAnsi" w:eastAsia="Arial Unicode MS" w:hAnsiTheme="majorHAnsi" w:cstheme="majorHAnsi"/>
          <w:color w:val="000000" w:themeColor="text1"/>
          <w:szCs w:val="24"/>
        </w:rPr>
        <w:t xml:space="preserve">e believe it is in HUD’s best interest to </w:t>
      </w:r>
      <w:r w:rsidR="007C1C9F" w:rsidRPr="00A1339E">
        <w:rPr>
          <w:rFonts w:asciiTheme="majorHAnsi" w:eastAsia="Arial Unicode MS" w:hAnsiTheme="majorHAnsi" w:cstheme="majorHAnsi"/>
          <w:color w:val="000000" w:themeColor="text1"/>
          <w:szCs w:val="24"/>
        </w:rPr>
        <w:t xml:space="preserve">continue to </w:t>
      </w:r>
      <w:r w:rsidR="00D01CFF" w:rsidRPr="00A1339E">
        <w:rPr>
          <w:rFonts w:asciiTheme="majorHAnsi" w:eastAsia="Arial Unicode MS" w:hAnsiTheme="majorHAnsi" w:cstheme="majorHAnsi"/>
          <w:color w:val="000000" w:themeColor="text1"/>
          <w:szCs w:val="24"/>
        </w:rPr>
        <w:t>monitor p</w:t>
      </w:r>
      <w:r w:rsidR="007C1C9F" w:rsidRPr="00A1339E">
        <w:rPr>
          <w:rFonts w:asciiTheme="majorHAnsi" w:eastAsia="Arial Unicode MS" w:hAnsiTheme="majorHAnsi" w:cstheme="majorHAnsi"/>
          <w:color w:val="000000" w:themeColor="text1"/>
          <w:szCs w:val="24"/>
        </w:rPr>
        <w:t>rojects at least every 12 months</w:t>
      </w:r>
      <w:r w:rsidR="00D01CFF" w:rsidRPr="00A1339E">
        <w:rPr>
          <w:rFonts w:asciiTheme="majorHAnsi" w:eastAsia="Arial Unicode MS" w:hAnsiTheme="majorHAnsi" w:cstheme="majorHAnsi"/>
          <w:color w:val="000000" w:themeColor="text1"/>
          <w:szCs w:val="24"/>
        </w:rPr>
        <w:t xml:space="preserve">.  </w:t>
      </w:r>
      <w:r w:rsidR="00CB54D0" w:rsidRPr="00A1339E">
        <w:rPr>
          <w:rFonts w:asciiTheme="majorHAnsi" w:eastAsia="Arial Unicode MS" w:hAnsiTheme="majorHAnsi" w:cstheme="majorHAnsi"/>
          <w:color w:val="000000" w:themeColor="text1"/>
          <w:szCs w:val="24"/>
        </w:rPr>
        <w:t xml:space="preserve">In consideration of the </w:t>
      </w:r>
      <w:r w:rsidR="00A20F4A" w:rsidRPr="00A1339E">
        <w:rPr>
          <w:rFonts w:asciiTheme="majorHAnsi" w:eastAsia="Arial Unicode MS" w:hAnsiTheme="majorHAnsi" w:cstheme="majorHAnsi"/>
          <w:color w:val="000000" w:themeColor="text1"/>
          <w:szCs w:val="24"/>
        </w:rPr>
        <w:t>Streamlining Interim Final Rule effective March 12, 2018</w:t>
      </w:r>
      <w:r w:rsidR="00D01CFF" w:rsidRPr="00A1339E">
        <w:rPr>
          <w:rFonts w:asciiTheme="majorHAnsi" w:eastAsia="Arial Unicode MS" w:hAnsiTheme="majorHAnsi" w:cstheme="majorHAnsi"/>
          <w:color w:val="000000" w:themeColor="text1"/>
          <w:szCs w:val="24"/>
        </w:rPr>
        <w:t>,</w:t>
      </w:r>
      <w:r w:rsidR="00A20F4A" w:rsidRPr="00A1339E">
        <w:rPr>
          <w:rFonts w:asciiTheme="majorHAnsi" w:eastAsia="Arial Unicode MS" w:hAnsiTheme="majorHAnsi" w:cstheme="majorHAnsi"/>
          <w:color w:val="000000" w:themeColor="text1"/>
          <w:szCs w:val="24"/>
        </w:rPr>
        <w:t xml:space="preserve"> that allows owner/agents to streamline annual recertifications in some circumstances, unidentified issues may arise that</w:t>
      </w:r>
      <w:r w:rsidR="00D01CFF" w:rsidRPr="00A1339E">
        <w:rPr>
          <w:rFonts w:asciiTheme="majorHAnsi" w:eastAsia="Arial Unicode MS" w:hAnsiTheme="majorHAnsi" w:cstheme="majorHAnsi"/>
          <w:color w:val="000000" w:themeColor="text1"/>
          <w:szCs w:val="24"/>
        </w:rPr>
        <w:t xml:space="preserve"> could potentially impact</w:t>
      </w:r>
      <w:r w:rsidR="00A20F4A" w:rsidRPr="00A1339E">
        <w:rPr>
          <w:rFonts w:asciiTheme="majorHAnsi" w:eastAsia="Arial Unicode MS" w:hAnsiTheme="majorHAnsi" w:cstheme="majorHAnsi"/>
          <w:color w:val="000000" w:themeColor="text1"/>
          <w:szCs w:val="24"/>
        </w:rPr>
        <w:t xml:space="preserve"> </w:t>
      </w:r>
      <w:r w:rsidR="00D01CFF" w:rsidRPr="00A1339E">
        <w:rPr>
          <w:rFonts w:asciiTheme="majorHAnsi" w:eastAsia="Arial Unicode MS" w:hAnsiTheme="majorHAnsi" w:cstheme="majorHAnsi"/>
          <w:color w:val="000000" w:themeColor="text1"/>
          <w:szCs w:val="24"/>
        </w:rPr>
        <w:t>years of subsidy payments.  The condition of the project can change dramatically</w:t>
      </w:r>
      <w:r w:rsidR="00D731FB" w:rsidRPr="00A1339E">
        <w:rPr>
          <w:rFonts w:asciiTheme="majorHAnsi" w:eastAsia="Arial Unicode MS" w:hAnsiTheme="majorHAnsi" w:cstheme="majorHAnsi"/>
          <w:color w:val="000000" w:themeColor="text1"/>
          <w:szCs w:val="24"/>
        </w:rPr>
        <w:t xml:space="preserve"> from year to year.  </w:t>
      </w:r>
      <w:r w:rsidR="00A20F4A" w:rsidRPr="00A1339E">
        <w:rPr>
          <w:rFonts w:asciiTheme="majorHAnsi" w:eastAsia="Arial Unicode MS" w:hAnsiTheme="majorHAnsi" w:cstheme="majorHAnsi"/>
          <w:color w:val="000000" w:themeColor="text1"/>
          <w:szCs w:val="24"/>
        </w:rPr>
        <w:t>The MOR process plays a significant role in ensuring proper</w:t>
      </w:r>
      <w:r w:rsidR="00D01CFF" w:rsidRPr="00A1339E">
        <w:rPr>
          <w:rFonts w:asciiTheme="majorHAnsi" w:eastAsia="Arial Unicode MS" w:hAnsiTheme="majorHAnsi" w:cstheme="majorHAnsi"/>
          <w:color w:val="000000" w:themeColor="text1"/>
          <w:szCs w:val="24"/>
        </w:rPr>
        <w:t xml:space="preserve"> implementation of streamlining policies and procedures </w:t>
      </w:r>
      <w:r w:rsidR="00A20F4A" w:rsidRPr="00A1339E">
        <w:rPr>
          <w:rFonts w:asciiTheme="majorHAnsi" w:eastAsia="Arial Unicode MS" w:hAnsiTheme="majorHAnsi" w:cstheme="majorHAnsi"/>
          <w:color w:val="000000" w:themeColor="text1"/>
          <w:szCs w:val="24"/>
        </w:rPr>
        <w:t xml:space="preserve">and in identifying and eliminating subsidy payment errors.  </w:t>
      </w:r>
      <w:r w:rsidR="00520B36" w:rsidRPr="00A1339E">
        <w:rPr>
          <w:rFonts w:asciiTheme="majorHAnsi" w:eastAsia="Arial Unicode MS" w:hAnsiTheme="majorHAnsi" w:cstheme="majorHAnsi"/>
          <w:color w:val="000000" w:themeColor="text1"/>
          <w:szCs w:val="24"/>
        </w:rPr>
        <w:t>Furthermore, MORs often become a training opportunity for owners/agents</w:t>
      </w:r>
      <w:r w:rsidR="00EF052A" w:rsidRPr="00A1339E">
        <w:rPr>
          <w:rFonts w:asciiTheme="majorHAnsi" w:eastAsia="Arial Unicode MS" w:hAnsiTheme="majorHAnsi" w:cstheme="majorHAnsi"/>
          <w:color w:val="000000" w:themeColor="text1"/>
          <w:szCs w:val="24"/>
        </w:rPr>
        <w:t xml:space="preserve"> to review and discuss regulations with the PBCA directly.  </w:t>
      </w:r>
    </w:p>
    <w:p w14:paraId="681697B4" w14:textId="45C6B559" w:rsidR="00365559" w:rsidRDefault="00365559" w:rsidP="00CB54D0">
      <w:pPr>
        <w:rPr>
          <w:rFonts w:asciiTheme="majorHAnsi" w:eastAsia="Arial Unicode MS" w:hAnsiTheme="majorHAnsi" w:cstheme="majorHAnsi"/>
          <w:color w:val="000000" w:themeColor="text1"/>
          <w:szCs w:val="24"/>
        </w:rPr>
      </w:pPr>
    </w:p>
    <w:p w14:paraId="5E9B33CF" w14:textId="541DE71A" w:rsidR="00365559" w:rsidRPr="00365559" w:rsidRDefault="00365559" w:rsidP="00365559">
      <w:pPr>
        <w:rPr>
          <w:rFonts w:asciiTheme="majorHAnsi" w:eastAsia="Arial Unicode MS" w:hAnsiTheme="majorHAnsi" w:cstheme="majorHAnsi"/>
          <w:i/>
          <w:color w:val="2E74B5" w:themeColor="accent1" w:themeShade="BF"/>
          <w:szCs w:val="24"/>
        </w:rPr>
      </w:pPr>
      <w:r w:rsidRPr="00365559">
        <w:rPr>
          <w:rFonts w:asciiTheme="majorHAnsi" w:eastAsia="Arial Unicode MS" w:hAnsiTheme="majorHAnsi" w:cstheme="majorHAnsi"/>
          <w:i/>
          <w:color w:val="2E74B5" w:themeColor="accent1" w:themeShade="BF"/>
          <w:szCs w:val="24"/>
        </w:rPr>
        <w:t xml:space="preserve">While </w:t>
      </w:r>
      <w:r>
        <w:rPr>
          <w:rFonts w:asciiTheme="majorHAnsi" w:eastAsia="Arial Unicode MS" w:hAnsiTheme="majorHAnsi" w:cstheme="majorHAnsi"/>
          <w:i/>
          <w:color w:val="2E74B5" w:themeColor="accent1" w:themeShade="BF"/>
          <w:szCs w:val="24"/>
        </w:rPr>
        <w:t xml:space="preserve">annual </w:t>
      </w:r>
      <w:r w:rsidRPr="00365559">
        <w:rPr>
          <w:rFonts w:asciiTheme="majorHAnsi" w:eastAsia="Arial Unicode MS" w:hAnsiTheme="majorHAnsi" w:cstheme="majorHAnsi"/>
          <w:i/>
          <w:color w:val="2E74B5" w:themeColor="accent1" w:themeShade="BF"/>
          <w:szCs w:val="24"/>
        </w:rPr>
        <w:t>management review monitoring has not generally been a regulatory requirement</w:t>
      </w:r>
      <w:r>
        <w:rPr>
          <w:rFonts w:asciiTheme="majorHAnsi" w:eastAsia="Arial Unicode MS" w:hAnsiTheme="majorHAnsi" w:cstheme="majorHAnsi"/>
          <w:i/>
          <w:color w:val="2E74B5" w:themeColor="accent1" w:themeShade="BF"/>
          <w:szCs w:val="24"/>
        </w:rPr>
        <w:t>, HUD is proposing regulatory modifications to standardize requirements.  Timing of review is proposed to correspond with that of physical reviews, with frequency of scheduled review to coincide with a project’s risk level as well as results of previous management reviews.</w:t>
      </w:r>
    </w:p>
    <w:p w14:paraId="7327F2D1" w14:textId="77777777" w:rsidR="00365559" w:rsidRPr="00A1339E" w:rsidRDefault="00365559" w:rsidP="00CB54D0">
      <w:pPr>
        <w:rPr>
          <w:rFonts w:asciiTheme="majorHAnsi" w:eastAsia="Arial Unicode MS" w:hAnsiTheme="majorHAnsi" w:cstheme="majorHAnsi"/>
          <w:color w:val="000000" w:themeColor="text1"/>
          <w:szCs w:val="24"/>
        </w:rPr>
      </w:pPr>
    </w:p>
    <w:p w14:paraId="0C40E394" w14:textId="77777777" w:rsidR="007C1C9F" w:rsidRPr="00A1339E" w:rsidRDefault="007C1C9F" w:rsidP="00CB54D0">
      <w:pPr>
        <w:rPr>
          <w:rFonts w:asciiTheme="majorHAnsi" w:eastAsia="Arial Unicode MS" w:hAnsiTheme="majorHAnsi" w:cstheme="majorHAnsi"/>
          <w:color w:val="000000" w:themeColor="text1"/>
          <w:szCs w:val="24"/>
        </w:rPr>
      </w:pPr>
    </w:p>
    <w:p w14:paraId="30675A6A" w14:textId="77777777" w:rsidR="00A1339E" w:rsidRPr="00A1339E" w:rsidRDefault="00A1339E" w:rsidP="00A1339E">
      <w:pPr>
        <w:rPr>
          <w:rFonts w:asciiTheme="majorHAnsi" w:hAnsiTheme="majorHAnsi" w:cstheme="majorHAnsi"/>
          <w:color w:val="000000" w:themeColor="text1"/>
        </w:rPr>
      </w:pPr>
      <w:r w:rsidRPr="00A1339E">
        <w:rPr>
          <w:rFonts w:asciiTheme="majorHAnsi" w:eastAsia="Arial Unicode MS" w:hAnsiTheme="majorHAnsi" w:cstheme="majorHAnsi"/>
          <w:color w:val="000000" w:themeColor="text1"/>
          <w:szCs w:val="24"/>
        </w:rPr>
        <w:t>The following areas are not directly related to the Proposed Information Collection, however, are important factors that HUD may consider.</w:t>
      </w:r>
      <w:r w:rsidRPr="00A1339E">
        <w:rPr>
          <w:rFonts w:asciiTheme="majorHAnsi" w:hAnsiTheme="majorHAnsi" w:cstheme="majorHAnsi"/>
          <w:color w:val="000000" w:themeColor="text1"/>
        </w:rPr>
        <w:t xml:space="preserve"> </w:t>
      </w:r>
    </w:p>
    <w:p w14:paraId="08047073" w14:textId="77777777" w:rsidR="00A1339E" w:rsidRPr="00A1339E" w:rsidRDefault="00A1339E" w:rsidP="00A1339E">
      <w:pPr>
        <w:rPr>
          <w:rFonts w:asciiTheme="majorHAnsi" w:hAnsiTheme="majorHAnsi" w:cstheme="majorHAnsi"/>
          <w:color w:val="000000" w:themeColor="text1"/>
        </w:rPr>
      </w:pPr>
    </w:p>
    <w:p w14:paraId="2D5A9A62" w14:textId="2B1F2811" w:rsidR="00A1339E" w:rsidRDefault="00A1339E" w:rsidP="00A1339E">
      <w:pPr>
        <w:rPr>
          <w:rFonts w:asciiTheme="majorHAnsi" w:hAnsiTheme="majorHAnsi" w:cstheme="majorHAnsi"/>
          <w:color w:val="000000" w:themeColor="text1"/>
        </w:rPr>
      </w:pPr>
      <w:r w:rsidRPr="00A1339E">
        <w:rPr>
          <w:rFonts w:asciiTheme="majorHAnsi" w:hAnsiTheme="majorHAnsi" w:cstheme="majorHAnsi"/>
          <w:color w:val="000000" w:themeColor="text1"/>
        </w:rPr>
        <w:t xml:space="preserve">During the last sources sought HUD proposed a number of criteria to be used when prioritizing MOR’s (which included: properties with expiring HAP Contracts; within six months after a property commences occupancy; within six months for any newly assigned HAP contracts to the Contractor’s portfolio; following a change in the property’s O/A; when desk reviews of available asset management documentation or risk analysis indicate that physical, financial, or management problems exist and the extent or cause of the problems is not readily apparent; when the property is managed by an agent whose performance is less than satisfactory at other </w:t>
      </w:r>
      <w:r w:rsidRPr="00A1339E">
        <w:rPr>
          <w:rFonts w:asciiTheme="majorHAnsi" w:hAnsiTheme="majorHAnsi" w:cstheme="majorHAnsi"/>
          <w:color w:val="000000" w:themeColor="text1"/>
        </w:rPr>
        <w:lastRenderedPageBreak/>
        <w:t>properties in the Contractor’s portfolio).  One would think that scoring, Watchlist status and DEC status would also be considered in scheduling.  Not all of this information is easily available to the CA except through manual processes.  If HUD were to employ a risk</w:t>
      </w:r>
      <w:r w:rsidR="00365559">
        <w:rPr>
          <w:rFonts w:asciiTheme="majorHAnsi" w:hAnsiTheme="majorHAnsi" w:cstheme="majorHAnsi"/>
          <w:color w:val="000000" w:themeColor="text1"/>
        </w:rPr>
        <w:t>-</w:t>
      </w:r>
      <w:r w:rsidRPr="00A1339E">
        <w:rPr>
          <w:rFonts w:asciiTheme="majorHAnsi" w:hAnsiTheme="majorHAnsi" w:cstheme="majorHAnsi"/>
          <w:color w:val="000000" w:themeColor="text1"/>
        </w:rPr>
        <w:t>based approach involving multiple criteria, it could get extremely convoluted and cause havoc with scheduling and not provide the desired results.</w:t>
      </w:r>
    </w:p>
    <w:p w14:paraId="689D1560" w14:textId="6D49E19C" w:rsidR="00365559" w:rsidRDefault="00365559" w:rsidP="00A1339E">
      <w:pPr>
        <w:rPr>
          <w:rFonts w:asciiTheme="majorHAnsi" w:hAnsiTheme="majorHAnsi" w:cstheme="majorHAnsi"/>
          <w:color w:val="000000" w:themeColor="text1"/>
        </w:rPr>
      </w:pPr>
    </w:p>
    <w:p w14:paraId="4661006D" w14:textId="2DD7F26D" w:rsidR="00365559" w:rsidRPr="00365559" w:rsidRDefault="00365559" w:rsidP="00A1339E">
      <w:pPr>
        <w:rPr>
          <w:rFonts w:asciiTheme="majorHAnsi" w:eastAsia="Arial Unicode MS" w:hAnsiTheme="majorHAnsi" w:cstheme="majorHAnsi"/>
          <w:i/>
          <w:color w:val="2E74B5" w:themeColor="accent1" w:themeShade="BF"/>
          <w:szCs w:val="24"/>
        </w:rPr>
      </w:pPr>
      <w:r w:rsidRPr="00365559">
        <w:rPr>
          <w:rFonts w:asciiTheme="majorHAnsi" w:eastAsia="Arial Unicode MS" w:hAnsiTheme="majorHAnsi" w:cstheme="majorHAnsi"/>
          <w:i/>
          <w:color w:val="2E74B5" w:themeColor="accent1" w:themeShade="BF"/>
          <w:szCs w:val="24"/>
        </w:rPr>
        <w:t xml:space="preserve">Because management and occupancy reviews are not </w:t>
      </w:r>
      <w:r>
        <w:rPr>
          <w:rFonts w:asciiTheme="majorHAnsi" w:eastAsia="Arial Unicode MS" w:hAnsiTheme="majorHAnsi" w:cstheme="majorHAnsi"/>
          <w:i/>
          <w:color w:val="2E74B5" w:themeColor="accent1" w:themeShade="BF"/>
          <w:szCs w:val="24"/>
        </w:rPr>
        <w:t>generally required of projects, the Asset Management handbook 4350.1 requires that asset managers (account executives) monitor project performance and conduct targeted reviews such as those described when issues come to light.  Current revisions to the handbook continue to address the need for targeted reviews.</w:t>
      </w:r>
    </w:p>
    <w:p w14:paraId="07E17AB2" w14:textId="6FA5A4AE" w:rsidR="00A1339E" w:rsidRDefault="00A1339E" w:rsidP="00A1339E">
      <w:pPr>
        <w:rPr>
          <w:rFonts w:asciiTheme="majorHAnsi" w:hAnsiTheme="majorHAnsi" w:cstheme="majorHAnsi"/>
          <w:color w:val="000000" w:themeColor="text1"/>
        </w:rPr>
      </w:pPr>
    </w:p>
    <w:p w14:paraId="702CB103" w14:textId="5D6FC0C2" w:rsidR="00A1339E" w:rsidRDefault="00A1339E" w:rsidP="00A1339E">
      <w:pPr>
        <w:rPr>
          <w:rFonts w:asciiTheme="majorHAnsi" w:hAnsiTheme="majorHAnsi" w:cstheme="majorHAnsi"/>
          <w:color w:val="000000" w:themeColor="text1"/>
        </w:rPr>
      </w:pPr>
      <w:r w:rsidRPr="00A1339E">
        <w:rPr>
          <w:rFonts w:asciiTheme="majorHAnsi" w:hAnsiTheme="majorHAnsi" w:cstheme="majorHAnsi"/>
          <w:color w:val="000000" w:themeColor="text1"/>
        </w:rPr>
        <w:t>One last suggestion.  The minimum tenant file review is currently 5 files, including 1 move out and 1 rejected application if available.  40 unit property would review 3 current tenant files plus a move out and rejected application for a total of 5 files.  Three current files does not give a full enough picture of current practices.  The minimum file sample should be of 5 current tenant files plus the Move out and rejected application.  The Move out and rejected application should be reviewed but should not count towards the file sample size.</w:t>
      </w:r>
    </w:p>
    <w:p w14:paraId="2342C605" w14:textId="53B364BD" w:rsidR="00A22597" w:rsidRDefault="00A22597" w:rsidP="00A1339E">
      <w:pPr>
        <w:rPr>
          <w:rFonts w:asciiTheme="majorHAnsi" w:hAnsiTheme="majorHAnsi" w:cstheme="majorHAnsi"/>
          <w:color w:val="000000" w:themeColor="text1"/>
        </w:rPr>
      </w:pPr>
    </w:p>
    <w:p w14:paraId="242C85F9" w14:textId="378227E7" w:rsidR="00A22597" w:rsidRPr="00A22597" w:rsidRDefault="00A22597" w:rsidP="00A1339E">
      <w:pPr>
        <w:rPr>
          <w:rFonts w:asciiTheme="majorHAnsi" w:eastAsia="Arial Unicode MS" w:hAnsiTheme="majorHAnsi" w:cstheme="majorHAnsi"/>
          <w:i/>
          <w:color w:val="2E74B5" w:themeColor="accent1" w:themeShade="BF"/>
          <w:szCs w:val="24"/>
        </w:rPr>
      </w:pPr>
      <w:r w:rsidRPr="00A22597">
        <w:rPr>
          <w:rFonts w:asciiTheme="majorHAnsi" w:eastAsia="Arial Unicode MS" w:hAnsiTheme="majorHAnsi" w:cstheme="majorHAnsi"/>
          <w:i/>
          <w:color w:val="2E74B5" w:themeColor="accent1" w:themeShade="BF"/>
          <w:szCs w:val="24"/>
        </w:rPr>
        <w:t>Using the current stratified count for file review,</w:t>
      </w:r>
      <w:r>
        <w:rPr>
          <w:rFonts w:asciiTheme="majorHAnsi" w:eastAsia="Arial Unicode MS" w:hAnsiTheme="majorHAnsi" w:cstheme="majorHAnsi"/>
          <w:i/>
          <w:color w:val="2E74B5" w:themeColor="accent1" w:themeShade="BF"/>
          <w:szCs w:val="24"/>
        </w:rPr>
        <w:t xml:space="preserve"> the revised form mentioned above does not consider adding two targeted reviews outside of the required minimums.  It does, however, continue the suggestion that the minimum number of file reviews does not prohibit additional reviews should evidence suggest further investigation.</w:t>
      </w:r>
    </w:p>
    <w:p w14:paraId="7D8FC2B0" w14:textId="77777777" w:rsidR="00A1339E" w:rsidRPr="00A1339E" w:rsidRDefault="00A1339E" w:rsidP="00CB54D0">
      <w:pPr>
        <w:rPr>
          <w:rFonts w:asciiTheme="majorHAnsi" w:eastAsia="Arial Unicode MS" w:hAnsiTheme="majorHAnsi" w:cstheme="majorHAnsi"/>
          <w:color w:val="000000" w:themeColor="text1"/>
          <w:szCs w:val="24"/>
        </w:rPr>
      </w:pPr>
    </w:p>
    <w:p w14:paraId="0F2CCADC" w14:textId="77777777" w:rsidR="003032A0" w:rsidRPr="00A1339E" w:rsidRDefault="003032A0" w:rsidP="003032A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We sincerely appreciate the opportunity to comment on this notice of proposed information collection and would be happy to entertain any questions you may have. I can be reached at 518-218-7707.</w:t>
      </w:r>
    </w:p>
    <w:p w14:paraId="446F0335" w14:textId="77777777" w:rsidR="003032A0" w:rsidRPr="00A1339E" w:rsidRDefault="003032A0" w:rsidP="003032A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br/>
        <w:t>Kind Regards,</w:t>
      </w:r>
    </w:p>
    <w:p w14:paraId="71DAE550" w14:textId="77777777" w:rsidR="003032A0" w:rsidRPr="00A1339E" w:rsidRDefault="003032A0" w:rsidP="003032A0">
      <w:pPr>
        <w:rPr>
          <w:rFonts w:asciiTheme="majorHAnsi" w:eastAsia="Arial Unicode MS" w:hAnsiTheme="majorHAnsi" w:cstheme="majorHAnsi"/>
          <w:color w:val="000000" w:themeColor="text1"/>
          <w:szCs w:val="24"/>
        </w:rPr>
      </w:pPr>
    </w:p>
    <w:p w14:paraId="759C1ED4" w14:textId="77777777" w:rsidR="003032A0" w:rsidRPr="00A1339E" w:rsidRDefault="003032A0" w:rsidP="003032A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William A. Durivage</w:t>
      </w:r>
    </w:p>
    <w:p w14:paraId="01579318" w14:textId="77777777" w:rsidR="003032A0" w:rsidRPr="00A1339E" w:rsidRDefault="003032A0" w:rsidP="003032A0">
      <w:pPr>
        <w:rPr>
          <w:rFonts w:asciiTheme="majorHAnsi" w:eastAsia="Arial Unicode MS" w:hAnsiTheme="majorHAnsi" w:cstheme="majorHAnsi"/>
          <w:color w:val="000000" w:themeColor="text1"/>
          <w:szCs w:val="24"/>
        </w:rPr>
      </w:pPr>
      <w:r w:rsidRPr="00A1339E">
        <w:rPr>
          <w:rFonts w:asciiTheme="majorHAnsi" w:eastAsia="Arial Unicode MS" w:hAnsiTheme="majorHAnsi" w:cstheme="majorHAnsi"/>
          <w:color w:val="000000" w:themeColor="text1"/>
          <w:szCs w:val="24"/>
        </w:rPr>
        <w:t xml:space="preserve">Director – Consulting, </w:t>
      </w:r>
      <w:r w:rsidR="00A1339E">
        <w:rPr>
          <w:rFonts w:asciiTheme="majorHAnsi" w:eastAsia="Arial Unicode MS" w:hAnsiTheme="majorHAnsi" w:cstheme="majorHAnsi"/>
          <w:color w:val="000000" w:themeColor="text1"/>
          <w:szCs w:val="24"/>
        </w:rPr>
        <w:t>CG</w:t>
      </w:r>
      <w:r w:rsidRPr="00A1339E">
        <w:rPr>
          <w:rFonts w:asciiTheme="majorHAnsi" w:eastAsia="Arial Unicode MS" w:hAnsiTheme="majorHAnsi" w:cstheme="majorHAnsi"/>
          <w:color w:val="000000" w:themeColor="text1"/>
          <w:szCs w:val="24"/>
        </w:rPr>
        <w:t>I Federal</w:t>
      </w:r>
    </w:p>
    <w:p w14:paraId="17B2BEBC" w14:textId="77777777" w:rsidR="003032A0" w:rsidRDefault="003032A0" w:rsidP="00CB54D0">
      <w:pPr>
        <w:rPr>
          <w:rFonts w:asciiTheme="majorHAnsi" w:eastAsia="Arial Unicode MS" w:hAnsiTheme="majorHAnsi" w:cstheme="majorHAnsi"/>
          <w:color w:val="000000"/>
          <w:szCs w:val="24"/>
        </w:rPr>
      </w:pPr>
    </w:p>
    <w:sectPr w:rsidR="003032A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A1E09" w14:textId="77777777" w:rsidR="008703B2" w:rsidRDefault="008703B2" w:rsidP="00A1339E">
      <w:r>
        <w:separator/>
      </w:r>
    </w:p>
  </w:endnote>
  <w:endnote w:type="continuationSeparator" w:id="0">
    <w:p w14:paraId="0E3B4862" w14:textId="77777777" w:rsidR="008703B2" w:rsidRDefault="008703B2" w:rsidP="00A1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C02EC" w14:textId="77777777" w:rsidR="008703B2" w:rsidRDefault="008703B2" w:rsidP="00A1339E">
      <w:r>
        <w:separator/>
      </w:r>
    </w:p>
  </w:footnote>
  <w:footnote w:type="continuationSeparator" w:id="0">
    <w:p w14:paraId="708146FC" w14:textId="77777777" w:rsidR="008703B2" w:rsidRDefault="008703B2" w:rsidP="00A13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10" w:type="dxa"/>
      <w:tblLayout w:type="fixed"/>
      <w:tblLook w:val="0000" w:firstRow="0" w:lastRow="0" w:firstColumn="0" w:lastColumn="0" w:noHBand="0" w:noVBand="0"/>
    </w:tblPr>
    <w:tblGrid>
      <w:gridCol w:w="6570"/>
      <w:gridCol w:w="1800"/>
      <w:gridCol w:w="540"/>
      <w:gridCol w:w="1800"/>
    </w:tblGrid>
    <w:tr w:rsidR="00A1339E" w:rsidRPr="0071163A" w14:paraId="133F8C94" w14:textId="77777777" w:rsidTr="006254A1">
      <w:trPr>
        <w:gridAfter w:val="2"/>
        <w:wAfter w:w="2340" w:type="dxa"/>
        <w:trHeight w:val="900"/>
      </w:trPr>
      <w:tc>
        <w:tcPr>
          <w:tcW w:w="6570" w:type="dxa"/>
        </w:tcPr>
        <w:p w14:paraId="2DB5EC72" w14:textId="77777777" w:rsidR="00A1339E" w:rsidRPr="0071163A" w:rsidRDefault="00A1339E" w:rsidP="00A1339E">
          <w:pPr>
            <w:tabs>
              <w:tab w:val="center" w:pos="4320"/>
              <w:tab w:val="right" w:pos="8640"/>
            </w:tabs>
            <w:rPr>
              <w:rFonts w:ascii="Arial" w:hAnsi="Arial"/>
              <w:b/>
              <w:sz w:val="10"/>
            </w:rPr>
          </w:pPr>
          <w:r w:rsidRPr="0071163A">
            <w:rPr>
              <w:noProof/>
              <w:sz w:val="22"/>
            </w:rPr>
            <mc:AlternateContent>
              <mc:Choice Requires="wps">
                <w:drawing>
                  <wp:anchor distT="0" distB="0" distL="114300" distR="114300" simplePos="0" relativeHeight="251658240" behindDoc="0" locked="0" layoutInCell="1" allowOverlap="1" wp14:anchorId="6247B20E" wp14:editId="7386BE6A">
                    <wp:simplePos x="0" y="0"/>
                    <wp:positionH relativeFrom="column">
                      <wp:posOffset>4097655</wp:posOffset>
                    </wp:positionH>
                    <wp:positionV relativeFrom="paragraph">
                      <wp:posOffset>24130</wp:posOffset>
                    </wp:positionV>
                    <wp:extent cx="0" cy="511810"/>
                    <wp:effectExtent l="11430" t="5080" r="7620" b="69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ED699"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65pt,1.9pt" to="322.6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"/>
                </w:pict>
              </mc:Fallback>
            </mc:AlternateContent>
          </w:r>
        </w:p>
        <w:p w14:paraId="373CAEA0" w14:textId="77777777" w:rsidR="00A1339E" w:rsidRPr="0071163A" w:rsidRDefault="00A1339E" w:rsidP="00A1339E">
          <w:pPr>
            <w:tabs>
              <w:tab w:val="center" w:pos="4320"/>
              <w:tab w:val="right" w:pos="8640"/>
            </w:tabs>
            <w:rPr>
              <w:rFonts w:ascii="Arial" w:hAnsi="Arial"/>
              <w:b/>
              <w:sz w:val="10"/>
            </w:rPr>
          </w:pPr>
        </w:p>
        <w:p w14:paraId="2E040878" w14:textId="77777777" w:rsidR="00A1339E" w:rsidRPr="0071163A" w:rsidRDefault="00A1339E" w:rsidP="00A1339E">
          <w:pPr>
            <w:tabs>
              <w:tab w:val="center" w:pos="4320"/>
              <w:tab w:val="right" w:pos="8640"/>
            </w:tabs>
            <w:rPr>
              <w:rFonts w:ascii="Arial" w:hAnsi="Arial"/>
              <w:b/>
              <w:sz w:val="14"/>
            </w:rPr>
          </w:pPr>
        </w:p>
        <w:p w14:paraId="6BC59CFD" w14:textId="77777777" w:rsidR="00A1339E" w:rsidRPr="0071163A" w:rsidRDefault="00A1339E" w:rsidP="00A1339E">
          <w:pPr>
            <w:tabs>
              <w:tab w:val="right" w:pos="6264"/>
              <w:tab w:val="right" w:pos="8640"/>
            </w:tabs>
            <w:jc w:val="right"/>
            <w:rPr>
              <w:rFonts w:ascii="Arial" w:hAnsi="Arial"/>
              <w:b/>
              <w:w w:val="110"/>
              <w:sz w:val="17"/>
            </w:rPr>
          </w:pPr>
          <w:r w:rsidRPr="0071163A">
            <w:rPr>
              <w:rFonts w:ascii="Arial" w:hAnsi="Arial"/>
              <w:b/>
              <w:w w:val="110"/>
              <w:sz w:val="17"/>
            </w:rPr>
            <w:t>Business solutions through information technology</w:t>
          </w:r>
        </w:p>
      </w:tc>
      <w:tc>
        <w:tcPr>
          <w:tcW w:w="1800" w:type="dxa"/>
          <w:tcBorders>
            <w:left w:val="nil"/>
          </w:tcBorders>
        </w:tcPr>
        <w:p w14:paraId="172474FF" w14:textId="77777777" w:rsidR="00A1339E" w:rsidRPr="0071163A" w:rsidRDefault="00A1339E" w:rsidP="00A1339E">
          <w:pPr>
            <w:tabs>
              <w:tab w:val="center" w:pos="4320"/>
              <w:tab w:val="right" w:pos="8640"/>
            </w:tabs>
            <w:rPr>
              <w:rFonts w:ascii="Arial" w:hAnsi="Arial"/>
              <w:sz w:val="10"/>
            </w:rPr>
          </w:pPr>
          <w:r w:rsidRPr="0071163A">
            <w:rPr>
              <w:rFonts w:ascii="Arial" w:hAnsi="Arial"/>
              <w:sz w:val="10"/>
            </w:rPr>
            <w:t xml:space="preserve">         </w:t>
          </w:r>
        </w:p>
        <w:p w14:paraId="6CA92171" w14:textId="77777777" w:rsidR="00A1339E" w:rsidRPr="0071163A" w:rsidRDefault="00A1339E" w:rsidP="00A1339E">
          <w:pPr>
            <w:tabs>
              <w:tab w:val="center" w:pos="4320"/>
              <w:tab w:val="right" w:pos="8640"/>
            </w:tabs>
            <w:rPr>
              <w:rFonts w:ascii="Arial" w:hAnsi="Arial"/>
              <w:sz w:val="10"/>
            </w:rPr>
          </w:pPr>
        </w:p>
        <w:p w14:paraId="2F74DED8" w14:textId="77777777" w:rsidR="00A1339E" w:rsidRPr="0071163A" w:rsidRDefault="00A1339E" w:rsidP="00A1339E">
          <w:pPr>
            <w:tabs>
              <w:tab w:val="center" w:pos="4320"/>
              <w:tab w:val="right" w:pos="8640"/>
            </w:tabs>
            <w:rPr>
              <w:rFonts w:ascii="Arial" w:hAnsi="Arial"/>
              <w:sz w:val="16"/>
            </w:rPr>
          </w:pPr>
          <w:r w:rsidRPr="0071163A">
            <w:rPr>
              <w:rFonts w:ascii="Arial" w:hAnsi="Arial"/>
              <w:sz w:val="16"/>
            </w:rPr>
            <w:t>ISO 9001 Certified</w:t>
          </w:r>
        </w:p>
        <w:p w14:paraId="3195C270" w14:textId="77777777" w:rsidR="00A1339E" w:rsidRPr="0071163A" w:rsidRDefault="00A1339E" w:rsidP="00A1339E">
          <w:pPr>
            <w:tabs>
              <w:tab w:val="center" w:pos="4320"/>
              <w:tab w:val="right" w:pos="8640"/>
            </w:tabs>
            <w:rPr>
              <w:rFonts w:ascii="Arial" w:hAnsi="Arial"/>
              <w:sz w:val="16"/>
            </w:rPr>
          </w:pPr>
        </w:p>
        <w:p w14:paraId="5950FE7B" w14:textId="77777777" w:rsidR="00A1339E" w:rsidRPr="0071163A" w:rsidRDefault="00A1339E" w:rsidP="00A1339E">
          <w:pPr>
            <w:tabs>
              <w:tab w:val="center" w:pos="4320"/>
              <w:tab w:val="right" w:pos="8640"/>
            </w:tabs>
            <w:rPr>
              <w:rFonts w:ascii="Arial" w:hAnsi="Arial"/>
              <w:sz w:val="16"/>
            </w:rPr>
          </w:pPr>
        </w:p>
      </w:tc>
    </w:tr>
    <w:tr w:rsidR="00A1339E" w:rsidRPr="0071163A" w14:paraId="0456E7A4" w14:textId="77777777" w:rsidTr="006254A1">
      <w:trPr>
        <w:cantSplit/>
      </w:trPr>
      <w:tc>
        <w:tcPr>
          <w:tcW w:w="8910" w:type="dxa"/>
          <w:gridSpan w:val="3"/>
        </w:tcPr>
        <w:p w14:paraId="0800BFB8" w14:textId="77777777" w:rsidR="00A1339E" w:rsidRPr="0071163A" w:rsidRDefault="00A1339E" w:rsidP="00A1339E">
          <w:pPr>
            <w:tabs>
              <w:tab w:val="center" w:pos="4320"/>
              <w:tab w:val="right" w:pos="8640"/>
            </w:tabs>
            <w:spacing w:before="100" w:beforeAutospacing="1"/>
            <w:rPr>
              <w:rFonts w:ascii="Arial" w:hAnsi="Arial"/>
              <w:sz w:val="22"/>
            </w:rPr>
          </w:pPr>
          <w:r w:rsidRPr="0071163A">
            <w:rPr>
              <w:rFonts w:ascii="Arial" w:hAnsi="Arial"/>
              <w:noProof/>
              <w:sz w:val="22"/>
            </w:rPr>
            <w:drawing>
              <wp:inline distT="0" distB="0" distL="0" distR="0" wp14:anchorId="1343E7F7" wp14:editId="2F26A129">
                <wp:extent cx="1257300"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1500"/>
                        </a:xfrm>
                        <a:prstGeom prst="rect">
                          <a:avLst/>
                        </a:prstGeom>
                        <a:noFill/>
                        <a:ln>
                          <a:noFill/>
                        </a:ln>
                      </pic:spPr>
                    </pic:pic>
                  </a:graphicData>
                </a:graphic>
              </wp:inline>
            </w:drawing>
          </w:r>
          <w:r w:rsidRPr="0071163A">
            <w:rPr>
              <w:rFonts w:ascii="Arial" w:hAnsi="Arial"/>
              <w:sz w:val="22"/>
            </w:rPr>
            <w:t xml:space="preserve">        </w:t>
          </w:r>
        </w:p>
      </w:tc>
      <w:tc>
        <w:tcPr>
          <w:tcW w:w="1800" w:type="dxa"/>
        </w:tcPr>
        <w:p w14:paraId="1FC7A0EE" w14:textId="77777777" w:rsidR="00A1339E" w:rsidRPr="0071163A" w:rsidRDefault="00A1339E" w:rsidP="00A1339E">
          <w:pPr>
            <w:tabs>
              <w:tab w:val="center" w:pos="4320"/>
              <w:tab w:val="right" w:pos="8640"/>
            </w:tabs>
            <w:spacing w:before="60"/>
            <w:rPr>
              <w:rFonts w:ascii="Arial" w:hAnsi="Arial"/>
              <w:sz w:val="14"/>
            </w:rPr>
          </w:pPr>
          <w:r w:rsidRPr="0071163A">
            <w:rPr>
              <w:rFonts w:ascii="Arial" w:hAnsi="Arial"/>
              <w:sz w:val="14"/>
            </w:rPr>
            <w:t>CGI Information Systems and Management Consultants (NY), Inc.</w:t>
          </w:r>
        </w:p>
        <w:p w14:paraId="48758EF2" w14:textId="77777777" w:rsidR="00A1339E" w:rsidRPr="0071163A" w:rsidRDefault="00A1339E" w:rsidP="00A1339E">
          <w:pPr>
            <w:tabs>
              <w:tab w:val="center" w:pos="4320"/>
              <w:tab w:val="right" w:pos="8640"/>
            </w:tabs>
            <w:spacing w:before="60"/>
            <w:rPr>
              <w:rFonts w:ascii="Arial" w:hAnsi="Arial"/>
              <w:sz w:val="14"/>
            </w:rPr>
          </w:pPr>
          <w:r w:rsidRPr="0071163A">
            <w:rPr>
              <w:rFonts w:ascii="Arial" w:hAnsi="Arial"/>
              <w:sz w:val="14"/>
            </w:rPr>
            <w:t>100 Great Oaks Blvd.</w:t>
          </w:r>
        </w:p>
        <w:p w14:paraId="60F9B480" w14:textId="77777777" w:rsidR="00A1339E" w:rsidRPr="0071163A" w:rsidRDefault="00A1339E" w:rsidP="00A1339E">
          <w:pPr>
            <w:tabs>
              <w:tab w:val="center" w:pos="4320"/>
              <w:tab w:val="right" w:pos="8640"/>
            </w:tabs>
            <w:rPr>
              <w:rFonts w:ascii="Arial" w:hAnsi="Arial"/>
              <w:sz w:val="14"/>
            </w:rPr>
          </w:pPr>
          <w:r w:rsidRPr="0071163A">
            <w:rPr>
              <w:rFonts w:ascii="Arial" w:hAnsi="Arial"/>
              <w:sz w:val="14"/>
            </w:rPr>
            <w:t>Suite 120</w:t>
          </w:r>
        </w:p>
        <w:p w14:paraId="668E837D" w14:textId="77777777" w:rsidR="00A1339E" w:rsidRPr="0071163A" w:rsidRDefault="00A1339E" w:rsidP="00A1339E">
          <w:pPr>
            <w:tabs>
              <w:tab w:val="center" w:pos="4320"/>
              <w:tab w:val="right" w:pos="8640"/>
            </w:tabs>
            <w:rPr>
              <w:rFonts w:ascii="Arial" w:hAnsi="Arial"/>
              <w:sz w:val="14"/>
            </w:rPr>
          </w:pPr>
          <w:r w:rsidRPr="0071163A">
            <w:rPr>
              <w:rFonts w:ascii="Arial" w:hAnsi="Arial"/>
              <w:sz w:val="14"/>
            </w:rPr>
            <w:t>Albany, NY    12203</w:t>
          </w:r>
        </w:p>
        <w:p w14:paraId="04574F52" w14:textId="77777777" w:rsidR="00A1339E" w:rsidRPr="0071163A" w:rsidRDefault="00A1339E" w:rsidP="00A1339E">
          <w:pPr>
            <w:tabs>
              <w:tab w:val="center" w:pos="4320"/>
              <w:tab w:val="right" w:pos="8640"/>
            </w:tabs>
            <w:spacing w:before="60"/>
            <w:rPr>
              <w:rFonts w:ascii="Arial" w:hAnsi="Arial"/>
              <w:sz w:val="14"/>
            </w:rPr>
          </w:pPr>
          <w:r w:rsidRPr="0071163A">
            <w:rPr>
              <w:rFonts w:ascii="Arial" w:hAnsi="Arial"/>
              <w:sz w:val="14"/>
            </w:rPr>
            <w:t>Tel.  (518) 218-7700</w:t>
          </w:r>
        </w:p>
        <w:p w14:paraId="248AA866" w14:textId="77777777" w:rsidR="00A1339E" w:rsidRPr="0071163A" w:rsidRDefault="00A1339E" w:rsidP="00A1339E">
          <w:pPr>
            <w:tabs>
              <w:tab w:val="center" w:pos="4320"/>
              <w:tab w:val="right" w:pos="8640"/>
            </w:tabs>
            <w:rPr>
              <w:rFonts w:ascii="Arial" w:hAnsi="Arial"/>
              <w:sz w:val="14"/>
            </w:rPr>
          </w:pPr>
          <w:r w:rsidRPr="0071163A">
            <w:rPr>
              <w:rFonts w:ascii="Arial" w:hAnsi="Arial"/>
              <w:sz w:val="14"/>
            </w:rPr>
            <w:t>Fax. (518) 218-7800</w:t>
          </w:r>
        </w:p>
        <w:p w14:paraId="766B1FF4" w14:textId="77777777" w:rsidR="00A1339E" w:rsidRPr="0071163A" w:rsidRDefault="00A1339E" w:rsidP="00A1339E">
          <w:pPr>
            <w:tabs>
              <w:tab w:val="center" w:pos="4320"/>
              <w:tab w:val="right" w:pos="8640"/>
            </w:tabs>
            <w:rPr>
              <w:rFonts w:ascii="Arial" w:hAnsi="Arial"/>
              <w:sz w:val="14"/>
            </w:rPr>
          </w:pPr>
          <w:r w:rsidRPr="0071163A">
            <w:rPr>
              <w:rFonts w:ascii="Arial" w:hAnsi="Arial"/>
              <w:sz w:val="14"/>
            </w:rPr>
            <w:t>TTY: (800) 662-1220</w:t>
          </w:r>
        </w:p>
        <w:p w14:paraId="06B5B7C0" w14:textId="77777777" w:rsidR="00A1339E" w:rsidRPr="0071163A" w:rsidRDefault="00A1339E" w:rsidP="00A1339E">
          <w:pPr>
            <w:tabs>
              <w:tab w:val="center" w:pos="4320"/>
              <w:tab w:val="right" w:pos="8640"/>
            </w:tabs>
            <w:rPr>
              <w:rFonts w:ascii="Arial" w:hAnsi="Arial"/>
              <w:sz w:val="14"/>
            </w:rPr>
          </w:pPr>
          <w:r w:rsidRPr="0071163A">
            <w:rPr>
              <w:rFonts w:ascii="Arial" w:hAnsi="Arial"/>
              <w:sz w:val="14"/>
            </w:rPr>
            <w:t>www.pbcany.com</w:t>
          </w:r>
        </w:p>
      </w:tc>
    </w:tr>
  </w:tbl>
  <w:p w14:paraId="15013C79" w14:textId="77777777" w:rsidR="00A1339E" w:rsidRDefault="00A133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4D"/>
    <w:rsid w:val="002D6D5C"/>
    <w:rsid w:val="003032A0"/>
    <w:rsid w:val="00357387"/>
    <w:rsid w:val="00365559"/>
    <w:rsid w:val="00520B36"/>
    <w:rsid w:val="007C1C9F"/>
    <w:rsid w:val="007D1252"/>
    <w:rsid w:val="008703B2"/>
    <w:rsid w:val="0091163A"/>
    <w:rsid w:val="00974038"/>
    <w:rsid w:val="009A38B4"/>
    <w:rsid w:val="00A1339E"/>
    <w:rsid w:val="00A20F4A"/>
    <w:rsid w:val="00A22597"/>
    <w:rsid w:val="00A3594A"/>
    <w:rsid w:val="00A667A7"/>
    <w:rsid w:val="00AB043E"/>
    <w:rsid w:val="00AE3406"/>
    <w:rsid w:val="00B35BC1"/>
    <w:rsid w:val="00B4391F"/>
    <w:rsid w:val="00BA283A"/>
    <w:rsid w:val="00BB3C7A"/>
    <w:rsid w:val="00BB444D"/>
    <w:rsid w:val="00C30003"/>
    <w:rsid w:val="00CA64D0"/>
    <w:rsid w:val="00CB54D0"/>
    <w:rsid w:val="00D00B3A"/>
    <w:rsid w:val="00D01CFF"/>
    <w:rsid w:val="00D2792C"/>
    <w:rsid w:val="00D731FB"/>
    <w:rsid w:val="00E4156D"/>
    <w:rsid w:val="00E7044D"/>
    <w:rsid w:val="00E95B3A"/>
    <w:rsid w:val="00ED532F"/>
    <w:rsid w:val="00EF052A"/>
    <w:rsid w:val="00EF527A"/>
    <w:rsid w:val="00FA4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9C3F04"/>
  <w15:chartTrackingRefBased/>
  <w15:docId w15:val="{A7F103E3-02E6-4622-904D-97B368F0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44D"/>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444D"/>
    <w:pPr>
      <w:tabs>
        <w:tab w:val="center" w:pos="4320"/>
        <w:tab w:val="right" w:pos="8640"/>
      </w:tabs>
    </w:pPr>
  </w:style>
  <w:style w:type="character" w:customStyle="1" w:styleId="HeaderChar">
    <w:name w:val="Header Char"/>
    <w:basedOn w:val="DefaultParagraphFont"/>
    <w:link w:val="Header"/>
    <w:uiPriority w:val="99"/>
    <w:rsid w:val="00BB444D"/>
    <w:rPr>
      <w:rFonts w:ascii="Times" w:eastAsia="Times" w:hAnsi="Times" w:cs="Times New Roman"/>
      <w:sz w:val="24"/>
      <w:szCs w:val="20"/>
    </w:rPr>
  </w:style>
  <w:style w:type="paragraph" w:styleId="NoSpacing">
    <w:name w:val="No Spacing"/>
    <w:uiPriority w:val="1"/>
    <w:qFormat/>
    <w:rsid w:val="00BB444D"/>
    <w:pPr>
      <w:spacing w:after="0" w:line="240" w:lineRule="auto"/>
    </w:pPr>
  </w:style>
  <w:style w:type="character" w:styleId="Emphasis">
    <w:name w:val="Emphasis"/>
    <w:basedOn w:val="DefaultParagraphFont"/>
    <w:uiPriority w:val="20"/>
    <w:qFormat/>
    <w:rsid w:val="00974038"/>
    <w:rPr>
      <w:i/>
      <w:iCs/>
    </w:rPr>
  </w:style>
  <w:style w:type="paragraph" w:styleId="Footer">
    <w:name w:val="footer"/>
    <w:basedOn w:val="Normal"/>
    <w:link w:val="FooterChar"/>
    <w:uiPriority w:val="99"/>
    <w:unhideWhenUsed/>
    <w:rsid w:val="00A1339E"/>
    <w:pPr>
      <w:tabs>
        <w:tab w:val="center" w:pos="4680"/>
        <w:tab w:val="right" w:pos="9360"/>
      </w:tabs>
    </w:pPr>
  </w:style>
  <w:style w:type="character" w:customStyle="1" w:styleId="FooterChar">
    <w:name w:val="Footer Char"/>
    <w:basedOn w:val="DefaultParagraphFont"/>
    <w:link w:val="Footer"/>
    <w:uiPriority w:val="99"/>
    <w:rsid w:val="00A1339E"/>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40907">
      <w:bodyDiv w:val="1"/>
      <w:marLeft w:val="0"/>
      <w:marRight w:val="0"/>
      <w:marTop w:val="0"/>
      <w:marBottom w:val="0"/>
      <w:divBdr>
        <w:top w:val="none" w:sz="0" w:space="0" w:color="auto"/>
        <w:left w:val="none" w:sz="0" w:space="0" w:color="auto"/>
        <w:bottom w:val="none" w:sz="0" w:space="0" w:color="auto"/>
        <w:right w:val="none" w:sz="0" w:space="0" w:color="auto"/>
      </w:divBdr>
      <w:divsChild>
        <w:div w:id="1973945561">
          <w:marLeft w:val="0"/>
          <w:marRight w:val="0"/>
          <w:marTop w:val="0"/>
          <w:marBottom w:val="0"/>
          <w:divBdr>
            <w:top w:val="none" w:sz="0" w:space="0" w:color="auto"/>
            <w:left w:val="none" w:sz="0" w:space="0" w:color="auto"/>
            <w:bottom w:val="none" w:sz="0" w:space="0" w:color="auto"/>
            <w:right w:val="none" w:sz="0" w:space="0" w:color="auto"/>
          </w:divBdr>
          <w:divsChild>
            <w:div w:id="667370911">
              <w:marLeft w:val="0"/>
              <w:marRight w:val="0"/>
              <w:marTop w:val="0"/>
              <w:marBottom w:val="0"/>
              <w:divBdr>
                <w:top w:val="none" w:sz="0" w:space="0" w:color="auto"/>
                <w:left w:val="none" w:sz="0" w:space="0" w:color="auto"/>
                <w:bottom w:val="none" w:sz="0" w:space="0" w:color="auto"/>
                <w:right w:val="none" w:sz="0" w:space="0" w:color="auto"/>
              </w:divBdr>
              <w:divsChild>
                <w:div w:id="933131153">
                  <w:marLeft w:val="0"/>
                  <w:marRight w:val="0"/>
                  <w:marTop w:val="0"/>
                  <w:marBottom w:val="0"/>
                  <w:divBdr>
                    <w:top w:val="none" w:sz="0" w:space="0" w:color="auto"/>
                    <w:left w:val="none" w:sz="0" w:space="0" w:color="auto"/>
                    <w:bottom w:val="none" w:sz="0" w:space="0" w:color="auto"/>
                    <w:right w:val="none" w:sz="0" w:space="0" w:color="auto"/>
                  </w:divBdr>
                  <w:divsChild>
                    <w:div w:id="923877769">
                      <w:marLeft w:val="0"/>
                      <w:marRight w:val="0"/>
                      <w:marTop w:val="0"/>
                      <w:marBottom w:val="0"/>
                      <w:divBdr>
                        <w:top w:val="none" w:sz="0" w:space="0" w:color="auto"/>
                        <w:left w:val="none" w:sz="0" w:space="0" w:color="auto"/>
                        <w:bottom w:val="none" w:sz="0" w:space="0" w:color="auto"/>
                        <w:right w:val="none" w:sz="0" w:space="0" w:color="auto"/>
                      </w:divBdr>
                      <w:divsChild>
                        <w:div w:id="2146776099">
                          <w:marLeft w:val="-225"/>
                          <w:marRight w:val="-225"/>
                          <w:marTop w:val="0"/>
                          <w:marBottom w:val="300"/>
                          <w:divBdr>
                            <w:top w:val="none" w:sz="0" w:space="0" w:color="auto"/>
                            <w:left w:val="none" w:sz="0" w:space="0" w:color="auto"/>
                            <w:bottom w:val="none" w:sz="0" w:space="0" w:color="auto"/>
                            <w:right w:val="none" w:sz="0" w:space="0" w:color="auto"/>
                          </w:divBdr>
                          <w:divsChild>
                            <w:div w:id="983510546">
                              <w:marLeft w:val="0"/>
                              <w:marRight w:val="0"/>
                              <w:marTop w:val="0"/>
                              <w:marBottom w:val="0"/>
                              <w:divBdr>
                                <w:top w:val="none" w:sz="0" w:space="0" w:color="auto"/>
                                <w:left w:val="none" w:sz="0" w:space="0" w:color="auto"/>
                                <w:bottom w:val="none" w:sz="0" w:space="0" w:color="auto"/>
                                <w:right w:val="none" w:sz="0" w:space="0" w:color="auto"/>
                              </w:divBdr>
                              <w:divsChild>
                                <w:div w:id="920217058">
                                  <w:marLeft w:val="-225"/>
                                  <w:marRight w:val="-225"/>
                                  <w:marTop w:val="0"/>
                                  <w:marBottom w:val="300"/>
                                  <w:divBdr>
                                    <w:top w:val="none" w:sz="0" w:space="0" w:color="auto"/>
                                    <w:left w:val="none" w:sz="0" w:space="0" w:color="auto"/>
                                    <w:bottom w:val="none" w:sz="0" w:space="0" w:color="auto"/>
                                    <w:right w:val="none" w:sz="0" w:space="0" w:color="auto"/>
                                  </w:divBdr>
                                  <w:divsChild>
                                    <w:div w:id="1524662089">
                                      <w:marLeft w:val="0"/>
                                      <w:marRight w:val="0"/>
                                      <w:marTop w:val="0"/>
                                      <w:marBottom w:val="0"/>
                                      <w:divBdr>
                                        <w:top w:val="none" w:sz="0" w:space="0" w:color="auto"/>
                                        <w:left w:val="none" w:sz="0" w:space="0" w:color="auto"/>
                                        <w:bottom w:val="none" w:sz="0" w:space="0" w:color="auto"/>
                                        <w:right w:val="none" w:sz="0" w:space="0" w:color="auto"/>
                                      </w:divBdr>
                                      <w:divsChild>
                                        <w:div w:id="1008291751">
                                          <w:marLeft w:val="0"/>
                                          <w:marRight w:val="0"/>
                                          <w:marTop w:val="0"/>
                                          <w:marBottom w:val="0"/>
                                          <w:divBdr>
                                            <w:top w:val="none" w:sz="0" w:space="0" w:color="auto"/>
                                            <w:left w:val="none" w:sz="0" w:space="0" w:color="auto"/>
                                            <w:bottom w:val="none" w:sz="0" w:space="0" w:color="auto"/>
                                            <w:right w:val="none" w:sz="0" w:space="0" w:color="auto"/>
                                          </w:divBdr>
                                          <w:divsChild>
                                            <w:div w:id="20401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467448">
      <w:bodyDiv w:val="1"/>
      <w:marLeft w:val="0"/>
      <w:marRight w:val="0"/>
      <w:marTop w:val="0"/>
      <w:marBottom w:val="0"/>
      <w:divBdr>
        <w:top w:val="none" w:sz="0" w:space="0" w:color="auto"/>
        <w:left w:val="none" w:sz="0" w:space="0" w:color="auto"/>
        <w:bottom w:val="none" w:sz="0" w:space="0" w:color="auto"/>
        <w:right w:val="none" w:sz="0" w:space="0" w:color="auto"/>
      </w:divBdr>
      <w:divsChild>
        <w:div w:id="1893880321">
          <w:marLeft w:val="0"/>
          <w:marRight w:val="0"/>
          <w:marTop w:val="0"/>
          <w:marBottom w:val="0"/>
          <w:divBdr>
            <w:top w:val="none" w:sz="0" w:space="0" w:color="auto"/>
            <w:left w:val="none" w:sz="0" w:space="0" w:color="auto"/>
            <w:bottom w:val="none" w:sz="0" w:space="0" w:color="auto"/>
            <w:right w:val="none" w:sz="0" w:space="0" w:color="auto"/>
          </w:divBdr>
          <w:divsChild>
            <w:div w:id="866060952">
              <w:marLeft w:val="0"/>
              <w:marRight w:val="0"/>
              <w:marTop w:val="0"/>
              <w:marBottom w:val="0"/>
              <w:divBdr>
                <w:top w:val="none" w:sz="0" w:space="0" w:color="auto"/>
                <w:left w:val="none" w:sz="0" w:space="0" w:color="auto"/>
                <w:bottom w:val="none" w:sz="0" w:space="0" w:color="auto"/>
                <w:right w:val="none" w:sz="0" w:space="0" w:color="auto"/>
              </w:divBdr>
              <w:divsChild>
                <w:div w:id="247468331">
                  <w:marLeft w:val="0"/>
                  <w:marRight w:val="0"/>
                  <w:marTop w:val="0"/>
                  <w:marBottom w:val="0"/>
                  <w:divBdr>
                    <w:top w:val="none" w:sz="0" w:space="0" w:color="auto"/>
                    <w:left w:val="none" w:sz="0" w:space="0" w:color="auto"/>
                    <w:bottom w:val="none" w:sz="0" w:space="0" w:color="auto"/>
                    <w:right w:val="none" w:sz="0" w:space="0" w:color="auto"/>
                  </w:divBdr>
                  <w:divsChild>
                    <w:div w:id="1541287055">
                      <w:marLeft w:val="0"/>
                      <w:marRight w:val="0"/>
                      <w:marTop w:val="0"/>
                      <w:marBottom w:val="0"/>
                      <w:divBdr>
                        <w:top w:val="none" w:sz="0" w:space="0" w:color="auto"/>
                        <w:left w:val="none" w:sz="0" w:space="0" w:color="auto"/>
                        <w:bottom w:val="none" w:sz="0" w:space="0" w:color="auto"/>
                        <w:right w:val="none" w:sz="0" w:space="0" w:color="auto"/>
                      </w:divBdr>
                      <w:divsChild>
                        <w:div w:id="832841253">
                          <w:marLeft w:val="-225"/>
                          <w:marRight w:val="-225"/>
                          <w:marTop w:val="0"/>
                          <w:marBottom w:val="300"/>
                          <w:divBdr>
                            <w:top w:val="none" w:sz="0" w:space="0" w:color="auto"/>
                            <w:left w:val="none" w:sz="0" w:space="0" w:color="auto"/>
                            <w:bottom w:val="none" w:sz="0" w:space="0" w:color="auto"/>
                            <w:right w:val="none" w:sz="0" w:space="0" w:color="auto"/>
                          </w:divBdr>
                          <w:divsChild>
                            <w:div w:id="354308737">
                              <w:marLeft w:val="0"/>
                              <w:marRight w:val="0"/>
                              <w:marTop w:val="0"/>
                              <w:marBottom w:val="0"/>
                              <w:divBdr>
                                <w:top w:val="none" w:sz="0" w:space="0" w:color="auto"/>
                                <w:left w:val="none" w:sz="0" w:space="0" w:color="auto"/>
                                <w:bottom w:val="none" w:sz="0" w:space="0" w:color="auto"/>
                                <w:right w:val="none" w:sz="0" w:space="0" w:color="auto"/>
                              </w:divBdr>
                              <w:divsChild>
                                <w:div w:id="1574394813">
                                  <w:marLeft w:val="-225"/>
                                  <w:marRight w:val="-225"/>
                                  <w:marTop w:val="0"/>
                                  <w:marBottom w:val="300"/>
                                  <w:divBdr>
                                    <w:top w:val="none" w:sz="0" w:space="0" w:color="auto"/>
                                    <w:left w:val="none" w:sz="0" w:space="0" w:color="auto"/>
                                    <w:bottom w:val="none" w:sz="0" w:space="0" w:color="auto"/>
                                    <w:right w:val="none" w:sz="0" w:space="0" w:color="auto"/>
                                  </w:divBdr>
                                  <w:divsChild>
                                    <w:div w:id="1633944645">
                                      <w:marLeft w:val="0"/>
                                      <w:marRight w:val="0"/>
                                      <w:marTop w:val="0"/>
                                      <w:marBottom w:val="0"/>
                                      <w:divBdr>
                                        <w:top w:val="none" w:sz="0" w:space="0" w:color="auto"/>
                                        <w:left w:val="none" w:sz="0" w:space="0" w:color="auto"/>
                                        <w:bottom w:val="none" w:sz="0" w:space="0" w:color="auto"/>
                                        <w:right w:val="none" w:sz="0" w:space="0" w:color="auto"/>
                                      </w:divBdr>
                                      <w:divsChild>
                                        <w:div w:id="994990722">
                                          <w:marLeft w:val="0"/>
                                          <w:marRight w:val="0"/>
                                          <w:marTop w:val="0"/>
                                          <w:marBottom w:val="0"/>
                                          <w:divBdr>
                                            <w:top w:val="none" w:sz="0" w:space="0" w:color="auto"/>
                                            <w:left w:val="none" w:sz="0" w:space="0" w:color="auto"/>
                                            <w:bottom w:val="none" w:sz="0" w:space="0" w:color="auto"/>
                                            <w:right w:val="none" w:sz="0" w:space="0" w:color="auto"/>
                                          </w:divBdr>
                                          <w:divsChild>
                                            <w:div w:id="118393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91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CGI-BPTS</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 Thomas</dc:creator>
  <cp:keywords/>
  <dc:description/>
  <cp:lastModifiedBy>Messner, Harry</cp:lastModifiedBy>
  <cp:revision>2</cp:revision>
  <dcterms:created xsi:type="dcterms:W3CDTF">2018-08-14T13:19:00Z</dcterms:created>
  <dcterms:modified xsi:type="dcterms:W3CDTF">2018-08-14T13:19:00Z</dcterms:modified>
</cp:coreProperties>
</file>