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785" w:rsidRDefault="008D5FCF">
      <w:pPr>
        <w:spacing w:after="0" w:line="259" w:lineRule="auto"/>
        <w:ind w:left="37" w:right="1"/>
        <w:jc w:val="center"/>
      </w:pPr>
      <w:bookmarkStart w:id="0" w:name="_GoBack"/>
      <w:bookmarkEnd w:id="0"/>
      <w:r>
        <w:t>FINAL</w:t>
      </w:r>
      <w:r w:rsidR="00295B8F">
        <w:t xml:space="preserve"> SUPPORTING STATEMENT FOR </w:t>
      </w:r>
    </w:p>
    <w:p w:rsidR="00032785" w:rsidRDefault="00295B8F">
      <w:pPr>
        <w:spacing w:after="0" w:line="259" w:lineRule="auto"/>
        <w:ind w:left="89" w:firstLine="0"/>
        <w:jc w:val="center"/>
      </w:pPr>
      <w:r>
        <w:t xml:space="preserve"> </w:t>
      </w:r>
    </w:p>
    <w:p w:rsidR="00032785" w:rsidRDefault="00295B8F">
      <w:pPr>
        <w:spacing w:after="0" w:line="259" w:lineRule="auto"/>
        <w:ind w:left="37"/>
        <w:jc w:val="center"/>
      </w:pPr>
      <w:r>
        <w:t xml:space="preserve">COLLECTION OF OPERATOR SIMULATOR TRAINING DATA </w:t>
      </w:r>
    </w:p>
    <w:p w:rsidR="00032785" w:rsidRDefault="00295B8F">
      <w:pPr>
        <w:spacing w:after="0" w:line="259" w:lineRule="auto"/>
        <w:ind w:left="89" w:firstLine="0"/>
        <w:jc w:val="center"/>
      </w:pPr>
      <w:r>
        <w:t xml:space="preserve"> </w:t>
      </w:r>
    </w:p>
    <w:p w:rsidR="00032785" w:rsidRDefault="00295B8F">
      <w:pPr>
        <w:spacing w:after="0" w:line="259" w:lineRule="auto"/>
        <w:ind w:left="37"/>
        <w:jc w:val="center"/>
      </w:pPr>
      <w:r>
        <w:t xml:space="preserve">(3150-XXXX) </w:t>
      </w:r>
    </w:p>
    <w:p w:rsidR="00032785" w:rsidRDefault="00295B8F">
      <w:pPr>
        <w:spacing w:after="0" w:line="259" w:lineRule="auto"/>
        <w:ind w:left="89" w:firstLine="0"/>
        <w:jc w:val="center"/>
      </w:pPr>
      <w:r>
        <w:t xml:space="preserve"> </w:t>
      </w:r>
    </w:p>
    <w:p w:rsidR="00032785" w:rsidRDefault="00295B8F">
      <w:pPr>
        <w:pStyle w:val="Heading1"/>
        <w:ind w:left="37" w:right="1"/>
      </w:pPr>
      <w:r>
        <w:t xml:space="preserve">NEW </w:t>
      </w:r>
    </w:p>
    <w:p w:rsidR="00032785" w:rsidRDefault="00295B8F">
      <w:pPr>
        <w:spacing w:after="0" w:line="259" w:lineRule="auto"/>
        <w:ind w:left="0" w:firstLine="0"/>
      </w:pPr>
      <w:r>
        <w:t xml:space="preserve"> </w:t>
      </w:r>
    </w:p>
    <w:p w:rsidR="00032785" w:rsidRDefault="00295B8F">
      <w:pPr>
        <w:ind w:left="370"/>
      </w:pPr>
      <w:r>
        <w:t xml:space="preserve">B. COLLECTIONS OF INFORMATION EMPLOYING STATISTICAL METHODS </w:t>
      </w:r>
    </w:p>
    <w:p w:rsidR="00032785" w:rsidRDefault="00295B8F">
      <w:pPr>
        <w:spacing w:after="0" w:line="259" w:lineRule="auto"/>
        <w:ind w:left="360" w:firstLine="0"/>
      </w:pPr>
      <w:r>
        <w:t xml:space="preserve"> </w:t>
      </w:r>
    </w:p>
    <w:p w:rsidR="00032785" w:rsidRDefault="00295B8F">
      <w:pPr>
        <w:pStyle w:val="Heading2"/>
        <w:ind w:left="835"/>
      </w:pPr>
      <w:r>
        <w:rPr>
          <w:u w:val="none"/>
        </w:rPr>
        <w:t xml:space="preserve">1. </w:t>
      </w:r>
      <w:r>
        <w:t>Respondent Description</w:t>
      </w:r>
      <w:r>
        <w:rPr>
          <w:u w:val="none"/>
        </w:rPr>
        <w:t xml:space="preserve"> </w:t>
      </w:r>
    </w:p>
    <w:p w:rsidR="00032785" w:rsidRDefault="00295B8F">
      <w:pPr>
        <w:spacing w:after="0" w:line="259" w:lineRule="auto"/>
        <w:ind w:left="1200" w:firstLine="0"/>
      </w:pPr>
      <w:r>
        <w:t xml:space="preserve"> </w:t>
      </w:r>
    </w:p>
    <w:p w:rsidR="00032785" w:rsidRDefault="00295B8F">
      <w:pPr>
        <w:ind w:left="1075"/>
      </w:pPr>
      <w:r>
        <w:t xml:space="preserve">The respondents are the U.S. nuclear power stations with onsite simulators.  The maximum number of respondents being offered the opportunity to collaborate with the NRC on this information collection is about 76 (i.e., the number of nuclear power stations </w:t>
      </w:r>
      <w:r>
        <w:t xml:space="preserve">in the USA); 15 respondents are expected to participate.  Each nuclear power station conducts routine simulator training for its operating crews.   </w:t>
      </w:r>
    </w:p>
    <w:p w:rsidR="00032785" w:rsidRDefault="00295B8F">
      <w:pPr>
        <w:spacing w:after="0" w:line="259" w:lineRule="auto"/>
        <w:ind w:left="1080" w:firstLine="0"/>
      </w:pPr>
      <w:r>
        <w:t xml:space="preserve">         </w:t>
      </w:r>
    </w:p>
    <w:p w:rsidR="00032785" w:rsidRDefault="00295B8F">
      <w:pPr>
        <w:pStyle w:val="Heading2"/>
        <w:ind w:left="835"/>
      </w:pPr>
      <w:r>
        <w:rPr>
          <w:u w:val="none"/>
        </w:rPr>
        <w:t xml:space="preserve">2. </w:t>
      </w:r>
      <w:r>
        <w:t>Procedures for collecting the information</w:t>
      </w:r>
      <w:r>
        <w:rPr>
          <w:u w:val="none"/>
        </w:rPr>
        <w:t xml:space="preserve"> </w:t>
      </w:r>
    </w:p>
    <w:p w:rsidR="00032785" w:rsidRDefault="00295B8F">
      <w:pPr>
        <w:spacing w:after="0" w:line="259" w:lineRule="auto"/>
        <w:ind w:left="0" w:firstLine="0"/>
      </w:pPr>
      <w:r>
        <w:t xml:space="preserve"> </w:t>
      </w:r>
    </w:p>
    <w:p w:rsidR="00032785" w:rsidRDefault="00295B8F">
      <w:pPr>
        <w:ind w:left="1075"/>
      </w:pPr>
      <w:r>
        <w:t xml:space="preserve">Under 10 CFR Part 50, licensees must maintain </w:t>
      </w:r>
      <w:r>
        <w:t>records of training activities.  SACADA is a software tool to analyze simulator training data which for most participating licensees would replace their existing tools. The procedures for performing simulator training of the licensees would remain unchange</w:t>
      </w:r>
      <w:r>
        <w:t>d.  The trainers author simulation scenarios, typically by modifying the scenarios in the licensee’s scenario bank.  After the simulation is complete, the operating crew and the trainer get together to debrief the crew on their performance.  This informati</w:t>
      </w:r>
      <w:r>
        <w:t>on collection provides a tool (i.e., SACADA software) to author the simulation scenarios and document the debriefing results (i.e., crew performance).  This information collection provides the advanced SACADA tool (free of charge) for the licensees to perf</w:t>
      </w:r>
      <w:r>
        <w:t>orm the tasks.  To participate in the data collection, the licensees will install the software, on site, to be used for simulator training.  The software provides a function to transmit the collected data to a SACADA master database currently hosted at the</w:t>
      </w:r>
      <w:r>
        <w:t xml:space="preserve"> Idaho National Laboratory and is sponsored by the NRC.  </w:t>
      </w:r>
    </w:p>
    <w:p w:rsidR="00032785" w:rsidRDefault="00295B8F">
      <w:pPr>
        <w:spacing w:after="0" w:line="259" w:lineRule="auto"/>
        <w:ind w:left="1080" w:firstLine="0"/>
      </w:pPr>
      <w:r>
        <w:t xml:space="preserve"> </w:t>
      </w:r>
    </w:p>
    <w:p w:rsidR="00032785" w:rsidRDefault="00295B8F">
      <w:pPr>
        <w:pStyle w:val="Heading2"/>
        <w:ind w:left="1185" w:hanging="360"/>
      </w:pPr>
      <w:r>
        <w:rPr>
          <w:u w:val="none"/>
        </w:rPr>
        <w:t xml:space="preserve">3. </w:t>
      </w:r>
      <w:r>
        <w:t>Methods to maximize response rates and to deal with statistical issues of nonresponse</w:t>
      </w:r>
      <w:r>
        <w:rPr>
          <w:u w:val="none"/>
        </w:rPr>
        <w:t xml:space="preserve"> </w:t>
      </w:r>
    </w:p>
    <w:p w:rsidR="00032785" w:rsidRDefault="00295B8F">
      <w:pPr>
        <w:spacing w:after="0" w:line="259" w:lineRule="auto"/>
        <w:ind w:left="0" w:firstLine="0"/>
      </w:pPr>
      <w:r>
        <w:t xml:space="preserve"> </w:t>
      </w:r>
    </w:p>
    <w:p w:rsidR="00032785" w:rsidRDefault="00295B8F">
      <w:pPr>
        <w:ind w:left="1075"/>
      </w:pPr>
      <w:r>
        <w:t>Participation is voluntary.  The likely participants are the licensees who see the benefits of the SACAD</w:t>
      </w:r>
      <w:r>
        <w:t>A software for their simulator training programs.  The NRC staff had promoted voluntary use of the SACADA tool at the NRC’s Regulatory Information Conference 2017 and various non-NRC conferences.  The NRC staff intends to continue to promote the use of SAC</w:t>
      </w:r>
      <w:r>
        <w:t xml:space="preserve">ADA to collect simulator data for HRA by advertising the benefits of the software and the South Texas Project Nuclear Operating Company’s very positive user experience.   </w:t>
      </w:r>
    </w:p>
    <w:p w:rsidR="00032785" w:rsidRDefault="00295B8F">
      <w:pPr>
        <w:spacing w:after="0" w:line="259" w:lineRule="auto"/>
        <w:ind w:left="1080" w:firstLine="0"/>
      </w:pPr>
      <w:r>
        <w:t xml:space="preserve"> </w:t>
      </w:r>
    </w:p>
    <w:p w:rsidR="00032785" w:rsidRDefault="00295B8F">
      <w:pPr>
        <w:ind w:left="1075"/>
      </w:pPr>
      <w:r>
        <w:t>Each data point (i.e., a training objective element) contains sufficient informati</w:t>
      </w:r>
      <w:r>
        <w:t xml:space="preserve">on in itself for data analysis.  Less licensee participation would result in fewer data points </w:t>
      </w:r>
      <w:r>
        <w:lastRenderedPageBreak/>
        <w:t xml:space="preserve">available for statistical analysis.  However, any data collected via SACADA will improve the NRC’s current human reliability analysis methodologies. </w:t>
      </w:r>
    </w:p>
    <w:p w:rsidR="00032785" w:rsidRDefault="00295B8F">
      <w:pPr>
        <w:spacing w:after="0" w:line="259" w:lineRule="auto"/>
        <w:ind w:left="0" w:firstLine="0"/>
      </w:pPr>
      <w:r>
        <w:t xml:space="preserve"> </w:t>
      </w:r>
    </w:p>
    <w:p w:rsidR="00032785" w:rsidRDefault="00295B8F">
      <w:pPr>
        <w:pStyle w:val="Heading2"/>
        <w:ind w:left="835"/>
      </w:pPr>
      <w:r>
        <w:rPr>
          <w:u w:val="none"/>
        </w:rPr>
        <w:t xml:space="preserve">4. </w:t>
      </w:r>
      <w:r>
        <w:t xml:space="preserve">Tests </w:t>
      </w:r>
      <w:r>
        <w:t>or procedures</w:t>
      </w:r>
      <w:r>
        <w:rPr>
          <w:u w:val="none"/>
        </w:rPr>
        <w:t xml:space="preserve"> </w:t>
      </w:r>
    </w:p>
    <w:p w:rsidR="00032785" w:rsidRDefault="00295B8F">
      <w:pPr>
        <w:spacing w:after="0" w:line="259" w:lineRule="auto"/>
        <w:ind w:left="0" w:firstLine="0"/>
      </w:pPr>
      <w:r>
        <w:t xml:space="preserve"> </w:t>
      </w:r>
    </w:p>
    <w:p w:rsidR="00032785" w:rsidRDefault="00295B8F">
      <w:pPr>
        <w:ind w:left="1075"/>
      </w:pPr>
      <w:r>
        <w:t>The NRC staff has proposed a few ways to analyze the data (documented in a paper published in the journal of Reliability Engineering &amp; System Safety mentioned above, and available in ADAMS by searching ML17080A074 and ML17080A077).  In add</w:t>
      </w:r>
      <w:r>
        <w:t xml:space="preserve">ition, RES is developed two contracts for domain experts to analyze sample data to explore data analysis techniques suitable for the SACADA data. </w:t>
      </w:r>
    </w:p>
    <w:p w:rsidR="00032785" w:rsidRDefault="00295B8F" w:rsidP="008D5FCF">
      <w:pPr>
        <w:spacing w:after="18" w:line="259" w:lineRule="auto"/>
        <w:ind w:left="0" w:firstLine="0"/>
      </w:pPr>
      <w:r>
        <w:t xml:space="preserve"> </w:t>
      </w:r>
    </w:p>
    <w:p w:rsidR="00032785" w:rsidRDefault="00295B8F">
      <w:pPr>
        <w:pStyle w:val="Heading2"/>
        <w:ind w:left="835"/>
      </w:pPr>
      <w:r>
        <w:rPr>
          <w:u w:val="none"/>
        </w:rPr>
        <w:t xml:space="preserve">5. </w:t>
      </w:r>
      <w:r>
        <w:t>Contacts for Statistical Aspects and Data Collection</w:t>
      </w:r>
      <w:r>
        <w:rPr>
          <w:u w:val="none"/>
        </w:rPr>
        <w:t xml:space="preserve"> </w:t>
      </w:r>
    </w:p>
    <w:p w:rsidR="00032785" w:rsidRDefault="00295B8F">
      <w:pPr>
        <w:spacing w:after="0" w:line="259" w:lineRule="auto"/>
        <w:ind w:left="0" w:firstLine="0"/>
      </w:pPr>
      <w:r>
        <w:t xml:space="preserve"> </w:t>
      </w:r>
    </w:p>
    <w:p w:rsidR="00032785" w:rsidRDefault="00295B8F">
      <w:pPr>
        <w:ind w:left="1075"/>
      </w:pPr>
      <w:r>
        <w:t xml:space="preserve">NRC staff who may be involved in the collection </w:t>
      </w:r>
      <w:r>
        <w:t xml:space="preserve">and/or analysis of the information include: </w:t>
      </w:r>
    </w:p>
    <w:p w:rsidR="00032785" w:rsidRDefault="00295B8F">
      <w:pPr>
        <w:spacing w:after="0" w:line="259" w:lineRule="auto"/>
        <w:ind w:left="1080" w:firstLine="0"/>
      </w:pPr>
      <w:r>
        <w:t xml:space="preserve"> </w:t>
      </w:r>
    </w:p>
    <w:p w:rsidR="00032785" w:rsidRDefault="00295B8F">
      <w:pPr>
        <w:ind w:left="1075"/>
      </w:pPr>
      <w:r>
        <w:t xml:space="preserve">Yung Hsien James Chang </w:t>
      </w:r>
    </w:p>
    <w:p w:rsidR="00032785" w:rsidRDefault="00295B8F">
      <w:pPr>
        <w:ind w:left="1075"/>
      </w:pPr>
      <w:r>
        <w:t xml:space="preserve">Human Reliability Engineer, Division of Risk Analysis </w:t>
      </w:r>
    </w:p>
    <w:p w:rsidR="00032785" w:rsidRDefault="00295B8F">
      <w:pPr>
        <w:ind w:left="1075"/>
      </w:pPr>
      <w:r>
        <w:t xml:space="preserve">Office of Nuclear Regulatory Research </w:t>
      </w:r>
    </w:p>
    <w:p w:rsidR="00032785" w:rsidRDefault="00295B8F">
      <w:pPr>
        <w:spacing w:after="0" w:line="259" w:lineRule="auto"/>
        <w:ind w:left="1075"/>
      </w:pPr>
      <w:r>
        <w:rPr>
          <w:color w:val="0000FF"/>
          <w:u w:val="single" w:color="0000FF"/>
        </w:rPr>
        <w:t>James.Chang@nrc.gov</w:t>
      </w:r>
      <w:r>
        <w:t xml:space="preserve"> </w:t>
      </w:r>
    </w:p>
    <w:p w:rsidR="00032785" w:rsidRDefault="00295B8F">
      <w:pPr>
        <w:ind w:left="1075"/>
      </w:pPr>
      <w:r>
        <w:t xml:space="preserve">(301) 415-2378 </w:t>
      </w:r>
    </w:p>
    <w:p w:rsidR="00032785" w:rsidRDefault="00295B8F">
      <w:pPr>
        <w:spacing w:after="0" w:line="259" w:lineRule="auto"/>
        <w:ind w:left="1080" w:firstLine="0"/>
      </w:pPr>
      <w:r>
        <w:t xml:space="preserve"> </w:t>
      </w:r>
    </w:p>
    <w:p w:rsidR="00032785" w:rsidRDefault="00295B8F">
      <w:pPr>
        <w:ind w:left="1075"/>
      </w:pPr>
      <w:r>
        <w:t xml:space="preserve">Carmen Franklin </w:t>
      </w:r>
    </w:p>
    <w:p w:rsidR="00032785" w:rsidRDefault="00295B8F">
      <w:pPr>
        <w:ind w:left="1075"/>
      </w:pPr>
      <w:r>
        <w:t xml:space="preserve">Reliability and Risk Analyst, Division of Risk Analysis </w:t>
      </w:r>
    </w:p>
    <w:p w:rsidR="00032785" w:rsidRDefault="00295B8F">
      <w:pPr>
        <w:ind w:left="1075"/>
      </w:pPr>
      <w:r>
        <w:t xml:space="preserve">Office of Nuclear Regulatory Research </w:t>
      </w:r>
    </w:p>
    <w:p w:rsidR="00032785" w:rsidRDefault="00295B8F">
      <w:pPr>
        <w:spacing w:after="0" w:line="259" w:lineRule="auto"/>
        <w:ind w:left="1075"/>
      </w:pPr>
      <w:r>
        <w:rPr>
          <w:color w:val="0000FF"/>
          <w:u w:val="single" w:color="0000FF"/>
        </w:rPr>
        <w:t>Carmen.Franklin@nrc.gov</w:t>
      </w:r>
      <w:r>
        <w:t xml:space="preserve"> </w:t>
      </w:r>
    </w:p>
    <w:p w:rsidR="00032785" w:rsidRDefault="00295B8F">
      <w:pPr>
        <w:ind w:left="1075"/>
      </w:pPr>
      <w:r>
        <w:t xml:space="preserve">(301) 415-2386 </w:t>
      </w:r>
    </w:p>
    <w:p w:rsidR="00032785" w:rsidRDefault="00295B8F">
      <w:pPr>
        <w:spacing w:after="0" w:line="259" w:lineRule="auto"/>
        <w:ind w:left="1080" w:firstLine="0"/>
      </w:pPr>
      <w:r>
        <w:t xml:space="preserve"> </w:t>
      </w:r>
    </w:p>
    <w:p w:rsidR="00032785" w:rsidRDefault="00295B8F">
      <w:pPr>
        <w:ind w:left="1075"/>
      </w:pPr>
      <w:r>
        <w:t xml:space="preserve">Geoffrey Warren </w:t>
      </w:r>
    </w:p>
    <w:p w:rsidR="00032785" w:rsidRDefault="00295B8F">
      <w:pPr>
        <w:ind w:left="1075"/>
      </w:pPr>
      <w:r>
        <w:t xml:space="preserve">Senior Health Physicist, Division of Nuclear Materials Safety </w:t>
      </w:r>
    </w:p>
    <w:p w:rsidR="00032785" w:rsidRDefault="00295B8F">
      <w:pPr>
        <w:ind w:left="1075"/>
      </w:pPr>
      <w:r>
        <w:t xml:space="preserve">Region III </w:t>
      </w:r>
    </w:p>
    <w:p w:rsidR="00032785" w:rsidRDefault="00295B8F">
      <w:pPr>
        <w:spacing w:after="0" w:line="259" w:lineRule="auto"/>
        <w:ind w:left="1075"/>
      </w:pPr>
      <w:r>
        <w:rPr>
          <w:color w:val="0000FF"/>
          <w:u w:val="single" w:color="0000FF"/>
        </w:rPr>
        <w:t>Geoffrey.Warren@nrc.gov</w:t>
      </w:r>
      <w:r>
        <w:t xml:space="preserve"> </w:t>
      </w:r>
    </w:p>
    <w:p w:rsidR="00032785" w:rsidRDefault="00295B8F">
      <w:pPr>
        <w:ind w:left="1075"/>
      </w:pPr>
      <w:r>
        <w:t xml:space="preserve">(630) 829-9742 </w:t>
      </w:r>
    </w:p>
    <w:p w:rsidR="00032785" w:rsidRDefault="00295B8F">
      <w:pPr>
        <w:spacing w:after="0" w:line="259" w:lineRule="auto"/>
        <w:ind w:left="1080" w:firstLine="0"/>
      </w:pPr>
      <w:r>
        <w:t xml:space="preserve"> </w:t>
      </w:r>
    </w:p>
    <w:p w:rsidR="00032785" w:rsidRDefault="00295B8F">
      <w:pPr>
        <w:ind w:left="1075"/>
      </w:pPr>
      <w:r>
        <w:t xml:space="preserve">Irene Wu </w:t>
      </w:r>
    </w:p>
    <w:p w:rsidR="00032785" w:rsidRDefault="00295B8F">
      <w:pPr>
        <w:ind w:left="1075"/>
      </w:pPr>
      <w:r>
        <w:t xml:space="preserve">Project Manager, Division of Material Safety, State, Tribal, and Rulemaking </w:t>
      </w:r>
    </w:p>
    <w:p w:rsidR="00032785" w:rsidRDefault="00295B8F">
      <w:pPr>
        <w:ind w:left="1075"/>
      </w:pPr>
      <w:r>
        <w:t xml:space="preserve">Programs </w:t>
      </w:r>
    </w:p>
    <w:p w:rsidR="00032785" w:rsidRDefault="00295B8F">
      <w:pPr>
        <w:ind w:left="1075"/>
      </w:pPr>
      <w:r>
        <w:t xml:space="preserve">Office of Nuclear Materials Safety and Safeguards </w:t>
      </w:r>
    </w:p>
    <w:p w:rsidR="00032785" w:rsidRDefault="00295B8F">
      <w:pPr>
        <w:spacing w:after="0" w:line="259" w:lineRule="auto"/>
        <w:ind w:left="1075"/>
      </w:pPr>
      <w:r>
        <w:rPr>
          <w:color w:val="0000FF"/>
          <w:u w:val="single" w:color="0000FF"/>
        </w:rPr>
        <w:t>Irene.Wu@nrc.gov</w:t>
      </w:r>
      <w:r>
        <w:t xml:space="preserve"> </w:t>
      </w:r>
    </w:p>
    <w:p w:rsidR="00032785" w:rsidRDefault="00295B8F">
      <w:pPr>
        <w:tabs>
          <w:tab w:val="center" w:pos="1832"/>
          <w:tab w:val="center" w:pos="2880"/>
          <w:tab w:val="center" w:pos="3600"/>
        </w:tabs>
        <w:ind w:left="0" w:firstLine="0"/>
      </w:pPr>
      <w:r>
        <w:rPr>
          <w:rFonts w:ascii="Calibri" w:eastAsia="Calibri" w:hAnsi="Calibri" w:cs="Calibri"/>
        </w:rPr>
        <w:tab/>
      </w:r>
      <w:r>
        <w:t xml:space="preserve">(301) 415-1951 </w:t>
      </w:r>
      <w:r>
        <w:tab/>
        <w:t xml:space="preserve"> </w:t>
      </w:r>
      <w:r>
        <w:tab/>
        <w:t xml:space="preserve"> </w:t>
      </w:r>
    </w:p>
    <w:p w:rsidR="00032785" w:rsidRDefault="00295B8F" w:rsidP="008D5FCF">
      <w:pPr>
        <w:spacing w:after="0" w:line="259" w:lineRule="auto"/>
        <w:ind w:left="1080" w:firstLine="0"/>
      </w:pPr>
      <w:r>
        <w:t xml:space="preserve"> </w:t>
      </w:r>
      <w:r>
        <w:rPr>
          <w:rFonts w:ascii="Times New Roman" w:eastAsia="Times New Roman" w:hAnsi="Times New Roman" w:cs="Times New Roman"/>
          <w:sz w:val="24"/>
        </w:rPr>
        <w:t xml:space="preserve"> </w:t>
      </w:r>
    </w:p>
    <w:p w:rsidR="00032785" w:rsidRDefault="00295B8F">
      <w:pPr>
        <w:spacing w:after="0" w:line="259" w:lineRule="auto"/>
        <w:ind w:left="37"/>
        <w:jc w:val="center"/>
      </w:pPr>
      <w:r>
        <w:t xml:space="preserve">2 </w:t>
      </w:r>
    </w:p>
    <w:p w:rsidR="00032785" w:rsidRDefault="00295B8F">
      <w:pPr>
        <w:spacing w:after="0" w:line="259" w:lineRule="auto"/>
        <w:ind w:left="0" w:firstLine="0"/>
      </w:pPr>
      <w:r>
        <w:rPr>
          <w:rFonts w:ascii="Times New Roman" w:eastAsia="Times New Roman" w:hAnsi="Times New Roman" w:cs="Times New Roman"/>
          <w:sz w:val="24"/>
        </w:rPr>
        <w:t xml:space="preserve"> </w:t>
      </w:r>
    </w:p>
    <w:sectPr w:rsidR="00032785">
      <w:pgSz w:w="12240" w:h="15840"/>
      <w:pgMar w:top="1484" w:right="1468" w:bottom="1443"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785"/>
    <w:rsid w:val="00032785"/>
    <w:rsid w:val="00295B8F"/>
    <w:rsid w:val="008D5F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4" w:line="250" w:lineRule="auto"/>
      <w:ind w:left="36" w:hanging="10"/>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0"/>
      <w:ind w:left="36" w:hanging="10"/>
      <w:jc w:val="center"/>
      <w:outlineLvl w:val="0"/>
    </w:pPr>
    <w:rPr>
      <w:rFonts w:ascii="Arial" w:eastAsia="Arial" w:hAnsi="Arial" w:cs="Arial"/>
      <w:color w:val="000000"/>
    </w:rPr>
  </w:style>
  <w:style w:type="paragraph" w:styleId="Heading2">
    <w:name w:val="heading 2"/>
    <w:next w:val="Normal"/>
    <w:link w:val="Heading2Char"/>
    <w:uiPriority w:val="9"/>
    <w:unhideWhenUsed/>
    <w:qFormat/>
    <w:pPr>
      <w:keepNext/>
      <w:keepLines/>
      <w:spacing w:after="4" w:line="250" w:lineRule="auto"/>
      <w:ind w:left="850" w:hanging="10"/>
      <w:outlineLvl w:val="1"/>
    </w:pPr>
    <w:rPr>
      <w:rFonts w:ascii="Arial" w:eastAsia="Arial" w:hAnsi="Arial" w:cs="Arial"/>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22"/>
    </w:rPr>
  </w:style>
  <w:style w:type="character" w:customStyle="1" w:styleId="Heading2Char">
    <w:name w:val="Heading 2 Char"/>
    <w:link w:val="Heading2"/>
    <w:rPr>
      <w:rFonts w:ascii="Arial" w:eastAsia="Arial" w:hAnsi="Arial" w:cs="Arial"/>
      <w:color w:val="000000"/>
      <w:sz w:val="22"/>
      <w:u w:val="single"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4" w:line="250" w:lineRule="auto"/>
      <w:ind w:left="36" w:hanging="10"/>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0"/>
      <w:ind w:left="36" w:hanging="10"/>
      <w:jc w:val="center"/>
      <w:outlineLvl w:val="0"/>
    </w:pPr>
    <w:rPr>
      <w:rFonts w:ascii="Arial" w:eastAsia="Arial" w:hAnsi="Arial" w:cs="Arial"/>
      <w:color w:val="000000"/>
    </w:rPr>
  </w:style>
  <w:style w:type="paragraph" w:styleId="Heading2">
    <w:name w:val="heading 2"/>
    <w:next w:val="Normal"/>
    <w:link w:val="Heading2Char"/>
    <w:uiPriority w:val="9"/>
    <w:unhideWhenUsed/>
    <w:qFormat/>
    <w:pPr>
      <w:keepNext/>
      <w:keepLines/>
      <w:spacing w:after="4" w:line="250" w:lineRule="auto"/>
      <w:ind w:left="850" w:hanging="10"/>
      <w:outlineLvl w:val="1"/>
    </w:pPr>
    <w:rPr>
      <w:rFonts w:ascii="Arial" w:eastAsia="Arial" w:hAnsi="Arial" w:cs="Arial"/>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22"/>
    </w:rPr>
  </w:style>
  <w:style w:type="character" w:customStyle="1" w:styleId="Heading2Char">
    <w:name w:val="Heading 2 Char"/>
    <w:link w:val="Heading2"/>
    <w:rPr>
      <w:rFonts w:ascii="Arial" w:eastAsia="Arial" w:hAnsi="Arial" w:cs="Arial"/>
      <w:color w:val="000000"/>
      <w:sz w:val="22"/>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590</Words>
  <Characters>3367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Majeed, Fajr</dc:creator>
  <cp:keywords/>
  <cp:lastModifiedBy>SYSTEM</cp:lastModifiedBy>
  <cp:revision>2</cp:revision>
  <dcterms:created xsi:type="dcterms:W3CDTF">2017-09-20T17:45:00Z</dcterms:created>
  <dcterms:modified xsi:type="dcterms:W3CDTF">2017-09-20T17:45:00Z</dcterms:modified>
</cp:coreProperties>
</file>