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8C101" w14:textId="77777777" w:rsidR="00E60802" w:rsidRDefault="00E60802" w:rsidP="000F5574">
      <w:pPr>
        <w:pStyle w:val="Title"/>
        <w:rPr>
          <w:rFonts w:ascii="Times New Roman" w:hAnsi="Times New Roman"/>
          <w:szCs w:val="24"/>
        </w:rPr>
      </w:pPr>
      <w:bookmarkStart w:id="0" w:name="_GoBack"/>
      <w:bookmarkEnd w:id="0"/>
      <w:r w:rsidRPr="00AB0405">
        <w:rPr>
          <w:rFonts w:ascii="Times New Roman" w:hAnsi="Times New Roman"/>
          <w:szCs w:val="24"/>
        </w:rPr>
        <w:t>SUPPORTING STATEMENT</w:t>
      </w:r>
    </w:p>
    <w:p w14:paraId="42FF420F" w14:textId="3EFC085D" w:rsidR="007D1DF4" w:rsidRPr="00AB0405" w:rsidRDefault="007D1DF4" w:rsidP="000F5574">
      <w:pPr>
        <w:pStyle w:val="Title"/>
        <w:rPr>
          <w:rFonts w:ascii="Times New Roman" w:hAnsi="Times New Roman"/>
          <w:szCs w:val="24"/>
        </w:rPr>
      </w:pPr>
      <w:r w:rsidRPr="001B378E">
        <w:rPr>
          <w:rFonts w:ascii="Times New Roman" w:hAnsi="Times New Roman"/>
          <w:spacing w:val="-1"/>
          <w:szCs w:val="24"/>
        </w:rPr>
        <w:t>For</w:t>
      </w:r>
      <w:r w:rsidRPr="001B378E">
        <w:rPr>
          <w:rFonts w:ascii="Times New Roman" w:hAnsi="Times New Roman"/>
          <w:spacing w:val="1"/>
          <w:szCs w:val="24"/>
        </w:rPr>
        <w:t xml:space="preserve"> </w:t>
      </w:r>
      <w:r w:rsidRPr="001B378E">
        <w:rPr>
          <w:rFonts w:ascii="Times New Roman" w:hAnsi="Times New Roman"/>
          <w:spacing w:val="-1"/>
          <w:szCs w:val="24"/>
        </w:rPr>
        <w:t>the</w:t>
      </w:r>
      <w:r w:rsidRPr="001B378E">
        <w:rPr>
          <w:rFonts w:ascii="Times New Roman" w:hAnsi="Times New Roman"/>
          <w:spacing w:val="1"/>
          <w:szCs w:val="24"/>
        </w:rPr>
        <w:t xml:space="preserve"> </w:t>
      </w:r>
      <w:r w:rsidRPr="001B378E">
        <w:rPr>
          <w:rFonts w:ascii="Times New Roman" w:hAnsi="Times New Roman"/>
          <w:spacing w:val="-1"/>
          <w:szCs w:val="24"/>
        </w:rPr>
        <w:t>Paperwork</w:t>
      </w:r>
      <w:r w:rsidRPr="001B378E">
        <w:rPr>
          <w:rFonts w:ascii="Times New Roman" w:hAnsi="Times New Roman"/>
          <w:szCs w:val="24"/>
        </w:rPr>
        <w:t xml:space="preserve"> </w:t>
      </w:r>
      <w:r w:rsidRPr="001B378E">
        <w:rPr>
          <w:rFonts w:ascii="Times New Roman" w:hAnsi="Times New Roman"/>
          <w:spacing w:val="-1"/>
          <w:szCs w:val="24"/>
        </w:rPr>
        <w:t>Reduction</w:t>
      </w:r>
      <w:r w:rsidRPr="001B378E">
        <w:rPr>
          <w:rFonts w:ascii="Times New Roman" w:hAnsi="Times New Roman"/>
          <w:szCs w:val="24"/>
        </w:rPr>
        <w:t xml:space="preserve"> </w:t>
      </w:r>
      <w:r w:rsidRPr="001B378E">
        <w:rPr>
          <w:rFonts w:ascii="Times New Roman" w:hAnsi="Times New Roman"/>
          <w:spacing w:val="-1"/>
          <w:szCs w:val="24"/>
        </w:rPr>
        <w:t>Act Information</w:t>
      </w:r>
      <w:r w:rsidRPr="001B378E">
        <w:rPr>
          <w:rFonts w:ascii="Times New Roman" w:hAnsi="Times New Roman"/>
          <w:spacing w:val="3"/>
          <w:szCs w:val="24"/>
        </w:rPr>
        <w:t xml:space="preserve"> </w:t>
      </w:r>
      <w:r w:rsidRPr="001B378E">
        <w:rPr>
          <w:rFonts w:ascii="Times New Roman" w:hAnsi="Times New Roman"/>
          <w:spacing w:val="-1"/>
          <w:szCs w:val="24"/>
        </w:rPr>
        <w:t>Collection</w:t>
      </w:r>
      <w:r w:rsidRPr="001B378E">
        <w:rPr>
          <w:rFonts w:ascii="Times New Roman" w:hAnsi="Times New Roman"/>
          <w:szCs w:val="24"/>
        </w:rPr>
        <w:t xml:space="preserve"> </w:t>
      </w:r>
      <w:r w:rsidRPr="001B378E">
        <w:rPr>
          <w:rFonts w:ascii="Times New Roman" w:hAnsi="Times New Roman"/>
          <w:spacing w:val="-1"/>
          <w:szCs w:val="24"/>
        </w:rPr>
        <w:t>Submission</w:t>
      </w:r>
      <w:r w:rsidRPr="001B378E">
        <w:rPr>
          <w:rFonts w:ascii="Times New Roman" w:hAnsi="Times New Roman"/>
          <w:szCs w:val="24"/>
        </w:rPr>
        <w:t xml:space="preserve"> </w:t>
      </w:r>
      <w:r w:rsidRPr="001B378E">
        <w:rPr>
          <w:rFonts w:ascii="Times New Roman" w:hAnsi="Times New Roman"/>
          <w:spacing w:val="-1"/>
          <w:szCs w:val="24"/>
        </w:rPr>
        <w:t>for</w:t>
      </w:r>
    </w:p>
    <w:p w14:paraId="0941A0E9" w14:textId="77777777" w:rsidR="00E60802" w:rsidRPr="00AB0405" w:rsidRDefault="00374602" w:rsidP="000F5574">
      <w:pPr>
        <w:pStyle w:val="Title"/>
        <w:rPr>
          <w:rFonts w:ascii="Times New Roman" w:hAnsi="Times New Roman"/>
          <w:szCs w:val="24"/>
        </w:rPr>
      </w:pPr>
      <w:r w:rsidRPr="00AB0405">
        <w:rPr>
          <w:rFonts w:ascii="Times New Roman" w:hAnsi="Times New Roman"/>
          <w:szCs w:val="24"/>
        </w:rPr>
        <w:t>Form</w:t>
      </w:r>
      <w:r w:rsidR="00E60802" w:rsidRPr="00AB0405">
        <w:rPr>
          <w:rFonts w:ascii="Times New Roman" w:hAnsi="Times New Roman"/>
          <w:szCs w:val="24"/>
        </w:rPr>
        <w:t xml:space="preserve"> N-CSR </w:t>
      </w:r>
    </w:p>
    <w:p w14:paraId="253074A9" w14:textId="36F8C499" w:rsidR="00E60802" w:rsidRPr="00AB0405" w:rsidRDefault="00E60802" w:rsidP="000F5574">
      <w:pPr>
        <w:pStyle w:val="Heading1"/>
        <w:ind w:firstLine="0"/>
        <w:rPr>
          <w:rFonts w:ascii="Times New Roman" w:hAnsi="Times New Roman"/>
        </w:rPr>
      </w:pPr>
      <w:r w:rsidRPr="00AB0405">
        <w:rPr>
          <w:rFonts w:ascii="Times New Roman" w:hAnsi="Times New Roman"/>
        </w:rPr>
        <w:t>Justification</w:t>
      </w:r>
    </w:p>
    <w:p w14:paraId="2238372F" w14:textId="2A77B52D" w:rsidR="00E60802" w:rsidRPr="00AB0405" w:rsidRDefault="00E60802" w:rsidP="000F5574">
      <w:pPr>
        <w:pStyle w:val="Heading2"/>
        <w:ind w:firstLine="0"/>
        <w:rPr>
          <w:rFonts w:ascii="Times New Roman" w:hAnsi="Times New Roman"/>
          <w:szCs w:val="24"/>
        </w:rPr>
      </w:pPr>
      <w:r w:rsidRPr="00AB0405">
        <w:rPr>
          <w:rFonts w:ascii="Times New Roman" w:hAnsi="Times New Roman"/>
          <w:szCs w:val="24"/>
        </w:rPr>
        <w:t>Necessity for the Information Collection</w:t>
      </w:r>
    </w:p>
    <w:p w14:paraId="7727817C" w14:textId="77777777" w:rsidR="001F1FD9" w:rsidRPr="00AB0405" w:rsidRDefault="000F5574" w:rsidP="001F1FD9">
      <w:pPr>
        <w:pStyle w:val="BodyText"/>
        <w:ind w:firstLine="0"/>
        <w:rPr>
          <w:rFonts w:ascii="Times New Roman" w:hAnsi="Times New Roman"/>
          <w:szCs w:val="24"/>
        </w:rPr>
      </w:pPr>
      <w:r w:rsidRPr="00AB0405">
        <w:rPr>
          <w:rFonts w:ascii="Times New Roman" w:hAnsi="Times New Roman"/>
          <w:szCs w:val="24"/>
        </w:rPr>
        <w:tab/>
      </w:r>
      <w:r w:rsidR="00AF64E5" w:rsidRPr="00AB0405">
        <w:rPr>
          <w:rFonts w:ascii="Times New Roman" w:hAnsi="Times New Roman"/>
          <w:szCs w:val="24"/>
        </w:rPr>
        <w:t>Form N-CSR</w:t>
      </w:r>
      <w:r w:rsidR="00FA4DB9" w:rsidRPr="00AB0405">
        <w:rPr>
          <w:rStyle w:val="FootnoteReference"/>
          <w:rFonts w:ascii="Times New Roman" w:hAnsi="Times New Roman"/>
          <w:szCs w:val="24"/>
        </w:rPr>
        <w:footnoteReference w:id="1"/>
      </w:r>
      <w:r w:rsidR="00DF51DC" w:rsidRPr="00AB0405">
        <w:rPr>
          <w:rFonts w:ascii="Times New Roman" w:hAnsi="Times New Roman"/>
          <w:szCs w:val="24"/>
        </w:rPr>
        <w:t xml:space="preserve"> </w:t>
      </w:r>
      <w:r w:rsidR="008C59D7" w:rsidRPr="00AB0405">
        <w:rPr>
          <w:rFonts w:ascii="Times New Roman" w:hAnsi="Times New Roman"/>
          <w:szCs w:val="24"/>
        </w:rPr>
        <w:t>is a combined reporting</w:t>
      </w:r>
      <w:r w:rsidR="00AF64E5" w:rsidRPr="00AB0405">
        <w:rPr>
          <w:rFonts w:ascii="Times New Roman" w:hAnsi="Times New Roman"/>
          <w:szCs w:val="24"/>
        </w:rPr>
        <w:t xml:space="preserve"> form used by </w:t>
      </w:r>
      <w:r w:rsidR="00672B38" w:rsidRPr="00AB0405">
        <w:rPr>
          <w:rFonts w:ascii="Times New Roman" w:hAnsi="Times New Roman"/>
          <w:szCs w:val="24"/>
        </w:rPr>
        <w:t xml:space="preserve">registered </w:t>
      </w:r>
      <w:r w:rsidR="00AF64E5" w:rsidRPr="00AB0405">
        <w:rPr>
          <w:rFonts w:ascii="Times New Roman" w:hAnsi="Times New Roman"/>
          <w:szCs w:val="24"/>
        </w:rPr>
        <w:t>management investment companies</w:t>
      </w:r>
      <w:r w:rsidR="00672B38" w:rsidRPr="00AB0405">
        <w:rPr>
          <w:rFonts w:ascii="Times New Roman" w:hAnsi="Times New Roman"/>
          <w:szCs w:val="24"/>
        </w:rPr>
        <w:t xml:space="preserve"> (“funds”)</w:t>
      </w:r>
      <w:r w:rsidR="00AF64E5" w:rsidRPr="00AB0405">
        <w:rPr>
          <w:rFonts w:ascii="Times New Roman" w:hAnsi="Times New Roman"/>
          <w:szCs w:val="24"/>
        </w:rPr>
        <w:t xml:space="preserve"> to file </w:t>
      </w:r>
      <w:r w:rsidR="003E5FE6" w:rsidRPr="00AB0405">
        <w:rPr>
          <w:rFonts w:ascii="Times New Roman" w:hAnsi="Times New Roman"/>
          <w:szCs w:val="24"/>
        </w:rPr>
        <w:t xml:space="preserve">certified </w:t>
      </w:r>
      <w:r w:rsidR="00AF64E5" w:rsidRPr="00AB0405">
        <w:rPr>
          <w:rFonts w:ascii="Times New Roman" w:hAnsi="Times New Roman"/>
          <w:szCs w:val="24"/>
        </w:rPr>
        <w:t>shareholder reports under the Investment Company Act of 1940</w:t>
      </w:r>
      <w:r w:rsidR="00DF51DC" w:rsidRPr="00AB0405">
        <w:rPr>
          <w:rFonts w:ascii="Times New Roman" w:hAnsi="Times New Roman"/>
          <w:szCs w:val="24"/>
        </w:rPr>
        <w:t xml:space="preserve"> </w:t>
      </w:r>
      <w:r w:rsidR="00AF64E5" w:rsidRPr="00AB0405">
        <w:rPr>
          <w:rFonts w:ascii="Times New Roman" w:hAnsi="Times New Roman"/>
          <w:szCs w:val="24"/>
        </w:rPr>
        <w:t>(“Investment Company Act”)</w:t>
      </w:r>
      <w:r w:rsidR="00FA4DB9" w:rsidRPr="00AB0405">
        <w:rPr>
          <w:rStyle w:val="FootnoteReference"/>
          <w:rFonts w:ascii="Times New Roman" w:hAnsi="Times New Roman"/>
          <w:szCs w:val="24"/>
        </w:rPr>
        <w:footnoteReference w:id="2"/>
      </w:r>
      <w:r w:rsidR="00AF64E5" w:rsidRPr="00AB0405">
        <w:rPr>
          <w:rFonts w:ascii="Times New Roman" w:hAnsi="Times New Roman"/>
          <w:szCs w:val="24"/>
        </w:rPr>
        <w:t xml:space="preserve"> </w:t>
      </w:r>
      <w:r w:rsidR="00EC4660" w:rsidRPr="00AB0405">
        <w:rPr>
          <w:rFonts w:ascii="Times New Roman" w:hAnsi="Times New Roman"/>
          <w:szCs w:val="24"/>
        </w:rPr>
        <w:t>and</w:t>
      </w:r>
      <w:r w:rsidR="00AF64E5" w:rsidRPr="00AB0405">
        <w:rPr>
          <w:rFonts w:ascii="Times New Roman" w:hAnsi="Times New Roman"/>
          <w:szCs w:val="24"/>
        </w:rPr>
        <w:t xml:space="preserve"> the Securities </w:t>
      </w:r>
      <w:r w:rsidR="00EC4660" w:rsidRPr="00AB0405">
        <w:rPr>
          <w:rFonts w:ascii="Times New Roman" w:hAnsi="Times New Roman"/>
          <w:szCs w:val="24"/>
        </w:rPr>
        <w:t>Exchange Act of 1934</w:t>
      </w:r>
      <w:r w:rsidR="00AF64E5" w:rsidRPr="00AB0405">
        <w:rPr>
          <w:rFonts w:ascii="Times New Roman" w:hAnsi="Times New Roman"/>
          <w:szCs w:val="24"/>
        </w:rPr>
        <w:t xml:space="preserve"> </w:t>
      </w:r>
      <w:r w:rsidR="00691D33" w:rsidRPr="00AB0405">
        <w:rPr>
          <w:rFonts w:ascii="Times New Roman" w:hAnsi="Times New Roman"/>
          <w:szCs w:val="24"/>
        </w:rPr>
        <w:t>(</w:t>
      </w:r>
      <w:r w:rsidR="00AF64E5" w:rsidRPr="00AB0405">
        <w:rPr>
          <w:rFonts w:ascii="Times New Roman" w:hAnsi="Times New Roman"/>
          <w:szCs w:val="24"/>
        </w:rPr>
        <w:t>“</w:t>
      </w:r>
      <w:r w:rsidR="00EC4660" w:rsidRPr="00AB0405">
        <w:rPr>
          <w:rFonts w:ascii="Times New Roman" w:hAnsi="Times New Roman"/>
          <w:szCs w:val="24"/>
        </w:rPr>
        <w:t>Exchange</w:t>
      </w:r>
      <w:r w:rsidR="00AF64E5" w:rsidRPr="00AB0405">
        <w:rPr>
          <w:rFonts w:ascii="Times New Roman" w:hAnsi="Times New Roman"/>
          <w:szCs w:val="24"/>
        </w:rPr>
        <w:t xml:space="preserve"> Act”).</w:t>
      </w:r>
      <w:r w:rsidR="00691D33" w:rsidRPr="00AB0405">
        <w:rPr>
          <w:rStyle w:val="FootnoteReference"/>
          <w:rFonts w:ascii="Times New Roman" w:hAnsi="Times New Roman"/>
          <w:szCs w:val="24"/>
        </w:rPr>
        <w:footnoteReference w:id="3"/>
      </w:r>
      <w:r w:rsidR="00691D33" w:rsidRPr="00AB0405">
        <w:rPr>
          <w:rFonts w:ascii="Times New Roman" w:hAnsi="Times New Roman"/>
          <w:szCs w:val="24"/>
        </w:rPr>
        <w:t xml:space="preserve"> </w:t>
      </w:r>
      <w:r w:rsidRPr="00AB0405">
        <w:rPr>
          <w:rFonts w:ascii="Times New Roman" w:hAnsi="Times New Roman"/>
          <w:szCs w:val="24"/>
        </w:rPr>
        <w:t xml:space="preserve"> </w:t>
      </w:r>
      <w:r w:rsidR="00F11E69" w:rsidRPr="00AB0405">
        <w:rPr>
          <w:rFonts w:ascii="Times New Roman" w:hAnsi="Times New Roman"/>
          <w:szCs w:val="24"/>
        </w:rPr>
        <w:t xml:space="preserve">Specifically, </w:t>
      </w:r>
      <w:r w:rsidR="008C59D7" w:rsidRPr="00AB0405">
        <w:rPr>
          <w:rFonts w:ascii="Times New Roman" w:hAnsi="Times New Roman"/>
          <w:szCs w:val="24"/>
        </w:rPr>
        <w:t xml:space="preserve">Form N-CSR is </w:t>
      </w:r>
      <w:r w:rsidR="00F11E69" w:rsidRPr="00AB0405">
        <w:rPr>
          <w:rFonts w:ascii="Times New Roman" w:hAnsi="Times New Roman"/>
          <w:szCs w:val="24"/>
        </w:rPr>
        <w:t>to be used for reports</w:t>
      </w:r>
      <w:r w:rsidR="008C59D7" w:rsidRPr="00AB0405">
        <w:rPr>
          <w:rFonts w:ascii="Times New Roman" w:hAnsi="Times New Roman"/>
          <w:szCs w:val="24"/>
        </w:rPr>
        <w:t xml:space="preserve"> under section 30(b)(2) of the Investment Company Act</w:t>
      </w:r>
      <w:r w:rsidR="00691D33" w:rsidRPr="00AB0405">
        <w:rPr>
          <w:rStyle w:val="FootnoteReference"/>
          <w:rFonts w:ascii="Times New Roman" w:hAnsi="Times New Roman"/>
          <w:szCs w:val="24"/>
        </w:rPr>
        <w:footnoteReference w:id="4"/>
      </w:r>
      <w:r w:rsidR="00E02548" w:rsidRPr="00AB0405">
        <w:rPr>
          <w:rFonts w:ascii="Times New Roman" w:hAnsi="Times New Roman"/>
          <w:szCs w:val="24"/>
        </w:rPr>
        <w:t xml:space="preserve"> </w:t>
      </w:r>
      <w:r w:rsidR="008C59D7" w:rsidRPr="00AB0405">
        <w:rPr>
          <w:rFonts w:ascii="Times New Roman" w:hAnsi="Times New Roman"/>
          <w:szCs w:val="24"/>
        </w:rPr>
        <w:t xml:space="preserve">and section 13(a) or </w:t>
      </w:r>
      <w:r w:rsidR="00E1206D" w:rsidRPr="00AB0405">
        <w:rPr>
          <w:rFonts w:ascii="Times New Roman" w:hAnsi="Times New Roman"/>
          <w:szCs w:val="24"/>
        </w:rPr>
        <w:t>1</w:t>
      </w:r>
      <w:r w:rsidR="008C59D7" w:rsidRPr="00AB0405">
        <w:rPr>
          <w:rFonts w:ascii="Times New Roman" w:hAnsi="Times New Roman"/>
          <w:szCs w:val="24"/>
        </w:rPr>
        <w:t>5(d) of the Exchange Act,</w:t>
      </w:r>
      <w:r w:rsidR="00691D33" w:rsidRPr="00AB0405">
        <w:rPr>
          <w:rStyle w:val="FootnoteReference"/>
          <w:rFonts w:ascii="Times New Roman" w:hAnsi="Times New Roman"/>
          <w:szCs w:val="24"/>
        </w:rPr>
        <w:footnoteReference w:id="5"/>
      </w:r>
      <w:r w:rsidR="008C59D7" w:rsidRPr="00AB0405">
        <w:rPr>
          <w:rFonts w:ascii="Times New Roman" w:hAnsi="Times New Roman"/>
          <w:szCs w:val="24"/>
        </w:rPr>
        <w:t xml:space="preserve"> filed pursuant to rule 30b2-1(a) under the Investment Company Act.</w:t>
      </w:r>
      <w:r w:rsidR="00691D33" w:rsidRPr="00AB0405">
        <w:rPr>
          <w:rStyle w:val="FootnoteReference"/>
          <w:rFonts w:ascii="Times New Roman" w:hAnsi="Times New Roman"/>
          <w:szCs w:val="24"/>
        </w:rPr>
        <w:footnoteReference w:id="6"/>
      </w:r>
      <w:r w:rsidR="00F11E69" w:rsidRPr="00AB0405">
        <w:rPr>
          <w:rFonts w:ascii="Times New Roman" w:hAnsi="Times New Roman"/>
          <w:szCs w:val="24"/>
        </w:rPr>
        <w:t xml:space="preserve"> </w:t>
      </w:r>
      <w:r w:rsidR="00E02548" w:rsidRPr="00AB0405">
        <w:rPr>
          <w:rFonts w:ascii="Times New Roman" w:hAnsi="Times New Roman"/>
          <w:szCs w:val="24"/>
        </w:rPr>
        <w:t xml:space="preserve">Reports on </w:t>
      </w:r>
      <w:r w:rsidR="00F11E69" w:rsidRPr="00AB0405">
        <w:rPr>
          <w:rFonts w:ascii="Times New Roman" w:hAnsi="Times New Roman"/>
          <w:szCs w:val="24"/>
        </w:rPr>
        <w:t>Form N</w:t>
      </w:r>
      <w:r w:rsidR="00F11E69" w:rsidRPr="00AB0405">
        <w:rPr>
          <w:rFonts w:ascii="Times New Roman" w:hAnsi="Times New Roman"/>
          <w:szCs w:val="24"/>
        </w:rPr>
        <w:noBreakHyphen/>
        <w:t xml:space="preserve">CSR are to be filed with the </w:t>
      </w:r>
      <w:r w:rsidR="0082752F" w:rsidRPr="00AB0405">
        <w:rPr>
          <w:rFonts w:ascii="Times New Roman" w:hAnsi="Times New Roman"/>
          <w:szCs w:val="24"/>
        </w:rPr>
        <w:t xml:space="preserve">Securities and Exchange </w:t>
      </w:r>
      <w:r w:rsidR="00F11E69" w:rsidRPr="00AB0405">
        <w:rPr>
          <w:rFonts w:ascii="Times New Roman" w:hAnsi="Times New Roman"/>
          <w:szCs w:val="24"/>
        </w:rPr>
        <w:t>Commission</w:t>
      </w:r>
      <w:r w:rsidR="0082752F" w:rsidRPr="00AB0405">
        <w:rPr>
          <w:rFonts w:ascii="Times New Roman" w:hAnsi="Times New Roman"/>
          <w:szCs w:val="24"/>
        </w:rPr>
        <w:t xml:space="preserve"> (“Commission”)</w:t>
      </w:r>
      <w:r w:rsidR="00F04231" w:rsidRPr="00AB0405">
        <w:rPr>
          <w:rFonts w:ascii="Times New Roman" w:hAnsi="Times New Roman"/>
          <w:szCs w:val="24"/>
        </w:rPr>
        <w:t xml:space="preserve"> no</w:t>
      </w:r>
      <w:r w:rsidR="00F11E69" w:rsidRPr="00AB0405">
        <w:rPr>
          <w:rFonts w:ascii="Times New Roman" w:hAnsi="Times New Roman"/>
          <w:szCs w:val="24"/>
        </w:rPr>
        <w:t xml:space="preserve"> later than 10 days after the transmission to stockholders of any report that is required to be transmitted to stockholders under rule 30e-1 under the Investment Company Act.</w:t>
      </w:r>
      <w:r w:rsidR="00512722" w:rsidRPr="00AB0405">
        <w:rPr>
          <w:rStyle w:val="FootnoteReference"/>
          <w:rFonts w:ascii="Times New Roman" w:hAnsi="Times New Roman"/>
          <w:szCs w:val="24"/>
        </w:rPr>
        <w:footnoteReference w:id="7"/>
      </w:r>
      <w:r w:rsidR="00F11E69" w:rsidRPr="00AB0405">
        <w:rPr>
          <w:rFonts w:ascii="Times New Roman" w:hAnsi="Times New Roman"/>
          <w:szCs w:val="24"/>
        </w:rPr>
        <w:t xml:space="preserve"> </w:t>
      </w:r>
    </w:p>
    <w:p w14:paraId="1F5B4507" w14:textId="007753D7" w:rsidR="001F1FD9" w:rsidRPr="00AB0405" w:rsidRDefault="001F1FD9" w:rsidP="007D440E">
      <w:pPr>
        <w:pStyle w:val="BodyText"/>
        <w:ind w:firstLine="0"/>
        <w:rPr>
          <w:rFonts w:ascii="Times New Roman" w:hAnsi="Times New Roman"/>
        </w:rPr>
      </w:pPr>
      <w:r w:rsidRPr="00AB0405">
        <w:rPr>
          <w:rFonts w:ascii="Times New Roman" w:hAnsi="Times New Roman"/>
          <w:szCs w:val="24"/>
        </w:rPr>
        <w:tab/>
      </w:r>
      <w:r w:rsidR="000F5574" w:rsidRPr="00AB0405">
        <w:rPr>
          <w:rFonts w:ascii="Times New Roman" w:hAnsi="Times New Roman"/>
        </w:rPr>
        <w:t>On October 13, 2016, the Commission issued a release adopting, among other things, amendments to Form N-CSR</w:t>
      </w:r>
      <w:r w:rsidR="00093B29" w:rsidRPr="00AB0405">
        <w:rPr>
          <w:rFonts w:ascii="Times New Roman" w:hAnsi="Times New Roman"/>
        </w:rPr>
        <w:t>.</w:t>
      </w:r>
      <w:r w:rsidR="00093B29" w:rsidRPr="00AB0405">
        <w:rPr>
          <w:rStyle w:val="FootnoteReference"/>
          <w:rFonts w:ascii="Times New Roman" w:hAnsi="Times New Roman"/>
        </w:rPr>
        <w:footnoteReference w:id="8"/>
      </w:r>
      <w:r w:rsidR="00093B29" w:rsidRPr="00AB0405">
        <w:rPr>
          <w:rFonts w:ascii="Times New Roman" w:hAnsi="Times New Roman"/>
        </w:rPr>
        <w:t xml:space="preserve">  </w:t>
      </w:r>
      <w:r w:rsidR="00DB1D94">
        <w:rPr>
          <w:rFonts w:ascii="Times New Roman" w:hAnsi="Times New Roman"/>
        </w:rPr>
        <w:t xml:space="preserve"> </w:t>
      </w:r>
    </w:p>
    <w:p w14:paraId="4BA262A4" w14:textId="39793F94" w:rsidR="000F5574" w:rsidRPr="00AB0405" w:rsidRDefault="001F1FD9" w:rsidP="000F5574">
      <w:pPr>
        <w:pStyle w:val="BodyText"/>
        <w:ind w:firstLine="0"/>
        <w:rPr>
          <w:rFonts w:ascii="Times New Roman" w:hAnsi="Times New Roman"/>
        </w:rPr>
      </w:pPr>
      <w:r w:rsidRPr="00AB0405">
        <w:rPr>
          <w:rFonts w:ascii="Times New Roman" w:hAnsi="Times New Roman"/>
        </w:rPr>
        <w:tab/>
      </w:r>
      <w:r w:rsidR="007D440E">
        <w:rPr>
          <w:rFonts w:ascii="Times New Roman" w:hAnsi="Times New Roman"/>
        </w:rPr>
        <w:t>In connection with this adoption, t</w:t>
      </w:r>
      <w:r w:rsidRPr="00AB0405">
        <w:rPr>
          <w:rFonts w:ascii="Times New Roman" w:hAnsi="Times New Roman"/>
        </w:rPr>
        <w:t>he Commission adopted amendments to require closed-end funds to report on Form N-CSR certain disclosures regarding securities lending activities.</w:t>
      </w:r>
      <w:r w:rsidRPr="00AB0405">
        <w:rPr>
          <w:rStyle w:val="FootnoteReference"/>
          <w:rFonts w:ascii="Times New Roman" w:hAnsi="Times New Roman"/>
        </w:rPr>
        <w:footnoteReference w:id="9"/>
      </w:r>
      <w:r w:rsidRPr="00AB0405">
        <w:rPr>
          <w:rFonts w:ascii="Times New Roman" w:hAnsi="Times New Roman"/>
        </w:rPr>
        <w:t xml:space="preserve">  </w:t>
      </w:r>
      <w:r w:rsidR="000F5574" w:rsidRPr="00AB0405">
        <w:rPr>
          <w:rFonts w:ascii="Times New Roman" w:hAnsi="Times New Roman"/>
        </w:rPr>
        <w:t>Specifically, the Commission adopted amendments to Form N-CSR to require funds to disclose the dollar amounts of income and fees and compensation paid to service providers related to their securities lending activities during their most recent fiscal year, as illustrated in Table 1 below.</w:t>
      </w:r>
      <w:r w:rsidR="000F5574" w:rsidRPr="00AB0405">
        <w:rPr>
          <w:rStyle w:val="FootnoteReference"/>
          <w:rFonts w:ascii="Times New Roman" w:hAnsi="Times New Roman"/>
        </w:rPr>
        <w:footnoteReference w:id="10"/>
      </w:r>
    </w:p>
    <w:tbl>
      <w:tblPr>
        <w:tblW w:w="0" w:type="auto"/>
        <w:tblBorders>
          <w:bottom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385"/>
        <w:gridCol w:w="6480"/>
        <w:gridCol w:w="1991"/>
      </w:tblGrid>
      <w:tr w:rsidR="000F5574" w:rsidRPr="00AB0405" w14:paraId="6891477B" w14:textId="77777777" w:rsidTr="00983846">
        <w:tc>
          <w:tcPr>
            <w:tcW w:w="8856" w:type="dxa"/>
            <w:gridSpan w:val="3"/>
            <w:tcBorders>
              <w:top w:val="nil"/>
              <w:left w:val="nil"/>
              <w:bottom w:val="single" w:sz="4" w:space="0" w:color="auto"/>
              <w:right w:val="nil"/>
            </w:tcBorders>
            <w:shd w:val="clear" w:color="auto" w:fill="auto"/>
            <w:hideMark/>
          </w:tcPr>
          <w:p w14:paraId="2FAF064B" w14:textId="77777777" w:rsidR="000F5574" w:rsidRPr="00AB0405" w:rsidRDefault="000F5574" w:rsidP="00983846">
            <w:pPr>
              <w:pStyle w:val="ReleaseBodyText"/>
              <w:keepNext/>
              <w:keepLines/>
              <w:spacing w:line="312" w:lineRule="exact"/>
              <w:ind w:firstLine="0"/>
              <w:jc w:val="center"/>
              <w:rPr>
                <w:caps/>
                <w:spacing w:val="12"/>
              </w:rPr>
            </w:pPr>
            <w:r w:rsidRPr="00AB0405">
              <w:rPr>
                <w:caps/>
                <w:spacing w:val="12"/>
              </w:rPr>
              <w:lastRenderedPageBreak/>
              <w:t>Securities Lending Activities</w:t>
            </w:r>
          </w:p>
        </w:tc>
      </w:tr>
      <w:tr w:rsidR="000F5574" w:rsidRPr="00AB0405" w14:paraId="41A8CB85" w14:textId="77777777" w:rsidTr="00983846">
        <w:tc>
          <w:tcPr>
            <w:tcW w:w="6865" w:type="dxa"/>
            <w:gridSpan w:val="2"/>
            <w:tcBorders>
              <w:top w:val="single" w:sz="4" w:space="0" w:color="auto"/>
              <w:left w:val="nil"/>
              <w:bottom w:val="nil"/>
              <w:right w:val="nil"/>
            </w:tcBorders>
            <w:shd w:val="clear" w:color="auto" w:fill="auto"/>
            <w:hideMark/>
          </w:tcPr>
          <w:p w14:paraId="28702A87" w14:textId="77777777" w:rsidR="000F5574" w:rsidRPr="00AB0405" w:rsidRDefault="000F5574" w:rsidP="00983846">
            <w:pPr>
              <w:pStyle w:val="ReleaseBodyText"/>
              <w:keepNext/>
              <w:keepLines/>
              <w:spacing w:before="120" w:line="312" w:lineRule="exact"/>
              <w:ind w:firstLine="0"/>
              <w:rPr>
                <w:b/>
                <w:sz w:val="20"/>
              </w:rPr>
            </w:pPr>
            <w:r w:rsidRPr="00AB0405">
              <w:rPr>
                <w:b/>
                <w:sz w:val="20"/>
              </w:rPr>
              <w:t>Gross income from securities lending activities</w:t>
            </w:r>
          </w:p>
        </w:tc>
        <w:tc>
          <w:tcPr>
            <w:tcW w:w="1991" w:type="dxa"/>
            <w:tcBorders>
              <w:top w:val="single" w:sz="4" w:space="0" w:color="auto"/>
              <w:left w:val="nil"/>
              <w:bottom w:val="nil"/>
              <w:right w:val="nil"/>
            </w:tcBorders>
            <w:shd w:val="clear" w:color="auto" w:fill="auto"/>
            <w:vAlign w:val="bottom"/>
            <w:hideMark/>
          </w:tcPr>
          <w:p w14:paraId="721C45A5" w14:textId="77777777" w:rsidR="000F5574" w:rsidRPr="00AB0405" w:rsidRDefault="000F5574" w:rsidP="00983846">
            <w:pPr>
              <w:pStyle w:val="ReleaseBodyText"/>
              <w:keepNext/>
              <w:keepLines/>
              <w:spacing w:before="120" w:line="312" w:lineRule="exact"/>
              <w:ind w:firstLine="0"/>
              <w:jc w:val="right"/>
              <w:rPr>
                <w:b/>
                <w:sz w:val="20"/>
                <w:u w:val="single"/>
              </w:rPr>
            </w:pPr>
            <w:r w:rsidRPr="00AB0405">
              <w:rPr>
                <w:b/>
                <w:sz w:val="20"/>
              </w:rPr>
              <w:t xml:space="preserve">$ </w:t>
            </w:r>
            <w:r w:rsidRPr="00AB0405">
              <w:rPr>
                <w:b/>
                <w:sz w:val="20"/>
                <w:u w:val="single"/>
              </w:rPr>
              <w:tab/>
            </w:r>
            <w:r w:rsidRPr="00AB0405">
              <w:rPr>
                <w:b/>
                <w:sz w:val="20"/>
                <w:u w:val="single"/>
              </w:rPr>
              <w:tab/>
            </w:r>
          </w:p>
        </w:tc>
      </w:tr>
      <w:tr w:rsidR="000F5574" w:rsidRPr="00AB0405" w14:paraId="392AAC56" w14:textId="77777777" w:rsidTr="00983846">
        <w:tc>
          <w:tcPr>
            <w:tcW w:w="6865" w:type="dxa"/>
            <w:gridSpan w:val="2"/>
            <w:tcBorders>
              <w:top w:val="nil"/>
              <w:left w:val="nil"/>
              <w:bottom w:val="nil"/>
              <w:right w:val="nil"/>
            </w:tcBorders>
            <w:shd w:val="clear" w:color="auto" w:fill="E6E6E6"/>
            <w:hideMark/>
          </w:tcPr>
          <w:p w14:paraId="03947B78" w14:textId="77777777" w:rsidR="000F5574" w:rsidRPr="00AB0405" w:rsidRDefault="000F5574" w:rsidP="00983846">
            <w:pPr>
              <w:pStyle w:val="ReleaseBodyText"/>
              <w:keepNext/>
              <w:keepLines/>
              <w:spacing w:line="312" w:lineRule="exact"/>
              <w:ind w:firstLine="0"/>
              <w:rPr>
                <w:i/>
                <w:sz w:val="20"/>
              </w:rPr>
            </w:pPr>
            <w:r w:rsidRPr="00AB0405">
              <w:rPr>
                <w:i/>
                <w:sz w:val="20"/>
              </w:rPr>
              <w:t>Fees and/or compensation for securities lending activities and related services</w:t>
            </w:r>
          </w:p>
        </w:tc>
        <w:tc>
          <w:tcPr>
            <w:tcW w:w="1991" w:type="dxa"/>
            <w:tcBorders>
              <w:top w:val="nil"/>
              <w:left w:val="nil"/>
              <w:bottom w:val="nil"/>
              <w:right w:val="nil"/>
            </w:tcBorders>
            <w:shd w:val="clear" w:color="auto" w:fill="E6E6E6"/>
            <w:vAlign w:val="bottom"/>
          </w:tcPr>
          <w:p w14:paraId="72516F60" w14:textId="77777777" w:rsidR="000F5574" w:rsidRPr="00AB0405" w:rsidRDefault="000F5574" w:rsidP="00983846">
            <w:pPr>
              <w:pStyle w:val="ReleaseBodyText"/>
              <w:keepNext/>
              <w:keepLines/>
              <w:spacing w:line="312" w:lineRule="exact"/>
              <w:ind w:firstLine="0"/>
              <w:jc w:val="right"/>
              <w:rPr>
                <w:sz w:val="20"/>
              </w:rPr>
            </w:pPr>
          </w:p>
        </w:tc>
      </w:tr>
      <w:tr w:rsidR="000F5574" w:rsidRPr="00AB0405" w14:paraId="4D93F355" w14:textId="77777777" w:rsidTr="00983846">
        <w:tc>
          <w:tcPr>
            <w:tcW w:w="385" w:type="dxa"/>
            <w:tcBorders>
              <w:top w:val="nil"/>
              <w:left w:val="nil"/>
              <w:bottom w:val="nil"/>
              <w:right w:val="nil"/>
            </w:tcBorders>
            <w:shd w:val="clear" w:color="auto" w:fill="auto"/>
          </w:tcPr>
          <w:p w14:paraId="35223FD3" w14:textId="77777777" w:rsidR="000F5574" w:rsidRPr="00AB0405" w:rsidRDefault="000F5574" w:rsidP="00983846">
            <w:pPr>
              <w:pStyle w:val="ReleaseBodyText"/>
              <w:keepNext/>
              <w:keepLines/>
              <w:spacing w:line="312" w:lineRule="exact"/>
              <w:ind w:firstLine="0"/>
              <w:rPr>
                <w:sz w:val="20"/>
              </w:rPr>
            </w:pPr>
          </w:p>
        </w:tc>
        <w:tc>
          <w:tcPr>
            <w:tcW w:w="6480" w:type="dxa"/>
            <w:tcBorders>
              <w:top w:val="nil"/>
              <w:left w:val="nil"/>
              <w:bottom w:val="nil"/>
              <w:right w:val="nil"/>
            </w:tcBorders>
            <w:shd w:val="clear" w:color="auto" w:fill="auto"/>
            <w:hideMark/>
          </w:tcPr>
          <w:p w14:paraId="7DF760A8" w14:textId="77777777" w:rsidR="000F5574" w:rsidRPr="00AB0405" w:rsidRDefault="000F5574" w:rsidP="00983846">
            <w:pPr>
              <w:pStyle w:val="ReleaseBodyText"/>
              <w:keepNext/>
              <w:keepLines/>
              <w:spacing w:line="312" w:lineRule="exact"/>
              <w:ind w:firstLine="0"/>
              <w:rPr>
                <w:sz w:val="20"/>
              </w:rPr>
            </w:pPr>
            <w:r w:rsidRPr="00AB0405">
              <w:rPr>
                <w:sz w:val="20"/>
              </w:rPr>
              <w:t>Fees paid to securities lending agent from a revenue split</w:t>
            </w:r>
          </w:p>
        </w:tc>
        <w:tc>
          <w:tcPr>
            <w:tcW w:w="1991" w:type="dxa"/>
            <w:tcBorders>
              <w:top w:val="nil"/>
              <w:left w:val="nil"/>
              <w:bottom w:val="nil"/>
              <w:right w:val="nil"/>
            </w:tcBorders>
            <w:shd w:val="clear" w:color="auto" w:fill="auto"/>
            <w:vAlign w:val="bottom"/>
            <w:hideMark/>
          </w:tcPr>
          <w:p w14:paraId="16441986" w14:textId="77777777" w:rsidR="000F5574" w:rsidRPr="00AB0405" w:rsidRDefault="000F5574" w:rsidP="00983846">
            <w:pPr>
              <w:pStyle w:val="ReleaseBodyText"/>
              <w:keepNext/>
              <w:keepLines/>
              <w:spacing w:line="312" w:lineRule="exact"/>
              <w:ind w:firstLine="0"/>
              <w:jc w:val="right"/>
              <w:rPr>
                <w:sz w:val="20"/>
              </w:rPr>
            </w:pPr>
            <w:r w:rsidRPr="00AB0405">
              <w:rPr>
                <w:sz w:val="20"/>
              </w:rPr>
              <w:t xml:space="preserve">$ </w:t>
            </w:r>
            <w:r w:rsidRPr="00AB0405">
              <w:rPr>
                <w:sz w:val="20"/>
                <w:u w:val="single"/>
              </w:rPr>
              <w:tab/>
            </w:r>
            <w:r w:rsidRPr="00AB0405">
              <w:rPr>
                <w:sz w:val="20"/>
                <w:u w:val="single"/>
              </w:rPr>
              <w:tab/>
            </w:r>
          </w:p>
        </w:tc>
      </w:tr>
      <w:tr w:rsidR="000F5574" w:rsidRPr="00AB0405" w14:paraId="16FFF994" w14:textId="77777777" w:rsidTr="00983846">
        <w:tc>
          <w:tcPr>
            <w:tcW w:w="385" w:type="dxa"/>
            <w:tcBorders>
              <w:top w:val="nil"/>
              <w:left w:val="nil"/>
              <w:bottom w:val="nil"/>
              <w:right w:val="nil"/>
            </w:tcBorders>
            <w:shd w:val="clear" w:color="auto" w:fill="E6E6E6"/>
          </w:tcPr>
          <w:p w14:paraId="3FEAF2EC" w14:textId="77777777" w:rsidR="000F5574" w:rsidRPr="00AB0405" w:rsidRDefault="000F5574" w:rsidP="00983846">
            <w:pPr>
              <w:pStyle w:val="ReleaseBodyText"/>
              <w:keepNext/>
              <w:keepLines/>
              <w:spacing w:line="312" w:lineRule="exact"/>
              <w:ind w:firstLine="0"/>
              <w:rPr>
                <w:sz w:val="20"/>
              </w:rPr>
            </w:pPr>
          </w:p>
        </w:tc>
        <w:tc>
          <w:tcPr>
            <w:tcW w:w="6480" w:type="dxa"/>
            <w:tcBorders>
              <w:top w:val="nil"/>
              <w:left w:val="nil"/>
              <w:bottom w:val="nil"/>
              <w:right w:val="nil"/>
            </w:tcBorders>
            <w:shd w:val="clear" w:color="auto" w:fill="E6E6E6"/>
            <w:hideMark/>
          </w:tcPr>
          <w:p w14:paraId="337628EB" w14:textId="77777777" w:rsidR="000F5574" w:rsidRPr="00AB0405" w:rsidRDefault="000F5574" w:rsidP="00983846">
            <w:pPr>
              <w:pStyle w:val="ReleaseBodyText"/>
              <w:keepNext/>
              <w:keepLines/>
              <w:spacing w:line="312" w:lineRule="exact"/>
              <w:ind w:firstLine="0"/>
              <w:rPr>
                <w:sz w:val="20"/>
              </w:rPr>
            </w:pPr>
            <w:r w:rsidRPr="00AB0405">
              <w:rPr>
                <w:sz w:val="20"/>
              </w:rPr>
              <w:t>Fees paid for any cash collateral management service (including fees deducted from a pooled cash collateral reinvestment vehicle) that are not included in the revenue split</w:t>
            </w:r>
          </w:p>
        </w:tc>
        <w:tc>
          <w:tcPr>
            <w:tcW w:w="1991" w:type="dxa"/>
            <w:tcBorders>
              <w:top w:val="nil"/>
              <w:left w:val="nil"/>
              <w:bottom w:val="nil"/>
              <w:right w:val="nil"/>
            </w:tcBorders>
            <w:shd w:val="clear" w:color="auto" w:fill="E6E6E6"/>
            <w:vAlign w:val="bottom"/>
            <w:hideMark/>
          </w:tcPr>
          <w:p w14:paraId="570C8966" w14:textId="77777777" w:rsidR="000F5574" w:rsidRPr="00AB0405" w:rsidRDefault="000F5574" w:rsidP="00983846">
            <w:pPr>
              <w:pStyle w:val="ReleaseBodyText"/>
              <w:keepNext/>
              <w:keepLines/>
              <w:spacing w:line="312" w:lineRule="exact"/>
              <w:ind w:firstLine="0"/>
              <w:jc w:val="right"/>
              <w:rPr>
                <w:sz w:val="20"/>
              </w:rPr>
            </w:pPr>
            <w:r w:rsidRPr="00AB0405">
              <w:rPr>
                <w:sz w:val="20"/>
              </w:rPr>
              <w:t xml:space="preserve">$ </w:t>
            </w:r>
            <w:r w:rsidRPr="00AB0405">
              <w:rPr>
                <w:sz w:val="20"/>
                <w:u w:val="single"/>
              </w:rPr>
              <w:tab/>
            </w:r>
            <w:r w:rsidRPr="00AB0405">
              <w:rPr>
                <w:sz w:val="20"/>
                <w:u w:val="single"/>
              </w:rPr>
              <w:tab/>
            </w:r>
          </w:p>
        </w:tc>
      </w:tr>
      <w:tr w:rsidR="000F5574" w:rsidRPr="00AB0405" w14:paraId="60F72EAF" w14:textId="77777777" w:rsidTr="00983846">
        <w:tc>
          <w:tcPr>
            <w:tcW w:w="385" w:type="dxa"/>
            <w:tcBorders>
              <w:top w:val="nil"/>
              <w:left w:val="nil"/>
              <w:bottom w:val="nil"/>
              <w:right w:val="nil"/>
            </w:tcBorders>
            <w:shd w:val="clear" w:color="auto" w:fill="auto"/>
          </w:tcPr>
          <w:p w14:paraId="75166F57" w14:textId="77777777" w:rsidR="000F5574" w:rsidRPr="00AB0405" w:rsidRDefault="000F5574" w:rsidP="00983846">
            <w:pPr>
              <w:pStyle w:val="ReleaseBodyText"/>
              <w:keepNext/>
              <w:keepLines/>
              <w:spacing w:line="312" w:lineRule="exact"/>
              <w:ind w:firstLine="0"/>
              <w:rPr>
                <w:sz w:val="20"/>
              </w:rPr>
            </w:pPr>
          </w:p>
        </w:tc>
        <w:tc>
          <w:tcPr>
            <w:tcW w:w="6480" w:type="dxa"/>
            <w:tcBorders>
              <w:top w:val="nil"/>
              <w:left w:val="nil"/>
              <w:bottom w:val="nil"/>
              <w:right w:val="nil"/>
            </w:tcBorders>
            <w:shd w:val="clear" w:color="auto" w:fill="auto"/>
            <w:hideMark/>
          </w:tcPr>
          <w:p w14:paraId="78BA4EDE" w14:textId="77777777" w:rsidR="000F5574" w:rsidRPr="00AB0405" w:rsidRDefault="000F5574" w:rsidP="00983846">
            <w:pPr>
              <w:pStyle w:val="ReleaseBodyText"/>
              <w:keepNext/>
              <w:keepLines/>
              <w:spacing w:line="312" w:lineRule="exact"/>
              <w:ind w:firstLine="0"/>
              <w:rPr>
                <w:sz w:val="20"/>
              </w:rPr>
            </w:pPr>
            <w:r w:rsidRPr="00AB0405">
              <w:rPr>
                <w:sz w:val="20"/>
              </w:rPr>
              <w:t>Administrative fees not included in revenue split</w:t>
            </w:r>
          </w:p>
        </w:tc>
        <w:tc>
          <w:tcPr>
            <w:tcW w:w="1991" w:type="dxa"/>
            <w:tcBorders>
              <w:top w:val="nil"/>
              <w:left w:val="nil"/>
              <w:bottom w:val="nil"/>
              <w:right w:val="nil"/>
            </w:tcBorders>
            <w:shd w:val="clear" w:color="auto" w:fill="auto"/>
            <w:vAlign w:val="bottom"/>
            <w:hideMark/>
          </w:tcPr>
          <w:p w14:paraId="1E709B01" w14:textId="77777777" w:rsidR="000F5574" w:rsidRPr="00AB0405" w:rsidRDefault="000F5574" w:rsidP="00983846">
            <w:pPr>
              <w:pStyle w:val="ReleaseBodyText"/>
              <w:keepNext/>
              <w:keepLines/>
              <w:spacing w:line="312" w:lineRule="exact"/>
              <w:ind w:firstLine="0"/>
              <w:jc w:val="right"/>
              <w:rPr>
                <w:sz w:val="20"/>
              </w:rPr>
            </w:pPr>
            <w:r w:rsidRPr="00AB0405">
              <w:rPr>
                <w:sz w:val="20"/>
              </w:rPr>
              <w:t xml:space="preserve">$ </w:t>
            </w:r>
            <w:r w:rsidRPr="00AB0405">
              <w:rPr>
                <w:sz w:val="20"/>
                <w:u w:val="single"/>
              </w:rPr>
              <w:tab/>
            </w:r>
            <w:r w:rsidRPr="00AB0405">
              <w:rPr>
                <w:sz w:val="20"/>
                <w:u w:val="single"/>
              </w:rPr>
              <w:tab/>
            </w:r>
          </w:p>
        </w:tc>
      </w:tr>
      <w:tr w:rsidR="000F5574" w:rsidRPr="00AB0405" w14:paraId="6EECC601" w14:textId="77777777" w:rsidTr="00983846">
        <w:tc>
          <w:tcPr>
            <w:tcW w:w="385" w:type="dxa"/>
            <w:tcBorders>
              <w:top w:val="nil"/>
              <w:left w:val="nil"/>
              <w:bottom w:val="nil"/>
              <w:right w:val="nil"/>
            </w:tcBorders>
            <w:shd w:val="clear" w:color="auto" w:fill="E6E6E6"/>
          </w:tcPr>
          <w:p w14:paraId="05C6C7B2" w14:textId="77777777" w:rsidR="000F5574" w:rsidRPr="00AB0405" w:rsidRDefault="000F5574" w:rsidP="00983846">
            <w:pPr>
              <w:pStyle w:val="ReleaseBodyText"/>
              <w:keepNext/>
              <w:keepLines/>
              <w:spacing w:line="312" w:lineRule="exact"/>
              <w:ind w:firstLine="0"/>
              <w:rPr>
                <w:sz w:val="20"/>
              </w:rPr>
            </w:pPr>
          </w:p>
        </w:tc>
        <w:tc>
          <w:tcPr>
            <w:tcW w:w="6480" w:type="dxa"/>
            <w:tcBorders>
              <w:top w:val="nil"/>
              <w:left w:val="nil"/>
              <w:bottom w:val="nil"/>
              <w:right w:val="nil"/>
            </w:tcBorders>
            <w:shd w:val="clear" w:color="auto" w:fill="E6E6E6"/>
            <w:hideMark/>
          </w:tcPr>
          <w:p w14:paraId="35E79C28" w14:textId="77777777" w:rsidR="000F5574" w:rsidRPr="00AB0405" w:rsidRDefault="000F5574" w:rsidP="00983846">
            <w:pPr>
              <w:pStyle w:val="ReleaseBodyText"/>
              <w:keepNext/>
              <w:keepLines/>
              <w:spacing w:line="312" w:lineRule="exact"/>
              <w:ind w:firstLine="0"/>
              <w:rPr>
                <w:sz w:val="20"/>
              </w:rPr>
            </w:pPr>
            <w:r w:rsidRPr="00AB0405">
              <w:rPr>
                <w:sz w:val="20"/>
              </w:rPr>
              <w:t>Indemnification fee not included in revenue split</w:t>
            </w:r>
          </w:p>
        </w:tc>
        <w:tc>
          <w:tcPr>
            <w:tcW w:w="1991" w:type="dxa"/>
            <w:tcBorders>
              <w:top w:val="nil"/>
              <w:left w:val="nil"/>
              <w:bottom w:val="nil"/>
              <w:right w:val="nil"/>
            </w:tcBorders>
            <w:shd w:val="clear" w:color="auto" w:fill="E6E6E6"/>
            <w:vAlign w:val="bottom"/>
            <w:hideMark/>
          </w:tcPr>
          <w:p w14:paraId="115E6F9E" w14:textId="77777777" w:rsidR="000F5574" w:rsidRPr="00AB0405" w:rsidRDefault="000F5574" w:rsidP="00983846">
            <w:pPr>
              <w:pStyle w:val="ReleaseBodyText"/>
              <w:keepNext/>
              <w:keepLines/>
              <w:spacing w:line="312" w:lineRule="exact"/>
              <w:ind w:firstLine="0"/>
              <w:jc w:val="right"/>
              <w:rPr>
                <w:sz w:val="20"/>
              </w:rPr>
            </w:pPr>
            <w:r w:rsidRPr="00AB0405">
              <w:rPr>
                <w:sz w:val="20"/>
              </w:rPr>
              <w:t xml:space="preserve">$ </w:t>
            </w:r>
            <w:r w:rsidRPr="00AB0405">
              <w:rPr>
                <w:sz w:val="20"/>
                <w:u w:val="single"/>
              </w:rPr>
              <w:tab/>
            </w:r>
            <w:r w:rsidRPr="00AB0405">
              <w:rPr>
                <w:sz w:val="20"/>
                <w:u w:val="single"/>
              </w:rPr>
              <w:tab/>
            </w:r>
          </w:p>
        </w:tc>
      </w:tr>
      <w:tr w:rsidR="000F5574" w:rsidRPr="00AB0405" w14:paraId="1BFDDFE0" w14:textId="77777777" w:rsidTr="00983846">
        <w:tc>
          <w:tcPr>
            <w:tcW w:w="385" w:type="dxa"/>
            <w:tcBorders>
              <w:top w:val="nil"/>
              <w:left w:val="nil"/>
              <w:bottom w:val="nil"/>
              <w:right w:val="nil"/>
            </w:tcBorders>
            <w:shd w:val="clear" w:color="auto" w:fill="auto"/>
          </w:tcPr>
          <w:p w14:paraId="0C750AC1" w14:textId="77777777" w:rsidR="000F5574" w:rsidRPr="00AB0405" w:rsidRDefault="000F5574" w:rsidP="00983846">
            <w:pPr>
              <w:pStyle w:val="ReleaseBodyText"/>
              <w:keepNext/>
              <w:keepLines/>
              <w:spacing w:line="312" w:lineRule="exact"/>
              <w:ind w:firstLine="0"/>
              <w:rPr>
                <w:sz w:val="20"/>
              </w:rPr>
            </w:pPr>
          </w:p>
        </w:tc>
        <w:tc>
          <w:tcPr>
            <w:tcW w:w="6480" w:type="dxa"/>
            <w:tcBorders>
              <w:top w:val="nil"/>
              <w:left w:val="nil"/>
              <w:bottom w:val="nil"/>
              <w:right w:val="nil"/>
            </w:tcBorders>
            <w:shd w:val="clear" w:color="auto" w:fill="auto"/>
            <w:hideMark/>
          </w:tcPr>
          <w:p w14:paraId="012A414B" w14:textId="77777777" w:rsidR="000F5574" w:rsidRPr="00AB0405" w:rsidRDefault="000F5574" w:rsidP="00983846">
            <w:pPr>
              <w:pStyle w:val="ReleaseBodyText"/>
              <w:keepNext/>
              <w:keepLines/>
              <w:spacing w:line="312" w:lineRule="exact"/>
              <w:ind w:firstLine="0"/>
              <w:rPr>
                <w:sz w:val="20"/>
              </w:rPr>
            </w:pPr>
            <w:r w:rsidRPr="00AB0405">
              <w:rPr>
                <w:sz w:val="20"/>
              </w:rPr>
              <w:t>Rebate (paid to borrower)</w:t>
            </w:r>
          </w:p>
        </w:tc>
        <w:tc>
          <w:tcPr>
            <w:tcW w:w="1991" w:type="dxa"/>
            <w:tcBorders>
              <w:top w:val="nil"/>
              <w:left w:val="nil"/>
              <w:bottom w:val="nil"/>
              <w:right w:val="nil"/>
            </w:tcBorders>
            <w:shd w:val="clear" w:color="auto" w:fill="auto"/>
            <w:vAlign w:val="bottom"/>
            <w:hideMark/>
          </w:tcPr>
          <w:p w14:paraId="4D17900B" w14:textId="77777777" w:rsidR="000F5574" w:rsidRPr="00AB0405" w:rsidRDefault="000F5574" w:rsidP="00983846">
            <w:pPr>
              <w:pStyle w:val="ReleaseBodyText"/>
              <w:keepNext/>
              <w:keepLines/>
              <w:spacing w:line="312" w:lineRule="exact"/>
              <w:ind w:firstLine="0"/>
              <w:jc w:val="right"/>
              <w:rPr>
                <w:sz w:val="20"/>
              </w:rPr>
            </w:pPr>
            <w:r w:rsidRPr="00AB0405">
              <w:rPr>
                <w:sz w:val="20"/>
              </w:rPr>
              <w:t xml:space="preserve">$ </w:t>
            </w:r>
            <w:r w:rsidRPr="00AB0405">
              <w:rPr>
                <w:sz w:val="20"/>
                <w:u w:val="single"/>
              </w:rPr>
              <w:tab/>
            </w:r>
            <w:r w:rsidRPr="00AB0405">
              <w:rPr>
                <w:sz w:val="20"/>
                <w:u w:val="single"/>
              </w:rPr>
              <w:tab/>
            </w:r>
          </w:p>
        </w:tc>
      </w:tr>
      <w:tr w:rsidR="000F5574" w:rsidRPr="00AB0405" w14:paraId="11FA0E66" w14:textId="77777777" w:rsidTr="00983846">
        <w:tc>
          <w:tcPr>
            <w:tcW w:w="385" w:type="dxa"/>
            <w:tcBorders>
              <w:top w:val="nil"/>
              <w:left w:val="nil"/>
              <w:bottom w:val="nil"/>
              <w:right w:val="nil"/>
            </w:tcBorders>
            <w:shd w:val="clear" w:color="auto" w:fill="E6E6E6"/>
          </w:tcPr>
          <w:p w14:paraId="75824633" w14:textId="77777777" w:rsidR="000F5574" w:rsidRPr="00AB0405" w:rsidRDefault="000F5574" w:rsidP="00983846">
            <w:pPr>
              <w:pStyle w:val="ReleaseBodyText"/>
              <w:keepNext/>
              <w:keepLines/>
              <w:spacing w:line="312" w:lineRule="exact"/>
              <w:ind w:firstLine="0"/>
              <w:rPr>
                <w:sz w:val="20"/>
              </w:rPr>
            </w:pPr>
          </w:p>
        </w:tc>
        <w:tc>
          <w:tcPr>
            <w:tcW w:w="6480" w:type="dxa"/>
            <w:tcBorders>
              <w:top w:val="nil"/>
              <w:left w:val="nil"/>
              <w:bottom w:val="nil"/>
              <w:right w:val="nil"/>
            </w:tcBorders>
            <w:shd w:val="clear" w:color="auto" w:fill="E6E6E6"/>
            <w:hideMark/>
          </w:tcPr>
          <w:p w14:paraId="21CC0AB7" w14:textId="77777777" w:rsidR="000F5574" w:rsidRPr="00AB0405" w:rsidRDefault="000F5574" w:rsidP="00983846">
            <w:pPr>
              <w:pStyle w:val="ReleaseBodyText"/>
              <w:keepNext/>
              <w:keepLines/>
              <w:spacing w:line="312" w:lineRule="exact"/>
              <w:ind w:firstLine="0"/>
              <w:rPr>
                <w:sz w:val="20"/>
              </w:rPr>
            </w:pPr>
            <w:r w:rsidRPr="00AB0405">
              <w:rPr>
                <w:sz w:val="20"/>
              </w:rPr>
              <w:t>Other fees not included in revenue split (specify)</w:t>
            </w:r>
          </w:p>
        </w:tc>
        <w:tc>
          <w:tcPr>
            <w:tcW w:w="1991" w:type="dxa"/>
            <w:tcBorders>
              <w:top w:val="nil"/>
              <w:left w:val="nil"/>
              <w:bottom w:val="nil"/>
              <w:right w:val="nil"/>
            </w:tcBorders>
            <w:shd w:val="clear" w:color="auto" w:fill="E6E6E6"/>
            <w:vAlign w:val="bottom"/>
            <w:hideMark/>
          </w:tcPr>
          <w:p w14:paraId="2BC3CF72" w14:textId="77777777" w:rsidR="000F5574" w:rsidRPr="00AB0405" w:rsidRDefault="000F5574" w:rsidP="00983846">
            <w:pPr>
              <w:pStyle w:val="ReleaseBodyText"/>
              <w:keepNext/>
              <w:keepLines/>
              <w:spacing w:line="312" w:lineRule="exact"/>
              <w:ind w:firstLine="0"/>
              <w:jc w:val="right"/>
              <w:rPr>
                <w:sz w:val="20"/>
              </w:rPr>
            </w:pPr>
            <w:r w:rsidRPr="00AB0405">
              <w:rPr>
                <w:sz w:val="20"/>
              </w:rPr>
              <w:t xml:space="preserve">$ </w:t>
            </w:r>
            <w:r w:rsidRPr="00AB0405">
              <w:rPr>
                <w:sz w:val="20"/>
                <w:u w:val="single"/>
              </w:rPr>
              <w:tab/>
            </w:r>
            <w:r w:rsidRPr="00AB0405">
              <w:rPr>
                <w:sz w:val="20"/>
                <w:u w:val="single"/>
              </w:rPr>
              <w:tab/>
            </w:r>
          </w:p>
        </w:tc>
      </w:tr>
      <w:tr w:rsidR="000F5574" w:rsidRPr="00AB0405" w14:paraId="7866A922" w14:textId="77777777" w:rsidTr="00983846">
        <w:tc>
          <w:tcPr>
            <w:tcW w:w="6865" w:type="dxa"/>
            <w:gridSpan w:val="2"/>
            <w:tcBorders>
              <w:top w:val="nil"/>
              <w:left w:val="nil"/>
              <w:bottom w:val="nil"/>
              <w:right w:val="nil"/>
            </w:tcBorders>
            <w:shd w:val="clear" w:color="auto" w:fill="auto"/>
            <w:hideMark/>
          </w:tcPr>
          <w:p w14:paraId="41072B8F" w14:textId="77777777" w:rsidR="000F5574" w:rsidRPr="00AB0405" w:rsidRDefault="000F5574" w:rsidP="00983846">
            <w:pPr>
              <w:pStyle w:val="ReleaseBodyText"/>
              <w:keepNext/>
              <w:keepLines/>
              <w:spacing w:line="312" w:lineRule="exact"/>
              <w:ind w:firstLine="0"/>
              <w:rPr>
                <w:b/>
                <w:sz w:val="20"/>
              </w:rPr>
            </w:pPr>
            <w:r w:rsidRPr="00AB0405">
              <w:rPr>
                <w:b/>
                <w:sz w:val="20"/>
              </w:rPr>
              <w:t>Aggregate fees/compensation for securities lending activities</w:t>
            </w:r>
          </w:p>
        </w:tc>
        <w:tc>
          <w:tcPr>
            <w:tcW w:w="1991" w:type="dxa"/>
            <w:tcBorders>
              <w:top w:val="nil"/>
              <w:left w:val="nil"/>
              <w:bottom w:val="nil"/>
              <w:right w:val="nil"/>
            </w:tcBorders>
            <w:shd w:val="clear" w:color="auto" w:fill="auto"/>
            <w:vAlign w:val="bottom"/>
            <w:hideMark/>
          </w:tcPr>
          <w:p w14:paraId="4B1ED1E2" w14:textId="77777777" w:rsidR="000F5574" w:rsidRPr="00AB0405" w:rsidRDefault="000F5574" w:rsidP="00983846">
            <w:pPr>
              <w:pStyle w:val="ReleaseBodyText"/>
              <w:keepNext/>
              <w:keepLines/>
              <w:spacing w:line="312" w:lineRule="exact"/>
              <w:ind w:firstLine="0"/>
              <w:jc w:val="right"/>
              <w:rPr>
                <w:b/>
                <w:sz w:val="20"/>
              </w:rPr>
            </w:pPr>
            <w:r w:rsidRPr="00AB0405">
              <w:rPr>
                <w:b/>
                <w:sz w:val="20"/>
              </w:rPr>
              <w:t xml:space="preserve">$ </w:t>
            </w:r>
            <w:r w:rsidRPr="00AB0405">
              <w:rPr>
                <w:b/>
                <w:sz w:val="20"/>
                <w:u w:val="single"/>
              </w:rPr>
              <w:tab/>
            </w:r>
            <w:r w:rsidRPr="00AB0405">
              <w:rPr>
                <w:b/>
                <w:sz w:val="20"/>
                <w:u w:val="single"/>
              </w:rPr>
              <w:tab/>
            </w:r>
          </w:p>
        </w:tc>
      </w:tr>
      <w:tr w:rsidR="000F5574" w:rsidRPr="00AB0405" w14:paraId="585F47A9" w14:textId="77777777" w:rsidTr="00983846">
        <w:tc>
          <w:tcPr>
            <w:tcW w:w="6865" w:type="dxa"/>
            <w:gridSpan w:val="2"/>
            <w:tcBorders>
              <w:top w:val="nil"/>
              <w:left w:val="nil"/>
              <w:bottom w:val="nil"/>
              <w:right w:val="nil"/>
            </w:tcBorders>
            <w:shd w:val="clear" w:color="auto" w:fill="E6E6E6"/>
            <w:hideMark/>
          </w:tcPr>
          <w:p w14:paraId="15737BFC" w14:textId="77777777" w:rsidR="000F5574" w:rsidRPr="00AB0405" w:rsidRDefault="000F5574" w:rsidP="00983846">
            <w:pPr>
              <w:pStyle w:val="ReleaseBodyText"/>
              <w:keepLines/>
              <w:spacing w:line="312" w:lineRule="exact"/>
              <w:ind w:firstLine="0"/>
              <w:rPr>
                <w:b/>
                <w:sz w:val="20"/>
              </w:rPr>
            </w:pPr>
            <w:r w:rsidRPr="00AB0405">
              <w:rPr>
                <w:b/>
                <w:sz w:val="20"/>
              </w:rPr>
              <w:t>Net income from securities lending activities</w:t>
            </w:r>
          </w:p>
        </w:tc>
        <w:tc>
          <w:tcPr>
            <w:tcW w:w="1991" w:type="dxa"/>
            <w:tcBorders>
              <w:top w:val="nil"/>
              <w:left w:val="nil"/>
              <w:bottom w:val="nil"/>
              <w:right w:val="nil"/>
            </w:tcBorders>
            <w:shd w:val="clear" w:color="auto" w:fill="E6E6E6"/>
            <w:vAlign w:val="bottom"/>
            <w:hideMark/>
          </w:tcPr>
          <w:p w14:paraId="0A6824FA" w14:textId="77777777" w:rsidR="000F5574" w:rsidRPr="00AB0405" w:rsidRDefault="000F5574" w:rsidP="00983846">
            <w:pPr>
              <w:pStyle w:val="ReleaseBodyText"/>
              <w:keepLines/>
              <w:spacing w:line="312" w:lineRule="exact"/>
              <w:ind w:firstLine="0"/>
              <w:jc w:val="right"/>
              <w:rPr>
                <w:b/>
                <w:sz w:val="20"/>
              </w:rPr>
            </w:pPr>
            <w:r w:rsidRPr="00AB0405">
              <w:rPr>
                <w:b/>
                <w:sz w:val="20"/>
              </w:rPr>
              <w:t xml:space="preserve">$ </w:t>
            </w:r>
            <w:r w:rsidRPr="00AB0405">
              <w:rPr>
                <w:b/>
                <w:sz w:val="20"/>
                <w:u w:val="single"/>
              </w:rPr>
              <w:tab/>
            </w:r>
            <w:r w:rsidRPr="00AB0405">
              <w:rPr>
                <w:b/>
                <w:sz w:val="20"/>
                <w:u w:val="single"/>
              </w:rPr>
              <w:tab/>
            </w:r>
          </w:p>
        </w:tc>
      </w:tr>
    </w:tbl>
    <w:p w14:paraId="5A4D0B1D" w14:textId="77777777" w:rsidR="000F5574" w:rsidRPr="00AB0405" w:rsidRDefault="000F5574" w:rsidP="000F5574">
      <w:pPr>
        <w:pStyle w:val="Caption"/>
        <w:spacing w:before="120"/>
        <w:jc w:val="center"/>
        <w:rPr>
          <w:rFonts w:ascii="Times New Roman" w:eastAsia="Batang" w:hAnsi="Times New Roman"/>
        </w:rPr>
      </w:pPr>
      <w:bookmarkStart w:id="1" w:name="_Ref320450510"/>
      <w:r w:rsidRPr="00AB0405">
        <w:rPr>
          <w:rFonts w:ascii="Times New Roman" w:hAnsi="Times New Roman"/>
        </w:rPr>
        <w:t xml:space="preserve">Table </w:t>
      </w:r>
      <w:r w:rsidRPr="00AB0405">
        <w:rPr>
          <w:rFonts w:ascii="Times New Roman" w:hAnsi="Times New Roman"/>
        </w:rPr>
        <w:fldChar w:fldCharType="begin"/>
      </w:r>
      <w:r w:rsidRPr="00AB0405">
        <w:rPr>
          <w:rFonts w:ascii="Times New Roman" w:hAnsi="Times New Roman"/>
        </w:rPr>
        <w:instrText xml:space="preserve"> SEQ Table \* ARABIC </w:instrText>
      </w:r>
      <w:r w:rsidRPr="00AB0405">
        <w:rPr>
          <w:rFonts w:ascii="Times New Roman" w:hAnsi="Times New Roman"/>
        </w:rPr>
        <w:fldChar w:fldCharType="separate"/>
      </w:r>
      <w:r w:rsidR="007D440E">
        <w:rPr>
          <w:rFonts w:ascii="Times New Roman" w:hAnsi="Times New Roman"/>
          <w:noProof/>
        </w:rPr>
        <w:t>1</w:t>
      </w:r>
      <w:r w:rsidRPr="00AB0405">
        <w:rPr>
          <w:rFonts w:ascii="Times New Roman" w:hAnsi="Times New Roman"/>
        </w:rPr>
        <w:fldChar w:fldCharType="end"/>
      </w:r>
      <w:bookmarkEnd w:id="1"/>
    </w:p>
    <w:p w14:paraId="7CD7FD4C" w14:textId="77777777" w:rsidR="007D440E" w:rsidRPr="00AB0405" w:rsidRDefault="007D440E" w:rsidP="007D440E">
      <w:pPr>
        <w:pStyle w:val="BodyText"/>
        <w:ind w:firstLine="0"/>
        <w:rPr>
          <w:rFonts w:ascii="Times New Roman" w:hAnsi="Times New Roman"/>
        </w:rPr>
      </w:pPr>
    </w:p>
    <w:p w14:paraId="32C85CF1" w14:textId="0D4233B7" w:rsidR="000F5574" w:rsidRPr="00AB0405" w:rsidRDefault="007D440E" w:rsidP="000F5574">
      <w:pPr>
        <w:pStyle w:val="BodyText"/>
        <w:ind w:firstLine="0"/>
        <w:rPr>
          <w:rFonts w:ascii="Times New Roman" w:hAnsi="Times New Roman"/>
        </w:rPr>
      </w:pPr>
      <w:r w:rsidRPr="00AB0405">
        <w:rPr>
          <w:rFonts w:ascii="Times New Roman" w:hAnsi="Times New Roman"/>
        </w:rPr>
        <w:tab/>
        <w:t xml:space="preserve">In addition, the Commission adopted amendments to </w:t>
      </w:r>
      <w:r>
        <w:rPr>
          <w:rFonts w:ascii="Times New Roman" w:hAnsi="Times New Roman"/>
        </w:rPr>
        <w:t xml:space="preserve">Form N-CSR to require an </w:t>
      </w:r>
      <w:r w:rsidRPr="00AB0405">
        <w:rPr>
          <w:rFonts w:ascii="Times New Roman" w:hAnsi="Times New Roman"/>
        </w:rPr>
        <w:t>independent public accountant attachment</w:t>
      </w:r>
      <w:r>
        <w:rPr>
          <w:rFonts w:ascii="Times New Roman" w:hAnsi="Times New Roman"/>
        </w:rPr>
        <w:t xml:space="preserve"> to the form.</w:t>
      </w:r>
    </w:p>
    <w:p w14:paraId="25FFD329" w14:textId="3DB64F51" w:rsidR="00E60802" w:rsidRPr="00AB0405" w:rsidRDefault="00E60802" w:rsidP="0061000F">
      <w:pPr>
        <w:pStyle w:val="Heading2"/>
        <w:ind w:firstLine="0"/>
        <w:rPr>
          <w:rFonts w:ascii="Times New Roman" w:hAnsi="Times New Roman"/>
          <w:i/>
          <w:iCs/>
          <w:szCs w:val="24"/>
        </w:rPr>
      </w:pPr>
      <w:r w:rsidRPr="0061000F">
        <w:rPr>
          <w:rFonts w:ascii="Times New Roman" w:hAnsi="Times New Roman"/>
          <w:szCs w:val="24"/>
        </w:rPr>
        <w:t>Purpose</w:t>
      </w:r>
      <w:r w:rsidRPr="00AB0405">
        <w:rPr>
          <w:rFonts w:ascii="Times New Roman" w:hAnsi="Times New Roman"/>
          <w:szCs w:val="24"/>
        </w:rPr>
        <w:t xml:space="preserve"> </w:t>
      </w:r>
      <w:r w:rsidR="00512722" w:rsidRPr="00AB0405">
        <w:rPr>
          <w:rFonts w:ascii="Times New Roman" w:hAnsi="Times New Roman"/>
          <w:szCs w:val="24"/>
        </w:rPr>
        <w:t xml:space="preserve">and Use </w:t>
      </w:r>
      <w:r w:rsidRPr="00AB0405">
        <w:rPr>
          <w:rFonts w:ascii="Times New Roman" w:hAnsi="Times New Roman"/>
          <w:szCs w:val="24"/>
        </w:rPr>
        <w:t xml:space="preserve">of the Information Collection  </w:t>
      </w:r>
      <w:r w:rsidRPr="00AB0405">
        <w:rPr>
          <w:rFonts w:ascii="Times New Roman" w:hAnsi="Times New Roman"/>
          <w:i/>
          <w:iCs/>
          <w:szCs w:val="24"/>
        </w:rPr>
        <w:t xml:space="preserve"> </w:t>
      </w:r>
    </w:p>
    <w:p w14:paraId="62549207" w14:textId="52A55162" w:rsidR="00E60802" w:rsidRPr="00AB0405" w:rsidRDefault="000F5574" w:rsidP="000F5574">
      <w:pPr>
        <w:pStyle w:val="BodyText"/>
        <w:ind w:firstLine="0"/>
        <w:rPr>
          <w:rFonts w:ascii="Times New Roman" w:hAnsi="Times New Roman"/>
          <w:szCs w:val="24"/>
        </w:rPr>
      </w:pPr>
      <w:r w:rsidRPr="00AB0405">
        <w:rPr>
          <w:rFonts w:ascii="Times New Roman" w:hAnsi="Times New Roman"/>
          <w:szCs w:val="24"/>
        </w:rPr>
        <w:tab/>
      </w:r>
      <w:r w:rsidR="001579D5" w:rsidRPr="00AB0405">
        <w:rPr>
          <w:rFonts w:ascii="Times New Roman" w:hAnsi="Times New Roman"/>
          <w:szCs w:val="24"/>
        </w:rPr>
        <w:t>A registrant is required to disclose the information specified by Form N</w:t>
      </w:r>
      <w:r w:rsidR="001579D5" w:rsidRPr="00AB0405">
        <w:rPr>
          <w:rFonts w:ascii="Times New Roman" w:hAnsi="Times New Roman"/>
          <w:szCs w:val="24"/>
        </w:rPr>
        <w:noBreakHyphen/>
        <w:t>CSR, and the Commission will</w:t>
      </w:r>
      <w:r w:rsidR="00512722" w:rsidRPr="00AB0405">
        <w:rPr>
          <w:rFonts w:ascii="Times New Roman" w:hAnsi="Times New Roman"/>
          <w:szCs w:val="24"/>
        </w:rPr>
        <w:t xml:space="preserve"> make this information public. </w:t>
      </w:r>
      <w:r w:rsidR="001579D5" w:rsidRPr="00AB0405">
        <w:rPr>
          <w:rFonts w:ascii="Times New Roman" w:hAnsi="Times New Roman"/>
          <w:szCs w:val="24"/>
        </w:rPr>
        <w:t xml:space="preserve">The information provided </w:t>
      </w:r>
      <w:r w:rsidR="00E02548" w:rsidRPr="00AB0405">
        <w:rPr>
          <w:rFonts w:ascii="Times New Roman" w:hAnsi="Times New Roman"/>
          <w:szCs w:val="24"/>
        </w:rPr>
        <w:t xml:space="preserve">in reports </w:t>
      </w:r>
      <w:r w:rsidR="001579D5" w:rsidRPr="00AB0405">
        <w:rPr>
          <w:rFonts w:ascii="Times New Roman" w:hAnsi="Times New Roman"/>
          <w:szCs w:val="24"/>
        </w:rPr>
        <w:t>on Form N-CSR may be</w:t>
      </w:r>
      <w:r w:rsidR="00E60802" w:rsidRPr="00AB0405">
        <w:rPr>
          <w:rFonts w:ascii="Times New Roman" w:hAnsi="Times New Roman"/>
          <w:szCs w:val="24"/>
        </w:rPr>
        <w:t xml:space="preserve"> </w:t>
      </w:r>
      <w:r w:rsidR="001579D5" w:rsidRPr="00AB0405">
        <w:rPr>
          <w:rFonts w:ascii="Times New Roman" w:hAnsi="Times New Roman"/>
          <w:szCs w:val="24"/>
        </w:rPr>
        <w:t>used by the Commission in its regulatory, disclosure review, inspection, and policymaking roles.</w:t>
      </w:r>
      <w:r w:rsidR="00176339" w:rsidRPr="00AB0405">
        <w:rPr>
          <w:rFonts w:ascii="Times New Roman" w:hAnsi="Times New Roman"/>
          <w:szCs w:val="24"/>
        </w:rPr>
        <w:t xml:space="preserve"> </w:t>
      </w:r>
      <w:r w:rsidR="00E60802" w:rsidRPr="00AB0405">
        <w:rPr>
          <w:rFonts w:ascii="Times New Roman" w:hAnsi="Times New Roman"/>
          <w:szCs w:val="24"/>
        </w:rPr>
        <w:t>Unlike many other federal information collections, which are primarily for the use and benefit of the collecting agency, this information collection is</w:t>
      </w:r>
      <w:r w:rsidR="00E60802" w:rsidRPr="00AB0405">
        <w:rPr>
          <w:rFonts w:ascii="Times New Roman" w:hAnsi="Times New Roman"/>
          <w:color w:val="0000FF"/>
          <w:szCs w:val="24"/>
        </w:rPr>
        <w:t xml:space="preserve"> </w:t>
      </w:r>
      <w:r w:rsidR="008F52EF" w:rsidRPr="00AB0405">
        <w:rPr>
          <w:rFonts w:ascii="Times New Roman" w:hAnsi="Times New Roman"/>
          <w:szCs w:val="24"/>
        </w:rPr>
        <w:t>also</w:t>
      </w:r>
      <w:r w:rsidR="00E60802" w:rsidRPr="00AB0405">
        <w:rPr>
          <w:rFonts w:ascii="Times New Roman" w:hAnsi="Times New Roman"/>
          <w:szCs w:val="24"/>
        </w:rPr>
        <w:t xml:space="preserve"> for the</w:t>
      </w:r>
      <w:r w:rsidR="00512722" w:rsidRPr="00AB0405">
        <w:rPr>
          <w:rFonts w:ascii="Times New Roman" w:hAnsi="Times New Roman"/>
          <w:szCs w:val="24"/>
        </w:rPr>
        <w:t xml:space="preserve"> use and benefit of investors. </w:t>
      </w:r>
      <w:r w:rsidR="00E60802" w:rsidRPr="00AB0405">
        <w:rPr>
          <w:rFonts w:ascii="Times New Roman" w:hAnsi="Times New Roman"/>
          <w:szCs w:val="24"/>
        </w:rPr>
        <w:t xml:space="preserve">The information filed with the </w:t>
      </w:r>
      <w:r w:rsidR="008F52EF" w:rsidRPr="00AB0405">
        <w:rPr>
          <w:rFonts w:ascii="Times New Roman" w:hAnsi="Times New Roman"/>
          <w:szCs w:val="24"/>
        </w:rPr>
        <w:t xml:space="preserve">Commission </w:t>
      </w:r>
      <w:r w:rsidR="00E60802" w:rsidRPr="00AB0405">
        <w:rPr>
          <w:rFonts w:ascii="Times New Roman" w:hAnsi="Times New Roman"/>
          <w:szCs w:val="24"/>
        </w:rPr>
        <w:t>permits the verification of compliance with securities law requirements and assures the public availability and dissemination of the information.</w:t>
      </w:r>
    </w:p>
    <w:p w14:paraId="6172F0FB" w14:textId="0FA0A4E7" w:rsidR="00E60802" w:rsidRPr="00AB0405" w:rsidRDefault="007D1DF4" w:rsidP="000F5574">
      <w:pPr>
        <w:pStyle w:val="Heading2"/>
        <w:ind w:firstLine="0"/>
        <w:rPr>
          <w:rFonts w:ascii="Times New Roman" w:hAnsi="Times New Roman"/>
          <w:szCs w:val="24"/>
        </w:rPr>
      </w:pPr>
      <w:r>
        <w:rPr>
          <w:rFonts w:ascii="Times New Roman" w:hAnsi="Times New Roman"/>
          <w:szCs w:val="24"/>
        </w:rPr>
        <w:t>Consideration Given to</w:t>
      </w:r>
      <w:r w:rsidR="006C0020" w:rsidRPr="00AB0405">
        <w:rPr>
          <w:rFonts w:ascii="Times New Roman" w:hAnsi="Times New Roman"/>
          <w:szCs w:val="24"/>
        </w:rPr>
        <w:t xml:space="preserve"> </w:t>
      </w:r>
      <w:r w:rsidR="00E60802" w:rsidRPr="00AB0405">
        <w:rPr>
          <w:rFonts w:ascii="Times New Roman" w:hAnsi="Times New Roman"/>
          <w:szCs w:val="24"/>
        </w:rPr>
        <w:t>Information Technology</w:t>
      </w:r>
    </w:p>
    <w:p w14:paraId="69DCF2F1" w14:textId="7CEC0B61" w:rsidR="00E60802" w:rsidRPr="00AB0405" w:rsidRDefault="000F5574" w:rsidP="000F5574">
      <w:pPr>
        <w:pStyle w:val="BodyText"/>
        <w:ind w:firstLine="0"/>
        <w:rPr>
          <w:rFonts w:ascii="Times New Roman" w:hAnsi="Times New Roman"/>
          <w:szCs w:val="24"/>
        </w:rPr>
      </w:pPr>
      <w:r w:rsidRPr="00AB0405">
        <w:rPr>
          <w:rFonts w:ascii="Times New Roman" w:hAnsi="Times New Roman"/>
          <w:szCs w:val="24"/>
        </w:rPr>
        <w:tab/>
      </w:r>
      <w:r w:rsidR="00E60802" w:rsidRPr="00AB0405">
        <w:rPr>
          <w:rFonts w:ascii="Times New Roman" w:hAnsi="Times New Roman"/>
          <w:szCs w:val="24"/>
        </w:rPr>
        <w:t xml:space="preserve">The Commission’s </w:t>
      </w:r>
      <w:r w:rsidR="006C0020" w:rsidRPr="00AB0405">
        <w:rPr>
          <w:rFonts w:ascii="Times New Roman" w:hAnsi="Times New Roman"/>
          <w:bCs/>
        </w:rPr>
        <w:t xml:space="preserve">electronic filing system (Electronic Data Gathering, Analysis and Retrieval or “EDGAR”) is designed to automate the filing, processing, and dissemination of full disclosure filings.  The system permits publicly held companies to transmit filings to the Commission electronically.  This automation has increased the speed, accuracy, and availability of information, generating benefits to investors and financial markets.  </w:t>
      </w:r>
      <w:r w:rsidR="00E02548" w:rsidRPr="00AB0405">
        <w:rPr>
          <w:rFonts w:ascii="Times New Roman" w:hAnsi="Times New Roman"/>
          <w:szCs w:val="24"/>
        </w:rPr>
        <w:t>Reports on Form N-CSR are</w:t>
      </w:r>
      <w:r w:rsidR="00E60802" w:rsidRPr="00AB0405">
        <w:rPr>
          <w:rFonts w:ascii="Times New Roman" w:hAnsi="Times New Roman"/>
          <w:szCs w:val="24"/>
        </w:rPr>
        <w:t xml:space="preserve"> filed with the Commission electronically on EDGAR.</w:t>
      </w:r>
      <w:r w:rsidR="00512722" w:rsidRPr="00AB0405">
        <w:rPr>
          <w:rStyle w:val="FootnoteReference"/>
          <w:rFonts w:ascii="Times New Roman" w:hAnsi="Times New Roman"/>
          <w:szCs w:val="24"/>
        </w:rPr>
        <w:footnoteReference w:id="11"/>
      </w:r>
      <w:r w:rsidR="00E60802" w:rsidRPr="00AB0405">
        <w:rPr>
          <w:rFonts w:ascii="Times New Roman" w:hAnsi="Times New Roman"/>
          <w:szCs w:val="24"/>
        </w:rPr>
        <w:t xml:space="preserve"> </w:t>
      </w:r>
      <w:r w:rsidR="006C0020" w:rsidRPr="00AB0405">
        <w:rPr>
          <w:rFonts w:ascii="Times New Roman" w:hAnsi="Times New Roman"/>
          <w:szCs w:val="24"/>
        </w:rPr>
        <w:t xml:space="preserve"> </w:t>
      </w:r>
      <w:r w:rsidR="00E60802" w:rsidRPr="00AB0405">
        <w:rPr>
          <w:rFonts w:ascii="Times New Roman" w:hAnsi="Times New Roman"/>
          <w:szCs w:val="24"/>
        </w:rPr>
        <w:t>The public may access filings on EDGAR thr</w:t>
      </w:r>
      <w:r w:rsidR="00D220D8" w:rsidRPr="00AB0405">
        <w:rPr>
          <w:rFonts w:ascii="Times New Roman" w:hAnsi="Times New Roman"/>
          <w:szCs w:val="24"/>
        </w:rPr>
        <w:t>ough the Commission’s Internet W</w:t>
      </w:r>
      <w:r w:rsidR="00E60802" w:rsidRPr="00AB0405">
        <w:rPr>
          <w:rFonts w:ascii="Times New Roman" w:hAnsi="Times New Roman"/>
          <w:szCs w:val="24"/>
        </w:rPr>
        <w:t>eb</w:t>
      </w:r>
      <w:r w:rsidR="00D220D8" w:rsidRPr="00AB0405">
        <w:rPr>
          <w:rFonts w:ascii="Times New Roman" w:hAnsi="Times New Roman"/>
          <w:szCs w:val="24"/>
        </w:rPr>
        <w:t xml:space="preserve"> </w:t>
      </w:r>
      <w:r w:rsidR="00E60802" w:rsidRPr="00AB0405">
        <w:rPr>
          <w:rFonts w:ascii="Times New Roman" w:hAnsi="Times New Roman"/>
          <w:szCs w:val="24"/>
        </w:rPr>
        <w:t xml:space="preserve">site (http://www.sec.gov) or at EDGAR terminals located at the Commission’s public reference rooms.  </w:t>
      </w:r>
    </w:p>
    <w:p w14:paraId="5C60FF23" w14:textId="20E2EBFD" w:rsidR="00E60802" w:rsidRPr="00AB0405" w:rsidRDefault="00E60802" w:rsidP="000F5574">
      <w:pPr>
        <w:pStyle w:val="Heading2"/>
        <w:ind w:firstLine="0"/>
        <w:rPr>
          <w:rFonts w:ascii="Times New Roman" w:hAnsi="Times New Roman"/>
          <w:szCs w:val="24"/>
        </w:rPr>
      </w:pPr>
      <w:r w:rsidRPr="00AB0405">
        <w:rPr>
          <w:rFonts w:ascii="Times New Roman" w:hAnsi="Times New Roman"/>
          <w:szCs w:val="24"/>
        </w:rPr>
        <w:t>Duplication</w:t>
      </w:r>
    </w:p>
    <w:p w14:paraId="051A8EFD" w14:textId="189C4562" w:rsidR="00374602" w:rsidRPr="00AB0405" w:rsidRDefault="00317426" w:rsidP="000F5574">
      <w:pPr>
        <w:pStyle w:val="BodyText"/>
        <w:ind w:firstLine="0"/>
        <w:rPr>
          <w:rFonts w:ascii="Times New Roman" w:hAnsi="Times New Roman"/>
          <w:szCs w:val="24"/>
        </w:rPr>
      </w:pPr>
      <w:r w:rsidRPr="00AB0405">
        <w:rPr>
          <w:rFonts w:ascii="Times New Roman" w:hAnsi="Times New Roman"/>
          <w:szCs w:val="24"/>
        </w:rPr>
        <w:tab/>
      </w:r>
      <w:r w:rsidR="00E60802" w:rsidRPr="00AB0405">
        <w:rPr>
          <w:rFonts w:ascii="Times New Roman" w:hAnsi="Times New Roman"/>
          <w:szCs w:val="24"/>
        </w:rPr>
        <w:t>The Commission periodically evaluates rule-based reporting and recordkeepin</w:t>
      </w:r>
      <w:r w:rsidR="009A5512" w:rsidRPr="00AB0405">
        <w:rPr>
          <w:rFonts w:ascii="Times New Roman" w:hAnsi="Times New Roman"/>
          <w:szCs w:val="24"/>
        </w:rPr>
        <w:t xml:space="preserve">g requirements for duplication </w:t>
      </w:r>
      <w:r w:rsidR="00E60802" w:rsidRPr="00AB0405">
        <w:rPr>
          <w:rFonts w:ascii="Times New Roman" w:hAnsi="Times New Roman"/>
          <w:szCs w:val="24"/>
        </w:rPr>
        <w:t xml:space="preserve">and reevaluates them whenever it proposes a rule or a change in a </w:t>
      </w:r>
      <w:r w:rsidR="009A5512" w:rsidRPr="00AB0405">
        <w:rPr>
          <w:rFonts w:ascii="Times New Roman" w:hAnsi="Times New Roman"/>
          <w:szCs w:val="24"/>
        </w:rPr>
        <w:t xml:space="preserve">rule. </w:t>
      </w:r>
      <w:r w:rsidR="00025C39" w:rsidRPr="00AB0405">
        <w:rPr>
          <w:rFonts w:ascii="Times New Roman" w:hAnsi="Times New Roman"/>
          <w:szCs w:val="24"/>
        </w:rPr>
        <w:t>T</w:t>
      </w:r>
      <w:r w:rsidR="00C4384A" w:rsidRPr="00AB0405">
        <w:rPr>
          <w:rFonts w:ascii="Times New Roman" w:hAnsi="Times New Roman"/>
          <w:szCs w:val="24"/>
        </w:rPr>
        <w:t>he requirements of Form N-CSR are</w:t>
      </w:r>
      <w:r w:rsidR="00E60802" w:rsidRPr="00AB0405">
        <w:rPr>
          <w:rFonts w:ascii="Times New Roman" w:hAnsi="Times New Roman"/>
          <w:szCs w:val="24"/>
        </w:rPr>
        <w:t xml:space="preserve"> not generally duplicated elsewhere.</w:t>
      </w:r>
    </w:p>
    <w:p w14:paraId="66EC230D" w14:textId="77777777" w:rsidR="00374602" w:rsidRPr="00AB0405" w:rsidRDefault="00E60802" w:rsidP="000F5574">
      <w:pPr>
        <w:pStyle w:val="Heading2"/>
        <w:ind w:firstLine="0"/>
        <w:rPr>
          <w:rFonts w:ascii="Times New Roman" w:hAnsi="Times New Roman"/>
          <w:szCs w:val="24"/>
        </w:rPr>
      </w:pPr>
      <w:r w:rsidRPr="00AB0405">
        <w:rPr>
          <w:rFonts w:ascii="Times New Roman" w:hAnsi="Times New Roman"/>
          <w:szCs w:val="24"/>
        </w:rPr>
        <w:t>Effect on Small Entities</w:t>
      </w:r>
    </w:p>
    <w:p w14:paraId="0C098AD5" w14:textId="75A82CB8" w:rsidR="00E60802" w:rsidRPr="00AB0405" w:rsidRDefault="00317426" w:rsidP="000F5574">
      <w:pPr>
        <w:pStyle w:val="BodyText"/>
        <w:ind w:firstLine="0"/>
        <w:rPr>
          <w:rFonts w:ascii="Times New Roman" w:hAnsi="Times New Roman"/>
          <w:szCs w:val="24"/>
        </w:rPr>
      </w:pPr>
      <w:r w:rsidRPr="00AB0405">
        <w:rPr>
          <w:rFonts w:ascii="Times New Roman" w:hAnsi="Times New Roman"/>
          <w:szCs w:val="24"/>
        </w:rPr>
        <w:tab/>
      </w:r>
      <w:r w:rsidR="00EB5D99" w:rsidRPr="00AB0405">
        <w:rPr>
          <w:rFonts w:ascii="Times New Roman" w:hAnsi="Times New Roman"/>
          <w:szCs w:val="24"/>
        </w:rPr>
        <w:t>The Commission reviews all rules periodically, as required by the Regulatory Flexibility Act,</w:t>
      </w:r>
      <w:r w:rsidR="00EB5D99" w:rsidRPr="00AB0405">
        <w:rPr>
          <w:rStyle w:val="FootnoteReference"/>
          <w:rFonts w:ascii="Times New Roman" w:hAnsi="Times New Roman"/>
          <w:szCs w:val="24"/>
        </w:rPr>
        <w:footnoteReference w:id="12"/>
      </w:r>
      <w:r w:rsidR="00EB5D99" w:rsidRPr="00AB0405">
        <w:rPr>
          <w:rFonts w:ascii="Times New Roman" w:hAnsi="Times New Roman"/>
          <w:szCs w:val="24"/>
        </w:rPr>
        <w:t xml:space="preserve"> to identify methods to minimize recordkeeping or reporting requirements affecting small businesses. </w:t>
      </w:r>
      <w:r w:rsidRPr="00AB0405">
        <w:rPr>
          <w:rFonts w:ascii="Times New Roman" w:hAnsi="Times New Roman"/>
          <w:szCs w:val="24"/>
        </w:rPr>
        <w:t xml:space="preserve"> </w:t>
      </w:r>
      <w:r w:rsidR="00374602" w:rsidRPr="00AB0405">
        <w:rPr>
          <w:rFonts w:ascii="Times New Roman" w:hAnsi="Times New Roman"/>
          <w:szCs w:val="24"/>
        </w:rPr>
        <w:t>The current disclosure requirements for reports on Form N-CSR do not distinguish between small entities and other funds.</w:t>
      </w:r>
      <w:r w:rsidRPr="00AB0405">
        <w:rPr>
          <w:rFonts w:ascii="Times New Roman" w:hAnsi="Times New Roman"/>
          <w:szCs w:val="24"/>
        </w:rPr>
        <w:t xml:space="preserve">  </w:t>
      </w:r>
      <w:r w:rsidR="00374602" w:rsidRPr="00AB0405">
        <w:rPr>
          <w:rFonts w:ascii="Times New Roman" w:hAnsi="Times New Roman"/>
          <w:szCs w:val="24"/>
        </w:rPr>
        <w:t xml:space="preserve">The burden on smaller funds, however, to prepare </w:t>
      </w:r>
      <w:r w:rsidR="00025C39" w:rsidRPr="00AB0405">
        <w:rPr>
          <w:rFonts w:ascii="Times New Roman" w:hAnsi="Times New Roman"/>
          <w:szCs w:val="24"/>
        </w:rPr>
        <w:t>reports on Form N-CSR</w:t>
      </w:r>
      <w:r w:rsidR="00374602" w:rsidRPr="00AB0405">
        <w:rPr>
          <w:rFonts w:ascii="Times New Roman" w:hAnsi="Times New Roman"/>
          <w:szCs w:val="24"/>
        </w:rPr>
        <w:t xml:space="preserve"> may be </w:t>
      </w:r>
      <w:r w:rsidR="00EB5D99" w:rsidRPr="00AB0405">
        <w:rPr>
          <w:rFonts w:ascii="Times New Roman" w:hAnsi="Times New Roman"/>
          <w:szCs w:val="24"/>
        </w:rPr>
        <w:t xml:space="preserve">proportionally </w:t>
      </w:r>
      <w:r w:rsidR="00374602" w:rsidRPr="00AB0405">
        <w:rPr>
          <w:rFonts w:ascii="Times New Roman" w:hAnsi="Times New Roman"/>
          <w:szCs w:val="24"/>
        </w:rPr>
        <w:t xml:space="preserve">greater than </w:t>
      </w:r>
      <w:r w:rsidR="00EB5D99" w:rsidRPr="00AB0405">
        <w:rPr>
          <w:rFonts w:ascii="Times New Roman" w:hAnsi="Times New Roman"/>
          <w:szCs w:val="24"/>
        </w:rPr>
        <w:t xml:space="preserve">for larger funds. </w:t>
      </w:r>
      <w:r w:rsidRPr="00AB0405">
        <w:rPr>
          <w:rFonts w:ascii="Times New Roman" w:hAnsi="Times New Roman"/>
          <w:szCs w:val="24"/>
        </w:rPr>
        <w:t xml:space="preserve"> </w:t>
      </w:r>
      <w:r w:rsidR="00E60802" w:rsidRPr="00AB0405">
        <w:rPr>
          <w:rFonts w:ascii="Times New Roman" w:hAnsi="Times New Roman"/>
          <w:szCs w:val="24"/>
        </w:rPr>
        <w:t>The Commission believes, however, that imposing different requirements on smaller</w:t>
      </w:r>
      <w:r w:rsidR="00E60802" w:rsidRPr="00AB0405">
        <w:rPr>
          <w:rFonts w:ascii="Times New Roman" w:hAnsi="Times New Roman"/>
          <w:color w:val="0000FF"/>
          <w:szCs w:val="24"/>
        </w:rPr>
        <w:t xml:space="preserve"> </w:t>
      </w:r>
      <w:r w:rsidR="00E02548" w:rsidRPr="00AB0405">
        <w:rPr>
          <w:rFonts w:ascii="Times New Roman" w:hAnsi="Times New Roman"/>
          <w:szCs w:val="24"/>
        </w:rPr>
        <w:t>fund</w:t>
      </w:r>
      <w:r w:rsidR="00E60802" w:rsidRPr="00AB0405">
        <w:rPr>
          <w:rFonts w:ascii="Times New Roman" w:hAnsi="Times New Roman"/>
          <w:szCs w:val="24"/>
        </w:rPr>
        <w:t xml:space="preserve">s would not be consistent with investor protection and the purposes of </w:t>
      </w:r>
      <w:r w:rsidR="003E5FE6" w:rsidRPr="00AB0405">
        <w:rPr>
          <w:rFonts w:ascii="Times New Roman" w:hAnsi="Times New Roman"/>
          <w:szCs w:val="24"/>
        </w:rPr>
        <w:t xml:space="preserve">certified </w:t>
      </w:r>
      <w:r w:rsidR="00D220D8" w:rsidRPr="00AB0405">
        <w:rPr>
          <w:rFonts w:ascii="Times New Roman" w:hAnsi="Times New Roman"/>
          <w:szCs w:val="24"/>
        </w:rPr>
        <w:t>shareholder reports</w:t>
      </w:r>
      <w:r w:rsidR="00E60802" w:rsidRPr="00AB0405">
        <w:rPr>
          <w:rFonts w:ascii="Times New Roman" w:hAnsi="Times New Roman"/>
          <w:szCs w:val="24"/>
        </w:rPr>
        <w:t>.</w:t>
      </w:r>
      <w:r w:rsidR="00E02548" w:rsidRPr="00AB0405">
        <w:rPr>
          <w:rFonts w:ascii="Times New Roman" w:hAnsi="Times New Roman"/>
          <w:szCs w:val="24"/>
        </w:rPr>
        <w:t xml:space="preserve">  </w:t>
      </w:r>
    </w:p>
    <w:p w14:paraId="651FD070" w14:textId="16136807" w:rsidR="00E60802" w:rsidRPr="00AB0405" w:rsidRDefault="00E60802" w:rsidP="000F5574">
      <w:pPr>
        <w:pStyle w:val="Heading2"/>
        <w:ind w:firstLine="0"/>
        <w:rPr>
          <w:rFonts w:ascii="Times New Roman" w:hAnsi="Times New Roman"/>
          <w:szCs w:val="24"/>
        </w:rPr>
      </w:pPr>
      <w:r w:rsidRPr="00AB0405">
        <w:rPr>
          <w:rFonts w:ascii="Times New Roman" w:hAnsi="Times New Roman"/>
          <w:szCs w:val="24"/>
        </w:rPr>
        <w:t xml:space="preserve">Consequences of </w:t>
      </w:r>
      <w:r w:rsidR="00EB5D99" w:rsidRPr="00AB0405">
        <w:rPr>
          <w:rFonts w:ascii="Times New Roman" w:hAnsi="Times New Roman"/>
          <w:szCs w:val="24"/>
        </w:rPr>
        <w:t xml:space="preserve">Not Conducting </w:t>
      </w:r>
      <w:r w:rsidRPr="00AB0405">
        <w:rPr>
          <w:rFonts w:ascii="Times New Roman" w:hAnsi="Times New Roman"/>
          <w:szCs w:val="24"/>
        </w:rPr>
        <w:t>Collection</w:t>
      </w:r>
    </w:p>
    <w:p w14:paraId="70BFB114" w14:textId="58A0D982" w:rsidR="008D2597" w:rsidRPr="00AB0405" w:rsidRDefault="00317426" w:rsidP="000F5574">
      <w:pPr>
        <w:pStyle w:val="BodyText"/>
        <w:ind w:firstLine="0"/>
        <w:rPr>
          <w:rFonts w:ascii="Times New Roman" w:hAnsi="Times New Roman"/>
          <w:szCs w:val="24"/>
        </w:rPr>
      </w:pPr>
      <w:r w:rsidRPr="00AB0405">
        <w:rPr>
          <w:rFonts w:ascii="Times New Roman" w:hAnsi="Times New Roman"/>
          <w:szCs w:val="24"/>
        </w:rPr>
        <w:tab/>
      </w:r>
      <w:r w:rsidR="000E2404" w:rsidRPr="00AB0405">
        <w:rPr>
          <w:rFonts w:ascii="Times New Roman" w:hAnsi="Times New Roman"/>
          <w:szCs w:val="24"/>
        </w:rPr>
        <w:t>F</w:t>
      </w:r>
      <w:r w:rsidR="008D2597" w:rsidRPr="00AB0405">
        <w:rPr>
          <w:rFonts w:ascii="Times New Roman" w:hAnsi="Times New Roman"/>
          <w:szCs w:val="24"/>
        </w:rPr>
        <w:t>unds</w:t>
      </w:r>
      <w:r w:rsidR="000E2404" w:rsidRPr="00AB0405">
        <w:rPr>
          <w:rFonts w:ascii="Times New Roman" w:hAnsi="Times New Roman"/>
          <w:szCs w:val="24"/>
        </w:rPr>
        <w:t xml:space="preserve"> are required to</w:t>
      </w:r>
      <w:r w:rsidR="008D2597" w:rsidRPr="00AB0405">
        <w:rPr>
          <w:rFonts w:ascii="Times New Roman" w:hAnsi="Times New Roman"/>
          <w:szCs w:val="24"/>
        </w:rPr>
        <w:t xml:space="preserve"> file </w:t>
      </w:r>
      <w:r w:rsidR="000E2404" w:rsidRPr="00AB0405">
        <w:rPr>
          <w:rFonts w:ascii="Times New Roman" w:hAnsi="Times New Roman"/>
          <w:szCs w:val="24"/>
        </w:rPr>
        <w:t xml:space="preserve">reports on Form N-CSR </w:t>
      </w:r>
      <w:r w:rsidR="008D2597" w:rsidRPr="00AB0405">
        <w:rPr>
          <w:rFonts w:ascii="Times New Roman" w:hAnsi="Times New Roman"/>
          <w:szCs w:val="24"/>
        </w:rPr>
        <w:t xml:space="preserve">with the Commission no later than 10 days after the transmission to stockholders of any report that is required to be transmitted to stockholders under rule 30e-1 under the Investment Company Act. </w:t>
      </w:r>
      <w:r w:rsidRPr="00AB0405">
        <w:rPr>
          <w:rFonts w:ascii="Times New Roman" w:hAnsi="Times New Roman"/>
          <w:szCs w:val="24"/>
        </w:rPr>
        <w:t xml:space="preserve"> </w:t>
      </w:r>
      <w:r w:rsidR="008D2597" w:rsidRPr="00AB0405">
        <w:rPr>
          <w:rFonts w:ascii="Times New Roman" w:hAnsi="Times New Roman"/>
          <w:szCs w:val="24"/>
        </w:rPr>
        <w:t>Less frequent collection would mean that current information might not be available to fund investors.</w:t>
      </w:r>
    </w:p>
    <w:p w14:paraId="6967DB3D" w14:textId="5C0DF02E" w:rsidR="00E60802" w:rsidRPr="00AB0405" w:rsidRDefault="00E60802" w:rsidP="000F5574">
      <w:pPr>
        <w:pStyle w:val="Heading2"/>
        <w:ind w:firstLine="0"/>
        <w:rPr>
          <w:rFonts w:ascii="Times New Roman" w:hAnsi="Times New Roman"/>
          <w:szCs w:val="24"/>
        </w:rPr>
      </w:pPr>
      <w:r w:rsidRPr="00AB0405">
        <w:rPr>
          <w:rFonts w:ascii="Times New Roman" w:hAnsi="Times New Roman"/>
          <w:szCs w:val="24"/>
        </w:rPr>
        <w:t>Inconsistencies with Guidelines in 5 CFR 1320.5(d)(2)</w:t>
      </w:r>
      <w:r w:rsidR="00E02548" w:rsidRPr="00AB0405">
        <w:rPr>
          <w:rFonts w:ascii="Times New Roman" w:hAnsi="Times New Roman"/>
          <w:szCs w:val="24"/>
        </w:rPr>
        <w:tab/>
      </w:r>
    </w:p>
    <w:p w14:paraId="5052B04A" w14:textId="2DC54185" w:rsidR="00E60802" w:rsidRPr="00AB0405" w:rsidRDefault="00317426" w:rsidP="000F5574">
      <w:pPr>
        <w:pStyle w:val="BodyText"/>
        <w:ind w:firstLine="0"/>
        <w:rPr>
          <w:rFonts w:ascii="Times New Roman" w:hAnsi="Times New Roman"/>
          <w:szCs w:val="24"/>
        </w:rPr>
      </w:pPr>
      <w:r w:rsidRPr="00AB0405">
        <w:rPr>
          <w:rFonts w:ascii="Times New Roman" w:hAnsi="Times New Roman"/>
          <w:szCs w:val="24"/>
        </w:rPr>
        <w:tab/>
      </w:r>
      <w:r w:rsidR="00EB5D99" w:rsidRPr="00AB0405">
        <w:rPr>
          <w:rFonts w:ascii="Times New Roman" w:hAnsi="Times New Roman"/>
          <w:szCs w:val="24"/>
        </w:rPr>
        <w:t>This collection is not inconsistent with 5 CFR 1320.5(d)(2).</w:t>
      </w:r>
    </w:p>
    <w:p w14:paraId="0F41EDC3" w14:textId="007E0A94" w:rsidR="00E60802" w:rsidRPr="00AB0405" w:rsidRDefault="00E60802" w:rsidP="000F5574">
      <w:pPr>
        <w:pStyle w:val="Heading2"/>
        <w:ind w:firstLine="0"/>
        <w:rPr>
          <w:rFonts w:ascii="Times New Roman" w:hAnsi="Times New Roman"/>
          <w:szCs w:val="24"/>
        </w:rPr>
      </w:pPr>
      <w:r w:rsidRPr="00AB0405">
        <w:rPr>
          <w:rFonts w:ascii="Times New Roman" w:hAnsi="Times New Roman"/>
          <w:szCs w:val="24"/>
        </w:rPr>
        <w:t>Consultation Outside the Agency</w:t>
      </w:r>
    </w:p>
    <w:p w14:paraId="2E598C1B" w14:textId="0BA4CE18" w:rsidR="00AD17BC" w:rsidRPr="00AB0405" w:rsidRDefault="00317426" w:rsidP="000F5574">
      <w:pPr>
        <w:pStyle w:val="BodyText"/>
        <w:ind w:firstLine="0"/>
        <w:rPr>
          <w:rFonts w:ascii="Times New Roman" w:hAnsi="Times New Roman"/>
          <w:szCs w:val="24"/>
        </w:rPr>
      </w:pPr>
      <w:r w:rsidRPr="00AB0405">
        <w:rPr>
          <w:rFonts w:ascii="Times New Roman" w:hAnsi="Times New Roman"/>
          <w:szCs w:val="24"/>
        </w:rPr>
        <w:tab/>
      </w:r>
      <w:r w:rsidR="00AD17BC" w:rsidRPr="00AB0405">
        <w:rPr>
          <w:rFonts w:ascii="Times New Roman" w:hAnsi="Times New Roman"/>
          <w:szCs w:val="24"/>
        </w:rPr>
        <w:t xml:space="preserve">The Commission and the staff of the Division of Investment Management participate in an ongoing dialogue with representatives of the </w:t>
      </w:r>
      <w:r w:rsidR="00C1418D" w:rsidRPr="00AB0405">
        <w:rPr>
          <w:rFonts w:ascii="Times New Roman" w:hAnsi="Times New Roman"/>
          <w:szCs w:val="24"/>
        </w:rPr>
        <w:t xml:space="preserve">investment company industry </w:t>
      </w:r>
      <w:r w:rsidR="00AD17BC" w:rsidRPr="00AB0405">
        <w:rPr>
          <w:rFonts w:ascii="Times New Roman" w:hAnsi="Times New Roman"/>
          <w:szCs w:val="24"/>
        </w:rPr>
        <w:t>through public conferences, mee</w:t>
      </w:r>
      <w:r w:rsidR="00391451" w:rsidRPr="00AB0405">
        <w:rPr>
          <w:rFonts w:ascii="Times New Roman" w:hAnsi="Times New Roman"/>
          <w:szCs w:val="24"/>
        </w:rPr>
        <w:t xml:space="preserve">tings, and informal exchanges. </w:t>
      </w:r>
      <w:r w:rsidRPr="00AB0405">
        <w:rPr>
          <w:rFonts w:ascii="Times New Roman" w:hAnsi="Times New Roman"/>
          <w:szCs w:val="24"/>
        </w:rPr>
        <w:t xml:space="preserve"> </w:t>
      </w:r>
      <w:r w:rsidR="00AD17BC" w:rsidRPr="00AB0405">
        <w:rPr>
          <w:rFonts w:ascii="Times New Roman" w:hAnsi="Times New Roman"/>
          <w:szCs w:val="24"/>
        </w:rPr>
        <w:t>These various forums</w:t>
      </w:r>
      <w:r w:rsidR="00391451" w:rsidRPr="00AB0405">
        <w:rPr>
          <w:rFonts w:ascii="Times New Roman" w:hAnsi="Times New Roman"/>
          <w:szCs w:val="24"/>
        </w:rPr>
        <w:t xml:space="preserve"> provide the Commission and </w:t>
      </w:r>
      <w:r w:rsidR="00AD17BC" w:rsidRPr="00AB0405">
        <w:rPr>
          <w:rFonts w:ascii="Times New Roman" w:hAnsi="Times New Roman"/>
          <w:szCs w:val="24"/>
        </w:rPr>
        <w:t>staff with a means of ascertaining and acting upon paperwork bur</w:t>
      </w:r>
      <w:r w:rsidR="00391451" w:rsidRPr="00AB0405">
        <w:rPr>
          <w:rFonts w:ascii="Times New Roman" w:hAnsi="Times New Roman"/>
          <w:szCs w:val="24"/>
        </w:rPr>
        <w:t xml:space="preserve">dens confronting the industry. </w:t>
      </w:r>
      <w:r w:rsidR="00AD17BC" w:rsidRPr="00AB0405">
        <w:rPr>
          <w:rFonts w:ascii="Times New Roman" w:hAnsi="Times New Roman"/>
          <w:szCs w:val="24"/>
        </w:rPr>
        <w:t xml:space="preserve">The Commission requested public comment on </w:t>
      </w:r>
      <w:r w:rsidR="00BF65FC">
        <w:rPr>
          <w:rFonts w:ascii="Times New Roman" w:hAnsi="Times New Roman"/>
          <w:szCs w:val="24"/>
        </w:rPr>
        <w:t xml:space="preserve">its burden estimates for </w:t>
      </w:r>
      <w:r w:rsidR="00AD17BC" w:rsidRPr="00AB0405">
        <w:rPr>
          <w:rFonts w:ascii="Times New Roman" w:hAnsi="Times New Roman"/>
          <w:szCs w:val="24"/>
        </w:rPr>
        <w:t xml:space="preserve">the </w:t>
      </w:r>
      <w:r w:rsidRPr="00AB0405">
        <w:rPr>
          <w:rFonts w:ascii="Times New Roman" w:hAnsi="Times New Roman"/>
          <w:szCs w:val="24"/>
        </w:rPr>
        <w:t xml:space="preserve">proposed amendments to Regulation S-X regarding securities lending activities disclosures and related information </w:t>
      </w:r>
      <w:r w:rsidR="00AD17BC" w:rsidRPr="00AB0405">
        <w:rPr>
          <w:rFonts w:ascii="Times New Roman" w:hAnsi="Times New Roman"/>
          <w:szCs w:val="24"/>
        </w:rPr>
        <w:t xml:space="preserve">collection requirements </w:t>
      </w:r>
      <w:r w:rsidRPr="00AB0405">
        <w:rPr>
          <w:rFonts w:ascii="Times New Roman" w:hAnsi="Times New Roman"/>
          <w:szCs w:val="24"/>
        </w:rPr>
        <w:t xml:space="preserve">that were adopted </w:t>
      </w:r>
      <w:r w:rsidR="00AD17BC" w:rsidRPr="00AB0405">
        <w:rPr>
          <w:rFonts w:ascii="Times New Roman" w:hAnsi="Times New Roman"/>
          <w:szCs w:val="24"/>
        </w:rPr>
        <w:t xml:space="preserve">in Form N-CSR before it submitted this request for </w:t>
      </w:r>
      <w:r w:rsidRPr="00AB0405">
        <w:rPr>
          <w:rFonts w:ascii="Times New Roman" w:hAnsi="Times New Roman"/>
          <w:szCs w:val="24"/>
        </w:rPr>
        <w:t xml:space="preserve">revision and approval </w:t>
      </w:r>
      <w:r w:rsidR="00AD17BC" w:rsidRPr="00AB0405">
        <w:rPr>
          <w:rFonts w:ascii="Times New Roman" w:hAnsi="Times New Roman"/>
          <w:szCs w:val="24"/>
        </w:rPr>
        <w:t>to the Of</w:t>
      </w:r>
      <w:r w:rsidR="00391451" w:rsidRPr="00AB0405">
        <w:rPr>
          <w:rFonts w:ascii="Times New Roman" w:hAnsi="Times New Roman"/>
          <w:szCs w:val="24"/>
        </w:rPr>
        <w:t xml:space="preserve">fice of Management and Budget. </w:t>
      </w:r>
      <w:r w:rsidRPr="00AB0405">
        <w:rPr>
          <w:rFonts w:ascii="Times New Roman" w:hAnsi="Times New Roman"/>
          <w:szCs w:val="24"/>
        </w:rPr>
        <w:t xml:space="preserve"> </w:t>
      </w:r>
      <w:r w:rsidR="00AD17BC" w:rsidRPr="00AB0405">
        <w:rPr>
          <w:rFonts w:ascii="Times New Roman" w:hAnsi="Times New Roman"/>
          <w:szCs w:val="24"/>
        </w:rPr>
        <w:t xml:space="preserve">The Commission received no comments </w:t>
      </w:r>
      <w:r w:rsidRPr="00AB0405">
        <w:rPr>
          <w:rFonts w:ascii="Times New Roman" w:hAnsi="Times New Roman"/>
          <w:szCs w:val="24"/>
        </w:rPr>
        <w:t xml:space="preserve">on this aspect of the proposal </w:t>
      </w:r>
      <w:r w:rsidR="00AD17BC" w:rsidRPr="00AB0405">
        <w:rPr>
          <w:rFonts w:ascii="Times New Roman" w:hAnsi="Times New Roman"/>
          <w:szCs w:val="24"/>
        </w:rPr>
        <w:t>in response to its request.</w:t>
      </w:r>
    </w:p>
    <w:p w14:paraId="637C76CF" w14:textId="0D295E84" w:rsidR="00E60802" w:rsidRPr="00AB0405" w:rsidRDefault="00374602" w:rsidP="000F5574">
      <w:pPr>
        <w:pStyle w:val="Heading2"/>
        <w:ind w:firstLine="0"/>
        <w:rPr>
          <w:rFonts w:ascii="Times New Roman" w:hAnsi="Times New Roman"/>
          <w:szCs w:val="24"/>
        </w:rPr>
      </w:pPr>
      <w:r w:rsidRPr="00AB0405">
        <w:rPr>
          <w:rFonts w:ascii="Times New Roman" w:hAnsi="Times New Roman"/>
          <w:szCs w:val="24"/>
        </w:rPr>
        <w:t>Payment or</w:t>
      </w:r>
      <w:r w:rsidR="00391451" w:rsidRPr="00AB0405">
        <w:rPr>
          <w:rFonts w:ascii="Times New Roman" w:hAnsi="Times New Roman"/>
          <w:szCs w:val="24"/>
        </w:rPr>
        <w:t xml:space="preserve"> Gift</w:t>
      </w:r>
    </w:p>
    <w:p w14:paraId="7AF0A47F" w14:textId="549CE6F0" w:rsidR="00AD17BC" w:rsidRPr="00AB0405" w:rsidRDefault="00115915" w:rsidP="000F5574">
      <w:pPr>
        <w:pStyle w:val="BodyText"/>
        <w:ind w:firstLine="0"/>
        <w:rPr>
          <w:rFonts w:ascii="Times New Roman" w:hAnsi="Times New Roman"/>
          <w:szCs w:val="24"/>
        </w:rPr>
      </w:pPr>
      <w:r w:rsidRPr="00AB0405">
        <w:rPr>
          <w:rFonts w:ascii="Times New Roman" w:hAnsi="Times New Roman"/>
          <w:szCs w:val="24"/>
        </w:rPr>
        <w:tab/>
      </w:r>
      <w:r w:rsidR="00391451" w:rsidRPr="00AB0405">
        <w:rPr>
          <w:rFonts w:ascii="Times New Roman" w:hAnsi="Times New Roman"/>
          <w:szCs w:val="24"/>
        </w:rPr>
        <w:t>No payment or gift to respondents was provided.</w:t>
      </w:r>
    </w:p>
    <w:p w14:paraId="7CE3A208" w14:textId="3C8419FC" w:rsidR="00E60802" w:rsidRPr="00AB0405" w:rsidRDefault="00E60802" w:rsidP="000F5574">
      <w:pPr>
        <w:pStyle w:val="Heading2"/>
        <w:ind w:firstLine="0"/>
        <w:rPr>
          <w:rFonts w:ascii="Times New Roman" w:hAnsi="Times New Roman"/>
          <w:szCs w:val="24"/>
        </w:rPr>
      </w:pPr>
      <w:r w:rsidRPr="00AB0405">
        <w:rPr>
          <w:rFonts w:ascii="Times New Roman" w:hAnsi="Times New Roman"/>
          <w:szCs w:val="24"/>
        </w:rPr>
        <w:t>Confidentiality</w:t>
      </w:r>
    </w:p>
    <w:p w14:paraId="71695A78" w14:textId="22546579" w:rsidR="00B207C6" w:rsidRPr="00AB0405" w:rsidRDefault="00115915" w:rsidP="000F5574">
      <w:pPr>
        <w:pStyle w:val="BodyText"/>
        <w:ind w:firstLine="0"/>
        <w:rPr>
          <w:rFonts w:ascii="Times New Roman" w:hAnsi="Times New Roman"/>
          <w:szCs w:val="24"/>
        </w:rPr>
      </w:pPr>
      <w:r w:rsidRPr="00AB0405">
        <w:rPr>
          <w:rFonts w:ascii="Times New Roman" w:hAnsi="Times New Roman"/>
          <w:szCs w:val="24"/>
        </w:rPr>
        <w:tab/>
      </w:r>
      <w:r w:rsidR="00391451" w:rsidRPr="00AB0405">
        <w:rPr>
          <w:rFonts w:ascii="Times New Roman" w:hAnsi="Times New Roman"/>
          <w:szCs w:val="24"/>
        </w:rPr>
        <w:t>No assurance of confidentiality was provided.</w:t>
      </w:r>
    </w:p>
    <w:p w14:paraId="71C09CDC" w14:textId="6A7E6CAC" w:rsidR="00E60802" w:rsidRPr="00AB0405" w:rsidRDefault="00E60802" w:rsidP="000F5574">
      <w:pPr>
        <w:pStyle w:val="Heading2"/>
        <w:ind w:firstLine="0"/>
        <w:rPr>
          <w:rFonts w:ascii="Times New Roman" w:hAnsi="Times New Roman"/>
          <w:szCs w:val="24"/>
        </w:rPr>
      </w:pPr>
      <w:r w:rsidRPr="00AB0405">
        <w:rPr>
          <w:rFonts w:ascii="Times New Roman" w:hAnsi="Times New Roman"/>
          <w:szCs w:val="24"/>
        </w:rPr>
        <w:t>Sensitive Questions</w:t>
      </w:r>
    </w:p>
    <w:p w14:paraId="1D607B4D" w14:textId="77777777" w:rsidR="004B6449" w:rsidRDefault="00115915" w:rsidP="004B6449">
      <w:pPr>
        <w:spacing w:after="120" w:line="312" w:lineRule="exact"/>
        <w:ind w:firstLine="360"/>
        <w:rPr>
          <w:rFonts w:ascii="Times New Roman" w:hAnsi="Times New Roman"/>
        </w:rPr>
      </w:pPr>
      <w:r w:rsidRPr="004B6449">
        <w:rPr>
          <w:rFonts w:ascii="Times New Roman" w:hAnsi="Times New Roman"/>
          <w:szCs w:val="24"/>
        </w:rPr>
        <w:tab/>
      </w:r>
      <w:r w:rsidR="004B6449" w:rsidRPr="0044589F">
        <w:rPr>
          <w:rFonts w:ascii="Times New Roman" w:hAnsi="Times New Roman"/>
        </w:rPr>
        <w:t>No information of a sensitive nature, including social security numbers, will be required under this collection of information.</w:t>
      </w:r>
    </w:p>
    <w:p w14:paraId="0A3C99B6" w14:textId="1BF4502D" w:rsidR="004B6449" w:rsidRPr="0044589F" w:rsidRDefault="004B6449" w:rsidP="004B6449">
      <w:pPr>
        <w:spacing w:after="120" w:line="312" w:lineRule="exact"/>
        <w:ind w:firstLine="360"/>
        <w:rPr>
          <w:rFonts w:ascii="Times New Roman" w:hAnsi="Times New Roman"/>
        </w:rPr>
      </w:pPr>
      <w:r>
        <w:rPr>
          <w:rFonts w:ascii="Times New Roman" w:hAnsi="Times New Roman"/>
        </w:rPr>
        <w:tab/>
      </w:r>
      <w:r w:rsidRPr="0044589F">
        <w:rPr>
          <w:rFonts w:ascii="Times New Roman" w:hAnsi="Times New Roman"/>
        </w:rPr>
        <w:t>The information collection collects basic Personally Identifiable Information (PII) that may include name and job title</w:t>
      </w:r>
      <w:r w:rsidRPr="0044589F">
        <w:rPr>
          <w:rFonts w:ascii="Times New Roman" w:hAnsi="Times New Roman"/>
          <w:i/>
          <w:iCs/>
        </w:rPr>
        <w:t>. </w:t>
      </w:r>
      <w:r w:rsidRPr="0044589F">
        <w:rPr>
          <w:rFonts w:ascii="Times New Roman" w:hAnsi="Times New Roman"/>
        </w:rPr>
        <w:t xml:space="preserve">However, the agency has determined that the information collection does not constitute a system of record for purposes of the Privacy Act. Information is not retrieved by a personal identifier. </w:t>
      </w:r>
    </w:p>
    <w:p w14:paraId="51E1842D" w14:textId="06B497DB" w:rsidR="004B6449" w:rsidRPr="0044589F" w:rsidRDefault="004B6449" w:rsidP="004B6449">
      <w:pPr>
        <w:spacing w:after="120" w:line="312" w:lineRule="exact"/>
        <w:ind w:firstLine="360"/>
        <w:rPr>
          <w:rFonts w:ascii="Times New Roman" w:hAnsi="Times New Roman"/>
        </w:rPr>
      </w:pPr>
      <w:r>
        <w:rPr>
          <w:rFonts w:ascii="Times New Roman" w:hAnsi="Times New Roman"/>
        </w:rPr>
        <w:tab/>
      </w:r>
      <w:r w:rsidRPr="0044589F">
        <w:rPr>
          <w:rFonts w:ascii="Times New Roman" w:hAnsi="Times New Roman"/>
        </w:rPr>
        <w:t>In accordance with Section 208 of the E-Government Act of 2002, the agency has conducted a Privacy Impact Assessment (PIA) of the EDGAR system, in connection with this collection of</w:t>
      </w:r>
      <w:r w:rsidRPr="0044589F">
        <w:rPr>
          <w:rFonts w:ascii="Times New Roman" w:hAnsi="Times New Roman"/>
          <w:b/>
          <w:bCs/>
          <w:i/>
          <w:iCs/>
        </w:rPr>
        <w:t xml:space="preserve"> </w:t>
      </w:r>
      <w:r w:rsidRPr="0044589F">
        <w:rPr>
          <w:rFonts w:ascii="Times New Roman" w:hAnsi="Times New Roman"/>
        </w:rPr>
        <w:t xml:space="preserve">information. The EDGAR PIA, published on 1/29/2016, is provided as a supplemental document and is also available at </w:t>
      </w:r>
      <w:hyperlink r:id="rId9" w:history="1">
        <w:r w:rsidRPr="0044589F">
          <w:rPr>
            <w:rStyle w:val="Hyperlink"/>
            <w:rFonts w:ascii="Times New Roman" w:hAnsi="Times New Roman"/>
          </w:rPr>
          <w:t>https://www.sec.gov/privacy</w:t>
        </w:r>
      </w:hyperlink>
      <w:r w:rsidRPr="0044589F">
        <w:rPr>
          <w:rFonts w:ascii="Times New Roman" w:hAnsi="Times New Roman"/>
        </w:rPr>
        <w:t xml:space="preserve">. </w:t>
      </w:r>
    </w:p>
    <w:p w14:paraId="38ACC1A8" w14:textId="54B38CBB" w:rsidR="000E2038" w:rsidRPr="00AB0405" w:rsidRDefault="00E60802" w:rsidP="000F5574">
      <w:pPr>
        <w:pStyle w:val="Heading2"/>
        <w:ind w:firstLine="0"/>
        <w:rPr>
          <w:rFonts w:ascii="Times New Roman" w:hAnsi="Times New Roman"/>
          <w:szCs w:val="24"/>
        </w:rPr>
      </w:pPr>
      <w:r w:rsidRPr="00AB0405">
        <w:rPr>
          <w:rFonts w:ascii="Times New Roman" w:hAnsi="Times New Roman"/>
          <w:szCs w:val="24"/>
        </w:rPr>
        <w:t>Burden</w:t>
      </w:r>
      <w:r w:rsidR="00391451" w:rsidRPr="00AB0405">
        <w:rPr>
          <w:rFonts w:ascii="Times New Roman" w:hAnsi="Times New Roman"/>
          <w:szCs w:val="24"/>
        </w:rPr>
        <w:t xml:space="preserve"> of Information Collection</w:t>
      </w:r>
    </w:p>
    <w:p w14:paraId="787337EE" w14:textId="51EEA2FE" w:rsidR="00E1084E" w:rsidRPr="0044589F" w:rsidRDefault="00DA7D4B" w:rsidP="00EA76F9">
      <w:pPr>
        <w:pStyle w:val="BodyText"/>
        <w:ind w:firstLine="0"/>
        <w:rPr>
          <w:rFonts w:ascii="Times New Roman" w:hAnsi="Times New Roman"/>
        </w:rPr>
      </w:pPr>
      <w:r>
        <w:tab/>
      </w:r>
      <w:r w:rsidR="00E1084E" w:rsidRPr="0044589F">
        <w:rPr>
          <w:rFonts w:ascii="Times New Roman" w:hAnsi="Times New Roman"/>
        </w:rPr>
        <w:t>As discussed above, we are adopting amendments to modify Form N-CSR so that an accountant’s letter regarding a change in accountant will become available to the public semi-annually pursuant to an exhibit filing on Form N-CSR rather than annually as an attachment to Form N-CEN, as proposed.</w:t>
      </w:r>
      <w:r w:rsidR="00E1084E" w:rsidRPr="0044589F">
        <w:rPr>
          <w:rStyle w:val="FootnoteReference"/>
          <w:rFonts w:ascii="Times New Roman" w:hAnsi="Times New Roman"/>
        </w:rPr>
        <w:footnoteReference w:id="13"/>
      </w:r>
      <w:r w:rsidR="00E1084E" w:rsidRPr="0044589F">
        <w:rPr>
          <w:rFonts w:ascii="Times New Roman" w:hAnsi="Times New Roman"/>
        </w:rPr>
        <w:t xml:space="preserve">  We believe that this modification from the proposal will increase the hour burden associated with Form N-CSR by one-tenth of an hour</w:t>
      </w:r>
      <w:r w:rsidR="00E1084E" w:rsidRPr="0044589F">
        <w:rPr>
          <w:rStyle w:val="FootnoteReference"/>
          <w:rFonts w:ascii="Times New Roman" w:hAnsi="Times New Roman"/>
        </w:rPr>
        <w:footnoteReference w:id="14"/>
      </w:r>
      <w:r w:rsidR="00E1084E" w:rsidRPr="0044589F">
        <w:rPr>
          <w:rFonts w:ascii="Times New Roman" w:hAnsi="Times New Roman"/>
        </w:rPr>
        <w:t xml:space="preserve"> with an additional internal cost burden of $32.40 per fund.</w:t>
      </w:r>
      <w:bookmarkStart w:id="2" w:name="_Ref457994171"/>
      <w:r w:rsidR="00E1084E" w:rsidRPr="0044589F">
        <w:rPr>
          <w:rStyle w:val="FootnoteReference"/>
          <w:rFonts w:ascii="Times New Roman" w:hAnsi="Times New Roman"/>
        </w:rPr>
        <w:footnoteReference w:id="15"/>
      </w:r>
      <w:bookmarkEnd w:id="2"/>
    </w:p>
    <w:p w14:paraId="17B68D6E" w14:textId="33E1C7B9" w:rsidR="00EA76F9" w:rsidRPr="0044589F" w:rsidRDefault="00E1084E" w:rsidP="00EA76F9">
      <w:pPr>
        <w:pStyle w:val="BodyText"/>
        <w:ind w:firstLine="0"/>
        <w:rPr>
          <w:rFonts w:ascii="Times New Roman" w:hAnsi="Times New Roman"/>
        </w:rPr>
      </w:pPr>
      <w:r w:rsidRPr="0044589F">
        <w:rPr>
          <w:rFonts w:ascii="Times New Roman" w:hAnsi="Times New Roman"/>
        </w:rPr>
        <w:tab/>
        <w:t xml:space="preserve">In addition, as noted above, we are adopting an amendment to require closed-end funds include in their annual reports on Form N-CSR information concerning securities lending activities.  </w:t>
      </w:r>
      <w:r w:rsidR="00DB1D94" w:rsidRPr="0044589F">
        <w:rPr>
          <w:rFonts w:ascii="Times New Roman" w:hAnsi="Times New Roman"/>
        </w:rPr>
        <w:t xml:space="preserve">We estimate that </w:t>
      </w:r>
      <w:r w:rsidR="00EA76F9" w:rsidRPr="0044589F">
        <w:rPr>
          <w:rFonts w:ascii="Times New Roman" w:hAnsi="Times New Roman"/>
        </w:rPr>
        <w:t>these</w:t>
      </w:r>
      <w:r w:rsidR="00DB1D94" w:rsidRPr="0044589F">
        <w:rPr>
          <w:rFonts w:ascii="Times New Roman" w:hAnsi="Times New Roman"/>
        </w:rPr>
        <w:t xml:space="preserve"> amendment</w:t>
      </w:r>
      <w:r w:rsidR="00DA7D4B" w:rsidRPr="0044589F">
        <w:rPr>
          <w:rFonts w:ascii="Times New Roman" w:hAnsi="Times New Roman"/>
        </w:rPr>
        <w:t>s</w:t>
      </w:r>
      <w:r w:rsidR="00DB1D94" w:rsidRPr="0044589F">
        <w:rPr>
          <w:rFonts w:ascii="Times New Roman" w:hAnsi="Times New Roman"/>
        </w:rPr>
        <w:t xml:space="preserve"> will increase the hour burden</w:t>
      </w:r>
      <w:r w:rsidR="00EA76F9" w:rsidRPr="0044589F">
        <w:rPr>
          <w:rFonts w:ascii="Times New Roman" w:hAnsi="Times New Roman"/>
        </w:rPr>
        <w:t>s</w:t>
      </w:r>
      <w:r w:rsidR="00DB1D94" w:rsidRPr="0044589F">
        <w:rPr>
          <w:rFonts w:ascii="Times New Roman" w:hAnsi="Times New Roman"/>
        </w:rPr>
        <w:t xml:space="preserve"> associated with Form N-CSR for closed-end funds by an additional 2 burden hours with an additional internal cost burden of $648 per fund in the first year,</w:t>
      </w:r>
      <w:bookmarkStart w:id="3" w:name="_Ref462681729"/>
      <w:r w:rsidR="00DB1D94" w:rsidRPr="0044589F">
        <w:rPr>
          <w:rStyle w:val="FootnoteReference"/>
          <w:rFonts w:ascii="Times New Roman" w:hAnsi="Times New Roman"/>
        </w:rPr>
        <w:footnoteReference w:id="16"/>
      </w:r>
      <w:bookmarkEnd w:id="3"/>
      <w:r w:rsidR="00DB1D94" w:rsidRPr="0044589F">
        <w:rPr>
          <w:rFonts w:ascii="Times New Roman" w:hAnsi="Times New Roman"/>
        </w:rPr>
        <w:t xml:space="preserve"> and an additional 0.5 hours with an additional internal cost burden of $162 per fund for filings in subsequent years.</w:t>
      </w:r>
      <w:bookmarkStart w:id="4" w:name="_Ref462681734"/>
      <w:r w:rsidR="00DB1D94" w:rsidRPr="0044589F">
        <w:rPr>
          <w:rStyle w:val="FootnoteReference"/>
          <w:rFonts w:ascii="Times New Roman" w:hAnsi="Times New Roman"/>
        </w:rPr>
        <w:footnoteReference w:id="17"/>
      </w:r>
      <w:bookmarkEnd w:id="4"/>
      <w:r w:rsidR="00DB1D94" w:rsidRPr="0044589F">
        <w:rPr>
          <w:rFonts w:ascii="Times New Roman" w:hAnsi="Times New Roman"/>
        </w:rPr>
        <w:t xml:space="preserve">  Amortized over three years, the average additional annual hour burden will therefore be 1 hour per closed-end </w:t>
      </w:r>
      <w:r w:rsidR="002F7B66" w:rsidRPr="0044589F">
        <w:rPr>
          <w:rFonts w:ascii="Times New Roman" w:hAnsi="Times New Roman"/>
        </w:rPr>
        <w:t>fun</w:t>
      </w:r>
      <w:r w:rsidR="00DB1D94" w:rsidRPr="0044589F">
        <w:rPr>
          <w:rStyle w:val="FootnoteReference"/>
          <w:rFonts w:ascii="Times New Roman" w:hAnsi="Times New Roman"/>
        </w:rPr>
        <w:footnoteReference w:id="18"/>
      </w:r>
      <w:r w:rsidR="002F7B66" w:rsidRPr="0044589F">
        <w:rPr>
          <w:rFonts w:ascii="Times New Roman" w:hAnsi="Times New Roman"/>
        </w:rPr>
        <w:t xml:space="preserve"> with an additional cost burden of $324.</w:t>
      </w:r>
      <w:r w:rsidR="002F7B66" w:rsidRPr="0044589F">
        <w:rPr>
          <w:rStyle w:val="FootnoteReference"/>
          <w:rFonts w:ascii="Times New Roman" w:hAnsi="Times New Roman"/>
        </w:rPr>
        <w:footnoteReference w:id="19"/>
      </w:r>
      <w:r w:rsidR="00DB1D94" w:rsidRPr="0044589F">
        <w:rPr>
          <w:rFonts w:ascii="Times New Roman" w:hAnsi="Times New Roman"/>
        </w:rPr>
        <w:t xml:space="preserve">  </w:t>
      </w:r>
    </w:p>
    <w:p w14:paraId="2C81315F" w14:textId="1FB9118F" w:rsidR="00965BC9" w:rsidRPr="0044589F" w:rsidRDefault="00EA76F9" w:rsidP="00EA76F9">
      <w:pPr>
        <w:pStyle w:val="BodyText"/>
        <w:ind w:firstLine="0"/>
        <w:rPr>
          <w:rFonts w:ascii="Times New Roman" w:hAnsi="Times New Roman"/>
        </w:rPr>
      </w:pPr>
      <w:r w:rsidRPr="0044589F">
        <w:rPr>
          <w:rFonts w:ascii="Times New Roman" w:hAnsi="Times New Roman"/>
        </w:rPr>
        <w:tab/>
      </w:r>
      <w:r w:rsidR="00DB1D94" w:rsidRPr="0044589F">
        <w:rPr>
          <w:rFonts w:ascii="Times New Roman" w:hAnsi="Times New Roman"/>
        </w:rPr>
        <w:t xml:space="preserve">Accordingly, we estimate that, for closed-end funds, the total annual average hour burden associated with the amendments to Form N-CSR </w:t>
      </w:r>
      <w:r w:rsidR="00DA7D4B" w:rsidRPr="0044589F">
        <w:rPr>
          <w:rFonts w:ascii="Times New Roman" w:hAnsi="Times New Roman"/>
        </w:rPr>
        <w:t xml:space="preserve">for closed-end funds </w:t>
      </w:r>
      <w:r w:rsidR="00DB1D94" w:rsidRPr="0044589F">
        <w:rPr>
          <w:rFonts w:ascii="Times New Roman" w:hAnsi="Times New Roman"/>
        </w:rPr>
        <w:t>is 750 hours</w:t>
      </w:r>
      <w:r w:rsidR="002F7B66" w:rsidRPr="0044589F">
        <w:rPr>
          <w:rFonts w:ascii="Times New Roman" w:hAnsi="Times New Roman"/>
          <w:color w:val="000000" w:themeColor="text1"/>
        </w:rPr>
        <w:t>,</w:t>
      </w:r>
      <w:r w:rsidR="002F7B66" w:rsidRPr="0044589F">
        <w:rPr>
          <w:rStyle w:val="FootnoteReference"/>
          <w:rFonts w:ascii="Times New Roman" w:hAnsi="Times New Roman"/>
        </w:rPr>
        <w:footnoteReference w:id="20"/>
      </w:r>
      <w:r w:rsidR="002F7B66" w:rsidRPr="0044589F">
        <w:rPr>
          <w:rFonts w:ascii="Times New Roman" w:hAnsi="Times New Roman"/>
          <w:color w:val="000000" w:themeColor="text1"/>
        </w:rPr>
        <w:t xml:space="preserve"> at a time cost of approximately</w:t>
      </w:r>
      <w:r w:rsidR="000B423F" w:rsidRPr="0044589F">
        <w:rPr>
          <w:rFonts w:ascii="Times New Roman" w:hAnsi="Times New Roman"/>
          <w:color w:val="000000" w:themeColor="text1"/>
        </w:rPr>
        <w:t xml:space="preserve"> </w:t>
      </w:r>
      <w:r w:rsidR="002F7B66" w:rsidRPr="0044589F">
        <w:rPr>
          <w:rFonts w:ascii="Times New Roman" w:hAnsi="Times New Roman"/>
          <w:color w:val="000000" w:themeColor="text1"/>
        </w:rPr>
        <w:t>$243,000</w:t>
      </w:r>
      <w:r w:rsidR="00DB1D94" w:rsidRPr="0044589F">
        <w:rPr>
          <w:rFonts w:ascii="Times New Roman" w:hAnsi="Times New Roman"/>
        </w:rPr>
        <w:t>.</w:t>
      </w:r>
      <w:r w:rsidR="00DB1D94" w:rsidRPr="0044589F">
        <w:rPr>
          <w:rStyle w:val="FootnoteReference"/>
          <w:rFonts w:ascii="Times New Roman" w:hAnsi="Times New Roman"/>
        </w:rPr>
        <w:footnoteReference w:id="21"/>
      </w:r>
      <w:r w:rsidR="00DB1D94" w:rsidRPr="0044589F">
        <w:rPr>
          <w:rFonts w:ascii="Times New Roman" w:hAnsi="Times New Roman"/>
        </w:rPr>
        <w:t xml:space="preserve">  We </w:t>
      </w:r>
      <w:r w:rsidR="002F7B66" w:rsidRPr="0044589F">
        <w:rPr>
          <w:rFonts w:ascii="Times New Roman" w:hAnsi="Times New Roman"/>
        </w:rPr>
        <w:t>therefore estimate a</w:t>
      </w:r>
      <w:r w:rsidR="00DB1D94" w:rsidRPr="0044589F">
        <w:rPr>
          <w:rFonts w:ascii="Times New Roman" w:hAnsi="Times New Roman"/>
        </w:rPr>
        <w:t xml:space="preserve"> total annual hour burden </w:t>
      </w:r>
      <w:r w:rsidR="00E1084E" w:rsidRPr="0044589F">
        <w:rPr>
          <w:rFonts w:ascii="Times New Roman" w:hAnsi="Times New Roman"/>
        </w:rPr>
        <w:t>for Form N-CSR is</w:t>
      </w:r>
      <w:r w:rsidR="002F7B66" w:rsidRPr="0044589F">
        <w:rPr>
          <w:rFonts w:ascii="Times New Roman" w:hAnsi="Times New Roman"/>
        </w:rPr>
        <w:t xml:space="preserve"> </w:t>
      </w:r>
      <w:r w:rsidR="00DB1D94" w:rsidRPr="0044589F">
        <w:rPr>
          <w:rFonts w:ascii="Times New Roman" w:hAnsi="Times New Roman"/>
        </w:rPr>
        <w:t>172,899 hours</w:t>
      </w:r>
      <w:r w:rsidR="007D440E" w:rsidRPr="0044589F">
        <w:rPr>
          <w:rStyle w:val="FootnoteReference"/>
          <w:rFonts w:ascii="Times New Roman" w:hAnsi="Times New Roman"/>
        </w:rPr>
        <w:footnoteReference w:id="22"/>
      </w:r>
      <w:r w:rsidR="00DB1D94" w:rsidRPr="0044589F">
        <w:rPr>
          <w:rFonts w:ascii="Times New Roman" w:hAnsi="Times New Roman"/>
        </w:rPr>
        <w:t xml:space="preserve"> </w:t>
      </w:r>
      <w:r w:rsidR="002F7B66" w:rsidRPr="0044589F">
        <w:rPr>
          <w:rFonts w:ascii="Times New Roman" w:hAnsi="Times New Roman"/>
        </w:rPr>
        <w:t>and total annual cost of $</w:t>
      </w:r>
      <w:r w:rsidR="0061000F" w:rsidRPr="0044589F">
        <w:rPr>
          <w:rFonts w:ascii="Times New Roman" w:hAnsi="Times New Roman"/>
        </w:rPr>
        <w:t>56,019,276</w:t>
      </w:r>
      <w:r w:rsidR="00DB1D94" w:rsidRPr="0044589F">
        <w:rPr>
          <w:rFonts w:ascii="Times New Roman" w:hAnsi="Times New Roman"/>
        </w:rPr>
        <w:t>.</w:t>
      </w:r>
      <w:r w:rsidR="0061000F" w:rsidRPr="0044589F">
        <w:rPr>
          <w:rFonts w:ascii="Times New Roman" w:hAnsi="Times New Roman"/>
        </w:rPr>
        <w:t xml:space="preserve"> </w:t>
      </w:r>
      <w:r w:rsidR="0061000F" w:rsidRPr="0044589F">
        <w:rPr>
          <w:rStyle w:val="FootnoteReference"/>
          <w:rFonts w:ascii="Times New Roman" w:hAnsi="Times New Roman"/>
        </w:rPr>
        <w:footnoteReference w:id="23"/>
      </w:r>
      <w:r w:rsidR="00DA7D4B" w:rsidRPr="0044589F">
        <w:rPr>
          <w:rFonts w:ascii="Times New Roman" w:hAnsi="Times New Roman"/>
        </w:rPr>
        <w:t xml:space="preserve">  </w:t>
      </w:r>
    </w:p>
    <w:p w14:paraId="1F8096BF" w14:textId="35F35151" w:rsidR="00E60802" w:rsidRPr="00AB0405" w:rsidRDefault="00E60802" w:rsidP="0061000F">
      <w:pPr>
        <w:pStyle w:val="Heading2"/>
        <w:ind w:firstLine="0"/>
        <w:rPr>
          <w:rFonts w:ascii="Times New Roman" w:hAnsi="Times New Roman"/>
          <w:szCs w:val="24"/>
        </w:rPr>
      </w:pPr>
      <w:r w:rsidRPr="00AB0405">
        <w:rPr>
          <w:rFonts w:ascii="Times New Roman" w:hAnsi="Times New Roman"/>
          <w:szCs w:val="24"/>
        </w:rPr>
        <w:t xml:space="preserve">Cost </w:t>
      </w:r>
      <w:r w:rsidR="00224A25" w:rsidRPr="00AB0405">
        <w:rPr>
          <w:rFonts w:ascii="Times New Roman" w:hAnsi="Times New Roman"/>
          <w:szCs w:val="24"/>
        </w:rPr>
        <w:t>to Respondents</w:t>
      </w:r>
    </w:p>
    <w:p w14:paraId="5542312D" w14:textId="6E41DBB9" w:rsidR="00DB1D94" w:rsidRPr="00AB0405" w:rsidRDefault="00EA76F9" w:rsidP="00EA76F9">
      <w:pPr>
        <w:pStyle w:val="BodyText"/>
        <w:ind w:firstLine="0"/>
        <w:rPr>
          <w:rFonts w:ascii="Times New Roman" w:hAnsi="Times New Roman"/>
          <w:szCs w:val="24"/>
        </w:rPr>
      </w:pPr>
      <w:r>
        <w:rPr>
          <w:rFonts w:ascii="Times New Roman" w:hAnsi="Times New Roman"/>
          <w:szCs w:val="24"/>
        </w:rPr>
        <w:tab/>
      </w:r>
      <w:r w:rsidR="00E60802" w:rsidRPr="00AB0405">
        <w:rPr>
          <w:rFonts w:ascii="Times New Roman" w:hAnsi="Times New Roman"/>
          <w:szCs w:val="24"/>
        </w:rPr>
        <w:t xml:space="preserve">Cost </w:t>
      </w:r>
      <w:r w:rsidR="00E60802" w:rsidRPr="00EA76F9">
        <w:t>burden</w:t>
      </w:r>
      <w:r w:rsidR="00E60802" w:rsidRPr="00AB0405">
        <w:rPr>
          <w:rFonts w:ascii="Times New Roman" w:hAnsi="Times New Roman"/>
          <w:szCs w:val="24"/>
        </w:rPr>
        <w:t xml:space="preserve"> is the cost of goods and services purchased to prepare and </w:t>
      </w:r>
      <w:r w:rsidR="00025C39" w:rsidRPr="00AB0405">
        <w:rPr>
          <w:rFonts w:ascii="Times New Roman" w:hAnsi="Times New Roman"/>
          <w:szCs w:val="24"/>
        </w:rPr>
        <w:t xml:space="preserve">update </w:t>
      </w:r>
      <w:r w:rsidR="00691EF4" w:rsidRPr="00AB0405">
        <w:rPr>
          <w:rFonts w:ascii="Times New Roman" w:hAnsi="Times New Roman"/>
          <w:szCs w:val="24"/>
        </w:rPr>
        <w:t xml:space="preserve">filings on </w:t>
      </w:r>
      <w:r w:rsidR="00025C39" w:rsidRPr="00AB0405">
        <w:rPr>
          <w:rFonts w:ascii="Times New Roman" w:hAnsi="Times New Roman"/>
          <w:szCs w:val="24"/>
        </w:rPr>
        <w:t>Form N</w:t>
      </w:r>
      <w:r w:rsidR="00025C39" w:rsidRPr="00AB0405">
        <w:rPr>
          <w:rFonts w:ascii="Times New Roman" w:hAnsi="Times New Roman"/>
          <w:szCs w:val="24"/>
        </w:rPr>
        <w:noBreakHyphen/>
      </w:r>
      <w:r w:rsidR="00E60802" w:rsidRPr="00AB0405">
        <w:rPr>
          <w:rFonts w:ascii="Times New Roman" w:hAnsi="Times New Roman"/>
          <w:szCs w:val="24"/>
        </w:rPr>
        <w:t>CSR, such as for the services of independent</w:t>
      </w:r>
      <w:r w:rsidR="00224A25" w:rsidRPr="00AB0405">
        <w:rPr>
          <w:rFonts w:ascii="Times New Roman" w:hAnsi="Times New Roman"/>
          <w:szCs w:val="24"/>
        </w:rPr>
        <w:t xml:space="preserve"> auditors and outside counsel. </w:t>
      </w:r>
      <w:r w:rsidR="00E60802" w:rsidRPr="00AB0405">
        <w:rPr>
          <w:rFonts w:ascii="Times New Roman" w:hAnsi="Times New Roman"/>
          <w:szCs w:val="24"/>
        </w:rPr>
        <w:t>The cost burden does not include the hour burden discussed in Item 12</w:t>
      </w:r>
      <w:r w:rsidR="00224A25" w:rsidRPr="00AB0405">
        <w:rPr>
          <w:rFonts w:ascii="Times New Roman" w:hAnsi="Times New Roman"/>
          <w:szCs w:val="24"/>
        </w:rPr>
        <w:t xml:space="preserve"> above</w:t>
      </w:r>
      <w:r w:rsidR="00E60802" w:rsidRPr="00AB0405">
        <w:rPr>
          <w:rFonts w:ascii="Times New Roman" w:hAnsi="Times New Roman"/>
          <w:szCs w:val="24"/>
        </w:rPr>
        <w:t xml:space="preserve">. Estimates are based on the Commission’s experience with the filing of </w:t>
      </w:r>
      <w:r w:rsidR="00224A25" w:rsidRPr="00AB0405">
        <w:rPr>
          <w:rFonts w:ascii="Times New Roman" w:hAnsi="Times New Roman"/>
          <w:szCs w:val="24"/>
        </w:rPr>
        <w:t>reports on Form N</w:t>
      </w:r>
      <w:r w:rsidR="00224A25" w:rsidRPr="00AB0405">
        <w:rPr>
          <w:rFonts w:ascii="Times New Roman" w:hAnsi="Times New Roman"/>
          <w:szCs w:val="24"/>
        </w:rPr>
        <w:noBreakHyphen/>
        <w:t>CSR</w:t>
      </w:r>
      <w:r w:rsidR="00E60802" w:rsidRPr="00AB0405">
        <w:rPr>
          <w:rFonts w:ascii="Times New Roman" w:hAnsi="Times New Roman"/>
          <w:szCs w:val="24"/>
        </w:rPr>
        <w:t>.</w:t>
      </w:r>
    </w:p>
    <w:p w14:paraId="7A98CD12" w14:textId="1139DD50" w:rsidR="00965BC9" w:rsidRDefault="00EA76F9" w:rsidP="00EA76F9">
      <w:pPr>
        <w:pStyle w:val="BodyText"/>
        <w:ind w:firstLine="0"/>
      </w:pPr>
      <w:r>
        <w:rPr>
          <w:bCs/>
        </w:rPr>
        <w:tab/>
        <w:t>W</w:t>
      </w:r>
      <w:r w:rsidR="00965BC9">
        <w:rPr>
          <w:bCs/>
        </w:rPr>
        <w:t xml:space="preserve">e </w:t>
      </w:r>
      <w:r w:rsidR="00965BC9" w:rsidRPr="00EA76F9">
        <w:t>estimate</w:t>
      </w:r>
      <w:r w:rsidR="00965BC9" w:rsidRPr="007B0C71">
        <w:rPr>
          <w:bCs/>
        </w:rPr>
        <w:t xml:space="preserve"> that the annual cost of outside services associated with </w:t>
      </w:r>
      <w:r w:rsidR="00965BC9">
        <w:rPr>
          <w:bCs/>
        </w:rPr>
        <w:t xml:space="preserve">Form N-CSR is </w:t>
      </w:r>
      <w:r w:rsidR="00763101">
        <w:rPr>
          <w:bCs/>
        </w:rPr>
        <w:t xml:space="preserve">left unchanged at </w:t>
      </w:r>
      <w:r w:rsidR="00965BC9" w:rsidRPr="00763101">
        <w:rPr>
          <w:rFonts w:ascii="Times New Roman" w:hAnsi="Times New Roman"/>
          <w:bCs/>
        </w:rPr>
        <w:t xml:space="preserve">approximately </w:t>
      </w:r>
      <w:r w:rsidR="00965BC9" w:rsidRPr="00763101">
        <w:rPr>
          <w:rFonts w:ascii="Times New Roman" w:hAnsi="Times New Roman"/>
        </w:rPr>
        <w:t>$</w:t>
      </w:r>
      <w:r w:rsidR="00763101" w:rsidRPr="00763101">
        <w:rPr>
          <w:rFonts w:ascii="Times New Roman" w:hAnsi="Times New Roman"/>
        </w:rPr>
        <w:t>132</w:t>
      </w:r>
      <w:r w:rsidR="00965BC9" w:rsidRPr="00763101">
        <w:rPr>
          <w:rFonts w:ascii="Times New Roman" w:hAnsi="Times New Roman"/>
        </w:rPr>
        <w:t xml:space="preserve"> per fund and</w:t>
      </w:r>
      <w:r w:rsidR="00DB1D94" w:rsidRPr="00763101">
        <w:rPr>
          <w:rFonts w:ascii="Times New Roman" w:hAnsi="Times New Roman"/>
        </w:rPr>
        <w:t xml:space="preserve"> the total annual external cost burden for Form N-CSR </w:t>
      </w:r>
      <w:r w:rsidR="00965BC9" w:rsidRPr="00763101">
        <w:rPr>
          <w:rFonts w:ascii="Times New Roman" w:hAnsi="Times New Roman"/>
        </w:rPr>
        <w:t>is</w:t>
      </w:r>
      <w:r w:rsidR="00763101" w:rsidRPr="00763101">
        <w:rPr>
          <w:rFonts w:ascii="Times New Roman" w:hAnsi="Times New Roman"/>
        </w:rPr>
        <w:t xml:space="preserve"> $</w:t>
      </w:r>
      <w:r w:rsidR="00763101" w:rsidRPr="00763101">
        <w:rPr>
          <w:rFonts w:ascii="Times New Roman" w:hAnsi="Times New Roman"/>
          <w:szCs w:val="24"/>
        </w:rPr>
        <w:t>3,129,984</w:t>
      </w:r>
      <w:r w:rsidR="00763101">
        <w:t>.</w:t>
      </w:r>
      <w:r w:rsidR="00763101">
        <w:rPr>
          <w:rStyle w:val="FootnoteReference"/>
        </w:rPr>
        <w:footnoteReference w:id="24"/>
      </w:r>
    </w:p>
    <w:p w14:paraId="58C48699" w14:textId="0FE8095A" w:rsidR="00E60802" w:rsidRPr="00AB0405" w:rsidRDefault="00E60802" w:rsidP="0061000F">
      <w:pPr>
        <w:pStyle w:val="Heading2"/>
        <w:ind w:firstLine="0"/>
        <w:rPr>
          <w:rFonts w:ascii="Times New Roman" w:hAnsi="Times New Roman"/>
          <w:szCs w:val="24"/>
        </w:rPr>
      </w:pPr>
      <w:r w:rsidRPr="00AB0405">
        <w:rPr>
          <w:rFonts w:ascii="Times New Roman" w:hAnsi="Times New Roman"/>
          <w:szCs w:val="24"/>
        </w:rPr>
        <w:t>Cost to Federal Government</w:t>
      </w:r>
    </w:p>
    <w:p w14:paraId="08C4EEB7" w14:textId="03243B34" w:rsidR="00810D66" w:rsidRPr="003024BD" w:rsidRDefault="00BA50C1" w:rsidP="000F5574">
      <w:pPr>
        <w:pStyle w:val="BodyText"/>
        <w:ind w:firstLine="0"/>
        <w:rPr>
          <w:rFonts w:ascii="Times New Roman" w:hAnsi="Times New Roman"/>
          <w:szCs w:val="24"/>
        </w:rPr>
      </w:pPr>
      <w:r>
        <w:rPr>
          <w:rFonts w:ascii="Times New Roman" w:hAnsi="Times New Roman"/>
          <w:szCs w:val="24"/>
        </w:rPr>
        <w:tab/>
      </w:r>
      <w:r w:rsidR="00025C39" w:rsidRPr="00AB0405">
        <w:rPr>
          <w:rFonts w:ascii="Times New Roman" w:hAnsi="Times New Roman"/>
          <w:szCs w:val="24"/>
        </w:rPr>
        <w:t>The annual cost of reviewing and processing</w:t>
      </w:r>
      <w:r w:rsidR="00ED7C32" w:rsidRPr="00AB0405">
        <w:rPr>
          <w:rFonts w:ascii="Times New Roman" w:hAnsi="Times New Roman"/>
          <w:szCs w:val="24"/>
        </w:rPr>
        <w:t xml:space="preserve"> disclosure documents, including</w:t>
      </w:r>
      <w:r w:rsidR="00025C39" w:rsidRPr="00AB0405">
        <w:rPr>
          <w:rFonts w:ascii="Times New Roman" w:hAnsi="Times New Roman"/>
          <w:szCs w:val="24"/>
        </w:rPr>
        <w:t xml:space="preserve"> n</w:t>
      </w:r>
      <w:r w:rsidR="003E2A76" w:rsidRPr="00AB0405">
        <w:rPr>
          <w:rFonts w:ascii="Times New Roman" w:hAnsi="Times New Roman"/>
          <w:szCs w:val="24"/>
        </w:rPr>
        <w:t xml:space="preserve">ew registration statements, </w:t>
      </w:r>
      <w:r w:rsidR="00025C39" w:rsidRPr="00AB0405">
        <w:rPr>
          <w:rFonts w:ascii="Times New Roman" w:hAnsi="Times New Roman"/>
          <w:szCs w:val="24"/>
        </w:rPr>
        <w:t>post</w:t>
      </w:r>
      <w:r w:rsidR="00025C39" w:rsidRPr="00AB0405">
        <w:rPr>
          <w:rFonts w:ascii="Times New Roman" w:hAnsi="Times New Roman"/>
          <w:szCs w:val="24"/>
        </w:rPr>
        <w:noBreakHyphen/>
        <w:t>effective amendments</w:t>
      </w:r>
      <w:r w:rsidR="003E2A76" w:rsidRPr="00AB0405">
        <w:rPr>
          <w:rFonts w:ascii="Times New Roman" w:hAnsi="Times New Roman"/>
          <w:szCs w:val="24"/>
        </w:rPr>
        <w:t xml:space="preserve">, proxy statements, </w:t>
      </w:r>
      <w:r w:rsidR="003E2A76" w:rsidRPr="003024BD">
        <w:rPr>
          <w:rFonts w:ascii="Times New Roman" w:hAnsi="Times New Roman"/>
          <w:szCs w:val="24"/>
        </w:rPr>
        <w:t>shareholder reports</w:t>
      </w:r>
      <w:r w:rsidR="00ED7C32" w:rsidRPr="003024BD">
        <w:rPr>
          <w:rFonts w:ascii="Times New Roman" w:hAnsi="Times New Roman"/>
          <w:szCs w:val="24"/>
        </w:rPr>
        <w:t>, and other filings</w:t>
      </w:r>
      <w:r w:rsidR="003E2A76" w:rsidRPr="003024BD">
        <w:rPr>
          <w:rFonts w:ascii="Times New Roman" w:hAnsi="Times New Roman"/>
          <w:szCs w:val="24"/>
        </w:rPr>
        <w:t xml:space="preserve"> </w:t>
      </w:r>
      <w:r w:rsidR="00025C39" w:rsidRPr="003024BD">
        <w:rPr>
          <w:rFonts w:ascii="Times New Roman" w:hAnsi="Times New Roman"/>
          <w:szCs w:val="24"/>
        </w:rPr>
        <w:t xml:space="preserve">of investment companies amounted to approximately </w:t>
      </w:r>
      <w:r w:rsidR="00BB537A" w:rsidRPr="00763101">
        <w:rPr>
          <w:rFonts w:ascii="Times New Roman" w:hAnsi="Times New Roman"/>
          <w:szCs w:val="24"/>
        </w:rPr>
        <w:t>$</w:t>
      </w:r>
      <w:r w:rsidR="0061000F" w:rsidRPr="00763101">
        <w:rPr>
          <w:rFonts w:ascii="Times New Roman" w:hAnsi="Times New Roman"/>
          <w:szCs w:val="24"/>
        </w:rPr>
        <w:t>22.9</w:t>
      </w:r>
      <w:r w:rsidR="00490CF7" w:rsidRPr="003024BD">
        <w:rPr>
          <w:rFonts w:ascii="Times New Roman" w:hAnsi="Times New Roman"/>
          <w:b/>
          <w:szCs w:val="24"/>
        </w:rPr>
        <w:t xml:space="preserve"> </w:t>
      </w:r>
      <w:r w:rsidR="00490CF7" w:rsidRPr="003024BD">
        <w:rPr>
          <w:rFonts w:ascii="Times New Roman" w:hAnsi="Times New Roman"/>
          <w:szCs w:val="24"/>
        </w:rPr>
        <w:t xml:space="preserve">million in fiscal year </w:t>
      </w:r>
      <w:r w:rsidR="0061000F" w:rsidRPr="003024BD">
        <w:rPr>
          <w:rFonts w:ascii="Times New Roman" w:hAnsi="Times New Roman"/>
          <w:szCs w:val="24"/>
        </w:rPr>
        <w:t>2016</w:t>
      </w:r>
      <w:r w:rsidR="00025C39" w:rsidRPr="003024BD">
        <w:rPr>
          <w:rFonts w:ascii="Times New Roman" w:hAnsi="Times New Roman"/>
          <w:szCs w:val="24"/>
        </w:rPr>
        <w:t>, based on the Commission’s computation of the value of staff time devoted to this activity and related overhead.</w:t>
      </w:r>
    </w:p>
    <w:p w14:paraId="06068780" w14:textId="0DC43DBD" w:rsidR="00E60802" w:rsidRPr="003024BD" w:rsidRDefault="00E60802" w:rsidP="000F5574">
      <w:pPr>
        <w:pStyle w:val="Heading2"/>
        <w:ind w:firstLine="0"/>
        <w:rPr>
          <w:rFonts w:ascii="Times New Roman" w:hAnsi="Times New Roman"/>
          <w:szCs w:val="24"/>
        </w:rPr>
      </w:pPr>
      <w:r w:rsidRPr="003024BD">
        <w:rPr>
          <w:rFonts w:ascii="Times New Roman" w:hAnsi="Times New Roman"/>
          <w:szCs w:val="24"/>
        </w:rPr>
        <w:t>Changes in Burden</w:t>
      </w:r>
    </w:p>
    <w:p w14:paraId="3520126B" w14:textId="093681FD" w:rsidR="00ED7C32" w:rsidRPr="00763101" w:rsidRDefault="00032647" w:rsidP="000F5574">
      <w:pPr>
        <w:pStyle w:val="BodyText"/>
        <w:ind w:firstLine="0"/>
        <w:rPr>
          <w:rFonts w:ascii="Times New Roman" w:hAnsi="Times New Roman"/>
          <w:b/>
          <w:bCs/>
          <w:szCs w:val="24"/>
        </w:rPr>
      </w:pPr>
      <w:r w:rsidRPr="00763101">
        <w:rPr>
          <w:rFonts w:ascii="Times New Roman" w:hAnsi="Times New Roman"/>
          <w:szCs w:val="24"/>
        </w:rPr>
        <w:tab/>
      </w:r>
      <w:r w:rsidR="00ED7C32" w:rsidRPr="00763101">
        <w:rPr>
          <w:rFonts w:ascii="Times New Roman" w:hAnsi="Times New Roman"/>
          <w:szCs w:val="24"/>
        </w:rPr>
        <w:t>The estimated hourly burden associated with Form N</w:t>
      </w:r>
      <w:r w:rsidR="00ED7C32" w:rsidRPr="00763101">
        <w:rPr>
          <w:rFonts w:ascii="Times New Roman" w:hAnsi="Times New Roman"/>
          <w:szCs w:val="24"/>
        </w:rPr>
        <w:noBreakHyphen/>
        <w:t xml:space="preserve">CSR has </w:t>
      </w:r>
      <w:r w:rsidR="00CF63CB" w:rsidRPr="00763101">
        <w:rPr>
          <w:rFonts w:ascii="Times New Roman" w:hAnsi="Times New Roman"/>
          <w:szCs w:val="24"/>
        </w:rPr>
        <w:t>increased</w:t>
      </w:r>
      <w:r w:rsidR="00ED7C32" w:rsidRPr="00763101">
        <w:rPr>
          <w:rFonts w:ascii="Times New Roman" w:hAnsi="Times New Roman"/>
          <w:szCs w:val="24"/>
        </w:rPr>
        <w:t xml:space="preserve"> from 167,878 hours </w:t>
      </w:r>
      <w:r w:rsidR="00CF63CB" w:rsidRPr="00763101">
        <w:rPr>
          <w:rFonts w:ascii="Times New Roman" w:hAnsi="Times New Roman"/>
          <w:szCs w:val="24"/>
        </w:rPr>
        <w:t>to 172,899 (an increase of 5,021)</w:t>
      </w:r>
      <w:r w:rsidR="00ED7C32" w:rsidRPr="00763101">
        <w:rPr>
          <w:rFonts w:ascii="Times New Roman" w:hAnsi="Times New Roman"/>
          <w:szCs w:val="24"/>
        </w:rPr>
        <w:t xml:space="preserve">. This </w:t>
      </w:r>
      <w:r w:rsidR="00CF63CB" w:rsidRPr="00763101">
        <w:rPr>
          <w:rFonts w:ascii="Times New Roman" w:hAnsi="Times New Roman"/>
          <w:szCs w:val="24"/>
        </w:rPr>
        <w:t>increase</w:t>
      </w:r>
      <w:r w:rsidR="00ED7C32" w:rsidRPr="00763101">
        <w:rPr>
          <w:rFonts w:ascii="Times New Roman" w:hAnsi="Times New Roman"/>
          <w:szCs w:val="24"/>
        </w:rPr>
        <w:t xml:space="preserve"> is due</w:t>
      </w:r>
      <w:r w:rsidR="00CF63CB" w:rsidRPr="00763101">
        <w:rPr>
          <w:rFonts w:ascii="Times New Roman" w:hAnsi="Times New Roman"/>
          <w:szCs w:val="24"/>
        </w:rPr>
        <w:t>, in part,</w:t>
      </w:r>
      <w:r w:rsidR="00ED7C32" w:rsidRPr="00763101">
        <w:rPr>
          <w:rFonts w:ascii="Times New Roman" w:hAnsi="Times New Roman"/>
          <w:szCs w:val="24"/>
        </w:rPr>
        <w:t xml:space="preserve"> to a </w:t>
      </w:r>
      <w:r w:rsidR="00CF63CB" w:rsidRPr="00763101">
        <w:rPr>
          <w:rFonts w:ascii="Times New Roman" w:hAnsi="Times New Roman"/>
          <w:szCs w:val="24"/>
        </w:rPr>
        <w:t>increase</w:t>
      </w:r>
      <w:r w:rsidR="00ED7C32" w:rsidRPr="00763101">
        <w:rPr>
          <w:rFonts w:ascii="Times New Roman" w:hAnsi="Times New Roman"/>
          <w:szCs w:val="24"/>
        </w:rPr>
        <w:t xml:space="preserve"> in the </w:t>
      </w:r>
      <w:r w:rsidR="00CF63CB" w:rsidRPr="00763101">
        <w:rPr>
          <w:rFonts w:ascii="Times New Roman" w:hAnsi="Times New Roman"/>
          <w:szCs w:val="24"/>
        </w:rPr>
        <w:t>burdens for closed-end funds</w:t>
      </w:r>
      <w:r w:rsidR="00ED7C32" w:rsidRPr="00763101">
        <w:rPr>
          <w:rFonts w:ascii="Times New Roman" w:hAnsi="Times New Roman"/>
          <w:szCs w:val="24"/>
        </w:rPr>
        <w:t xml:space="preserve">. The estimated cost burden associated with </w:t>
      </w:r>
      <w:r w:rsidR="007D440E">
        <w:rPr>
          <w:rFonts w:ascii="Times New Roman" w:hAnsi="Times New Roman"/>
          <w:szCs w:val="24"/>
        </w:rPr>
        <w:t xml:space="preserve">Form N-CSR has increased from </w:t>
      </w:r>
      <w:r w:rsidR="00ED7C32" w:rsidRPr="00763101">
        <w:rPr>
          <w:rFonts w:ascii="Times New Roman" w:hAnsi="Times New Roman"/>
          <w:szCs w:val="24"/>
        </w:rPr>
        <w:t>$3,081,637</w:t>
      </w:r>
      <w:r w:rsidR="00CF63CB" w:rsidRPr="00763101">
        <w:rPr>
          <w:rFonts w:ascii="Times New Roman" w:hAnsi="Times New Roman"/>
          <w:szCs w:val="24"/>
        </w:rPr>
        <w:t xml:space="preserve"> to </w:t>
      </w:r>
      <w:r w:rsidR="00763101" w:rsidRPr="00763101">
        <w:rPr>
          <w:rFonts w:ascii="Times New Roman" w:hAnsi="Times New Roman"/>
          <w:szCs w:val="24"/>
        </w:rPr>
        <w:t>$3,129,984</w:t>
      </w:r>
      <w:r w:rsidR="007D440E">
        <w:rPr>
          <w:rFonts w:ascii="Times New Roman" w:hAnsi="Times New Roman"/>
          <w:szCs w:val="24"/>
        </w:rPr>
        <w:t xml:space="preserve"> </w:t>
      </w:r>
      <w:r w:rsidR="00763101" w:rsidRPr="00763101">
        <w:rPr>
          <w:rFonts w:ascii="Times New Roman" w:hAnsi="Times New Roman"/>
          <w:szCs w:val="24"/>
        </w:rPr>
        <w:t xml:space="preserve">(an increase </w:t>
      </w:r>
      <w:r w:rsidR="00ED7C32" w:rsidRPr="00763101">
        <w:rPr>
          <w:rFonts w:ascii="Times New Roman" w:hAnsi="Times New Roman"/>
          <w:szCs w:val="24"/>
        </w:rPr>
        <w:t>of $</w:t>
      </w:r>
      <w:r w:rsidR="00763101" w:rsidRPr="00763101">
        <w:rPr>
          <w:rFonts w:ascii="Times New Roman" w:hAnsi="Times New Roman"/>
          <w:szCs w:val="24"/>
        </w:rPr>
        <w:t xml:space="preserve">48,347). </w:t>
      </w:r>
      <w:r w:rsidR="00763101" w:rsidRPr="00763101">
        <w:rPr>
          <w:rFonts w:ascii="Times New Roman" w:hAnsi="Times New Roman"/>
        </w:rPr>
        <w:t>This increase is due to an increase in the number of annual filings.</w:t>
      </w:r>
    </w:p>
    <w:p w14:paraId="756B5656" w14:textId="54F5D098" w:rsidR="00E60802" w:rsidRPr="00AB0405" w:rsidRDefault="00E60802" w:rsidP="000F5574">
      <w:pPr>
        <w:pStyle w:val="Heading2"/>
        <w:ind w:firstLine="0"/>
        <w:rPr>
          <w:rFonts w:ascii="Times New Roman" w:hAnsi="Times New Roman"/>
          <w:szCs w:val="24"/>
        </w:rPr>
      </w:pPr>
      <w:r w:rsidRPr="00AB0405">
        <w:rPr>
          <w:rFonts w:ascii="Times New Roman" w:hAnsi="Times New Roman"/>
          <w:szCs w:val="24"/>
        </w:rPr>
        <w:t>Information Collection Planned for Statistical Purposes</w:t>
      </w:r>
    </w:p>
    <w:p w14:paraId="540523BF" w14:textId="76F62642" w:rsidR="00E60802" w:rsidRPr="00AB0405" w:rsidRDefault="00032647" w:rsidP="000F5574">
      <w:pPr>
        <w:pStyle w:val="BodyText"/>
        <w:ind w:firstLine="0"/>
        <w:rPr>
          <w:rFonts w:ascii="Times New Roman" w:hAnsi="Times New Roman"/>
          <w:szCs w:val="24"/>
        </w:rPr>
      </w:pPr>
      <w:r>
        <w:rPr>
          <w:rFonts w:ascii="Times New Roman" w:hAnsi="Times New Roman"/>
          <w:szCs w:val="24"/>
        </w:rPr>
        <w:tab/>
      </w:r>
      <w:r w:rsidR="00ED7C32" w:rsidRPr="00AB0405">
        <w:rPr>
          <w:rFonts w:ascii="Times New Roman" w:hAnsi="Times New Roman"/>
          <w:szCs w:val="24"/>
        </w:rPr>
        <w:t>The results of any information collection will not be published.</w:t>
      </w:r>
    </w:p>
    <w:p w14:paraId="64394940" w14:textId="27DAD4FE" w:rsidR="00E60802" w:rsidRPr="00AB0405" w:rsidRDefault="00374602" w:rsidP="000F5574">
      <w:pPr>
        <w:pStyle w:val="Heading2"/>
        <w:ind w:firstLine="0"/>
        <w:rPr>
          <w:rFonts w:ascii="Times New Roman" w:hAnsi="Times New Roman"/>
          <w:szCs w:val="24"/>
        </w:rPr>
      </w:pPr>
      <w:r w:rsidRPr="00AB0405">
        <w:rPr>
          <w:rFonts w:ascii="Times New Roman" w:hAnsi="Times New Roman"/>
          <w:szCs w:val="24"/>
        </w:rPr>
        <w:t xml:space="preserve">Approval to </w:t>
      </w:r>
      <w:r w:rsidR="00ED7C32" w:rsidRPr="00AB0405">
        <w:rPr>
          <w:rFonts w:ascii="Times New Roman" w:hAnsi="Times New Roman"/>
          <w:szCs w:val="24"/>
        </w:rPr>
        <w:t xml:space="preserve">Omit OMB </w:t>
      </w:r>
      <w:r w:rsidR="00E60802" w:rsidRPr="00AB0405">
        <w:rPr>
          <w:rFonts w:ascii="Times New Roman" w:hAnsi="Times New Roman"/>
          <w:szCs w:val="24"/>
        </w:rPr>
        <w:t>Expiration Date</w:t>
      </w:r>
    </w:p>
    <w:p w14:paraId="3E572075" w14:textId="75F436C3" w:rsidR="00E60802" w:rsidRPr="00B867AE" w:rsidRDefault="00032647" w:rsidP="00B867AE">
      <w:pPr>
        <w:pStyle w:val="BodyTextIndent3"/>
        <w:rPr>
          <w:color w:val="000000"/>
        </w:rPr>
      </w:pPr>
      <w:r>
        <w:rPr>
          <w:rFonts w:ascii="Times New Roman" w:hAnsi="Times New Roman"/>
          <w:szCs w:val="24"/>
        </w:rPr>
        <w:tab/>
      </w:r>
      <w:r w:rsidR="00B867AE">
        <w:rPr>
          <w:color w:val="000000"/>
        </w:rPr>
        <w:t>We request authorization to omit the expiration date on the electronic version of the form for design and IT project scheduling reasons.  The OMB control number will be displayed.</w:t>
      </w:r>
    </w:p>
    <w:p w14:paraId="2F85014C" w14:textId="624741A0" w:rsidR="00E60802" w:rsidRPr="00AB0405" w:rsidRDefault="00E60802" w:rsidP="000F5574">
      <w:pPr>
        <w:pStyle w:val="Heading2"/>
        <w:ind w:firstLine="0"/>
        <w:rPr>
          <w:rFonts w:ascii="Times New Roman" w:hAnsi="Times New Roman"/>
          <w:szCs w:val="24"/>
        </w:rPr>
      </w:pPr>
      <w:r w:rsidRPr="00AB0405">
        <w:rPr>
          <w:rFonts w:ascii="Times New Roman" w:hAnsi="Times New Roman"/>
          <w:szCs w:val="24"/>
        </w:rPr>
        <w:t xml:space="preserve">Exceptions to Certification </w:t>
      </w:r>
      <w:r w:rsidR="007D1DF4">
        <w:rPr>
          <w:rFonts w:ascii="Times New Roman" w:hAnsi="Times New Roman"/>
          <w:szCs w:val="24"/>
        </w:rPr>
        <w:t xml:space="preserve">Statement </w:t>
      </w:r>
      <w:r w:rsidR="00ED7C32" w:rsidRPr="00AB0405">
        <w:rPr>
          <w:rFonts w:ascii="Times New Roman" w:hAnsi="Times New Roman"/>
          <w:szCs w:val="24"/>
        </w:rPr>
        <w:t>for Paperwork Reduction Act Submission</w:t>
      </w:r>
    </w:p>
    <w:p w14:paraId="0DF6A47C" w14:textId="53496390" w:rsidR="00E60802" w:rsidRPr="00AB0405" w:rsidRDefault="00032647" w:rsidP="000F5574">
      <w:pPr>
        <w:pStyle w:val="BodyText"/>
        <w:ind w:firstLine="0"/>
        <w:rPr>
          <w:rFonts w:ascii="Times New Roman" w:hAnsi="Times New Roman"/>
          <w:szCs w:val="24"/>
        </w:rPr>
      </w:pPr>
      <w:r>
        <w:rPr>
          <w:rFonts w:ascii="Times New Roman" w:hAnsi="Times New Roman"/>
          <w:szCs w:val="24"/>
        </w:rPr>
        <w:tab/>
      </w:r>
      <w:r w:rsidR="00ED7C32" w:rsidRPr="00AB0405">
        <w:rPr>
          <w:rFonts w:ascii="Times New Roman" w:hAnsi="Times New Roman"/>
          <w:szCs w:val="24"/>
        </w:rPr>
        <w:t>The Commission is not seeking an exception to the certification statement.</w:t>
      </w:r>
    </w:p>
    <w:p w14:paraId="4A10D960" w14:textId="0E5842F9" w:rsidR="00E60802" w:rsidRPr="00AB0405" w:rsidRDefault="001569F8" w:rsidP="000F5574">
      <w:pPr>
        <w:pStyle w:val="Heading1"/>
        <w:ind w:firstLine="0"/>
        <w:rPr>
          <w:rFonts w:ascii="Times New Roman" w:hAnsi="Times New Roman"/>
        </w:rPr>
      </w:pPr>
      <w:r w:rsidRPr="00AB0405">
        <w:rPr>
          <w:rFonts w:ascii="Times New Roman" w:hAnsi="Times New Roman"/>
        </w:rPr>
        <w:t>Collection</w:t>
      </w:r>
      <w:r w:rsidR="00E60802" w:rsidRPr="00AB0405">
        <w:rPr>
          <w:rFonts w:ascii="Times New Roman" w:hAnsi="Times New Roman"/>
        </w:rPr>
        <w:t xml:space="preserve"> of Information Employing Statistical Methods</w:t>
      </w:r>
    </w:p>
    <w:p w14:paraId="7E4D40AC" w14:textId="417D5B7C" w:rsidR="00E60802" w:rsidRPr="00AB0405" w:rsidRDefault="00032647" w:rsidP="000F5574">
      <w:pPr>
        <w:pStyle w:val="BodyText"/>
        <w:ind w:firstLine="0"/>
        <w:rPr>
          <w:rFonts w:ascii="Times New Roman" w:hAnsi="Times New Roman"/>
          <w:szCs w:val="24"/>
        </w:rPr>
      </w:pPr>
      <w:r>
        <w:rPr>
          <w:rFonts w:ascii="Times New Roman" w:hAnsi="Times New Roman"/>
          <w:szCs w:val="24"/>
        </w:rPr>
        <w:tab/>
      </w:r>
      <w:r w:rsidR="001569F8" w:rsidRPr="00AB0405">
        <w:rPr>
          <w:rFonts w:ascii="Times New Roman" w:hAnsi="Times New Roman"/>
          <w:szCs w:val="24"/>
        </w:rPr>
        <w:t>The collection of information will not employ statistical methods.</w:t>
      </w:r>
    </w:p>
    <w:sectPr w:rsidR="00E60802" w:rsidRPr="00AB0405" w:rsidSect="002F7FB5">
      <w:footerReference w:type="even" r:id="rId10"/>
      <w:footerReference w:type="default" r:id="rId11"/>
      <w:pgSz w:w="12240" w:h="15840"/>
      <w:pgMar w:top="1440" w:right="1800" w:bottom="162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C49EC" w14:textId="77777777" w:rsidR="00ED7C32" w:rsidRDefault="00ED7C32">
      <w:r>
        <w:separator/>
      </w:r>
    </w:p>
  </w:endnote>
  <w:endnote w:type="continuationSeparator" w:id="0">
    <w:p w14:paraId="44E96352" w14:textId="77777777" w:rsidR="00ED7C32" w:rsidRDefault="00ED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EB3AD" w14:textId="77777777" w:rsidR="00ED7C32" w:rsidRDefault="00ED7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DFCAEB" w14:textId="77777777" w:rsidR="00ED7C32" w:rsidRDefault="00ED7C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AAE1C" w14:textId="77777777" w:rsidR="00ED7C32" w:rsidRDefault="00ED7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67AE">
      <w:rPr>
        <w:rStyle w:val="PageNumber"/>
        <w:noProof/>
      </w:rPr>
      <w:t>6</w:t>
    </w:r>
    <w:r>
      <w:rPr>
        <w:rStyle w:val="PageNumber"/>
      </w:rPr>
      <w:fldChar w:fldCharType="end"/>
    </w:r>
  </w:p>
  <w:p w14:paraId="47462889" w14:textId="77777777" w:rsidR="00ED7C32" w:rsidRDefault="00ED7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711B3" w14:textId="77777777" w:rsidR="00ED7C32" w:rsidRDefault="00ED7C32">
      <w:r>
        <w:separator/>
      </w:r>
    </w:p>
  </w:footnote>
  <w:footnote w:type="continuationSeparator" w:id="0">
    <w:p w14:paraId="593D4ACE" w14:textId="77777777" w:rsidR="00ED7C32" w:rsidRDefault="00ED7C32">
      <w:r>
        <w:continuationSeparator/>
      </w:r>
    </w:p>
  </w:footnote>
  <w:footnote w:id="1">
    <w:p w14:paraId="5300160B" w14:textId="02E82E92" w:rsidR="00ED7C32" w:rsidRPr="00AB0405" w:rsidRDefault="00ED7C32" w:rsidP="00AB0405">
      <w:pPr>
        <w:pStyle w:val="FootnoteText"/>
        <w:spacing w:line="240" w:lineRule="auto"/>
        <w:rPr>
          <w:rFonts w:ascii="Times New Roman" w:hAnsi="Times New Roman"/>
          <w:sz w:val="20"/>
        </w:rPr>
      </w:pPr>
      <w:r w:rsidRPr="00AB0405">
        <w:rPr>
          <w:rStyle w:val="FootnoteReference"/>
          <w:rFonts w:ascii="Times New Roman" w:hAnsi="Times New Roman"/>
          <w:sz w:val="20"/>
        </w:rPr>
        <w:footnoteRef/>
      </w:r>
      <w:r w:rsidRPr="00AB0405">
        <w:rPr>
          <w:rFonts w:ascii="Times New Roman" w:hAnsi="Times New Roman"/>
          <w:sz w:val="20"/>
        </w:rPr>
        <w:t xml:space="preserve"> </w:t>
      </w:r>
      <w:r w:rsidRPr="00AB0405">
        <w:rPr>
          <w:rFonts w:ascii="Times New Roman" w:hAnsi="Times New Roman"/>
          <w:sz w:val="20"/>
        </w:rPr>
        <w:tab/>
        <w:t>17 CFR 249.331 and 274.128.</w:t>
      </w:r>
    </w:p>
  </w:footnote>
  <w:footnote w:id="2">
    <w:p w14:paraId="119853A7" w14:textId="55515B22" w:rsidR="00ED7C32" w:rsidRPr="00AB0405" w:rsidRDefault="00ED7C32" w:rsidP="00AB0405">
      <w:pPr>
        <w:pStyle w:val="FootnoteText"/>
        <w:spacing w:line="240" w:lineRule="auto"/>
        <w:rPr>
          <w:rFonts w:ascii="Times New Roman" w:hAnsi="Times New Roman"/>
          <w:sz w:val="20"/>
        </w:rPr>
      </w:pPr>
      <w:r w:rsidRPr="00AB0405">
        <w:rPr>
          <w:rStyle w:val="FootnoteReference"/>
          <w:rFonts w:ascii="Times New Roman" w:hAnsi="Times New Roman"/>
          <w:sz w:val="20"/>
        </w:rPr>
        <w:footnoteRef/>
      </w:r>
      <w:r w:rsidRPr="00AB0405">
        <w:rPr>
          <w:rFonts w:ascii="Times New Roman" w:hAnsi="Times New Roman"/>
          <w:sz w:val="20"/>
        </w:rPr>
        <w:t xml:space="preserve"> </w:t>
      </w:r>
      <w:r w:rsidRPr="00AB0405">
        <w:rPr>
          <w:rFonts w:ascii="Times New Roman" w:hAnsi="Times New Roman"/>
          <w:sz w:val="20"/>
        </w:rPr>
        <w:tab/>
        <w:t>15 U.S.C. 80a</w:t>
      </w:r>
      <w:r w:rsidRPr="00AB0405">
        <w:rPr>
          <w:rFonts w:ascii="Times New Roman" w:hAnsi="Times New Roman"/>
          <w:sz w:val="20"/>
        </w:rPr>
        <w:noBreakHyphen/>
        <w:t xml:space="preserve">1 </w:t>
      </w:r>
      <w:r w:rsidRPr="00AB0405">
        <w:rPr>
          <w:rFonts w:ascii="Times New Roman" w:hAnsi="Times New Roman"/>
          <w:i/>
          <w:sz w:val="20"/>
        </w:rPr>
        <w:t>et seq.</w:t>
      </w:r>
    </w:p>
  </w:footnote>
  <w:footnote w:id="3">
    <w:p w14:paraId="2777DEFC" w14:textId="22B1C005" w:rsidR="00ED7C32" w:rsidRPr="00AB0405" w:rsidRDefault="00ED7C32" w:rsidP="00AB0405">
      <w:pPr>
        <w:pStyle w:val="FootnoteText"/>
        <w:spacing w:line="240" w:lineRule="auto"/>
        <w:rPr>
          <w:rFonts w:ascii="Times New Roman" w:hAnsi="Times New Roman"/>
          <w:sz w:val="20"/>
        </w:rPr>
      </w:pPr>
      <w:r w:rsidRPr="00AB0405">
        <w:rPr>
          <w:rStyle w:val="FootnoteReference"/>
          <w:rFonts w:ascii="Times New Roman" w:hAnsi="Times New Roman"/>
          <w:sz w:val="20"/>
        </w:rPr>
        <w:footnoteRef/>
      </w:r>
      <w:r w:rsidRPr="00AB0405">
        <w:rPr>
          <w:rFonts w:ascii="Times New Roman" w:hAnsi="Times New Roman"/>
          <w:sz w:val="20"/>
        </w:rPr>
        <w:t xml:space="preserve"> </w:t>
      </w:r>
      <w:r w:rsidRPr="00AB0405">
        <w:rPr>
          <w:rFonts w:ascii="Times New Roman" w:hAnsi="Times New Roman"/>
          <w:sz w:val="20"/>
        </w:rPr>
        <w:tab/>
        <w:t xml:space="preserve">15 U.S.C. 78a </w:t>
      </w:r>
      <w:r w:rsidRPr="00AB0405">
        <w:rPr>
          <w:rFonts w:ascii="Times New Roman" w:hAnsi="Times New Roman"/>
          <w:i/>
          <w:sz w:val="20"/>
        </w:rPr>
        <w:t>et seq.</w:t>
      </w:r>
    </w:p>
  </w:footnote>
  <w:footnote w:id="4">
    <w:p w14:paraId="729D2184" w14:textId="07414DF3" w:rsidR="00ED7C32" w:rsidRPr="00AB0405" w:rsidRDefault="00ED7C32" w:rsidP="00AB0405">
      <w:pPr>
        <w:pStyle w:val="FootnoteText"/>
        <w:spacing w:line="240" w:lineRule="auto"/>
        <w:rPr>
          <w:rFonts w:ascii="Times New Roman" w:hAnsi="Times New Roman"/>
          <w:sz w:val="20"/>
        </w:rPr>
      </w:pPr>
      <w:r w:rsidRPr="00AB0405">
        <w:rPr>
          <w:rStyle w:val="FootnoteReference"/>
          <w:rFonts w:ascii="Times New Roman" w:hAnsi="Times New Roman"/>
          <w:sz w:val="20"/>
        </w:rPr>
        <w:footnoteRef/>
      </w:r>
      <w:r w:rsidRPr="00AB0405">
        <w:rPr>
          <w:rFonts w:ascii="Times New Roman" w:hAnsi="Times New Roman"/>
          <w:sz w:val="20"/>
        </w:rPr>
        <w:t xml:space="preserve"> </w:t>
      </w:r>
      <w:r w:rsidRPr="00AB0405">
        <w:rPr>
          <w:rFonts w:ascii="Times New Roman" w:hAnsi="Times New Roman"/>
          <w:sz w:val="20"/>
        </w:rPr>
        <w:tab/>
        <w:t>15 U.S.C. 80a</w:t>
      </w:r>
      <w:r w:rsidRPr="00AB0405">
        <w:rPr>
          <w:rFonts w:ascii="Times New Roman" w:hAnsi="Times New Roman"/>
          <w:sz w:val="20"/>
        </w:rPr>
        <w:noBreakHyphen/>
        <w:t>29(b)(2).</w:t>
      </w:r>
    </w:p>
  </w:footnote>
  <w:footnote w:id="5">
    <w:p w14:paraId="34B986DA" w14:textId="28C92B85" w:rsidR="00ED7C32" w:rsidRPr="00AB0405" w:rsidRDefault="00ED7C32" w:rsidP="00AB0405">
      <w:pPr>
        <w:pStyle w:val="FootnoteText"/>
        <w:spacing w:line="240" w:lineRule="auto"/>
        <w:rPr>
          <w:rFonts w:ascii="Times New Roman" w:hAnsi="Times New Roman"/>
          <w:sz w:val="20"/>
        </w:rPr>
      </w:pPr>
      <w:r w:rsidRPr="00AB0405">
        <w:rPr>
          <w:rStyle w:val="FootnoteReference"/>
          <w:rFonts w:ascii="Times New Roman" w:hAnsi="Times New Roman"/>
          <w:sz w:val="20"/>
        </w:rPr>
        <w:footnoteRef/>
      </w:r>
      <w:r w:rsidRPr="00AB0405">
        <w:rPr>
          <w:rFonts w:ascii="Times New Roman" w:hAnsi="Times New Roman"/>
          <w:sz w:val="20"/>
        </w:rPr>
        <w:t xml:space="preserve"> </w:t>
      </w:r>
      <w:r w:rsidRPr="00AB0405">
        <w:rPr>
          <w:rFonts w:ascii="Times New Roman" w:hAnsi="Times New Roman"/>
          <w:sz w:val="20"/>
        </w:rPr>
        <w:tab/>
        <w:t>15 U.S.C. 78m(a) and 78o(d).</w:t>
      </w:r>
    </w:p>
  </w:footnote>
  <w:footnote w:id="6">
    <w:p w14:paraId="1E7B79F1" w14:textId="7C869A40" w:rsidR="00ED7C32" w:rsidRPr="00AB0405" w:rsidRDefault="00ED7C32" w:rsidP="00AB0405">
      <w:pPr>
        <w:pStyle w:val="FootnoteText"/>
        <w:spacing w:line="240" w:lineRule="auto"/>
        <w:rPr>
          <w:rFonts w:ascii="Times New Roman" w:hAnsi="Times New Roman"/>
          <w:sz w:val="20"/>
        </w:rPr>
      </w:pPr>
      <w:r w:rsidRPr="00AB0405">
        <w:rPr>
          <w:rStyle w:val="FootnoteReference"/>
          <w:rFonts w:ascii="Times New Roman" w:hAnsi="Times New Roman"/>
          <w:sz w:val="20"/>
        </w:rPr>
        <w:footnoteRef/>
      </w:r>
      <w:r w:rsidRPr="00AB0405">
        <w:rPr>
          <w:rFonts w:ascii="Times New Roman" w:hAnsi="Times New Roman"/>
          <w:sz w:val="20"/>
        </w:rPr>
        <w:t xml:space="preserve"> </w:t>
      </w:r>
      <w:r w:rsidRPr="00AB0405">
        <w:rPr>
          <w:rFonts w:ascii="Times New Roman" w:hAnsi="Times New Roman"/>
          <w:sz w:val="20"/>
        </w:rPr>
        <w:tab/>
        <w:t>17 CFR 270.30b2-1(a).</w:t>
      </w:r>
    </w:p>
  </w:footnote>
  <w:footnote w:id="7">
    <w:p w14:paraId="3DD91D65" w14:textId="0095FBB9" w:rsidR="00ED7C32" w:rsidRPr="00AB0405" w:rsidRDefault="00ED7C32" w:rsidP="00AB0405">
      <w:pPr>
        <w:pStyle w:val="FootnoteText"/>
        <w:spacing w:line="240" w:lineRule="auto"/>
        <w:rPr>
          <w:rFonts w:ascii="Times New Roman" w:hAnsi="Times New Roman"/>
          <w:sz w:val="20"/>
        </w:rPr>
      </w:pPr>
      <w:r w:rsidRPr="00AB0405">
        <w:rPr>
          <w:rStyle w:val="FootnoteReference"/>
          <w:rFonts w:ascii="Times New Roman" w:hAnsi="Times New Roman"/>
          <w:sz w:val="20"/>
        </w:rPr>
        <w:footnoteRef/>
      </w:r>
      <w:r w:rsidRPr="00AB0405">
        <w:rPr>
          <w:rFonts w:ascii="Times New Roman" w:hAnsi="Times New Roman"/>
          <w:sz w:val="20"/>
        </w:rPr>
        <w:t xml:space="preserve"> </w:t>
      </w:r>
      <w:r w:rsidRPr="00AB0405">
        <w:rPr>
          <w:rFonts w:ascii="Times New Roman" w:hAnsi="Times New Roman"/>
          <w:sz w:val="20"/>
        </w:rPr>
        <w:tab/>
        <w:t>17 CFR 270.30e</w:t>
      </w:r>
      <w:r w:rsidRPr="00AB0405">
        <w:rPr>
          <w:rFonts w:ascii="Times New Roman" w:hAnsi="Times New Roman"/>
          <w:sz w:val="20"/>
        </w:rPr>
        <w:noBreakHyphen/>
        <w:t>1.</w:t>
      </w:r>
    </w:p>
  </w:footnote>
  <w:footnote w:id="8">
    <w:p w14:paraId="6A881C05" w14:textId="77777777" w:rsidR="00093B29" w:rsidRPr="00AB0405" w:rsidRDefault="00093B29" w:rsidP="00AB0405">
      <w:pPr>
        <w:pStyle w:val="FootnoteText"/>
        <w:spacing w:line="240" w:lineRule="auto"/>
        <w:rPr>
          <w:rFonts w:ascii="Times New Roman" w:hAnsi="Times New Roman"/>
          <w:sz w:val="20"/>
        </w:rPr>
      </w:pPr>
      <w:r w:rsidRPr="00AB0405">
        <w:rPr>
          <w:rStyle w:val="FootnoteReference"/>
          <w:rFonts w:ascii="Times New Roman" w:hAnsi="Times New Roman"/>
          <w:sz w:val="20"/>
        </w:rPr>
        <w:footnoteRef/>
      </w:r>
      <w:r w:rsidRPr="00AB0405">
        <w:rPr>
          <w:rFonts w:ascii="Times New Roman" w:hAnsi="Times New Roman"/>
          <w:sz w:val="20"/>
        </w:rPr>
        <w:t xml:space="preserve"> </w:t>
      </w:r>
      <w:r w:rsidRPr="00AB0405">
        <w:rPr>
          <w:rFonts w:ascii="Times New Roman" w:hAnsi="Times New Roman"/>
          <w:sz w:val="20"/>
        </w:rPr>
        <w:tab/>
      </w:r>
      <w:r w:rsidRPr="00AB0405">
        <w:rPr>
          <w:rFonts w:ascii="Times New Roman" w:hAnsi="Times New Roman"/>
          <w:i/>
          <w:sz w:val="20"/>
        </w:rPr>
        <w:t xml:space="preserve">See </w:t>
      </w:r>
      <w:r w:rsidRPr="00AB0405">
        <w:rPr>
          <w:rFonts w:ascii="Times New Roman" w:hAnsi="Times New Roman"/>
          <w:sz w:val="20"/>
        </w:rPr>
        <w:t>Investment Company Reporting Modernization, Investment Company Act Release No. 32314 (October 13, 2016).</w:t>
      </w:r>
    </w:p>
  </w:footnote>
  <w:footnote w:id="9">
    <w:p w14:paraId="718A52AD" w14:textId="77777777" w:rsidR="001F1FD9" w:rsidRPr="00AB0405" w:rsidRDefault="001F1FD9" w:rsidP="00AB0405">
      <w:pPr>
        <w:pStyle w:val="FootnoteText"/>
        <w:spacing w:line="240" w:lineRule="auto"/>
        <w:rPr>
          <w:rFonts w:ascii="Times New Roman" w:hAnsi="Times New Roman"/>
          <w:sz w:val="20"/>
        </w:rPr>
      </w:pPr>
      <w:r w:rsidRPr="00AB0405">
        <w:rPr>
          <w:rStyle w:val="FootnoteReference"/>
          <w:rFonts w:ascii="Times New Roman" w:hAnsi="Times New Roman"/>
          <w:sz w:val="20"/>
        </w:rPr>
        <w:footnoteRef/>
      </w:r>
      <w:r w:rsidRPr="00AB0405">
        <w:rPr>
          <w:rFonts w:ascii="Times New Roman" w:hAnsi="Times New Roman"/>
          <w:sz w:val="20"/>
        </w:rPr>
        <w:t xml:space="preserve"> </w:t>
      </w:r>
      <w:r w:rsidRPr="00AB0405">
        <w:rPr>
          <w:rFonts w:ascii="Times New Roman" w:hAnsi="Times New Roman"/>
          <w:sz w:val="20"/>
        </w:rPr>
        <w:tab/>
      </w:r>
      <w:r w:rsidRPr="00AB0405">
        <w:rPr>
          <w:rFonts w:ascii="Times New Roman" w:hAnsi="Times New Roman"/>
          <w:i/>
          <w:sz w:val="20"/>
        </w:rPr>
        <w:t xml:space="preserve">See </w:t>
      </w:r>
      <w:r w:rsidRPr="00AB0405">
        <w:rPr>
          <w:rFonts w:ascii="Times New Roman" w:hAnsi="Times New Roman"/>
          <w:sz w:val="20"/>
        </w:rPr>
        <w:t>Investment Company Reporting Modernization, Investment Company Act Release No. 32314 (October 13, 2016).</w:t>
      </w:r>
    </w:p>
  </w:footnote>
  <w:footnote w:id="10">
    <w:p w14:paraId="58B046E1" w14:textId="77777777" w:rsidR="000F5574" w:rsidRPr="00AB0405" w:rsidRDefault="000F5574" w:rsidP="00AB0405">
      <w:pPr>
        <w:pStyle w:val="FootnoteText"/>
        <w:spacing w:line="240" w:lineRule="auto"/>
        <w:rPr>
          <w:rFonts w:ascii="Times New Roman" w:hAnsi="Times New Roman"/>
          <w:sz w:val="20"/>
          <w:highlight w:val="yellow"/>
        </w:rPr>
      </w:pPr>
      <w:r w:rsidRPr="00AB0405">
        <w:rPr>
          <w:rStyle w:val="FootnoteReference"/>
          <w:rFonts w:ascii="Times New Roman" w:hAnsi="Times New Roman"/>
          <w:sz w:val="20"/>
        </w:rPr>
        <w:footnoteRef/>
      </w:r>
      <w:r w:rsidRPr="00AB0405">
        <w:rPr>
          <w:rFonts w:ascii="Times New Roman" w:hAnsi="Times New Roman"/>
          <w:sz w:val="20"/>
        </w:rPr>
        <w:t xml:space="preserve"> </w:t>
      </w:r>
      <w:r w:rsidRPr="00AB0405">
        <w:rPr>
          <w:rFonts w:ascii="Times New Roman" w:hAnsi="Times New Roman"/>
          <w:sz w:val="20"/>
        </w:rPr>
        <w:tab/>
      </w:r>
      <w:r w:rsidRPr="00AB0405">
        <w:rPr>
          <w:rFonts w:ascii="Times New Roman" w:hAnsi="Times New Roman"/>
          <w:i/>
          <w:sz w:val="20"/>
        </w:rPr>
        <w:t>See</w:t>
      </w:r>
      <w:r w:rsidRPr="00AB0405">
        <w:rPr>
          <w:rFonts w:ascii="Times New Roman" w:hAnsi="Times New Roman"/>
          <w:sz w:val="20"/>
        </w:rPr>
        <w:t xml:space="preserve"> Item 19(i)(1) of Form N</w:t>
      </w:r>
      <w:r w:rsidRPr="00AB0405">
        <w:rPr>
          <w:rFonts w:ascii="Times New Roman" w:hAnsi="Times New Roman"/>
          <w:sz w:val="20"/>
        </w:rPr>
        <w:noBreakHyphen/>
        <w:t>1A.  The disclosure need not be presented in a tabular format.</w:t>
      </w:r>
    </w:p>
  </w:footnote>
  <w:footnote w:id="11">
    <w:p w14:paraId="7DD2E25A" w14:textId="53B427F5" w:rsidR="00ED7C32" w:rsidRPr="00AB0405" w:rsidRDefault="00ED7C32" w:rsidP="00AB0405">
      <w:pPr>
        <w:pStyle w:val="FootnoteText"/>
        <w:spacing w:line="240" w:lineRule="auto"/>
        <w:rPr>
          <w:rFonts w:ascii="Times New Roman" w:hAnsi="Times New Roman"/>
          <w:sz w:val="20"/>
        </w:rPr>
      </w:pPr>
      <w:r w:rsidRPr="00AB0405">
        <w:rPr>
          <w:rStyle w:val="FootnoteReference"/>
          <w:rFonts w:ascii="Times New Roman" w:hAnsi="Times New Roman"/>
          <w:sz w:val="20"/>
        </w:rPr>
        <w:footnoteRef/>
      </w:r>
      <w:r w:rsidRPr="00AB0405">
        <w:rPr>
          <w:rFonts w:ascii="Times New Roman" w:hAnsi="Times New Roman"/>
          <w:sz w:val="20"/>
        </w:rPr>
        <w:t xml:space="preserve"> </w:t>
      </w:r>
      <w:r w:rsidRPr="00AB0405">
        <w:rPr>
          <w:rFonts w:ascii="Times New Roman" w:hAnsi="Times New Roman"/>
          <w:sz w:val="20"/>
        </w:rPr>
        <w:tab/>
      </w:r>
      <w:r w:rsidRPr="00AB0405">
        <w:rPr>
          <w:rFonts w:ascii="Times New Roman" w:hAnsi="Times New Roman"/>
          <w:i/>
          <w:sz w:val="20"/>
        </w:rPr>
        <w:t xml:space="preserve">See </w:t>
      </w:r>
      <w:r w:rsidRPr="00AB0405">
        <w:rPr>
          <w:rFonts w:ascii="Times New Roman" w:hAnsi="Times New Roman"/>
          <w:sz w:val="20"/>
        </w:rPr>
        <w:t>rule 101(a)(1)(iii)–(iv) of Regulation S</w:t>
      </w:r>
      <w:r w:rsidRPr="00AB0405">
        <w:rPr>
          <w:rFonts w:ascii="Times New Roman" w:hAnsi="Times New Roman"/>
          <w:sz w:val="20"/>
        </w:rPr>
        <w:noBreakHyphen/>
        <w:t>T [17 CFR 232.101(a)(1)(iii)–(iv)].</w:t>
      </w:r>
    </w:p>
  </w:footnote>
  <w:footnote w:id="12">
    <w:p w14:paraId="0024B61B" w14:textId="2EE325C0" w:rsidR="00ED7C32" w:rsidRPr="00AB0405" w:rsidRDefault="00ED7C32" w:rsidP="00AB0405">
      <w:pPr>
        <w:pStyle w:val="FootnoteText"/>
        <w:spacing w:line="240" w:lineRule="auto"/>
        <w:rPr>
          <w:rFonts w:ascii="Times New Roman" w:hAnsi="Times New Roman"/>
          <w:sz w:val="20"/>
        </w:rPr>
      </w:pPr>
      <w:r w:rsidRPr="00AB0405">
        <w:rPr>
          <w:rStyle w:val="FootnoteReference"/>
          <w:rFonts w:ascii="Times New Roman" w:hAnsi="Times New Roman"/>
          <w:sz w:val="20"/>
        </w:rPr>
        <w:footnoteRef/>
      </w:r>
      <w:r w:rsidRPr="00AB0405">
        <w:rPr>
          <w:rFonts w:ascii="Times New Roman" w:hAnsi="Times New Roman"/>
          <w:sz w:val="20"/>
        </w:rPr>
        <w:t xml:space="preserve"> </w:t>
      </w:r>
      <w:r w:rsidRPr="00AB0405">
        <w:rPr>
          <w:rFonts w:ascii="Times New Roman" w:hAnsi="Times New Roman"/>
          <w:sz w:val="20"/>
        </w:rPr>
        <w:tab/>
        <w:t xml:space="preserve">5 U.S.C. 601 </w:t>
      </w:r>
      <w:r w:rsidRPr="00AB0405">
        <w:rPr>
          <w:rFonts w:ascii="Times New Roman" w:hAnsi="Times New Roman"/>
          <w:i/>
          <w:sz w:val="20"/>
        </w:rPr>
        <w:t>et seq.</w:t>
      </w:r>
    </w:p>
  </w:footnote>
  <w:footnote w:id="13">
    <w:p w14:paraId="74E7EF44" w14:textId="2DC9F478" w:rsidR="00E1084E" w:rsidRPr="00C13D41" w:rsidRDefault="00E1084E" w:rsidP="00E1084E">
      <w:pPr>
        <w:pStyle w:val="FootnoteText"/>
      </w:pPr>
      <w:r>
        <w:rPr>
          <w:rStyle w:val="FootnoteReference"/>
        </w:rPr>
        <w:footnoteRef/>
      </w:r>
      <w:r>
        <w:t xml:space="preserve"> </w:t>
      </w:r>
      <w:r w:rsidR="00BF65FC">
        <w:tab/>
      </w:r>
      <w:r>
        <w:rPr>
          <w:i/>
        </w:rPr>
        <w:t xml:space="preserve">See supra </w:t>
      </w:r>
      <w:r>
        <w:t>section III.B.3.</w:t>
      </w:r>
    </w:p>
  </w:footnote>
  <w:footnote w:id="14">
    <w:p w14:paraId="00D30542" w14:textId="60295C62" w:rsidR="00E1084E" w:rsidRPr="00BE51EE" w:rsidRDefault="00E1084E" w:rsidP="00E1084E">
      <w:pPr>
        <w:pStyle w:val="FootnoteText"/>
      </w:pPr>
      <w:r>
        <w:rPr>
          <w:rStyle w:val="FootnoteReference"/>
        </w:rPr>
        <w:footnoteRef/>
      </w:r>
      <w:r>
        <w:t xml:space="preserve"> </w:t>
      </w:r>
      <w:r w:rsidR="00BF65FC">
        <w:tab/>
      </w:r>
      <w:r>
        <w:t xml:space="preserve">Paralleling this modification, we believe that the modification to move the change in independent public accountant exhibit from Form N-CEN as proposed to Form N-CSR will also reduce the hour burden requirement associated with Form N-CEN by one-tenth of an hour.  </w:t>
      </w:r>
      <w:r>
        <w:rPr>
          <w:i/>
        </w:rPr>
        <w:t xml:space="preserve">See supra </w:t>
      </w:r>
      <w:r>
        <w:t>section IV.B.1.</w:t>
      </w:r>
    </w:p>
  </w:footnote>
  <w:footnote w:id="15">
    <w:p w14:paraId="3A7D6AB3" w14:textId="3DE047A5" w:rsidR="00E1084E" w:rsidRDefault="00E1084E" w:rsidP="00E1084E">
      <w:pPr>
        <w:pStyle w:val="FootnoteText"/>
      </w:pPr>
      <w:r>
        <w:rPr>
          <w:rStyle w:val="FootnoteReference"/>
        </w:rPr>
        <w:footnoteRef/>
      </w:r>
      <w:r>
        <w:t xml:space="preserve"> </w:t>
      </w:r>
      <w:r w:rsidR="00BF65FC">
        <w:tab/>
      </w:r>
      <w:r>
        <w:t xml:space="preserve">This estimate is based on the following calculation:  0.10 hour x $324 (blended hourly rate for compliance attorney ($340) and senior programmer ($308) = $32.40. </w:t>
      </w:r>
    </w:p>
  </w:footnote>
  <w:footnote w:id="16">
    <w:p w14:paraId="7ED6892F" w14:textId="443E0F7D" w:rsidR="00DB1D94" w:rsidRDefault="00DB1D94" w:rsidP="00DB1D94">
      <w:pPr>
        <w:pStyle w:val="FootnoteText"/>
      </w:pPr>
      <w:r>
        <w:rPr>
          <w:rStyle w:val="FootnoteReference"/>
        </w:rPr>
        <w:footnoteRef/>
      </w:r>
      <w:r>
        <w:t xml:space="preserve"> </w:t>
      </w:r>
      <w:r w:rsidR="00BF65FC">
        <w:tab/>
      </w:r>
      <w:r>
        <w:t>This estimate is based on the following calculation:  2 hours x $324 (blended hourly rate for compliance attorney ($340) and senior programmer ($308) = $648.</w:t>
      </w:r>
      <w:r w:rsidR="00E1084E" w:rsidRPr="00E1084E">
        <w:t xml:space="preserve"> </w:t>
      </w:r>
      <w:r w:rsidR="00E1084E">
        <w:t xml:space="preserve"> </w:t>
      </w:r>
      <w:r w:rsidR="00E1084E" w:rsidRPr="004A288E">
        <w:t>The Commission’s estimate concerning the wage rate is based on salary information for the securities industry compiled by the Securities Industry and Financial Markets Association. The estimated wage figure is based on published rates for compliance attorneys and senior programmers, modified to account for an 1,800-hour work year; multiplied by 5.35 to account for bonuses, firm size, employee benefits, and overhead; and adjusted to account for the effects of inflation</w:t>
      </w:r>
      <w:r w:rsidR="00E1084E">
        <w:t>.</w:t>
      </w:r>
      <w:r w:rsidR="00E1084E" w:rsidRPr="004A288E">
        <w:t xml:space="preserve"> </w:t>
      </w:r>
      <w:r w:rsidR="00E1084E" w:rsidRPr="004A288E">
        <w:rPr>
          <w:i/>
        </w:rPr>
        <w:t>See</w:t>
      </w:r>
      <w:r w:rsidR="00E1084E" w:rsidRPr="004A288E">
        <w:t xml:space="preserve"> Securities Industry and Financial Markets Association, Report on Management &amp; Professional Earnings in the Securities Industry 2013</w:t>
      </w:r>
    </w:p>
  </w:footnote>
  <w:footnote w:id="17">
    <w:p w14:paraId="0759DA2C" w14:textId="51BCAC7A" w:rsidR="00DB1D94" w:rsidRDefault="00DB1D94" w:rsidP="00DB1D94">
      <w:pPr>
        <w:pStyle w:val="FootnoteText"/>
      </w:pPr>
      <w:r>
        <w:rPr>
          <w:rStyle w:val="FootnoteReference"/>
        </w:rPr>
        <w:footnoteRef/>
      </w:r>
      <w:r>
        <w:t xml:space="preserve"> </w:t>
      </w:r>
      <w:r w:rsidR="00BF65FC">
        <w:tab/>
      </w:r>
      <w:r>
        <w:t>This estimate is based on the following calculation:  0.5 hour x $324 (blended hourly rate for compliance attorney ($340) and senior programmer ($308) = $162.</w:t>
      </w:r>
    </w:p>
  </w:footnote>
  <w:footnote w:id="18">
    <w:p w14:paraId="45CA89A5" w14:textId="737A8229" w:rsidR="00DB1D94" w:rsidRDefault="00DB1D94" w:rsidP="00DB1D94">
      <w:pPr>
        <w:pStyle w:val="FootnoteText"/>
      </w:pPr>
      <w:r>
        <w:rPr>
          <w:rStyle w:val="FootnoteReference"/>
        </w:rPr>
        <w:footnoteRef/>
      </w:r>
      <w:r>
        <w:t xml:space="preserve">  </w:t>
      </w:r>
      <w:r w:rsidR="00BF65FC">
        <w:tab/>
      </w:r>
      <w:r>
        <w:t xml:space="preserve">This estimate is based on the following calculation:  </w:t>
      </w:r>
      <w:r w:rsidRPr="00766C03">
        <w:t>2</w:t>
      </w:r>
      <w:r>
        <w:t xml:space="preserve"> hours in first year + (</w:t>
      </w:r>
      <w:r w:rsidRPr="00766C03">
        <w:t>0.5</w:t>
      </w:r>
      <w:r>
        <w:t xml:space="preserve"> hours per year thereafter </w:t>
      </w:r>
      <w:r w:rsidRPr="00BA54C6">
        <w:rPr>
          <w:rFonts w:ascii="MS Gothic" w:eastAsia="MS Gothic"/>
          <w:color w:val="000000"/>
        </w:rPr>
        <w:t>×</w:t>
      </w:r>
      <w:r>
        <w:t xml:space="preserve"> 2 years) = 2 hours + 1 hour</w:t>
      </w:r>
      <w:r w:rsidRPr="00766C03">
        <w:t xml:space="preserve"> = 3 </w:t>
      </w:r>
      <w:r>
        <w:t xml:space="preserve">hours total.  </w:t>
      </w:r>
      <w:r w:rsidRPr="00766C03">
        <w:t>3</w:t>
      </w:r>
      <w:r>
        <w:t xml:space="preserve"> hours total </w:t>
      </w:r>
      <w:r w:rsidRPr="007773D5">
        <w:rPr>
          <w:rFonts w:ascii="MS Gothic" w:eastAsia="MS Gothic"/>
          <w:color w:val="000000"/>
        </w:rPr>
        <w:t>÷</w:t>
      </w:r>
      <w:r>
        <w:t xml:space="preserve"> 3 years = </w:t>
      </w:r>
      <w:r w:rsidRPr="00766C03">
        <w:t xml:space="preserve">1 hour </w:t>
      </w:r>
      <w:r>
        <w:t>per year.</w:t>
      </w:r>
    </w:p>
  </w:footnote>
  <w:footnote w:id="19">
    <w:p w14:paraId="3CEDB1C5" w14:textId="0AC5FA11" w:rsidR="002F7B66" w:rsidRDefault="002F7B66">
      <w:pPr>
        <w:pStyle w:val="FootnoteText"/>
      </w:pPr>
      <w:r>
        <w:rPr>
          <w:rStyle w:val="FootnoteReference"/>
        </w:rPr>
        <w:footnoteRef/>
      </w:r>
      <w:r>
        <w:t xml:space="preserve"> </w:t>
      </w:r>
      <w:r>
        <w:tab/>
        <w:t>This estimate is based on the following calculation:  $648 + $162 + $162 /3 = $324.</w:t>
      </w:r>
    </w:p>
  </w:footnote>
  <w:footnote w:id="20">
    <w:p w14:paraId="37341345" w14:textId="4A370739" w:rsidR="002F7B66" w:rsidRPr="00E87D0F" w:rsidRDefault="002F7B66" w:rsidP="0061000F">
      <w:pPr>
        <w:pStyle w:val="FootnoteText"/>
      </w:pPr>
      <w:r w:rsidRPr="00E87D0F">
        <w:rPr>
          <w:rStyle w:val="FootnoteReference"/>
        </w:rPr>
        <w:footnoteRef/>
      </w:r>
      <w:r w:rsidRPr="00E87D0F">
        <w:t xml:space="preserve"> </w:t>
      </w:r>
      <w:r w:rsidRPr="00E87D0F">
        <w:tab/>
        <w:t>This estimate is based on the following calculation:</w:t>
      </w:r>
      <w:r w:rsidR="00EA76F9">
        <w:t xml:space="preserve"> </w:t>
      </w:r>
      <w:r w:rsidR="0061000F">
        <w:t>1 hour per fund x 750 closed-end funds per year = 750 hours per year.</w:t>
      </w:r>
    </w:p>
  </w:footnote>
  <w:footnote w:id="21">
    <w:p w14:paraId="060F4694" w14:textId="1FC8C000" w:rsidR="00DB1D94" w:rsidRDefault="00DB1D94" w:rsidP="00DB1D94">
      <w:pPr>
        <w:pStyle w:val="FootnoteText"/>
      </w:pPr>
      <w:r>
        <w:rPr>
          <w:rStyle w:val="FootnoteReference"/>
        </w:rPr>
        <w:footnoteRef/>
      </w:r>
      <w:r>
        <w:t xml:space="preserve">  </w:t>
      </w:r>
      <w:r w:rsidR="00BF65FC">
        <w:tab/>
      </w:r>
      <w:r>
        <w:t xml:space="preserve">This estimate is based on the following calculation:  </w:t>
      </w:r>
      <w:r w:rsidRPr="007C2445">
        <w:t>1 hour</w:t>
      </w:r>
      <w:r>
        <w:t xml:space="preserve"> per fund </w:t>
      </w:r>
      <w:r w:rsidRPr="00BA54C6">
        <w:rPr>
          <w:rFonts w:ascii="MS Gothic" w:eastAsia="MS Gothic"/>
          <w:color w:val="000000"/>
        </w:rPr>
        <w:t>×</w:t>
      </w:r>
      <w:r>
        <w:t xml:space="preserve"> 750 closed-end funds </w:t>
      </w:r>
      <w:r w:rsidR="003024BD">
        <w:t>x $324 per year total cost</w:t>
      </w:r>
      <w:r>
        <w:t xml:space="preserve"> = </w:t>
      </w:r>
      <w:r w:rsidR="003024BD">
        <w:t>$243,000</w:t>
      </w:r>
      <w:r>
        <w:t>.</w:t>
      </w:r>
    </w:p>
  </w:footnote>
  <w:footnote w:id="22">
    <w:p w14:paraId="2BA96E16" w14:textId="77777777" w:rsidR="007D440E" w:rsidRPr="003C654D" w:rsidRDefault="007D440E" w:rsidP="007D440E">
      <w:pPr>
        <w:pStyle w:val="FootnoteText"/>
        <w:rPr>
          <w:szCs w:val="22"/>
        </w:rPr>
      </w:pPr>
      <w:r>
        <w:rPr>
          <w:rStyle w:val="FootnoteReference"/>
        </w:rPr>
        <w:footnoteRef/>
      </w:r>
      <w:r>
        <w:t xml:space="preserve"> </w:t>
      </w:r>
      <w:r>
        <w:tab/>
        <w:t xml:space="preserve">This estimate is based on the following calculation:  172,899 = (750 hours (closed-end funds)) + (172,149 hours (14.52 hours </w:t>
      </w:r>
      <w:r w:rsidRPr="000B6396">
        <w:t xml:space="preserve">x </w:t>
      </w:r>
      <w:r>
        <w:t>(1,594 exchange-traded funds – eight organized as UITs + 750 closed-end funds + 481 money market funds + 9,039 other mutual funds)))</w:t>
      </w:r>
      <w:r w:rsidRPr="000B6396">
        <w:t>.</w:t>
      </w:r>
      <w:r>
        <w:rPr>
          <w:b/>
        </w:rPr>
        <w:t xml:space="preserve">  </w:t>
      </w:r>
    </w:p>
  </w:footnote>
  <w:footnote w:id="23">
    <w:p w14:paraId="73E59E14" w14:textId="0A3B86F3" w:rsidR="0061000F" w:rsidRDefault="0061000F">
      <w:pPr>
        <w:pStyle w:val="FootnoteText"/>
      </w:pPr>
      <w:r>
        <w:rPr>
          <w:rStyle w:val="FootnoteReference"/>
        </w:rPr>
        <w:footnoteRef/>
      </w:r>
      <w:r>
        <w:t xml:space="preserve"> </w:t>
      </w:r>
      <w:r>
        <w:tab/>
        <w:t xml:space="preserve">This estimate is based on the following calculation </w:t>
      </w:r>
      <w:r w:rsidR="00DA7D4B">
        <w:t>1</w:t>
      </w:r>
      <w:r w:rsidR="000B423F">
        <w:t xml:space="preserve">72,899 hours x </w:t>
      </w:r>
      <w:r w:rsidR="00E1084E">
        <w:t>$324 = 56,019,276</w:t>
      </w:r>
    </w:p>
  </w:footnote>
  <w:footnote w:id="24">
    <w:p w14:paraId="7A255D06" w14:textId="116C7299" w:rsidR="00763101" w:rsidRDefault="00763101">
      <w:pPr>
        <w:pStyle w:val="FootnoteText"/>
      </w:pPr>
      <w:r>
        <w:rPr>
          <w:rStyle w:val="FootnoteReference"/>
        </w:rPr>
        <w:footnoteRef/>
      </w:r>
      <w:r>
        <w:t xml:space="preserve"> </w:t>
      </w:r>
      <w:r>
        <w:tab/>
        <w:t xml:space="preserve">This estimate is based on the following calculation:  11,856 </w:t>
      </w:r>
      <w:r w:rsidR="007D440E">
        <w:t xml:space="preserve">portfolios </w:t>
      </w:r>
      <w:r>
        <w:t xml:space="preserve"> x $132 per filing x 2 filings = $</w:t>
      </w:r>
      <w:r>
        <w:rPr>
          <w:rFonts w:ascii="Times New Roman" w:hAnsi="Times New Roman"/>
          <w:szCs w:val="24"/>
        </w:rPr>
        <w:t>3,129,984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C320F4A"/>
    <w:lvl w:ilvl="0">
      <w:numFmt w:val="decimal"/>
      <w:lvlText w:val="*"/>
      <w:lvlJc w:val="left"/>
    </w:lvl>
  </w:abstractNum>
  <w:abstractNum w:abstractNumId="1">
    <w:nsid w:val="05524A70"/>
    <w:multiLevelType w:val="hybridMultilevel"/>
    <w:tmpl w:val="342AAAFA"/>
    <w:lvl w:ilvl="0" w:tplc="EDFA326E">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3991893"/>
    <w:multiLevelType w:val="hybridMultilevel"/>
    <w:tmpl w:val="C422D7DC"/>
    <w:lvl w:ilvl="0" w:tplc="1C320F4A">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4B23F0"/>
    <w:multiLevelType w:val="hybridMultilevel"/>
    <w:tmpl w:val="D23C0790"/>
    <w:lvl w:ilvl="0" w:tplc="5AA4E2A4">
      <w:start w:val="6"/>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1A4236A"/>
    <w:multiLevelType w:val="hybridMultilevel"/>
    <w:tmpl w:val="B5203700"/>
    <w:lvl w:ilvl="0" w:tplc="1C320F4A">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2678EC"/>
    <w:multiLevelType w:val="hybridMultilevel"/>
    <w:tmpl w:val="83EA27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547F5C3D"/>
    <w:multiLevelType w:val="multilevel"/>
    <w:tmpl w:val="7214DACC"/>
    <w:lvl w:ilvl="0">
      <w:start w:val="1"/>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720"/>
        </w:tabs>
        <w:ind w:left="720" w:hanging="360"/>
      </w:pPr>
      <w:rPr>
        <w:rFonts w:hint="default"/>
        <w:i w:val="0"/>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
    <w:nsid w:val="6757432B"/>
    <w:multiLevelType w:val="hybridMultilevel"/>
    <w:tmpl w:val="119AA6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1A80E12"/>
    <w:multiLevelType w:val="hybridMultilevel"/>
    <w:tmpl w:val="BA0CEE36"/>
    <w:lvl w:ilvl="0" w:tplc="B42EFE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BFB1F52"/>
    <w:multiLevelType w:val="hybridMultilevel"/>
    <w:tmpl w:val="A68264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7D196FC4"/>
    <w:multiLevelType w:val="hybridMultilevel"/>
    <w:tmpl w:val="F9280A68"/>
    <w:lvl w:ilvl="0" w:tplc="1C320F4A">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5"/>
  </w:num>
  <w:num w:numId="4">
    <w:abstractNumId w:val="9"/>
  </w:num>
  <w:num w:numId="5">
    <w:abstractNumId w:val="7"/>
  </w:num>
  <w:num w:numId="6">
    <w:abstractNumId w:val="1"/>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2"/>
  </w:num>
  <w:num w:numId="9">
    <w:abstractNumId w:val="10"/>
  </w:num>
  <w:num w:numId="10">
    <w:abstractNumId w:val="4"/>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8"/>
  </w:num>
  <w:num w:numId="21">
    <w:abstractNumId w:val="6"/>
  </w:num>
  <w:num w:numId="22">
    <w:abstractNumId w:val="6"/>
  </w:num>
  <w:num w:numId="23">
    <w:abstractNumId w:val="6"/>
  </w:num>
  <w:num w:numId="24">
    <w:abstractNumId w:val="6"/>
  </w:num>
  <w:num w:numId="2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n-US" w:vendorID="2" w:dllVersion="6" w:checkStyle="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602"/>
    <w:rsid w:val="00002C25"/>
    <w:rsid w:val="00003CB0"/>
    <w:rsid w:val="00010E92"/>
    <w:rsid w:val="00012170"/>
    <w:rsid w:val="0002089E"/>
    <w:rsid w:val="00025C39"/>
    <w:rsid w:val="00026219"/>
    <w:rsid w:val="00030164"/>
    <w:rsid w:val="00032647"/>
    <w:rsid w:val="00035CF4"/>
    <w:rsid w:val="000635BF"/>
    <w:rsid w:val="000678AD"/>
    <w:rsid w:val="000765A1"/>
    <w:rsid w:val="00093B29"/>
    <w:rsid w:val="000A391D"/>
    <w:rsid w:val="000A3981"/>
    <w:rsid w:val="000B423F"/>
    <w:rsid w:val="000B6748"/>
    <w:rsid w:val="000C4432"/>
    <w:rsid w:val="000E2038"/>
    <w:rsid w:val="000E2404"/>
    <w:rsid w:val="000E765A"/>
    <w:rsid w:val="000F5574"/>
    <w:rsid w:val="00115323"/>
    <w:rsid w:val="00115915"/>
    <w:rsid w:val="001569F8"/>
    <w:rsid w:val="001579D5"/>
    <w:rsid w:val="00165C55"/>
    <w:rsid w:val="00176339"/>
    <w:rsid w:val="001965C8"/>
    <w:rsid w:val="001D3036"/>
    <w:rsid w:val="001F0111"/>
    <w:rsid w:val="001F1FD9"/>
    <w:rsid w:val="00203E81"/>
    <w:rsid w:val="002206B9"/>
    <w:rsid w:val="00223508"/>
    <w:rsid w:val="00224A25"/>
    <w:rsid w:val="002314C6"/>
    <w:rsid w:val="00240BB6"/>
    <w:rsid w:val="0024263F"/>
    <w:rsid w:val="00253CED"/>
    <w:rsid w:val="00262C22"/>
    <w:rsid w:val="002834B6"/>
    <w:rsid w:val="002A03E4"/>
    <w:rsid w:val="002C074D"/>
    <w:rsid w:val="002C61D9"/>
    <w:rsid w:val="002D0D0E"/>
    <w:rsid w:val="002D1A49"/>
    <w:rsid w:val="002E21F1"/>
    <w:rsid w:val="002E3E0A"/>
    <w:rsid w:val="002F0D03"/>
    <w:rsid w:val="002F66CC"/>
    <w:rsid w:val="002F70DA"/>
    <w:rsid w:val="002F7B66"/>
    <w:rsid w:val="002F7FB5"/>
    <w:rsid w:val="003024BD"/>
    <w:rsid w:val="00314D5F"/>
    <w:rsid w:val="00317426"/>
    <w:rsid w:val="00322644"/>
    <w:rsid w:val="00327C9A"/>
    <w:rsid w:val="003322B3"/>
    <w:rsid w:val="003600F0"/>
    <w:rsid w:val="00374602"/>
    <w:rsid w:val="00384A67"/>
    <w:rsid w:val="00391451"/>
    <w:rsid w:val="00395574"/>
    <w:rsid w:val="00396FF7"/>
    <w:rsid w:val="003B7C79"/>
    <w:rsid w:val="003D684E"/>
    <w:rsid w:val="003E2A76"/>
    <w:rsid w:val="003E5FE6"/>
    <w:rsid w:val="0041734B"/>
    <w:rsid w:val="00433451"/>
    <w:rsid w:val="0044589F"/>
    <w:rsid w:val="00463D2B"/>
    <w:rsid w:val="00465D3B"/>
    <w:rsid w:val="004743C2"/>
    <w:rsid w:val="00483E1B"/>
    <w:rsid w:val="00490CF7"/>
    <w:rsid w:val="004A288E"/>
    <w:rsid w:val="004A58C0"/>
    <w:rsid w:val="004B6449"/>
    <w:rsid w:val="004B7904"/>
    <w:rsid w:val="004C3D2E"/>
    <w:rsid w:val="004C740B"/>
    <w:rsid w:val="004D54CC"/>
    <w:rsid w:val="004E1181"/>
    <w:rsid w:val="004F2E17"/>
    <w:rsid w:val="004F49AF"/>
    <w:rsid w:val="005022C1"/>
    <w:rsid w:val="00512722"/>
    <w:rsid w:val="00530F1E"/>
    <w:rsid w:val="00536D29"/>
    <w:rsid w:val="0054522B"/>
    <w:rsid w:val="00546B29"/>
    <w:rsid w:val="00552548"/>
    <w:rsid w:val="00553ABE"/>
    <w:rsid w:val="00561682"/>
    <w:rsid w:val="005714B9"/>
    <w:rsid w:val="0058013A"/>
    <w:rsid w:val="005868CC"/>
    <w:rsid w:val="00587ABE"/>
    <w:rsid w:val="005908E0"/>
    <w:rsid w:val="00597696"/>
    <w:rsid w:val="005A607A"/>
    <w:rsid w:val="005A771D"/>
    <w:rsid w:val="005B01A9"/>
    <w:rsid w:val="005B1102"/>
    <w:rsid w:val="005B3C9A"/>
    <w:rsid w:val="005C1130"/>
    <w:rsid w:val="005F0084"/>
    <w:rsid w:val="005F1915"/>
    <w:rsid w:val="005F3D65"/>
    <w:rsid w:val="0061000F"/>
    <w:rsid w:val="00610AC5"/>
    <w:rsid w:val="00627C4D"/>
    <w:rsid w:val="00657D52"/>
    <w:rsid w:val="00662120"/>
    <w:rsid w:val="00672B38"/>
    <w:rsid w:val="006774E3"/>
    <w:rsid w:val="00684A5C"/>
    <w:rsid w:val="006854E0"/>
    <w:rsid w:val="0068609F"/>
    <w:rsid w:val="00690BD6"/>
    <w:rsid w:val="006912D2"/>
    <w:rsid w:val="00691D33"/>
    <w:rsid w:val="00691EF4"/>
    <w:rsid w:val="00694D40"/>
    <w:rsid w:val="0069723E"/>
    <w:rsid w:val="006A394F"/>
    <w:rsid w:val="006A7612"/>
    <w:rsid w:val="006B1AA9"/>
    <w:rsid w:val="006C0020"/>
    <w:rsid w:val="006C4974"/>
    <w:rsid w:val="006C49B2"/>
    <w:rsid w:val="006C72A2"/>
    <w:rsid w:val="006C7724"/>
    <w:rsid w:val="006F1456"/>
    <w:rsid w:val="006F27A6"/>
    <w:rsid w:val="006F4A59"/>
    <w:rsid w:val="00705649"/>
    <w:rsid w:val="00710FC9"/>
    <w:rsid w:val="0073102B"/>
    <w:rsid w:val="00733600"/>
    <w:rsid w:val="007362FA"/>
    <w:rsid w:val="0074745C"/>
    <w:rsid w:val="007528B5"/>
    <w:rsid w:val="00760DC7"/>
    <w:rsid w:val="00763101"/>
    <w:rsid w:val="00763275"/>
    <w:rsid w:val="00772967"/>
    <w:rsid w:val="00775558"/>
    <w:rsid w:val="007807B7"/>
    <w:rsid w:val="00785309"/>
    <w:rsid w:val="007962AE"/>
    <w:rsid w:val="007A01DD"/>
    <w:rsid w:val="007B617A"/>
    <w:rsid w:val="007D02CC"/>
    <w:rsid w:val="007D1DF4"/>
    <w:rsid w:val="007D440E"/>
    <w:rsid w:val="007D6A37"/>
    <w:rsid w:val="007E2C32"/>
    <w:rsid w:val="007E3068"/>
    <w:rsid w:val="00810D66"/>
    <w:rsid w:val="00813E05"/>
    <w:rsid w:val="008144EA"/>
    <w:rsid w:val="008152A0"/>
    <w:rsid w:val="008155E1"/>
    <w:rsid w:val="00816057"/>
    <w:rsid w:val="008169FE"/>
    <w:rsid w:val="0082752F"/>
    <w:rsid w:val="00834806"/>
    <w:rsid w:val="00866D6F"/>
    <w:rsid w:val="00872CA8"/>
    <w:rsid w:val="008773EB"/>
    <w:rsid w:val="008A66DD"/>
    <w:rsid w:val="008A78C7"/>
    <w:rsid w:val="008B42FE"/>
    <w:rsid w:val="008B4B38"/>
    <w:rsid w:val="008C0594"/>
    <w:rsid w:val="008C0C6F"/>
    <w:rsid w:val="008C59D7"/>
    <w:rsid w:val="008D2597"/>
    <w:rsid w:val="008D4A7E"/>
    <w:rsid w:val="008D64A8"/>
    <w:rsid w:val="008E7ABD"/>
    <w:rsid w:val="008F0EEE"/>
    <w:rsid w:val="008F52EF"/>
    <w:rsid w:val="008F5FA0"/>
    <w:rsid w:val="00905686"/>
    <w:rsid w:val="0092233F"/>
    <w:rsid w:val="009224AB"/>
    <w:rsid w:val="009332D0"/>
    <w:rsid w:val="00936DC2"/>
    <w:rsid w:val="009415A8"/>
    <w:rsid w:val="00963A10"/>
    <w:rsid w:val="00965BC9"/>
    <w:rsid w:val="00991D42"/>
    <w:rsid w:val="00993475"/>
    <w:rsid w:val="00996108"/>
    <w:rsid w:val="009A5512"/>
    <w:rsid w:val="009B00F3"/>
    <w:rsid w:val="009D76D9"/>
    <w:rsid w:val="009E5FD2"/>
    <w:rsid w:val="00A10CED"/>
    <w:rsid w:val="00A23F3B"/>
    <w:rsid w:val="00A63AC3"/>
    <w:rsid w:val="00A64DC3"/>
    <w:rsid w:val="00A72022"/>
    <w:rsid w:val="00A8119B"/>
    <w:rsid w:val="00A97EBF"/>
    <w:rsid w:val="00AB0405"/>
    <w:rsid w:val="00AB1761"/>
    <w:rsid w:val="00AD17BC"/>
    <w:rsid w:val="00AE05BB"/>
    <w:rsid w:val="00AE4BAF"/>
    <w:rsid w:val="00AF01D8"/>
    <w:rsid w:val="00AF64E5"/>
    <w:rsid w:val="00B013CB"/>
    <w:rsid w:val="00B15A63"/>
    <w:rsid w:val="00B207C6"/>
    <w:rsid w:val="00B42A1E"/>
    <w:rsid w:val="00B519AA"/>
    <w:rsid w:val="00B6126C"/>
    <w:rsid w:val="00B867AE"/>
    <w:rsid w:val="00B941AA"/>
    <w:rsid w:val="00B9782F"/>
    <w:rsid w:val="00BA50C1"/>
    <w:rsid w:val="00BB537A"/>
    <w:rsid w:val="00BD510E"/>
    <w:rsid w:val="00BF65FC"/>
    <w:rsid w:val="00C029D3"/>
    <w:rsid w:val="00C1418D"/>
    <w:rsid w:val="00C302BB"/>
    <w:rsid w:val="00C30530"/>
    <w:rsid w:val="00C4319F"/>
    <w:rsid w:val="00C4384A"/>
    <w:rsid w:val="00C472FF"/>
    <w:rsid w:val="00C47D6D"/>
    <w:rsid w:val="00C537D0"/>
    <w:rsid w:val="00C60058"/>
    <w:rsid w:val="00C73128"/>
    <w:rsid w:val="00C7409D"/>
    <w:rsid w:val="00C75ABE"/>
    <w:rsid w:val="00C77FFA"/>
    <w:rsid w:val="00C805A2"/>
    <w:rsid w:val="00C81F9B"/>
    <w:rsid w:val="00C9343C"/>
    <w:rsid w:val="00C94FB7"/>
    <w:rsid w:val="00CB3E3E"/>
    <w:rsid w:val="00CC1A39"/>
    <w:rsid w:val="00CD2C96"/>
    <w:rsid w:val="00CE6709"/>
    <w:rsid w:val="00CF63CB"/>
    <w:rsid w:val="00D2006B"/>
    <w:rsid w:val="00D210FB"/>
    <w:rsid w:val="00D220D8"/>
    <w:rsid w:val="00D35E53"/>
    <w:rsid w:val="00D35F9B"/>
    <w:rsid w:val="00D47EFE"/>
    <w:rsid w:val="00D7629C"/>
    <w:rsid w:val="00D956FE"/>
    <w:rsid w:val="00DA7D4B"/>
    <w:rsid w:val="00DB0BAA"/>
    <w:rsid w:val="00DB11C0"/>
    <w:rsid w:val="00DB1D94"/>
    <w:rsid w:val="00DF51DC"/>
    <w:rsid w:val="00E02548"/>
    <w:rsid w:val="00E052FF"/>
    <w:rsid w:val="00E1084E"/>
    <w:rsid w:val="00E1206D"/>
    <w:rsid w:val="00E3409D"/>
    <w:rsid w:val="00E34B96"/>
    <w:rsid w:val="00E60802"/>
    <w:rsid w:val="00E92E96"/>
    <w:rsid w:val="00E93237"/>
    <w:rsid w:val="00E945FD"/>
    <w:rsid w:val="00EA76F9"/>
    <w:rsid w:val="00EB5D99"/>
    <w:rsid w:val="00EB665B"/>
    <w:rsid w:val="00EC43FA"/>
    <w:rsid w:val="00EC4660"/>
    <w:rsid w:val="00EC5BAF"/>
    <w:rsid w:val="00EC62D9"/>
    <w:rsid w:val="00ED7C32"/>
    <w:rsid w:val="00F04231"/>
    <w:rsid w:val="00F05BD6"/>
    <w:rsid w:val="00F0655B"/>
    <w:rsid w:val="00F11E69"/>
    <w:rsid w:val="00F12B7F"/>
    <w:rsid w:val="00F13AA3"/>
    <w:rsid w:val="00F140EA"/>
    <w:rsid w:val="00F2072B"/>
    <w:rsid w:val="00F24105"/>
    <w:rsid w:val="00F3219D"/>
    <w:rsid w:val="00F34F1C"/>
    <w:rsid w:val="00F3542A"/>
    <w:rsid w:val="00F35A9F"/>
    <w:rsid w:val="00F44E71"/>
    <w:rsid w:val="00F57B55"/>
    <w:rsid w:val="00F60AF1"/>
    <w:rsid w:val="00F91AB6"/>
    <w:rsid w:val="00F9486F"/>
    <w:rsid w:val="00FA05F9"/>
    <w:rsid w:val="00FA4126"/>
    <w:rsid w:val="00FA4DB9"/>
    <w:rsid w:val="00FA69C0"/>
    <w:rsid w:val="00FB0055"/>
    <w:rsid w:val="00FB3D07"/>
    <w:rsid w:val="00FB5679"/>
    <w:rsid w:val="00FB72E4"/>
    <w:rsid w:val="00FC2FA5"/>
    <w:rsid w:val="00FC4FAA"/>
    <w:rsid w:val="00FD046C"/>
    <w:rsid w:val="00FE13F6"/>
    <w:rsid w:val="00FE6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0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iPriority="35"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01DD"/>
    <w:rPr>
      <w:rFonts w:ascii="Calisto MT" w:hAnsi="Calisto MT"/>
      <w:sz w:val="24"/>
    </w:rPr>
  </w:style>
  <w:style w:type="paragraph" w:styleId="Heading1">
    <w:name w:val="heading 1"/>
    <w:basedOn w:val="Subtitle"/>
    <w:next w:val="Normal"/>
    <w:link w:val="Heading1Char"/>
    <w:qFormat/>
    <w:rsid w:val="007A01DD"/>
    <w:pPr>
      <w:numPr>
        <w:numId w:val="19"/>
      </w:numPr>
      <w:spacing w:before="240"/>
      <w:jc w:val="left"/>
      <w:outlineLvl w:val="0"/>
    </w:pPr>
    <w:rPr>
      <w:caps/>
      <w:spacing w:val="12"/>
      <w:szCs w:val="24"/>
    </w:rPr>
  </w:style>
  <w:style w:type="paragraph" w:styleId="Heading2">
    <w:name w:val="heading 2"/>
    <w:basedOn w:val="Normal"/>
    <w:next w:val="Normal"/>
    <w:link w:val="Heading2Char"/>
    <w:unhideWhenUsed/>
    <w:qFormat/>
    <w:rsid w:val="007A01DD"/>
    <w:pPr>
      <w:keepNext/>
      <w:numPr>
        <w:ilvl w:val="1"/>
        <w:numId w:val="19"/>
      </w:numPr>
      <w:spacing w:before="240" w:after="240"/>
      <w:outlineLvl w:val="1"/>
    </w:pPr>
    <w:rPr>
      <w:b/>
    </w:rPr>
  </w:style>
  <w:style w:type="paragraph" w:styleId="Heading3">
    <w:name w:val="heading 3"/>
    <w:basedOn w:val="Normal"/>
    <w:next w:val="Normal"/>
    <w:link w:val="Heading3Char"/>
    <w:unhideWhenUsed/>
    <w:qFormat/>
    <w:rsid w:val="007A01DD"/>
    <w:pPr>
      <w:keepNext/>
      <w:numPr>
        <w:ilvl w:val="2"/>
        <w:numId w:val="19"/>
      </w:numPr>
      <w:spacing w:before="240" w:after="60"/>
      <w:outlineLvl w:val="2"/>
    </w:pPr>
    <w:rPr>
      <w:rFonts w:ascii="Calibri" w:eastAsia="MS Gothic" w:hAnsi="Calibri"/>
      <w:b/>
      <w:bCs/>
      <w:sz w:val="26"/>
      <w:szCs w:val="26"/>
    </w:rPr>
  </w:style>
  <w:style w:type="paragraph" w:styleId="Heading4">
    <w:name w:val="heading 4"/>
    <w:basedOn w:val="Normal"/>
    <w:next w:val="Normal"/>
    <w:qFormat/>
    <w:rsid w:val="007A01DD"/>
    <w:pPr>
      <w:keepNext/>
      <w:numPr>
        <w:ilvl w:val="3"/>
        <w:numId w:val="19"/>
      </w:numPr>
      <w:spacing w:line="480" w:lineRule="auto"/>
      <w:outlineLvl w:val="3"/>
    </w:pPr>
    <w:rPr>
      <w:u w:val="single"/>
    </w:rPr>
  </w:style>
  <w:style w:type="paragraph" w:styleId="Heading5">
    <w:name w:val="heading 5"/>
    <w:basedOn w:val="Normal"/>
    <w:next w:val="Normal"/>
    <w:link w:val="Heading5Char"/>
    <w:unhideWhenUsed/>
    <w:qFormat/>
    <w:rsid w:val="007A01DD"/>
    <w:pPr>
      <w:numPr>
        <w:ilvl w:val="4"/>
        <w:numId w:val="19"/>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semiHidden/>
    <w:unhideWhenUsed/>
    <w:qFormat/>
    <w:rsid w:val="007A01DD"/>
    <w:pPr>
      <w:numPr>
        <w:ilvl w:val="5"/>
        <w:numId w:val="19"/>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semiHidden/>
    <w:unhideWhenUsed/>
    <w:qFormat/>
    <w:rsid w:val="007A01DD"/>
    <w:pPr>
      <w:numPr>
        <w:ilvl w:val="6"/>
        <w:numId w:val="19"/>
      </w:numPr>
      <w:spacing w:before="240" w:after="60"/>
      <w:outlineLvl w:val="6"/>
    </w:pPr>
    <w:rPr>
      <w:rFonts w:ascii="Cambria" w:eastAsia="MS Mincho" w:hAnsi="Cambria"/>
    </w:rPr>
  </w:style>
  <w:style w:type="paragraph" w:styleId="Heading8">
    <w:name w:val="heading 8"/>
    <w:basedOn w:val="Normal"/>
    <w:next w:val="Normal"/>
    <w:link w:val="Heading8Char"/>
    <w:semiHidden/>
    <w:unhideWhenUsed/>
    <w:qFormat/>
    <w:rsid w:val="007A01DD"/>
    <w:pPr>
      <w:numPr>
        <w:ilvl w:val="7"/>
        <w:numId w:val="19"/>
      </w:numPr>
      <w:spacing w:before="240" w:after="60"/>
      <w:outlineLvl w:val="7"/>
    </w:pPr>
    <w:rPr>
      <w:rFonts w:ascii="Cambria" w:eastAsia="MS Mincho" w:hAnsi="Cambria"/>
      <w:i/>
      <w:iCs/>
    </w:rPr>
  </w:style>
  <w:style w:type="paragraph" w:styleId="Heading9">
    <w:name w:val="heading 9"/>
    <w:basedOn w:val="Normal"/>
    <w:next w:val="Normal"/>
    <w:link w:val="Heading9Char"/>
    <w:semiHidden/>
    <w:unhideWhenUsed/>
    <w:qFormat/>
    <w:rsid w:val="007A01DD"/>
    <w:pPr>
      <w:numPr>
        <w:ilvl w:val="8"/>
        <w:numId w:val="19"/>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A01DD"/>
    <w:pPr>
      <w:overflowPunct w:val="0"/>
      <w:autoSpaceDE w:val="0"/>
      <w:autoSpaceDN w:val="0"/>
      <w:adjustRightInd w:val="0"/>
      <w:jc w:val="center"/>
      <w:textAlignment w:val="baseline"/>
    </w:pPr>
    <w:rPr>
      <w:b/>
      <w:bCs/>
    </w:rPr>
  </w:style>
  <w:style w:type="paragraph" w:styleId="BodyText">
    <w:name w:val="Body Text"/>
    <w:basedOn w:val="Normal"/>
    <w:link w:val="BodyTextChar"/>
    <w:rsid w:val="007A01DD"/>
    <w:pPr>
      <w:tabs>
        <w:tab w:val="left" w:pos="-720"/>
      </w:tabs>
      <w:suppressAutoHyphens/>
      <w:spacing w:after="120" w:line="312" w:lineRule="exact"/>
      <w:ind w:firstLine="360"/>
    </w:pPr>
    <w:rPr>
      <w:color w:val="000000"/>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ORP Footnote"/>
    <w:basedOn w:val="Normal"/>
    <w:link w:val="FootnoteTextChar"/>
    <w:qFormat/>
    <w:rsid w:val="007A01DD"/>
    <w:pPr>
      <w:overflowPunct w:val="0"/>
      <w:autoSpaceDE w:val="0"/>
      <w:autoSpaceDN w:val="0"/>
      <w:adjustRightInd w:val="0"/>
      <w:spacing w:after="120" w:line="286" w:lineRule="exact"/>
      <w:ind w:left="360" w:hanging="360"/>
      <w:textAlignment w:val="baseline"/>
    </w:pPr>
    <w:rPr>
      <w:sz w:val="22"/>
    </w:rPr>
  </w:style>
  <w:style w:type="character" w:styleId="FootnoteReference">
    <w:name w:val="footnote reference"/>
    <w:aliases w:val="fr,Style 19,Style 16,Style 39,Style 14,Style 35,12,Style 6,Footnote Text Char Char Char Char Cha,Footnote Reference Superscript,SUPERS,BVI fnr,Footnote symbol,(Footnote Reference),Footnote reference number,note TESI"/>
    <w:qFormat/>
    <w:rsid w:val="007A01DD"/>
    <w:rPr>
      <w:vertAlign w:val="superscript"/>
    </w:rPr>
  </w:style>
  <w:style w:type="character" w:styleId="Hyperlink">
    <w:name w:val="Hyperlink"/>
    <w:rsid w:val="007A01DD"/>
    <w:rPr>
      <w:color w:val="0000FF"/>
      <w:u w:val="single"/>
    </w:rPr>
  </w:style>
  <w:style w:type="paragraph" w:styleId="Header">
    <w:name w:val="header"/>
    <w:basedOn w:val="Normal"/>
    <w:link w:val="HeaderChar"/>
    <w:rsid w:val="007A01DD"/>
    <w:pPr>
      <w:tabs>
        <w:tab w:val="center" w:pos="4320"/>
        <w:tab w:val="right" w:pos="8640"/>
      </w:tabs>
      <w:jc w:val="right"/>
    </w:pPr>
    <w:rPr>
      <w:rFonts w:ascii="Franklin Gothic Book" w:hAnsi="Franklin Gothic Book"/>
      <w:caps/>
      <w:spacing w:val="12"/>
      <w:sz w:val="20"/>
    </w:rPr>
  </w:style>
  <w:style w:type="paragraph" w:styleId="Footer">
    <w:name w:val="footer"/>
    <w:basedOn w:val="Normal"/>
    <w:rsid w:val="007A01DD"/>
    <w:pPr>
      <w:tabs>
        <w:tab w:val="center" w:pos="4320"/>
        <w:tab w:val="right" w:pos="8640"/>
      </w:tabs>
    </w:pPr>
  </w:style>
  <w:style w:type="character" w:styleId="PageNumber">
    <w:name w:val="page number"/>
    <w:basedOn w:val="DefaultParagraphFont"/>
    <w:rsid w:val="007A01DD"/>
  </w:style>
  <w:style w:type="paragraph" w:styleId="BodyTextIndent3">
    <w:name w:val="Body Text Indent 3"/>
    <w:basedOn w:val="Normal"/>
    <w:rsid w:val="005A771D"/>
    <w:pPr>
      <w:overflowPunct w:val="0"/>
      <w:autoSpaceDE w:val="0"/>
      <w:autoSpaceDN w:val="0"/>
      <w:adjustRightInd w:val="0"/>
      <w:spacing w:line="480" w:lineRule="auto"/>
      <w:ind w:firstLine="720"/>
      <w:textAlignment w:val="baseline"/>
    </w:pPr>
  </w:style>
  <w:style w:type="paragraph" w:styleId="BodyTextIndent">
    <w:name w:val="Body Text Indent"/>
    <w:basedOn w:val="Normal"/>
    <w:rsid w:val="005A771D"/>
    <w:pPr>
      <w:keepNext/>
      <w:keepLines/>
      <w:spacing w:line="480" w:lineRule="auto"/>
      <w:ind w:firstLine="720"/>
    </w:pPr>
  </w:style>
  <w:style w:type="paragraph" w:styleId="BodyTextIndent2">
    <w:name w:val="Body Text Indent 2"/>
    <w:basedOn w:val="Normal"/>
    <w:rsid w:val="005A771D"/>
    <w:pPr>
      <w:spacing w:line="480" w:lineRule="auto"/>
      <w:ind w:firstLine="720"/>
    </w:pPr>
    <w:rPr>
      <w:b/>
      <w:bCs/>
    </w:rPr>
  </w:style>
  <w:style w:type="paragraph" w:styleId="BodyText2">
    <w:name w:val="Body Text 2"/>
    <w:basedOn w:val="Normal"/>
    <w:rsid w:val="005A771D"/>
    <w:pPr>
      <w:spacing w:line="480" w:lineRule="auto"/>
    </w:pPr>
    <w:rPr>
      <w:b/>
      <w:bCs/>
    </w:rPr>
  </w:style>
  <w:style w:type="paragraph" w:styleId="BalloonText">
    <w:name w:val="Balloon Text"/>
    <w:basedOn w:val="Normal"/>
    <w:semiHidden/>
    <w:rsid w:val="007A01DD"/>
    <w:rPr>
      <w:rFonts w:ascii="Tahoma" w:hAnsi="Tahoma" w:cs="Tahoma"/>
      <w:sz w:val="16"/>
      <w:szCs w:val="16"/>
    </w:rPr>
  </w:style>
  <w:style w:type="paragraph" w:styleId="ListParagraph">
    <w:name w:val="List Paragraph"/>
    <w:basedOn w:val="Normal"/>
    <w:uiPriority w:val="34"/>
    <w:qFormat/>
    <w:rsid w:val="006F1456"/>
    <w:pPr>
      <w:ind w:left="720"/>
      <w:contextualSpacing/>
    </w:pPr>
  </w:style>
  <w:style w:type="character" w:styleId="CommentReference">
    <w:name w:val="annotation reference"/>
    <w:basedOn w:val="DefaultParagraphFont"/>
    <w:rsid w:val="00A23F3B"/>
    <w:rPr>
      <w:sz w:val="16"/>
      <w:szCs w:val="16"/>
    </w:rPr>
  </w:style>
  <w:style w:type="paragraph" w:styleId="CommentText">
    <w:name w:val="annotation text"/>
    <w:basedOn w:val="Normal"/>
    <w:link w:val="CommentTextChar"/>
    <w:rsid w:val="00A23F3B"/>
    <w:rPr>
      <w:sz w:val="20"/>
    </w:rPr>
  </w:style>
  <w:style w:type="character" w:customStyle="1" w:styleId="CommentTextChar">
    <w:name w:val="Comment Text Char"/>
    <w:basedOn w:val="DefaultParagraphFont"/>
    <w:link w:val="CommentText"/>
    <w:rsid w:val="00A23F3B"/>
  </w:style>
  <w:style w:type="paragraph" w:styleId="CommentSubject">
    <w:name w:val="annotation subject"/>
    <w:basedOn w:val="CommentText"/>
    <w:next w:val="CommentText"/>
    <w:link w:val="CommentSubjectChar"/>
    <w:rsid w:val="00A23F3B"/>
    <w:rPr>
      <w:b/>
      <w:bCs/>
    </w:rPr>
  </w:style>
  <w:style w:type="character" w:customStyle="1" w:styleId="CommentSubjectChar">
    <w:name w:val="Comment Subject Char"/>
    <w:basedOn w:val="CommentTextChar"/>
    <w:link w:val="CommentSubject"/>
    <w:rsid w:val="00A23F3B"/>
    <w:rPr>
      <w:b/>
      <w:bCs/>
    </w:rPr>
  </w:style>
  <w:style w:type="character" w:customStyle="1" w:styleId="BodyTextChar">
    <w:name w:val="Body Text Char"/>
    <w:link w:val="BodyText"/>
    <w:rsid w:val="007A01DD"/>
    <w:rPr>
      <w:rFonts w:ascii="Calisto MT" w:hAnsi="Calisto MT"/>
      <w:color w:val="000000"/>
      <w:sz w:val="24"/>
    </w:rPr>
  </w:style>
  <w:style w:type="paragraph" w:customStyle="1" w:styleId="FiguresHeading">
    <w:name w:val="Figures Heading"/>
    <w:basedOn w:val="Normal"/>
    <w:qFormat/>
    <w:rsid w:val="007A01DD"/>
    <w:pPr>
      <w:keepNext/>
      <w:spacing w:before="120" w:after="120" w:line="312" w:lineRule="exact"/>
      <w:jc w:val="center"/>
    </w:pPr>
    <w:rPr>
      <w:rFonts w:ascii="Franklin Gothic Book" w:hAnsi="Franklin Gothic Book"/>
      <w:caps/>
      <w:spacing w:val="12"/>
    </w:rPr>
  </w:style>
  <w:style w:type="paragraph" w:customStyle="1" w:styleId="FiguresRow">
    <w:name w:val="Figures Row"/>
    <w:basedOn w:val="Normal"/>
    <w:qFormat/>
    <w:rsid w:val="007A01DD"/>
    <w:pPr>
      <w:keepNext/>
      <w:tabs>
        <w:tab w:val="right" w:leader="dot" w:pos="7920"/>
      </w:tabs>
      <w:spacing w:line="312" w:lineRule="exact"/>
      <w:ind w:left="720" w:right="720"/>
    </w:pPr>
    <w:rPr>
      <w:rFonts w:ascii="Franklin Gothic Book" w:hAnsi="Franklin Gothic Book"/>
    </w:rPr>
  </w:style>
  <w:style w:type="character" w:customStyle="1" w:styleId="HeaderChar">
    <w:name w:val="Header Char"/>
    <w:link w:val="Header"/>
    <w:rsid w:val="007A01DD"/>
    <w:rPr>
      <w:rFonts w:ascii="Franklin Gothic Book" w:hAnsi="Franklin Gothic Book"/>
      <w:caps/>
      <w:spacing w:val="12"/>
    </w:rPr>
  </w:style>
  <w:style w:type="paragraph" w:styleId="Subtitle">
    <w:name w:val="Subtitle"/>
    <w:basedOn w:val="Title"/>
    <w:link w:val="SubtitleChar"/>
    <w:qFormat/>
    <w:rsid w:val="007A01DD"/>
    <w:pPr>
      <w:spacing w:after="240"/>
    </w:pPr>
  </w:style>
  <w:style w:type="character" w:customStyle="1" w:styleId="SubtitleChar">
    <w:name w:val="Subtitle Char"/>
    <w:basedOn w:val="DefaultParagraphFont"/>
    <w:link w:val="Subtitle"/>
    <w:rsid w:val="007A01DD"/>
    <w:rPr>
      <w:rFonts w:ascii="Calisto MT" w:hAnsi="Calisto MT"/>
      <w:b/>
      <w:bCs/>
      <w:sz w:val="24"/>
    </w:rPr>
  </w:style>
  <w:style w:type="character" w:customStyle="1" w:styleId="Heading1Char">
    <w:name w:val="Heading 1 Char"/>
    <w:link w:val="Heading1"/>
    <w:rsid w:val="007A01DD"/>
    <w:rPr>
      <w:rFonts w:ascii="Calisto MT" w:hAnsi="Calisto MT"/>
      <w:b/>
      <w:bCs/>
      <w:caps/>
      <w:spacing w:val="12"/>
      <w:sz w:val="24"/>
      <w:szCs w:val="24"/>
    </w:rPr>
  </w:style>
  <w:style w:type="character" w:customStyle="1" w:styleId="Heading2Char">
    <w:name w:val="Heading 2 Char"/>
    <w:link w:val="Heading2"/>
    <w:rsid w:val="007A01DD"/>
    <w:rPr>
      <w:rFonts w:ascii="Calisto MT" w:hAnsi="Calisto MT"/>
      <w:b/>
      <w:sz w:val="24"/>
    </w:rPr>
  </w:style>
  <w:style w:type="character" w:customStyle="1" w:styleId="Heading3Char">
    <w:name w:val="Heading 3 Char"/>
    <w:link w:val="Heading3"/>
    <w:rsid w:val="007A01DD"/>
    <w:rPr>
      <w:rFonts w:ascii="Calibri" w:eastAsia="MS Gothic" w:hAnsi="Calibri"/>
      <w:b/>
      <w:bCs/>
      <w:sz w:val="26"/>
      <w:szCs w:val="26"/>
    </w:rPr>
  </w:style>
  <w:style w:type="character" w:customStyle="1" w:styleId="Heading5Char">
    <w:name w:val="Heading 5 Char"/>
    <w:link w:val="Heading5"/>
    <w:rsid w:val="007A01DD"/>
    <w:rPr>
      <w:rFonts w:ascii="Cambria" w:eastAsia="MS Mincho" w:hAnsi="Cambria"/>
      <w:b/>
      <w:bCs/>
      <w:i/>
      <w:iCs/>
      <w:sz w:val="26"/>
      <w:szCs w:val="26"/>
    </w:rPr>
  </w:style>
  <w:style w:type="character" w:customStyle="1" w:styleId="Heading6Char">
    <w:name w:val="Heading 6 Char"/>
    <w:link w:val="Heading6"/>
    <w:semiHidden/>
    <w:rsid w:val="007A01DD"/>
    <w:rPr>
      <w:rFonts w:ascii="Cambria" w:eastAsia="MS Mincho" w:hAnsi="Cambria"/>
      <w:b/>
      <w:bCs/>
      <w:sz w:val="22"/>
      <w:szCs w:val="22"/>
    </w:rPr>
  </w:style>
  <w:style w:type="character" w:customStyle="1" w:styleId="Heading7Char">
    <w:name w:val="Heading 7 Char"/>
    <w:link w:val="Heading7"/>
    <w:semiHidden/>
    <w:rsid w:val="007A01DD"/>
    <w:rPr>
      <w:rFonts w:ascii="Cambria" w:eastAsia="MS Mincho" w:hAnsi="Cambria"/>
      <w:sz w:val="24"/>
      <w:szCs w:val="24"/>
    </w:rPr>
  </w:style>
  <w:style w:type="character" w:customStyle="1" w:styleId="Heading8Char">
    <w:name w:val="Heading 8 Char"/>
    <w:link w:val="Heading8"/>
    <w:semiHidden/>
    <w:rsid w:val="007A01DD"/>
    <w:rPr>
      <w:rFonts w:ascii="Cambria" w:eastAsia="MS Mincho" w:hAnsi="Cambria"/>
      <w:i/>
      <w:iCs/>
      <w:sz w:val="24"/>
      <w:szCs w:val="24"/>
    </w:rPr>
  </w:style>
  <w:style w:type="character" w:customStyle="1" w:styleId="Heading9Char">
    <w:name w:val="Heading 9 Char"/>
    <w:link w:val="Heading9"/>
    <w:semiHidden/>
    <w:rsid w:val="007A01DD"/>
    <w:rPr>
      <w:rFonts w:ascii="Calibri" w:eastAsia="MS Gothic" w:hAnsi="Calibri"/>
      <w:sz w:val="22"/>
      <w:szCs w:val="22"/>
    </w:rPr>
  </w:style>
  <w:style w:type="character" w:styleId="FollowedHyperlink">
    <w:name w:val="FollowedHyperlink"/>
    <w:basedOn w:val="DefaultParagraphFont"/>
    <w:rsid w:val="00512722"/>
    <w:rPr>
      <w:color w:val="800080" w:themeColor="followedHyperlink"/>
      <w:u w:val="single"/>
    </w:rPr>
  </w:style>
  <w:style w:type="character" w:customStyle="1" w:styleId="FootnoteTextChar">
    <w:name w:val="Footnote Text Char"/>
    <w:aliases w:val="fn Char,ft Char,Footnote Text Char Char Char Char Char Char Char Char Char Char Char Char Char Char Char Char Char Char,ORP Footnote Char"/>
    <w:link w:val="FootnoteText"/>
    <w:locked/>
    <w:rsid w:val="000F5574"/>
    <w:rPr>
      <w:rFonts w:ascii="Calisto MT" w:hAnsi="Calisto MT"/>
      <w:sz w:val="22"/>
    </w:rPr>
  </w:style>
  <w:style w:type="paragraph" w:customStyle="1" w:styleId="ReleaseBodyText">
    <w:name w:val="Release Body Text"/>
    <w:basedOn w:val="Normal"/>
    <w:qFormat/>
    <w:rsid w:val="000F5574"/>
    <w:pPr>
      <w:spacing w:line="480" w:lineRule="auto"/>
      <w:ind w:firstLine="720"/>
    </w:pPr>
    <w:rPr>
      <w:rFonts w:ascii="Times New Roman" w:hAnsi="Times New Roman"/>
      <w:szCs w:val="24"/>
    </w:rPr>
  </w:style>
  <w:style w:type="paragraph" w:styleId="Caption">
    <w:name w:val="caption"/>
    <w:basedOn w:val="Normal"/>
    <w:next w:val="Normal"/>
    <w:uiPriority w:val="35"/>
    <w:qFormat/>
    <w:rsid w:val="000F5574"/>
    <w:pPr>
      <w:overflowPunct w:val="0"/>
      <w:autoSpaceDE w:val="0"/>
      <w:autoSpaceDN w:val="0"/>
      <w:adjustRightInd w:val="0"/>
      <w:textAlignment w:val="baseline"/>
    </w:pPr>
    <w:rPr>
      <w:rFonts w:ascii="CG Times (W1)" w:hAnsi="CG Times (W1)"/>
    </w:rPr>
  </w:style>
  <w:style w:type="paragraph" w:customStyle="1" w:styleId="FootnoteText1">
    <w:name w:val="Footnote Text1"/>
    <w:basedOn w:val="FootnoteText"/>
    <w:link w:val="FootnotetextChar0"/>
    <w:qFormat/>
    <w:rsid w:val="002F7B66"/>
    <w:pPr>
      <w:overflowPunct/>
      <w:autoSpaceDE/>
      <w:autoSpaceDN/>
      <w:adjustRightInd/>
      <w:spacing w:line="240" w:lineRule="auto"/>
      <w:ind w:left="720" w:hanging="720"/>
      <w:textAlignment w:val="auto"/>
    </w:pPr>
    <w:rPr>
      <w:rFonts w:ascii="Times New Roman" w:eastAsia="Calibri" w:hAnsi="Times New Roman"/>
      <w:sz w:val="20"/>
    </w:rPr>
  </w:style>
  <w:style w:type="character" w:customStyle="1" w:styleId="FootnotetextChar0">
    <w:name w:val="Footnote text Char"/>
    <w:link w:val="FootnoteText1"/>
    <w:rsid w:val="002F7B66"/>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iPriority="35"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01DD"/>
    <w:rPr>
      <w:rFonts w:ascii="Calisto MT" w:hAnsi="Calisto MT"/>
      <w:sz w:val="24"/>
    </w:rPr>
  </w:style>
  <w:style w:type="paragraph" w:styleId="Heading1">
    <w:name w:val="heading 1"/>
    <w:basedOn w:val="Subtitle"/>
    <w:next w:val="Normal"/>
    <w:link w:val="Heading1Char"/>
    <w:qFormat/>
    <w:rsid w:val="007A01DD"/>
    <w:pPr>
      <w:numPr>
        <w:numId w:val="19"/>
      </w:numPr>
      <w:spacing w:before="240"/>
      <w:jc w:val="left"/>
      <w:outlineLvl w:val="0"/>
    </w:pPr>
    <w:rPr>
      <w:caps/>
      <w:spacing w:val="12"/>
      <w:szCs w:val="24"/>
    </w:rPr>
  </w:style>
  <w:style w:type="paragraph" w:styleId="Heading2">
    <w:name w:val="heading 2"/>
    <w:basedOn w:val="Normal"/>
    <w:next w:val="Normal"/>
    <w:link w:val="Heading2Char"/>
    <w:unhideWhenUsed/>
    <w:qFormat/>
    <w:rsid w:val="007A01DD"/>
    <w:pPr>
      <w:keepNext/>
      <w:numPr>
        <w:ilvl w:val="1"/>
        <w:numId w:val="19"/>
      </w:numPr>
      <w:spacing w:before="240" w:after="240"/>
      <w:outlineLvl w:val="1"/>
    </w:pPr>
    <w:rPr>
      <w:b/>
    </w:rPr>
  </w:style>
  <w:style w:type="paragraph" w:styleId="Heading3">
    <w:name w:val="heading 3"/>
    <w:basedOn w:val="Normal"/>
    <w:next w:val="Normal"/>
    <w:link w:val="Heading3Char"/>
    <w:unhideWhenUsed/>
    <w:qFormat/>
    <w:rsid w:val="007A01DD"/>
    <w:pPr>
      <w:keepNext/>
      <w:numPr>
        <w:ilvl w:val="2"/>
        <w:numId w:val="19"/>
      </w:numPr>
      <w:spacing w:before="240" w:after="60"/>
      <w:outlineLvl w:val="2"/>
    </w:pPr>
    <w:rPr>
      <w:rFonts w:ascii="Calibri" w:eastAsia="MS Gothic" w:hAnsi="Calibri"/>
      <w:b/>
      <w:bCs/>
      <w:sz w:val="26"/>
      <w:szCs w:val="26"/>
    </w:rPr>
  </w:style>
  <w:style w:type="paragraph" w:styleId="Heading4">
    <w:name w:val="heading 4"/>
    <w:basedOn w:val="Normal"/>
    <w:next w:val="Normal"/>
    <w:qFormat/>
    <w:rsid w:val="007A01DD"/>
    <w:pPr>
      <w:keepNext/>
      <w:numPr>
        <w:ilvl w:val="3"/>
        <w:numId w:val="19"/>
      </w:numPr>
      <w:spacing w:line="480" w:lineRule="auto"/>
      <w:outlineLvl w:val="3"/>
    </w:pPr>
    <w:rPr>
      <w:u w:val="single"/>
    </w:rPr>
  </w:style>
  <w:style w:type="paragraph" w:styleId="Heading5">
    <w:name w:val="heading 5"/>
    <w:basedOn w:val="Normal"/>
    <w:next w:val="Normal"/>
    <w:link w:val="Heading5Char"/>
    <w:unhideWhenUsed/>
    <w:qFormat/>
    <w:rsid w:val="007A01DD"/>
    <w:pPr>
      <w:numPr>
        <w:ilvl w:val="4"/>
        <w:numId w:val="19"/>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semiHidden/>
    <w:unhideWhenUsed/>
    <w:qFormat/>
    <w:rsid w:val="007A01DD"/>
    <w:pPr>
      <w:numPr>
        <w:ilvl w:val="5"/>
        <w:numId w:val="19"/>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semiHidden/>
    <w:unhideWhenUsed/>
    <w:qFormat/>
    <w:rsid w:val="007A01DD"/>
    <w:pPr>
      <w:numPr>
        <w:ilvl w:val="6"/>
        <w:numId w:val="19"/>
      </w:numPr>
      <w:spacing w:before="240" w:after="60"/>
      <w:outlineLvl w:val="6"/>
    </w:pPr>
    <w:rPr>
      <w:rFonts w:ascii="Cambria" w:eastAsia="MS Mincho" w:hAnsi="Cambria"/>
    </w:rPr>
  </w:style>
  <w:style w:type="paragraph" w:styleId="Heading8">
    <w:name w:val="heading 8"/>
    <w:basedOn w:val="Normal"/>
    <w:next w:val="Normal"/>
    <w:link w:val="Heading8Char"/>
    <w:semiHidden/>
    <w:unhideWhenUsed/>
    <w:qFormat/>
    <w:rsid w:val="007A01DD"/>
    <w:pPr>
      <w:numPr>
        <w:ilvl w:val="7"/>
        <w:numId w:val="19"/>
      </w:numPr>
      <w:spacing w:before="240" w:after="60"/>
      <w:outlineLvl w:val="7"/>
    </w:pPr>
    <w:rPr>
      <w:rFonts w:ascii="Cambria" w:eastAsia="MS Mincho" w:hAnsi="Cambria"/>
      <w:i/>
      <w:iCs/>
    </w:rPr>
  </w:style>
  <w:style w:type="paragraph" w:styleId="Heading9">
    <w:name w:val="heading 9"/>
    <w:basedOn w:val="Normal"/>
    <w:next w:val="Normal"/>
    <w:link w:val="Heading9Char"/>
    <w:semiHidden/>
    <w:unhideWhenUsed/>
    <w:qFormat/>
    <w:rsid w:val="007A01DD"/>
    <w:pPr>
      <w:numPr>
        <w:ilvl w:val="8"/>
        <w:numId w:val="19"/>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A01DD"/>
    <w:pPr>
      <w:overflowPunct w:val="0"/>
      <w:autoSpaceDE w:val="0"/>
      <w:autoSpaceDN w:val="0"/>
      <w:adjustRightInd w:val="0"/>
      <w:jc w:val="center"/>
      <w:textAlignment w:val="baseline"/>
    </w:pPr>
    <w:rPr>
      <w:b/>
      <w:bCs/>
    </w:rPr>
  </w:style>
  <w:style w:type="paragraph" w:styleId="BodyText">
    <w:name w:val="Body Text"/>
    <w:basedOn w:val="Normal"/>
    <w:link w:val="BodyTextChar"/>
    <w:rsid w:val="007A01DD"/>
    <w:pPr>
      <w:tabs>
        <w:tab w:val="left" w:pos="-720"/>
      </w:tabs>
      <w:suppressAutoHyphens/>
      <w:spacing w:after="120" w:line="312" w:lineRule="exact"/>
      <w:ind w:firstLine="360"/>
    </w:pPr>
    <w:rPr>
      <w:color w:val="000000"/>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ORP Footnote"/>
    <w:basedOn w:val="Normal"/>
    <w:link w:val="FootnoteTextChar"/>
    <w:qFormat/>
    <w:rsid w:val="007A01DD"/>
    <w:pPr>
      <w:overflowPunct w:val="0"/>
      <w:autoSpaceDE w:val="0"/>
      <w:autoSpaceDN w:val="0"/>
      <w:adjustRightInd w:val="0"/>
      <w:spacing w:after="120" w:line="286" w:lineRule="exact"/>
      <w:ind w:left="360" w:hanging="360"/>
      <w:textAlignment w:val="baseline"/>
    </w:pPr>
    <w:rPr>
      <w:sz w:val="22"/>
    </w:rPr>
  </w:style>
  <w:style w:type="character" w:styleId="FootnoteReference">
    <w:name w:val="footnote reference"/>
    <w:aliases w:val="fr,Style 19,Style 16,Style 39,Style 14,Style 35,12,Style 6,Footnote Text Char Char Char Char Cha,Footnote Reference Superscript,SUPERS,BVI fnr,Footnote symbol,(Footnote Reference),Footnote reference number,note TESI"/>
    <w:qFormat/>
    <w:rsid w:val="007A01DD"/>
    <w:rPr>
      <w:vertAlign w:val="superscript"/>
    </w:rPr>
  </w:style>
  <w:style w:type="character" w:styleId="Hyperlink">
    <w:name w:val="Hyperlink"/>
    <w:rsid w:val="007A01DD"/>
    <w:rPr>
      <w:color w:val="0000FF"/>
      <w:u w:val="single"/>
    </w:rPr>
  </w:style>
  <w:style w:type="paragraph" w:styleId="Header">
    <w:name w:val="header"/>
    <w:basedOn w:val="Normal"/>
    <w:link w:val="HeaderChar"/>
    <w:rsid w:val="007A01DD"/>
    <w:pPr>
      <w:tabs>
        <w:tab w:val="center" w:pos="4320"/>
        <w:tab w:val="right" w:pos="8640"/>
      </w:tabs>
      <w:jc w:val="right"/>
    </w:pPr>
    <w:rPr>
      <w:rFonts w:ascii="Franklin Gothic Book" w:hAnsi="Franklin Gothic Book"/>
      <w:caps/>
      <w:spacing w:val="12"/>
      <w:sz w:val="20"/>
    </w:rPr>
  </w:style>
  <w:style w:type="paragraph" w:styleId="Footer">
    <w:name w:val="footer"/>
    <w:basedOn w:val="Normal"/>
    <w:rsid w:val="007A01DD"/>
    <w:pPr>
      <w:tabs>
        <w:tab w:val="center" w:pos="4320"/>
        <w:tab w:val="right" w:pos="8640"/>
      </w:tabs>
    </w:pPr>
  </w:style>
  <w:style w:type="character" w:styleId="PageNumber">
    <w:name w:val="page number"/>
    <w:basedOn w:val="DefaultParagraphFont"/>
    <w:rsid w:val="007A01DD"/>
  </w:style>
  <w:style w:type="paragraph" w:styleId="BodyTextIndent3">
    <w:name w:val="Body Text Indent 3"/>
    <w:basedOn w:val="Normal"/>
    <w:rsid w:val="005A771D"/>
    <w:pPr>
      <w:overflowPunct w:val="0"/>
      <w:autoSpaceDE w:val="0"/>
      <w:autoSpaceDN w:val="0"/>
      <w:adjustRightInd w:val="0"/>
      <w:spacing w:line="480" w:lineRule="auto"/>
      <w:ind w:firstLine="720"/>
      <w:textAlignment w:val="baseline"/>
    </w:pPr>
  </w:style>
  <w:style w:type="paragraph" w:styleId="BodyTextIndent">
    <w:name w:val="Body Text Indent"/>
    <w:basedOn w:val="Normal"/>
    <w:rsid w:val="005A771D"/>
    <w:pPr>
      <w:keepNext/>
      <w:keepLines/>
      <w:spacing w:line="480" w:lineRule="auto"/>
      <w:ind w:firstLine="720"/>
    </w:pPr>
  </w:style>
  <w:style w:type="paragraph" w:styleId="BodyTextIndent2">
    <w:name w:val="Body Text Indent 2"/>
    <w:basedOn w:val="Normal"/>
    <w:rsid w:val="005A771D"/>
    <w:pPr>
      <w:spacing w:line="480" w:lineRule="auto"/>
      <w:ind w:firstLine="720"/>
    </w:pPr>
    <w:rPr>
      <w:b/>
      <w:bCs/>
    </w:rPr>
  </w:style>
  <w:style w:type="paragraph" w:styleId="BodyText2">
    <w:name w:val="Body Text 2"/>
    <w:basedOn w:val="Normal"/>
    <w:rsid w:val="005A771D"/>
    <w:pPr>
      <w:spacing w:line="480" w:lineRule="auto"/>
    </w:pPr>
    <w:rPr>
      <w:b/>
      <w:bCs/>
    </w:rPr>
  </w:style>
  <w:style w:type="paragraph" w:styleId="BalloonText">
    <w:name w:val="Balloon Text"/>
    <w:basedOn w:val="Normal"/>
    <w:semiHidden/>
    <w:rsid w:val="007A01DD"/>
    <w:rPr>
      <w:rFonts w:ascii="Tahoma" w:hAnsi="Tahoma" w:cs="Tahoma"/>
      <w:sz w:val="16"/>
      <w:szCs w:val="16"/>
    </w:rPr>
  </w:style>
  <w:style w:type="paragraph" w:styleId="ListParagraph">
    <w:name w:val="List Paragraph"/>
    <w:basedOn w:val="Normal"/>
    <w:uiPriority w:val="34"/>
    <w:qFormat/>
    <w:rsid w:val="006F1456"/>
    <w:pPr>
      <w:ind w:left="720"/>
      <w:contextualSpacing/>
    </w:pPr>
  </w:style>
  <w:style w:type="character" w:styleId="CommentReference">
    <w:name w:val="annotation reference"/>
    <w:basedOn w:val="DefaultParagraphFont"/>
    <w:rsid w:val="00A23F3B"/>
    <w:rPr>
      <w:sz w:val="16"/>
      <w:szCs w:val="16"/>
    </w:rPr>
  </w:style>
  <w:style w:type="paragraph" w:styleId="CommentText">
    <w:name w:val="annotation text"/>
    <w:basedOn w:val="Normal"/>
    <w:link w:val="CommentTextChar"/>
    <w:rsid w:val="00A23F3B"/>
    <w:rPr>
      <w:sz w:val="20"/>
    </w:rPr>
  </w:style>
  <w:style w:type="character" w:customStyle="1" w:styleId="CommentTextChar">
    <w:name w:val="Comment Text Char"/>
    <w:basedOn w:val="DefaultParagraphFont"/>
    <w:link w:val="CommentText"/>
    <w:rsid w:val="00A23F3B"/>
  </w:style>
  <w:style w:type="paragraph" w:styleId="CommentSubject">
    <w:name w:val="annotation subject"/>
    <w:basedOn w:val="CommentText"/>
    <w:next w:val="CommentText"/>
    <w:link w:val="CommentSubjectChar"/>
    <w:rsid w:val="00A23F3B"/>
    <w:rPr>
      <w:b/>
      <w:bCs/>
    </w:rPr>
  </w:style>
  <w:style w:type="character" w:customStyle="1" w:styleId="CommentSubjectChar">
    <w:name w:val="Comment Subject Char"/>
    <w:basedOn w:val="CommentTextChar"/>
    <w:link w:val="CommentSubject"/>
    <w:rsid w:val="00A23F3B"/>
    <w:rPr>
      <w:b/>
      <w:bCs/>
    </w:rPr>
  </w:style>
  <w:style w:type="character" w:customStyle="1" w:styleId="BodyTextChar">
    <w:name w:val="Body Text Char"/>
    <w:link w:val="BodyText"/>
    <w:rsid w:val="007A01DD"/>
    <w:rPr>
      <w:rFonts w:ascii="Calisto MT" w:hAnsi="Calisto MT"/>
      <w:color w:val="000000"/>
      <w:sz w:val="24"/>
    </w:rPr>
  </w:style>
  <w:style w:type="paragraph" w:customStyle="1" w:styleId="FiguresHeading">
    <w:name w:val="Figures Heading"/>
    <w:basedOn w:val="Normal"/>
    <w:qFormat/>
    <w:rsid w:val="007A01DD"/>
    <w:pPr>
      <w:keepNext/>
      <w:spacing w:before="120" w:after="120" w:line="312" w:lineRule="exact"/>
      <w:jc w:val="center"/>
    </w:pPr>
    <w:rPr>
      <w:rFonts w:ascii="Franklin Gothic Book" w:hAnsi="Franklin Gothic Book"/>
      <w:caps/>
      <w:spacing w:val="12"/>
    </w:rPr>
  </w:style>
  <w:style w:type="paragraph" w:customStyle="1" w:styleId="FiguresRow">
    <w:name w:val="Figures Row"/>
    <w:basedOn w:val="Normal"/>
    <w:qFormat/>
    <w:rsid w:val="007A01DD"/>
    <w:pPr>
      <w:keepNext/>
      <w:tabs>
        <w:tab w:val="right" w:leader="dot" w:pos="7920"/>
      </w:tabs>
      <w:spacing w:line="312" w:lineRule="exact"/>
      <w:ind w:left="720" w:right="720"/>
    </w:pPr>
    <w:rPr>
      <w:rFonts w:ascii="Franklin Gothic Book" w:hAnsi="Franklin Gothic Book"/>
    </w:rPr>
  </w:style>
  <w:style w:type="character" w:customStyle="1" w:styleId="HeaderChar">
    <w:name w:val="Header Char"/>
    <w:link w:val="Header"/>
    <w:rsid w:val="007A01DD"/>
    <w:rPr>
      <w:rFonts w:ascii="Franklin Gothic Book" w:hAnsi="Franklin Gothic Book"/>
      <w:caps/>
      <w:spacing w:val="12"/>
    </w:rPr>
  </w:style>
  <w:style w:type="paragraph" w:styleId="Subtitle">
    <w:name w:val="Subtitle"/>
    <w:basedOn w:val="Title"/>
    <w:link w:val="SubtitleChar"/>
    <w:qFormat/>
    <w:rsid w:val="007A01DD"/>
    <w:pPr>
      <w:spacing w:after="240"/>
    </w:pPr>
  </w:style>
  <w:style w:type="character" w:customStyle="1" w:styleId="SubtitleChar">
    <w:name w:val="Subtitle Char"/>
    <w:basedOn w:val="DefaultParagraphFont"/>
    <w:link w:val="Subtitle"/>
    <w:rsid w:val="007A01DD"/>
    <w:rPr>
      <w:rFonts w:ascii="Calisto MT" w:hAnsi="Calisto MT"/>
      <w:b/>
      <w:bCs/>
      <w:sz w:val="24"/>
    </w:rPr>
  </w:style>
  <w:style w:type="character" w:customStyle="1" w:styleId="Heading1Char">
    <w:name w:val="Heading 1 Char"/>
    <w:link w:val="Heading1"/>
    <w:rsid w:val="007A01DD"/>
    <w:rPr>
      <w:rFonts w:ascii="Calisto MT" w:hAnsi="Calisto MT"/>
      <w:b/>
      <w:bCs/>
      <w:caps/>
      <w:spacing w:val="12"/>
      <w:sz w:val="24"/>
      <w:szCs w:val="24"/>
    </w:rPr>
  </w:style>
  <w:style w:type="character" w:customStyle="1" w:styleId="Heading2Char">
    <w:name w:val="Heading 2 Char"/>
    <w:link w:val="Heading2"/>
    <w:rsid w:val="007A01DD"/>
    <w:rPr>
      <w:rFonts w:ascii="Calisto MT" w:hAnsi="Calisto MT"/>
      <w:b/>
      <w:sz w:val="24"/>
    </w:rPr>
  </w:style>
  <w:style w:type="character" w:customStyle="1" w:styleId="Heading3Char">
    <w:name w:val="Heading 3 Char"/>
    <w:link w:val="Heading3"/>
    <w:rsid w:val="007A01DD"/>
    <w:rPr>
      <w:rFonts w:ascii="Calibri" w:eastAsia="MS Gothic" w:hAnsi="Calibri"/>
      <w:b/>
      <w:bCs/>
      <w:sz w:val="26"/>
      <w:szCs w:val="26"/>
    </w:rPr>
  </w:style>
  <w:style w:type="character" w:customStyle="1" w:styleId="Heading5Char">
    <w:name w:val="Heading 5 Char"/>
    <w:link w:val="Heading5"/>
    <w:rsid w:val="007A01DD"/>
    <w:rPr>
      <w:rFonts w:ascii="Cambria" w:eastAsia="MS Mincho" w:hAnsi="Cambria"/>
      <w:b/>
      <w:bCs/>
      <w:i/>
      <w:iCs/>
      <w:sz w:val="26"/>
      <w:szCs w:val="26"/>
    </w:rPr>
  </w:style>
  <w:style w:type="character" w:customStyle="1" w:styleId="Heading6Char">
    <w:name w:val="Heading 6 Char"/>
    <w:link w:val="Heading6"/>
    <w:semiHidden/>
    <w:rsid w:val="007A01DD"/>
    <w:rPr>
      <w:rFonts w:ascii="Cambria" w:eastAsia="MS Mincho" w:hAnsi="Cambria"/>
      <w:b/>
      <w:bCs/>
      <w:sz w:val="22"/>
      <w:szCs w:val="22"/>
    </w:rPr>
  </w:style>
  <w:style w:type="character" w:customStyle="1" w:styleId="Heading7Char">
    <w:name w:val="Heading 7 Char"/>
    <w:link w:val="Heading7"/>
    <w:semiHidden/>
    <w:rsid w:val="007A01DD"/>
    <w:rPr>
      <w:rFonts w:ascii="Cambria" w:eastAsia="MS Mincho" w:hAnsi="Cambria"/>
      <w:sz w:val="24"/>
      <w:szCs w:val="24"/>
    </w:rPr>
  </w:style>
  <w:style w:type="character" w:customStyle="1" w:styleId="Heading8Char">
    <w:name w:val="Heading 8 Char"/>
    <w:link w:val="Heading8"/>
    <w:semiHidden/>
    <w:rsid w:val="007A01DD"/>
    <w:rPr>
      <w:rFonts w:ascii="Cambria" w:eastAsia="MS Mincho" w:hAnsi="Cambria"/>
      <w:i/>
      <w:iCs/>
      <w:sz w:val="24"/>
      <w:szCs w:val="24"/>
    </w:rPr>
  </w:style>
  <w:style w:type="character" w:customStyle="1" w:styleId="Heading9Char">
    <w:name w:val="Heading 9 Char"/>
    <w:link w:val="Heading9"/>
    <w:semiHidden/>
    <w:rsid w:val="007A01DD"/>
    <w:rPr>
      <w:rFonts w:ascii="Calibri" w:eastAsia="MS Gothic" w:hAnsi="Calibri"/>
      <w:sz w:val="22"/>
      <w:szCs w:val="22"/>
    </w:rPr>
  </w:style>
  <w:style w:type="character" w:styleId="FollowedHyperlink">
    <w:name w:val="FollowedHyperlink"/>
    <w:basedOn w:val="DefaultParagraphFont"/>
    <w:rsid w:val="00512722"/>
    <w:rPr>
      <w:color w:val="800080" w:themeColor="followedHyperlink"/>
      <w:u w:val="single"/>
    </w:rPr>
  </w:style>
  <w:style w:type="character" w:customStyle="1" w:styleId="FootnoteTextChar">
    <w:name w:val="Footnote Text Char"/>
    <w:aliases w:val="fn Char,ft Char,Footnote Text Char Char Char Char Char Char Char Char Char Char Char Char Char Char Char Char Char Char,ORP Footnote Char"/>
    <w:link w:val="FootnoteText"/>
    <w:locked/>
    <w:rsid w:val="000F5574"/>
    <w:rPr>
      <w:rFonts w:ascii="Calisto MT" w:hAnsi="Calisto MT"/>
      <w:sz w:val="22"/>
    </w:rPr>
  </w:style>
  <w:style w:type="paragraph" w:customStyle="1" w:styleId="ReleaseBodyText">
    <w:name w:val="Release Body Text"/>
    <w:basedOn w:val="Normal"/>
    <w:qFormat/>
    <w:rsid w:val="000F5574"/>
    <w:pPr>
      <w:spacing w:line="480" w:lineRule="auto"/>
      <w:ind w:firstLine="720"/>
    </w:pPr>
    <w:rPr>
      <w:rFonts w:ascii="Times New Roman" w:hAnsi="Times New Roman"/>
      <w:szCs w:val="24"/>
    </w:rPr>
  </w:style>
  <w:style w:type="paragraph" w:styleId="Caption">
    <w:name w:val="caption"/>
    <w:basedOn w:val="Normal"/>
    <w:next w:val="Normal"/>
    <w:uiPriority w:val="35"/>
    <w:qFormat/>
    <w:rsid w:val="000F5574"/>
    <w:pPr>
      <w:overflowPunct w:val="0"/>
      <w:autoSpaceDE w:val="0"/>
      <w:autoSpaceDN w:val="0"/>
      <w:adjustRightInd w:val="0"/>
      <w:textAlignment w:val="baseline"/>
    </w:pPr>
    <w:rPr>
      <w:rFonts w:ascii="CG Times (W1)" w:hAnsi="CG Times (W1)"/>
    </w:rPr>
  </w:style>
  <w:style w:type="paragraph" w:customStyle="1" w:styleId="FootnoteText1">
    <w:name w:val="Footnote Text1"/>
    <w:basedOn w:val="FootnoteText"/>
    <w:link w:val="FootnotetextChar0"/>
    <w:qFormat/>
    <w:rsid w:val="002F7B66"/>
    <w:pPr>
      <w:overflowPunct/>
      <w:autoSpaceDE/>
      <w:autoSpaceDN/>
      <w:adjustRightInd/>
      <w:spacing w:line="240" w:lineRule="auto"/>
      <w:ind w:left="720" w:hanging="720"/>
      <w:textAlignment w:val="auto"/>
    </w:pPr>
    <w:rPr>
      <w:rFonts w:ascii="Times New Roman" w:eastAsia="Calibri" w:hAnsi="Times New Roman"/>
      <w:sz w:val="20"/>
    </w:rPr>
  </w:style>
  <w:style w:type="character" w:customStyle="1" w:styleId="FootnotetextChar0">
    <w:name w:val="Footnote text Char"/>
    <w:link w:val="FootnoteText1"/>
    <w:rsid w:val="002F7B66"/>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265970">
      <w:bodyDiv w:val="1"/>
      <w:marLeft w:val="0"/>
      <w:marRight w:val="0"/>
      <w:marTop w:val="0"/>
      <w:marBottom w:val="0"/>
      <w:divBdr>
        <w:top w:val="none" w:sz="0" w:space="0" w:color="auto"/>
        <w:left w:val="none" w:sz="0" w:space="0" w:color="auto"/>
        <w:bottom w:val="none" w:sz="0" w:space="0" w:color="auto"/>
        <w:right w:val="none" w:sz="0" w:space="0" w:color="auto"/>
      </w:divBdr>
    </w:div>
    <w:div w:id="789127571">
      <w:bodyDiv w:val="1"/>
      <w:marLeft w:val="0"/>
      <w:marRight w:val="0"/>
      <w:marTop w:val="0"/>
      <w:marBottom w:val="0"/>
      <w:divBdr>
        <w:top w:val="none" w:sz="0" w:space="0" w:color="auto"/>
        <w:left w:val="none" w:sz="0" w:space="0" w:color="auto"/>
        <w:bottom w:val="none" w:sz="0" w:space="0" w:color="auto"/>
        <w:right w:val="none" w:sz="0" w:space="0" w:color="auto"/>
      </w:divBdr>
    </w:div>
    <w:div w:id="1049842706">
      <w:bodyDiv w:val="1"/>
      <w:marLeft w:val="0"/>
      <w:marRight w:val="0"/>
      <w:marTop w:val="0"/>
      <w:marBottom w:val="0"/>
      <w:divBdr>
        <w:top w:val="none" w:sz="0" w:space="0" w:color="auto"/>
        <w:left w:val="none" w:sz="0" w:space="0" w:color="auto"/>
        <w:bottom w:val="none" w:sz="0" w:space="0" w:color="auto"/>
        <w:right w:val="none" w:sz="0" w:space="0" w:color="auto"/>
      </w:divBdr>
    </w:div>
    <w:div w:id="189812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sec.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26524-82E1-4642-AFEF-FB5FBEA96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PAPERWORK REDUCTION ACT SUPPORTING STATEMENT</vt:lpstr>
    </vt:vector>
  </TitlesOfParts>
  <Company>Securities and Exhange Commission</Company>
  <LinksUpToDate>false</LinksUpToDate>
  <CharactersWithSpaces>10656</CharactersWithSpaces>
  <SharedDoc>false</SharedDoc>
  <HLinks>
    <vt:vector size="6" baseType="variant">
      <vt:variant>
        <vt:i4>2752628</vt:i4>
      </vt:variant>
      <vt:variant>
        <vt:i4>0</vt:i4>
      </vt:variant>
      <vt:variant>
        <vt:i4>0</vt:i4>
      </vt:variant>
      <vt:variant>
        <vt:i4>5</vt:i4>
      </vt:variant>
      <vt:variant>
        <vt:lpwstr>http://www.sec.gov/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SUPPORTING STATEMENT</dc:title>
  <dc:creator>us</dc:creator>
  <cp:lastModifiedBy>SYSTEM</cp:lastModifiedBy>
  <cp:revision>2</cp:revision>
  <cp:lastPrinted>2017-08-30T16:15:00Z</cp:lastPrinted>
  <dcterms:created xsi:type="dcterms:W3CDTF">2017-09-07T19:09:00Z</dcterms:created>
  <dcterms:modified xsi:type="dcterms:W3CDTF">2017-09-07T19:09:00Z</dcterms:modified>
</cp:coreProperties>
</file>