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62039" w14:textId="77777777" w:rsidR="00003C5E" w:rsidRPr="00F21DF7" w:rsidRDefault="005E15FF" w:rsidP="00F21DF7">
      <w:pPr>
        <w:pStyle w:val="Heading1"/>
      </w:pPr>
      <w:bookmarkStart w:id="0" w:name="_GoBack"/>
      <w:bookmarkEnd w:id="0"/>
      <w:r w:rsidRPr="00F21DF7">
        <w:t>Memorandum</w:t>
      </w:r>
    </w:p>
    <w:p w14:paraId="7C9BBCA9" w14:textId="541AC34C" w:rsidR="00003C5E" w:rsidRPr="00F21DF7" w:rsidRDefault="005E15FF" w:rsidP="00F21DF7">
      <w:pPr>
        <w:tabs>
          <w:tab w:val="left" w:pos="1440"/>
        </w:tabs>
        <w:ind w:left="1440" w:hanging="1440"/>
        <w:rPr>
          <w:b/>
        </w:rPr>
      </w:pPr>
      <w:r w:rsidRPr="00F21DF7">
        <w:rPr>
          <w:b/>
        </w:rPr>
        <w:t>Date:</w:t>
      </w:r>
      <w:r w:rsidRPr="00F21DF7">
        <w:rPr>
          <w:b/>
        </w:rPr>
        <w:tab/>
      </w:r>
      <w:r w:rsidR="00DE4117">
        <w:rPr>
          <w:b/>
        </w:rPr>
        <w:t>December 3</w:t>
      </w:r>
      <w:r w:rsidR="00C73CF6">
        <w:rPr>
          <w:b/>
        </w:rPr>
        <w:t>, 2018</w:t>
      </w:r>
    </w:p>
    <w:p w14:paraId="352A762D" w14:textId="77777777" w:rsidR="00003C5E" w:rsidRPr="00F21DF7" w:rsidRDefault="005E15FF" w:rsidP="00F21DF7">
      <w:pPr>
        <w:tabs>
          <w:tab w:val="left" w:pos="1440"/>
        </w:tabs>
        <w:ind w:left="1440" w:hanging="1440"/>
        <w:rPr>
          <w:b/>
        </w:rPr>
      </w:pPr>
      <w:r w:rsidRPr="00F21DF7">
        <w:rPr>
          <w:b/>
        </w:rPr>
        <w:t>To:</w:t>
      </w:r>
      <w:r w:rsidRPr="00F21DF7">
        <w:rPr>
          <w:b/>
        </w:rPr>
        <w:tab/>
      </w:r>
      <w:r w:rsidR="00CA2A51" w:rsidRPr="00F21DF7">
        <w:rPr>
          <w:b/>
        </w:rPr>
        <w:t>Steph</w:t>
      </w:r>
      <w:r w:rsidR="007A2F2A" w:rsidRPr="00F21DF7">
        <w:rPr>
          <w:b/>
        </w:rPr>
        <w:t>anie</w:t>
      </w:r>
      <w:r w:rsidR="00787D72" w:rsidRPr="00F21DF7">
        <w:rPr>
          <w:b/>
        </w:rPr>
        <w:t xml:space="preserve"> Tatha</w:t>
      </w:r>
      <w:r w:rsidR="00CA2A51" w:rsidRPr="00F21DF7">
        <w:rPr>
          <w:b/>
        </w:rPr>
        <w:t>m</w:t>
      </w:r>
      <w:r w:rsidRPr="00F21DF7">
        <w:rPr>
          <w:b/>
        </w:rPr>
        <w:t>, OMB Desk Officer</w:t>
      </w:r>
      <w:r w:rsidR="00797989" w:rsidRPr="00F21DF7">
        <w:rPr>
          <w:b/>
        </w:rPr>
        <w:t>, Office of Information and Regulatory Affairs, Office of Management and Budget</w:t>
      </w:r>
    </w:p>
    <w:p w14:paraId="2DF5D5D6" w14:textId="77777777" w:rsidR="00003C5E" w:rsidRPr="00F21DF7" w:rsidRDefault="005E15FF" w:rsidP="00F21DF7">
      <w:pPr>
        <w:tabs>
          <w:tab w:val="left" w:pos="1440"/>
        </w:tabs>
        <w:ind w:left="1440" w:hanging="1440"/>
        <w:rPr>
          <w:b/>
        </w:rPr>
      </w:pPr>
      <w:r w:rsidRPr="00F21DF7">
        <w:rPr>
          <w:b/>
        </w:rPr>
        <w:t>Through:</w:t>
      </w:r>
      <w:r w:rsidRPr="00F21DF7">
        <w:rPr>
          <w:b/>
        </w:rPr>
        <w:tab/>
        <w:t xml:space="preserve">Ruth Brown, </w:t>
      </w:r>
      <w:r w:rsidR="00797989" w:rsidRPr="00F21DF7">
        <w:rPr>
          <w:b/>
        </w:rPr>
        <w:t>De</w:t>
      </w:r>
      <w:r w:rsidR="00C22FE3" w:rsidRPr="00F21DF7">
        <w:rPr>
          <w:b/>
        </w:rPr>
        <w:t xml:space="preserve">sk Officer, </w:t>
      </w:r>
      <w:r w:rsidRPr="00F21DF7">
        <w:rPr>
          <w:b/>
        </w:rPr>
        <w:t>United States Department of Agriculture, Office of Chief Information Office</w:t>
      </w:r>
    </w:p>
    <w:p w14:paraId="6BD475E7" w14:textId="7117CABE" w:rsidR="005E15FF" w:rsidRPr="00F21DF7" w:rsidRDefault="005E15FF" w:rsidP="00F21DF7">
      <w:pPr>
        <w:tabs>
          <w:tab w:val="left" w:pos="1440"/>
        </w:tabs>
        <w:ind w:left="1440" w:hanging="1440"/>
        <w:rPr>
          <w:b/>
        </w:rPr>
      </w:pPr>
      <w:r w:rsidRPr="00F21DF7">
        <w:rPr>
          <w:b/>
        </w:rPr>
        <w:t>From:</w:t>
      </w:r>
      <w:r w:rsidR="00F21DF7">
        <w:rPr>
          <w:b/>
        </w:rPr>
        <w:tab/>
      </w:r>
      <w:r w:rsidR="00270CC5" w:rsidRPr="00270CC5">
        <w:rPr>
          <w:b/>
        </w:rPr>
        <w:t>Christina Sandberg, Information Collection Clearance Officer, Food and Nutrition Service, Planning &amp; Regulatory Affairs</w:t>
      </w:r>
      <w:r w:rsidR="001B22B3">
        <w:rPr>
          <w:b/>
        </w:rPr>
        <w:t xml:space="preserve">                                 </w:t>
      </w:r>
      <w:r w:rsidR="001B22B3" w:rsidRPr="001B22B3">
        <w:rPr>
          <w:color w:val="009CD3"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w:t>
      </w:r>
      <w:r w:rsidR="001B22B3">
        <w:rPr>
          <w:color w:val="009CD3"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B22B3" w:rsidRPr="001B22B3">
        <w:rPr>
          <w:color w:val="009CD3"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1B22B3">
        <w:rPr>
          <w:color w:val="009CD3"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E1850A7" w14:textId="50E6D86E" w:rsidR="00003C5E" w:rsidRPr="00F21DF7" w:rsidRDefault="005E15FF" w:rsidP="00F21DF7">
      <w:pPr>
        <w:tabs>
          <w:tab w:val="left" w:pos="1440"/>
        </w:tabs>
        <w:ind w:left="1440" w:hanging="1440"/>
        <w:rPr>
          <w:b/>
        </w:rPr>
      </w:pPr>
      <w:r w:rsidRPr="00F21DF7">
        <w:rPr>
          <w:b/>
        </w:rPr>
        <w:t>Re:</w:t>
      </w:r>
      <w:r w:rsidRPr="00F21DF7">
        <w:rPr>
          <w:b/>
        </w:rPr>
        <w:tab/>
      </w:r>
      <w:r w:rsidR="009676E0">
        <w:rPr>
          <w:b/>
        </w:rPr>
        <w:t xml:space="preserve">Under Approved </w:t>
      </w:r>
      <w:r w:rsidRPr="00F21DF7">
        <w:rPr>
          <w:b/>
        </w:rPr>
        <w:t>Generic OMB Clearance No. 0584-</w:t>
      </w:r>
      <w:r w:rsidR="007A2F2A" w:rsidRPr="00F21DF7">
        <w:rPr>
          <w:b/>
        </w:rPr>
        <w:t>06</w:t>
      </w:r>
      <w:r w:rsidR="00787D72" w:rsidRPr="00F21DF7">
        <w:rPr>
          <w:b/>
        </w:rPr>
        <w:t>13</w:t>
      </w:r>
      <w:r w:rsidRPr="00F21DF7">
        <w:rPr>
          <w:b/>
        </w:rPr>
        <w:t xml:space="preserve"> </w:t>
      </w:r>
      <w:r w:rsidR="007A2F2A" w:rsidRPr="00F21DF7">
        <w:rPr>
          <w:b/>
        </w:rPr>
        <w:t>–</w:t>
      </w:r>
      <w:r w:rsidR="00CA2A51" w:rsidRPr="00F21DF7">
        <w:rPr>
          <w:b/>
        </w:rPr>
        <w:t xml:space="preserve"> </w:t>
      </w:r>
      <w:r w:rsidR="009676E0">
        <w:rPr>
          <w:b/>
        </w:rPr>
        <w:t xml:space="preserve">Special Nutrition Programs </w:t>
      </w:r>
      <w:r w:rsidR="007F0C44" w:rsidRPr="00F21DF7">
        <w:rPr>
          <w:b/>
        </w:rPr>
        <w:t>Quick Response Surveys: CACFP Adult Day Care Center Food Safety Needs</w:t>
      </w:r>
    </w:p>
    <w:p w14:paraId="3BCAB9EB" w14:textId="77777777" w:rsidR="00003C5E" w:rsidRDefault="005E15FF" w:rsidP="00AB45A5">
      <w:r w:rsidRPr="00851D24">
        <w:t xml:space="preserve">The </w:t>
      </w:r>
      <w:r w:rsidR="000E23B4" w:rsidRPr="00851D24">
        <w:t>U</w:t>
      </w:r>
      <w:r w:rsidR="007F540E">
        <w:t>.S.</w:t>
      </w:r>
      <w:r w:rsidR="000E23B4" w:rsidRPr="00851D24">
        <w:t xml:space="preserve"> Department of Agriculture (USDA) </w:t>
      </w:r>
      <w:r w:rsidRPr="00851D24">
        <w:t xml:space="preserve">Food and Nutrition Service (FNS) </w:t>
      </w:r>
      <w:r w:rsidR="00787D72" w:rsidRPr="00851D24">
        <w:t xml:space="preserve">is requesting approval to conduct research </w:t>
      </w:r>
      <w:r w:rsidR="00787D72" w:rsidRPr="00AB45A5">
        <w:t>under</w:t>
      </w:r>
      <w:r w:rsidR="00787D72" w:rsidRPr="00851D24">
        <w:t xml:space="preserve"> </w:t>
      </w:r>
      <w:r w:rsidR="00635D71">
        <w:t xml:space="preserve">Approved </w:t>
      </w:r>
      <w:r w:rsidR="00F47C54">
        <w:t>G</w:t>
      </w:r>
      <w:r w:rsidR="00635D71">
        <w:t xml:space="preserve">eneric </w:t>
      </w:r>
      <w:r w:rsidR="00437B10">
        <w:t xml:space="preserve">OMB Clearance </w:t>
      </w:r>
      <w:r w:rsidR="00437B10" w:rsidRPr="00851D24">
        <w:t>Number 0584-0613,</w:t>
      </w:r>
      <w:r w:rsidR="00437B10">
        <w:t xml:space="preserve"> </w:t>
      </w:r>
      <w:r w:rsidR="00787D72" w:rsidRPr="00851D24">
        <w:t xml:space="preserve">Special Nutrition Programs (SNP) Quick Response </w:t>
      </w:r>
      <w:r w:rsidR="00FF15C8">
        <w:t>Surveys</w:t>
      </w:r>
      <w:r w:rsidR="00D11C93">
        <w:t xml:space="preserve"> (QRS)</w:t>
      </w:r>
      <w:r w:rsidR="00FF15C8">
        <w:t xml:space="preserve">, </w:t>
      </w:r>
      <w:r w:rsidR="00787D72" w:rsidRPr="00851D24">
        <w:t xml:space="preserve">expiration date </w:t>
      </w:r>
      <w:r w:rsidR="00B84A67">
        <w:t>02</w:t>
      </w:r>
      <w:r w:rsidR="00787D72" w:rsidRPr="00851D24">
        <w:t>/</w:t>
      </w:r>
      <w:r w:rsidR="00B84A67">
        <w:t>28</w:t>
      </w:r>
      <w:r w:rsidR="00787D72" w:rsidRPr="00851D24">
        <w:t>/20</w:t>
      </w:r>
      <w:r w:rsidR="00B84A67">
        <w:t>21</w:t>
      </w:r>
      <w:r w:rsidR="00787D72" w:rsidRPr="00851D24">
        <w:t>.</w:t>
      </w:r>
    </w:p>
    <w:p w14:paraId="62D8790B" w14:textId="5CA7F077" w:rsidR="005E15FF" w:rsidRPr="00851D24" w:rsidRDefault="005E15FF" w:rsidP="00AB45A5">
      <w:pPr>
        <w:rPr>
          <w:b/>
          <w:bCs/>
        </w:rPr>
      </w:pPr>
      <w:r w:rsidRPr="00851D24">
        <w:t xml:space="preserve">This request is to acquire clearance to </w:t>
      </w:r>
      <w:r w:rsidR="00701AA6" w:rsidRPr="00851D24">
        <w:t>conduct a</w:t>
      </w:r>
      <w:r w:rsidR="005A31AE">
        <w:t xml:space="preserve"> survey </w:t>
      </w:r>
      <w:r w:rsidRPr="00851D24">
        <w:t xml:space="preserve">with </w:t>
      </w:r>
      <w:r w:rsidR="00B52708" w:rsidRPr="00851D24">
        <w:t xml:space="preserve">a nationally representative sample of </w:t>
      </w:r>
      <w:r w:rsidR="001D0794" w:rsidRPr="00851D24">
        <w:t xml:space="preserve">Child and Adult Care Food </w:t>
      </w:r>
      <w:r w:rsidR="002221B2" w:rsidRPr="00851D24">
        <w:t>Program</w:t>
      </w:r>
      <w:r w:rsidR="001D0794" w:rsidRPr="00851D24">
        <w:t xml:space="preserve"> (CACFP) – </w:t>
      </w:r>
      <w:r w:rsidR="000524A6" w:rsidRPr="00851D24">
        <w:t xml:space="preserve">Adult Day Care </w:t>
      </w:r>
      <w:r w:rsidR="00707CBE" w:rsidRPr="00851D24">
        <w:t>Center</w:t>
      </w:r>
      <w:r w:rsidR="007C725F" w:rsidRPr="00851D24">
        <w:t xml:space="preserve"> (AD</w:t>
      </w:r>
      <w:r w:rsidR="007F6B33" w:rsidRPr="00851D24">
        <w:t>CC)</w:t>
      </w:r>
      <w:r w:rsidR="00707CBE" w:rsidRPr="00851D24">
        <w:t xml:space="preserve"> </w:t>
      </w:r>
      <w:r w:rsidR="00A56A8B" w:rsidRPr="00851D24">
        <w:t>p</w:t>
      </w:r>
      <w:r w:rsidR="007C725F" w:rsidRPr="00851D24">
        <w:t xml:space="preserve">rogram </w:t>
      </w:r>
      <w:r w:rsidR="00DE5693">
        <w:t>directors</w:t>
      </w:r>
      <w:r w:rsidR="00DE5693" w:rsidRPr="00851D24">
        <w:t xml:space="preserve"> </w:t>
      </w:r>
      <w:r w:rsidRPr="00851D24">
        <w:t xml:space="preserve">to </w:t>
      </w:r>
      <w:r w:rsidR="00094D6B" w:rsidRPr="00851D24">
        <w:t xml:space="preserve">identify the food safety education needs (i.e., </w:t>
      </w:r>
      <w:r w:rsidR="00094D6B" w:rsidRPr="00AB45A5">
        <w:t>training</w:t>
      </w:r>
      <w:r w:rsidR="00094D6B" w:rsidRPr="00851D24">
        <w:t xml:space="preserve"> and resources) of ADCC </w:t>
      </w:r>
      <w:r w:rsidR="00A575BD">
        <w:t>program directors and their</w:t>
      </w:r>
      <w:r w:rsidR="00064256">
        <w:t xml:space="preserve"> staff</w:t>
      </w:r>
      <w:r w:rsidR="007A2F2A" w:rsidRPr="00851D24">
        <w:t>.</w:t>
      </w:r>
      <w:r w:rsidR="007A2F2A" w:rsidRPr="00851D24">
        <w:rPr>
          <w:b/>
          <w:bCs/>
        </w:rPr>
        <w:t xml:space="preserve"> </w:t>
      </w:r>
      <w:r w:rsidRPr="00851D24">
        <w:t>The following information is provided for your review:</w:t>
      </w:r>
    </w:p>
    <w:p w14:paraId="63169A8D" w14:textId="0EB389B7" w:rsidR="00003C5E" w:rsidRDefault="00003C5E">
      <w:pPr>
        <w:rPr>
          <w:rFonts w:asciiTheme="majorHAnsi" w:hAnsiTheme="majorHAnsi" w:cstheme="majorHAnsi"/>
        </w:rPr>
      </w:pPr>
    </w:p>
    <w:p w14:paraId="47C5AE7E" w14:textId="35CE16D1" w:rsidR="00CB2551" w:rsidRPr="00092D8F" w:rsidRDefault="005E15FF" w:rsidP="00F21DF7">
      <w:pPr>
        <w:pStyle w:val="ListParagraph"/>
        <w:numPr>
          <w:ilvl w:val="0"/>
          <w:numId w:val="17"/>
        </w:numPr>
        <w:rPr>
          <w:b/>
        </w:rPr>
      </w:pPr>
      <w:r w:rsidRPr="00092D8F">
        <w:rPr>
          <w:b/>
        </w:rPr>
        <w:t xml:space="preserve">Title of the Project: </w:t>
      </w:r>
      <w:r w:rsidR="00157757" w:rsidRPr="00092D8F">
        <w:rPr>
          <w:b/>
        </w:rPr>
        <w:t xml:space="preserve"> </w:t>
      </w:r>
      <w:r w:rsidR="00CB2551" w:rsidRPr="00092D8F">
        <w:rPr>
          <w:b/>
        </w:rPr>
        <w:t xml:space="preserve">CACFP </w:t>
      </w:r>
      <w:r w:rsidR="002221B2" w:rsidRPr="00092D8F">
        <w:rPr>
          <w:b/>
        </w:rPr>
        <w:t>ADCC</w:t>
      </w:r>
      <w:r w:rsidR="00CB2551" w:rsidRPr="00092D8F">
        <w:rPr>
          <w:b/>
        </w:rPr>
        <w:t xml:space="preserve"> Food Safety Needs</w:t>
      </w:r>
    </w:p>
    <w:p w14:paraId="22D20F07" w14:textId="6A6A2E71" w:rsidR="005E15FF" w:rsidRPr="00092D8F" w:rsidRDefault="005E15FF" w:rsidP="00F21DF7">
      <w:pPr>
        <w:pStyle w:val="ListParagraph"/>
        <w:numPr>
          <w:ilvl w:val="0"/>
          <w:numId w:val="17"/>
        </w:numPr>
        <w:rPr>
          <w:b/>
        </w:rPr>
      </w:pPr>
      <w:r w:rsidRPr="00092D8F">
        <w:rPr>
          <w:b/>
        </w:rPr>
        <w:t>Control Number: 0584-0</w:t>
      </w:r>
      <w:r w:rsidR="007A2F2A" w:rsidRPr="00092D8F">
        <w:rPr>
          <w:b/>
        </w:rPr>
        <w:t>6</w:t>
      </w:r>
      <w:r w:rsidR="00787D72" w:rsidRPr="00092D8F">
        <w:rPr>
          <w:b/>
        </w:rPr>
        <w:t>13</w:t>
      </w:r>
      <w:r w:rsidRPr="00092D8F">
        <w:rPr>
          <w:b/>
        </w:rPr>
        <w:t xml:space="preserve">, Expires </w:t>
      </w:r>
      <w:r w:rsidR="00B84A67" w:rsidRPr="00092D8F">
        <w:rPr>
          <w:b/>
        </w:rPr>
        <w:t>02/28</w:t>
      </w:r>
      <w:r w:rsidRPr="00092D8F">
        <w:rPr>
          <w:b/>
        </w:rPr>
        <w:t>/20</w:t>
      </w:r>
      <w:r w:rsidR="00B84A67" w:rsidRPr="00092D8F">
        <w:rPr>
          <w:b/>
        </w:rPr>
        <w:t>21</w:t>
      </w:r>
    </w:p>
    <w:p w14:paraId="56730EBC" w14:textId="77777777" w:rsidR="009B42C8" w:rsidRDefault="005E15FF" w:rsidP="00F21DF7">
      <w:pPr>
        <w:pStyle w:val="ListParagraph"/>
        <w:numPr>
          <w:ilvl w:val="0"/>
          <w:numId w:val="17"/>
        </w:numPr>
        <w:rPr>
          <w:b/>
        </w:rPr>
      </w:pPr>
      <w:r w:rsidRPr="00092D8F">
        <w:rPr>
          <w:b/>
        </w:rPr>
        <w:t xml:space="preserve">Public Affected by this Project: </w:t>
      </w:r>
    </w:p>
    <w:p w14:paraId="55703B45" w14:textId="3074682D" w:rsidR="009B42C8" w:rsidRPr="009B42C8" w:rsidRDefault="009B42C8" w:rsidP="009B42C8">
      <w:pPr>
        <w:ind w:left="360"/>
      </w:pPr>
      <w:r w:rsidRPr="009B42C8">
        <w:t>State, Local, or Tribal Government</w:t>
      </w:r>
    </w:p>
    <w:p w14:paraId="7CCD540B" w14:textId="76F9026C" w:rsidR="009B42C8" w:rsidRPr="009B42C8" w:rsidRDefault="009B42C8" w:rsidP="009B42C8">
      <w:pPr>
        <w:pStyle w:val="ListParagraph"/>
        <w:numPr>
          <w:ilvl w:val="0"/>
          <w:numId w:val="27"/>
        </w:numPr>
      </w:pPr>
      <w:r w:rsidRPr="009B42C8">
        <w:t>State Agencies</w:t>
      </w:r>
    </w:p>
    <w:p w14:paraId="49DEF1AE" w14:textId="4E7E9468" w:rsidR="009B42C8" w:rsidRPr="009B42C8" w:rsidRDefault="009B42C8" w:rsidP="009B42C8">
      <w:r w:rsidRPr="009B42C8">
        <w:t xml:space="preserve">        Business or Other For-Profit and Non-profit Institutions</w:t>
      </w:r>
    </w:p>
    <w:p w14:paraId="0B49C5BA" w14:textId="2C32D18C" w:rsidR="009B42C8" w:rsidRPr="009B42C8" w:rsidRDefault="009B42C8" w:rsidP="009B42C8">
      <w:pPr>
        <w:pStyle w:val="ListParagraph"/>
        <w:numPr>
          <w:ilvl w:val="0"/>
          <w:numId w:val="27"/>
        </w:numPr>
      </w:pPr>
      <w:r w:rsidRPr="009B42C8">
        <w:t>ADCC Sponsoring Organizations</w:t>
      </w:r>
    </w:p>
    <w:p w14:paraId="349DABAC" w14:textId="761884C5" w:rsidR="009B42C8" w:rsidRPr="009B42C8" w:rsidRDefault="009B42C8" w:rsidP="009B42C8">
      <w:pPr>
        <w:pStyle w:val="ListParagraph"/>
        <w:numPr>
          <w:ilvl w:val="0"/>
          <w:numId w:val="27"/>
        </w:numPr>
      </w:pPr>
      <w:r w:rsidRPr="009B42C8">
        <w:t>ADCC Program Directors for the CACFP Program</w:t>
      </w:r>
    </w:p>
    <w:p w14:paraId="1BC9D701" w14:textId="79DBA233" w:rsidR="009B42C8" w:rsidRPr="009B42C8" w:rsidRDefault="009B42C8" w:rsidP="009B42C8">
      <w:pPr>
        <w:rPr>
          <w:b/>
        </w:rPr>
      </w:pPr>
    </w:p>
    <w:p w14:paraId="10F464FA" w14:textId="3D69F675" w:rsidR="009676E0" w:rsidRPr="00C30602" w:rsidRDefault="009676E0" w:rsidP="009676E0">
      <w:r>
        <w:t xml:space="preserve">See section 7, </w:t>
      </w:r>
      <w:r>
        <w:rPr>
          <w:i/>
        </w:rPr>
        <w:t>Project Purpose, Methodology &amp; Formative Research Design</w:t>
      </w:r>
      <w:r>
        <w:t>, for a description of the number of participants for each audience (State Agencies, ADCC sponsoring organizations, and ADCC program directors for the CACFP Program) by research methodology (</w:t>
      </w:r>
      <w:r w:rsidR="00BB2700">
        <w:t>survey).</w:t>
      </w:r>
    </w:p>
    <w:p w14:paraId="28ADA205" w14:textId="3A35C3A1" w:rsidR="005B2FB0" w:rsidRDefault="005B2FB0">
      <w:pPr>
        <w:rPr>
          <w:b/>
        </w:rPr>
      </w:pPr>
      <w:r>
        <w:rPr>
          <w:b/>
        </w:rPr>
        <w:br w:type="page"/>
      </w:r>
    </w:p>
    <w:p w14:paraId="7721B2C5" w14:textId="658A4509" w:rsidR="00003C5E" w:rsidRPr="00092D8F" w:rsidRDefault="005E15FF" w:rsidP="00C00A1D">
      <w:pPr>
        <w:pStyle w:val="ListParagraph"/>
        <w:numPr>
          <w:ilvl w:val="0"/>
          <w:numId w:val="17"/>
        </w:numPr>
        <w:rPr>
          <w:b/>
        </w:rPr>
      </w:pPr>
      <w:r w:rsidRPr="00092D8F">
        <w:rPr>
          <w:b/>
        </w:rPr>
        <w:lastRenderedPageBreak/>
        <w:t>Number of Respondents</w:t>
      </w:r>
      <w:r w:rsidR="007A2F2A" w:rsidRPr="00092D8F">
        <w:rPr>
          <w:b/>
        </w:rPr>
        <w:t xml:space="preserve"> </w:t>
      </w:r>
      <w:r w:rsidR="00224DA8">
        <w:rPr>
          <w:b/>
        </w:rPr>
        <w:t>and</w:t>
      </w:r>
      <w:r w:rsidR="007A2F2A" w:rsidRPr="00092D8F">
        <w:rPr>
          <w:b/>
        </w:rPr>
        <w:t xml:space="preserve"> Research Activities</w:t>
      </w:r>
      <w:r w:rsidRPr="00092D8F">
        <w:rPr>
          <w:b/>
        </w:rPr>
        <w:t>:</w:t>
      </w:r>
    </w:p>
    <w:p w14:paraId="79536ACF" w14:textId="10211477" w:rsidR="00C00A1D" w:rsidRDefault="00C00A1D" w:rsidP="00C00A1D">
      <w:pPr>
        <w:pStyle w:val="Caption"/>
      </w:pPr>
      <w:r>
        <w:t xml:space="preserve">Exhibit </w:t>
      </w:r>
      <w:r w:rsidR="000E4F5F">
        <w:rPr>
          <w:noProof/>
        </w:rPr>
        <w:fldChar w:fldCharType="begin"/>
      </w:r>
      <w:r w:rsidR="000E4F5F">
        <w:rPr>
          <w:noProof/>
        </w:rPr>
        <w:instrText xml:space="preserve"> SEQ Exhibit \* ARABIC </w:instrText>
      </w:r>
      <w:r w:rsidR="000E4F5F">
        <w:rPr>
          <w:noProof/>
        </w:rPr>
        <w:fldChar w:fldCharType="separate"/>
      </w:r>
      <w:r w:rsidR="001B22B3">
        <w:rPr>
          <w:noProof/>
        </w:rPr>
        <w:t>1</w:t>
      </w:r>
      <w:r w:rsidR="000E4F5F">
        <w:rPr>
          <w:noProof/>
        </w:rPr>
        <w:fldChar w:fldCharType="end"/>
      </w:r>
      <w:r>
        <w:t xml:space="preserve"> | </w:t>
      </w:r>
      <w:r w:rsidRPr="00721BF8">
        <w:t>Assumptions on Number of Respondents</w:t>
      </w:r>
    </w:p>
    <w:tbl>
      <w:tblPr>
        <w:tblStyle w:val="GridTable4Accent1"/>
        <w:tblW w:w="5040" w:type="pct"/>
        <w:tblBorders>
          <w:top w:val="none" w:sz="0" w:space="0" w:color="auto"/>
          <w:left w:val="none" w:sz="0" w:space="0" w:color="auto"/>
          <w:bottom w:val="none" w:sz="0" w:space="0" w:color="auto"/>
          <w:right w:val="none" w:sz="0" w:space="0" w:color="auto"/>
          <w:insideH w:val="single" w:sz="4" w:space="0" w:color="009CD3" w:themeColor="accent1"/>
          <w:insideV w:val="none" w:sz="0" w:space="0" w:color="auto"/>
        </w:tblBorders>
        <w:tblLook w:val="06A0" w:firstRow="1" w:lastRow="0" w:firstColumn="1" w:lastColumn="0" w:noHBand="1" w:noVBand="1"/>
      </w:tblPr>
      <w:tblGrid>
        <w:gridCol w:w="1930"/>
        <w:gridCol w:w="1855"/>
        <w:gridCol w:w="4298"/>
        <w:gridCol w:w="1570"/>
      </w:tblGrid>
      <w:tr w:rsidR="00C30602" w:rsidRPr="00F21DF7" w14:paraId="2C1EAB1E" w14:textId="77777777" w:rsidTr="00400EA0">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1000" w:type="pct"/>
          </w:tcPr>
          <w:p w14:paraId="29CCCF64" w14:textId="794D6BE3" w:rsidR="009C1C88" w:rsidRPr="009B42C8" w:rsidRDefault="00081714" w:rsidP="00081714">
            <w:pPr>
              <w:jc w:val="center"/>
              <w:rPr>
                <w:rFonts w:cstheme="minorHAnsi"/>
                <w:b w:val="0"/>
                <w:color w:val="2F2F2F"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2C8">
              <w:rPr>
                <w:rFonts w:cstheme="minorHAnsi"/>
                <w:b w:val="0"/>
                <w:color w:val="2F2F2F"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Respondent Group</w:t>
            </w:r>
          </w:p>
        </w:tc>
        <w:tc>
          <w:tcPr>
            <w:tcW w:w="961" w:type="pct"/>
            <w:vAlign w:val="center"/>
            <w:hideMark/>
          </w:tcPr>
          <w:p w14:paraId="67898E37" w14:textId="085E6EC9" w:rsidR="009C1C88" w:rsidRPr="00F21DF7" w:rsidRDefault="009C1C88" w:rsidP="00F21DF7">
            <w:pPr>
              <w:cnfStyle w:val="100000000000" w:firstRow="1" w:lastRow="0" w:firstColumn="0" w:lastColumn="0" w:oddVBand="0" w:evenVBand="0" w:oddHBand="0" w:evenHBand="0" w:firstRowFirstColumn="0" w:firstRowLastColumn="0" w:lastRowFirstColumn="0" w:lastRowLastColumn="0"/>
              <w:rPr>
                <w:rFonts w:cstheme="minorHAnsi"/>
              </w:rPr>
            </w:pPr>
            <w:r w:rsidRPr="00F21DF7">
              <w:rPr>
                <w:rFonts w:cstheme="minorHAnsi"/>
              </w:rPr>
              <w:t>Respondents</w:t>
            </w:r>
          </w:p>
        </w:tc>
        <w:tc>
          <w:tcPr>
            <w:tcW w:w="2226" w:type="pct"/>
            <w:vAlign w:val="center"/>
            <w:hideMark/>
          </w:tcPr>
          <w:p w14:paraId="2321C952" w14:textId="77777777" w:rsidR="009C1C88" w:rsidRPr="00F21DF7" w:rsidRDefault="009C1C88" w:rsidP="00F21DF7">
            <w:pPr>
              <w:cnfStyle w:val="100000000000" w:firstRow="1" w:lastRow="0" w:firstColumn="0" w:lastColumn="0" w:oddVBand="0" w:evenVBand="0" w:oddHBand="0" w:evenHBand="0" w:firstRowFirstColumn="0" w:firstRowLastColumn="0" w:lastRowFirstColumn="0" w:lastRowLastColumn="0"/>
              <w:rPr>
                <w:rFonts w:cstheme="minorHAnsi"/>
              </w:rPr>
            </w:pPr>
            <w:r w:rsidRPr="00F21DF7">
              <w:rPr>
                <w:rFonts w:cstheme="minorHAnsi"/>
              </w:rPr>
              <w:t>Research Activity</w:t>
            </w:r>
          </w:p>
        </w:tc>
        <w:tc>
          <w:tcPr>
            <w:tcW w:w="813" w:type="pct"/>
            <w:vAlign w:val="center"/>
            <w:hideMark/>
          </w:tcPr>
          <w:p w14:paraId="6235137F" w14:textId="7E74765F" w:rsidR="009C1C88" w:rsidRPr="00F21DF7" w:rsidRDefault="009C1C88" w:rsidP="00D13732">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F21DF7">
              <w:rPr>
                <w:rFonts w:cstheme="minorHAnsi"/>
              </w:rPr>
              <w:t># of Participants</w:t>
            </w:r>
          </w:p>
        </w:tc>
      </w:tr>
      <w:tr w:rsidR="00361800" w:rsidRPr="00F21DF7" w14:paraId="72BB0767" w14:textId="77777777" w:rsidTr="009B42C8">
        <w:trPr>
          <w:trHeight w:val="334"/>
        </w:trPr>
        <w:tc>
          <w:tcPr>
            <w:cnfStyle w:val="001000000000" w:firstRow="0" w:lastRow="0" w:firstColumn="1" w:lastColumn="0" w:oddVBand="0" w:evenVBand="0" w:oddHBand="0" w:evenHBand="0" w:firstRowFirstColumn="0" w:firstRowLastColumn="0" w:lastRowFirstColumn="0" w:lastRowLastColumn="0"/>
            <w:tcW w:w="1000" w:type="pct"/>
            <w:vMerge w:val="restart"/>
          </w:tcPr>
          <w:p w14:paraId="5B46D123" w14:textId="2FCD944A" w:rsidR="00361800" w:rsidRPr="00F21DF7" w:rsidRDefault="00361800" w:rsidP="00F21DF7">
            <w:pPr>
              <w:rPr>
                <w:rFonts w:cstheme="minorHAnsi"/>
              </w:rPr>
            </w:pPr>
            <w:r>
              <w:rPr>
                <w:rFonts w:cstheme="minorHAnsi"/>
              </w:rPr>
              <w:t>State, Local and Tribal Government</w:t>
            </w:r>
          </w:p>
        </w:tc>
        <w:tc>
          <w:tcPr>
            <w:tcW w:w="961" w:type="pct"/>
            <w:vMerge w:val="restart"/>
            <w:vAlign w:val="center"/>
          </w:tcPr>
          <w:p w14:paraId="379DDD6A" w14:textId="0F08AFA4" w:rsidR="00361800" w:rsidRPr="00F21DF7" w:rsidRDefault="00361800" w:rsidP="00F21DF7">
            <w:pPr>
              <w:cnfStyle w:val="000000000000" w:firstRow="0" w:lastRow="0" w:firstColumn="0" w:lastColumn="0" w:oddVBand="0" w:evenVBand="0" w:oddHBand="0" w:evenHBand="0" w:firstRowFirstColumn="0" w:firstRowLastColumn="0" w:lastRowFirstColumn="0" w:lastRowLastColumn="0"/>
              <w:rPr>
                <w:rFonts w:cstheme="minorHAnsi"/>
              </w:rPr>
            </w:pPr>
            <w:r w:rsidRPr="00F21DF7">
              <w:rPr>
                <w:rFonts w:cstheme="minorHAnsi"/>
              </w:rPr>
              <w:t>CACFP State Agencies</w:t>
            </w:r>
          </w:p>
        </w:tc>
        <w:tc>
          <w:tcPr>
            <w:tcW w:w="2226" w:type="pct"/>
            <w:vAlign w:val="center"/>
          </w:tcPr>
          <w:p w14:paraId="3E43FB4F" w14:textId="5FCD3C5F" w:rsidR="00361800" w:rsidRPr="00F21DF7" w:rsidRDefault="00361800" w:rsidP="00F21DF7">
            <w:pPr>
              <w:cnfStyle w:val="000000000000" w:firstRow="0" w:lastRow="0" w:firstColumn="0" w:lastColumn="0" w:oddVBand="0" w:evenVBand="0" w:oddHBand="0" w:evenHBand="0" w:firstRowFirstColumn="0" w:firstRowLastColumn="0" w:lastRowFirstColumn="0" w:lastRowLastColumn="0"/>
              <w:rPr>
                <w:rFonts w:cstheme="minorHAnsi"/>
              </w:rPr>
            </w:pPr>
            <w:r w:rsidRPr="00F21DF7">
              <w:rPr>
                <w:rFonts w:cstheme="minorHAnsi"/>
              </w:rPr>
              <w:t xml:space="preserve">Email </w:t>
            </w:r>
            <w:r>
              <w:rPr>
                <w:rFonts w:cstheme="minorHAnsi"/>
              </w:rPr>
              <w:t xml:space="preserve">notification from Regional Offices </w:t>
            </w:r>
            <w:r w:rsidR="00121D09">
              <w:rPr>
                <w:rFonts w:cstheme="minorHAnsi"/>
              </w:rPr>
              <w:t>to CACFP State Agencies</w:t>
            </w:r>
            <w:r>
              <w:rPr>
                <w:rFonts w:cstheme="minorHAnsi"/>
              </w:rPr>
              <w:t xml:space="preserve"> </w:t>
            </w:r>
          </w:p>
        </w:tc>
        <w:tc>
          <w:tcPr>
            <w:tcW w:w="813" w:type="pct"/>
            <w:vAlign w:val="center"/>
          </w:tcPr>
          <w:p w14:paraId="510CCA55" w14:textId="3A9746E5" w:rsidR="00361800" w:rsidRPr="00F21DF7" w:rsidRDefault="00361800"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21DF7">
              <w:rPr>
                <w:rFonts w:cstheme="minorHAnsi"/>
              </w:rPr>
              <w:t>5</w:t>
            </w:r>
            <w:r>
              <w:rPr>
                <w:rFonts w:cstheme="minorHAnsi"/>
              </w:rPr>
              <w:t>1</w:t>
            </w:r>
            <w:r w:rsidRPr="009F4082">
              <w:rPr>
                <w:rFonts w:cstheme="minorHAnsi"/>
                <w:vertAlign w:val="superscript"/>
              </w:rPr>
              <w:t>*</w:t>
            </w:r>
          </w:p>
        </w:tc>
      </w:tr>
      <w:tr w:rsidR="00361800" w:rsidRPr="00F21DF7" w14:paraId="7C1AA9CE" w14:textId="77777777" w:rsidTr="00400EA0">
        <w:trPr>
          <w:trHeight w:val="334"/>
        </w:trPr>
        <w:tc>
          <w:tcPr>
            <w:cnfStyle w:val="001000000000" w:firstRow="0" w:lastRow="0" w:firstColumn="1" w:lastColumn="0" w:oddVBand="0" w:evenVBand="0" w:oddHBand="0" w:evenHBand="0" w:firstRowFirstColumn="0" w:firstRowLastColumn="0" w:lastRowFirstColumn="0" w:lastRowLastColumn="0"/>
            <w:tcW w:w="1000" w:type="pct"/>
            <w:vMerge/>
          </w:tcPr>
          <w:p w14:paraId="59B94491" w14:textId="77777777" w:rsidR="00361800" w:rsidRDefault="00361800" w:rsidP="00F21DF7">
            <w:pPr>
              <w:rPr>
                <w:rFonts w:cstheme="minorHAnsi"/>
              </w:rPr>
            </w:pPr>
          </w:p>
        </w:tc>
        <w:tc>
          <w:tcPr>
            <w:tcW w:w="961" w:type="pct"/>
            <w:vMerge/>
            <w:vAlign w:val="center"/>
          </w:tcPr>
          <w:p w14:paraId="338843F2" w14:textId="77777777" w:rsidR="00361800" w:rsidRPr="00F21DF7" w:rsidRDefault="00361800" w:rsidP="00F21DF7">
            <w:pPr>
              <w:cnfStyle w:val="000000000000" w:firstRow="0" w:lastRow="0" w:firstColumn="0" w:lastColumn="0" w:oddVBand="0" w:evenVBand="0" w:oddHBand="0" w:evenHBand="0" w:firstRowFirstColumn="0" w:firstRowLastColumn="0" w:lastRowFirstColumn="0" w:lastRowLastColumn="0"/>
              <w:rPr>
                <w:rFonts w:cstheme="minorHAnsi"/>
              </w:rPr>
            </w:pPr>
          </w:p>
        </w:tc>
        <w:tc>
          <w:tcPr>
            <w:tcW w:w="2226" w:type="pct"/>
            <w:vAlign w:val="center"/>
          </w:tcPr>
          <w:p w14:paraId="0DA36984" w14:textId="31092819" w:rsidR="00361800" w:rsidRPr="00F21DF7" w:rsidRDefault="00361800" w:rsidP="00F21DF7">
            <w:pPr>
              <w:cnfStyle w:val="000000000000" w:firstRow="0" w:lastRow="0" w:firstColumn="0" w:lastColumn="0" w:oddVBand="0" w:evenVBand="0" w:oddHBand="0" w:evenHBand="0" w:firstRowFirstColumn="0" w:firstRowLastColumn="0" w:lastRowFirstColumn="0" w:lastRowLastColumn="0"/>
              <w:rPr>
                <w:rFonts w:cstheme="minorHAnsi"/>
              </w:rPr>
            </w:pPr>
            <w:r w:rsidRPr="00361800">
              <w:rPr>
                <w:rFonts w:cstheme="minorHAnsi"/>
              </w:rPr>
              <w:t>Frequently Asked Questions (FAQ</w:t>
            </w:r>
            <w:r w:rsidR="00121D09">
              <w:rPr>
                <w:rFonts w:cstheme="minorHAnsi"/>
              </w:rPr>
              <w:t>s</w:t>
            </w:r>
            <w:r w:rsidRPr="00361800">
              <w:rPr>
                <w:rFonts w:cstheme="minorHAnsi"/>
              </w:rPr>
              <w:t>)</w:t>
            </w:r>
          </w:p>
        </w:tc>
        <w:tc>
          <w:tcPr>
            <w:tcW w:w="813" w:type="pct"/>
            <w:vAlign w:val="center"/>
          </w:tcPr>
          <w:p w14:paraId="5113B52F" w14:textId="1DA52296" w:rsidR="00361800" w:rsidRPr="00F21DF7" w:rsidRDefault="00361800"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51</w:t>
            </w:r>
          </w:p>
        </w:tc>
      </w:tr>
      <w:tr w:rsidR="00760FAB" w:rsidRPr="00F21DF7" w14:paraId="72B9D1FA" w14:textId="77777777" w:rsidTr="009B42C8">
        <w:trPr>
          <w:trHeight w:val="334"/>
        </w:trPr>
        <w:tc>
          <w:tcPr>
            <w:cnfStyle w:val="001000000000" w:firstRow="0" w:lastRow="0" w:firstColumn="1" w:lastColumn="0" w:oddVBand="0" w:evenVBand="0" w:oddHBand="0" w:evenHBand="0" w:firstRowFirstColumn="0" w:firstRowLastColumn="0" w:lastRowFirstColumn="0" w:lastRowLastColumn="0"/>
            <w:tcW w:w="1000" w:type="pct"/>
            <w:vMerge w:val="restart"/>
          </w:tcPr>
          <w:p w14:paraId="2AE3D939" w14:textId="79CCCBA9" w:rsidR="00760FAB" w:rsidRPr="00F21DF7" w:rsidRDefault="00760FAB" w:rsidP="00760FAB">
            <w:pPr>
              <w:rPr>
                <w:rFonts w:cstheme="minorHAnsi"/>
              </w:rPr>
            </w:pPr>
            <w:r w:rsidRPr="00585972">
              <w:rPr>
                <w:rFonts w:cstheme="minorHAnsi"/>
              </w:rPr>
              <w:t>Business or other for-profit and non-profit institutions</w:t>
            </w:r>
          </w:p>
        </w:tc>
        <w:tc>
          <w:tcPr>
            <w:tcW w:w="961" w:type="pct"/>
            <w:vMerge w:val="restart"/>
            <w:vAlign w:val="center"/>
          </w:tcPr>
          <w:p w14:paraId="59C08882" w14:textId="51FB25BE" w:rsidR="00760FAB" w:rsidRPr="00F21DF7" w:rsidRDefault="00760FAB" w:rsidP="00760FAB">
            <w:pPr>
              <w:cnfStyle w:val="000000000000" w:firstRow="0" w:lastRow="0" w:firstColumn="0" w:lastColumn="0" w:oddVBand="0" w:evenVBand="0" w:oddHBand="0" w:evenHBand="0" w:firstRowFirstColumn="0" w:firstRowLastColumn="0" w:lastRowFirstColumn="0" w:lastRowLastColumn="0"/>
              <w:rPr>
                <w:rFonts w:cstheme="minorHAnsi"/>
              </w:rPr>
            </w:pPr>
            <w:r w:rsidRPr="00F21DF7">
              <w:rPr>
                <w:rFonts w:cstheme="minorHAnsi"/>
              </w:rPr>
              <w:t>ADCC Sponsor</w:t>
            </w:r>
            <w:r>
              <w:rPr>
                <w:rFonts w:cstheme="minorHAnsi"/>
              </w:rPr>
              <w:t>ing Organization</w:t>
            </w:r>
          </w:p>
        </w:tc>
        <w:tc>
          <w:tcPr>
            <w:tcW w:w="2226" w:type="pct"/>
            <w:vAlign w:val="center"/>
          </w:tcPr>
          <w:p w14:paraId="4A41CF0C" w14:textId="47BE996E" w:rsidR="00760FAB" w:rsidRPr="00F21DF7" w:rsidRDefault="00760FAB" w:rsidP="00760FA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Pretest - Email notification </w:t>
            </w:r>
            <w:r w:rsidRPr="00F21DF7">
              <w:rPr>
                <w:rFonts w:cstheme="minorHAnsi"/>
              </w:rPr>
              <w:t>about the study</w:t>
            </w:r>
            <w:r>
              <w:rPr>
                <w:rFonts w:cstheme="minorHAnsi"/>
              </w:rPr>
              <w:t xml:space="preserve"> for pretest recruitment</w:t>
            </w:r>
          </w:p>
        </w:tc>
        <w:tc>
          <w:tcPr>
            <w:tcW w:w="813" w:type="pct"/>
            <w:vAlign w:val="center"/>
          </w:tcPr>
          <w:p w14:paraId="59B0E7CF" w14:textId="79A386CB" w:rsidR="00760FAB" w:rsidRPr="00F21DF7" w:rsidRDefault="00760FAB" w:rsidP="00760FAB">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p>
        </w:tc>
      </w:tr>
      <w:tr w:rsidR="00D85BDB" w:rsidRPr="00F21DF7" w14:paraId="5B8AB4D9" w14:textId="77777777" w:rsidTr="009B42C8">
        <w:trPr>
          <w:trHeight w:val="334"/>
        </w:trPr>
        <w:tc>
          <w:tcPr>
            <w:cnfStyle w:val="001000000000" w:firstRow="0" w:lastRow="0" w:firstColumn="1" w:lastColumn="0" w:oddVBand="0" w:evenVBand="0" w:oddHBand="0" w:evenHBand="0" w:firstRowFirstColumn="0" w:firstRowLastColumn="0" w:lastRowFirstColumn="0" w:lastRowLastColumn="0"/>
            <w:tcW w:w="1000" w:type="pct"/>
            <w:vMerge/>
          </w:tcPr>
          <w:p w14:paraId="3FC92A8A" w14:textId="77777777" w:rsidR="00D85BDB" w:rsidRPr="00F21DF7" w:rsidRDefault="00D85BDB" w:rsidP="00F21DF7">
            <w:pPr>
              <w:rPr>
                <w:rFonts w:cstheme="minorHAnsi"/>
              </w:rPr>
            </w:pPr>
          </w:p>
        </w:tc>
        <w:tc>
          <w:tcPr>
            <w:tcW w:w="961" w:type="pct"/>
            <w:vMerge/>
            <w:vAlign w:val="center"/>
          </w:tcPr>
          <w:p w14:paraId="05DCB14A" w14:textId="5331FD24"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p>
        </w:tc>
        <w:tc>
          <w:tcPr>
            <w:tcW w:w="2226" w:type="pct"/>
            <w:vAlign w:val="center"/>
          </w:tcPr>
          <w:p w14:paraId="7E8A087B" w14:textId="64CBF56A" w:rsidR="00D85BDB" w:rsidRPr="00F21DF7" w:rsidRDefault="00760FAB" w:rsidP="00F21DF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Email notification about the study</w:t>
            </w:r>
          </w:p>
        </w:tc>
        <w:tc>
          <w:tcPr>
            <w:tcW w:w="813" w:type="pct"/>
            <w:vAlign w:val="center"/>
          </w:tcPr>
          <w:p w14:paraId="10745FC5" w14:textId="3D408F05" w:rsidR="00D85BDB" w:rsidRPr="00F21DF7" w:rsidRDefault="00760FAB"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400</w:t>
            </w:r>
            <w:r w:rsidRPr="009B42C8">
              <w:t>**</w:t>
            </w:r>
          </w:p>
        </w:tc>
      </w:tr>
      <w:tr w:rsidR="00D85BDB" w:rsidRPr="00F21DF7" w14:paraId="119B3A41" w14:textId="77777777" w:rsidTr="008C1ACD">
        <w:trPr>
          <w:trHeight w:val="334"/>
        </w:trPr>
        <w:tc>
          <w:tcPr>
            <w:cnfStyle w:val="001000000000" w:firstRow="0" w:lastRow="0" w:firstColumn="1" w:lastColumn="0" w:oddVBand="0" w:evenVBand="0" w:oddHBand="0" w:evenHBand="0" w:firstRowFirstColumn="0" w:firstRowLastColumn="0" w:lastRowFirstColumn="0" w:lastRowLastColumn="0"/>
            <w:tcW w:w="1000" w:type="pct"/>
            <w:vMerge/>
          </w:tcPr>
          <w:p w14:paraId="37458925" w14:textId="77777777" w:rsidR="00D85BDB" w:rsidRPr="00F21DF7" w:rsidRDefault="00D85BDB" w:rsidP="00F21DF7">
            <w:pPr>
              <w:rPr>
                <w:rFonts w:cstheme="minorHAnsi"/>
              </w:rPr>
            </w:pPr>
          </w:p>
        </w:tc>
        <w:tc>
          <w:tcPr>
            <w:tcW w:w="961" w:type="pct"/>
            <w:vMerge/>
            <w:vAlign w:val="center"/>
          </w:tcPr>
          <w:p w14:paraId="01AB25F0" w14:textId="77777777"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p>
        </w:tc>
        <w:tc>
          <w:tcPr>
            <w:tcW w:w="2226" w:type="pct"/>
            <w:vAlign w:val="center"/>
          </w:tcPr>
          <w:p w14:paraId="1DDB2555" w14:textId="54C5F95A" w:rsidR="00D85BDB"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r w:rsidRPr="00361800">
              <w:rPr>
                <w:rFonts w:cstheme="minorHAnsi"/>
              </w:rPr>
              <w:t>Frequently Asked Questions (FAQ</w:t>
            </w:r>
            <w:r w:rsidR="00312E1B">
              <w:rPr>
                <w:rFonts w:cstheme="minorHAnsi"/>
              </w:rPr>
              <w:t>s</w:t>
            </w:r>
            <w:r w:rsidRPr="00361800">
              <w:rPr>
                <w:rFonts w:cstheme="minorHAnsi"/>
              </w:rPr>
              <w:t>)</w:t>
            </w:r>
          </w:p>
        </w:tc>
        <w:tc>
          <w:tcPr>
            <w:tcW w:w="813" w:type="pct"/>
            <w:vAlign w:val="center"/>
          </w:tcPr>
          <w:p w14:paraId="7B33E9BF" w14:textId="44398666" w:rsidR="00D85BDB" w:rsidRDefault="00D85BDB"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403</w:t>
            </w:r>
          </w:p>
        </w:tc>
      </w:tr>
      <w:tr w:rsidR="00D85BDB" w:rsidRPr="00F21DF7" w14:paraId="598D574A" w14:textId="77777777" w:rsidTr="009B42C8">
        <w:trPr>
          <w:trHeight w:val="334"/>
        </w:trPr>
        <w:tc>
          <w:tcPr>
            <w:cnfStyle w:val="001000000000" w:firstRow="0" w:lastRow="0" w:firstColumn="1" w:lastColumn="0" w:oddVBand="0" w:evenVBand="0" w:oddHBand="0" w:evenHBand="0" w:firstRowFirstColumn="0" w:firstRowLastColumn="0" w:lastRowFirstColumn="0" w:lastRowLastColumn="0"/>
            <w:tcW w:w="1000" w:type="pct"/>
            <w:vMerge/>
          </w:tcPr>
          <w:p w14:paraId="057AE479" w14:textId="77777777" w:rsidR="00D85BDB" w:rsidRPr="00F21DF7" w:rsidRDefault="00D85BDB" w:rsidP="00270CC5">
            <w:pPr>
              <w:rPr>
                <w:rFonts w:cstheme="minorHAnsi"/>
              </w:rPr>
            </w:pPr>
          </w:p>
        </w:tc>
        <w:tc>
          <w:tcPr>
            <w:tcW w:w="961" w:type="pct"/>
            <w:vMerge w:val="restart"/>
            <w:vAlign w:val="center"/>
          </w:tcPr>
          <w:p w14:paraId="104A81B5" w14:textId="1A6A924A" w:rsidR="00D85BDB" w:rsidRPr="00F21DF7" w:rsidRDefault="00D85BDB" w:rsidP="00270CC5">
            <w:pPr>
              <w:cnfStyle w:val="000000000000" w:firstRow="0" w:lastRow="0" w:firstColumn="0" w:lastColumn="0" w:oddVBand="0" w:evenVBand="0" w:oddHBand="0" w:evenHBand="0" w:firstRowFirstColumn="0" w:firstRowLastColumn="0" w:lastRowFirstColumn="0" w:lastRowLastColumn="0"/>
              <w:rPr>
                <w:rFonts w:cstheme="minorHAnsi"/>
              </w:rPr>
            </w:pPr>
            <w:r w:rsidRPr="00F21DF7">
              <w:rPr>
                <w:rFonts w:cstheme="minorHAnsi"/>
              </w:rPr>
              <w:t xml:space="preserve">ADCC </w:t>
            </w:r>
            <w:r>
              <w:rPr>
                <w:rFonts w:cstheme="minorHAnsi"/>
              </w:rPr>
              <w:t>Program Directors</w:t>
            </w:r>
          </w:p>
        </w:tc>
        <w:tc>
          <w:tcPr>
            <w:tcW w:w="2226" w:type="pct"/>
            <w:vAlign w:val="center"/>
          </w:tcPr>
          <w:p w14:paraId="155EAF7C" w14:textId="2EA0D56D"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Pretest – recruitment emails </w:t>
            </w:r>
          </w:p>
        </w:tc>
        <w:tc>
          <w:tcPr>
            <w:tcW w:w="813" w:type="pct"/>
            <w:vAlign w:val="center"/>
          </w:tcPr>
          <w:p w14:paraId="6C7EDA65" w14:textId="6B28832C" w:rsidR="00D85BDB" w:rsidRPr="00F21DF7" w:rsidRDefault="00D85BDB"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w:t>
            </w:r>
          </w:p>
        </w:tc>
      </w:tr>
      <w:tr w:rsidR="00D85BDB" w:rsidRPr="00F21DF7" w14:paraId="7865FCAA" w14:textId="77777777" w:rsidTr="009B42C8">
        <w:trPr>
          <w:trHeight w:val="334"/>
        </w:trPr>
        <w:tc>
          <w:tcPr>
            <w:cnfStyle w:val="001000000000" w:firstRow="0" w:lastRow="0" w:firstColumn="1" w:lastColumn="0" w:oddVBand="0" w:evenVBand="0" w:oddHBand="0" w:evenHBand="0" w:firstRowFirstColumn="0" w:firstRowLastColumn="0" w:lastRowFirstColumn="0" w:lastRowLastColumn="0"/>
            <w:tcW w:w="1000" w:type="pct"/>
            <w:vMerge/>
          </w:tcPr>
          <w:p w14:paraId="6FA19224" w14:textId="77777777" w:rsidR="00D85BDB" w:rsidRPr="00F21DF7" w:rsidRDefault="00D85BDB" w:rsidP="00270CC5">
            <w:pPr>
              <w:rPr>
                <w:rFonts w:cstheme="minorHAnsi"/>
              </w:rPr>
            </w:pPr>
          </w:p>
        </w:tc>
        <w:tc>
          <w:tcPr>
            <w:tcW w:w="961" w:type="pct"/>
            <w:vMerge/>
            <w:vAlign w:val="center"/>
          </w:tcPr>
          <w:p w14:paraId="1E5AA2CD" w14:textId="04669CFF" w:rsidR="00D85BDB" w:rsidRPr="00F21DF7" w:rsidRDefault="00D85BDB" w:rsidP="00270CC5">
            <w:pPr>
              <w:cnfStyle w:val="000000000000" w:firstRow="0" w:lastRow="0" w:firstColumn="0" w:lastColumn="0" w:oddVBand="0" w:evenVBand="0" w:oddHBand="0" w:evenHBand="0" w:firstRowFirstColumn="0" w:firstRowLastColumn="0" w:lastRowFirstColumn="0" w:lastRowLastColumn="0"/>
              <w:rPr>
                <w:rFonts w:cstheme="minorHAnsi"/>
              </w:rPr>
            </w:pPr>
          </w:p>
        </w:tc>
        <w:tc>
          <w:tcPr>
            <w:tcW w:w="2226" w:type="pct"/>
            <w:vAlign w:val="center"/>
          </w:tcPr>
          <w:p w14:paraId="1624620D" w14:textId="69415791"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Pretest – recruitment follow-up phone calls </w:t>
            </w:r>
          </w:p>
        </w:tc>
        <w:tc>
          <w:tcPr>
            <w:tcW w:w="813" w:type="pct"/>
            <w:vAlign w:val="center"/>
          </w:tcPr>
          <w:p w14:paraId="0CD23C75" w14:textId="0C3D2141" w:rsidR="00D85BDB" w:rsidRPr="00F21DF7" w:rsidRDefault="00D85BDB"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p>
        </w:tc>
      </w:tr>
      <w:tr w:rsidR="00D85BDB" w:rsidRPr="00F21DF7" w14:paraId="1A4E83E4" w14:textId="77777777" w:rsidTr="009B42C8">
        <w:trPr>
          <w:trHeight w:val="334"/>
        </w:trPr>
        <w:tc>
          <w:tcPr>
            <w:cnfStyle w:val="001000000000" w:firstRow="0" w:lastRow="0" w:firstColumn="1" w:lastColumn="0" w:oddVBand="0" w:evenVBand="0" w:oddHBand="0" w:evenHBand="0" w:firstRowFirstColumn="0" w:firstRowLastColumn="0" w:lastRowFirstColumn="0" w:lastRowLastColumn="0"/>
            <w:tcW w:w="1000" w:type="pct"/>
            <w:vMerge/>
          </w:tcPr>
          <w:p w14:paraId="5FBF5AB5" w14:textId="77777777" w:rsidR="00D85BDB" w:rsidRPr="00F21DF7" w:rsidRDefault="00D85BDB" w:rsidP="00270CC5">
            <w:pPr>
              <w:rPr>
                <w:rFonts w:cstheme="minorHAnsi"/>
              </w:rPr>
            </w:pPr>
          </w:p>
        </w:tc>
        <w:tc>
          <w:tcPr>
            <w:tcW w:w="961" w:type="pct"/>
            <w:vMerge/>
            <w:vAlign w:val="center"/>
          </w:tcPr>
          <w:p w14:paraId="686ADD44" w14:textId="28B9174B" w:rsidR="00D85BDB" w:rsidRPr="00F21DF7" w:rsidRDefault="00D85BDB" w:rsidP="00270CC5">
            <w:pPr>
              <w:cnfStyle w:val="000000000000" w:firstRow="0" w:lastRow="0" w:firstColumn="0" w:lastColumn="0" w:oddVBand="0" w:evenVBand="0" w:oddHBand="0" w:evenHBand="0" w:firstRowFirstColumn="0" w:firstRowLastColumn="0" w:lastRowFirstColumn="0" w:lastRowLastColumn="0"/>
              <w:rPr>
                <w:rFonts w:cstheme="minorHAnsi"/>
              </w:rPr>
            </w:pPr>
          </w:p>
        </w:tc>
        <w:tc>
          <w:tcPr>
            <w:tcW w:w="2226" w:type="pct"/>
            <w:vAlign w:val="center"/>
          </w:tcPr>
          <w:p w14:paraId="66B778A1" w14:textId="01DCC06E"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Pretest – survey testing</w:t>
            </w:r>
          </w:p>
        </w:tc>
        <w:tc>
          <w:tcPr>
            <w:tcW w:w="813" w:type="pct"/>
            <w:vAlign w:val="center"/>
          </w:tcPr>
          <w:p w14:paraId="279BAD27" w14:textId="4B1D6AAF" w:rsidR="00D85BDB" w:rsidRDefault="00BB2700"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w:t>
            </w:r>
            <w:r w:rsidR="00D85BDB">
              <w:rPr>
                <w:rFonts w:cstheme="minorHAnsi"/>
              </w:rPr>
              <w:t>6</w:t>
            </w:r>
          </w:p>
        </w:tc>
      </w:tr>
      <w:tr w:rsidR="00D85BDB" w:rsidRPr="00F21DF7" w14:paraId="3A11B54C" w14:textId="77777777" w:rsidTr="009B42C8">
        <w:trPr>
          <w:trHeight w:val="334"/>
        </w:trPr>
        <w:tc>
          <w:tcPr>
            <w:cnfStyle w:val="001000000000" w:firstRow="0" w:lastRow="0" w:firstColumn="1" w:lastColumn="0" w:oddVBand="0" w:evenVBand="0" w:oddHBand="0" w:evenHBand="0" w:firstRowFirstColumn="0" w:firstRowLastColumn="0" w:lastRowFirstColumn="0" w:lastRowLastColumn="0"/>
            <w:tcW w:w="1000" w:type="pct"/>
            <w:vMerge/>
          </w:tcPr>
          <w:p w14:paraId="1C40D189" w14:textId="77777777" w:rsidR="00D85BDB" w:rsidRPr="00F21DF7" w:rsidRDefault="00D85BDB" w:rsidP="00270CC5">
            <w:pPr>
              <w:rPr>
                <w:rFonts w:cstheme="minorHAnsi"/>
              </w:rPr>
            </w:pPr>
          </w:p>
        </w:tc>
        <w:tc>
          <w:tcPr>
            <w:tcW w:w="961" w:type="pct"/>
            <w:vMerge/>
            <w:vAlign w:val="center"/>
            <w:hideMark/>
          </w:tcPr>
          <w:p w14:paraId="2F977591" w14:textId="512BE6C4" w:rsidR="00D85BDB" w:rsidRPr="00F21DF7" w:rsidRDefault="00D85BDB" w:rsidP="00270CC5">
            <w:pPr>
              <w:cnfStyle w:val="000000000000" w:firstRow="0" w:lastRow="0" w:firstColumn="0" w:lastColumn="0" w:oddVBand="0" w:evenVBand="0" w:oddHBand="0" w:evenHBand="0" w:firstRowFirstColumn="0" w:firstRowLastColumn="0" w:lastRowFirstColumn="0" w:lastRowLastColumn="0"/>
              <w:rPr>
                <w:rFonts w:cstheme="minorHAnsi"/>
              </w:rPr>
            </w:pPr>
          </w:p>
        </w:tc>
        <w:tc>
          <w:tcPr>
            <w:tcW w:w="2226" w:type="pct"/>
            <w:vAlign w:val="center"/>
          </w:tcPr>
          <w:p w14:paraId="60860315" w14:textId="2C8D774C" w:rsidR="00D85BDB" w:rsidRPr="009F4082"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vertAlign w:val="superscript"/>
              </w:rPr>
            </w:pPr>
            <w:r w:rsidRPr="00F21DF7">
              <w:rPr>
                <w:rFonts w:cstheme="minorHAnsi"/>
              </w:rPr>
              <w:t xml:space="preserve">Initial </w:t>
            </w:r>
            <w:r>
              <w:rPr>
                <w:rFonts w:cstheme="minorHAnsi"/>
              </w:rPr>
              <w:t>survey r</w:t>
            </w:r>
            <w:r w:rsidRPr="00F21DF7">
              <w:rPr>
                <w:rFonts w:cstheme="minorHAnsi"/>
              </w:rPr>
              <w:t xml:space="preserve">ecruitment </w:t>
            </w:r>
            <w:r>
              <w:rPr>
                <w:rFonts w:cstheme="minorHAnsi"/>
              </w:rPr>
              <w:t>e</w:t>
            </w:r>
            <w:r w:rsidRPr="00F21DF7">
              <w:rPr>
                <w:rFonts w:cstheme="minorHAnsi"/>
              </w:rPr>
              <w:t>mails</w:t>
            </w:r>
            <w:r>
              <w:rPr>
                <w:rFonts w:cstheme="minorHAnsi"/>
                <w:vertAlign w:val="superscript"/>
              </w:rPr>
              <w:t>#</w:t>
            </w:r>
          </w:p>
        </w:tc>
        <w:tc>
          <w:tcPr>
            <w:tcW w:w="813" w:type="pct"/>
            <w:vAlign w:val="center"/>
          </w:tcPr>
          <w:p w14:paraId="10311A71" w14:textId="481C48AB" w:rsidR="00D85BDB" w:rsidRPr="00F21DF7" w:rsidRDefault="00D85BDB"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700</w:t>
            </w:r>
          </w:p>
        </w:tc>
      </w:tr>
      <w:tr w:rsidR="00D85BDB" w:rsidRPr="00F21DF7" w14:paraId="5224DA2C" w14:textId="77777777" w:rsidTr="009B42C8">
        <w:trPr>
          <w:trHeight w:val="334"/>
        </w:trPr>
        <w:tc>
          <w:tcPr>
            <w:cnfStyle w:val="001000000000" w:firstRow="0" w:lastRow="0" w:firstColumn="1" w:lastColumn="0" w:oddVBand="0" w:evenVBand="0" w:oddHBand="0" w:evenHBand="0" w:firstRowFirstColumn="0" w:firstRowLastColumn="0" w:lastRowFirstColumn="0" w:lastRowLastColumn="0"/>
            <w:tcW w:w="1000" w:type="pct"/>
            <w:vMerge/>
          </w:tcPr>
          <w:p w14:paraId="48C3B21A" w14:textId="77777777" w:rsidR="00D85BDB" w:rsidRPr="00F21DF7" w:rsidRDefault="00D85BDB" w:rsidP="00F21DF7">
            <w:pPr>
              <w:rPr>
                <w:rFonts w:cstheme="minorHAnsi"/>
              </w:rPr>
            </w:pPr>
          </w:p>
        </w:tc>
        <w:tc>
          <w:tcPr>
            <w:tcW w:w="961" w:type="pct"/>
            <w:vMerge/>
            <w:vAlign w:val="center"/>
          </w:tcPr>
          <w:p w14:paraId="546506B1" w14:textId="46D3DCA0"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p>
        </w:tc>
        <w:tc>
          <w:tcPr>
            <w:tcW w:w="2226" w:type="pct"/>
            <w:vAlign w:val="center"/>
          </w:tcPr>
          <w:p w14:paraId="42BE8539" w14:textId="7E411B6F" w:rsidR="00D85BDB" w:rsidRPr="009F4082"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vertAlign w:val="superscript"/>
              </w:rPr>
            </w:pPr>
            <w:r>
              <w:rPr>
                <w:rFonts w:cstheme="minorHAnsi"/>
              </w:rPr>
              <w:t>Initial hard copy survey recruitment mails</w:t>
            </w:r>
            <w:r w:rsidRPr="009F4082">
              <w:rPr>
                <w:rFonts w:cstheme="minorHAnsi"/>
                <w:vertAlign w:val="superscript"/>
              </w:rPr>
              <w:t>#</w:t>
            </w:r>
          </w:p>
        </w:tc>
        <w:tc>
          <w:tcPr>
            <w:tcW w:w="813" w:type="pct"/>
            <w:vAlign w:val="center"/>
          </w:tcPr>
          <w:p w14:paraId="2209BC24" w14:textId="6C270C12" w:rsidR="00D85BDB" w:rsidRPr="00F21DF7" w:rsidRDefault="00D85BDB"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100</w:t>
            </w:r>
          </w:p>
        </w:tc>
      </w:tr>
      <w:tr w:rsidR="00D85BDB" w:rsidRPr="00F21DF7" w14:paraId="43075CC2" w14:textId="77777777" w:rsidTr="009B42C8">
        <w:trPr>
          <w:trHeight w:val="334"/>
        </w:trPr>
        <w:tc>
          <w:tcPr>
            <w:cnfStyle w:val="001000000000" w:firstRow="0" w:lastRow="0" w:firstColumn="1" w:lastColumn="0" w:oddVBand="0" w:evenVBand="0" w:oddHBand="0" w:evenHBand="0" w:firstRowFirstColumn="0" w:firstRowLastColumn="0" w:lastRowFirstColumn="0" w:lastRowLastColumn="0"/>
            <w:tcW w:w="1000" w:type="pct"/>
            <w:vMerge/>
          </w:tcPr>
          <w:p w14:paraId="2284C517" w14:textId="77777777" w:rsidR="00D85BDB" w:rsidRPr="00F21DF7" w:rsidRDefault="00D85BDB" w:rsidP="00F21DF7">
            <w:pPr>
              <w:rPr>
                <w:rFonts w:cstheme="minorHAnsi"/>
              </w:rPr>
            </w:pPr>
          </w:p>
        </w:tc>
        <w:tc>
          <w:tcPr>
            <w:tcW w:w="961" w:type="pct"/>
            <w:vMerge/>
            <w:vAlign w:val="center"/>
          </w:tcPr>
          <w:p w14:paraId="7AE417CB" w14:textId="1A67FDEA"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p>
        </w:tc>
        <w:tc>
          <w:tcPr>
            <w:tcW w:w="2226" w:type="pct"/>
            <w:vAlign w:val="center"/>
          </w:tcPr>
          <w:p w14:paraId="1B71C860" w14:textId="4F52B214"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Survey Reminders Emails 1</w:t>
            </w:r>
          </w:p>
        </w:tc>
        <w:tc>
          <w:tcPr>
            <w:tcW w:w="813" w:type="pct"/>
            <w:vAlign w:val="center"/>
          </w:tcPr>
          <w:p w14:paraId="7720DE91" w14:textId="185DB222" w:rsidR="00D85BDB" w:rsidRPr="00F21DF7" w:rsidRDefault="00D85BDB"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560</w:t>
            </w:r>
          </w:p>
        </w:tc>
      </w:tr>
      <w:tr w:rsidR="00D85BDB" w:rsidRPr="00F21DF7" w14:paraId="0966A819" w14:textId="77777777" w:rsidTr="009B42C8">
        <w:trPr>
          <w:trHeight w:val="334"/>
        </w:trPr>
        <w:tc>
          <w:tcPr>
            <w:cnfStyle w:val="001000000000" w:firstRow="0" w:lastRow="0" w:firstColumn="1" w:lastColumn="0" w:oddVBand="0" w:evenVBand="0" w:oddHBand="0" w:evenHBand="0" w:firstRowFirstColumn="0" w:firstRowLastColumn="0" w:lastRowFirstColumn="0" w:lastRowLastColumn="0"/>
            <w:tcW w:w="1000" w:type="pct"/>
            <w:vMerge/>
          </w:tcPr>
          <w:p w14:paraId="65DBD63D" w14:textId="77777777" w:rsidR="00D85BDB" w:rsidRPr="00F21DF7" w:rsidRDefault="00D85BDB" w:rsidP="00F21DF7">
            <w:pPr>
              <w:rPr>
                <w:rFonts w:cstheme="minorHAnsi"/>
              </w:rPr>
            </w:pPr>
          </w:p>
        </w:tc>
        <w:tc>
          <w:tcPr>
            <w:tcW w:w="961" w:type="pct"/>
            <w:vMerge/>
            <w:vAlign w:val="center"/>
          </w:tcPr>
          <w:p w14:paraId="0C7E5087" w14:textId="06682EE6"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p>
        </w:tc>
        <w:tc>
          <w:tcPr>
            <w:tcW w:w="2226" w:type="pct"/>
            <w:vAlign w:val="center"/>
          </w:tcPr>
          <w:p w14:paraId="64E3FA8C" w14:textId="6CB9A713"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Survey Reminders Emails 2</w:t>
            </w:r>
          </w:p>
        </w:tc>
        <w:tc>
          <w:tcPr>
            <w:tcW w:w="813" w:type="pct"/>
            <w:vAlign w:val="center"/>
          </w:tcPr>
          <w:p w14:paraId="190FACD8" w14:textId="07421B46" w:rsidR="00D85BDB" w:rsidRPr="00F21DF7" w:rsidRDefault="00D85BDB"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448</w:t>
            </w:r>
          </w:p>
        </w:tc>
      </w:tr>
      <w:tr w:rsidR="00D85BDB" w:rsidRPr="00F21DF7" w14:paraId="24A356D7" w14:textId="77777777" w:rsidTr="009B42C8">
        <w:trPr>
          <w:trHeight w:val="334"/>
        </w:trPr>
        <w:tc>
          <w:tcPr>
            <w:cnfStyle w:val="001000000000" w:firstRow="0" w:lastRow="0" w:firstColumn="1" w:lastColumn="0" w:oddVBand="0" w:evenVBand="0" w:oddHBand="0" w:evenHBand="0" w:firstRowFirstColumn="0" w:firstRowLastColumn="0" w:lastRowFirstColumn="0" w:lastRowLastColumn="0"/>
            <w:tcW w:w="1000" w:type="pct"/>
            <w:vMerge/>
          </w:tcPr>
          <w:p w14:paraId="6AE81917" w14:textId="77777777" w:rsidR="00D85BDB" w:rsidRPr="00F21DF7" w:rsidRDefault="00D85BDB" w:rsidP="00F21DF7">
            <w:pPr>
              <w:rPr>
                <w:rFonts w:cstheme="minorHAnsi"/>
              </w:rPr>
            </w:pPr>
          </w:p>
        </w:tc>
        <w:tc>
          <w:tcPr>
            <w:tcW w:w="961" w:type="pct"/>
            <w:vMerge/>
            <w:vAlign w:val="center"/>
          </w:tcPr>
          <w:p w14:paraId="4F7A02CD" w14:textId="19F1C390"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p>
        </w:tc>
        <w:tc>
          <w:tcPr>
            <w:tcW w:w="2226" w:type="pct"/>
            <w:vAlign w:val="center"/>
          </w:tcPr>
          <w:p w14:paraId="16CA44AC" w14:textId="4CF60126"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Survey Reminders Emails 3</w:t>
            </w:r>
          </w:p>
        </w:tc>
        <w:tc>
          <w:tcPr>
            <w:tcW w:w="813" w:type="pct"/>
            <w:vAlign w:val="center"/>
          </w:tcPr>
          <w:p w14:paraId="68B937EC" w14:textId="76B47FAC" w:rsidR="00D85BDB" w:rsidRPr="00F21DF7" w:rsidRDefault="00D85BDB"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w:t>
            </w:r>
          </w:p>
        </w:tc>
      </w:tr>
      <w:tr w:rsidR="00D85BDB" w:rsidRPr="00F21DF7" w14:paraId="1EE0EC4E" w14:textId="77777777" w:rsidTr="009B42C8">
        <w:trPr>
          <w:trHeight w:val="334"/>
        </w:trPr>
        <w:tc>
          <w:tcPr>
            <w:cnfStyle w:val="001000000000" w:firstRow="0" w:lastRow="0" w:firstColumn="1" w:lastColumn="0" w:oddVBand="0" w:evenVBand="0" w:oddHBand="0" w:evenHBand="0" w:firstRowFirstColumn="0" w:firstRowLastColumn="0" w:lastRowFirstColumn="0" w:lastRowLastColumn="0"/>
            <w:tcW w:w="1000" w:type="pct"/>
            <w:vMerge/>
          </w:tcPr>
          <w:p w14:paraId="5F459B59" w14:textId="77777777" w:rsidR="00D85BDB" w:rsidRPr="00F21DF7" w:rsidRDefault="00D85BDB" w:rsidP="00F21DF7">
            <w:pPr>
              <w:rPr>
                <w:rFonts w:cstheme="minorHAnsi"/>
              </w:rPr>
            </w:pPr>
          </w:p>
        </w:tc>
        <w:tc>
          <w:tcPr>
            <w:tcW w:w="961" w:type="pct"/>
            <w:vMerge/>
            <w:vAlign w:val="center"/>
          </w:tcPr>
          <w:p w14:paraId="2947447B" w14:textId="229F95E1"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p>
        </w:tc>
        <w:tc>
          <w:tcPr>
            <w:tcW w:w="2226" w:type="pct"/>
            <w:vAlign w:val="center"/>
          </w:tcPr>
          <w:p w14:paraId="2E1AFC60" w14:textId="7AB00766"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Survey Reminders Emails 4</w:t>
            </w:r>
          </w:p>
        </w:tc>
        <w:tc>
          <w:tcPr>
            <w:tcW w:w="813" w:type="pct"/>
            <w:vAlign w:val="center"/>
          </w:tcPr>
          <w:p w14:paraId="5C50B29C" w14:textId="1B940C0F" w:rsidR="00D85BDB" w:rsidRPr="00F21DF7" w:rsidRDefault="00D85BDB"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224</w:t>
            </w:r>
          </w:p>
        </w:tc>
      </w:tr>
      <w:tr w:rsidR="00D85BDB" w:rsidRPr="00F21DF7" w14:paraId="1D171106" w14:textId="77777777" w:rsidTr="009B42C8">
        <w:trPr>
          <w:trHeight w:val="334"/>
        </w:trPr>
        <w:tc>
          <w:tcPr>
            <w:cnfStyle w:val="001000000000" w:firstRow="0" w:lastRow="0" w:firstColumn="1" w:lastColumn="0" w:oddVBand="0" w:evenVBand="0" w:oddHBand="0" w:evenHBand="0" w:firstRowFirstColumn="0" w:firstRowLastColumn="0" w:lastRowFirstColumn="0" w:lastRowLastColumn="0"/>
            <w:tcW w:w="1000" w:type="pct"/>
            <w:vMerge/>
          </w:tcPr>
          <w:p w14:paraId="68CFD923" w14:textId="77777777" w:rsidR="00D85BDB" w:rsidRPr="00F21DF7" w:rsidRDefault="00D85BDB" w:rsidP="00F21DF7">
            <w:pPr>
              <w:rPr>
                <w:rFonts w:cstheme="minorHAnsi"/>
              </w:rPr>
            </w:pPr>
          </w:p>
        </w:tc>
        <w:tc>
          <w:tcPr>
            <w:tcW w:w="961" w:type="pct"/>
            <w:vMerge/>
            <w:vAlign w:val="center"/>
          </w:tcPr>
          <w:p w14:paraId="35D639D0" w14:textId="47A039A2"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p>
        </w:tc>
        <w:tc>
          <w:tcPr>
            <w:tcW w:w="2226" w:type="pct"/>
            <w:vAlign w:val="center"/>
          </w:tcPr>
          <w:p w14:paraId="7674B35B" w14:textId="45A584D8"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Hard Copy Survey Reminder (for those who never click the survey link)</w:t>
            </w:r>
          </w:p>
        </w:tc>
        <w:tc>
          <w:tcPr>
            <w:tcW w:w="813" w:type="pct"/>
            <w:vAlign w:val="center"/>
          </w:tcPr>
          <w:p w14:paraId="76119F3E" w14:textId="1CFBE954" w:rsidR="00D85BDB" w:rsidRPr="00F21DF7" w:rsidRDefault="00D85BDB"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112</w:t>
            </w:r>
          </w:p>
        </w:tc>
      </w:tr>
      <w:tr w:rsidR="00D85BDB" w:rsidRPr="00F21DF7" w14:paraId="7B9C8D95" w14:textId="77777777" w:rsidTr="009B42C8">
        <w:trPr>
          <w:trHeight w:val="334"/>
        </w:trPr>
        <w:tc>
          <w:tcPr>
            <w:cnfStyle w:val="001000000000" w:firstRow="0" w:lastRow="0" w:firstColumn="1" w:lastColumn="0" w:oddVBand="0" w:evenVBand="0" w:oddHBand="0" w:evenHBand="0" w:firstRowFirstColumn="0" w:firstRowLastColumn="0" w:lastRowFirstColumn="0" w:lastRowLastColumn="0"/>
            <w:tcW w:w="1000" w:type="pct"/>
            <w:vMerge/>
          </w:tcPr>
          <w:p w14:paraId="2882AE2D" w14:textId="77777777" w:rsidR="00D85BDB" w:rsidRPr="00F21DF7" w:rsidRDefault="00D85BDB" w:rsidP="00F21DF7">
            <w:pPr>
              <w:rPr>
                <w:rFonts w:cstheme="minorHAnsi"/>
              </w:rPr>
            </w:pPr>
          </w:p>
        </w:tc>
        <w:tc>
          <w:tcPr>
            <w:tcW w:w="961" w:type="pct"/>
            <w:vMerge/>
            <w:vAlign w:val="center"/>
          </w:tcPr>
          <w:p w14:paraId="328BC13F" w14:textId="45C81962"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p>
        </w:tc>
        <w:tc>
          <w:tcPr>
            <w:tcW w:w="2226" w:type="pct"/>
            <w:vAlign w:val="center"/>
          </w:tcPr>
          <w:p w14:paraId="368167F4" w14:textId="1A929EE6" w:rsidR="00D85BDB"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Hard Copy Survey Reminder (for those who received an initial hard copy survey)</w:t>
            </w:r>
          </w:p>
        </w:tc>
        <w:tc>
          <w:tcPr>
            <w:tcW w:w="813" w:type="pct"/>
            <w:vAlign w:val="center"/>
          </w:tcPr>
          <w:p w14:paraId="1D7DBBDB" w14:textId="78605985" w:rsidR="00D85BDB" w:rsidRPr="00F21DF7" w:rsidRDefault="00D85BDB"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80</w:t>
            </w:r>
          </w:p>
        </w:tc>
      </w:tr>
      <w:tr w:rsidR="00D85BDB" w:rsidRPr="00F21DF7" w14:paraId="1DE3F3C4" w14:textId="77777777" w:rsidTr="009B42C8">
        <w:trPr>
          <w:trHeight w:val="334"/>
        </w:trPr>
        <w:tc>
          <w:tcPr>
            <w:cnfStyle w:val="001000000000" w:firstRow="0" w:lastRow="0" w:firstColumn="1" w:lastColumn="0" w:oddVBand="0" w:evenVBand="0" w:oddHBand="0" w:evenHBand="0" w:firstRowFirstColumn="0" w:firstRowLastColumn="0" w:lastRowFirstColumn="0" w:lastRowLastColumn="0"/>
            <w:tcW w:w="1000" w:type="pct"/>
            <w:vMerge/>
          </w:tcPr>
          <w:p w14:paraId="4F47CB97" w14:textId="77777777" w:rsidR="00D85BDB" w:rsidRPr="00F21DF7" w:rsidRDefault="00D85BDB" w:rsidP="00F21DF7">
            <w:pPr>
              <w:rPr>
                <w:rFonts w:cstheme="minorHAnsi"/>
              </w:rPr>
            </w:pPr>
          </w:p>
        </w:tc>
        <w:tc>
          <w:tcPr>
            <w:tcW w:w="961" w:type="pct"/>
            <w:vMerge/>
            <w:vAlign w:val="center"/>
          </w:tcPr>
          <w:p w14:paraId="3FF082D7" w14:textId="443F6663"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p>
        </w:tc>
        <w:tc>
          <w:tcPr>
            <w:tcW w:w="2226" w:type="pct"/>
            <w:vAlign w:val="center"/>
          </w:tcPr>
          <w:p w14:paraId="08D859BC" w14:textId="545C4B01" w:rsidR="00D85BDB"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Phone Call Reminder 1</w:t>
            </w:r>
          </w:p>
        </w:tc>
        <w:tc>
          <w:tcPr>
            <w:tcW w:w="813" w:type="pct"/>
            <w:vAlign w:val="center"/>
          </w:tcPr>
          <w:p w14:paraId="6EF73CCA" w14:textId="05B9C4C7" w:rsidR="00D85BDB" w:rsidRPr="00F21DF7" w:rsidRDefault="00D85BDB"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448</w:t>
            </w:r>
          </w:p>
        </w:tc>
      </w:tr>
      <w:tr w:rsidR="00D85BDB" w:rsidRPr="00F21DF7" w14:paraId="0D977F81" w14:textId="77777777" w:rsidTr="009B42C8">
        <w:trPr>
          <w:trHeight w:val="334"/>
        </w:trPr>
        <w:tc>
          <w:tcPr>
            <w:cnfStyle w:val="001000000000" w:firstRow="0" w:lastRow="0" w:firstColumn="1" w:lastColumn="0" w:oddVBand="0" w:evenVBand="0" w:oddHBand="0" w:evenHBand="0" w:firstRowFirstColumn="0" w:firstRowLastColumn="0" w:lastRowFirstColumn="0" w:lastRowLastColumn="0"/>
            <w:tcW w:w="1000" w:type="pct"/>
            <w:vMerge/>
          </w:tcPr>
          <w:p w14:paraId="6B9EF1C5" w14:textId="77777777" w:rsidR="00D85BDB" w:rsidRPr="00F21DF7" w:rsidRDefault="00D85BDB" w:rsidP="00F21DF7">
            <w:pPr>
              <w:rPr>
                <w:rFonts w:cstheme="minorHAnsi"/>
              </w:rPr>
            </w:pPr>
          </w:p>
        </w:tc>
        <w:tc>
          <w:tcPr>
            <w:tcW w:w="961" w:type="pct"/>
            <w:vMerge/>
            <w:vAlign w:val="center"/>
          </w:tcPr>
          <w:p w14:paraId="4D0B6CB6" w14:textId="668085EE"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p>
        </w:tc>
        <w:tc>
          <w:tcPr>
            <w:tcW w:w="2226" w:type="pct"/>
            <w:vAlign w:val="center"/>
          </w:tcPr>
          <w:p w14:paraId="4A565909" w14:textId="1C5199CF" w:rsidR="00D85BDB"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Phone Call Reminder 2</w:t>
            </w:r>
          </w:p>
        </w:tc>
        <w:tc>
          <w:tcPr>
            <w:tcW w:w="813" w:type="pct"/>
            <w:vAlign w:val="center"/>
          </w:tcPr>
          <w:p w14:paraId="6DA27CB8" w14:textId="564FC6ED" w:rsidR="00D85BDB" w:rsidRPr="00F21DF7" w:rsidRDefault="00D85BDB"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w:t>
            </w:r>
          </w:p>
        </w:tc>
      </w:tr>
      <w:tr w:rsidR="00D85BDB" w:rsidRPr="00F21DF7" w14:paraId="61B16DA0" w14:textId="77777777" w:rsidTr="009B42C8">
        <w:trPr>
          <w:trHeight w:val="334"/>
        </w:trPr>
        <w:tc>
          <w:tcPr>
            <w:cnfStyle w:val="001000000000" w:firstRow="0" w:lastRow="0" w:firstColumn="1" w:lastColumn="0" w:oddVBand="0" w:evenVBand="0" w:oddHBand="0" w:evenHBand="0" w:firstRowFirstColumn="0" w:firstRowLastColumn="0" w:lastRowFirstColumn="0" w:lastRowLastColumn="0"/>
            <w:tcW w:w="1000" w:type="pct"/>
            <w:vMerge/>
          </w:tcPr>
          <w:p w14:paraId="203EF1B7" w14:textId="77777777" w:rsidR="00D85BDB" w:rsidRPr="00F21DF7" w:rsidRDefault="00D85BDB" w:rsidP="00F21DF7">
            <w:pPr>
              <w:rPr>
                <w:rFonts w:cstheme="minorHAnsi"/>
              </w:rPr>
            </w:pPr>
          </w:p>
        </w:tc>
        <w:tc>
          <w:tcPr>
            <w:tcW w:w="961" w:type="pct"/>
            <w:vMerge/>
            <w:vAlign w:val="center"/>
          </w:tcPr>
          <w:p w14:paraId="080337A2" w14:textId="56AF5AE5"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p>
        </w:tc>
        <w:tc>
          <w:tcPr>
            <w:tcW w:w="2226" w:type="pct"/>
            <w:vAlign w:val="center"/>
          </w:tcPr>
          <w:p w14:paraId="7E79E510" w14:textId="0471F3C8" w:rsidR="00D85BDB"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Post-Survey Response Clarification Email </w:t>
            </w:r>
          </w:p>
        </w:tc>
        <w:tc>
          <w:tcPr>
            <w:tcW w:w="813" w:type="pct"/>
            <w:vAlign w:val="center"/>
          </w:tcPr>
          <w:p w14:paraId="2555A541" w14:textId="32D9A996" w:rsidR="00D85BDB" w:rsidRPr="00F21DF7" w:rsidRDefault="00D85BDB"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64</w:t>
            </w:r>
          </w:p>
        </w:tc>
      </w:tr>
      <w:tr w:rsidR="00D85BDB" w:rsidRPr="00F21DF7" w14:paraId="33C1133F" w14:textId="77777777" w:rsidTr="009B42C8">
        <w:trPr>
          <w:trHeight w:val="334"/>
        </w:trPr>
        <w:tc>
          <w:tcPr>
            <w:cnfStyle w:val="001000000000" w:firstRow="0" w:lastRow="0" w:firstColumn="1" w:lastColumn="0" w:oddVBand="0" w:evenVBand="0" w:oddHBand="0" w:evenHBand="0" w:firstRowFirstColumn="0" w:firstRowLastColumn="0" w:lastRowFirstColumn="0" w:lastRowLastColumn="0"/>
            <w:tcW w:w="1000" w:type="pct"/>
            <w:vMerge/>
          </w:tcPr>
          <w:p w14:paraId="48FD2C12" w14:textId="77777777" w:rsidR="00D85BDB" w:rsidRPr="00F21DF7" w:rsidRDefault="00D85BDB" w:rsidP="00F21DF7">
            <w:pPr>
              <w:rPr>
                <w:rFonts w:cstheme="minorHAnsi"/>
              </w:rPr>
            </w:pPr>
          </w:p>
        </w:tc>
        <w:tc>
          <w:tcPr>
            <w:tcW w:w="961" w:type="pct"/>
            <w:vMerge/>
            <w:vAlign w:val="center"/>
          </w:tcPr>
          <w:p w14:paraId="6EC78A1C" w14:textId="2FF444B9"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p>
        </w:tc>
        <w:tc>
          <w:tcPr>
            <w:tcW w:w="2226" w:type="pct"/>
            <w:vAlign w:val="center"/>
          </w:tcPr>
          <w:p w14:paraId="780A3F17" w14:textId="104AC91D" w:rsidR="00D85BDB"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Post-Survey Response Clarification Phone Call</w:t>
            </w:r>
          </w:p>
        </w:tc>
        <w:tc>
          <w:tcPr>
            <w:tcW w:w="813" w:type="pct"/>
            <w:vAlign w:val="center"/>
          </w:tcPr>
          <w:p w14:paraId="3C235D5A" w14:textId="6B3FC17B" w:rsidR="00D85BDB" w:rsidRPr="00F21DF7" w:rsidRDefault="00D85BDB"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w:t>
            </w:r>
          </w:p>
        </w:tc>
      </w:tr>
      <w:tr w:rsidR="00D85BDB" w:rsidRPr="00F21DF7" w14:paraId="51DDADFD" w14:textId="77777777" w:rsidTr="009B42C8">
        <w:trPr>
          <w:trHeight w:val="334"/>
        </w:trPr>
        <w:tc>
          <w:tcPr>
            <w:cnfStyle w:val="001000000000" w:firstRow="0" w:lastRow="0" w:firstColumn="1" w:lastColumn="0" w:oddVBand="0" w:evenVBand="0" w:oddHBand="0" w:evenHBand="0" w:firstRowFirstColumn="0" w:firstRowLastColumn="0" w:lastRowFirstColumn="0" w:lastRowLastColumn="0"/>
            <w:tcW w:w="1000" w:type="pct"/>
            <w:vMerge/>
          </w:tcPr>
          <w:p w14:paraId="540246A8" w14:textId="77777777" w:rsidR="00D85BDB" w:rsidRPr="00F21DF7" w:rsidRDefault="00D85BDB" w:rsidP="00F21DF7">
            <w:pPr>
              <w:rPr>
                <w:rFonts w:cstheme="minorHAnsi"/>
              </w:rPr>
            </w:pPr>
          </w:p>
        </w:tc>
        <w:tc>
          <w:tcPr>
            <w:tcW w:w="961" w:type="pct"/>
            <w:vMerge/>
            <w:vAlign w:val="center"/>
          </w:tcPr>
          <w:p w14:paraId="18F4E4A1" w14:textId="1E3435D7"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p>
        </w:tc>
        <w:tc>
          <w:tcPr>
            <w:tcW w:w="2226" w:type="pct"/>
            <w:vAlign w:val="center"/>
          </w:tcPr>
          <w:p w14:paraId="05F3B8FA" w14:textId="71515ECA"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Survey</w:t>
            </w:r>
          </w:p>
        </w:tc>
        <w:tc>
          <w:tcPr>
            <w:tcW w:w="813" w:type="pct"/>
            <w:vAlign w:val="center"/>
          </w:tcPr>
          <w:p w14:paraId="720C030B" w14:textId="035B3ABA" w:rsidR="00D85BDB" w:rsidRPr="00F21DF7" w:rsidRDefault="00D85BDB"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800</w:t>
            </w:r>
          </w:p>
        </w:tc>
      </w:tr>
      <w:tr w:rsidR="00D85BDB" w:rsidRPr="00F21DF7" w14:paraId="5C57DB64" w14:textId="77777777" w:rsidTr="008C1ACD">
        <w:trPr>
          <w:trHeight w:val="334"/>
        </w:trPr>
        <w:tc>
          <w:tcPr>
            <w:cnfStyle w:val="001000000000" w:firstRow="0" w:lastRow="0" w:firstColumn="1" w:lastColumn="0" w:oddVBand="0" w:evenVBand="0" w:oddHBand="0" w:evenHBand="0" w:firstRowFirstColumn="0" w:firstRowLastColumn="0" w:lastRowFirstColumn="0" w:lastRowLastColumn="0"/>
            <w:tcW w:w="1000" w:type="pct"/>
            <w:vMerge/>
          </w:tcPr>
          <w:p w14:paraId="6810E7F8" w14:textId="77777777" w:rsidR="00D85BDB" w:rsidRPr="00F21DF7" w:rsidRDefault="00D85BDB" w:rsidP="00F21DF7">
            <w:pPr>
              <w:rPr>
                <w:rFonts w:cstheme="minorHAnsi"/>
              </w:rPr>
            </w:pPr>
          </w:p>
        </w:tc>
        <w:tc>
          <w:tcPr>
            <w:tcW w:w="961" w:type="pct"/>
            <w:vMerge/>
            <w:vAlign w:val="center"/>
          </w:tcPr>
          <w:p w14:paraId="6B9FF3CD" w14:textId="77777777" w:rsidR="00D85BDB" w:rsidRPr="00F21DF7"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p>
        </w:tc>
        <w:tc>
          <w:tcPr>
            <w:tcW w:w="2226" w:type="pct"/>
            <w:vAlign w:val="center"/>
          </w:tcPr>
          <w:p w14:paraId="7258F016" w14:textId="5F4AD478" w:rsidR="00D85BDB" w:rsidRDefault="00D85BDB" w:rsidP="00F21DF7">
            <w:pPr>
              <w:cnfStyle w:val="000000000000" w:firstRow="0" w:lastRow="0" w:firstColumn="0" w:lastColumn="0" w:oddVBand="0" w:evenVBand="0" w:oddHBand="0" w:evenHBand="0" w:firstRowFirstColumn="0" w:firstRowLastColumn="0" w:lastRowFirstColumn="0" w:lastRowLastColumn="0"/>
              <w:rPr>
                <w:rFonts w:cstheme="minorHAnsi"/>
              </w:rPr>
            </w:pPr>
            <w:r w:rsidRPr="00361800">
              <w:rPr>
                <w:rFonts w:cstheme="minorHAnsi"/>
              </w:rPr>
              <w:t>Frequently Asked Questions (FAQ</w:t>
            </w:r>
            <w:r w:rsidR="00312E1B">
              <w:rPr>
                <w:rFonts w:cstheme="minorHAnsi"/>
              </w:rPr>
              <w:t>s</w:t>
            </w:r>
            <w:r w:rsidRPr="00361800">
              <w:rPr>
                <w:rFonts w:cstheme="minorHAnsi"/>
              </w:rPr>
              <w:t>)</w:t>
            </w:r>
            <w:r w:rsidR="00AE643A" w:rsidRPr="00AE643A">
              <w:rPr>
                <w:rFonts w:cstheme="minorHAnsi"/>
                <w:vertAlign w:val="superscript"/>
              </w:rPr>
              <w:t>###</w:t>
            </w:r>
          </w:p>
        </w:tc>
        <w:tc>
          <w:tcPr>
            <w:tcW w:w="813" w:type="pct"/>
            <w:vAlign w:val="center"/>
          </w:tcPr>
          <w:p w14:paraId="58FF7C7E" w14:textId="698B3DE6" w:rsidR="00D85BDB" w:rsidRDefault="00D85BDB"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80</w:t>
            </w:r>
            <w:r w:rsidR="00C52EFA">
              <w:rPr>
                <w:rFonts w:cstheme="minorHAnsi"/>
              </w:rPr>
              <w:t>6</w:t>
            </w:r>
          </w:p>
        </w:tc>
      </w:tr>
      <w:tr w:rsidR="009C1C88" w:rsidRPr="00F21DF7" w14:paraId="5E643067" w14:textId="77777777" w:rsidTr="00A3434B">
        <w:trPr>
          <w:trHeight w:val="180"/>
        </w:trPr>
        <w:tc>
          <w:tcPr>
            <w:cnfStyle w:val="001000000000" w:firstRow="0" w:lastRow="0" w:firstColumn="1" w:lastColumn="0" w:oddVBand="0" w:evenVBand="0" w:oddHBand="0" w:evenHBand="0" w:firstRowFirstColumn="0" w:firstRowLastColumn="0" w:lastRowFirstColumn="0" w:lastRowLastColumn="0"/>
            <w:tcW w:w="1000" w:type="pct"/>
          </w:tcPr>
          <w:p w14:paraId="6DD24BB2" w14:textId="77777777" w:rsidR="009C1C88" w:rsidRPr="00F21DF7" w:rsidRDefault="009C1C88" w:rsidP="00F21DF7">
            <w:pPr>
              <w:rPr>
                <w:rFonts w:cstheme="minorHAnsi"/>
              </w:rPr>
            </w:pPr>
          </w:p>
        </w:tc>
        <w:tc>
          <w:tcPr>
            <w:tcW w:w="961" w:type="pct"/>
            <w:vAlign w:val="center"/>
          </w:tcPr>
          <w:p w14:paraId="65CD297F" w14:textId="63988925" w:rsidR="009C1C88" w:rsidRPr="00F21DF7" w:rsidRDefault="009C1C88" w:rsidP="00F21DF7">
            <w:pPr>
              <w:cnfStyle w:val="000000000000" w:firstRow="0" w:lastRow="0" w:firstColumn="0" w:lastColumn="0" w:oddVBand="0" w:evenVBand="0" w:oddHBand="0" w:evenHBand="0" w:firstRowFirstColumn="0" w:firstRowLastColumn="0" w:lastRowFirstColumn="0" w:lastRowLastColumn="0"/>
              <w:rPr>
                <w:rFonts w:cstheme="minorHAnsi"/>
              </w:rPr>
            </w:pPr>
            <w:r w:rsidRPr="00F21DF7">
              <w:rPr>
                <w:rFonts w:cstheme="minorHAnsi"/>
              </w:rPr>
              <w:t>Total</w:t>
            </w:r>
          </w:p>
        </w:tc>
        <w:tc>
          <w:tcPr>
            <w:tcW w:w="2226" w:type="pct"/>
            <w:vAlign w:val="center"/>
          </w:tcPr>
          <w:p w14:paraId="0ABDD118" w14:textId="77777777" w:rsidR="009C1C88" w:rsidRPr="00F21DF7" w:rsidRDefault="009C1C88" w:rsidP="00F21DF7">
            <w:pPr>
              <w:cnfStyle w:val="000000000000" w:firstRow="0" w:lastRow="0" w:firstColumn="0" w:lastColumn="0" w:oddVBand="0" w:evenVBand="0" w:oddHBand="0" w:evenHBand="0" w:firstRowFirstColumn="0" w:firstRowLastColumn="0" w:lastRowFirstColumn="0" w:lastRowLastColumn="0"/>
              <w:rPr>
                <w:rFonts w:cstheme="minorHAnsi"/>
              </w:rPr>
            </w:pPr>
          </w:p>
        </w:tc>
        <w:tc>
          <w:tcPr>
            <w:tcW w:w="813" w:type="pct"/>
            <w:vAlign w:val="center"/>
          </w:tcPr>
          <w:p w14:paraId="2F0B4509" w14:textId="4BBB1B06" w:rsidR="009C1C88" w:rsidRPr="00F21DF7" w:rsidRDefault="009C1C88" w:rsidP="00D1373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w:t>
            </w:r>
            <w:r w:rsidR="00A3434B">
              <w:rPr>
                <w:rFonts w:cstheme="minorHAnsi"/>
              </w:rPr>
              <w:t>,</w:t>
            </w:r>
            <w:r>
              <w:rPr>
                <w:rFonts w:cstheme="minorHAnsi"/>
              </w:rPr>
              <w:t>26</w:t>
            </w:r>
            <w:r w:rsidRPr="00F21DF7">
              <w:rPr>
                <w:rFonts w:cstheme="minorHAnsi"/>
              </w:rPr>
              <w:t>0</w:t>
            </w:r>
            <w:r w:rsidRPr="0016425A">
              <w:rPr>
                <w:rFonts w:cstheme="minorHAnsi"/>
                <w:vertAlign w:val="superscript"/>
              </w:rPr>
              <w:t>##</w:t>
            </w:r>
          </w:p>
        </w:tc>
      </w:tr>
    </w:tbl>
    <w:p w14:paraId="4C9C1E4B" w14:textId="77777777" w:rsidR="009C17A3" w:rsidRPr="00C00A1D" w:rsidRDefault="00504394" w:rsidP="00C00A1D">
      <w:pPr>
        <w:spacing w:after="0"/>
        <w:rPr>
          <w:rFonts w:asciiTheme="majorHAnsi" w:hAnsiTheme="majorHAnsi" w:cstheme="majorHAnsi"/>
          <w:iCs/>
          <w:color w:val="2F2F2F" w:themeColor="text1"/>
          <w:sz w:val="18"/>
        </w:rPr>
      </w:pPr>
      <w:r w:rsidRPr="00C00A1D">
        <w:rPr>
          <w:rFonts w:asciiTheme="majorHAnsi" w:hAnsiTheme="majorHAnsi" w:cstheme="majorHAnsi"/>
          <w:b/>
          <w:iCs/>
          <w:color w:val="2F2F2F" w:themeColor="text1"/>
          <w:sz w:val="18"/>
        </w:rPr>
        <w:t>N</w:t>
      </w:r>
      <w:r w:rsidR="00264E1D" w:rsidRPr="00C00A1D">
        <w:rPr>
          <w:rFonts w:asciiTheme="majorHAnsi" w:hAnsiTheme="majorHAnsi" w:cstheme="majorHAnsi"/>
          <w:b/>
          <w:iCs/>
          <w:color w:val="2F2F2F" w:themeColor="text1"/>
          <w:sz w:val="18"/>
        </w:rPr>
        <w:t>otes</w:t>
      </w:r>
      <w:r w:rsidR="00264E1D" w:rsidRPr="00C00A1D">
        <w:rPr>
          <w:rFonts w:asciiTheme="majorHAnsi" w:hAnsiTheme="majorHAnsi" w:cstheme="majorHAnsi"/>
          <w:iCs/>
          <w:color w:val="2F2F2F" w:themeColor="text1"/>
          <w:sz w:val="18"/>
        </w:rPr>
        <w:t>:</w:t>
      </w:r>
    </w:p>
    <w:p w14:paraId="3A05A207" w14:textId="2DCCCF9C" w:rsidR="00264E1D" w:rsidRPr="00C00A1D" w:rsidRDefault="00F40E10" w:rsidP="00C00A1D">
      <w:pPr>
        <w:spacing w:after="0"/>
        <w:rPr>
          <w:rFonts w:asciiTheme="majorHAnsi" w:hAnsiTheme="majorHAnsi" w:cstheme="majorHAnsi"/>
          <w:iCs/>
          <w:color w:val="2F2F2F" w:themeColor="text1"/>
          <w:sz w:val="18"/>
        </w:rPr>
      </w:pPr>
      <w:r w:rsidRPr="00C00A1D">
        <w:rPr>
          <w:rFonts w:asciiTheme="majorHAnsi" w:hAnsiTheme="majorHAnsi" w:cstheme="majorHAnsi"/>
          <w:iCs/>
          <w:color w:val="2F2F2F" w:themeColor="text1"/>
          <w:sz w:val="18"/>
          <w:vertAlign w:val="superscript"/>
        </w:rPr>
        <w:t>*</w:t>
      </w:r>
      <w:r w:rsidRPr="00C00A1D">
        <w:rPr>
          <w:rFonts w:asciiTheme="majorHAnsi" w:hAnsiTheme="majorHAnsi" w:cstheme="majorHAnsi"/>
          <w:iCs/>
          <w:color w:val="2F2F2F" w:themeColor="text1"/>
          <w:sz w:val="18"/>
        </w:rPr>
        <w:t xml:space="preserve"> 50 States </w:t>
      </w:r>
      <w:r w:rsidR="00A36643">
        <w:rPr>
          <w:rFonts w:asciiTheme="majorHAnsi" w:hAnsiTheme="majorHAnsi" w:cstheme="majorHAnsi"/>
          <w:iCs/>
          <w:color w:val="2F2F2F" w:themeColor="text1"/>
          <w:sz w:val="18"/>
        </w:rPr>
        <w:t xml:space="preserve">and </w:t>
      </w:r>
      <w:r w:rsidRPr="00C00A1D">
        <w:rPr>
          <w:rFonts w:asciiTheme="majorHAnsi" w:hAnsiTheme="majorHAnsi" w:cstheme="majorHAnsi"/>
          <w:iCs/>
          <w:color w:val="2F2F2F" w:themeColor="text1"/>
          <w:sz w:val="18"/>
        </w:rPr>
        <w:t>District of Columbia</w:t>
      </w:r>
      <w:r w:rsidR="00A36643">
        <w:rPr>
          <w:rFonts w:asciiTheme="majorHAnsi" w:hAnsiTheme="majorHAnsi" w:cstheme="majorHAnsi"/>
          <w:iCs/>
          <w:color w:val="2F2F2F" w:themeColor="text1"/>
          <w:sz w:val="18"/>
        </w:rPr>
        <w:t xml:space="preserve">. </w:t>
      </w:r>
      <w:r w:rsidRPr="00C00A1D">
        <w:rPr>
          <w:rFonts w:asciiTheme="majorHAnsi" w:hAnsiTheme="majorHAnsi" w:cstheme="majorHAnsi"/>
          <w:iCs/>
          <w:color w:val="2F2F2F" w:themeColor="text1"/>
          <w:sz w:val="18"/>
        </w:rPr>
        <w:t xml:space="preserve"> </w:t>
      </w:r>
    </w:p>
    <w:p w14:paraId="418BBCE5" w14:textId="2545686B" w:rsidR="00E31422" w:rsidRPr="00C00A1D" w:rsidRDefault="00E31422" w:rsidP="00C00A1D">
      <w:pPr>
        <w:spacing w:after="0"/>
        <w:rPr>
          <w:rFonts w:asciiTheme="majorHAnsi" w:hAnsiTheme="majorHAnsi" w:cstheme="majorHAnsi"/>
          <w:iCs/>
          <w:color w:val="2F2F2F" w:themeColor="text1"/>
          <w:sz w:val="18"/>
        </w:rPr>
      </w:pPr>
      <w:r w:rsidRPr="00C00A1D">
        <w:rPr>
          <w:rFonts w:asciiTheme="majorHAnsi" w:hAnsiTheme="majorHAnsi" w:cstheme="majorHAnsi"/>
          <w:iCs/>
          <w:color w:val="2F2F2F" w:themeColor="text1"/>
          <w:sz w:val="18"/>
          <w:vertAlign w:val="superscript"/>
        </w:rPr>
        <w:t>**</w:t>
      </w:r>
      <w:r w:rsidR="0028290D" w:rsidRPr="00C00A1D">
        <w:rPr>
          <w:rFonts w:asciiTheme="majorHAnsi" w:hAnsiTheme="majorHAnsi" w:cstheme="majorHAnsi"/>
          <w:iCs/>
          <w:color w:val="2F2F2F" w:themeColor="text1"/>
          <w:sz w:val="18"/>
        </w:rPr>
        <w:t xml:space="preserve"> </w:t>
      </w:r>
      <w:r w:rsidR="00A36A7E" w:rsidRPr="00C00A1D">
        <w:rPr>
          <w:rFonts w:asciiTheme="majorHAnsi" w:hAnsiTheme="majorHAnsi" w:cstheme="majorHAnsi"/>
          <w:iCs/>
          <w:color w:val="2F2F2F" w:themeColor="text1"/>
          <w:sz w:val="18"/>
        </w:rPr>
        <w:t xml:space="preserve">50 percent of the </w:t>
      </w:r>
      <w:r w:rsidR="00664CD1">
        <w:rPr>
          <w:rFonts w:asciiTheme="majorHAnsi" w:hAnsiTheme="majorHAnsi" w:cstheme="majorHAnsi"/>
          <w:iCs/>
          <w:color w:val="2F2F2F" w:themeColor="text1"/>
          <w:sz w:val="18"/>
        </w:rPr>
        <w:t xml:space="preserve">total </w:t>
      </w:r>
      <w:r w:rsidR="00A36A7E" w:rsidRPr="00C00A1D">
        <w:rPr>
          <w:rFonts w:asciiTheme="majorHAnsi" w:hAnsiTheme="majorHAnsi" w:cstheme="majorHAnsi"/>
          <w:iCs/>
          <w:color w:val="2F2F2F" w:themeColor="text1"/>
          <w:sz w:val="18"/>
        </w:rPr>
        <w:t xml:space="preserve">sample </w:t>
      </w:r>
      <w:r w:rsidR="00664CD1">
        <w:rPr>
          <w:rFonts w:asciiTheme="majorHAnsi" w:hAnsiTheme="majorHAnsi" w:cstheme="majorHAnsi"/>
          <w:iCs/>
          <w:color w:val="2F2F2F" w:themeColor="text1"/>
          <w:sz w:val="18"/>
        </w:rPr>
        <w:t xml:space="preserve">of 800 centers </w:t>
      </w:r>
      <w:r w:rsidR="00A36A7E" w:rsidRPr="00C00A1D">
        <w:rPr>
          <w:rFonts w:asciiTheme="majorHAnsi" w:hAnsiTheme="majorHAnsi" w:cstheme="majorHAnsi"/>
          <w:iCs/>
          <w:color w:val="2F2F2F" w:themeColor="text1"/>
          <w:sz w:val="18"/>
        </w:rPr>
        <w:t xml:space="preserve">will be from </w:t>
      </w:r>
      <w:r w:rsidR="009A712A" w:rsidRPr="00C00A1D">
        <w:rPr>
          <w:rFonts w:asciiTheme="majorHAnsi" w:hAnsiTheme="majorHAnsi" w:cstheme="majorHAnsi"/>
          <w:iCs/>
          <w:color w:val="2F2F2F" w:themeColor="text1"/>
          <w:sz w:val="18"/>
        </w:rPr>
        <w:t>s</w:t>
      </w:r>
      <w:r w:rsidR="00A36A7E" w:rsidRPr="00C00A1D">
        <w:rPr>
          <w:rFonts w:asciiTheme="majorHAnsi" w:hAnsiTheme="majorHAnsi" w:cstheme="majorHAnsi"/>
          <w:iCs/>
          <w:color w:val="2F2F2F" w:themeColor="text1"/>
          <w:sz w:val="18"/>
        </w:rPr>
        <w:t>ponsored ADCC</w:t>
      </w:r>
      <w:r w:rsidR="000B7D33" w:rsidRPr="00C00A1D">
        <w:rPr>
          <w:rFonts w:asciiTheme="majorHAnsi" w:hAnsiTheme="majorHAnsi" w:cstheme="majorHAnsi"/>
          <w:iCs/>
          <w:color w:val="2F2F2F" w:themeColor="text1"/>
          <w:sz w:val="18"/>
        </w:rPr>
        <w:t>s</w:t>
      </w:r>
      <w:r w:rsidR="00A36A7E" w:rsidRPr="00C00A1D">
        <w:rPr>
          <w:rFonts w:asciiTheme="majorHAnsi" w:hAnsiTheme="majorHAnsi" w:cstheme="majorHAnsi"/>
          <w:iCs/>
          <w:color w:val="2F2F2F" w:themeColor="text1"/>
          <w:sz w:val="18"/>
        </w:rPr>
        <w:t>.</w:t>
      </w:r>
      <w:r w:rsidR="0028290D" w:rsidRPr="00C00A1D">
        <w:rPr>
          <w:rFonts w:asciiTheme="majorHAnsi" w:hAnsiTheme="majorHAnsi" w:cstheme="majorHAnsi"/>
          <w:iCs/>
          <w:color w:val="2F2F2F" w:themeColor="text1"/>
          <w:sz w:val="18"/>
        </w:rPr>
        <w:t xml:space="preserve"> </w:t>
      </w:r>
    </w:p>
    <w:p w14:paraId="7875EF86" w14:textId="72C3950E" w:rsidR="00F40E10" w:rsidRPr="00C00A1D" w:rsidRDefault="009C17A3" w:rsidP="00C00A1D">
      <w:pPr>
        <w:spacing w:after="0"/>
        <w:rPr>
          <w:rFonts w:asciiTheme="majorHAnsi" w:hAnsiTheme="majorHAnsi" w:cstheme="majorHAnsi"/>
          <w:iCs/>
          <w:color w:val="2F2F2F" w:themeColor="text1"/>
          <w:sz w:val="18"/>
        </w:rPr>
      </w:pPr>
      <w:r w:rsidRPr="00C00A1D">
        <w:rPr>
          <w:rFonts w:asciiTheme="majorHAnsi" w:hAnsiTheme="majorHAnsi" w:cstheme="majorHAnsi"/>
          <w:iCs/>
          <w:color w:val="2F2F2F" w:themeColor="text1"/>
          <w:sz w:val="18"/>
          <w:vertAlign w:val="superscript"/>
        </w:rPr>
        <w:t xml:space="preserve"># </w:t>
      </w:r>
      <w:r w:rsidRPr="00C00A1D">
        <w:rPr>
          <w:rFonts w:asciiTheme="majorHAnsi" w:hAnsiTheme="majorHAnsi" w:cstheme="majorHAnsi"/>
          <w:iCs/>
          <w:color w:val="2F2F2F" w:themeColor="text1"/>
          <w:sz w:val="18"/>
        </w:rPr>
        <w:t>For those participants without email addresses</w:t>
      </w:r>
      <w:r w:rsidR="00664CD1">
        <w:rPr>
          <w:rFonts w:asciiTheme="majorHAnsi" w:hAnsiTheme="majorHAnsi" w:cstheme="majorHAnsi"/>
          <w:iCs/>
          <w:color w:val="2F2F2F" w:themeColor="text1"/>
          <w:sz w:val="18"/>
        </w:rPr>
        <w:t xml:space="preserve"> (n=100)</w:t>
      </w:r>
      <w:r w:rsidRPr="00C00A1D">
        <w:rPr>
          <w:rFonts w:asciiTheme="majorHAnsi" w:hAnsiTheme="majorHAnsi" w:cstheme="majorHAnsi"/>
          <w:iCs/>
          <w:color w:val="2F2F2F" w:themeColor="text1"/>
          <w:sz w:val="18"/>
        </w:rPr>
        <w:t>, har</w:t>
      </w:r>
      <w:r w:rsidR="001C7D5B" w:rsidRPr="00C00A1D">
        <w:rPr>
          <w:rFonts w:asciiTheme="majorHAnsi" w:hAnsiTheme="majorHAnsi" w:cstheme="majorHAnsi"/>
          <w:iCs/>
          <w:color w:val="2F2F2F" w:themeColor="text1"/>
          <w:sz w:val="18"/>
        </w:rPr>
        <w:t>d</w:t>
      </w:r>
      <w:r w:rsidR="00D3078C" w:rsidRPr="00C00A1D">
        <w:rPr>
          <w:rFonts w:asciiTheme="majorHAnsi" w:hAnsiTheme="majorHAnsi" w:cstheme="majorHAnsi"/>
          <w:iCs/>
          <w:color w:val="2F2F2F" w:themeColor="text1"/>
          <w:sz w:val="18"/>
        </w:rPr>
        <w:t xml:space="preserve"> </w:t>
      </w:r>
      <w:r w:rsidR="001C7D5B" w:rsidRPr="00C00A1D">
        <w:rPr>
          <w:rFonts w:asciiTheme="majorHAnsi" w:hAnsiTheme="majorHAnsi" w:cstheme="majorHAnsi"/>
          <w:iCs/>
          <w:color w:val="2F2F2F" w:themeColor="text1"/>
          <w:sz w:val="18"/>
        </w:rPr>
        <w:t>copy invitation packets will be sent by postal mail.</w:t>
      </w:r>
      <w:r w:rsidR="00DB1FC0" w:rsidRPr="00C00A1D">
        <w:rPr>
          <w:rFonts w:asciiTheme="majorHAnsi" w:hAnsiTheme="majorHAnsi" w:cstheme="majorHAnsi"/>
          <w:iCs/>
          <w:color w:val="2F2F2F" w:themeColor="text1"/>
          <w:sz w:val="18"/>
        </w:rPr>
        <w:t xml:space="preserve"> </w:t>
      </w:r>
    </w:p>
    <w:p w14:paraId="50D8EEA9" w14:textId="75F2F0D1" w:rsidR="00B939F2" w:rsidRPr="000003CB" w:rsidRDefault="00B939F2" w:rsidP="00C00A1D">
      <w:pPr>
        <w:spacing w:after="0"/>
        <w:rPr>
          <w:rFonts w:asciiTheme="majorHAnsi" w:hAnsiTheme="majorHAnsi" w:cstheme="majorHAnsi"/>
          <w:iCs/>
          <w:color w:val="2F2F2F" w:themeColor="text1"/>
          <w:sz w:val="18"/>
          <w:szCs w:val="18"/>
        </w:rPr>
      </w:pPr>
      <w:r w:rsidRPr="000003CB">
        <w:rPr>
          <w:rFonts w:asciiTheme="majorHAnsi" w:hAnsiTheme="majorHAnsi" w:cstheme="majorHAnsi"/>
          <w:iCs/>
          <w:color w:val="2F2F2F" w:themeColor="text1"/>
          <w:sz w:val="18"/>
          <w:szCs w:val="18"/>
          <w:vertAlign w:val="superscript"/>
        </w:rPr>
        <w:t>##</w:t>
      </w:r>
      <w:r w:rsidR="00664CD1" w:rsidRPr="000003CB">
        <w:rPr>
          <w:rFonts w:asciiTheme="majorHAnsi" w:hAnsiTheme="majorHAnsi" w:cstheme="majorHAnsi"/>
          <w:iCs/>
          <w:color w:val="2F2F2F" w:themeColor="text1"/>
          <w:sz w:val="18"/>
          <w:szCs w:val="18"/>
        </w:rPr>
        <w:t xml:space="preserve"> </w:t>
      </w:r>
      <w:r w:rsidR="00383EF0" w:rsidRPr="000003CB">
        <w:rPr>
          <w:rFonts w:asciiTheme="majorHAnsi" w:hAnsiTheme="majorHAnsi" w:cstheme="majorHAnsi"/>
          <w:iCs/>
          <w:color w:val="2F2F2F" w:themeColor="text1"/>
          <w:sz w:val="18"/>
          <w:szCs w:val="18"/>
        </w:rPr>
        <w:t xml:space="preserve">Total unique # of participants: 51 State Agencies, 403 ADCC </w:t>
      </w:r>
      <w:r w:rsidR="00110E4E" w:rsidRPr="000003CB">
        <w:rPr>
          <w:rFonts w:asciiTheme="majorHAnsi" w:hAnsiTheme="majorHAnsi" w:cstheme="majorHAnsi"/>
          <w:iCs/>
          <w:color w:val="2F2F2F" w:themeColor="text1"/>
          <w:sz w:val="18"/>
          <w:szCs w:val="18"/>
        </w:rPr>
        <w:t>s</w:t>
      </w:r>
      <w:r w:rsidR="00383EF0" w:rsidRPr="000003CB">
        <w:rPr>
          <w:rFonts w:asciiTheme="majorHAnsi" w:hAnsiTheme="majorHAnsi" w:cstheme="majorHAnsi"/>
          <w:iCs/>
          <w:color w:val="2F2F2F" w:themeColor="text1"/>
          <w:sz w:val="18"/>
          <w:szCs w:val="18"/>
        </w:rPr>
        <w:t xml:space="preserve">ponsoring </w:t>
      </w:r>
      <w:r w:rsidR="000D3F6D" w:rsidRPr="000003CB">
        <w:rPr>
          <w:rFonts w:asciiTheme="majorHAnsi" w:hAnsiTheme="majorHAnsi" w:cstheme="majorHAnsi"/>
          <w:iCs/>
          <w:color w:val="2F2F2F" w:themeColor="text1"/>
          <w:sz w:val="18"/>
          <w:szCs w:val="18"/>
        </w:rPr>
        <w:t>o</w:t>
      </w:r>
      <w:r w:rsidR="00383EF0" w:rsidRPr="000003CB">
        <w:rPr>
          <w:rFonts w:asciiTheme="majorHAnsi" w:hAnsiTheme="majorHAnsi" w:cstheme="majorHAnsi"/>
          <w:iCs/>
          <w:color w:val="2F2F2F" w:themeColor="text1"/>
          <w:sz w:val="18"/>
          <w:szCs w:val="18"/>
        </w:rPr>
        <w:t>rganizations, and 806 ADCC program directors.</w:t>
      </w:r>
    </w:p>
    <w:p w14:paraId="5907FAAB" w14:textId="45A54FE0" w:rsidR="00C00A1D" w:rsidRPr="00A3434B" w:rsidRDefault="00AE643A" w:rsidP="00C14C35">
      <w:pPr>
        <w:rPr>
          <w:rFonts w:asciiTheme="majorHAnsi" w:hAnsiTheme="majorHAnsi"/>
          <w:color w:val="2F2F2F" w:themeColor="text1"/>
          <w:sz w:val="18"/>
        </w:rPr>
      </w:pPr>
      <w:r w:rsidRPr="000003CB">
        <w:rPr>
          <w:rFonts w:asciiTheme="majorHAnsi" w:hAnsiTheme="majorHAnsi" w:cstheme="majorHAnsi"/>
          <w:iCs/>
          <w:color w:val="2F2F2F" w:themeColor="text1"/>
          <w:sz w:val="18"/>
          <w:szCs w:val="18"/>
          <w:vertAlign w:val="superscript"/>
        </w:rPr>
        <w:t>###</w:t>
      </w:r>
      <w:r w:rsidR="000003CB" w:rsidRPr="000003CB">
        <w:rPr>
          <w:rFonts w:asciiTheme="majorHAnsi" w:hAnsiTheme="majorHAnsi" w:cstheme="majorHAnsi"/>
          <w:iCs/>
          <w:color w:val="2F2F2F" w:themeColor="text1"/>
          <w:sz w:val="18"/>
          <w:szCs w:val="18"/>
          <w:vertAlign w:val="superscript"/>
        </w:rPr>
        <w:t xml:space="preserve"> </w:t>
      </w:r>
      <w:r w:rsidR="000003CB" w:rsidRPr="000003CB">
        <w:rPr>
          <w:rFonts w:asciiTheme="majorHAnsi" w:hAnsiTheme="majorHAnsi" w:cstheme="majorHAnsi"/>
          <w:iCs/>
          <w:color w:val="2F2F2F" w:themeColor="text1"/>
          <w:sz w:val="18"/>
          <w:szCs w:val="18"/>
        </w:rPr>
        <w:t xml:space="preserve">All the respondents and non-respondents </w:t>
      </w:r>
      <w:r w:rsidR="00E73CC4">
        <w:rPr>
          <w:rFonts w:asciiTheme="majorHAnsi" w:hAnsiTheme="majorHAnsi" w:cstheme="majorHAnsi"/>
          <w:iCs/>
          <w:color w:val="2F2F2F" w:themeColor="text1"/>
          <w:sz w:val="18"/>
          <w:szCs w:val="18"/>
        </w:rPr>
        <w:t>are sent</w:t>
      </w:r>
      <w:r w:rsidR="000003CB" w:rsidRPr="000003CB">
        <w:rPr>
          <w:rFonts w:asciiTheme="majorHAnsi" w:hAnsiTheme="majorHAnsi" w:cstheme="majorHAnsi"/>
          <w:iCs/>
          <w:color w:val="2F2F2F" w:themeColor="text1"/>
          <w:sz w:val="18"/>
          <w:szCs w:val="18"/>
        </w:rPr>
        <w:t xml:space="preserve"> the FAQs (even for pretesting)</w:t>
      </w:r>
    </w:p>
    <w:p w14:paraId="7828ED82" w14:textId="1EA4EA57" w:rsidR="00436D17" w:rsidRDefault="000B1EC9" w:rsidP="00C14C35">
      <w:pPr>
        <w:rPr>
          <w:rFonts w:asciiTheme="majorHAnsi" w:hAnsiTheme="majorHAnsi" w:cstheme="majorHAnsi"/>
          <w:b/>
        </w:rPr>
      </w:pPr>
      <w:r w:rsidRPr="00851D24">
        <w:rPr>
          <w:rFonts w:asciiTheme="majorHAnsi" w:hAnsiTheme="majorHAnsi" w:cstheme="majorHAnsi"/>
          <w:iCs/>
          <w:color w:val="2F2F2F" w:themeColor="text1"/>
        </w:rPr>
        <w:t xml:space="preserve">It is estimated that </w:t>
      </w:r>
      <w:r w:rsidR="00FB6A72" w:rsidRPr="00851D24">
        <w:rPr>
          <w:rFonts w:asciiTheme="majorHAnsi" w:hAnsiTheme="majorHAnsi" w:cstheme="majorHAnsi"/>
          <w:iCs/>
          <w:color w:val="2F2F2F" w:themeColor="text1"/>
        </w:rPr>
        <w:t>80</w:t>
      </w:r>
      <w:r w:rsidR="00ED1A74">
        <w:rPr>
          <w:rFonts w:asciiTheme="majorHAnsi" w:hAnsiTheme="majorHAnsi" w:cstheme="majorHAnsi"/>
          <w:iCs/>
          <w:color w:val="2F2F2F" w:themeColor="text1"/>
        </w:rPr>
        <w:t xml:space="preserve"> percent</w:t>
      </w:r>
      <w:r w:rsidRPr="00851D24">
        <w:rPr>
          <w:rFonts w:asciiTheme="majorHAnsi" w:hAnsiTheme="majorHAnsi" w:cstheme="majorHAnsi"/>
          <w:iCs/>
          <w:color w:val="2F2F2F" w:themeColor="text1"/>
        </w:rPr>
        <w:t xml:space="preserve"> of </w:t>
      </w:r>
      <w:r w:rsidR="00FB6A72" w:rsidRPr="00851D24">
        <w:rPr>
          <w:rFonts w:asciiTheme="majorHAnsi" w:hAnsiTheme="majorHAnsi" w:cstheme="majorHAnsi"/>
          <w:iCs/>
          <w:color w:val="2F2F2F" w:themeColor="text1"/>
        </w:rPr>
        <w:t xml:space="preserve">ADCC </w:t>
      </w:r>
      <w:r w:rsidR="00A56A8B" w:rsidRPr="00851D24">
        <w:rPr>
          <w:rFonts w:asciiTheme="majorHAnsi" w:hAnsiTheme="majorHAnsi" w:cstheme="majorHAnsi"/>
          <w:iCs/>
          <w:color w:val="2F2F2F" w:themeColor="text1"/>
        </w:rPr>
        <w:t>p</w:t>
      </w:r>
      <w:r w:rsidR="00FB6A72" w:rsidRPr="00851D24">
        <w:rPr>
          <w:rFonts w:asciiTheme="majorHAnsi" w:hAnsiTheme="majorHAnsi" w:cstheme="majorHAnsi"/>
          <w:iCs/>
          <w:color w:val="2F2F2F" w:themeColor="text1"/>
        </w:rPr>
        <w:t xml:space="preserve">rogram </w:t>
      </w:r>
      <w:r w:rsidR="00DE5693">
        <w:rPr>
          <w:rFonts w:asciiTheme="majorHAnsi" w:hAnsiTheme="majorHAnsi" w:cstheme="majorHAnsi"/>
          <w:iCs/>
          <w:color w:val="2F2F2F" w:themeColor="text1"/>
        </w:rPr>
        <w:t>directors</w:t>
      </w:r>
      <w:r w:rsidR="00DE5693" w:rsidRPr="00851D24">
        <w:rPr>
          <w:rFonts w:asciiTheme="majorHAnsi" w:hAnsiTheme="majorHAnsi" w:cstheme="majorHAnsi"/>
          <w:iCs/>
          <w:color w:val="2F2F2F" w:themeColor="text1"/>
        </w:rPr>
        <w:t xml:space="preserve"> </w:t>
      </w:r>
      <w:r w:rsidRPr="00851D24">
        <w:rPr>
          <w:rFonts w:asciiTheme="majorHAnsi" w:hAnsiTheme="majorHAnsi" w:cstheme="majorHAnsi"/>
          <w:iCs/>
          <w:color w:val="2F2F2F" w:themeColor="text1"/>
        </w:rPr>
        <w:t>contacted will complete a survey</w:t>
      </w:r>
      <w:r w:rsidR="00143080">
        <w:rPr>
          <w:rFonts w:asciiTheme="majorHAnsi" w:hAnsiTheme="majorHAnsi" w:cstheme="majorHAnsi"/>
          <w:iCs/>
          <w:color w:val="2F2F2F" w:themeColor="text1"/>
        </w:rPr>
        <w:t>, including</w:t>
      </w:r>
      <w:r w:rsidR="00C14C35" w:rsidRPr="00851D24">
        <w:rPr>
          <w:rFonts w:asciiTheme="majorHAnsi" w:hAnsiTheme="majorHAnsi" w:cstheme="majorHAnsi"/>
        </w:rPr>
        <w:t xml:space="preserve"> non-responders and those choosing not to participate.</w:t>
      </w:r>
    </w:p>
    <w:p w14:paraId="17E462CB" w14:textId="77777777" w:rsidR="00003C5E" w:rsidRPr="00092D8F" w:rsidRDefault="00F40B0E" w:rsidP="005C6BBA">
      <w:pPr>
        <w:pStyle w:val="ListParagraph"/>
        <w:numPr>
          <w:ilvl w:val="0"/>
          <w:numId w:val="17"/>
        </w:numPr>
        <w:rPr>
          <w:b/>
        </w:rPr>
      </w:pPr>
      <w:r w:rsidRPr="00092D8F">
        <w:rPr>
          <w:b/>
        </w:rPr>
        <w:t>Time Needed Per Response:</w:t>
      </w:r>
    </w:p>
    <w:p w14:paraId="2C99048E" w14:textId="7A7E4196" w:rsidR="00003C5E" w:rsidRDefault="00F40B0E" w:rsidP="00BB29A6">
      <w:pPr>
        <w:rPr>
          <w:rFonts w:asciiTheme="majorHAnsi" w:hAnsiTheme="majorHAnsi" w:cstheme="majorHAnsi"/>
          <w:sz w:val="18"/>
        </w:rPr>
      </w:pPr>
      <w:r w:rsidRPr="00BB29A6">
        <w:rPr>
          <w:rFonts w:asciiTheme="majorHAnsi" w:hAnsiTheme="majorHAnsi" w:cstheme="majorHAnsi"/>
        </w:rPr>
        <w:t xml:space="preserve">The estimated time needed for the </w:t>
      </w:r>
      <w:r w:rsidR="004851B9" w:rsidRPr="00BB29A6">
        <w:rPr>
          <w:rFonts w:asciiTheme="majorHAnsi" w:hAnsiTheme="majorHAnsi" w:cstheme="majorHAnsi"/>
        </w:rPr>
        <w:t>pretest, survey</w:t>
      </w:r>
      <w:r w:rsidR="00BB29A6">
        <w:rPr>
          <w:rFonts w:asciiTheme="majorHAnsi" w:hAnsiTheme="majorHAnsi" w:cstheme="majorHAnsi"/>
        </w:rPr>
        <w:t>,</w:t>
      </w:r>
      <w:r w:rsidRPr="00BB29A6">
        <w:rPr>
          <w:rFonts w:asciiTheme="majorHAnsi" w:hAnsiTheme="majorHAnsi" w:cstheme="majorHAnsi"/>
        </w:rPr>
        <w:t xml:space="preserve"> and </w:t>
      </w:r>
      <w:r w:rsidR="004851B9" w:rsidRPr="00BB29A6">
        <w:rPr>
          <w:rFonts w:asciiTheme="majorHAnsi" w:hAnsiTheme="majorHAnsi" w:cstheme="majorHAnsi"/>
        </w:rPr>
        <w:t>email</w:t>
      </w:r>
      <w:r w:rsidR="00F610EF">
        <w:rPr>
          <w:rFonts w:asciiTheme="majorHAnsi" w:hAnsiTheme="majorHAnsi" w:cstheme="majorHAnsi"/>
        </w:rPr>
        <w:t xml:space="preserve"> notification/</w:t>
      </w:r>
      <w:r w:rsidR="004851B9" w:rsidRPr="00BB29A6">
        <w:rPr>
          <w:rFonts w:asciiTheme="majorHAnsi" w:hAnsiTheme="majorHAnsi" w:cstheme="majorHAnsi"/>
        </w:rPr>
        <w:t>recruitment and follow-up</w:t>
      </w:r>
      <w:r w:rsidR="008654E2">
        <w:rPr>
          <w:rFonts w:asciiTheme="majorHAnsi" w:hAnsiTheme="majorHAnsi" w:cstheme="majorHAnsi"/>
        </w:rPr>
        <w:t xml:space="preserve"> reminders</w:t>
      </w:r>
      <w:r w:rsidRPr="00BB29A6">
        <w:rPr>
          <w:rFonts w:asciiTheme="majorHAnsi" w:hAnsiTheme="majorHAnsi" w:cstheme="majorHAnsi"/>
        </w:rPr>
        <w:t xml:space="preserve"> are shown in </w:t>
      </w:r>
      <w:r w:rsidR="006C205F" w:rsidRPr="00BB29A6">
        <w:rPr>
          <w:rFonts w:asciiTheme="majorHAnsi" w:hAnsiTheme="majorHAnsi" w:cstheme="majorHAnsi"/>
        </w:rPr>
        <w:t>Exhibit 2</w:t>
      </w:r>
      <w:r w:rsidRPr="00BB29A6">
        <w:rPr>
          <w:rFonts w:asciiTheme="majorHAnsi" w:hAnsiTheme="majorHAnsi" w:cstheme="majorHAnsi"/>
        </w:rPr>
        <w:t xml:space="preserve">. The estimated times for the </w:t>
      </w:r>
      <w:r w:rsidR="004851B9" w:rsidRPr="00BB29A6">
        <w:rPr>
          <w:rFonts w:asciiTheme="majorHAnsi" w:hAnsiTheme="majorHAnsi" w:cstheme="majorHAnsi"/>
        </w:rPr>
        <w:t>email and follow-up</w:t>
      </w:r>
      <w:r w:rsidRPr="00BB29A6">
        <w:rPr>
          <w:rFonts w:asciiTheme="majorHAnsi" w:hAnsiTheme="majorHAnsi" w:cstheme="majorHAnsi"/>
        </w:rPr>
        <w:t xml:space="preserve"> reminders are the same for all </w:t>
      </w:r>
      <w:r w:rsidR="004851B9" w:rsidRPr="00BB29A6">
        <w:rPr>
          <w:rFonts w:asciiTheme="majorHAnsi" w:hAnsiTheme="majorHAnsi" w:cstheme="majorHAnsi"/>
        </w:rPr>
        <w:t>respondent type</w:t>
      </w:r>
      <w:r w:rsidR="00F62029">
        <w:rPr>
          <w:rFonts w:asciiTheme="majorHAnsi" w:hAnsiTheme="majorHAnsi" w:cstheme="majorHAnsi"/>
        </w:rPr>
        <w:t>s</w:t>
      </w:r>
      <w:r w:rsidRPr="00BB29A6">
        <w:rPr>
          <w:rFonts w:asciiTheme="majorHAnsi" w:hAnsiTheme="majorHAnsi" w:cstheme="majorHAnsi"/>
        </w:rPr>
        <w:t xml:space="preserve">. </w:t>
      </w:r>
    </w:p>
    <w:p w14:paraId="63E5C8EA" w14:textId="0F5436A4" w:rsidR="005C6BBA" w:rsidRDefault="005C6BBA" w:rsidP="005C6BBA">
      <w:pPr>
        <w:pStyle w:val="Caption"/>
      </w:pPr>
      <w:r>
        <w:t xml:space="preserve">Exhibit </w:t>
      </w:r>
      <w:r w:rsidR="000E4F5F">
        <w:rPr>
          <w:noProof/>
        </w:rPr>
        <w:fldChar w:fldCharType="begin"/>
      </w:r>
      <w:r w:rsidR="000E4F5F">
        <w:rPr>
          <w:noProof/>
        </w:rPr>
        <w:instrText xml:space="preserve"> SEQ Exhibit \* ARABIC </w:instrText>
      </w:r>
      <w:r w:rsidR="000E4F5F">
        <w:rPr>
          <w:noProof/>
        </w:rPr>
        <w:fldChar w:fldCharType="separate"/>
      </w:r>
      <w:r w:rsidR="001B22B3">
        <w:rPr>
          <w:noProof/>
        </w:rPr>
        <w:t>2</w:t>
      </w:r>
      <w:r w:rsidR="000E4F5F">
        <w:rPr>
          <w:noProof/>
        </w:rPr>
        <w:fldChar w:fldCharType="end"/>
      </w:r>
      <w:r>
        <w:t xml:space="preserve"> | </w:t>
      </w:r>
      <w:r w:rsidRPr="00E76CD6">
        <w:t>Time Needed for the Pretest, Survey, Email Notification and Reminders for All Respondents</w:t>
      </w:r>
    </w:p>
    <w:tbl>
      <w:tblPr>
        <w:tblStyle w:val="GridTable4Accent1"/>
        <w:tblW w:w="4797" w:type="pct"/>
        <w:tblInd w:w="-10" w:type="dxa"/>
        <w:tblBorders>
          <w:top w:val="none" w:sz="0" w:space="0" w:color="auto"/>
          <w:left w:val="none" w:sz="0" w:space="0" w:color="auto"/>
          <w:bottom w:val="none" w:sz="0" w:space="0" w:color="auto"/>
          <w:right w:val="none" w:sz="0" w:space="0" w:color="auto"/>
          <w:insideH w:val="single" w:sz="4" w:space="0" w:color="009CD3" w:themeColor="accent1"/>
          <w:insideV w:val="none" w:sz="0" w:space="0" w:color="auto"/>
        </w:tblBorders>
        <w:tblLook w:val="06A0" w:firstRow="1" w:lastRow="0" w:firstColumn="1" w:lastColumn="0" w:noHBand="1" w:noVBand="1"/>
      </w:tblPr>
      <w:tblGrid>
        <w:gridCol w:w="5536"/>
        <w:gridCol w:w="1885"/>
        <w:gridCol w:w="1766"/>
      </w:tblGrid>
      <w:tr w:rsidR="00A50CE2" w:rsidRPr="00F21DF7" w14:paraId="2B515702" w14:textId="77777777" w:rsidTr="009400D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12" w:type="pct"/>
            <w:vAlign w:val="center"/>
            <w:hideMark/>
          </w:tcPr>
          <w:p w14:paraId="163E80ED" w14:textId="2640E854" w:rsidR="00F40B0E" w:rsidRPr="006E01DF" w:rsidRDefault="008871E5" w:rsidP="00F21DF7">
            <w:pPr>
              <w:rPr>
                <w:rFonts w:cstheme="minorHAnsi"/>
              </w:rPr>
            </w:pPr>
            <w:r w:rsidRPr="006E01DF">
              <w:rPr>
                <w:rFonts w:cstheme="minorHAnsi"/>
              </w:rPr>
              <w:t xml:space="preserve">Research </w:t>
            </w:r>
            <w:r w:rsidR="00F40B0E" w:rsidRPr="006E01DF">
              <w:rPr>
                <w:rFonts w:cstheme="minorHAnsi"/>
              </w:rPr>
              <w:t xml:space="preserve">Activity </w:t>
            </w:r>
          </w:p>
        </w:tc>
        <w:tc>
          <w:tcPr>
            <w:tcW w:w="1026" w:type="pct"/>
            <w:vAlign w:val="center"/>
            <w:hideMark/>
          </w:tcPr>
          <w:p w14:paraId="76E4BCAA" w14:textId="77777777" w:rsidR="00F40B0E" w:rsidRPr="006E01DF" w:rsidRDefault="00F40B0E" w:rsidP="00F21DF7">
            <w:pPr>
              <w:cnfStyle w:val="100000000000" w:firstRow="1" w:lastRow="0" w:firstColumn="0" w:lastColumn="0" w:oddVBand="0" w:evenVBand="0" w:oddHBand="0" w:evenHBand="0" w:firstRowFirstColumn="0" w:firstRowLastColumn="0" w:lastRowFirstColumn="0" w:lastRowLastColumn="0"/>
              <w:rPr>
                <w:rFonts w:cstheme="minorHAnsi"/>
              </w:rPr>
            </w:pPr>
            <w:r w:rsidRPr="006E01DF">
              <w:rPr>
                <w:rFonts w:cstheme="minorHAnsi"/>
              </w:rPr>
              <w:t xml:space="preserve">Time (minutes) </w:t>
            </w:r>
          </w:p>
        </w:tc>
        <w:tc>
          <w:tcPr>
            <w:tcW w:w="961" w:type="pct"/>
            <w:vAlign w:val="center"/>
            <w:hideMark/>
          </w:tcPr>
          <w:p w14:paraId="4026CB48" w14:textId="77777777" w:rsidR="00F40B0E" w:rsidRPr="006E01DF" w:rsidRDefault="00F40B0E" w:rsidP="00F21DF7">
            <w:pPr>
              <w:cnfStyle w:val="100000000000" w:firstRow="1" w:lastRow="0" w:firstColumn="0" w:lastColumn="0" w:oddVBand="0" w:evenVBand="0" w:oddHBand="0" w:evenHBand="0" w:firstRowFirstColumn="0" w:firstRowLastColumn="0" w:lastRowFirstColumn="0" w:lastRowLastColumn="0"/>
              <w:rPr>
                <w:rFonts w:cstheme="minorHAnsi"/>
              </w:rPr>
            </w:pPr>
            <w:r w:rsidRPr="006E01DF">
              <w:rPr>
                <w:rFonts w:cstheme="minorHAnsi"/>
              </w:rPr>
              <w:t>Time (hours)</w:t>
            </w:r>
          </w:p>
        </w:tc>
      </w:tr>
      <w:tr w:rsidR="006828E6" w:rsidRPr="00F21DF7" w14:paraId="5F741ED7"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hideMark/>
          </w:tcPr>
          <w:p w14:paraId="6A83B700" w14:textId="335BBE63" w:rsidR="008871E5" w:rsidRPr="00E32C67" w:rsidRDefault="008871E5" w:rsidP="008871E5">
            <w:pPr>
              <w:rPr>
                <w:b w:val="0"/>
                <w:sz w:val="20"/>
              </w:rPr>
            </w:pPr>
            <w:r w:rsidRPr="00E32C67">
              <w:rPr>
                <w:b w:val="0"/>
                <w:sz w:val="20"/>
              </w:rPr>
              <w:t xml:space="preserve">Email </w:t>
            </w:r>
            <w:r w:rsidR="00FA2D77" w:rsidRPr="00E32C67">
              <w:rPr>
                <w:b w:val="0"/>
                <w:sz w:val="20"/>
                <w:szCs w:val="20"/>
              </w:rPr>
              <w:t>n</w:t>
            </w:r>
            <w:r w:rsidRPr="00E32C67">
              <w:rPr>
                <w:b w:val="0"/>
                <w:sz w:val="20"/>
                <w:szCs w:val="20"/>
              </w:rPr>
              <w:t>otification</w:t>
            </w:r>
            <w:r w:rsidRPr="00E32C67">
              <w:rPr>
                <w:b w:val="0"/>
                <w:sz w:val="20"/>
              </w:rPr>
              <w:t xml:space="preserve"> from Regional Offices to CACFP State Agencies </w:t>
            </w:r>
          </w:p>
        </w:tc>
        <w:tc>
          <w:tcPr>
            <w:tcW w:w="1026" w:type="pct"/>
            <w:vAlign w:val="center"/>
          </w:tcPr>
          <w:p w14:paraId="5A105B95" w14:textId="3217DD10" w:rsidR="008871E5" w:rsidRPr="00A3434B" w:rsidRDefault="007A39DA" w:rsidP="00CE3CC9">
            <w:pPr>
              <w:jc w:val="center"/>
              <w:cnfStyle w:val="000000000000" w:firstRow="0" w:lastRow="0" w:firstColumn="0" w:lastColumn="0" w:oddVBand="0" w:evenVBand="0" w:oddHBand="0" w:evenHBand="0" w:firstRowFirstColumn="0" w:firstRowLastColumn="0" w:lastRowFirstColumn="0" w:lastRowLastColumn="0"/>
              <w:rPr>
                <w:sz w:val="20"/>
              </w:rPr>
            </w:pPr>
            <w:r w:rsidRPr="00B24D21">
              <w:rPr>
                <w:rFonts w:cstheme="minorHAnsi"/>
                <w:sz w:val="20"/>
                <w:szCs w:val="20"/>
              </w:rPr>
              <w:t>8</w:t>
            </w:r>
          </w:p>
        </w:tc>
        <w:tc>
          <w:tcPr>
            <w:tcW w:w="961" w:type="pct"/>
            <w:vAlign w:val="center"/>
          </w:tcPr>
          <w:p w14:paraId="40964223" w14:textId="281B1F07" w:rsidR="008871E5" w:rsidRPr="00A3434B" w:rsidRDefault="008871E5" w:rsidP="00CE3CC9">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0.</w:t>
            </w:r>
            <w:r w:rsidR="00A742DE" w:rsidRPr="00B24D21">
              <w:rPr>
                <w:rFonts w:cstheme="minorHAnsi"/>
                <w:sz w:val="20"/>
                <w:szCs w:val="20"/>
              </w:rPr>
              <w:t>13</w:t>
            </w:r>
          </w:p>
        </w:tc>
      </w:tr>
      <w:tr w:rsidR="006828E6" w:rsidRPr="00F21DF7" w14:paraId="10C05F8A"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tcPr>
          <w:p w14:paraId="1B12DDC9" w14:textId="0C0D9AEF" w:rsidR="008871E5" w:rsidRPr="00E32C67" w:rsidRDefault="008871E5" w:rsidP="008871E5">
            <w:pPr>
              <w:rPr>
                <w:b w:val="0"/>
                <w:sz w:val="20"/>
              </w:rPr>
            </w:pPr>
            <w:r w:rsidRPr="00E32C67">
              <w:rPr>
                <w:b w:val="0"/>
                <w:sz w:val="20"/>
              </w:rPr>
              <w:t xml:space="preserve">Email </w:t>
            </w:r>
            <w:r w:rsidR="00FA2D77" w:rsidRPr="00E32C67">
              <w:rPr>
                <w:b w:val="0"/>
                <w:sz w:val="20"/>
                <w:szCs w:val="20"/>
              </w:rPr>
              <w:t>n</w:t>
            </w:r>
            <w:r w:rsidRPr="00E32C67">
              <w:rPr>
                <w:b w:val="0"/>
                <w:sz w:val="20"/>
                <w:szCs w:val="20"/>
              </w:rPr>
              <w:t>otification</w:t>
            </w:r>
            <w:r w:rsidRPr="00E32C67">
              <w:rPr>
                <w:b w:val="0"/>
                <w:sz w:val="20"/>
              </w:rPr>
              <w:t xml:space="preserve"> to ADCC Sponsoring Organization Point of Contact </w:t>
            </w:r>
          </w:p>
        </w:tc>
        <w:tc>
          <w:tcPr>
            <w:tcW w:w="1026" w:type="pct"/>
            <w:vAlign w:val="center"/>
          </w:tcPr>
          <w:p w14:paraId="3DD330C6" w14:textId="2F6938DD" w:rsidR="008871E5" w:rsidRPr="00A3434B" w:rsidRDefault="007A39DA" w:rsidP="00E27FF5">
            <w:pPr>
              <w:jc w:val="center"/>
              <w:cnfStyle w:val="000000000000" w:firstRow="0" w:lastRow="0" w:firstColumn="0" w:lastColumn="0" w:oddVBand="0" w:evenVBand="0" w:oddHBand="0" w:evenHBand="0" w:firstRowFirstColumn="0" w:firstRowLastColumn="0" w:lastRowFirstColumn="0" w:lastRowLastColumn="0"/>
              <w:rPr>
                <w:sz w:val="20"/>
              </w:rPr>
            </w:pPr>
            <w:r w:rsidRPr="00B24D21">
              <w:rPr>
                <w:rFonts w:cstheme="minorHAnsi"/>
                <w:sz w:val="20"/>
                <w:szCs w:val="20"/>
              </w:rPr>
              <w:t>8</w:t>
            </w:r>
          </w:p>
        </w:tc>
        <w:tc>
          <w:tcPr>
            <w:tcW w:w="961" w:type="pct"/>
            <w:vAlign w:val="center"/>
          </w:tcPr>
          <w:p w14:paraId="6A030414" w14:textId="7D6D1F6C" w:rsidR="008871E5" w:rsidRPr="00A3434B" w:rsidRDefault="008871E5" w:rsidP="00E27FF5">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0.</w:t>
            </w:r>
            <w:r w:rsidR="00A742DE" w:rsidRPr="00B24D21">
              <w:rPr>
                <w:rFonts w:cstheme="minorHAnsi"/>
                <w:sz w:val="20"/>
                <w:szCs w:val="20"/>
              </w:rPr>
              <w:t>13</w:t>
            </w:r>
          </w:p>
        </w:tc>
      </w:tr>
      <w:tr w:rsidR="006828E6" w:rsidRPr="00F21DF7" w14:paraId="69588F24"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hideMark/>
          </w:tcPr>
          <w:p w14:paraId="04D00E0D" w14:textId="017295AA" w:rsidR="008871E5" w:rsidRPr="00E32C67" w:rsidRDefault="003D3616" w:rsidP="008871E5">
            <w:pPr>
              <w:rPr>
                <w:b w:val="0"/>
                <w:sz w:val="20"/>
              </w:rPr>
            </w:pPr>
            <w:r w:rsidRPr="00E32C67">
              <w:rPr>
                <w:b w:val="0"/>
                <w:sz w:val="20"/>
                <w:szCs w:val="20"/>
              </w:rPr>
              <w:t xml:space="preserve">Pretest - </w:t>
            </w:r>
            <w:r w:rsidR="00FA2D77" w:rsidRPr="00E32C67">
              <w:rPr>
                <w:b w:val="0"/>
                <w:sz w:val="20"/>
                <w:szCs w:val="20"/>
              </w:rPr>
              <w:t>e</w:t>
            </w:r>
            <w:r w:rsidR="008871E5" w:rsidRPr="00E32C67">
              <w:rPr>
                <w:b w:val="0"/>
                <w:sz w:val="20"/>
                <w:szCs w:val="20"/>
              </w:rPr>
              <w:t xml:space="preserve">mail </w:t>
            </w:r>
            <w:r w:rsidR="00FA2D77" w:rsidRPr="00E32C67">
              <w:rPr>
                <w:b w:val="0"/>
                <w:sz w:val="20"/>
                <w:szCs w:val="20"/>
              </w:rPr>
              <w:t>n</w:t>
            </w:r>
            <w:r w:rsidR="008871E5" w:rsidRPr="00E32C67">
              <w:rPr>
                <w:b w:val="0"/>
                <w:sz w:val="20"/>
                <w:szCs w:val="20"/>
              </w:rPr>
              <w:t>otification</w:t>
            </w:r>
            <w:r w:rsidR="008871E5" w:rsidRPr="00E32C67">
              <w:rPr>
                <w:b w:val="0"/>
                <w:sz w:val="20"/>
              </w:rPr>
              <w:t xml:space="preserve"> to ADCC Sponsoring Organization Point of Contact for </w:t>
            </w:r>
            <w:r w:rsidR="00230A01" w:rsidRPr="00E32C67">
              <w:rPr>
                <w:b w:val="0"/>
                <w:sz w:val="20"/>
              </w:rPr>
              <w:t>pr</w:t>
            </w:r>
            <w:r w:rsidR="008871E5" w:rsidRPr="00E32C67">
              <w:rPr>
                <w:b w:val="0"/>
                <w:sz w:val="20"/>
              </w:rPr>
              <w:t xml:space="preserve">etest </w:t>
            </w:r>
            <w:r w:rsidR="00230A01" w:rsidRPr="00E32C67">
              <w:rPr>
                <w:b w:val="0"/>
                <w:sz w:val="20"/>
              </w:rPr>
              <w:t>r</w:t>
            </w:r>
            <w:r w:rsidR="008871E5" w:rsidRPr="00E32C67">
              <w:rPr>
                <w:b w:val="0"/>
                <w:sz w:val="20"/>
              </w:rPr>
              <w:t>ecruitment</w:t>
            </w:r>
          </w:p>
        </w:tc>
        <w:tc>
          <w:tcPr>
            <w:tcW w:w="1026" w:type="pct"/>
            <w:vAlign w:val="center"/>
            <w:hideMark/>
          </w:tcPr>
          <w:p w14:paraId="3CB7CA6F" w14:textId="5396B159" w:rsidR="008871E5" w:rsidRPr="00A3434B" w:rsidRDefault="00876984" w:rsidP="00E27FF5">
            <w:pPr>
              <w:jc w:val="center"/>
              <w:cnfStyle w:val="000000000000" w:firstRow="0" w:lastRow="0" w:firstColumn="0" w:lastColumn="0" w:oddVBand="0" w:evenVBand="0" w:oddHBand="0" w:evenHBand="0" w:firstRowFirstColumn="0" w:firstRowLastColumn="0" w:lastRowFirstColumn="0" w:lastRowLastColumn="0"/>
              <w:rPr>
                <w:sz w:val="20"/>
              </w:rPr>
            </w:pPr>
            <w:r w:rsidRPr="00B24D21">
              <w:rPr>
                <w:rFonts w:cstheme="minorHAnsi"/>
                <w:sz w:val="20"/>
                <w:szCs w:val="20"/>
              </w:rPr>
              <w:t>8</w:t>
            </w:r>
          </w:p>
        </w:tc>
        <w:tc>
          <w:tcPr>
            <w:tcW w:w="961" w:type="pct"/>
            <w:vAlign w:val="center"/>
            <w:hideMark/>
          </w:tcPr>
          <w:p w14:paraId="71DDE9A0" w14:textId="0BD6006A" w:rsidR="008871E5" w:rsidRPr="00A3434B" w:rsidRDefault="008871E5" w:rsidP="00E27FF5">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0.</w:t>
            </w:r>
            <w:r w:rsidR="00876984" w:rsidRPr="00B24D21">
              <w:rPr>
                <w:rFonts w:cstheme="minorHAnsi"/>
                <w:sz w:val="20"/>
                <w:szCs w:val="20"/>
              </w:rPr>
              <w:t>13</w:t>
            </w:r>
          </w:p>
        </w:tc>
      </w:tr>
      <w:tr w:rsidR="006828E6" w:rsidRPr="00F21DF7" w14:paraId="2B3D91DF"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tcPr>
          <w:p w14:paraId="16A48766" w14:textId="743C166C" w:rsidR="008871E5" w:rsidRPr="00E32C67" w:rsidRDefault="008871E5" w:rsidP="008871E5">
            <w:pPr>
              <w:rPr>
                <w:b w:val="0"/>
                <w:sz w:val="20"/>
              </w:rPr>
            </w:pPr>
            <w:r w:rsidRPr="00E32C67">
              <w:rPr>
                <w:b w:val="0"/>
                <w:sz w:val="20"/>
              </w:rPr>
              <w:t xml:space="preserve">Pretest - </w:t>
            </w:r>
            <w:r w:rsidR="00230A01" w:rsidRPr="00E32C67">
              <w:rPr>
                <w:b w:val="0"/>
                <w:sz w:val="20"/>
              </w:rPr>
              <w:t>r</w:t>
            </w:r>
            <w:r w:rsidRPr="00E32C67">
              <w:rPr>
                <w:b w:val="0"/>
                <w:sz w:val="20"/>
              </w:rPr>
              <w:t xml:space="preserve">ecruitment email to ADCC Program </w:t>
            </w:r>
            <w:r w:rsidR="00A82570" w:rsidRPr="00E32C67">
              <w:rPr>
                <w:b w:val="0"/>
                <w:sz w:val="20"/>
              </w:rPr>
              <w:t>Operators</w:t>
            </w:r>
            <w:r w:rsidR="00C67BD0" w:rsidRPr="00E32C67">
              <w:rPr>
                <w:b w:val="0"/>
                <w:sz w:val="20"/>
                <w:vertAlign w:val="superscript"/>
              </w:rPr>
              <w:t>*</w:t>
            </w:r>
            <w:r w:rsidRPr="00E32C67">
              <w:rPr>
                <w:b w:val="0"/>
                <w:sz w:val="20"/>
              </w:rPr>
              <w:t xml:space="preserve"> </w:t>
            </w:r>
          </w:p>
        </w:tc>
        <w:tc>
          <w:tcPr>
            <w:tcW w:w="1026" w:type="pct"/>
            <w:vAlign w:val="center"/>
          </w:tcPr>
          <w:p w14:paraId="40EB0296" w14:textId="624BE8BD" w:rsidR="008871E5" w:rsidRPr="00A3434B" w:rsidRDefault="008871E5" w:rsidP="00E27FF5">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3</w:t>
            </w:r>
          </w:p>
        </w:tc>
        <w:tc>
          <w:tcPr>
            <w:tcW w:w="961" w:type="pct"/>
            <w:vAlign w:val="center"/>
          </w:tcPr>
          <w:p w14:paraId="12CF069E" w14:textId="152C81D7" w:rsidR="008871E5" w:rsidRPr="00A3434B" w:rsidRDefault="008871E5" w:rsidP="00E27FF5">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0.05</w:t>
            </w:r>
          </w:p>
        </w:tc>
      </w:tr>
      <w:tr w:rsidR="006828E6" w:rsidRPr="00F21DF7" w14:paraId="79743246"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tcPr>
          <w:p w14:paraId="07369A48" w14:textId="3A11D5DA" w:rsidR="008871E5" w:rsidRPr="00E32C67" w:rsidRDefault="008871E5" w:rsidP="008871E5">
            <w:pPr>
              <w:rPr>
                <w:b w:val="0"/>
                <w:sz w:val="20"/>
              </w:rPr>
            </w:pPr>
            <w:r w:rsidRPr="00E32C67">
              <w:rPr>
                <w:b w:val="0"/>
                <w:sz w:val="20"/>
              </w:rPr>
              <w:t xml:space="preserve">Pretest - </w:t>
            </w:r>
            <w:r w:rsidR="00230A01" w:rsidRPr="00E32C67">
              <w:rPr>
                <w:b w:val="0"/>
                <w:sz w:val="20"/>
              </w:rPr>
              <w:t>r</w:t>
            </w:r>
            <w:r w:rsidRPr="00E32C67">
              <w:rPr>
                <w:b w:val="0"/>
                <w:sz w:val="20"/>
              </w:rPr>
              <w:t xml:space="preserve">ecruitment phone calls to ADCC Program </w:t>
            </w:r>
            <w:r w:rsidR="00A82570" w:rsidRPr="00E32C67">
              <w:rPr>
                <w:b w:val="0"/>
                <w:sz w:val="20"/>
              </w:rPr>
              <w:t>Operators</w:t>
            </w:r>
          </w:p>
        </w:tc>
        <w:tc>
          <w:tcPr>
            <w:tcW w:w="1026" w:type="pct"/>
            <w:vAlign w:val="center"/>
          </w:tcPr>
          <w:p w14:paraId="54C97866" w14:textId="5E67E2CB" w:rsidR="008871E5" w:rsidRPr="00A3434B" w:rsidRDefault="008871E5" w:rsidP="00E27FF5">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5</w:t>
            </w:r>
          </w:p>
        </w:tc>
        <w:tc>
          <w:tcPr>
            <w:tcW w:w="961" w:type="pct"/>
            <w:vAlign w:val="center"/>
          </w:tcPr>
          <w:p w14:paraId="501CBC64" w14:textId="3DEF6760" w:rsidR="008871E5" w:rsidRPr="00A3434B" w:rsidRDefault="008871E5" w:rsidP="00E27FF5">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0.08</w:t>
            </w:r>
          </w:p>
        </w:tc>
      </w:tr>
      <w:tr w:rsidR="006828E6" w:rsidRPr="00F21DF7" w14:paraId="0BC93ADC"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tcPr>
          <w:p w14:paraId="4C2BD25C" w14:textId="02565C86" w:rsidR="008871E5" w:rsidRPr="00E32C67" w:rsidRDefault="008871E5" w:rsidP="008871E5">
            <w:pPr>
              <w:rPr>
                <w:b w:val="0"/>
                <w:sz w:val="20"/>
              </w:rPr>
            </w:pPr>
            <w:bookmarkStart w:id="1" w:name="_Hlk522964210"/>
            <w:r w:rsidRPr="00E32C67">
              <w:rPr>
                <w:b w:val="0"/>
                <w:sz w:val="20"/>
              </w:rPr>
              <w:t xml:space="preserve">Pretest - </w:t>
            </w:r>
            <w:r w:rsidR="00230A01" w:rsidRPr="00E32C67">
              <w:rPr>
                <w:b w:val="0"/>
                <w:sz w:val="20"/>
              </w:rPr>
              <w:t>s</w:t>
            </w:r>
            <w:r w:rsidRPr="00E32C67">
              <w:rPr>
                <w:b w:val="0"/>
                <w:sz w:val="20"/>
              </w:rPr>
              <w:t xml:space="preserve">urvey </w:t>
            </w:r>
            <w:r w:rsidR="00230A01" w:rsidRPr="00E32C67">
              <w:rPr>
                <w:b w:val="0"/>
                <w:sz w:val="20"/>
              </w:rPr>
              <w:t>t</w:t>
            </w:r>
            <w:r w:rsidRPr="00E32C67">
              <w:rPr>
                <w:b w:val="0"/>
                <w:sz w:val="20"/>
              </w:rPr>
              <w:t xml:space="preserve">esting for ADCC Program </w:t>
            </w:r>
            <w:r w:rsidR="00A82570" w:rsidRPr="00E32C67">
              <w:rPr>
                <w:b w:val="0"/>
                <w:sz w:val="20"/>
              </w:rPr>
              <w:t>Operators</w:t>
            </w:r>
            <w:r w:rsidRPr="00E32C67">
              <w:rPr>
                <w:b w:val="0"/>
                <w:sz w:val="20"/>
              </w:rPr>
              <w:t xml:space="preserve"> (Hard </w:t>
            </w:r>
            <w:r w:rsidR="000939FF" w:rsidRPr="00E32C67">
              <w:rPr>
                <w:b w:val="0"/>
                <w:sz w:val="20"/>
                <w:szCs w:val="20"/>
              </w:rPr>
              <w:t>c</w:t>
            </w:r>
            <w:r w:rsidRPr="00E32C67">
              <w:rPr>
                <w:b w:val="0"/>
                <w:sz w:val="20"/>
                <w:szCs w:val="20"/>
              </w:rPr>
              <w:t>opy</w:t>
            </w:r>
            <w:r w:rsidR="00230A01" w:rsidRPr="00E32C67">
              <w:rPr>
                <w:b w:val="0"/>
                <w:sz w:val="20"/>
                <w:szCs w:val="20"/>
              </w:rPr>
              <w:t xml:space="preserve"> </w:t>
            </w:r>
            <w:r w:rsidR="000939FF" w:rsidRPr="00E32C67">
              <w:rPr>
                <w:b w:val="0"/>
                <w:sz w:val="20"/>
                <w:szCs w:val="20"/>
              </w:rPr>
              <w:t>s</w:t>
            </w:r>
            <w:r w:rsidR="00230A01" w:rsidRPr="00E32C67">
              <w:rPr>
                <w:b w:val="0"/>
                <w:sz w:val="20"/>
                <w:szCs w:val="20"/>
              </w:rPr>
              <w:t>urvey</w:t>
            </w:r>
            <w:r w:rsidRPr="00E32C67">
              <w:rPr>
                <w:b w:val="0"/>
                <w:sz w:val="20"/>
              </w:rPr>
              <w:t>)</w:t>
            </w:r>
            <w:bookmarkEnd w:id="1"/>
          </w:p>
        </w:tc>
        <w:tc>
          <w:tcPr>
            <w:tcW w:w="1026" w:type="pct"/>
            <w:vAlign w:val="center"/>
          </w:tcPr>
          <w:p w14:paraId="4831EF0F" w14:textId="77C7333D" w:rsidR="008871E5" w:rsidRPr="00A3434B" w:rsidRDefault="008871E5" w:rsidP="00E27FF5">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60</w:t>
            </w:r>
          </w:p>
        </w:tc>
        <w:tc>
          <w:tcPr>
            <w:tcW w:w="961" w:type="pct"/>
            <w:vAlign w:val="center"/>
          </w:tcPr>
          <w:p w14:paraId="3EACF1E9" w14:textId="2DE5B183" w:rsidR="008871E5" w:rsidRPr="00A3434B" w:rsidRDefault="008871E5" w:rsidP="00E27FF5">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1</w:t>
            </w:r>
          </w:p>
        </w:tc>
      </w:tr>
      <w:tr w:rsidR="006828E6" w:rsidRPr="00F21DF7" w14:paraId="7B3AA77E"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tcPr>
          <w:p w14:paraId="41E3BAC6" w14:textId="4C12D56B" w:rsidR="008871E5" w:rsidRPr="00E32C67" w:rsidRDefault="008871E5" w:rsidP="008871E5">
            <w:pPr>
              <w:rPr>
                <w:b w:val="0"/>
                <w:sz w:val="20"/>
              </w:rPr>
            </w:pPr>
            <w:r w:rsidRPr="00E32C67">
              <w:rPr>
                <w:b w:val="0"/>
                <w:sz w:val="20"/>
              </w:rPr>
              <w:t xml:space="preserve">Initial </w:t>
            </w:r>
            <w:r w:rsidR="00230A01" w:rsidRPr="00E32C67">
              <w:rPr>
                <w:b w:val="0"/>
                <w:sz w:val="20"/>
              </w:rPr>
              <w:t>s</w:t>
            </w:r>
            <w:r w:rsidRPr="00E32C67">
              <w:rPr>
                <w:b w:val="0"/>
                <w:sz w:val="20"/>
              </w:rPr>
              <w:t xml:space="preserve">urvey </w:t>
            </w:r>
            <w:r w:rsidR="00230A01" w:rsidRPr="00E32C67">
              <w:rPr>
                <w:b w:val="0"/>
                <w:sz w:val="20"/>
              </w:rPr>
              <w:t>r</w:t>
            </w:r>
            <w:r w:rsidRPr="00E32C67">
              <w:rPr>
                <w:b w:val="0"/>
                <w:sz w:val="20"/>
              </w:rPr>
              <w:t xml:space="preserve">ecruitment </w:t>
            </w:r>
            <w:r w:rsidR="00230A01" w:rsidRPr="00E32C67">
              <w:rPr>
                <w:b w:val="0"/>
                <w:sz w:val="20"/>
              </w:rPr>
              <w:t>e</w:t>
            </w:r>
            <w:r w:rsidRPr="00E32C67">
              <w:rPr>
                <w:b w:val="0"/>
                <w:sz w:val="20"/>
              </w:rPr>
              <w:t>mail</w:t>
            </w:r>
            <w:r w:rsidR="00230A01" w:rsidRPr="00E32C67">
              <w:rPr>
                <w:b w:val="0"/>
                <w:sz w:val="20"/>
              </w:rPr>
              <w:t>s</w:t>
            </w:r>
            <w:r w:rsidRPr="00E32C67">
              <w:rPr>
                <w:b w:val="0"/>
                <w:sz w:val="20"/>
              </w:rPr>
              <w:t xml:space="preserve"> to ADCC Program Directors (Web </w:t>
            </w:r>
            <w:r w:rsidR="000939FF" w:rsidRPr="00E32C67">
              <w:rPr>
                <w:b w:val="0"/>
                <w:sz w:val="20"/>
                <w:szCs w:val="20"/>
              </w:rPr>
              <w:t>s</w:t>
            </w:r>
            <w:r w:rsidRPr="00E32C67">
              <w:rPr>
                <w:b w:val="0"/>
                <w:sz w:val="20"/>
                <w:szCs w:val="20"/>
              </w:rPr>
              <w:t>urvey</w:t>
            </w:r>
            <w:r w:rsidRPr="00E32C67">
              <w:rPr>
                <w:b w:val="0"/>
                <w:sz w:val="20"/>
              </w:rPr>
              <w:t xml:space="preserve"> with </w:t>
            </w:r>
            <w:r w:rsidR="000939FF" w:rsidRPr="00E32C67">
              <w:rPr>
                <w:b w:val="0"/>
                <w:sz w:val="20"/>
                <w:szCs w:val="20"/>
              </w:rPr>
              <w:t>l</w:t>
            </w:r>
            <w:r w:rsidRPr="00E32C67">
              <w:rPr>
                <w:b w:val="0"/>
                <w:sz w:val="20"/>
                <w:szCs w:val="20"/>
              </w:rPr>
              <w:t>ink</w:t>
            </w:r>
            <w:r w:rsidRPr="00E32C67">
              <w:rPr>
                <w:b w:val="0"/>
                <w:sz w:val="20"/>
              </w:rPr>
              <w:t>)</w:t>
            </w:r>
          </w:p>
        </w:tc>
        <w:tc>
          <w:tcPr>
            <w:tcW w:w="1026" w:type="pct"/>
            <w:vAlign w:val="center"/>
          </w:tcPr>
          <w:p w14:paraId="58812840" w14:textId="1A3996F5" w:rsidR="008871E5" w:rsidRPr="00A3434B" w:rsidRDefault="008871E5" w:rsidP="00E27FF5">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3</w:t>
            </w:r>
          </w:p>
        </w:tc>
        <w:tc>
          <w:tcPr>
            <w:tcW w:w="961" w:type="pct"/>
            <w:vAlign w:val="center"/>
          </w:tcPr>
          <w:p w14:paraId="6DF215C9" w14:textId="2E6105C7" w:rsidR="008871E5" w:rsidRPr="00A3434B" w:rsidRDefault="008871E5" w:rsidP="00E27FF5">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0.05</w:t>
            </w:r>
          </w:p>
        </w:tc>
      </w:tr>
      <w:tr w:rsidR="006828E6" w:rsidRPr="00F21DF7" w14:paraId="407F468F"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tcPr>
          <w:p w14:paraId="14388722" w14:textId="1F4E9606" w:rsidR="008871E5" w:rsidRPr="00E32C67" w:rsidRDefault="008871E5" w:rsidP="008871E5">
            <w:pPr>
              <w:rPr>
                <w:b w:val="0"/>
                <w:sz w:val="20"/>
              </w:rPr>
            </w:pPr>
            <w:r w:rsidRPr="00E32C67">
              <w:rPr>
                <w:b w:val="0"/>
                <w:sz w:val="20"/>
              </w:rPr>
              <w:t xml:space="preserve">Initial </w:t>
            </w:r>
            <w:r w:rsidR="00230A01" w:rsidRPr="00E32C67">
              <w:rPr>
                <w:b w:val="0"/>
                <w:sz w:val="20"/>
              </w:rPr>
              <w:t>h</w:t>
            </w:r>
            <w:r w:rsidRPr="00E32C67">
              <w:rPr>
                <w:b w:val="0"/>
                <w:sz w:val="20"/>
              </w:rPr>
              <w:t xml:space="preserve">ard </w:t>
            </w:r>
            <w:r w:rsidR="00230A01" w:rsidRPr="00E32C67">
              <w:rPr>
                <w:b w:val="0"/>
                <w:sz w:val="20"/>
              </w:rPr>
              <w:t>c</w:t>
            </w:r>
            <w:r w:rsidRPr="00E32C67">
              <w:rPr>
                <w:b w:val="0"/>
                <w:sz w:val="20"/>
              </w:rPr>
              <w:t xml:space="preserve">opy </w:t>
            </w:r>
            <w:r w:rsidR="00230A01" w:rsidRPr="00E32C67">
              <w:rPr>
                <w:b w:val="0"/>
                <w:sz w:val="20"/>
              </w:rPr>
              <w:t>s</w:t>
            </w:r>
            <w:r w:rsidRPr="00E32C67">
              <w:rPr>
                <w:b w:val="0"/>
                <w:sz w:val="20"/>
              </w:rPr>
              <w:t xml:space="preserve">urvey </w:t>
            </w:r>
            <w:r w:rsidR="00230A01" w:rsidRPr="00E32C67">
              <w:rPr>
                <w:b w:val="0"/>
                <w:sz w:val="20"/>
              </w:rPr>
              <w:t>r</w:t>
            </w:r>
            <w:r w:rsidR="00C2598E" w:rsidRPr="00E32C67">
              <w:rPr>
                <w:b w:val="0"/>
                <w:sz w:val="20"/>
              </w:rPr>
              <w:t>ecruitment</w:t>
            </w:r>
            <w:r w:rsidRPr="00E32C67">
              <w:rPr>
                <w:b w:val="0"/>
                <w:sz w:val="20"/>
              </w:rPr>
              <w:t xml:space="preserve"> to ADCC Program Directors (Hard </w:t>
            </w:r>
            <w:r w:rsidR="000939FF" w:rsidRPr="00E32C67">
              <w:rPr>
                <w:b w:val="0"/>
                <w:sz w:val="20"/>
                <w:szCs w:val="20"/>
              </w:rPr>
              <w:t>c</w:t>
            </w:r>
            <w:r w:rsidRPr="00E32C67">
              <w:rPr>
                <w:b w:val="0"/>
                <w:sz w:val="20"/>
                <w:szCs w:val="20"/>
              </w:rPr>
              <w:t xml:space="preserve">opy </w:t>
            </w:r>
            <w:r w:rsidR="000939FF" w:rsidRPr="00E32C67">
              <w:rPr>
                <w:b w:val="0"/>
                <w:sz w:val="20"/>
                <w:szCs w:val="20"/>
              </w:rPr>
              <w:t>s</w:t>
            </w:r>
            <w:r w:rsidRPr="00E32C67">
              <w:rPr>
                <w:b w:val="0"/>
                <w:sz w:val="20"/>
                <w:szCs w:val="20"/>
              </w:rPr>
              <w:t>urvey</w:t>
            </w:r>
            <w:r w:rsidR="00C2598E" w:rsidRPr="00E32C67">
              <w:rPr>
                <w:b w:val="0"/>
                <w:sz w:val="20"/>
                <w:szCs w:val="20"/>
              </w:rPr>
              <w:t xml:space="preserve"> </w:t>
            </w:r>
            <w:r w:rsidR="000939FF" w:rsidRPr="00E32C67">
              <w:rPr>
                <w:b w:val="0"/>
                <w:sz w:val="20"/>
                <w:szCs w:val="20"/>
              </w:rPr>
              <w:t>m</w:t>
            </w:r>
            <w:r w:rsidR="00C2598E" w:rsidRPr="00E32C67">
              <w:rPr>
                <w:b w:val="0"/>
                <w:sz w:val="20"/>
                <w:szCs w:val="20"/>
              </w:rPr>
              <w:t>ailed</w:t>
            </w:r>
            <w:r w:rsidRPr="00E32C67">
              <w:rPr>
                <w:b w:val="0"/>
                <w:sz w:val="20"/>
              </w:rPr>
              <w:t>)</w:t>
            </w:r>
          </w:p>
        </w:tc>
        <w:tc>
          <w:tcPr>
            <w:tcW w:w="1026" w:type="pct"/>
            <w:vAlign w:val="center"/>
          </w:tcPr>
          <w:p w14:paraId="57A4EEA7" w14:textId="38C628BA" w:rsidR="008871E5" w:rsidRPr="00A3434B" w:rsidRDefault="008871E5" w:rsidP="00E27FF5">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3</w:t>
            </w:r>
          </w:p>
        </w:tc>
        <w:tc>
          <w:tcPr>
            <w:tcW w:w="961" w:type="pct"/>
            <w:vAlign w:val="center"/>
          </w:tcPr>
          <w:p w14:paraId="6D646B8F" w14:textId="2515314D" w:rsidR="008871E5" w:rsidRPr="00A3434B" w:rsidRDefault="008871E5" w:rsidP="00E27FF5">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0.05</w:t>
            </w:r>
          </w:p>
        </w:tc>
      </w:tr>
      <w:tr w:rsidR="006828E6" w:rsidRPr="00F21DF7" w14:paraId="1CB50403"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tcPr>
          <w:p w14:paraId="6DC2AE4B" w14:textId="6A8EEC70" w:rsidR="008871E5" w:rsidRPr="00E32C67" w:rsidRDefault="008871E5" w:rsidP="008871E5">
            <w:pPr>
              <w:rPr>
                <w:b w:val="0"/>
                <w:sz w:val="20"/>
              </w:rPr>
            </w:pPr>
            <w:r w:rsidRPr="00E32C67">
              <w:rPr>
                <w:b w:val="0"/>
                <w:sz w:val="20"/>
              </w:rPr>
              <w:t xml:space="preserve">Survey </w:t>
            </w:r>
            <w:r w:rsidR="006E41B9" w:rsidRPr="00E32C67">
              <w:rPr>
                <w:b w:val="0"/>
                <w:sz w:val="20"/>
                <w:szCs w:val="20"/>
              </w:rPr>
              <w:t>r</w:t>
            </w:r>
            <w:r w:rsidRPr="00E32C67">
              <w:rPr>
                <w:b w:val="0"/>
                <w:sz w:val="20"/>
                <w:szCs w:val="20"/>
              </w:rPr>
              <w:t xml:space="preserve">eminder </w:t>
            </w:r>
            <w:r w:rsidR="006E41B9" w:rsidRPr="00E32C67">
              <w:rPr>
                <w:b w:val="0"/>
                <w:sz w:val="20"/>
                <w:szCs w:val="20"/>
              </w:rPr>
              <w:t>e</w:t>
            </w:r>
            <w:r w:rsidRPr="00E32C67">
              <w:rPr>
                <w:b w:val="0"/>
                <w:sz w:val="20"/>
                <w:szCs w:val="20"/>
              </w:rPr>
              <w:t>mail</w:t>
            </w:r>
            <w:r w:rsidRPr="00E32C67">
              <w:rPr>
                <w:b w:val="0"/>
                <w:sz w:val="20"/>
              </w:rPr>
              <w:t xml:space="preserve"> 1 </w:t>
            </w:r>
            <w:r w:rsidR="00230A01" w:rsidRPr="00E32C67">
              <w:rPr>
                <w:b w:val="0"/>
                <w:sz w:val="20"/>
              </w:rPr>
              <w:t xml:space="preserve">to ADCC Program Directors </w:t>
            </w:r>
            <w:r w:rsidRPr="00E32C67">
              <w:rPr>
                <w:b w:val="0"/>
                <w:sz w:val="20"/>
              </w:rPr>
              <w:t xml:space="preserve">(Web </w:t>
            </w:r>
            <w:r w:rsidR="000939FF" w:rsidRPr="00E32C67">
              <w:rPr>
                <w:b w:val="0"/>
                <w:sz w:val="20"/>
                <w:szCs w:val="20"/>
              </w:rPr>
              <w:t>s</w:t>
            </w:r>
            <w:r w:rsidRPr="00E32C67">
              <w:rPr>
                <w:b w:val="0"/>
                <w:sz w:val="20"/>
                <w:szCs w:val="20"/>
              </w:rPr>
              <w:t>urvey</w:t>
            </w:r>
            <w:r w:rsidRPr="00E32C67">
              <w:rPr>
                <w:b w:val="0"/>
                <w:sz w:val="20"/>
              </w:rPr>
              <w:t xml:space="preserve"> with </w:t>
            </w:r>
            <w:r w:rsidR="000939FF" w:rsidRPr="00E32C67">
              <w:rPr>
                <w:b w:val="0"/>
                <w:sz w:val="20"/>
                <w:szCs w:val="20"/>
              </w:rPr>
              <w:t>l</w:t>
            </w:r>
            <w:r w:rsidRPr="00E32C67">
              <w:rPr>
                <w:b w:val="0"/>
                <w:sz w:val="20"/>
                <w:szCs w:val="20"/>
              </w:rPr>
              <w:t>ink</w:t>
            </w:r>
            <w:r w:rsidRPr="00E32C67">
              <w:rPr>
                <w:b w:val="0"/>
                <w:sz w:val="20"/>
              </w:rPr>
              <w:t>)</w:t>
            </w:r>
          </w:p>
        </w:tc>
        <w:tc>
          <w:tcPr>
            <w:tcW w:w="1026" w:type="pct"/>
            <w:vAlign w:val="center"/>
          </w:tcPr>
          <w:p w14:paraId="60A564FC" w14:textId="1E8E6E54" w:rsidR="008871E5" w:rsidRPr="00A3434B" w:rsidRDefault="008871E5" w:rsidP="00E27FF5">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3</w:t>
            </w:r>
          </w:p>
        </w:tc>
        <w:tc>
          <w:tcPr>
            <w:tcW w:w="961" w:type="pct"/>
            <w:vAlign w:val="center"/>
          </w:tcPr>
          <w:p w14:paraId="44200D8F" w14:textId="592B5A4A" w:rsidR="008871E5" w:rsidRPr="00A3434B" w:rsidRDefault="008871E5" w:rsidP="00E27FF5">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0.05</w:t>
            </w:r>
          </w:p>
        </w:tc>
      </w:tr>
      <w:tr w:rsidR="006828E6" w:rsidRPr="00F21DF7" w14:paraId="6EAF667A"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tcPr>
          <w:p w14:paraId="6767B17E" w14:textId="21CD57E9" w:rsidR="008871E5" w:rsidRPr="00E32C67" w:rsidRDefault="008871E5" w:rsidP="008871E5">
            <w:pPr>
              <w:rPr>
                <w:b w:val="0"/>
                <w:sz w:val="20"/>
              </w:rPr>
            </w:pPr>
            <w:r w:rsidRPr="00E32C67">
              <w:rPr>
                <w:b w:val="0"/>
                <w:sz w:val="20"/>
              </w:rPr>
              <w:t xml:space="preserve">Survey </w:t>
            </w:r>
            <w:r w:rsidR="006E41B9" w:rsidRPr="00E32C67">
              <w:rPr>
                <w:b w:val="0"/>
                <w:sz w:val="20"/>
                <w:szCs w:val="20"/>
              </w:rPr>
              <w:t>r</w:t>
            </w:r>
            <w:r w:rsidRPr="00E32C67">
              <w:rPr>
                <w:b w:val="0"/>
                <w:sz w:val="20"/>
                <w:szCs w:val="20"/>
              </w:rPr>
              <w:t xml:space="preserve">eminder </w:t>
            </w:r>
            <w:r w:rsidR="006E41B9" w:rsidRPr="00E32C67">
              <w:rPr>
                <w:b w:val="0"/>
                <w:sz w:val="20"/>
                <w:szCs w:val="20"/>
              </w:rPr>
              <w:t>e</w:t>
            </w:r>
            <w:r w:rsidRPr="00E32C67">
              <w:rPr>
                <w:b w:val="0"/>
                <w:sz w:val="20"/>
                <w:szCs w:val="20"/>
              </w:rPr>
              <w:t>mail</w:t>
            </w:r>
            <w:r w:rsidRPr="00E32C67">
              <w:rPr>
                <w:b w:val="0"/>
                <w:sz w:val="20"/>
              </w:rPr>
              <w:t xml:space="preserve"> 2 </w:t>
            </w:r>
            <w:r w:rsidR="00230A01" w:rsidRPr="00E32C67">
              <w:rPr>
                <w:b w:val="0"/>
                <w:sz w:val="20"/>
              </w:rPr>
              <w:t xml:space="preserve">to ADCC Program Directors </w:t>
            </w:r>
            <w:r w:rsidRPr="00E32C67">
              <w:rPr>
                <w:b w:val="0"/>
                <w:sz w:val="20"/>
              </w:rPr>
              <w:t xml:space="preserve">(Web </w:t>
            </w:r>
            <w:r w:rsidR="000939FF" w:rsidRPr="00E32C67">
              <w:rPr>
                <w:b w:val="0"/>
                <w:sz w:val="20"/>
                <w:szCs w:val="20"/>
              </w:rPr>
              <w:t>s</w:t>
            </w:r>
            <w:r w:rsidRPr="00E32C67">
              <w:rPr>
                <w:b w:val="0"/>
                <w:sz w:val="20"/>
                <w:szCs w:val="20"/>
              </w:rPr>
              <w:t>urvey</w:t>
            </w:r>
            <w:r w:rsidRPr="00E32C67">
              <w:rPr>
                <w:b w:val="0"/>
                <w:sz w:val="20"/>
              </w:rPr>
              <w:t xml:space="preserve"> with </w:t>
            </w:r>
            <w:r w:rsidR="000939FF" w:rsidRPr="00E32C67">
              <w:rPr>
                <w:b w:val="0"/>
                <w:sz w:val="20"/>
                <w:szCs w:val="20"/>
              </w:rPr>
              <w:t>l</w:t>
            </w:r>
            <w:r w:rsidRPr="00E32C67">
              <w:rPr>
                <w:b w:val="0"/>
                <w:sz w:val="20"/>
                <w:szCs w:val="20"/>
              </w:rPr>
              <w:t>ink</w:t>
            </w:r>
            <w:r w:rsidRPr="00E32C67">
              <w:rPr>
                <w:b w:val="0"/>
                <w:sz w:val="20"/>
              </w:rPr>
              <w:t>)</w:t>
            </w:r>
          </w:p>
        </w:tc>
        <w:tc>
          <w:tcPr>
            <w:tcW w:w="1026" w:type="pct"/>
            <w:vAlign w:val="center"/>
          </w:tcPr>
          <w:p w14:paraId="101116C7" w14:textId="6F33B78D" w:rsidR="008871E5" w:rsidRPr="00A3434B" w:rsidRDefault="008871E5" w:rsidP="00EB15F1">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3</w:t>
            </w:r>
          </w:p>
        </w:tc>
        <w:tc>
          <w:tcPr>
            <w:tcW w:w="961" w:type="pct"/>
            <w:vAlign w:val="center"/>
          </w:tcPr>
          <w:p w14:paraId="7AA38843" w14:textId="2E1580ED" w:rsidR="008871E5" w:rsidRPr="00A3434B" w:rsidRDefault="008871E5" w:rsidP="00EB15F1">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0.05</w:t>
            </w:r>
          </w:p>
        </w:tc>
      </w:tr>
      <w:tr w:rsidR="006828E6" w:rsidRPr="00F21DF7" w14:paraId="5F195EB4"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tcPr>
          <w:p w14:paraId="06BF912C" w14:textId="2937A157" w:rsidR="008871E5" w:rsidRPr="00E32C67" w:rsidRDefault="008871E5" w:rsidP="008871E5">
            <w:pPr>
              <w:rPr>
                <w:b w:val="0"/>
                <w:sz w:val="20"/>
              </w:rPr>
            </w:pPr>
            <w:r w:rsidRPr="00E32C67">
              <w:rPr>
                <w:b w:val="0"/>
                <w:sz w:val="20"/>
              </w:rPr>
              <w:t xml:space="preserve">Survey </w:t>
            </w:r>
            <w:r w:rsidR="006E41B9" w:rsidRPr="00E32C67">
              <w:rPr>
                <w:b w:val="0"/>
                <w:sz w:val="20"/>
                <w:szCs w:val="20"/>
              </w:rPr>
              <w:t>r</w:t>
            </w:r>
            <w:r w:rsidRPr="00E32C67">
              <w:rPr>
                <w:b w:val="0"/>
                <w:sz w:val="20"/>
                <w:szCs w:val="20"/>
              </w:rPr>
              <w:t xml:space="preserve">eminder </w:t>
            </w:r>
            <w:r w:rsidR="006E41B9" w:rsidRPr="00E32C67">
              <w:rPr>
                <w:b w:val="0"/>
                <w:sz w:val="20"/>
                <w:szCs w:val="20"/>
              </w:rPr>
              <w:t>e</w:t>
            </w:r>
            <w:r w:rsidRPr="00E32C67">
              <w:rPr>
                <w:b w:val="0"/>
                <w:sz w:val="20"/>
                <w:szCs w:val="20"/>
              </w:rPr>
              <w:t>mail</w:t>
            </w:r>
            <w:r w:rsidRPr="00E32C67">
              <w:rPr>
                <w:b w:val="0"/>
                <w:sz w:val="20"/>
              </w:rPr>
              <w:t xml:space="preserve"> 3 </w:t>
            </w:r>
            <w:r w:rsidR="00230A01" w:rsidRPr="00E32C67">
              <w:rPr>
                <w:b w:val="0"/>
                <w:sz w:val="20"/>
              </w:rPr>
              <w:t xml:space="preserve">to ADCC Program Directors </w:t>
            </w:r>
            <w:r w:rsidRPr="00E32C67">
              <w:rPr>
                <w:b w:val="0"/>
                <w:sz w:val="20"/>
              </w:rPr>
              <w:t xml:space="preserve">(Web </w:t>
            </w:r>
            <w:r w:rsidR="000939FF" w:rsidRPr="00E32C67">
              <w:rPr>
                <w:b w:val="0"/>
                <w:sz w:val="20"/>
                <w:szCs w:val="20"/>
              </w:rPr>
              <w:t>s</w:t>
            </w:r>
            <w:r w:rsidRPr="00E32C67">
              <w:rPr>
                <w:b w:val="0"/>
                <w:sz w:val="20"/>
                <w:szCs w:val="20"/>
              </w:rPr>
              <w:t>urvey</w:t>
            </w:r>
            <w:r w:rsidRPr="00E32C67">
              <w:rPr>
                <w:b w:val="0"/>
                <w:sz w:val="20"/>
              </w:rPr>
              <w:t xml:space="preserve"> with </w:t>
            </w:r>
            <w:r w:rsidR="000939FF" w:rsidRPr="00E32C67">
              <w:rPr>
                <w:b w:val="0"/>
                <w:sz w:val="20"/>
                <w:szCs w:val="20"/>
              </w:rPr>
              <w:t>l</w:t>
            </w:r>
            <w:r w:rsidRPr="00E32C67">
              <w:rPr>
                <w:b w:val="0"/>
                <w:sz w:val="20"/>
                <w:szCs w:val="20"/>
              </w:rPr>
              <w:t>ink</w:t>
            </w:r>
            <w:r w:rsidRPr="00E32C67">
              <w:rPr>
                <w:b w:val="0"/>
                <w:sz w:val="20"/>
              </w:rPr>
              <w:t>)</w:t>
            </w:r>
          </w:p>
        </w:tc>
        <w:tc>
          <w:tcPr>
            <w:tcW w:w="1026" w:type="pct"/>
            <w:vAlign w:val="center"/>
          </w:tcPr>
          <w:p w14:paraId="7E30F516" w14:textId="09FFE2BC" w:rsidR="008871E5" w:rsidRPr="00A3434B" w:rsidRDefault="008871E5" w:rsidP="00EB15F1">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3</w:t>
            </w:r>
          </w:p>
        </w:tc>
        <w:tc>
          <w:tcPr>
            <w:tcW w:w="961" w:type="pct"/>
            <w:vAlign w:val="center"/>
          </w:tcPr>
          <w:p w14:paraId="373749DC" w14:textId="38AA0995" w:rsidR="008871E5" w:rsidRPr="00A3434B" w:rsidRDefault="008871E5" w:rsidP="00EB15F1">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0.05</w:t>
            </w:r>
          </w:p>
        </w:tc>
      </w:tr>
      <w:tr w:rsidR="006828E6" w:rsidRPr="00F21DF7" w14:paraId="0A36D2B0"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tcPr>
          <w:p w14:paraId="668F3614" w14:textId="1C85AE39" w:rsidR="00C2598E" w:rsidRPr="00E32C67" w:rsidRDefault="00C2598E" w:rsidP="00C2598E">
            <w:pPr>
              <w:rPr>
                <w:b w:val="0"/>
                <w:sz w:val="20"/>
              </w:rPr>
            </w:pPr>
            <w:r w:rsidRPr="00E32C67">
              <w:rPr>
                <w:b w:val="0"/>
                <w:sz w:val="20"/>
              </w:rPr>
              <w:t xml:space="preserve">Survey </w:t>
            </w:r>
            <w:r w:rsidR="006E41B9" w:rsidRPr="00E32C67">
              <w:rPr>
                <w:b w:val="0"/>
                <w:sz w:val="20"/>
                <w:szCs w:val="20"/>
              </w:rPr>
              <w:t>r</w:t>
            </w:r>
            <w:r w:rsidRPr="00E32C67">
              <w:rPr>
                <w:b w:val="0"/>
                <w:sz w:val="20"/>
                <w:szCs w:val="20"/>
              </w:rPr>
              <w:t xml:space="preserve">eminder </w:t>
            </w:r>
            <w:r w:rsidR="006E41B9" w:rsidRPr="00E32C67">
              <w:rPr>
                <w:b w:val="0"/>
                <w:sz w:val="20"/>
                <w:szCs w:val="20"/>
              </w:rPr>
              <w:t>e</w:t>
            </w:r>
            <w:r w:rsidRPr="00E32C67">
              <w:rPr>
                <w:b w:val="0"/>
                <w:sz w:val="20"/>
                <w:szCs w:val="20"/>
              </w:rPr>
              <w:t>mail</w:t>
            </w:r>
            <w:r w:rsidRPr="00E32C67">
              <w:rPr>
                <w:b w:val="0"/>
                <w:sz w:val="20"/>
              </w:rPr>
              <w:t xml:space="preserve"> 4 </w:t>
            </w:r>
            <w:r w:rsidR="00230A01" w:rsidRPr="00E32C67">
              <w:rPr>
                <w:b w:val="0"/>
                <w:sz w:val="20"/>
              </w:rPr>
              <w:t xml:space="preserve">to ADCC Program Directors </w:t>
            </w:r>
            <w:r w:rsidRPr="00E32C67">
              <w:rPr>
                <w:b w:val="0"/>
                <w:sz w:val="20"/>
              </w:rPr>
              <w:t xml:space="preserve">(Web </w:t>
            </w:r>
            <w:r w:rsidR="000939FF" w:rsidRPr="00E32C67">
              <w:rPr>
                <w:b w:val="0"/>
                <w:sz w:val="20"/>
                <w:szCs w:val="20"/>
              </w:rPr>
              <w:t>s</w:t>
            </w:r>
            <w:r w:rsidRPr="00E32C67">
              <w:rPr>
                <w:b w:val="0"/>
                <w:sz w:val="20"/>
                <w:szCs w:val="20"/>
              </w:rPr>
              <w:t>urvey</w:t>
            </w:r>
            <w:r w:rsidRPr="00E32C67">
              <w:rPr>
                <w:b w:val="0"/>
                <w:sz w:val="20"/>
              </w:rPr>
              <w:t xml:space="preserve"> with </w:t>
            </w:r>
            <w:r w:rsidR="000939FF" w:rsidRPr="00E32C67">
              <w:rPr>
                <w:b w:val="0"/>
                <w:sz w:val="20"/>
                <w:szCs w:val="20"/>
              </w:rPr>
              <w:t>l</w:t>
            </w:r>
            <w:r w:rsidRPr="00E32C67">
              <w:rPr>
                <w:b w:val="0"/>
                <w:sz w:val="20"/>
                <w:szCs w:val="20"/>
              </w:rPr>
              <w:t>ink</w:t>
            </w:r>
            <w:r w:rsidRPr="00E32C67">
              <w:rPr>
                <w:b w:val="0"/>
                <w:sz w:val="20"/>
              </w:rPr>
              <w:t>)</w:t>
            </w:r>
          </w:p>
        </w:tc>
        <w:tc>
          <w:tcPr>
            <w:tcW w:w="1026" w:type="pct"/>
            <w:vAlign w:val="center"/>
          </w:tcPr>
          <w:p w14:paraId="1F1A796E" w14:textId="6D74ED1A" w:rsidR="00C2598E" w:rsidRPr="00A3434B" w:rsidRDefault="00C2598E" w:rsidP="00EB15F1">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3</w:t>
            </w:r>
          </w:p>
        </w:tc>
        <w:tc>
          <w:tcPr>
            <w:tcW w:w="961" w:type="pct"/>
            <w:vAlign w:val="center"/>
          </w:tcPr>
          <w:p w14:paraId="55B13478" w14:textId="39B8E147" w:rsidR="00C2598E" w:rsidRPr="00A3434B" w:rsidRDefault="00C2598E" w:rsidP="00EB15F1">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0.05</w:t>
            </w:r>
          </w:p>
        </w:tc>
      </w:tr>
      <w:tr w:rsidR="006828E6" w:rsidRPr="00F21DF7" w14:paraId="3668A5E2"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tcPr>
          <w:p w14:paraId="6B52FACD" w14:textId="0F516894" w:rsidR="00C2598E" w:rsidRPr="00E32C67" w:rsidRDefault="00C2598E" w:rsidP="00C2598E">
            <w:pPr>
              <w:rPr>
                <w:b w:val="0"/>
                <w:sz w:val="20"/>
              </w:rPr>
            </w:pPr>
            <w:bookmarkStart w:id="2" w:name="_Hlk522964068"/>
            <w:r w:rsidRPr="00E32C67">
              <w:rPr>
                <w:b w:val="0"/>
                <w:sz w:val="20"/>
              </w:rPr>
              <w:t xml:space="preserve">Hard </w:t>
            </w:r>
            <w:r w:rsidR="000939FF" w:rsidRPr="00E32C67">
              <w:rPr>
                <w:b w:val="0"/>
                <w:sz w:val="20"/>
                <w:szCs w:val="20"/>
              </w:rPr>
              <w:t>c</w:t>
            </w:r>
            <w:r w:rsidRPr="00E32C67">
              <w:rPr>
                <w:b w:val="0"/>
                <w:sz w:val="20"/>
                <w:szCs w:val="20"/>
              </w:rPr>
              <w:t xml:space="preserve">opy </w:t>
            </w:r>
            <w:r w:rsidR="006E41B9" w:rsidRPr="00E32C67">
              <w:rPr>
                <w:b w:val="0"/>
                <w:sz w:val="20"/>
                <w:szCs w:val="20"/>
              </w:rPr>
              <w:t>s</w:t>
            </w:r>
            <w:r w:rsidRPr="00E32C67">
              <w:rPr>
                <w:b w:val="0"/>
                <w:sz w:val="20"/>
                <w:szCs w:val="20"/>
              </w:rPr>
              <w:t xml:space="preserve">urvey </w:t>
            </w:r>
            <w:r w:rsidR="006E41B9" w:rsidRPr="00E32C67">
              <w:rPr>
                <w:b w:val="0"/>
                <w:sz w:val="20"/>
                <w:szCs w:val="20"/>
              </w:rPr>
              <w:t>r</w:t>
            </w:r>
            <w:r w:rsidRPr="00E32C67">
              <w:rPr>
                <w:b w:val="0"/>
                <w:sz w:val="20"/>
                <w:szCs w:val="20"/>
              </w:rPr>
              <w:t>eminders</w:t>
            </w:r>
            <w:r w:rsidR="00230A01" w:rsidRPr="00E32C67">
              <w:rPr>
                <w:b w:val="0"/>
                <w:sz w:val="20"/>
              </w:rPr>
              <w:t xml:space="preserve"> to ADCC Program Directors</w:t>
            </w:r>
            <w:r w:rsidRPr="00E32C67">
              <w:rPr>
                <w:b w:val="0"/>
                <w:sz w:val="20"/>
              </w:rPr>
              <w:t xml:space="preserve"> (</w:t>
            </w:r>
            <w:r w:rsidR="009747DD" w:rsidRPr="00E32C67">
              <w:rPr>
                <w:b w:val="0"/>
                <w:sz w:val="20"/>
              </w:rPr>
              <w:t xml:space="preserve">for </w:t>
            </w:r>
            <w:r w:rsidRPr="00E32C67">
              <w:rPr>
                <w:b w:val="0"/>
                <w:sz w:val="20"/>
              </w:rPr>
              <w:t>those who never clicked the link)</w:t>
            </w:r>
            <w:bookmarkEnd w:id="2"/>
          </w:p>
        </w:tc>
        <w:tc>
          <w:tcPr>
            <w:tcW w:w="1026" w:type="pct"/>
            <w:vAlign w:val="center"/>
          </w:tcPr>
          <w:p w14:paraId="696C7B63" w14:textId="6E3E7750" w:rsidR="00C2598E" w:rsidRPr="00A3434B" w:rsidRDefault="00C2598E" w:rsidP="00EB15F1">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3</w:t>
            </w:r>
          </w:p>
        </w:tc>
        <w:tc>
          <w:tcPr>
            <w:tcW w:w="961" w:type="pct"/>
            <w:vAlign w:val="center"/>
          </w:tcPr>
          <w:p w14:paraId="01C67AFB" w14:textId="6D741E43" w:rsidR="00C2598E" w:rsidRPr="00A3434B" w:rsidRDefault="00C2598E" w:rsidP="00EB15F1">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0.05</w:t>
            </w:r>
          </w:p>
        </w:tc>
      </w:tr>
      <w:tr w:rsidR="006828E6" w:rsidRPr="00F21DF7" w14:paraId="02484320"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tcPr>
          <w:p w14:paraId="67B09981" w14:textId="5B78C4F3" w:rsidR="00C2598E" w:rsidRPr="00E32C67" w:rsidRDefault="00C2598E" w:rsidP="00C2598E">
            <w:pPr>
              <w:rPr>
                <w:b w:val="0"/>
                <w:sz w:val="20"/>
              </w:rPr>
            </w:pPr>
            <w:bookmarkStart w:id="3" w:name="_Hlk522964082"/>
            <w:r w:rsidRPr="00E32C67">
              <w:rPr>
                <w:b w:val="0"/>
                <w:sz w:val="20"/>
              </w:rPr>
              <w:t xml:space="preserve">Hard </w:t>
            </w:r>
            <w:r w:rsidR="000939FF" w:rsidRPr="00E32C67">
              <w:rPr>
                <w:b w:val="0"/>
                <w:sz w:val="20"/>
                <w:szCs w:val="20"/>
              </w:rPr>
              <w:t>c</w:t>
            </w:r>
            <w:r w:rsidRPr="00E32C67">
              <w:rPr>
                <w:b w:val="0"/>
                <w:sz w:val="20"/>
                <w:szCs w:val="20"/>
              </w:rPr>
              <w:t xml:space="preserve">opy </w:t>
            </w:r>
            <w:r w:rsidR="006E41B9" w:rsidRPr="00E32C67">
              <w:rPr>
                <w:b w:val="0"/>
                <w:sz w:val="20"/>
                <w:szCs w:val="20"/>
              </w:rPr>
              <w:t>s</w:t>
            </w:r>
            <w:r w:rsidRPr="00E32C67">
              <w:rPr>
                <w:b w:val="0"/>
                <w:sz w:val="20"/>
                <w:szCs w:val="20"/>
              </w:rPr>
              <w:t xml:space="preserve">urvey </w:t>
            </w:r>
            <w:r w:rsidR="006E41B9" w:rsidRPr="00E32C67">
              <w:rPr>
                <w:b w:val="0"/>
                <w:sz w:val="20"/>
                <w:szCs w:val="20"/>
              </w:rPr>
              <w:t>r</w:t>
            </w:r>
            <w:r w:rsidRPr="00E32C67">
              <w:rPr>
                <w:b w:val="0"/>
                <w:sz w:val="20"/>
                <w:szCs w:val="20"/>
              </w:rPr>
              <w:t>eminders</w:t>
            </w:r>
            <w:r w:rsidRPr="00E32C67">
              <w:rPr>
                <w:b w:val="0"/>
                <w:sz w:val="20"/>
              </w:rPr>
              <w:t xml:space="preserve"> </w:t>
            </w:r>
            <w:r w:rsidR="00230A01" w:rsidRPr="00E32C67">
              <w:rPr>
                <w:b w:val="0"/>
                <w:sz w:val="20"/>
              </w:rPr>
              <w:t xml:space="preserve">to ADCC Program Directors </w:t>
            </w:r>
            <w:r w:rsidRPr="00E32C67">
              <w:rPr>
                <w:b w:val="0"/>
                <w:sz w:val="20"/>
              </w:rPr>
              <w:t>(</w:t>
            </w:r>
            <w:r w:rsidR="009747DD" w:rsidRPr="00E32C67">
              <w:rPr>
                <w:b w:val="0"/>
                <w:sz w:val="20"/>
              </w:rPr>
              <w:t xml:space="preserve">for </w:t>
            </w:r>
            <w:r w:rsidRPr="00E32C67">
              <w:rPr>
                <w:b w:val="0"/>
                <w:sz w:val="20"/>
              </w:rPr>
              <w:t>those who received an initial hard copy)</w:t>
            </w:r>
            <w:bookmarkEnd w:id="3"/>
          </w:p>
        </w:tc>
        <w:tc>
          <w:tcPr>
            <w:tcW w:w="1026" w:type="pct"/>
            <w:vAlign w:val="center"/>
          </w:tcPr>
          <w:p w14:paraId="7CFDE8DD" w14:textId="1AB9E741" w:rsidR="00C2598E" w:rsidRPr="00A3434B" w:rsidRDefault="00C2598E" w:rsidP="00EB15F1">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3</w:t>
            </w:r>
          </w:p>
        </w:tc>
        <w:tc>
          <w:tcPr>
            <w:tcW w:w="961" w:type="pct"/>
            <w:vAlign w:val="center"/>
          </w:tcPr>
          <w:p w14:paraId="33DB61EB" w14:textId="68E96647" w:rsidR="00C2598E" w:rsidRPr="00A3434B" w:rsidRDefault="00C2598E" w:rsidP="00EB15F1">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0.05</w:t>
            </w:r>
          </w:p>
        </w:tc>
      </w:tr>
      <w:tr w:rsidR="006828E6" w:rsidRPr="00F21DF7" w14:paraId="255C7CFF"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tcPr>
          <w:p w14:paraId="7921AA8A" w14:textId="69CC8BA6" w:rsidR="00C2598E" w:rsidRPr="00E32C67" w:rsidRDefault="00CB209A" w:rsidP="00C2598E">
            <w:pPr>
              <w:rPr>
                <w:b w:val="0"/>
                <w:sz w:val="20"/>
              </w:rPr>
            </w:pPr>
            <w:r w:rsidRPr="00E32C67">
              <w:rPr>
                <w:b w:val="0"/>
                <w:sz w:val="20"/>
                <w:szCs w:val="20"/>
              </w:rPr>
              <w:t>Telephone</w:t>
            </w:r>
            <w:r w:rsidR="00C2598E" w:rsidRPr="00E32C67">
              <w:rPr>
                <w:b w:val="0"/>
                <w:sz w:val="20"/>
                <w:szCs w:val="20"/>
              </w:rPr>
              <w:t xml:space="preserve"> </w:t>
            </w:r>
            <w:r w:rsidR="00165F80" w:rsidRPr="00E32C67">
              <w:rPr>
                <w:b w:val="0"/>
                <w:sz w:val="20"/>
                <w:szCs w:val="20"/>
              </w:rPr>
              <w:t>r</w:t>
            </w:r>
            <w:r w:rsidR="00C2598E" w:rsidRPr="00E32C67">
              <w:rPr>
                <w:b w:val="0"/>
                <w:sz w:val="20"/>
                <w:szCs w:val="20"/>
              </w:rPr>
              <w:t>eminder</w:t>
            </w:r>
            <w:r w:rsidR="00C2598E" w:rsidRPr="00E32C67">
              <w:rPr>
                <w:b w:val="0"/>
                <w:sz w:val="20"/>
              </w:rPr>
              <w:t xml:space="preserve"> 1 to ADCC Program Directors (Web </w:t>
            </w:r>
            <w:r w:rsidR="000939FF" w:rsidRPr="00E32C67">
              <w:rPr>
                <w:b w:val="0"/>
                <w:sz w:val="20"/>
                <w:szCs w:val="20"/>
              </w:rPr>
              <w:t>s</w:t>
            </w:r>
            <w:r w:rsidR="00C2598E" w:rsidRPr="00E32C67">
              <w:rPr>
                <w:b w:val="0"/>
                <w:sz w:val="20"/>
                <w:szCs w:val="20"/>
              </w:rPr>
              <w:t>urvey</w:t>
            </w:r>
            <w:r w:rsidR="00C2598E" w:rsidRPr="00E32C67">
              <w:rPr>
                <w:b w:val="0"/>
                <w:sz w:val="20"/>
              </w:rPr>
              <w:t>)</w:t>
            </w:r>
          </w:p>
        </w:tc>
        <w:tc>
          <w:tcPr>
            <w:tcW w:w="1026" w:type="pct"/>
            <w:vAlign w:val="center"/>
          </w:tcPr>
          <w:p w14:paraId="1B986A45" w14:textId="6E2D9BA0" w:rsidR="00C2598E" w:rsidRPr="00A3434B" w:rsidRDefault="00C2598E" w:rsidP="0033543D">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5</w:t>
            </w:r>
          </w:p>
        </w:tc>
        <w:tc>
          <w:tcPr>
            <w:tcW w:w="961" w:type="pct"/>
            <w:vAlign w:val="center"/>
          </w:tcPr>
          <w:p w14:paraId="41318F8A" w14:textId="019A1BBB" w:rsidR="00C2598E" w:rsidRPr="00A3434B" w:rsidRDefault="00C2598E" w:rsidP="0033543D">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0.08</w:t>
            </w:r>
          </w:p>
        </w:tc>
      </w:tr>
      <w:tr w:rsidR="006828E6" w:rsidRPr="00F21DF7" w14:paraId="3CE599F2"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tcPr>
          <w:p w14:paraId="683410A3" w14:textId="69B24B0F" w:rsidR="00C2598E" w:rsidRPr="00E32C67" w:rsidRDefault="00C2598E" w:rsidP="00C2598E">
            <w:pPr>
              <w:rPr>
                <w:b w:val="0"/>
                <w:sz w:val="20"/>
              </w:rPr>
            </w:pPr>
            <w:r w:rsidRPr="00E32C67">
              <w:rPr>
                <w:b w:val="0"/>
                <w:sz w:val="20"/>
              </w:rPr>
              <w:t xml:space="preserve">Telephone </w:t>
            </w:r>
            <w:r w:rsidR="00165F80" w:rsidRPr="00E32C67">
              <w:rPr>
                <w:b w:val="0"/>
                <w:sz w:val="20"/>
                <w:szCs w:val="20"/>
              </w:rPr>
              <w:t>r</w:t>
            </w:r>
            <w:r w:rsidRPr="00E32C67">
              <w:rPr>
                <w:b w:val="0"/>
                <w:sz w:val="20"/>
                <w:szCs w:val="20"/>
              </w:rPr>
              <w:t>eminder</w:t>
            </w:r>
            <w:r w:rsidRPr="00E32C67">
              <w:rPr>
                <w:b w:val="0"/>
                <w:sz w:val="20"/>
              </w:rPr>
              <w:t xml:space="preserve"> 2 to ADCC Program Directors (Web </w:t>
            </w:r>
            <w:r w:rsidR="000939FF" w:rsidRPr="00E32C67">
              <w:rPr>
                <w:b w:val="0"/>
                <w:sz w:val="20"/>
                <w:szCs w:val="20"/>
              </w:rPr>
              <w:t>s</w:t>
            </w:r>
            <w:r w:rsidRPr="00E32C67">
              <w:rPr>
                <w:b w:val="0"/>
                <w:sz w:val="20"/>
                <w:szCs w:val="20"/>
              </w:rPr>
              <w:t>urvey</w:t>
            </w:r>
            <w:r w:rsidRPr="00E32C67">
              <w:rPr>
                <w:b w:val="0"/>
                <w:sz w:val="20"/>
              </w:rPr>
              <w:t>)</w:t>
            </w:r>
          </w:p>
        </w:tc>
        <w:tc>
          <w:tcPr>
            <w:tcW w:w="1026" w:type="pct"/>
            <w:vAlign w:val="center"/>
          </w:tcPr>
          <w:p w14:paraId="306F1A6D" w14:textId="48F476A9" w:rsidR="00C2598E" w:rsidRPr="00A3434B" w:rsidRDefault="00C2598E" w:rsidP="0033543D">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5</w:t>
            </w:r>
          </w:p>
        </w:tc>
        <w:tc>
          <w:tcPr>
            <w:tcW w:w="961" w:type="pct"/>
            <w:vAlign w:val="center"/>
          </w:tcPr>
          <w:p w14:paraId="31559FF0" w14:textId="65791D5E" w:rsidR="00C2598E" w:rsidRPr="00A3434B" w:rsidRDefault="00C2598E" w:rsidP="0033543D">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0.08</w:t>
            </w:r>
          </w:p>
        </w:tc>
      </w:tr>
      <w:tr w:rsidR="006828E6" w:rsidRPr="00F21DF7" w14:paraId="6E536F90"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tcPr>
          <w:p w14:paraId="4F4FB7FF" w14:textId="13454A28" w:rsidR="00C2598E" w:rsidRPr="00E32C67" w:rsidRDefault="00C2598E" w:rsidP="00C2598E">
            <w:pPr>
              <w:rPr>
                <w:b w:val="0"/>
                <w:sz w:val="20"/>
              </w:rPr>
            </w:pPr>
            <w:bookmarkStart w:id="4" w:name="_Hlk522964120"/>
            <w:r w:rsidRPr="00E32C67">
              <w:rPr>
                <w:b w:val="0"/>
                <w:sz w:val="20"/>
              </w:rPr>
              <w:t xml:space="preserve">Post-Survey </w:t>
            </w:r>
            <w:r w:rsidR="00165F80" w:rsidRPr="00E32C67">
              <w:rPr>
                <w:b w:val="0"/>
                <w:sz w:val="20"/>
                <w:szCs w:val="20"/>
              </w:rPr>
              <w:t>r</w:t>
            </w:r>
            <w:r w:rsidRPr="00E32C67">
              <w:rPr>
                <w:b w:val="0"/>
                <w:sz w:val="20"/>
                <w:szCs w:val="20"/>
              </w:rPr>
              <w:t xml:space="preserve">esponse </w:t>
            </w:r>
            <w:r w:rsidR="00165F80" w:rsidRPr="00E32C67">
              <w:rPr>
                <w:b w:val="0"/>
                <w:sz w:val="20"/>
                <w:szCs w:val="20"/>
              </w:rPr>
              <w:t>c</w:t>
            </w:r>
            <w:r w:rsidRPr="00E32C67">
              <w:rPr>
                <w:b w:val="0"/>
                <w:sz w:val="20"/>
                <w:szCs w:val="20"/>
              </w:rPr>
              <w:t xml:space="preserve">larification </w:t>
            </w:r>
            <w:r w:rsidR="00165F80" w:rsidRPr="00E32C67">
              <w:rPr>
                <w:b w:val="0"/>
                <w:sz w:val="20"/>
                <w:szCs w:val="20"/>
              </w:rPr>
              <w:t>e</w:t>
            </w:r>
            <w:r w:rsidRPr="00E32C67">
              <w:rPr>
                <w:b w:val="0"/>
                <w:sz w:val="20"/>
                <w:szCs w:val="20"/>
              </w:rPr>
              <w:t>mail</w:t>
            </w:r>
            <w:r w:rsidRPr="00E32C67">
              <w:rPr>
                <w:b w:val="0"/>
                <w:sz w:val="20"/>
              </w:rPr>
              <w:t xml:space="preserve"> to ADCC Program Directors </w:t>
            </w:r>
            <w:bookmarkEnd w:id="4"/>
          </w:p>
        </w:tc>
        <w:tc>
          <w:tcPr>
            <w:tcW w:w="1026" w:type="pct"/>
            <w:vAlign w:val="center"/>
          </w:tcPr>
          <w:p w14:paraId="40529EBC" w14:textId="60DE0580" w:rsidR="00C2598E" w:rsidRPr="00A3434B" w:rsidRDefault="00F15509" w:rsidP="0033543D">
            <w:pPr>
              <w:jc w:val="center"/>
              <w:cnfStyle w:val="000000000000" w:firstRow="0" w:lastRow="0" w:firstColumn="0" w:lastColumn="0" w:oddVBand="0" w:evenVBand="0" w:oddHBand="0" w:evenHBand="0" w:firstRowFirstColumn="0" w:firstRowLastColumn="0" w:lastRowFirstColumn="0" w:lastRowLastColumn="0"/>
              <w:rPr>
                <w:sz w:val="20"/>
              </w:rPr>
            </w:pPr>
            <w:r w:rsidRPr="00B24D21">
              <w:rPr>
                <w:rFonts w:cstheme="minorHAnsi"/>
                <w:sz w:val="20"/>
                <w:szCs w:val="20"/>
              </w:rPr>
              <w:t>5</w:t>
            </w:r>
          </w:p>
        </w:tc>
        <w:tc>
          <w:tcPr>
            <w:tcW w:w="961" w:type="pct"/>
            <w:vAlign w:val="center"/>
          </w:tcPr>
          <w:p w14:paraId="3CA057C2" w14:textId="09FA0C4E" w:rsidR="00C2598E" w:rsidRPr="00A3434B" w:rsidRDefault="00C2598E" w:rsidP="0033543D">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0.</w:t>
            </w:r>
            <w:r w:rsidRPr="00B24D21">
              <w:rPr>
                <w:rFonts w:cstheme="minorHAnsi"/>
                <w:sz w:val="20"/>
                <w:szCs w:val="20"/>
              </w:rPr>
              <w:t>0</w:t>
            </w:r>
            <w:r w:rsidR="00F15509" w:rsidRPr="00B24D21">
              <w:rPr>
                <w:rFonts w:cstheme="minorHAnsi"/>
                <w:sz w:val="20"/>
                <w:szCs w:val="20"/>
              </w:rPr>
              <w:t>8</w:t>
            </w:r>
          </w:p>
        </w:tc>
      </w:tr>
      <w:tr w:rsidR="006828E6" w:rsidRPr="00F21DF7" w14:paraId="31B318BF"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tcPr>
          <w:p w14:paraId="11EBC919" w14:textId="1A6E807C" w:rsidR="00C2598E" w:rsidRPr="00E32C67" w:rsidRDefault="00C2598E" w:rsidP="00C2598E">
            <w:pPr>
              <w:rPr>
                <w:b w:val="0"/>
                <w:sz w:val="20"/>
              </w:rPr>
            </w:pPr>
            <w:r w:rsidRPr="00E32C67">
              <w:rPr>
                <w:b w:val="0"/>
                <w:sz w:val="20"/>
              </w:rPr>
              <w:t xml:space="preserve">Post-Survey </w:t>
            </w:r>
            <w:r w:rsidR="00165F80" w:rsidRPr="00E32C67">
              <w:rPr>
                <w:b w:val="0"/>
                <w:sz w:val="20"/>
                <w:szCs w:val="20"/>
              </w:rPr>
              <w:t>r</w:t>
            </w:r>
            <w:r w:rsidRPr="00E32C67">
              <w:rPr>
                <w:b w:val="0"/>
                <w:sz w:val="20"/>
                <w:szCs w:val="20"/>
              </w:rPr>
              <w:t xml:space="preserve">esponse </w:t>
            </w:r>
            <w:r w:rsidR="00165F80" w:rsidRPr="00E32C67">
              <w:rPr>
                <w:b w:val="0"/>
                <w:sz w:val="20"/>
                <w:szCs w:val="20"/>
              </w:rPr>
              <w:t>c</w:t>
            </w:r>
            <w:r w:rsidRPr="00E32C67">
              <w:rPr>
                <w:b w:val="0"/>
                <w:sz w:val="20"/>
                <w:szCs w:val="20"/>
              </w:rPr>
              <w:t xml:space="preserve">larification </w:t>
            </w:r>
            <w:r w:rsidR="00165F80" w:rsidRPr="00E32C67">
              <w:rPr>
                <w:b w:val="0"/>
                <w:sz w:val="20"/>
                <w:szCs w:val="20"/>
              </w:rPr>
              <w:t>p</w:t>
            </w:r>
            <w:r w:rsidRPr="00E32C67">
              <w:rPr>
                <w:b w:val="0"/>
                <w:sz w:val="20"/>
                <w:szCs w:val="20"/>
              </w:rPr>
              <w:t xml:space="preserve">hone </w:t>
            </w:r>
            <w:r w:rsidR="00165F80" w:rsidRPr="00E32C67">
              <w:rPr>
                <w:b w:val="0"/>
                <w:sz w:val="20"/>
                <w:szCs w:val="20"/>
              </w:rPr>
              <w:t>c</w:t>
            </w:r>
            <w:r w:rsidRPr="00E32C67">
              <w:rPr>
                <w:b w:val="0"/>
                <w:sz w:val="20"/>
                <w:szCs w:val="20"/>
              </w:rPr>
              <w:t>all</w:t>
            </w:r>
            <w:r w:rsidRPr="00E32C67">
              <w:rPr>
                <w:b w:val="0"/>
                <w:sz w:val="20"/>
              </w:rPr>
              <w:t xml:space="preserve"> to ADCC Program Directors </w:t>
            </w:r>
          </w:p>
        </w:tc>
        <w:tc>
          <w:tcPr>
            <w:tcW w:w="1026" w:type="pct"/>
            <w:vAlign w:val="center"/>
          </w:tcPr>
          <w:p w14:paraId="1D8E7935" w14:textId="6DCF8924" w:rsidR="00C2598E" w:rsidRPr="00A3434B" w:rsidRDefault="00A742DE" w:rsidP="0033543D">
            <w:pPr>
              <w:jc w:val="center"/>
              <w:cnfStyle w:val="000000000000" w:firstRow="0" w:lastRow="0" w:firstColumn="0" w:lastColumn="0" w:oddVBand="0" w:evenVBand="0" w:oddHBand="0" w:evenHBand="0" w:firstRowFirstColumn="0" w:firstRowLastColumn="0" w:lastRowFirstColumn="0" w:lastRowLastColumn="0"/>
              <w:rPr>
                <w:sz w:val="20"/>
              </w:rPr>
            </w:pPr>
            <w:r w:rsidRPr="00B24D21">
              <w:rPr>
                <w:rFonts w:cstheme="minorHAnsi"/>
                <w:sz w:val="20"/>
                <w:szCs w:val="20"/>
              </w:rPr>
              <w:t>7</w:t>
            </w:r>
          </w:p>
        </w:tc>
        <w:tc>
          <w:tcPr>
            <w:tcW w:w="961" w:type="pct"/>
            <w:vAlign w:val="center"/>
          </w:tcPr>
          <w:p w14:paraId="7DCCB7C6" w14:textId="3A67979E" w:rsidR="00C2598E" w:rsidRPr="00A3434B" w:rsidRDefault="00C2598E" w:rsidP="0033543D">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0.</w:t>
            </w:r>
            <w:r w:rsidR="00F15509" w:rsidRPr="00B24D21">
              <w:rPr>
                <w:rFonts w:cstheme="minorHAnsi"/>
                <w:sz w:val="20"/>
                <w:szCs w:val="20"/>
              </w:rPr>
              <w:t>12</w:t>
            </w:r>
          </w:p>
        </w:tc>
      </w:tr>
      <w:tr w:rsidR="006828E6" w:rsidRPr="00F21DF7" w14:paraId="7840B8CF"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tcPr>
          <w:p w14:paraId="3EC92DEE" w14:textId="4A48042F" w:rsidR="00C2598E" w:rsidRPr="00E32C67" w:rsidRDefault="00C2598E" w:rsidP="00C2598E">
            <w:pPr>
              <w:rPr>
                <w:b w:val="0"/>
                <w:sz w:val="20"/>
              </w:rPr>
            </w:pPr>
            <w:r w:rsidRPr="00E32C67">
              <w:rPr>
                <w:b w:val="0"/>
                <w:sz w:val="20"/>
              </w:rPr>
              <w:t>Survey</w:t>
            </w:r>
            <w:r w:rsidR="00165F80" w:rsidRPr="00E32C67">
              <w:rPr>
                <w:b w:val="0"/>
                <w:sz w:val="20"/>
                <w:szCs w:val="20"/>
              </w:rPr>
              <w:t xml:space="preserve"> (completed by web</w:t>
            </w:r>
            <w:r w:rsidR="00312E1B" w:rsidRPr="00E32C67">
              <w:rPr>
                <w:b w:val="0"/>
                <w:sz w:val="20"/>
                <w:szCs w:val="20"/>
              </w:rPr>
              <w:t xml:space="preserve"> or paper hard copy)</w:t>
            </w:r>
          </w:p>
        </w:tc>
        <w:tc>
          <w:tcPr>
            <w:tcW w:w="1026" w:type="pct"/>
            <w:vAlign w:val="center"/>
          </w:tcPr>
          <w:p w14:paraId="46F3D56F" w14:textId="1766481E" w:rsidR="00C2598E" w:rsidRPr="00A3434B" w:rsidRDefault="00C2598E" w:rsidP="004F209A">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20</w:t>
            </w:r>
          </w:p>
        </w:tc>
        <w:tc>
          <w:tcPr>
            <w:tcW w:w="961" w:type="pct"/>
            <w:vAlign w:val="center"/>
          </w:tcPr>
          <w:p w14:paraId="134FD23A" w14:textId="17319294" w:rsidR="00C2598E" w:rsidRPr="00A3434B" w:rsidRDefault="00C2598E" w:rsidP="004F209A">
            <w:pPr>
              <w:jc w:val="center"/>
              <w:cnfStyle w:val="000000000000" w:firstRow="0" w:lastRow="0" w:firstColumn="0" w:lastColumn="0" w:oddVBand="0" w:evenVBand="0" w:oddHBand="0" w:evenHBand="0" w:firstRowFirstColumn="0" w:firstRowLastColumn="0" w:lastRowFirstColumn="0" w:lastRowLastColumn="0"/>
              <w:rPr>
                <w:sz w:val="20"/>
              </w:rPr>
            </w:pPr>
            <w:r w:rsidRPr="00A3434B">
              <w:rPr>
                <w:sz w:val="20"/>
              </w:rPr>
              <w:t>0.33</w:t>
            </w:r>
          </w:p>
        </w:tc>
      </w:tr>
      <w:tr w:rsidR="008F6A79" w:rsidRPr="00F21DF7" w14:paraId="2B15CECC"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tcPr>
          <w:p w14:paraId="3179905F" w14:textId="4A5D1E26" w:rsidR="008F6A79" w:rsidRPr="00E32C67" w:rsidRDefault="008F6A79" w:rsidP="00C2598E">
            <w:pPr>
              <w:rPr>
                <w:b w:val="0"/>
                <w:sz w:val="20"/>
                <w:szCs w:val="20"/>
              </w:rPr>
            </w:pPr>
            <w:r w:rsidRPr="00E32C67">
              <w:rPr>
                <w:b w:val="0"/>
                <w:sz w:val="20"/>
                <w:szCs w:val="20"/>
              </w:rPr>
              <w:t>Survey (completed by phone)</w:t>
            </w:r>
          </w:p>
        </w:tc>
        <w:tc>
          <w:tcPr>
            <w:tcW w:w="1026" w:type="pct"/>
            <w:vAlign w:val="center"/>
          </w:tcPr>
          <w:p w14:paraId="1FA4550B" w14:textId="36A9AE66" w:rsidR="008F6A79" w:rsidRPr="00B24D21" w:rsidRDefault="008F6A79" w:rsidP="004F209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24D21">
              <w:rPr>
                <w:rFonts w:cstheme="minorHAnsi"/>
                <w:sz w:val="20"/>
                <w:szCs w:val="20"/>
              </w:rPr>
              <w:t>25</w:t>
            </w:r>
          </w:p>
        </w:tc>
        <w:tc>
          <w:tcPr>
            <w:tcW w:w="961" w:type="pct"/>
            <w:vAlign w:val="center"/>
          </w:tcPr>
          <w:p w14:paraId="7E5F5A3D" w14:textId="27B7054B" w:rsidR="008F6A79" w:rsidRPr="00B24D21" w:rsidRDefault="00FA7E07" w:rsidP="004F209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24D21">
              <w:rPr>
                <w:rFonts w:cstheme="minorHAnsi"/>
                <w:sz w:val="20"/>
                <w:szCs w:val="20"/>
              </w:rPr>
              <w:t>0.42</w:t>
            </w:r>
          </w:p>
        </w:tc>
      </w:tr>
      <w:tr w:rsidR="00C94A4B" w:rsidRPr="00F21DF7" w14:paraId="7EB87BDA" w14:textId="77777777" w:rsidTr="009400D7">
        <w:trPr>
          <w:trHeight w:val="20"/>
        </w:trPr>
        <w:tc>
          <w:tcPr>
            <w:cnfStyle w:val="001000000000" w:firstRow="0" w:lastRow="0" w:firstColumn="1" w:lastColumn="0" w:oddVBand="0" w:evenVBand="0" w:oddHBand="0" w:evenHBand="0" w:firstRowFirstColumn="0" w:firstRowLastColumn="0" w:lastRowFirstColumn="0" w:lastRowLastColumn="0"/>
            <w:tcW w:w="3012" w:type="pct"/>
          </w:tcPr>
          <w:p w14:paraId="41F6F27E" w14:textId="47D55C82" w:rsidR="00C94A4B" w:rsidRPr="00B24D21" w:rsidRDefault="006E01DF" w:rsidP="00C2598E">
            <w:pPr>
              <w:rPr>
                <w:b w:val="0"/>
                <w:sz w:val="20"/>
                <w:szCs w:val="20"/>
              </w:rPr>
            </w:pPr>
            <w:r w:rsidRPr="00B24D21">
              <w:rPr>
                <w:b w:val="0"/>
                <w:sz w:val="20"/>
                <w:szCs w:val="20"/>
              </w:rPr>
              <w:t>Frequently Asked Questions (FAQ</w:t>
            </w:r>
            <w:r w:rsidR="00312E1B" w:rsidRPr="00B24D21">
              <w:rPr>
                <w:b w:val="0"/>
                <w:sz w:val="20"/>
                <w:szCs w:val="20"/>
              </w:rPr>
              <w:t>s</w:t>
            </w:r>
            <w:r w:rsidRPr="00B24D21">
              <w:rPr>
                <w:b w:val="0"/>
                <w:sz w:val="20"/>
                <w:szCs w:val="20"/>
              </w:rPr>
              <w:t>)</w:t>
            </w:r>
          </w:p>
        </w:tc>
        <w:tc>
          <w:tcPr>
            <w:tcW w:w="1026" w:type="pct"/>
            <w:vAlign w:val="center"/>
          </w:tcPr>
          <w:p w14:paraId="39C1997A" w14:textId="5D174953" w:rsidR="00C94A4B" w:rsidRPr="00B24D21" w:rsidRDefault="006E01DF" w:rsidP="004F209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24D21">
              <w:rPr>
                <w:rFonts w:cstheme="minorHAnsi"/>
                <w:sz w:val="20"/>
                <w:szCs w:val="20"/>
              </w:rPr>
              <w:t>5</w:t>
            </w:r>
          </w:p>
        </w:tc>
        <w:tc>
          <w:tcPr>
            <w:tcW w:w="961" w:type="pct"/>
            <w:vAlign w:val="center"/>
          </w:tcPr>
          <w:p w14:paraId="53299EA8" w14:textId="56B56C17" w:rsidR="00C94A4B" w:rsidRPr="00B24D21" w:rsidRDefault="006E01DF" w:rsidP="004F209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24D21">
              <w:rPr>
                <w:rFonts w:cstheme="minorHAnsi"/>
                <w:sz w:val="20"/>
                <w:szCs w:val="20"/>
              </w:rPr>
              <w:t>0.08</w:t>
            </w:r>
          </w:p>
        </w:tc>
      </w:tr>
    </w:tbl>
    <w:p w14:paraId="73F46891" w14:textId="77777777" w:rsidR="007F5B2A" w:rsidRDefault="00C67BD0" w:rsidP="00C67BD0">
      <w:pPr>
        <w:rPr>
          <w:sz w:val="18"/>
          <w:szCs w:val="18"/>
        </w:rPr>
      </w:pPr>
      <w:r>
        <w:rPr>
          <w:b/>
        </w:rPr>
        <w:t>*-</w:t>
      </w:r>
      <w:r w:rsidRPr="00C67BD0">
        <w:rPr>
          <w:sz w:val="18"/>
          <w:szCs w:val="18"/>
        </w:rPr>
        <w:t xml:space="preserve"> </w:t>
      </w:r>
      <w:r w:rsidRPr="00287A8F">
        <w:rPr>
          <w:sz w:val="18"/>
          <w:szCs w:val="18"/>
        </w:rPr>
        <w:t>During the pretesting of the survey, the respondents suggested that the most appropriate person for the survey would be the program director. As a result, the study team has updated the text from program operators to program directors. For the survey, the study team plans to recruit the person who knows the most about foodservice operations and food safety training and education needs of center staff.</w:t>
      </w:r>
      <w:r w:rsidR="00BB0E87">
        <w:rPr>
          <w:sz w:val="18"/>
          <w:szCs w:val="18"/>
        </w:rPr>
        <w:t xml:space="preserve"> However, the pretesting was conducted with program operators.</w:t>
      </w:r>
      <w:r w:rsidRPr="00287A8F">
        <w:rPr>
          <w:sz w:val="18"/>
          <w:szCs w:val="18"/>
        </w:rPr>
        <w:t xml:space="preserve"> </w:t>
      </w:r>
    </w:p>
    <w:p w14:paraId="2F3BA456" w14:textId="77777777" w:rsidR="007F5B2A" w:rsidRDefault="007F5B2A" w:rsidP="00C67BD0">
      <w:pPr>
        <w:rPr>
          <w:sz w:val="18"/>
          <w:szCs w:val="18"/>
        </w:rPr>
      </w:pPr>
    </w:p>
    <w:p w14:paraId="573892CF" w14:textId="025C6FDA" w:rsidR="00436D17" w:rsidRPr="00C67BD0" w:rsidRDefault="00C67BD0" w:rsidP="00C67BD0">
      <w:pPr>
        <w:rPr>
          <w:b/>
        </w:rPr>
      </w:pPr>
      <w:r w:rsidRPr="00287A8F">
        <w:rPr>
          <w:sz w:val="18"/>
          <w:szCs w:val="18"/>
        </w:rPr>
        <w:t xml:space="preserve"> </w:t>
      </w:r>
    </w:p>
    <w:p w14:paraId="1141C25E" w14:textId="33E01DE7" w:rsidR="005E15FF" w:rsidRPr="00092D8F" w:rsidRDefault="005E15FF" w:rsidP="00436D17">
      <w:pPr>
        <w:pStyle w:val="ListParagraph"/>
        <w:numPr>
          <w:ilvl w:val="0"/>
          <w:numId w:val="17"/>
        </w:numPr>
        <w:rPr>
          <w:b/>
        </w:rPr>
      </w:pPr>
      <w:r w:rsidRPr="00092D8F">
        <w:rPr>
          <w:b/>
        </w:rPr>
        <w:t>Total Burden Hours on Public:</w:t>
      </w:r>
    </w:p>
    <w:p w14:paraId="015DF5B5" w14:textId="6357FCAB" w:rsidR="00003C5E" w:rsidRDefault="00ED6517" w:rsidP="00675604">
      <w:r>
        <w:t xml:space="preserve">The estimated total burden </w:t>
      </w:r>
      <w:r w:rsidR="00954CED">
        <w:t>in terms</w:t>
      </w:r>
      <w:r w:rsidR="00C746D8">
        <w:t xml:space="preserve"> of hours</w:t>
      </w:r>
      <w:r w:rsidR="00270CC5">
        <w:t xml:space="preserve"> is </w:t>
      </w:r>
      <w:r w:rsidR="002E0451">
        <w:t>491.79</w:t>
      </w:r>
      <w:r w:rsidR="00270CC5">
        <w:t xml:space="preserve"> hours</w:t>
      </w:r>
      <w:r w:rsidR="008B4BCF">
        <w:t xml:space="preserve"> (10.71 hours for State government and </w:t>
      </w:r>
      <w:r w:rsidR="002E0451">
        <w:t>481.08</w:t>
      </w:r>
      <w:r w:rsidR="008B4BCF">
        <w:t xml:space="preserve"> hours for Businesses)</w:t>
      </w:r>
      <w:r w:rsidR="00270CC5">
        <w:t xml:space="preserve">. The complete burden table is enclosed as Appendix </w:t>
      </w:r>
      <w:r w:rsidR="007C6008">
        <w:t>A.1</w:t>
      </w:r>
      <w:r w:rsidR="00270CC5">
        <w:t>.</w:t>
      </w:r>
      <w:r w:rsidR="00E50F8E">
        <w:t xml:space="preserve">  This collection has a web survey (although respondents may complete the survey in </w:t>
      </w:r>
      <w:r w:rsidR="007F5B2A">
        <w:t xml:space="preserve">paper </w:t>
      </w:r>
      <w:r w:rsidR="00E50F8E">
        <w:t>hard copy format or over the phone).  Out of a total</w:t>
      </w:r>
      <w:r w:rsidR="00582DDA">
        <w:t xml:space="preserve"> </w:t>
      </w:r>
      <w:r w:rsidR="002E0451">
        <w:t>6,096</w:t>
      </w:r>
      <w:r w:rsidR="00E50F8E">
        <w:t xml:space="preserve"> responses for this collection, FNS estimates that </w:t>
      </w:r>
      <w:r w:rsidR="002F2F01">
        <w:t>572</w:t>
      </w:r>
      <w:r w:rsidR="00E50F8E">
        <w:t xml:space="preserve"> (</w:t>
      </w:r>
      <w:r w:rsidR="002E0451">
        <w:t>9.</w:t>
      </w:r>
      <w:r w:rsidR="00530CF1">
        <w:t>3</w:t>
      </w:r>
      <w:r w:rsidR="00E50F8E">
        <w:t>%) will be submitted electronically.</w:t>
      </w:r>
      <w:r w:rsidR="00270CC5">
        <w:t xml:space="preserve"> </w:t>
      </w:r>
      <w:r w:rsidR="00C746D8">
        <w:t xml:space="preserve"> </w:t>
      </w:r>
    </w:p>
    <w:p w14:paraId="04CF8B5F" w14:textId="33F40C3E" w:rsidR="005E15FF" w:rsidRPr="00092D8F" w:rsidRDefault="005E15FF" w:rsidP="00675604">
      <w:pPr>
        <w:pStyle w:val="ListParagraph"/>
        <w:numPr>
          <w:ilvl w:val="0"/>
          <w:numId w:val="17"/>
        </w:numPr>
        <w:rPr>
          <w:b/>
        </w:rPr>
      </w:pPr>
      <w:r w:rsidRPr="00092D8F">
        <w:rPr>
          <w:b/>
        </w:rPr>
        <w:t>Project Purpose, Methodology, and Research Design:</w:t>
      </w:r>
    </w:p>
    <w:p w14:paraId="29226613" w14:textId="77777777" w:rsidR="005E15FF" w:rsidRPr="00851D24" w:rsidRDefault="005E15FF" w:rsidP="00675604">
      <w:pPr>
        <w:pStyle w:val="Heading2"/>
      </w:pPr>
      <w:r w:rsidRPr="00675604">
        <w:t>Background</w:t>
      </w:r>
      <w:r w:rsidRPr="00851D24">
        <w:t xml:space="preserve"> </w:t>
      </w:r>
    </w:p>
    <w:p w14:paraId="2FBB5C01" w14:textId="2D9CF69F" w:rsidR="00003C5E" w:rsidRDefault="003B4E70" w:rsidP="00675604">
      <w:r w:rsidRPr="00851D24">
        <w:t>Foodborne illness adversely impacts millions of Americans each year, resulting in more than 128,000 hospitalizations and 3,000 deaths.</w:t>
      </w:r>
      <w:r w:rsidRPr="00851D24">
        <w:rPr>
          <w:rStyle w:val="FootnoteReference"/>
          <w:rFonts w:asciiTheme="majorHAnsi" w:hAnsiTheme="majorHAnsi" w:cstheme="majorHAnsi"/>
        </w:rPr>
        <w:footnoteReference w:id="2"/>
      </w:r>
      <w:r w:rsidRPr="00851D24">
        <w:t xml:space="preserve"> However, foodborne illness is often preventable when proper food safety practices are employed, especially by those who are responsible for procuring and preparing food. Food safety is a particularly important consideration for ADCC program </w:t>
      </w:r>
      <w:r w:rsidR="007C6008">
        <w:t>directors</w:t>
      </w:r>
      <w:r w:rsidR="007C6008">
        <w:rPr>
          <w:rStyle w:val="FootnoteReference"/>
        </w:rPr>
        <w:footnoteReference w:id="3"/>
      </w:r>
      <w:r w:rsidR="007C6008" w:rsidRPr="00851D24">
        <w:t xml:space="preserve"> </w:t>
      </w:r>
      <w:r w:rsidRPr="00851D24">
        <w:t xml:space="preserve">because many older and functionally impaired adults often have health conditions and suppressed immune systems that make them </w:t>
      </w:r>
      <w:r w:rsidRPr="00675604">
        <w:t>more</w:t>
      </w:r>
      <w:r w:rsidRPr="00851D24">
        <w:t xml:space="preserve"> susceptible to acquiring and less able to recover from foodborne illness.</w:t>
      </w:r>
      <w:r w:rsidRPr="00851D24">
        <w:rPr>
          <w:rStyle w:val="FootnoteReference"/>
          <w:rFonts w:asciiTheme="majorHAnsi" w:hAnsiTheme="majorHAnsi" w:cstheme="majorHAnsi"/>
        </w:rPr>
        <w:footnoteReference w:id="4"/>
      </w:r>
      <w:r w:rsidRPr="00851D24">
        <w:t xml:space="preserve"> Maintaining food preparation and safety standards c</w:t>
      </w:r>
      <w:r w:rsidR="00FF678E">
        <w:t>an</w:t>
      </w:r>
      <w:r w:rsidRPr="00851D24">
        <w:t xml:space="preserve"> prove challenging because food preparation and operations vary across ADCCs.</w:t>
      </w:r>
      <w:r w:rsidR="005A31AE">
        <w:t xml:space="preserve"> </w:t>
      </w:r>
    </w:p>
    <w:p w14:paraId="1D4FB887" w14:textId="65AC2A36" w:rsidR="00003C5E" w:rsidRDefault="003B4E70" w:rsidP="00675604">
      <w:r w:rsidRPr="00851D24">
        <w:t>ADCCs that participate in CACFP must follow State and local health and sanitation regulations.</w:t>
      </w:r>
      <w:r w:rsidRPr="00851D24">
        <w:rPr>
          <w:rStyle w:val="FootnoteReference"/>
          <w:rFonts w:asciiTheme="majorHAnsi" w:hAnsiTheme="majorHAnsi" w:cstheme="majorHAnsi"/>
        </w:rPr>
        <w:footnoteReference w:id="5"/>
      </w:r>
      <w:r w:rsidRPr="00851D24">
        <w:t xml:space="preserve"> The </w:t>
      </w:r>
      <w:r w:rsidR="002A0C08">
        <w:t xml:space="preserve">FNS </w:t>
      </w:r>
      <w:r w:rsidRPr="00851D24">
        <w:t xml:space="preserve">Office of Food Safety (OFS), as part of FNS’s Supplemental Nutrition and Safety Programs, is committed to expanding food safety training in FNS programs to meet the needs of nutrition assistance program </w:t>
      </w:r>
      <w:r w:rsidR="007C6008">
        <w:t>staff</w:t>
      </w:r>
      <w:r w:rsidRPr="00851D24">
        <w:t xml:space="preserve">. Since </w:t>
      </w:r>
      <w:r w:rsidRPr="00675604">
        <w:t>2011</w:t>
      </w:r>
      <w:r w:rsidRPr="00851D24">
        <w:t xml:space="preserve">, OFS </w:t>
      </w:r>
      <w:r w:rsidR="00AF0FA4">
        <w:t>has been</w:t>
      </w:r>
      <w:r w:rsidRPr="00851D24">
        <w:t xml:space="preserve"> funded through Child Nutrition appropriations and has historically focused its food safety training and technical resources </w:t>
      </w:r>
      <w:r w:rsidR="000B58CD">
        <w:t>toward</w:t>
      </w:r>
      <w:r w:rsidR="000B58CD" w:rsidRPr="00851D24">
        <w:t xml:space="preserve"> </w:t>
      </w:r>
      <w:r w:rsidR="000B58CD">
        <w:t>individuals</w:t>
      </w:r>
      <w:r w:rsidRPr="00851D24">
        <w:t xml:space="preserve"> within school meal and child care programs. OFS</w:t>
      </w:r>
      <w:r w:rsidRPr="00851D24">
        <w:rPr>
          <w:rStyle w:val="FootnoteReference"/>
          <w:rFonts w:asciiTheme="majorHAnsi" w:hAnsiTheme="majorHAnsi" w:cstheme="majorHAnsi"/>
        </w:rPr>
        <w:footnoteReference w:id="6"/>
      </w:r>
      <w:r w:rsidRPr="00851D24">
        <w:t xml:space="preserve"> is working to expand its efforts to include CACFP, including </w:t>
      </w:r>
      <w:r w:rsidR="005F55C1">
        <w:t xml:space="preserve">ADCC </w:t>
      </w:r>
      <w:r w:rsidRPr="00851D24">
        <w:t xml:space="preserve">program </w:t>
      </w:r>
      <w:r w:rsidR="007C6008">
        <w:t xml:space="preserve">directors and </w:t>
      </w:r>
      <w:r w:rsidR="00436D17">
        <w:t xml:space="preserve">their </w:t>
      </w:r>
      <w:r w:rsidR="007C6008">
        <w:t>staff</w:t>
      </w:r>
      <w:r w:rsidRPr="00851D24">
        <w:t>. OFS aims to determine the specific food safety education needs of these</w:t>
      </w:r>
      <w:r w:rsidR="00436D17">
        <w:t xml:space="preserve"> program directors</w:t>
      </w:r>
      <w:r w:rsidR="007C6008" w:rsidRPr="00851D24">
        <w:t xml:space="preserve"> </w:t>
      </w:r>
      <w:r w:rsidRPr="00851D24">
        <w:t xml:space="preserve">using this </w:t>
      </w:r>
      <w:r w:rsidR="000B58CD">
        <w:t>QRS</w:t>
      </w:r>
      <w:r w:rsidRPr="00851D24">
        <w:t xml:space="preserve">. </w:t>
      </w:r>
    </w:p>
    <w:p w14:paraId="7939F94F" w14:textId="5A201EF0" w:rsidR="005E15FF" w:rsidRPr="00851D24" w:rsidRDefault="005E15FF" w:rsidP="00675604">
      <w:pPr>
        <w:pStyle w:val="Heading2"/>
      </w:pPr>
      <w:r w:rsidRPr="00675604">
        <w:t>Purpose</w:t>
      </w:r>
    </w:p>
    <w:p w14:paraId="7E673C17" w14:textId="4CA8C9DB" w:rsidR="00C56C72" w:rsidRPr="00851D24" w:rsidRDefault="00C56C72" w:rsidP="00675604">
      <w:r w:rsidRPr="00851D24">
        <w:t xml:space="preserve">The objective of this study is to </w:t>
      </w:r>
      <w:r w:rsidRPr="00851D24">
        <w:rPr>
          <w:b/>
          <w:i/>
        </w:rPr>
        <w:t xml:space="preserve">identify the food safety education needs (i.e., training and resources) of ADCC program </w:t>
      </w:r>
      <w:r w:rsidR="007C6008">
        <w:rPr>
          <w:b/>
          <w:i/>
        </w:rPr>
        <w:t>directors</w:t>
      </w:r>
      <w:r w:rsidRPr="00851D24">
        <w:t xml:space="preserve">. To </w:t>
      </w:r>
      <w:r w:rsidRPr="00675604">
        <w:t>achieve</w:t>
      </w:r>
      <w:r w:rsidRPr="00851D24">
        <w:t xml:space="preserve"> this research objective, this study will address the following three research questions:</w:t>
      </w:r>
    </w:p>
    <w:p w14:paraId="59792FB9" w14:textId="30D2DC4C" w:rsidR="00C56C72" w:rsidRPr="00675604" w:rsidRDefault="00C56C72" w:rsidP="00675604">
      <w:pPr>
        <w:pStyle w:val="ListParagraph"/>
        <w:numPr>
          <w:ilvl w:val="0"/>
          <w:numId w:val="19"/>
        </w:numPr>
      </w:pPr>
      <w:r w:rsidRPr="00675604">
        <w:t xml:space="preserve">What are the food safety knowledge gaps among ADCC program </w:t>
      </w:r>
      <w:r w:rsidR="00C67E8E">
        <w:t>director</w:t>
      </w:r>
      <w:r w:rsidR="00B51C9B">
        <w:t>s</w:t>
      </w:r>
      <w:r w:rsidRPr="00675604">
        <w:t>?</w:t>
      </w:r>
    </w:p>
    <w:p w14:paraId="19289F4E" w14:textId="0C6F4E74" w:rsidR="00C56C72" w:rsidRPr="00675604" w:rsidRDefault="00C56C72" w:rsidP="00675604">
      <w:pPr>
        <w:pStyle w:val="ListParagraph"/>
        <w:numPr>
          <w:ilvl w:val="0"/>
          <w:numId w:val="19"/>
        </w:numPr>
      </w:pPr>
      <w:r w:rsidRPr="00675604">
        <w:t xml:space="preserve">How do site-level </w:t>
      </w:r>
      <w:r w:rsidR="00305296">
        <w:t>directors</w:t>
      </w:r>
      <w:r w:rsidR="007C6008" w:rsidRPr="00675604">
        <w:t xml:space="preserve"> </w:t>
      </w:r>
      <w:r w:rsidRPr="00675604">
        <w:t>want to receive food safety education?</w:t>
      </w:r>
    </w:p>
    <w:p w14:paraId="467437AC" w14:textId="77777777" w:rsidR="00C56C72" w:rsidRPr="00675604" w:rsidRDefault="00C56C72" w:rsidP="00675604">
      <w:pPr>
        <w:pStyle w:val="ListParagraph"/>
        <w:numPr>
          <w:ilvl w:val="0"/>
          <w:numId w:val="19"/>
        </w:numPr>
      </w:pPr>
      <w:r w:rsidRPr="00675604">
        <w:t>What is the best way to communicate the availability of food safety education training and resources?</w:t>
      </w:r>
    </w:p>
    <w:p w14:paraId="19061351" w14:textId="5D9F74D0" w:rsidR="00003C5E" w:rsidRDefault="00C56C72" w:rsidP="00675604">
      <w:pPr>
        <w:rPr>
          <w:highlight w:val="yellow"/>
        </w:rPr>
      </w:pPr>
      <w:r w:rsidRPr="00851D24">
        <w:t xml:space="preserve">The answers to these </w:t>
      </w:r>
      <w:r w:rsidR="00315AF3">
        <w:t>research questions</w:t>
      </w:r>
      <w:r w:rsidRPr="00851D24">
        <w:t xml:space="preserve"> will help FNS better understand the food safety education needs among ADCC program </w:t>
      </w:r>
      <w:r w:rsidR="00305296">
        <w:t>directors</w:t>
      </w:r>
      <w:r w:rsidR="00305296" w:rsidRPr="00851D24">
        <w:t xml:space="preserve"> </w:t>
      </w:r>
      <w:r w:rsidRPr="00851D24">
        <w:t xml:space="preserve">and </w:t>
      </w:r>
      <w:r w:rsidR="004843A0">
        <w:t>how</w:t>
      </w:r>
      <w:r w:rsidR="002A0C08">
        <w:t xml:space="preserve"> </w:t>
      </w:r>
      <w:r w:rsidR="004843A0">
        <w:t xml:space="preserve">these program </w:t>
      </w:r>
      <w:r w:rsidR="00305296">
        <w:t>directors</w:t>
      </w:r>
      <w:r w:rsidR="00305296" w:rsidRPr="00851D24">
        <w:t xml:space="preserve"> </w:t>
      </w:r>
      <w:r w:rsidRPr="00851D24">
        <w:t xml:space="preserve">want to receive the needed information. This </w:t>
      </w:r>
      <w:r w:rsidR="002A0C08">
        <w:t>data</w:t>
      </w:r>
      <w:r w:rsidR="002A0C08" w:rsidRPr="00851D24">
        <w:t xml:space="preserve"> </w:t>
      </w:r>
      <w:r w:rsidRPr="00851D24">
        <w:t xml:space="preserve">will </w:t>
      </w:r>
      <w:r w:rsidRPr="00675604">
        <w:t>help</w:t>
      </w:r>
      <w:r w:rsidRPr="00851D24">
        <w:t xml:space="preserve"> OFS develop training and technical resources to meet the needs of program </w:t>
      </w:r>
      <w:r w:rsidR="007C6008">
        <w:t xml:space="preserve">directors and </w:t>
      </w:r>
      <w:r w:rsidR="00436D17">
        <w:t xml:space="preserve">their </w:t>
      </w:r>
      <w:r w:rsidR="007C6008">
        <w:t>staff</w:t>
      </w:r>
      <w:r w:rsidRPr="00851D24">
        <w:t>.</w:t>
      </w:r>
    </w:p>
    <w:p w14:paraId="737697DF" w14:textId="6050DB9E" w:rsidR="005E15FF" w:rsidRPr="00675604" w:rsidRDefault="005E15FF" w:rsidP="00675604">
      <w:pPr>
        <w:pStyle w:val="Heading2"/>
      </w:pPr>
      <w:r w:rsidRPr="00675604">
        <w:t>Methodology/Research Design</w:t>
      </w:r>
    </w:p>
    <w:p w14:paraId="674AE811" w14:textId="036058E3" w:rsidR="00003C5E" w:rsidRDefault="000054CB" w:rsidP="00675604">
      <w:r w:rsidRPr="00851D24">
        <w:t xml:space="preserve">The study team will survey a nationally representative sample of ADCC program </w:t>
      </w:r>
      <w:r w:rsidR="000B5670">
        <w:t>directors</w:t>
      </w:r>
      <w:r w:rsidRPr="00851D24">
        <w:t xml:space="preserve"> across the United States using a mixed-mode data collection effort.</w:t>
      </w:r>
      <w:r w:rsidR="00327D70" w:rsidRPr="00851D24">
        <w:t xml:space="preserve"> </w:t>
      </w:r>
      <w:r w:rsidR="005D0352">
        <w:t>Collaborating with FNS, t</w:t>
      </w:r>
      <w:r w:rsidR="002A0C08">
        <w:t>he study team has</w:t>
      </w:r>
      <w:r w:rsidR="00596DAD" w:rsidRPr="00851D24">
        <w:t xml:space="preserve"> develop</w:t>
      </w:r>
      <w:r w:rsidR="001E6E38" w:rsidRPr="00851D24">
        <w:t>ed</w:t>
      </w:r>
      <w:r w:rsidR="00596DAD" w:rsidRPr="00851D24">
        <w:t xml:space="preserve"> </w:t>
      </w:r>
      <w:r w:rsidR="00596DAD" w:rsidRPr="00675604">
        <w:t>recruitment</w:t>
      </w:r>
      <w:r w:rsidR="00596DAD" w:rsidRPr="00851D24">
        <w:t xml:space="preserve"> materials for </w:t>
      </w:r>
      <w:r w:rsidR="00A72B30" w:rsidRPr="00851D24">
        <w:t>State Agencies</w:t>
      </w:r>
      <w:r w:rsidR="00596DAD" w:rsidRPr="00851D24">
        <w:t xml:space="preserve">, ADCC </w:t>
      </w:r>
      <w:r w:rsidR="007C6008">
        <w:t>sponsoring organizations</w:t>
      </w:r>
      <w:r w:rsidR="00596DAD" w:rsidRPr="00851D24">
        <w:t>, and ADCC</w:t>
      </w:r>
      <w:r w:rsidR="002A1B72" w:rsidRPr="00851D24">
        <w:t xml:space="preserve"> program </w:t>
      </w:r>
      <w:r w:rsidR="007C6008">
        <w:t>directors</w:t>
      </w:r>
      <w:r w:rsidR="00596DAD" w:rsidRPr="00851D24">
        <w:t xml:space="preserve">. These materials will feature the purpose of the study, potential benefits of participating in the study, data collection time frame, and data request. </w:t>
      </w:r>
      <w:r w:rsidR="002A0C08">
        <w:t>The study team</w:t>
      </w:r>
      <w:r w:rsidR="002A0C08" w:rsidRPr="00851D24">
        <w:t xml:space="preserve"> </w:t>
      </w:r>
      <w:r w:rsidR="00596DAD" w:rsidRPr="00851D24">
        <w:t xml:space="preserve">will tailor letters based on the appropriate audience. Participants will be told the voluntary nature of the study and the anonymity of participation. </w:t>
      </w:r>
      <w:r w:rsidR="002A0C08">
        <w:t>Contact</w:t>
      </w:r>
      <w:r w:rsidR="00596DAD" w:rsidRPr="00851D24">
        <w:t xml:space="preserve"> information for</w:t>
      </w:r>
      <w:r w:rsidR="001220C1" w:rsidRPr="00851D24">
        <w:t xml:space="preserve"> the FNS liaison</w:t>
      </w:r>
      <w:r w:rsidR="00582DDA">
        <w:t xml:space="preserve"> </w:t>
      </w:r>
      <w:r w:rsidR="002A0C08">
        <w:t xml:space="preserve">will be provided as part of </w:t>
      </w:r>
      <w:r w:rsidR="001220C1" w:rsidRPr="00851D24">
        <w:t xml:space="preserve">the Frequently Asked Questions </w:t>
      </w:r>
      <w:r w:rsidR="007C6008">
        <w:t>(FAQs)</w:t>
      </w:r>
      <w:r w:rsidR="00BB0E87">
        <w:t xml:space="preserve"> </w:t>
      </w:r>
      <w:r w:rsidR="00AC577E">
        <w:t>(Appendix A.19)</w:t>
      </w:r>
      <w:r w:rsidR="007C6008">
        <w:t xml:space="preserve"> </w:t>
      </w:r>
      <w:r w:rsidR="001220C1" w:rsidRPr="00851D24">
        <w:t>developed for</w:t>
      </w:r>
      <w:r w:rsidR="00596DAD" w:rsidRPr="00851D24">
        <w:t xml:space="preserve"> the study.</w:t>
      </w:r>
    </w:p>
    <w:p w14:paraId="7C27FE22" w14:textId="13380600" w:rsidR="007A4D7F" w:rsidRPr="00675604" w:rsidRDefault="005E15FF" w:rsidP="00675604">
      <w:pPr>
        <w:pStyle w:val="Heading2"/>
      </w:pPr>
      <w:r w:rsidRPr="00675604">
        <w:t>Design/Sampling Procedures</w:t>
      </w:r>
    </w:p>
    <w:p w14:paraId="74DF3AAE" w14:textId="7165D548" w:rsidR="00003C5E" w:rsidRDefault="002A0C08" w:rsidP="00D816C3">
      <w:r>
        <w:t xml:space="preserve">The study team </w:t>
      </w:r>
      <w:r w:rsidR="00D77079" w:rsidRPr="00851D24">
        <w:t xml:space="preserve">will select a nationally representative sample of 800 ADCCs. </w:t>
      </w:r>
      <w:r>
        <w:t>A</w:t>
      </w:r>
      <w:r w:rsidR="00D77079" w:rsidRPr="00851D24">
        <w:t>n 80 percent response rate</w:t>
      </w:r>
      <w:r>
        <w:t xml:space="preserve"> </w:t>
      </w:r>
      <w:r w:rsidR="00D77079" w:rsidRPr="00851D24">
        <w:t xml:space="preserve">will provide an analytical sample of approximately 640 ADCCs to satisfy the precision targets </w:t>
      </w:r>
      <w:r w:rsidR="00C21689" w:rsidRPr="00851D24">
        <w:t>required</w:t>
      </w:r>
      <w:r w:rsidR="00D77079" w:rsidRPr="00851D24">
        <w:t>—namely, a 5 percent level of precision with a 95 percent level of confidence for national estimates, and a 7 percent to 10 percent level of precision with 90 percent confidence</w:t>
      </w:r>
      <w:r w:rsidR="005B2DFA">
        <w:t xml:space="preserve"> level</w:t>
      </w:r>
      <w:r w:rsidR="00D77079" w:rsidRPr="00851D24">
        <w:t xml:space="preserve"> for subgroup estimates, according to FNS region and urbanicity. </w:t>
      </w:r>
      <w:r>
        <w:t>The study team</w:t>
      </w:r>
      <w:r w:rsidRPr="00851D24">
        <w:t xml:space="preserve"> </w:t>
      </w:r>
      <w:r w:rsidR="00D77079" w:rsidRPr="00851D24">
        <w:t>will select a stratified, systematic, random sample of ADCCs, where strata are defined according to the seven FNS regions</w:t>
      </w:r>
      <w:r w:rsidR="004543A8" w:rsidRPr="00851D24">
        <w:t xml:space="preserve"> and urbanicity</w:t>
      </w:r>
      <w:r w:rsidR="00D77079" w:rsidRPr="00851D24">
        <w:t xml:space="preserve">. Prior to sampling, ADCCs </w:t>
      </w:r>
      <w:r>
        <w:t xml:space="preserve">will be sorted </w:t>
      </w:r>
      <w:r w:rsidR="00D77079" w:rsidRPr="00851D24">
        <w:t xml:space="preserve">within FNS regions by </w:t>
      </w:r>
      <w:r w:rsidR="002208A6" w:rsidRPr="00851D24">
        <w:t>urbanicity and center</w:t>
      </w:r>
      <w:r w:rsidR="00D77079" w:rsidRPr="00851D24">
        <w:t xml:space="preserve"> size according to the number of adults in the center. This approach ensures that enough ADCCs are selected for each</w:t>
      </w:r>
      <w:r w:rsidR="006E79CB" w:rsidRPr="00851D24">
        <w:t xml:space="preserve"> region</w:t>
      </w:r>
      <w:r w:rsidR="00CB6407">
        <w:t xml:space="preserve"> and </w:t>
      </w:r>
      <w:r w:rsidR="00D77079" w:rsidRPr="00851D24">
        <w:t xml:space="preserve">urbanicity category and a balanced number of smaller and larger centers are represented in the sample. </w:t>
      </w:r>
    </w:p>
    <w:p w14:paraId="66017C16" w14:textId="77777777" w:rsidR="00003C5E" w:rsidRPr="00675604" w:rsidRDefault="005E15FF" w:rsidP="00675604">
      <w:pPr>
        <w:pStyle w:val="Heading2"/>
      </w:pPr>
      <w:r w:rsidRPr="00675604">
        <w:t>Recruitment and Consent</w:t>
      </w:r>
    </w:p>
    <w:p w14:paraId="6E42FF4F" w14:textId="7A81F0D8" w:rsidR="00D068D1" w:rsidRPr="00675604" w:rsidRDefault="00D068D1" w:rsidP="00675604">
      <w:pPr>
        <w:pStyle w:val="Heading3"/>
      </w:pPr>
      <w:r w:rsidRPr="00675604">
        <w:t>Recruitment for Pretesting</w:t>
      </w:r>
    </w:p>
    <w:p w14:paraId="3F20A7A6" w14:textId="05CE0F6D" w:rsidR="00003C5E" w:rsidRDefault="00240761" w:rsidP="00675604">
      <w:r>
        <w:t>The study team</w:t>
      </w:r>
      <w:r w:rsidR="00E17F06" w:rsidRPr="008436BD">
        <w:t xml:space="preserve"> conduct</w:t>
      </w:r>
      <w:r>
        <w:t>ed</w:t>
      </w:r>
      <w:r w:rsidR="00E17F06" w:rsidRPr="008436BD">
        <w:t xml:space="preserve"> cognitive pretests of the survey with five ADCC program operators. FNS staff contact</w:t>
      </w:r>
      <w:r>
        <w:t>ed</w:t>
      </w:r>
      <w:r w:rsidR="00E17F06" w:rsidRPr="008436BD">
        <w:t xml:space="preserve"> one FNS R</w:t>
      </w:r>
      <w:r w:rsidR="00FF42E2">
        <w:t>egional Office</w:t>
      </w:r>
      <w:r w:rsidR="00E17F06" w:rsidRPr="008436BD">
        <w:t xml:space="preserve"> (Western Regional Office) </w:t>
      </w:r>
      <w:r>
        <w:t>which</w:t>
      </w:r>
      <w:r w:rsidR="00E17F06" w:rsidRPr="008436BD">
        <w:t xml:space="preserve"> identif</w:t>
      </w:r>
      <w:r>
        <w:t xml:space="preserve">ied </w:t>
      </w:r>
      <w:r w:rsidR="004F39BE">
        <w:t>nine</w:t>
      </w:r>
      <w:r>
        <w:t xml:space="preserve"> </w:t>
      </w:r>
      <w:r w:rsidR="00E17F06" w:rsidRPr="008436BD">
        <w:t xml:space="preserve">ADCC </w:t>
      </w:r>
      <w:r w:rsidR="004F39BE">
        <w:t xml:space="preserve">centers </w:t>
      </w:r>
      <w:r w:rsidR="00E17F06" w:rsidRPr="008436BD">
        <w:t>from one State (California), with a mix of sponsored and independent centers. The study team contact</w:t>
      </w:r>
      <w:r>
        <w:t xml:space="preserve">ed </w:t>
      </w:r>
      <w:r w:rsidR="004F39BE">
        <w:t>three ADCC sponsoring organization</w:t>
      </w:r>
      <w:r w:rsidR="00922430">
        <w:t>s</w:t>
      </w:r>
      <w:r w:rsidR="004F39BE">
        <w:t xml:space="preserve"> (Appendix A.1</w:t>
      </w:r>
      <w:r w:rsidR="00375FDF">
        <w:t xml:space="preserve"> in Appendix A.18 - Cognitive Pretest Memo</w:t>
      </w:r>
      <w:r w:rsidR="004F39BE">
        <w:t xml:space="preserve">) and six </w:t>
      </w:r>
      <w:r w:rsidR="00E17F06" w:rsidRPr="008436BD">
        <w:t xml:space="preserve">ADCC program operators </w:t>
      </w:r>
      <w:r>
        <w:t>vi</w:t>
      </w:r>
      <w:r w:rsidR="004F39BE">
        <w:t>a</w:t>
      </w:r>
      <w:r>
        <w:t xml:space="preserve"> email</w:t>
      </w:r>
      <w:r w:rsidR="00B923F7">
        <w:t>s</w:t>
      </w:r>
      <w:r>
        <w:t xml:space="preserve"> </w:t>
      </w:r>
      <w:r w:rsidR="004F39BE">
        <w:t>(Appendix A.</w:t>
      </w:r>
      <w:r w:rsidR="00375FDF">
        <w:t>2 in Appendix A.18 - Cognitive Pretest Memo</w:t>
      </w:r>
      <w:r w:rsidR="004F39BE">
        <w:t xml:space="preserve">) </w:t>
      </w:r>
      <w:r>
        <w:t xml:space="preserve">and phone </w:t>
      </w:r>
      <w:r w:rsidR="004F39BE">
        <w:t>call</w:t>
      </w:r>
      <w:r w:rsidR="005D2BFE">
        <w:t>s</w:t>
      </w:r>
      <w:r w:rsidR="004F39BE">
        <w:t xml:space="preserve"> (Appendix A.</w:t>
      </w:r>
      <w:r w:rsidR="00375FDF">
        <w:t>3 in Appendix A.18 - Cognitive Pretest Memo</w:t>
      </w:r>
      <w:r w:rsidR="004F39BE">
        <w:t xml:space="preserve">) </w:t>
      </w:r>
      <w:r w:rsidR="00E17F06" w:rsidRPr="008436BD">
        <w:t>to explain the pretest and schedule a 1-hour pretest interview. To minimize the burden of participating in this pretest, program operators complete</w:t>
      </w:r>
      <w:r>
        <w:t>d</w:t>
      </w:r>
      <w:r w:rsidR="00E17F06" w:rsidRPr="008436BD">
        <w:t xml:space="preserve"> a hard</w:t>
      </w:r>
      <w:r w:rsidR="00D3078C">
        <w:t xml:space="preserve"> </w:t>
      </w:r>
      <w:r w:rsidR="00E17F06" w:rsidRPr="008436BD">
        <w:t xml:space="preserve">copy survey </w:t>
      </w:r>
      <w:r w:rsidR="004F39BE">
        <w:t>(Appendix A.</w:t>
      </w:r>
      <w:r w:rsidR="00375FDF">
        <w:t>4 in Appendix A.18 - Cognitive Pretest Memo</w:t>
      </w:r>
      <w:r w:rsidR="004F39BE">
        <w:t xml:space="preserve">) </w:t>
      </w:r>
      <w:r w:rsidR="00E17F06" w:rsidRPr="008436BD">
        <w:t>and answer</w:t>
      </w:r>
      <w:r w:rsidR="00B25250">
        <w:t>ed</w:t>
      </w:r>
      <w:r w:rsidR="00E17F06" w:rsidRPr="008436BD">
        <w:t xml:space="preserve"> cognitive interview questions during a single call. The cognitive interview questions focus</w:t>
      </w:r>
      <w:r>
        <w:t>ed</w:t>
      </w:r>
      <w:r w:rsidR="00E17F06" w:rsidRPr="008436BD">
        <w:t xml:space="preserve"> on whether respondents understood the meaning of the questions; whether they had difficulty answering the questions; and whether the response options were applicable, clear, and comprehensive. Pretest questions also focus</w:t>
      </w:r>
      <w:r>
        <w:t>ed</w:t>
      </w:r>
      <w:r w:rsidR="00E17F06" w:rsidRPr="008436BD">
        <w:t xml:space="preserve"> on whether the survey question ordering is logical and whether the skip patterns are clear, which is especially important for hard</w:t>
      </w:r>
      <w:r w:rsidR="00D3078C">
        <w:t xml:space="preserve"> </w:t>
      </w:r>
      <w:r w:rsidR="00E17F06" w:rsidRPr="008436BD">
        <w:t>copy survey administration. Each respondent receive</w:t>
      </w:r>
      <w:r>
        <w:t>d</w:t>
      </w:r>
      <w:r w:rsidR="00E17F06" w:rsidRPr="008436BD">
        <w:t xml:space="preserve"> a $30 incentive for participating in the pretest</w:t>
      </w:r>
      <w:r w:rsidR="000276EF">
        <w:t xml:space="preserve"> </w:t>
      </w:r>
      <w:r w:rsidR="007B04EE">
        <w:t>as they spend an additional 40 minutes providing detailed</w:t>
      </w:r>
      <w:r w:rsidR="00EE60FF">
        <w:t xml:space="preserve"> responses to the cognitive interview questions</w:t>
      </w:r>
      <w:r w:rsidR="00E17F06" w:rsidRPr="008436BD">
        <w:t xml:space="preserve">. </w:t>
      </w:r>
      <w:r w:rsidR="00A46BEE" w:rsidRPr="008436BD">
        <w:t>Th</w:t>
      </w:r>
      <w:r w:rsidR="004F39BE">
        <w:t>e</w:t>
      </w:r>
      <w:r w:rsidR="00A46BEE" w:rsidRPr="008436BD">
        <w:t xml:space="preserve"> </w:t>
      </w:r>
      <w:r>
        <w:t>study team updated the</w:t>
      </w:r>
      <w:r w:rsidR="00E17F06" w:rsidRPr="008436BD">
        <w:t xml:space="preserve"> final survey instrument </w:t>
      </w:r>
      <w:r w:rsidR="004F39BE">
        <w:t>(Appendix A.1</w:t>
      </w:r>
      <w:r w:rsidR="00375FDF">
        <w:t>5 through A.17</w:t>
      </w:r>
      <w:r w:rsidR="004F39BE">
        <w:t xml:space="preserve">) </w:t>
      </w:r>
      <w:r w:rsidR="00E17F06" w:rsidRPr="008436BD">
        <w:t>and recruitment materials</w:t>
      </w:r>
      <w:r>
        <w:t xml:space="preserve"> </w:t>
      </w:r>
      <w:r w:rsidR="004F39BE">
        <w:t>(Appendix A.2 through A.1</w:t>
      </w:r>
      <w:r w:rsidR="00375FDF">
        <w:t>4</w:t>
      </w:r>
      <w:r w:rsidR="004F39BE">
        <w:t xml:space="preserve">) </w:t>
      </w:r>
      <w:r>
        <w:t>to reflect the findings from the cognitive pretest</w:t>
      </w:r>
      <w:r w:rsidR="00E17F06" w:rsidRPr="008436BD">
        <w:t>.</w:t>
      </w:r>
      <w:r w:rsidR="00971910" w:rsidDel="00971910">
        <w:rPr>
          <w:rStyle w:val="FootnoteReference"/>
        </w:rPr>
        <w:t xml:space="preserve"> </w:t>
      </w:r>
    </w:p>
    <w:p w14:paraId="3B365F60" w14:textId="7D9102AD" w:rsidR="00D068D1" w:rsidRPr="00675604" w:rsidRDefault="00D068D1" w:rsidP="00582DDA">
      <w:pPr>
        <w:pStyle w:val="Heading3"/>
      </w:pPr>
      <w:r w:rsidRPr="00675604">
        <w:t>Recruitment for Survey</w:t>
      </w:r>
    </w:p>
    <w:p w14:paraId="3A68B28F" w14:textId="464492AE" w:rsidR="00980B65" w:rsidRPr="00851D24" w:rsidRDefault="00980B65" w:rsidP="00675604">
      <w:r w:rsidRPr="00851D24">
        <w:t xml:space="preserve">The study team will recruit ADCC program </w:t>
      </w:r>
      <w:r w:rsidR="00B43B6E">
        <w:t>directors</w:t>
      </w:r>
      <w:r w:rsidR="00B43B6E" w:rsidRPr="00851D24">
        <w:t xml:space="preserve"> </w:t>
      </w:r>
      <w:r w:rsidRPr="00851D24">
        <w:t xml:space="preserve">according to the following steps: </w:t>
      </w:r>
    </w:p>
    <w:p w14:paraId="5D96FAB4" w14:textId="3E86F0F2" w:rsidR="00980B65" w:rsidRPr="00851D24" w:rsidRDefault="002A0C08" w:rsidP="00980B65">
      <w:pPr>
        <w:pStyle w:val="ListParagraph"/>
        <w:numPr>
          <w:ilvl w:val="0"/>
          <w:numId w:val="11"/>
        </w:numPr>
        <w:contextualSpacing/>
        <w:rPr>
          <w:rFonts w:asciiTheme="majorHAnsi" w:hAnsiTheme="majorHAnsi" w:cstheme="majorHAnsi"/>
        </w:rPr>
      </w:pPr>
      <w:r>
        <w:rPr>
          <w:rFonts w:asciiTheme="majorHAnsi" w:hAnsiTheme="majorHAnsi" w:cstheme="majorHAnsi"/>
        </w:rPr>
        <w:t>FNS</w:t>
      </w:r>
      <w:r w:rsidR="00980B65" w:rsidRPr="00851D24">
        <w:rPr>
          <w:rFonts w:asciiTheme="majorHAnsi" w:hAnsiTheme="majorHAnsi" w:cstheme="majorHAnsi"/>
        </w:rPr>
        <w:t xml:space="preserve"> R</w:t>
      </w:r>
      <w:r w:rsidR="00BA02CB">
        <w:rPr>
          <w:rFonts w:asciiTheme="majorHAnsi" w:hAnsiTheme="majorHAnsi" w:cstheme="majorHAnsi"/>
        </w:rPr>
        <w:t>egional Office</w:t>
      </w:r>
      <w:r w:rsidR="00980B65" w:rsidRPr="00851D24">
        <w:rPr>
          <w:rFonts w:asciiTheme="majorHAnsi" w:hAnsiTheme="majorHAnsi" w:cstheme="majorHAnsi"/>
        </w:rPr>
        <w:t xml:space="preserve"> liaisons will notify the S</w:t>
      </w:r>
      <w:r w:rsidR="00CD552E">
        <w:rPr>
          <w:rFonts w:asciiTheme="majorHAnsi" w:hAnsiTheme="majorHAnsi" w:cstheme="majorHAnsi"/>
        </w:rPr>
        <w:t>tate Agencies</w:t>
      </w:r>
      <w:r w:rsidR="00980B65" w:rsidRPr="00851D24" w:rsidDel="00863A4E">
        <w:rPr>
          <w:rFonts w:asciiTheme="majorHAnsi" w:hAnsiTheme="majorHAnsi" w:cstheme="majorHAnsi"/>
        </w:rPr>
        <w:t xml:space="preserve"> </w:t>
      </w:r>
      <w:r>
        <w:rPr>
          <w:rFonts w:asciiTheme="majorHAnsi" w:hAnsiTheme="majorHAnsi" w:cstheme="majorHAnsi"/>
        </w:rPr>
        <w:t>about</w:t>
      </w:r>
      <w:r w:rsidR="00980B65" w:rsidRPr="00851D24">
        <w:rPr>
          <w:rFonts w:asciiTheme="majorHAnsi" w:hAnsiTheme="majorHAnsi" w:cstheme="majorHAnsi"/>
        </w:rPr>
        <w:t xml:space="preserve"> the study</w:t>
      </w:r>
      <w:r w:rsidR="00B43B6E">
        <w:rPr>
          <w:rFonts w:asciiTheme="majorHAnsi" w:hAnsiTheme="majorHAnsi" w:cstheme="majorHAnsi"/>
        </w:rPr>
        <w:t xml:space="preserve"> (Appendix A.2)</w:t>
      </w:r>
      <w:r w:rsidR="00980B65" w:rsidRPr="00851D24">
        <w:rPr>
          <w:rFonts w:asciiTheme="majorHAnsi" w:hAnsiTheme="majorHAnsi" w:cstheme="majorHAnsi"/>
        </w:rPr>
        <w:t xml:space="preserve">. The study team will notify the </w:t>
      </w:r>
      <w:r>
        <w:rPr>
          <w:rFonts w:asciiTheme="majorHAnsi" w:hAnsiTheme="majorHAnsi" w:cstheme="majorHAnsi"/>
        </w:rPr>
        <w:t>sponsoring organizations</w:t>
      </w:r>
      <w:r w:rsidR="00980B65" w:rsidRPr="00851D24">
        <w:rPr>
          <w:rFonts w:asciiTheme="majorHAnsi" w:hAnsiTheme="majorHAnsi" w:cstheme="majorHAnsi"/>
        </w:rPr>
        <w:t xml:space="preserve"> that</w:t>
      </w:r>
      <w:r>
        <w:rPr>
          <w:rFonts w:asciiTheme="majorHAnsi" w:hAnsiTheme="majorHAnsi" w:cstheme="majorHAnsi"/>
        </w:rPr>
        <w:t xml:space="preserve"> one of</w:t>
      </w:r>
      <w:r w:rsidR="00980B65" w:rsidRPr="00851D24">
        <w:rPr>
          <w:rFonts w:asciiTheme="majorHAnsi" w:hAnsiTheme="majorHAnsi" w:cstheme="majorHAnsi"/>
        </w:rPr>
        <w:t xml:space="preserve"> their ADCC</w:t>
      </w:r>
      <w:r>
        <w:rPr>
          <w:rFonts w:asciiTheme="majorHAnsi" w:hAnsiTheme="majorHAnsi" w:cstheme="majorHAnsi"/>
        </w:rPr>
        <w:t>s</w:t>
      </w:r>
      <w:r w:rsidR="00980B65" w:rsidRPr="00851D24">
        <w:rPr>
          <w:rFonts w:asciiTheme="majorHAnsi" w:hAnsiTheme="majorHAnsi" w:cstheme="majorHAnsi"/>
        </w:rPr>
        <w:t xml:space="preserve"> was selected </w:t>
      </w:r>
      <w:r>
        <w:rPr>
          <w:rFonts w:asciiTheme="majorHAnsi" w:hAnsiTheme="majorHAnsi" w:cstheme="majorHAnsi"/>
        </w:rPr>
        <w:t>for participation</w:t>
      </w:r>
      <w:r w:rsidR="00B43B6E">
        <w:rPr>
          <w:rFonts w:asciiTheme="majorHAnsi" w:hAnsiTheme="majorHAnsi" w:cstheme="majorHAnsi"/>
        </w:rPr>
        <w:t xml:space="preserve"> (Appendix A.3)</w:t>
      </w:r>
      <w:r w:rsidR="00980B65" w:rsidRPr="00851D24">
        <w:rPr>
          <w:rFonts w:asciiTheme="majorHAnsi" w:hAnsiTheme="majorHAnsi" w:cstheme="majorHAnsi"/>
        </w:rPr>
        <w:t>.</w:t>
      </w:r>
    </w:p>
    <w:p w14:paraId="041CB4AB" w14:textId="65BDC4DC" w:rsidR="00980B65" w:rsidRPr="00851D24" w:rsidRDefault="007C0171" w:rsidP="00980B65">
      <w:pPr>
        <w:pStyle w:val="ListParagraph"/>
        <w:numPr>
          <w:ilvl w:val="0"/>
          <w:numId w:val="11"/>
        </w:numPr>
        <w:contextualSpacing/>
        <w:rPr>
          <w:rFonts w:asciiTheme="majorHAnsi" w:hAnsiTheme="majorHAnsi" w:cstheme="majorHAnsi"/>
        </w:rPr>
      </w:pPr>
      <w:r>
        <w:rPr>
          <w:rFonts w:asciiTheme="majorHAnsi" w:hAnsiTheme="majorHAnsi" w:cstheme="majorHAnsi"/>
        </w:rPr>
        <w:t>T</w:t>
      </w:r>
      <w:r w:rsidR="00980B65" w:rsidRPr="00851D24">
        <w:rPr>
          <w:rFonts w:asciiTheme="majorHAnsi" w:hAnsiTheme="majorHAnsi" w:cstheme="majorHAnsi"/>
        </w:rPr>
        <w:t xml:space="preserve">he study team will send an invitation packet by </w:t>
      </w:r>
      <w:r w:rsidR="00980B65" w:rsidRPr="00851D24">
        <w:rPr>
          <w:rFonts w:asciiTheme="majorHAnsi" w:hAnsiTheme="majorHAnsi" w:cstheme="majorHAnsi"/>
          <w:b/>
        </w:rPr>
        <w:t>email</w:t>
      </w:r>
      <w:r w:rsidR="00980B65" w:rsidRPr="00851D24">
        <w:rPr>
          <w:rFonts w:asciiTheme="majorHAnsi" w:hAnsiTheme="majorHAnsi" w:cstheme="majorHAnsi"/>
        </w:rPr>
        <w:t xml:space="preserve"> to the sampled ADCC </w:t>
      </w:r>
      <w:r w:rsidR="00B43B6E">
        <w:rPr>
          <w:rFonts w:asciiTheme="majorHAnsi" w:hAnsiTheme="majorHAnsi" w:cstheme="majorHAnsi"/>
        </w:rPr>
        <w:t>program</w:t>
      </w:r>
      <w:r w:rsidR="002A0C08" w:rsidRPr="00851D24">
        <w:rPr>
          <w:rFonts w:asciiTheme="majorHAnsi" w:hAnsiTheme="majorHAnsi" w:cstheme="majorHAnsi"/>
        </w:rPr>
        <w:t xml:space="preserve"> </w:t>
      </w:r>
      <w:r w:rsidR="00B43B6E">
        <w:rPr>
          <w:rFonts w:asciiTheme="majorHAnsi" w:hAnsiTheme="majorHAnsi" w:cstheme="majorHAnsi"/>
        </w:rPr>
        <w:t>directors (Appendix A.4)</w:t>
      </w:r>
      <w:r w:rsidR="00980B65" w:rsidRPr="00851D24">
        <w:rPr>
          <w:rFonts w:asciiTheme="majorHAnsi" w:hAnsiTheme="majorHAnsi" w:cstheme="majorHAnsi"/>
        </w:rPr>
        <w:t xml:space="preserve">. The packet will contain background information on the study, answers to </w:t>
      </w:r>
      <w:r w:rsidR="00694D3E">
        <w:rPr>
          <w:rFonts w:asciiTheme="majorHAnsi" w:hAnsiTheme="majorHAnsi" w:cstheme="majorHAnsi"/>
        </w:rPr>
        <w:t>FAQs</w:t>
      </w:r>
      <w:r w:rsidR="00B43B6E">
        <w:rPr>
          <w:rFonts w:asciiTheme="majorHAnsi" w:hAnsiTheme="majorHAnsi" w:cstheme="majorHAnsi"/>
        </w:rPr>
        <w:t xml:space="preserve"> (Appendix A.</w:t>
      </w:r>
      <w:r w:rsidR="00375FDF">
        <w:rPr>
          <w:rFonts w:asciiTheme="majorHAnsi" w:hAnsiTheme="majorHAnsi" w:cstheme="majorHAnsi"/>
        </w:rPr>
        <w:t>19</w:t>
      </w:r>
      <w:r w:rsidR="00B43B6E">
        <w:rPr>
          <w:rFonts w:asciiTheme="majorHAnsi" w:hAnsiTheme="majorHAnsi" w:cstheme="majorHAnsi"/>
        </w:rPr>
        <w:t>)</w:t>
      </w:r>
      <w:r w:rsidR="00980B65" w:rsidRPr="00851D24">
        <w:rPr>
          <w:rFonts w:asciiTheme="majorHAnsi" w:hAnsiTheme="majorHAnsi" w:cstheme="majorHAnsi"/>
        </w:rPr>
        <w:t xml:space="preserve">, and instructions for accessing the survey online </w:t>
      </w:r>
      <w:r w:rsidR="003167DE">
        <w:rPr>
          <w:rFonts w:asciiTheme="majorHAnsi" w:hAnsiTheme="majorHAnsi" w:cstheme="majorHAnsi"/>
        </w:rPr>
        <w:t xml:space="preserve">(web survey - Appendix A.16) </w:t>
      </w:r>
      <w:r w:rsidR="00980B65" w:rsidRPr="00851D24">
        <w:rPr>
          <w:rFonts w:asciiTheme="majorHAnsi" w:hAnsiTheme="majorHAnsi" w:cstheme="majorHAnsi"/>
        </w:rPr>
        <w:t xml:space="preserve">and online help systems to provide guidance for unanswered questions. </w:t>
      </w:r>
    </w:p>
    <w:p w14:paraId="5C4BBF77" w14:textId="59FB7D4B" w:rsidR="00980B65" w:rsidRPr="00851D24" w:rsidRDefault="00980B65" w:rsidP="00980B65">
      <w:pPr>
        <w:pStyle w:val="ListParagraph"/>
        <w:numPr>
          <w:ilvl w:val="0"/>
          <w:numId w:val="11"/>
        </w:numPr>
        <w:contextualSpacing/>
        <w:rPr>
          <w:rFonts w:asciiTheme="majorHAnsi" w:hAnsiTheme="majorHAnsi" w:cstheme="majorHAnsi"/>
        </w:rPr>
      </w:pPr>
      <w:r w:rsidRPr="00851D24">
        <w:rPr>
          <w:rFonts w:asciiTheme="majorHAnsi" w:hAnsiTheme="majorHAnsi" w:cstheme="majorHAnsi"/>
        </w:rPr>
        <w:t>For those ADCC</w:t>
      </w:r>
      <w:r w:rsidR="002A0C08">
        <w:rPr>
          <w:rFonts w:asciiTheme="majorHAnsi" w:hAnsiTheme="majorHAnsi" w:cstheme="majorHAnsi"/>
        </w:rPr>
        <w:t>s</w:t>
      </w:r>
      <w:r w:rsidRPr="00851D24">
        <w:rPr>
          <w:rFonts w:asciiTheme="majorHAnsi" w:hAnsiTheme="majorHAnsi" w:cstheme="majorHAnsi"/>
        </w:rPr>
        <w:t xml:space="preserve"> </w:t>
      </w:r>
      <w:r w:rsidRPr="00851D24">
        <w:rPr>
          <w:rFonts w:asciiTheme="majorHAnsi" w:hAnsiTheme="majorHAnsi" w:cstheme="majorHAnsi"/>
          <w:b/>
        </w:rPr>
        <w:t>without email addresses</w:t>
      </w:r>
      <w:r w:rsidRPr="00851D24">
        <w:rPr>
          <w:rFonts w:asciiTheme="majorHAnsi" w:hAnsiTheme="majorHAnsi" w:cstheme="majorHAnsi"/>
        </w:rPr>
        <w:t xml:space="preserve">, </w:t>
      </w:r>
      <w:r w:rsidR="002A0C08">
        <w:rPr>
          <w:rFonts w:asciiTheme="majorHAnsi" w:hAnsiTheme="majorHAnsi" w:cstheme="majorHAnsi"/>
        </w:rPr>
        <w:t>the study team</w:t>
      </w:r>
      <w:r w:rsidR="002A0C08" w:rsidRPr="00851D24">
        <w:rPr>
          <w:rFonts w:asciiTheme="majorHAnsi" w:hAnsiTheme="majorHAnsi" w:cstheme="majorHAnsi"/>
        </w:rPr>
        <w:t xml:space="preserve"> </w:t>
      </w:r>
      <w:r w:rsidRPr="00851D24">
        <w:rPr>
          <w:rFonts w:asciiTheme="majorHAnsi" w:hAnsiTheme="majorHAnsi" w:cstheme="majorHAnsi"/>
        </w:rPr>
        <w:t>will send a hard</w:t>
      </w:r>
      <w:r w:rsidR="00D3078C">
        <w:rPr>
          <w:rFonts w:asciiTheme="majorHAnsi" w:hAnsiTheme="majorHAnsi" w:cstheme="majorHAnsi"/>
        </w:rPr>
        <w:t xml:space="preserve"> </w:t>
      </w:r>
      <w:r w:rsidRPr="00851D24">
        <w:rPr>
          <w:rFonts w:asciiTheme="majorHAnsi" w:hAnsiTheme="majorHAnsi" w:cstheme="majorHAnsi"/>
        </w:rPr>
        <w:t xml:space="preserve">copy invitation packet by </w:t>
      </w:r>
      <w:r w:rsidRPr="00851D24">
        <w:rPr>
          <w:rFonts w:asciiTheme="majorHAnsi" w:hAnsiTheme="majorHAnsi" w:cstheme="majorHAnsi"/>
          <w:b/>
        </w:rPr>
        <w:t>postal</w:t>
      </w:r>
      <w:r w:rsidRPr="00851D24">
        <w:rPr>
          <w:rFonts w:asciiTheme="majorHAnsi" w:hAnsiTheme="majorHAnsi" w:cstheme="majorHAnsi"/>
        </w:rPr>
        <w:t xml:space="preserve"> </w:t>
      </w:r>
      <w:r w:rsidRPr="00851D24">
        <w:rPr>
          <w:rFonts w:asciiTheme="majorHAnsi" w:hAnsiTheme="majorHAnsi" w:cstheme="majorHAnsi"/>
          <w:b/>
        </w:rPr>
        <w:t>mail</w:t>
      </w:r>
      <w:r w:rsidR="00B43B6E">
        <w:rPr>
          <w:rFonts w:asciiTheme="majorHAnsi" w:hAnsiTheme="majorHAnsi" w:cstheme="majorHAnsi"/>
          <w:b/>
        </w:rPr>
        <w:t xml:space="preserve"> </w:t>
      </w:r>
      <w:r w:rsidR="00B43B6E" w:rsidRPr="00287A8F">
        <w:rPr>
          <w:rFonts w:asciiTheme="majorHAnsi" w:hAnsiTheme="majorHAnsi" w:cstheme="majorHAnsi"/>
        </w:rPr>
        <w:t>(Appendix A.5)</w:t>
      </w:r>
      <w:r w:rsidRPr="00851D24">
        <w:rPr>
          <w:rFonts w:asciiTheme="majorHAnsi" w:hAnsiTheme="majorHAnsi" w:cstheme="majorHAnsi"/>
        </w:rPr>
        <w:t>. The packet will include a hard</w:t>
      </w:r>
      <w:r w:rsidR="00D3078C">
        <w:rPr>
          <w:rFonts w:asciiTheme="majorHAnsi" w:hAnsiTheme="majorHAnsi" w:cstheme="majorHAnsi"/>
        </w:rPr>
        <w:t xml:space="preserve"> </w:t>
      </w:r>
      <w:r w:rsidRPr="00851D24">
        <w:rPr>
          <w:rFonts w:asciiTheme="majorHAnsi" w:hAnsiTheme="majorHAnsi" w:cstheme="majorHAnsi"/>
        </w:rPr>
        <w:t xml:space="preserve">copy of the survey </w:t>
      </w:r>
      <w:r w:rsidR="00B43B6E">
        <w:rPr>
          <w:rFonts w:asciiTheme="majorHAnsi" w:hAnsiTheme="majorHAnsi" w:cstheme="majorHAnsi"/>
        </w:rPr>
        <w:t>(Appendix A.1</w:t>
      </w:r>
      <w:r w:rsidR="00375FDF">
        <w:rPr>
          <w:rFonts w:asciiTheme="majorHAnsi" w:hAnsiTheme="majorHAnsi" w:cstheme="majorHAnsi"/>
        </w:rPr>
        <w:t>5</w:t>
      </w:r>
      <w:r w:rsidR="00B43B6E">
        <w:rPr>
          <w:rFonts w:asciiTheme="majorHAnsi" w:hAnsiTheme="majorHAnsi" w:cstheme="majorHAnsi"/>
        </w:rPr>
        <w:t xml:space="preserve">) </w:t>
      </w:r>
      <w:r w:rsidRPr="00851D24">
        <w:rPr>
          <w:rFonts w:asciiTheme="majorHAnsi" w:hAnsiTheme="majorHAnsi" w:cstheme="majorHAnsi"/>
        </w:rPr>
        <w:t xml:space="preserve">and a prepaid postage return envelope to return the survey to the study team, along with answers to </w:t>
      </w:r>
      <w:r w:rsidR="00C35DAC">
        <w:rPr>
          <w:rFonts w:asciiTheme="majorHAnsi" w:hAnsiTheme="majorHAnsi" w:cstheme="majorHAnsi"/>
        </w:rPr>
        <w:t>FAQs</w:t>
      </w:r>
      <w:r w:rsidR="006176DF">
        <w:rPr>
          <w:rFonts w:asciiTheme="majorHAnsi" w:hAnsiTheme="majorHAnsi" w:cstheme="majorHAnsi"/>
        </w:rPr>
        <w:t xml:space="preserve"> </w:t>
      </w:r>
      <w:r w:rsidR="00B43B6E">
        <w:rPr>
          <w:rFonts w:asciiTheme="majorHAnsi" w:hAnsiTheme="majorHAnsi" w:cstheme="majorHAnsi"/>
        </w:rPr>
        <w:t>(Appendix A.</w:t>
      </w:r>
      <w:r w:rsidR="00375FDF">
        <w:rPr>
          <w:rFonts w:asciiTheme="majorHAnsi" w:hAnsiTheme="majorHAnsi" w:cstheme="majorHAnsi"/>
        </w:rPr>
        <w:t>19</w:t>
      </w:r>
      <w:r w:rsidR="00B43B6E">
        <w:rPr>
          <w:rFonts w:asciiTheme="majorHAnsi" w:hAnsiTheme="majorHAnsi" w:cstheme="majorHAnsi"/>
        </w:rPr>
        <w:t xml:space="preserve">) </w:t>
      </w:r>
      <w:r w:rsidRPr="00851D24">
        <w:rPr>
          <w:rFonts w:asciiTheme="majorHAnsi" w:hAnsiTheme="majorHAnsi" w:cstheme="majorHAnsi"/>
        </w:rPr>
        <w:t xml:space="preserve">and instructions for accessing the help systems (either online or </w:t>
      </w:r>
      <w:r w:rsidR="00C35DAC">
        <w:rPr>
          <w:rFonts w:asciiTheme="majorHAnsi" w:hAnsiTheme="majorHAnsi" w:cstheme="majorHAnsi"/>
        </w:rPr>
        <w:t xml:space="preserve">by </w:t>
      </w:r>
      <w:r w:rsidRPr="00851D24">
        <w:rPr>
          <w:rFonts w:asciiTheme="majorHAnsi" w:hAnsiTheme="majorHAnsi" w:cstheme="majorHAnsi"/>
        </w:rPr>
        <w:t>phone).</w:t>
      </w:r>
    </w:p>
    <w:p w14:paraId="60FD0CAC" w14:textId="5390E6AC" w:rsidR="00980B65" w:rsidRPr="00851D24" w:rsidRDefault="00980B65" w:rsidP="00675604">
      <w:r w:rsidRPr="00851D24">
        <w:t>Exhibit</w:t>
      </w:r>
      <w:r w:rsidR="00582DDA">
        <w:t xml:space="preserve"> </w:t>
      </w:r>
      <w:r w:rsidR="00540FCF">
        <w:t>3</w:t>
      </w:r>
      <w:r w:rsidR="00540FCF" w:rsidRPr="00851D24">
        <w:t xml:space="preserve"> </w:t>
      </w:r>
      <w:r w:rsidRPr="00851D24">
        <w:t xml:space="preserve">presents a Gantt chart that details our data collection activities and efforts. The schedule allows for a total of </w:t>
      </w:r>
      <w:r w:rsidRPr="00851D24">
        <w:rPr>
          <w:b/>
        </w:rPr>
        <w:t>4</w:t>
      </w:r>
      <w:r w:rsidRPr="00851D24">
        <w:t> </w:t>
      </w:r>
      <w:r w:rsidRPr="00851D24">
        <w:rPr>
          <w:b/>
        </w:rPr>
        <w:t>weeks</w:t>
      </w:r>
      <w:r w:rsidRPr="00851D24">
        <w:t xml:space="preserve"> </w:t>
      </w:r>
      <w:r w:rsidRPr="00851D24">
        <w:rPr>
          <w:b/>
        </w:rPr>
        <w:t>for</w:t>
      </w:r>
      <w:r w:rsidRPr="00851D24">
        <w:t xml:space="preserve"> </w:t>
      </w:r>
      <w:r w:rsidRPr="00851D24">
        <w:rPr>
          <w:b/>
        </w:rPr>
        <w:t>data</w:t>
      </w:r>
      <w:r w:rsidRPr="00851D24">
        <w:t xml:space="preserve"> </w:t>
      </w:r>
      <w:r w:rsidRPr="00851D24">
        <w:rPr>
          <w:b/>
        </w:rPr>
        <w:t>collection</w:t>
      </w:r>
      <w:r w:rsidRPr="00851D24">
        <w:t xml:space="preserve"> to reach the target number of completed surveys (N = 640). To help achieve that goal, after 1 week </w:t>
      </w:r>
      <w:r w:rsidR="002A0C08">
        <w:t>the study team</w:t>
      </w:r>
      <w:r w:rsidR="002A0C08" w:rsidRPr="00851D24">
        <w:t xml:space="preserve"> </w:t>
      </w:r>
      <w:r w:rsidRPr="00851D24">
        <w:t>will conduct telephone follow-up with those respondents who still have not completed the survey. The study team will implement the following strategies:</w:t>
      </w:r>
    </w:p>
    <w:p w14:paraId="66DC1785" w14:textId="0FAF31D6" w:rsidR="00980B65" w:rsidRPr="00851D24" w:rsidRDefault="00B059B2" w:rsidP="00980B65">
      <w:pPr>
        <w:pStyle w:val="ListParagraph"/>
        <w:numPr>
          <w:ilvl w:val="0"/>
          <w:numId w:val="12"/>
        </w:numPr>
        <w:contextualSpacing/>
        <w:rPr>
          <w:rFonts w:asciiTheme="majorHAnsi" w:hAnsiTheme="majorHAnsi" w:cstheme="majorHAnsi"/>
        </w:rPr>
      </w:pPr>
      <w:r>
        <w:rPr>
          <w:rFonts w:asciiTheme="majorHAnsi" w:hAnsiTheme="majorHAnsi" w:cstheme="majorHAnsi"/>
          <w:b/>
        </w:rPr>
        <w:t>Every 4 days, s</w:t>
      </w:r>
      <w:r w:rsidRPr="00851D24">
        <w:rPr>
          <w:rFonts w:asciiTheme="majorHAnsi" w:hAnsiTheme="majorHAnsi" w:cstheme="majorHAnsi"/>
          <w:b/>
        </w:rPr>
        <w:t>end</w:t>
      </w:r>
      <w:r w:rsidR="00980B65" w:rsidRPr="00851D24">
        <w:rPr>
          <w:rFonts w:asciiTheme="majorHAnsi" w:hAnsiTheme="majorHAnsi" w:cstheme="majorHAnsi"/>
        </w:rPr>
        <w:t xml:space="preserve"> </w:t>
      </w:r>
      <w:r w:rsidR="00980B65" w:rsidRPr="00851D24">
        <w:rPr>
          <w:rFonts w:asciiTheme="majorHAnsi" w:hAnsiTheme="majorHAnsi" w:cstheme="majorHAnsi"/>
          <w:b/>
        </w:rPr>
        <w:t>reminder emails</w:t>
      </w:r>
      <w:r w:rsidR="00980B65" w:rsidRPr="00851D24">
        <w:rPr>
          <w:rFonts w:asciiTheme="majorHAnsi" w:hAnsiTheme="majorHAnsi" w:cstheme="majorHAnsi"/>
        </w:rPr>
        <w:t xml:space="preserve"> to complete the survey to respondents with email addresses</w:t>
      </w:r>
      <w:r w:rsidR="00B43B6E">
        <w:rPr>
          <w:rFonts w:asciiTheme="majorHAnsi" w:hAnsiTheme="majorHAnsi" w:cstheme="majorHAnsi"/>
        </w:rPr>
        <w:t xml:space="preserve"> (Appendix A.6-A.8, A.10)</w:t>
      </w:r>
    </w:p>
    <w:p w14:paraId="247F3EE2" w14:textId="6ABE1975" w:rsidR="00980B65" w:rsidRPr="00851D24" w:rsidRDefault="00980B65" w:rsidP="00980B65">
      <w:pPr>
        <w:pStyle w:val="ListParagraph"/>
        <w:numPr>
          <w:ilvl w:val="0"/>
          <w:numId w:val="12"/>
        </w:numPr>
        <w:contextualSpacing/>
        <w:rPr>
          <w:rFonts w:asciiTheme="majorHAnsi" w:hAnsiTheme="majorHAnsi" w:cstheme="majorHAnsi"/>
        </w:rPr>
      </w:pPr>
      <w:r w:rsidRPr="00851D24">
        <w:rPr>
          <w:rFonts w:asciiTheme="majorHAnsi" w:hAnsiTheme="majorHAnsi" w:cstheme="majorHAnsi"/>
        </w:rPr>
        <w:t xml:space="preserve">Initiate </w:t>
      </w:r>
      <w:r w:rsidRPr="00851D24">
        <w:rPr>
          <w:rFonts w:asciiTheme="majorHAnsi" w:hAnsiTheme="majorHAnsi" w:cstheme="majorHAnsi"/>
          <w:b/>
        </w:rPr>
        <w:t xml:space="preserve">weekly follow-up telephone calls </w:t>
      </w:r>
      <w:r w:rsidRPr="00851D24">
        <w:rPr>
          <w:rFonts w:asciiTheme="majorHAnsi" w:hAnsiTheme="majorHAnsi" w:cstheme="majorHAnsi"/>
        </w:rPr>
        <w:t>for all respondents, starting 1 week after the initial email or mailed hard</w:t>
      </w:r>
      <w:r w:rsidR="00D3078C">
        <w:rPr>
          <w:rFonts w:asciiTheme="majorHAnsi" w:hAnsiTheme="majorHAnsi" w:cstheme="majorHAnsi"/>
        </w:rPr>
        <w:t xml:space="preserve"> </w:t>
      </w:r>
      <w:r w:rsidRPr="00851D24">
        <w:rPr>
          <w:rFonts w:asciiTheme="majorHAnsi" w:hAnsiTheme="majorHAnsi" w:cstheme="majorHAnsi"/>
        </w:rPr>
        <w:t>copy is sent, for those who have not completed the survey. During the telephone call, the study team will offer the option to complete the</w:t>
      </w:r>
      <w:r w:rsidR="007561FC">
        <w:rPr>
          <w:rFonts w:asciiTheme="majorHAnsi" w:hAnsiTheme="majorHAnsi" w:cstheme="majorHAnsi"/>
        </w:rPr>
        <w:t xml:space="preserve"> </w:t>
      </w:r>
      <w:r w:rsidRPr="00851D24">
        <w:rPr>
          <w:rFonts w:asciiTheme="majorHAnsi" w:hAnsiTheme="majorHAnsi" w:cstheme="majorHAnsi"/>
        </w:rPr>
        <w:t>survey</w:t>
      </w:r>
      <w:r w:rsidR="007561FC">
        <w:rPr>
          <w:rFonts w:asciiTheme="majorHAnsi" w:hAnsiTheme="majorHAnsi" w:cstheme="majorHAnsi"/>
        </w:rPr>
        <w:t xml:space="preserve"> by telephone </w:t>
      </w:r>
      <w:r w:rsidRPr="00851D24">
        <w:rPr>
          <w:rFonts w:asciiTheme="majorHAnsi" w:hAnsiTheme="majorHAnsi" w:cstheme="majorHAnsi"/>
        </w:rPr>
        <w:t>because of the short duration of the survey</w:t>
      </w:r>
      <w:r w:rsidR="00B43B6E">
        <w:rPr>
          <w:rFonts w:asciiTheme="majorHAnsi" w:hAnsiTheme="majorHAnsi" w:cstheme="majorHAnsi"/>
        </w:rPr>
        <w:t xml:space="preserve"> (Appendix A.11)</w:t>
      </w:r>
      <w:r w:rsidR="00A55FA3">
        <w:rPr>
          <w:rFonts w:asciiTheme="majorHAnsi" w:hAnsiTheme="majorHAnsi" w:cstheme="majorHAnsi"/>
        </w:rPr>
        <w:t>. We estimate that completing the survey</w:t>
      </w:r>
      <w:r w:rsidR="00145C3A">
        <w:rPr>
          <w:rFonts w:asciiTheme="majorHAnsi" w:hAnsiTheme="majorHAnsi" w:cstheme="majorHAnsi"/>
        </w:rPr>
        <w:t xml:space="preserve"> over the phone will take 25 minutes. </w:t>
      </w:r>
    </w:p>
    <w:p w14:paraId="409C175A" w14:textId="36F4389E" w:rsidR="00980B65" w:rsidRPr="00851D24" w:rsidRDefault="00980B65" w:rsidP="00980B65">
      <w:pPr>
        <w:pStyle w:val="ListParagraph"/>
        <w:numPr>
          <w:ilvl w:val="0"/>
          <w:numId w:val="12"/>
        </w:numPr>
        <w:contextualSpacing/>
        <w:rPr>
          <w:rFonts w:asciiTheme="majorHAnsi" w:hAnsiTheme="majorHAnsi" w:cstheme="majorHAnsi"/>
        </w:rPr>
      </w:pPr>
      <w:r w:rsidRPr="00851D24">
        <w:rPr>
          <w:rFonts w:asciiTheme="majorHAnsi" w:hAnsiTheme="majorHAnsi" w:cstheme="majorHAnsi"/>
          <w:b/>
        </w:rPr>
        <w:t>Send</w:t>
      </w:r>
      <w:r w:rsidRPr="00851D24">
        <w:rPr>
          <w:rFonts w:asciiTheme="majorHAnsi" w:hAnsiTheme="majorHAnsi" w:cstheme="majorHAnsi"/>
        </w:rPr>
        <w:t xml:space="preserve"> </w:t>
      </w:r>
      <w:r w:rsidRPr="00851D24">
        <w:rPr>
          <w:rFonts w:asciiTheme="majorHAnsi" w:hAnsiTheme="majorHAnsi" w:cstheme="majorHAnsi"/>
          <w:b/>
        </w:rPr>
        <w:t>hard copies</w:t>
      </w:r>
      <w:r w:rsidRPr="00851D24">
        <w:rPr>
          <w:rFonts w:asciiTheme="majorHAnsi" w:hAnsiTheme="majorHAnsi" w:cstheme="majorHAnsi"/>
        </w:rPr>
        <w:t xml:space="preserve"> of the surveys with prepaid postage return envelopes, </w:t>
      </w:r>
      <w:r w:rsidRPr="00851D24">
        <w:rPr>
          <w:rFonts w:asciiTheme="majorHAnsi" w:hAnsiTheme="majorHAnsi" w:cstheme="majorHAnsi"/>
          <w:b/>
        </w:rPr>
        <w:t xml:space="preserve">2 weeks after sending the initial emails, </w:t>
      </w:r>
      <w:r w:rsidRPr="00851D24">
        <w:rPr>
          <w:rFonts w:asciiTheme="majorHAnsi" w:hAnsiTheme="majorHAnsi" w:cstheme="majorHAnsi"/>
        </w:rPr>
        <w:t>to those who have not logged on to the survey online</w:t>
      </w:r>
      <w:r w:rsidR="00B43B6E">
        <w:rPr>
          <w:rFonts w:asciiTheme="majorHAnsi" w:hAnsiTheme="majorHAnsi" w:cstheme="majorHAnsi"/>
        </w:rPr>
        <w:t xml:space="preserve"> (Appendix A.5) and those without email addresses who have</w:t>
      </w:r>
      <w:r w:rsidR="00865CEB">
        <w:rPr>
          <w:rFonts w:asciiTheme="majorHAnsi" w:hAnsiTheme="majorHAnsi" w:cstheme="majorHAnsi"/>
        </w:rPr>
        <w:t xml:space="preserve"> </w:t>
      </w:r>
      <w:r w:rsidR="00B43B6E">
        <w:rPr>
          <w:rFonts w:asciiTheme="majorHAnsi" w:hAnsiTheme="majorHAnsi" w:cstheme="majorHAnsi"/>
        </w:rPr>
        <w:t>n</w:t>
      </w:r>
      <w:r w:rsidR="00865CEB">
        <w:rPr>
          <w:rFonts w:asciiTheme="majorHAnsi" w:hAnsiTheme="majorHAnsi" w:cstheme="majorHAnsi"/>
        </w:rPr>
        <w:t>o</w:t>
      </w:r>
      <w:r w:rsidR="00B43B6E">
        <w:rPr>
          <w:rFonts w:asciiTheme="majorHAnsi" w:hAnsiTheme="majorHAnsi" w:cstheme="majorHAnsi"/>
        </w:rPr>
        <w:t>t returned the initial hard copy of the survey (Appendix A.9)</w:t>
      </w:r>
    </w:p>
    <w:p w14:paraId="5149D8BE" w14:textId="6D938212" w:rsidR="00675604" w:rsidRDefault="00675604" w:rsidP="00675604">
      <w:pPr>
        <w:pStyle w:val="Caption"/>
      </w:pPr>
      <w:r>
        <w:t xml:space="preserve">Exhibit </w:t>
      </w:r>
      <w:r w:rsidR="00540FCF">
        <w:rPr>
          <w:noProof/>
        </w:rPr>
        <w:t>3</w:t>
      </w:r>
      <w:r w:rsidR="00540FCF">
        <w:t xml:space="preserve"> </w:t>
      </w:r>
      <w:r>
        <w:t xml:space="preserve">| </w:t>
      </w:r>
      <w:r w:rsidRPr="008340BA">
        <w:t>Schedule of Data Collection Activities</w:t>
      </w:r>
    </w:p>
    <w:p w14:paraId="248B2CA9" w14:textId="77777777" w:rsidR="00003C5E" w:rsidRDefault="00980B65" w:rsidP="00980B65">
      <w:pPr>
        <w:rPr>
          <w:rFonts w:asciiTheme="majorHAnsi" w:hAnsiTheme="majorHAnsi" w:cstheme="majorHAnsi"/>
        </w:rPr>
      </w:pPr>
      <w:r w:rsidRPr="00851D24">
        <w:rPr>
          <w:rFonts w:asciiTheme="majorHAnsi" w:hAnsiTheme="majorHAnsi" w:cstheme="majorHAnsi"/>
          <w:noProof/>
        </w:rPr>
        <w:drawing>
          <wp:inline distT="0" distB="0" distL="0" distR="0" wp14:anchorId="1096902D" wp14:editId="7B25BF1F">
            <wp:extent cx="5943600" cy="11944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194435"/>
                    </a:xfrm>
                    <a:prstGeom prst="rect">
                      <a:avLst/>
                    </a:prstGeom>
                  </pic:spPr>
                </pic:pic>
              </a:graphicData>
            </a:graphic>
          </wp:inline>
        </w:drawing>
      </w:r>
    </w:p>
    <w:p w14:paraId="4A0DC9DA" w14:textId="1504AC4B" w:rsidR="00003C5E" w:rsidRDefault="00980B65" w:rsidP="00675604">
      <w:r w:rsidRPr="00851D24">
        <w:t xml:space="preserve">Survey support staff will address technical issues with the survey immediately and will respond to substantive questions within a few </w:t>
      </w:r>
      <w:r w:rsidRPr="00675604">
        <w:t>hours</w:t>
      </w:r>
      <w:r w:rsidRPr="00851D24">
        <w:t>. They will also be available to administer the survey over the phone. We will provide in-depth training to the survey support staff. The study team will analyze the web/mailed responses and identif</w:t>
      </w:r>
      <w:r w:rsidR="00A37E6A">
        <w:t>y</w:t>
      </w:r>
      <w:r w:rsidRPr="00851D24">
        <w:t xml:space="preserve"> any</w:t>
      </w:r>
      <w:r w:rsidR="00F6670A">
        <w:t xml:space="preserve"> response</w:t>
      </w:r>
      <w:r w:rsidR="00BA18E8">
        <w:t>s</w:t>
      </w:r>
      <w:r w:rsidRPr="00851D24">
        <w:t xml:space="preserve"> that require follow</w:t>
      </w:r>
      <w:r w:rsidR="00A37E6A">
        <w:t xml:space="preserve"> </w:t>
      </w:r>
      <w:r w:rsidRPr="00851D24">
        <w:t xml:space="preserve">up. These </w:t>
      </w:r>
      <w:r w:rsidR="00BA18E8">
        <w:t>responses</w:t>
      </w:r>
      <w:r w:rsidRPr="00851D24">
        <w:t xml:space="preserve"> will be passed to the survey support staff to initiate contact with the respondents to clarify questionable responses. The clarifications will be made via </w:t>
      </w:r>
      <w:r w:rsidR="00B441D4" w:rsidRPr="00851D24">
        <w:t>email</w:t>
      </w:r>
      <w:r w:rsidR="00F6670A">
        <w:t xml:space="preserve"> (Appendix A.12)</w:t>
      </w:r>
      <w:r w:rsidR="00AD396E">
        <w:t>, or</w:t>
      </w:r>
      <w:r w:rsidR="00B441D4" w:rsidRPr="00851D24">
        <w:t xml:space="preserve"> </w:t>
      </w:r>
      <w:r w:rsidR="00AD396E">
        <w:t>in the case of u</w:t>
      </w:r>
      <w:r w:rsidRPr="00851D24">
        <w:t>rgent clarifications</w:t>
      </w:r>
      <w:r w:rsidR="00AD396E">
        <w:t>, by p</w:t>
      </w:r>
      <w:r w:rsidR="00DB0882">
        <w:t>hone</w:t>
      </w:r>
      <w:r w:rsidR="00F6670A">
        <w:t xml:space="preserve"> (Appendix A.13)</w:t>
      </w:r>
      <w:r w:rsidRPr="00851D24">
        <w:t>.</w:t>
      </w:r>
    </w:p>
    <w:p w14:paraId="1681DABE" w14:textId="32664D3E" w:rsidR="00003C5E" w:rsidRDefault="00980B65" w:rsidP="00675604">
      <w:r w:rsidRPr="00851D24">
        <w:t xml:space="preserve">A weekly data collection memo will detail survey response rates (e.g., number of completed surveys [web, mail, and phone], surveys in progress, or surveys not started/accessed/returned); recruitment and follow-up activities; and any challenges. </w:t>
      </w:r>
    </w:p>
    <w:p w14:paraId="09440525" w14:textId="1DB6FD5C" w:rsidR="00582DDA" w:rsidRPr="00582DDA" w:rsidRDefault="00582DDA" w:rsidP="00675604">
      <w:pPr>
        <w:rPr>
          <w:rFonts w:asciiTheme="majorHAnsi" w:hAnsiTheme="majorHAnsi"/>
          <w:b/>
        </w:rPr>
      </w:pPr>
      <w:r>
        <w:rPr>
          <w:rFonts w:asciiTheme="majorHAnsi" w:hAnsiTheme="majorHAnsi"/>
          <w:b/>
        </w:rPr>
        <w:t>COMPENSATION</w:t>
      </w:r>
    </w:p>
    <w:p w14:paraId="3CE0BBAA" w14:textId="3DFA6F8C" w:rsidR="009258D1" w:rsidRDefault="0047530E" w:rsidP="00E43F01">
      <w:r>
        <w:t xml:space="preserve">There will be no compensation given to the respondents of the survey. </w:t>
      </w:r>
    </w:p>
    <w:p w14:paraId="72BC2C99" w14:textId="6299AF23" w:rsidR="0068626B" w:rsidRDefault="0068626B" w:rsidP="00582DDA">
      <w:pPr>
        <w:pStyle w:val="Heading3"/>
      </w:pPr>
      <w:r>
        <w:t>Data Analysis</w:t>
      </w:r>
    </w:p>
    <w:p w14:paraId="5FA81D30" w14:textId="199344D0" w:rsidR="00D816C3" w:rsidRPr="00303018" w:rsidRDefault="00D816C3" w:rsidP="00D816C3">
      <w:r w:rsidRPr="00303018">
        <w:t>Upon complet</w:t>
      </w:r>
      <w:r>
        <w:t>ion of</w:t>
      </w:r>
      <w:r w:rsidRPr="00303018">
        <w:t xml:space="preserve"> data </w:t>
      </w:r>
      <w:r w:rsidRPr="00876680">
        <w:t>collection</w:t>
      </w:r>
      <w:r w:rsidRPr="00303018">
        <w:t xml:space="preserve">, </w:t>
      </w:r>
      <w:r>
        <w:t xml:space="preserve">the study team will review </w:t>
      </w:r>
      <w:r w:rsidRPr="00303018">
        <w:t>the survey data for inconsistent data and reporting errors.</w:t>
      </w:r>
      <w:r>
        <w:rPr>
          <w:rStyle w:val="FootnoteReference"/>
        </w:rPr>
        <w:footnoteReference w:id="7"/>
      </w:r>
      <w:r w:rsidRPr="00303018">
        <w:t xml:space="preserve"> </w:t>
      </w:r>
      <w:r w:rsidR="00A01652">
        <w:t xml:space="preserve">After reviewing </w:t>
      </w:r>
      <w:r w:rsidR="00372508">
        <w:t>the data</w:t>
      </w:r>
      <w:r w:rsidR="00A01652">
        <w:t>, t</w:t>
      </w:r>
      <w:r w:rsidRPr="00303018">
        <w:t>he dataset will be considered clean and ready for post-survey adjustments</w:t>
      </w:r>
      <w:r>
        <w:t xml:space="preserve"> (nonresponse adjustments)</w:t>
      </w:r>
      <w:r w:rsidRPr="00303018">
        <w:t>.</w:t>
      </w:r>
      <w:r w:rsidR="00A64111">
        <w:t xml:space="preserve"> </w:t>
      </w:r>
      <w:r w:rsidRPr="00303018">
        <w:t xml:space="preserve">The </w:t>
      </w:r>
      <w:r>
        <w:t>study</w:t>
      </w:r>
      <w:r w:rsidRPr="00303018">
        <w:t xml:space="preserve"> team’s statisticians will weight the survey data to adjust for unit nonresponse, using a propensity </w:t>
      </w:r>
      <w:r w:rsidRPr="00E738AE">
        <w:t>modeling</w:t>
      </w:r>
      <w:r w:rsidRPr="00303018">
        <w:t xml:space="preserve"> procedure to predict the probability of responding to the survey based on the available </w:t>
      </w:r>
      <w:r>
        <w:t xml:space="preserve">characteristics </w:t>
      </w:r>
      <w:r w:rsidRPr="00303018">
        <w:t>data collected on the sampling frame</w:t>
      </w:r>
      <w:r>
        <w:t xml:space="preserve"> file (to be determined)</w:t>
      </w:r>
      <w:r w:rsidRPr="00303018">
        <w:t>. Under this approach, the responding cases will be weighted by the inverse of the predicted probability of response</w:t>
      </w:r>
      <w:r>
        <w:t>,</w:t>
      </w:r>
      <w:r w:rsidRPr="00303018">
        <w:t xml:space="preserve"> using a weighting class </w:t>
      </w:r>
      <w:r w:rsidRPr="00876680">
        <w:t>methodology</w:t>
      </w:r>
      <w:r w:rsidRPr="00303018">
        <w:t xml:space="preserve"> that divides the propensity scores into classes and assigns the average score within the class to each case. This approach</w:t>
      </w:r>
      <w:r>
        <w:t xml:space="preserve"> </w:t>
      </w:r>
      <w:r w:rsidRPr="00303018">
        <w:t>helps eliminate large adjustments to the survey weights to increase the survey precision in the estimates.</w:t>
      </w:r>
      <w:r w:rsidRPr="006967D0">
        <w:rPr>
          <w:vertAlign w:val="superscript"/>
        </w:rPr>
        <w:t xml:space="preserve"> </w:t>
      </w:r>
      <w:r w:rsidRPr="00303018">
        <w:rPr>
          <w:vertAlign w:val="superscript"/>
        </w:rPr>
        <w:footnoteReference w:id="8"/>
      </w:r>
    </w:p>
    <w:p w14:paraId="3EEA2FC9" w14:textId="77777777" w:rsidR="00693FCD" w:rsidRPr="00851D24" w:rsidRDefault="00693FCD" w:rsidP="00693FCD">
      <w:r>
        <w:t>The study team</w:t>
      </w:r>
      <w:r w:rsidRPr="00851D24">
        <w:t xml:space="preserve"> will adjust for nonresponse bias according to the characteristics available if an 80 percent response rate</w:t>
      </w:r>
      <w:r>
        <w:t xml:space="preserve"> is not achieved</w:t>
      </w:r>
      <w:r w:rsidRPr="00851D24">
        <w:t>. To conduct th</w:t>
      </w:r>
      <w:r>
        <w:t>is</w:t>
      </w:r>
      <w:r w:rsidRPr="00851D24">
        <w:t xml:space="preserve"> analysis, the study team will carry out the following steps:</w:t>
      </w:r>
    </w:p>
    <w:p w14:paraId="39380C62" w14:textId="77777777" w:rsidR="00693FCD" w:rsidRPr="00675604" w:rsidRDefault="00693FCD" w:rsidP="00693FCD">
      <w:pPr>
        <w:pStyle w:val="ListParagraph"/>
        <w:numPr>
          <w:ilvl w:val="0"/>
          <w:numId w:val="20"/>
        </w:numPr>
        <w:rPr>
          <w:rFonts w:asciiTheme="majorHAnsi" w:hAnsiTheme="majorHAnsi" w:cstheme="majorHAnsi"/>
        </w:rPr>
      </w:pPr>
      <w:r>
        <w:rPr>
          <w:rFonts w:asciiTheme="majorHAnsi" w:hAnsiTheme="majorHAnsi" w:cstheme="majorHAnsi"/>
        </w:rPr>
        <w:t>Code</w:t>
      </w:r>
      <w:r w:rsidRPr="00675604">
        <w:rPr>
          <w:rFonts w:asciiTheme="majorHAnsi" w:hAnsiTheme="majorHAnsi" w:cstheme="majorHAnsi"/>
        </w:rPr>
        <w:t xml:space="preserve"> sampled records as respondents or non-respondents </w:t>
      </w:r>
    </w:p>
    <w:p w14:paraId="363FE7B0" w14:textId="77777777" w:rsidR="00693FCD" w:rsidRPr="00675604" w:rsidRDefault="00693FCD" w:rsidP="00693FCD">
      <w:pPr>
        <w:pStyle w:val="ListParagraph"/>
        <w:numPr>
          <w:ilvl w:val="0"/>
          <w:numId w:val="20"/>
        </w:numPr>
        <w:rPr>
          <w:rFonts w:asciiTheme="majorHAnsi" w:hAnsiTheme="majorHAnsi" w:cstheme="majorHAnsi"/>
        </w:rPr>
      </w:pPr>
      <w:r>
        <w:rPr>
          <w:rFonts w:asciiTheme="majorHAnsi" w:hAnsiTheme="majorHAnsi" w:cstheme="majorHAnsi"/>
        </w:rPr>
        <w:t>Use</w:t>
      </w:r>
      <w:r w:rsidRPr="00675604">
        <w:rPr>
          <w:rFonts w:asciiTheme="majorHAnsi" w:hAnsiTheme="majorHAnsi" w:cstheme="majorHAnsi"/>
        </w:rPr>
        <w:t xml:space="preserve"> a logistic regression model to identify subgroups that are significantly different between respondents and non-respondents </w:t>
      </w:r>
    </w:p>
    <w:p w14:paraId="4CA82DD8" w14:textId="77777777" w:rsidR="00693FCD" w:rsidRPr="00675604" w:rsidRDefault="00693FCD" w:rsidP="00693FCD">
      <w:pPr>
        <w:pStyle w:val="ListParagraph"/>
        <w:numPr>
          <w:ilvl w:val="0"/>
          <w:numId w:val="20"/>
        </w:numPr>
        <w:rPr>
          <w:rFonts w:asciiTheme="majorHAnsi" w:hAnsiTheme="majorHAnsi" w:cstheme="majorHAnsi"/>
        </w:rPr>
      </w:pPr>
      <w:r>
        <w:rPr>
          <w:rFonts w:asciiTheme="majorHAnsi" w:hAnsiTheme="majorHAnsi" w:cstheme="majorHAnsi"/>
        </w:rPr>
        <w:t>Report model results and potential non-response bias to FNS</w:t>
      </w:r>
    </w:p>
    <w:p w14:paraId="6AF38850" w14:textId="77777777" w:rsidR="00693FCD" w:rsidRPr="00675604" w:rsidRDefault="00693FCD" w:rsidP="00693FCD">
      <w:pPr>
        <w:pStyle w:val="ListParagraph"/>
        <w:numPr>
          <w:ilvl w:val="0"/>
          <w:numId w:val="20"/>
        </w:numPr>
        <w:rPr>
          <w:rFonts w:asciiTheme="majorHAnsi" w:hAnsiTheme="majorHAnsi" w:cstheme="majorHAnsi"/>
        </w:rPr>
      </w:pPr>
      <w:r>
        <w:rPr>
          <w:rFonts w:asciiTheme="majorHAnsi" w:hAnsiTheme="majorHAnsi" w:cstheme="majorHAnsi"/>
        </w:rPr>
        <w:t>Use</w:t>
      </w:r>
      <w:r w:rsidRPr="00675604">
        <w:rPr>
          <w:rFonts w:asciiTheme="majorHAnsi" w:hAnsiTheme="majorHAnsi" w:cstheme="majorHAnsi"/>
        </w:rPr>
        <w:t xml:space="preserve"> a jackknife variance replication method to simplify the statistical significance testing of the descriptive statistics and regression-adjusted estimates</w:t>
      </w:r>
      <w:r w:rsidRPr="00851D24">
        <w:rPr>
          <w:vertAlign w:val="superscript"/>
        </w:rPr>
        <w:footnoteReference w:id="9"/>
      </w:r>
      <w:r w:rsidRPr="00675604">
        <w:rPr>
          <w:rFonts w:asciiTheme="majorHAnsi" w:hAnsiTheme="majorHAnsi" w:cstheme="majorHAnsi"/>
        </w:rPr>
        <w:t xml:space="preserve"> </w:t>
      </w:r>
    </w:p>
    <w:p w14:paraId="1BC164E5" w14:textId="77777777" w:rsidR="00693FCD" w:rsidRDefault="00693FCD" w:rsidP="00693FCD">
      <w:r w:rsidRPr="00851D24">
        <w:t xml:space="preserve">This methodology </w:t>
      </w:r>
      <w:r>
        <w:t xml:space="preserve">also will </w:t>
      </w:r>
      <w:r w:rsidRPr="00851D24">
        <w:t>help account for the non</w:t>
      </w:r>
      <w:r>
        <w:t>-</w:t>
      </w:r>
      <w:r w:rsidRPr="00851D24">
        <w:t>sampling errors associated with the non</w:t>
      </w:r>
      <w:r>
        <w:t>-</w:t>
      </w:r>
      <w:r w:rsidRPr="00851D24">
        <w:t xml:space="preserve">response adjustment and any subsequent post-stratification or calibration. </w:t>
      </w:r>
    </w:p>
    <w:p w14:paraId="4747CD83" w14:textId="4004487E" w:rsidR="0068626B" w:rsidRDefault="00693FCD" w:rsidP="00675604">
      <w:r w:rsidRPr="00EA4AEA">
        <w:t>Descriptive findings from the survey will be presented in data tables as weighted percentages. Data tables will include weighted and unweighted counts of respondents. The study team will provide descriptive cross-tabulations by ADCC characteristics for survey questions, if appropriate, such as FNS region, urbanicity, and type of center (sponsor vs. independent; affiliated vs. unaffiliated).</w:t>
      </w:r>
    </w:p>
    <w:p w14:paraId="7F5DF06C" w14:textId="3E82A688" w:rsidR="0068626B" w:rsidRDefault="0068626B" w:rsidP="00582DDA">
      <w:pPr>
        <w:pStyle w:val="Heading3"/>
      </w:pPr>
      <w:r>
        <w:t>Outcomes/Findings</w:t>
      </w:r>
    </w:p>
    <w:p w14:paraId="353B7AA3" w14:textId="2C1FF16D" w:rsidR="00DA30A6" w:rsidRPr="000B5670" w:rsidRDefault="0083140C" w:rsidP="00DA30A6">
      <w:pPr>
        <w:rPr>
          <w:highlight w:val="yellow"/>
        </w:rPr>
      </w:pPr>
      <w:r w:rsidRPr="0083140C">
        <w:t>OFS</w:t>
      </w:r>
      <w:r w:rsidR="00BF06F7">
        <w:t xml:space="preserve"> </w:t>
      </w:r>
      <w:r w:rsidRPr="0083140C">
        <w:t xml:space="preserve">is committed to expanding food safety training in FNS programs to meet the needs of nutrition assistance </w:t>
      </w:r>
      <w:r w:rsidR="000A46F6">
        <w:t xml:space="preserve">of ADCC </w:t>
      </w:r>
      <w:r w:rsidRPr="0083140C">
        <w:t xml:space="preserve">program </w:t>
      </w:r>
      <w:r>
        <w:t>directors</w:t>
      </w:r>
      <w:r w:rsidR="00BF06F7">
        <w:t xml:space="preserve"> in CACFP</w:t>
      </w:r>
      <w:r w:rsidRPr="0083140C">
        <w:t xml:space="preserve">. </w:t>
      </w:r>
      <w:r w:rsidR="00414A50" w:rsidRPr="00851D24">
        <w:t xml:space="preserve">The </w:t>
      </w:r>
      <w:r w:rsidR="00BF06F7">
        <w:t>findings from this study</w:t>
      </w:r>
      <w:r w:rsidR="00414A50" w:rsidRPr="00851D24">
        <w:t xml:space="preserve"> will help FNS better understand the food safety education needs among </w:t>
      </w:r>
      <w:r w:rsidR="000A46F6">
        <w:t xml:space="preserve">the </w:t>
      </w:r>
      <w:r w:rsidR="00414A50" w:rsidRPr="00851D24">
        <w:t xml:space="preserve">ADCC program </w:t>
      </w:r>
      <w:r w:rsidR="00414A50">
        <w:t>directors</w:t>
      </w:r>
      <w:r w:rsidR="00414A50" w:rsidRPr="00851D24">
        <w:t xml:space="preserve"> and </w:t>
      </w:r>
      <w:r w:rsidR="00414A50">
        <w:t>how these program directors</w:t>
      </w:r>
      <w:r w:rsidR="00414A50" w:rsidRPr="00851D24">
        <w:t xml:space="preserve"> want to receive the needed information. This </w:t>
      </w:r>
      <w:r w:rsidR="00414A50">
        <w:t>data</w:t>
      </w:r>
      <w:r w:rsidR="00414A50" w:rsidRPr="00851D24">
        <w:t xml:space="preserve"> will </w:t>
      </w:r>
      <w:r w:rsidR="00414A50" w:rsidRPr="00675604">
        <w:t>help</w:t>
      </w:r>
      <w:r w:rsidR="00414A50" w:rsidRPr="00851D24">
        <w:t xml:space="preserve"> OFS develop training and technical resources to meet the needs of program </w:t>
      </w:r>
      <w:r w:rsidR="00414A50">
        <w:t>directors and their staff</w:t>
      </w:r>
      <w:r w:rsidR="00414A50" w:rsidRPr="00851D24">
        <w:t>.</w:t>
      </w:r>
    </w:p>
    <w:p w14:paraId="650E88CA" w14:textId="20EBF0CE" w:rsidR="005E15FF" w:rsidRPr="00092D8F" w:rsidRDefault="005E15FF" w:rsidP="00BD6322">
      <w:pPr>
        <w:pStyle w:val="ListParagraph"/>
        <w:numPr>
          <w:ilvl w:val="0"/>
          <w:numId w:val="23"/>
        </w:numPr>
        <w:rPr>
          <w:b/>
        </w:rPr>
      </w:pPr>
      <w:r w:rsidRPr="00092D8F">
        <w:rPr>
          <w:b/>
        </w:rPr>
        <w:t>Confidentiality:</w:t>
      </w:r>
    </w:p>
    <w:p w14:paraId="3C5CB469" w14:textId="6B1E22A5" w:rsidR="00003C5E" w:rsidRDefault="00D90A6C" w:rsidP="00675604">
      <w:pPr>
        <w:rPr>
          <w:rFonts w:asciiTheme="majorHAnsi" w:hAnsiTheme="majorHAnsi" w:cstheme="majorHAnsi"/>
        </w:rPr>
      </w:pPr>
      <w:r>
        <w:rPr>
          <w:rFonts w:asciiTheme="majorHAnsi" w:hAnsiTheme="majorHAnsi" w:cstheme="majorHAnsi"/>
        </w:rPr>
        <w:t xml:space="preserve">The survey does not ask any sensitive questions. </w:t>
      </w:r>
      <w:r w:rsidR="00D62FBC" w:rsidRPr="00DF2125">
        <w:t xml:space="preserve">All information gathered from </w:t>
      </w:r>
      <w:r w:rsidR="00D62FBC">
        <w:t>the survey</w:t>
      </w:r>
      <w:r w:rsidR="00D62FBC" w:rsidRPr="00DF2125">
        <w:t xml:space="preserve"> is for research purposes only and will be kept private to the full extent allowed by law. </w:t>
      </w:r>
      <w:r w:rsidR="001419FA">
        <w:t>Respondents</w:t>
      </w:r>
      <w:r w:rsidR="00F1182A">
        <w:t xml:space="preserve"> will be assured that their information and responses will remain private and will only be used for rese</w:t>
      </w:r>
      <w:r w:rsidR="00E76DD0">
        <w:t>arch purposes and reported in aggregate. In addition, a</w:t>
      </w:r>
      <w:r w:rsidR="00EC46FB">
        <w:rPr>
          <w:rFonts w:asciiTheme="majorHAnsi" w:hAnsiTheme="majorHAnsi" w:cstheme="majorHAnsi"/>
        </w:rPr>
        <w:t xml:space="preserve"> unique identifier will link the respondent information to the survey responses. </w:t>
      </w:r>
      <w:r w:rsidR="00923DBA">
        <w:rPr>
          <w:rFonts w:asciiTheme="majorHAnsi" w:hAnsiTheme="majorHAnsi" w:cstheme="majorHAnsi"/>
        </w:rPr>
        <w:t xml:space="preserve">The study team </w:t>
      </w:r>
      <w:r w:rsidR="00D62FBC">
        <w:rPr>
          <w:rFonts w:asciiTheme="majorHAnsi" w:hAnsiTheme="majorHAnsi" w:cstheme="majorHAnsi"/>
        </w:rPr>
        <w:t xml:space="preserve">will ensure that the </w:t>
      </w:r>
      <w:r w:rsidR="000962E0">
        <w:rPr>
          <w:rFonts w:asciiTheme="majorHAnsi" w:hAnsiTheme="majorHAnsi" w:cstheme="majorHAnsi"/>
        </w:rPr>
        <w:t>spreadsheet linking the unique identifie</w:t>
      </w:r>
      <w:r w:rsidR="008C5A50">
        <w:rPr>
          <w:rFonts w:asciiTheme="majorHAnsi" w:hAnsiTheme="majorHAnsi" w:cstheme="majorHAnsi"/>
        </w:rPr>
        <w:t>r</w:t>
      </w:r>
      <w:r w:rsidR="000962E0">
        <w:rPr>
          <w:rFonts w:asciiTheme="majorHAnsi" w:hAnsiTheme="majorHAnsi" w:cstheme="majorHAnsi"/>
        </w:rPr>
        <w:t xml:space="preserve"> with the respondent information (</w:t>
      </w:r>
      <w:r w:rsidR="00D62FBC">
        <w:rPr>
          <w:rFonts w:asciiTheme="majorHAnsi" w:hAnsiTheme="majorHAnsi" w:cstheme="majorHAnsi"/>
        </w:rPr>
        <w:t>name</w:t>
      </w:r>
      <w:r w:rsidR="00214BC2">
        <w:rPr>
          <w:rFonts w:asciiTheme="majorHAnsi" w:hAnsiTheme="majorHAnsi" w:cstheme="majorHAnsi"/>
        </w:rPr>
        <w:t>, job title, work e-mail address, and other work contact</w:t>
      </w:r>
      <w:r w:rsidR="008C5A50">
        <w:rPr>
          <w:rFonts w:asciiTheme="majorHAnsi" w:hAnsiTheme="majorHAnsi" w:cstheme="majorHAnsi"/>
        </w:rPr>
        <w:t xml:space="preserve"> </w:t>
      </w:r>
      <w:r w:rsidR="00D62FBC">
        <w:rPr>
          <w:rFonts w:asciiTheme="majorHAnsi" w:hAnsiTheme="majorHAnsi" w:cstheme="majorHAnsi"/>
        </w:rPr>
        <w:t>information</w:t>
      </w:r>
      <w:r w:rsidR="000962E0">
        <w:rPr>
          <w:rFonts w:asciiTheme="majorHAnsi" w:hAnsiTheme="majorHAnsi" w:cstheme="majorHAnsi"/>
        </w:rPr>
        <w:t>)</w:t>
      </w:r>
      <w:r w:rsidR="00D62FBC">
        <w:rPr>
          <w:rFonts w:asciiTheme="majorHAnsi" w:hAnsiTheme="majorHAnsi" w:cstheme="majorHAnsi"/>
        </w:rPr>
        <w:t xml:space="preserve"> is </w:t>
      </w:r>
      <w:r w:rsidR="001E7C66">
        <w:rPr>
          <w:rFonts w:asciiTheme="majorHAnsi" w:hAnsiTheme="majorHAnsi" w:cstheme="majorHAnsi"/>
        </w:rPr>
        <w:t xml:space="preserve">electronically </w:t>
      </w:r>
      <w:r w:rsidR="000C19F4">
        <w:rPr>
          <w:rFonts w:asciiTheme="majorHAnsi" w:hAnsiTheme="majorHAnsi" w:cstheme="majorHAnsi"/>
        </w:rPr>
        <w:t>stored</w:t>
      </w:r>
      <w:r w:rsidR="00876C0B">
        <w:rPr>
          <w:rFonts w:asciiTheme="majorHAnsi" w:hAnsiTheme="majorHAnsi" w:cstheme="majorHAnsi"/>
        </w:rPr>
        <w:t xml:space="preserve"> with access allowed </w:t>
      </w:r>
      <w:r w:rsidR="008C5A50">
        <w:rPr>
          <w:rFonts w:asciiTheme="majorHAnsi" w:hAnsiTheme="majorHAnsi" w:cstheme="majorHAnsi"/>
        </w:rPr>
        <w:t xml:space="preserve">only </w:t>
      </w:r>
      <w:r w:rsidR="00876C0B">
        <w:rPr>
          <w:rFonts w:asciiTheme="majorHAnsi" w:hAnsiTheme="majorHAnsi" w:cstheme="majorHAnsi"/>
        </w:rPr>
        <w:t>to the study team</w:t>
      </w:r>
      <w:r w:rsidR="00BA72E6" w:rsidRPr="001E7C66">
        <w:rPr>
          <w:rFonts w:asciiTheme="majorHAnsi" w:hAnsiTheme="majorHAnsi" w:cstheme="majorHAnsi"/>
        </w:rPr>
        <w:t xml:space="preserve"> </w:t>
      </w:r>
      <w:r w:rsidR="00BA72E6">
        <w:rPr>
          <w:rFonts w:asciiTheme="majorHAnsi" w:hAnsiTheme="majorHAnsi" w:cstheme="majorHAnsi"/>
        </w:rPr>
        <w:t xml:space="preserve">and </w:t>
      </w:r>
      <w:r w:rsidR="008C5A50">
        <w:rPr>
          <w:rFonts w:asciiTheme="majorHAnsi" w:hAnsiTheme="majorHAnsi" w:cstheme="majorHAnsi"/>
        </w:rPr>
        <w:t xml:space="preserve">that it is </w:t>
      </w:r>
      <w:r w:rsidR="00BA72E6">
        <w:rPr>
          <w:rFonts w:asciiTheme="majorHAnsi" w:hAnsiTheme="majorHAnsi" w:cstheme="majorHAnsi"/>
        </w:rPr>
        <w:t>kept separate from the survey responses</w:t>
      </w:r>
      <w:r w:rsidR="00C56D45">
        <w:rPr>
          <w:rFonts w:asciiTheme="majorHAnsi" w:hAnsiTheme="majorHAnsi" w:cstheme="majorHAnsi"/>
        </w:rPr>
        <w:t>.</w:t>
      </w:r>
      <w:r w:rsidR="00BA72E6">
        <w:rPr>
          <w:rFonts w:asciiTheme="majorHAnsi" w:hAnsiTheme="majorHAnsi" w:cstheme="majorHAnsi"/>
        </w:rPr>
        <w:t xml:space="preserve"> </w:t>
      </w:r>
      <w:r w:rsidR="00395CF5">
        <w:rPr>
          <w:rFonts w:asciiTheme="majorHAnsi" w:hAnsiTheme="majorHAnsi" w:cstheme="majorHAnsi"/>
        </w:rPr>
        <w:t>This</w:t>
      </w:r>
      <w:r w:rsidR="004660B7">
        <w:rPr>
          <w:rFonts w:asciiTheme="majorHAnsi" w:hAnsiTheme="majorHAnsi" w:cstheme="majorHAnsi"/>
        </w:rPr>
        <w:t xml:space="preserve"> </w:t>
      </w:r>
      <w:r w:rsidR="007E6E4A">
        <w:rPr>
          <w:rFonts w:asciiTheme="majorHAnsi" w:hAnsiTheme="majorHAnsi" w:cstheme="majorHAnsi"/>
        </w:rPr>
        <w:t xml:space="preserve">file linking the </w:t>
      </w:r>
      <w:r w:rsidR="0057385F">
        <w:rPr>
          <w:rFonts w:asciiTheme="majorHAnsi" w:hAnsiTheme="majorHAnsi" w:cstheme="majorHAnsi"/>
        </w:rPr>
        <w:t>respondent’s</w:t>
      </w:r>
      <w:r w:rsidR="00395CF5">
        <w:rPr>
          <w:rFonts w:asciiTheme="majorHAnsi" w:hAnsiTheme="majorHAnsi" w:cstheme="majorHAnsi"/>
        </w:rPr>
        <w:t xml:space="preserve"> information</w:t>
      </w:r>
      <w:r w:rsidR="007E6E4A">
        <w:rPr>
          <w:rFonts w:asciiTheme="majorHAnsi" w:hAnsiTheme="majorHAnsi" w:cstheme="majorHAnsi"/>
        </w:rPr>
        <w:t xml:space="preserve"> to the unique identifier</w:t>
      </w:r>
      <w:r w:rsidR="0057385F">
        <w:rPr>
          <w:rFonts w:asciiTheme="majorHAnsi" w:hAnsiTheme="majorHAnsi" w:cstheme="majorHAnsi"/>
        </w:rPr>
        <w:t xml:space="preserve"> on the survey responses</w:t>
      </w:r>
      <w:r w:rsidR="00395CF5">
        <w:rPr>
          <w:rFonts w:asciiTheme="majorHAnsi" w:hAnsiTheme="majorHAnsi" w:cstheme="majorHAnsi"/>
        </w:rPr>
        <w:t xml:space="preserve"> will </w:t>
      </w:r>
      <w:r w:rsidR="00FD6430">
        <w:rPr>
          <w:rFonts w:asciiTheme="majorHAnsi" w:hAnsiTheme="majorHAnsi" w:cstheme="majorHAnsi"/>
        </w:rPr>
        <w:t xml:space="preserve">only </w:t>
      </w:r>
      <w:r w:rsidR="00395CF5">
        <w:rPr>
          <w:rFonts w:asciiTheme="majorHAnsi" w:hAnsiTheme="majorHAnsi" w:cstheme="majorHAnsi"/>
        </w:rPr>
        <w:t xml:space="preserve">be transmitted </w:t>
      </w:r>
      <w:r w:rsidR="009C3C01">
        <w:rPr>
          <w:rFonts w:asciiTheme="majorHAnsi" w:hAnsiTheme="majorHAnsi" w:cstheme="majorHAnsi"/>
        </w:rPr>
        <w:t>using encrypt</w:t>
      </w:r>
      <w:r w:rsidR="000D3691">
        <w:rPr>
          <w:rFonts w:asciiTheme="majorHAnsi" w:hAnsiTheme="majorHAnsi" w:cstheme="majorHAnsi"/>
        </w:rPr>
        <w:t>ion</w:t>
      </w:r>
      <w:r w:rsidR="009C3C01">
        <w:rPr>
          <w:rFonts w:asciiTheme="majorHAnsi" w:hAnsiTheme="majorHAnsi" w:cstheme="majorHAnsi"/>
        </w:rPr>
        <w:t xml:space="preserve">. All paper copies of </w:t>
      </w:r>
      <w:r w:rsidR="004800E4">
        <w:rPr>
          <w:rFonts w:asciiTheme="majorHAnsi" w:hAnsiTheme="majorHAnsi" w:cstheme="majorHAnsi"/>
        </w:rPr>
        <w:t>the re</w:t>
      </w:r>
      <w:r w:rsidR="00EB3FC3">
        <w:rPr>
          <w:rFonts w:asciiTheme="majorHAnsi" w:hAnsiTheme="majorHAnsi" w:cstheme="majorHAnsi"/>
        </w:rPr>
        <w:t>turned completed survey will be entered electronically and shredded instantly after.</w:t>
      </w:r>
    </w:p>
    <w:p w14:paraId="45168D2B" w14:textId="72B9F521" w:rsidR="00003C5E" w:rsidRDefault="00DD575C" w:rsidP="00675604">
      <w:r w:rsidRPr="00851D24">
        <w:t xml:space="preserve">Data confidentiality will be considered a continuous process during the life of </w:t>
      </w:r>
      <w:r w:rsidR="00214BC2">
        <w:t>the study</w:t>
      </w:r>
      <w:r w:rsidR="009258D1">
        <w:t xml:space="preserve"> </w:t>
      </w:r>
      <w:r w:rsidRPr="00851D24">
        <w:t xml:space="preserve">and will be monitored and controlled by </w:t>
      </w:r>
      <w:r w:rsidR="00695FE5">
        <w:t>study team</w:t>
      </w:r>
      <w:r w:rsidRPr="00851D24">
        <w:t>. 2M will report any improper disclosure or unauthorized use of FNS data to the C</w:t>
      </w:r>
      <w:r w:rsidR="00FA7BE5">
        <w:t>ontracting Officer’s Representative</w:t>
      </w:r>
      <w:r w:rsidRPr="00851D24">
        <w:t xml:space="preserve"> </w:t>
      </w:r>
      <w:r w:rsidRPr="00675604">
        <w:t>within</w:t>
      </w:r>
      <w:r w:rsidRPr="00851D24">
        <w:t xml:space="preserve"> 24 hours of discovery or loss</w:t>
      </w:r>
      <w:r w:rsidR="00FF4CD0">
        <w:t xml:space="preserve"> of data</w:t>
      </w:r>
      <w:r w:rsidRPr="00851D24">
        <w:t>.</w:t>
      </w:r>
    </w:p>
    <w:p w14:paraId="7B804C45" w14:textId="3F0DB582" w:rsidR="00695FE5" w:rsidRPr="002D3ED3" w:rsidRDefault="00695FE5" w:rsidP="00675604">
      <w:r w:rsidRPr="00695FE5">
        <w:t>FNS published a system of record notice (SORN) titled FNS-8 USDA/FNS Studies and Reports in the Federal Register on April 25, 1991, volume 56, pages 19078-19080, that discusses the terms of protections that will be provided to respondents. FNS and the study team will comply with the requirements of the Privacy Act of 1974.</w:t>
      </w:r>
    </w:p>
    <w:p w14:paraId="7B914D8B" w14:textId="0349E659" w:rsidR="005E15FF" w:rsidRPr="00092D8F" w:rsidRDefault="005E15FF" w:rsidP="00BD6322">
      <w:pPr>
        <w:pStyle w:val="ListParagraph"/>
        <w:numPr>
          <w:ilvl w:val="0"/>
          <w:numId w:val="23"/>
        </w:numPr>
        <w:rPr>
          <w:b/>
        </w:rPr>
      </w:pPr>
      <w:r w:rsidRPr="00092D8F">
        <w:rPr>
          <w:b/>
        </w:rPr>
        <w:t xml:space="preserve">Federal Costs:  </w:t>
      </w:r>
    </w:p>
    <w:p w14:paraId="2E09B5C0" w14:textId="1E899C0E" w:rsidR="00D011C7" w:rsidRPr="00971910" w:rsidRDefault="00664CD1" w:rsidP="00971910">
      <w:r>
        <w:t>It is estimated</w:t>
      </w:r>
      <w:r w:rsidR="00986899" w:rsidRPr="00B35717">
        <w:t xml:space="preserve"> that </w:t>
      </w:r>
      <w:r w:rsidR="00572D33">
        <w:t>f</w:t>
      </w:r>
      <w:r w:rsidR="00986899" w:rsidRPr="00B35717">
        <w:t xml:space="preserve">ederal employees will spend approximately </w:t>
      </w:r>
      <w:r w:rsidR="00695FE5">
        <w:t>208</w:t>
      </w:r>
      <w:r w:rsidR="00986899" w:rsidRPr="00B35717">
        <w:t xml:space="preserve"> hours overseeing th</w:t>
      </w:r>
      <w:r w:rsidR="00496BA4" w:rsidRPr="00B35717">
        <w:t>is study</w:t>
      </w:r>
      <w:r w:rsidR="00986899" w:rsidRPr="00B35717">
        <w:t xml:space="preserve"> in 2018. Using the hourly wage rate of $45.59 for a GS-12, step 6 </w:t>
      </w:r>
      <w:r w:rsidR="005C0A27">
        <w:t>f</w:t>
      </w:r>
      <w:r w:rsidR="00986899" w:rsidRPr="00B35717">
        <w:t>ederal employee from the 2018 Washington, DC</w:t>
      </w:r>
      <w:r w:rsidR="009E766A">
        <w:t>,</w:t>
      </w:r>
      <w:r w:rsidR="00986899" w:rsidRPr="00B35717">
        <w:t xml:space="preserve"> locality pay </w:t>
      </w:r>
      <w:r w:rsidR="00986899" w:rsidRPr="00675604">
        <w:t>table</w:t>
      </w:r>
      <w:r w:rsidR="00986899" w:rsidRPr="00B35717">
        <w:t>, the estimated 2018 costs equal $</w:t>
      </w:r>
      <w:r w:rsidR="00695FE5">
        <w:t>9,482.72</w:t>
      </w:r>
      <w:r w:rsidR="00986899" w:rsidRPr="00B35717">
        <w:t xml:space="preserve">. </w:t>
      </w:r>
      <w:r w:rsidR="00971910">
        <w:t>In addition, we assume 2</w:t>
      </w:r>
      <w:r w:rsidR="00971910" w:rsidRPr="00971910">
        <w:t>0 hours annually for the Branch Chief, at GS-14, Step 1, at $54.91 per hour for a total of $</w:t>
      </w:r>
      <w:r w:rsidR="00971910">
        <w:t>1,098.20</w:t>
      </w:r>
      <w:r w:rsidR="00971910" w:rsidRPr="00971910">
        <w:t>.</w:t>
      </w:r>
    </w:p>
    <w:p w14:paraId="72B3FFDE" w14:textId="19EE573A" w:rsidR="00583C7D" w:rsidRDefault="00986899">
      <w:r w:rsidRPr="00B35717">
        <w:t xml:space="preserve">Contractor costs associated with </w:t>
      </w:r>
      <w:r w:rsidR="002C683B" w:rsidRPr="00675604">
        <w:t>this</w:t>
      </w:r>
      <w:r w:rsidR="002C683B" w:rsidRPr="00B35717">
        <w:t xml:space="preserve"> study</w:t>
      </w:r>
      <w:r w:rsidRPr="00B35717">
        <w:t xml:space="preserve"> will total $</w:t>
      </w:r>
      <w:r w:rsidR="00DA0273" w:rsidRPr="00B35717">
        <w:t>28</w:t>
      </w:r>
      <w:r w:rsidR="000E0113">
        <w:t>8</w:t>
      </w:r>
      <w:r w:rsidR="00DA0273" w:rsidRPr="00B35717">
        <w:t>,</w:t>
      </w:r>
      <w:r w:rsidR="000E0113">
        <w:t>900</w:t>
      </w:r>
      <w:r w:rsidR="00DA0273" w:rsidRPr="00B35717">
        <w:t>.</w:t>
      </w:r>
      <w:r w:rsidR="000E0113">
        <w:t>06</w:t>
      </w:r>
      <w:r w:rsidR="00DA0273" w:rsidRPr="00B35717">
        <w:t xml:space="preserve"> </w:t>
      </w:r>
      <w:r w:rsidRPr="00B35717">
        <w:t xml:space="preserve">to the Federal </w:t>
      </w:r>
      <w:r w:rsidR="00065B76">
        <w:t>G</w:t>
      </w:r>
      <w:r w:rsidRPr="00B35717">
        <w:t xml:space="preserve">overnment </w:t>
      </w:r>
      <w:r w:rsidR="00E72FD8">
        <w:t>in 2018</w:t>
      </w:r>
      <w:r w:rsidRPr="00B35717">
        <w:t xml:space="preserve">. </w:t>
      </w:r>
      <w:r w:rsidR="008C5A50">
        <w:t>The combined f</w:t>
      </w:r>
      <w:r w:rsidRPr="00B35717">
        <w:t>ederal employee and contractor costs</w:t>
      </w:r>
      <w:r w:rsidR="008C5A50">
        <w:t xml:space="preserve"> are estimated at $299,480.98.  Adding $98,828.72 to this total to account for fully loaded wages ($299,480.98 x 0.33%), FNS estimates that the </w:t>
      </w:r>
      <w:r w:rsidRPr="00B35717">
        <w:t xml:space="preserve">total annual cost to the Federal </w:t>
      </w:r>
      <w:r w:rsidR="00065B76">
        <w:t>G</w:t>
      </w:r>
      <w:r w:rsidRPr="00B35717">
        <w:t xml:space="preserve">overnment for this </w:t>
      </w:r>
      <w:r w:rsidR="00065B76">
        <w:t xml:space="preserve">information </w:t>
      </w:r>
      <w:r w:rsidRPr="00B35717">
        <w:t xml:space="preserve">collection </w:t>
      </w:r>
      <w:r w:rsidR="008C5A50">
        <w:t>will be $398,309.70</w:t>
      </w:r>
      <w:r w:rsidR="00971910">
        <w:t>.</w:t>
      </w:r>
    </w:p>
    <w:p w14:paraId="396522F3" w14:textId="743F952C" w:rsidR="005E15FF" w:rsidRPr="00092D8F" w:rsidRDefault="00986899" w:rsidP="00BD6322">
      <w:pPr>
        <w:pStyle w:val="ListParagraph"/>
        <w:numPr>
          <w:ilvl w:val="0"/>
          <w:numId w:val="23"/>
        </w:numPr>
        <w:rPr>
          <w:b/>
        </w:rPr>
      </w:pPr>
      <w:r w:rsidRPr="00092D8F">
        <w:rPr>
          <w:b/>
        </w:rPr>
        <w:t xml:space="preserve">Appendices (including </w:t>
      </w:r>
      <w:r w:rsidR="005E15FF" w:rsidRPr="00092D8F">
        <w:rPr>
          <w:b/>
        </w:rPr>
        <w:t>Research Tools/Instruments</w:t>
      </w:r>
      <w:r w:rsidR="00883886" w:rsidRPr="00092D8F">
        <w:rPr>
          <w:b/>
        </w:rPr>
        <w:t>)</w:t>
      </w:r>
      <w:r w:rsidR="005E15FF" w:rsidRPr="00092D8F">
        <w:rPr>
          <w:b/>
        </w:rPr>
        <w:t>:</w:t>
      </w:r>
    </w:p>
    <w:p w14:paraId="557F9D15" w14:textId="670A6568" w:rsidR="00E61A56" w:rsidRDefault="00A82570" w:rsidP="00583C7D">
      <w:pPr>
        <w:spacing w:after="120"/>
      </w:pPr>
      <w:r w:rsidRPr="00583C7D">
        <w:t>Appen</w:t>
      </w:r>
      <w:r w:rsidR="002C297D" w:rsidRPr="00583C7D">
        <w:t>d</w:t>
      </w:r>
      <w:r w:rsidRPr="00583C7D">
        <w:t xml:space="preserve">ix </w:t>
      </w:r>
      <w:r w:rsidR="00F6670A" w:rsidRPr="00583C7D">
        <w:t>A.1 Respondent Burden Table</w:t>
      </w:r>
    </w:p>
    <w:p w14:paraId="14E13707" w14:textId="77777777" w:rsidR="00E61A56" w:rsidRDefault="00E61A56" w:rsidP="00583C7D">
      <w:pPr>
        <w:spacing w:after="120"/>
      </w:pPr>
    </w:p>
    <w:p w14:paraId="394A60C5" w14:textId="36D32BA2" w:rsidR="008F4D0B" w:rsidRPr="00583C7D" w:rsidRDefault="008F4D0B" w:rsidP="00583C7D">
      <w:pPr>
        <w:spacing w:after="120"/>
        <w:rPr>
          <w:b/>
          <w:u w:val="single"/>
        </w:rPr>
      </w:pPr>
      <w:r w:rsidRPr="00583C7D">
        <w:rPr>
          <w:b/>
          <w:u w:val="single"/>
        </w:rPr>
        <w:t xml:space="preserve">Materials Related to </w:t>
      </w:r>
      <w:r w:rsidR="00C67BD0">
        <w:rPr>
          <w:b/>
          <w:u w:val="single"/>
        </w:rPr>
        <w:t xml:space="preserve">Recruitment for the </w:t>
      </w:r>
      <w:r w:rsidRPr="00583C7D">
        <w:rPr>
          <w:b/>
          <w:u w:val="single"/>
        </w:rPr>
        <w:t>Survey</w:t>
      </w:r>
    </w:p>
    <w:p w14:paraId="577D0046" w14:textId="167EA0D0" w:rsidR="00F6670A" w:rsidRPr="00583C7D" w:rsidRDefault="002C297D" w:rsidP="00583C7D">
      <w:pPr>
        <w:spacing w:after="120"/>
      </w:pPr>
      <w:r w:rsidRPr="00583C7D">
        <w:t>Appe</w:t>
      </w:r>
      <w:r w:rsidR="00A82570" w:rsidRPr="00583C7D">
        <w:t xml:space="preserve">ndix </w:t>
      </w:r>
      <w:r w:rsidR="00F6670A" w:rsidRPr="00583C7D">
        <w:t>A.2 Email Notification from Regional Offices to CACFP State Agencies</w:t>
      </w:r>
    </w:p>
    <w:p w14:paraId="4B653420" w14:textId="45F46184" w:rsidR="00F6670A" w:rsidRPr="00583C7D" w:rsidRDefault="00A82570" w:rsidP="00583C7D">
      <w:pPr>
        <w:spacing w:after="120"/>
      </w:pPr>
      <w:r w:rsidRPr="00583C7D">
        <w:t xml:space="preserve">Appendix </w:t>
      </w:r>
      <w:r w:rsidR="00F6670A" w:rsidRPr="00583C7D">
        <w:t xml:space="preserve">A.3 </w:t>
      </w:r>
      <w:r w:rsidR="00EF6B8B" w:rsidRPr="00583C7D">
        <w:t>Email Notification to ADCC Sponsoring Organization Point of Contact</w:t>
      </w:r>
    </w:p>
    <w:p w14:paraId="0DE7E83B" w14:textId="395C7DDA" w:rsidR="00F6670A" w:rsidRPr="00583C7D" w:rsidRDefault="00A82570" w:rsidP="00583C7D">
      <w:pPr>
        <w:spacing w:after="120"/>
      </w:pPr>
      <w:r w:rsidRPr="00583C7D">
        <w:t xml:space="preserve">Appendix </w:t>
      </w:r>
      <w:r w:rsidR="00F6670A" w:rsidRPr="00583C7D">
        <w:t>A.4</w:t>
      </w:r>
      <w:r w:rsidR="00EF6B8B" w:rsidRPr="00583C7D">
        <w:t xml:space="preserve"> Initial </w:t>
      </w:r>
      <w:r w:rsidR="00B322C7">
        <w:t>S</w:t>
      </w:r>
      <w:r w:rsidR="00EF6B8B" w:rsidRPr="00583C7D">
        <w:t xml:space="preserve">urvey </w:t>
      </w:r>
      <w:r w:rsidR="004C41D8">
        <w:t>Notification</w:t>
      </w:r>
      <w:r w:rsidR="00E61A56">
        <w:t xml:space="preserve"> </w:t>
      </w:r>
      <w:r w:rsidR="00B322C7">
        <w:t>E</w:t>
      </w:r>
      <w:r w:rsidR="00EF6B8B" w:rsidRPr="00583C7D">
        <w:t>mail to ADCC Program Directors</w:t>
      </w:r>
      <w:r w:rsidR="00A11319">
        <w:t xml:space="preserve"> </w:t>
      </w:r>
    </w:p>
    <w:p w14:paraId="02812D3A" w14:textId="7D510F56" w:rsidR="00F6670A" w:rsidRPr="00583C7D" w:rsidRDefault="00A82570" w:rsidP="00583C7D">
      <w:pPr>
        <w:spacing w:after="120"/>
      </w:pPr>
      <w:r w:rsidRPr="00583C7D">
        <w:t xml:space="preserve">Appendix </w:t>
      </w:r>
      <w:r w:rsidR="00F6670A" w:rsidRPr="00583C7D">
        <w:t>A.5</w:t>
      </w:r>
      <w:r w:rsidR="00EF6B8B" w:rsidRPr="00583C7D">
        <w:t xml:space="preserve"> Initial </w:t>
      </w:r>
      <w:r w:rsidR="00B322C7">
        <w:t>S</w:t>
      </w:r>
      <w:r w:rsidR="00EF6B8B" w:rsidRPr="00583C7D">
        <w:t xml:space="preserve">urvey </w:t>
      </w:r>
      <w:r w:rsidR="004C41D8">
        <w:t xml:space="preserve">Hard Copy Notification </w:t>
      </w:r>
      <w:r w:rsidR="00EF6B8B" w:rsidRPr="00583C7D">
        <w:t>to ADCC Program Directors</w:t>
      </w:r>
      <w:r w:rsidRPr="00583C7D">
        <w:t xml:space="preserve"> </w:t>
      </w:r>
      <w:r w:rsidR="00A52122">
        <w:t>(</w:t>
      </w:r>
      <w:r w:rsidRPr="00583C7D">
        <w:t>Hard Copy Survey Reminders to ADCC Program Directors who never clicked the link)</w:t>
      </w:r>
    </w:p>
    <w:p w14:paraId="39A2633C" w14:textId="54592CC0" w:rsidR="00F6670A" w:rsidRPr="00583C7D" w:rsidRDefault="00A82570" w:rsidP="00583C7D">
      <w:pPr>
        <w:spacing w:after="120"/>
      </w:pPr>
      <w:r w:rsidRPr="00583C7D">
        <w:t xml:space="preserve">Appendix </w:t>
      </w:r>
      <w:r w:rsidR="00F6670A" w:rsidRPr="00583C7D">
        <w:t>A.6</w:t>
      </w:r>
      <w:r w:rsidR="00EF6B8B" w:rsidRPr="00583C7D">
        <w:t xml:space="preserve"> Survey Reminder Email 1 to ADCC Program Directors</w:t>
      </w:r>
    </w:p>
    <w:p w14:paraId="7B226D27" w14:textId="7C16A4CE" w:rsidR="00F6670A" w:rsidRPr="00583C7D" w:rsidRDefault="00A82570" w:rsidP="00583C7D">
      <w:pPr>
        <w:spacing w:after="120"/>
      </w:pPr>
      <w:r w:rsidRPr="00583C7D">
        <w:t xml:space="preserve">Appendix </w:t>
      </w:r>
      <w:r w:rsidR="00F6670A" w:rsidRPr="00583C7D">
        <w:t>A.7</w:t>
      </w:r>
      <w:r w:rsidRPr="00583C7D">
        <w:t xml:space="preserve"> Survey Reminder Email 2 to ADCC Program Directors</w:t>
      </w:r>
    </w:p>
    <w:p w14:paraId="09FC7E9C" w14:textId="0BBD5D16" w:rsidR="00F6670A" w:rsidRPr="00583C7D" w:rsidRDefault="00A82570" w:rsidP="00583C7D">
      <w:pPr>
        <w:spacing w:after="120"/>
      </w:pPr>
      <w:r w:rsidRPr="00583C7D">
        <w:t xml:space="preserve">Appendix </w:t>
      </w:r>
      <w:r w:rsidR="00F6670A" w:rsidRPr="00583C7D">
        <w:t>A.8</w:t>
      </w:r>
      <w:r w:rsidRPr="00583C7D">
        <w:t xml:space="preserve"> Survey Reminder Email 3 to ADCC Program Directors</w:t>
      </w:r>
    </w:p>
    <w:p w14:paraId="122467F2" w14:textId="1F29A413" w:rsidR="00F6670A" w:rsidRPr="00583C7D" w:rsidRDefault="00A82570" w:rsidP="00583C7D">
      <w:pPr>
        <w:spacing w:after="120"/>
      </w:pPr>
      <w:r w:rsidRPr="00583C7D">
        <w:t xml:space="preserve">Appendix </w:t>
      </w:r>
      <w:r w:rsidR="00F6670A" w:rsidRPr="00583C7D">
        <w:t>A.9</w:t>
      </w:r>
      <w:r w:rsidRPr="00583C7D">
        <w:t xml:space="preserve"> Hard Copy Survey Reminders to ADCC Program Directors (</w:t>
      </w:r>
      <w:r w:rsidR="00B540E1">
        <w:t xml:space="preserve">for </w:t>
      </w:r>
      <w:r w:rsidRPr="00583C7D">
        <w:t>those who received an initial hard copy)</w:t>
      </w:r>
    </w:p>
    <w:p w14:paraId="149A4157" w14:textId="3B66CF81" w:rsidR="00F6670A" w:rsidRPr="00583C7D" w:rsidRDefault="00A82570" w:rsidP="00583C7D">
      <w:pPr>
        <w:spacing w:after="120"/>
      </w:pPr>
      <w:r w:rsidRPr="00583C7D">
        <w:t xml:space="preserve">Appendix </w:t>
      </w:r>
      <w:r w:rsidR="00F6670A" w:rsidRPr="00583C7D">
        <w:t>A.10</w:t>
      </w:r>
      <w:r w:rsidRPr="00583C7D">
        <w:t xml:space="preserve"> Survey Reminder Email 4 to ADCC Program Directors</w:t>
      </w:r>
    </w:p>
    <w:p w14:paraId="127C0240" w14:textId="7B457BDF" w:rsidR="00F6670A" w:rsidRPr="00583C7D" w:rsidRDefault="00A82570" w:rsidP="00583C7D">
      <w:pPr>
        <w:spacing w:after="120"/>
      </w:pPr>
      <w:r w:rsidRPr="00583C7D">
        <w:t xml:space="preserve">Appendix </w:t>
      </w:r>
      <w:r w:rsidR="00F6670A" w:rsidRPr="00583C7D">
        <w:t>A.11</w:t>
      </w:r>
      <w:r w:rsidRPr="00583C7D">
        <w:t xml:space="preserve"> </w:t>
      </w:r>
      <w:r w:rsidR="00256696">
        <w:t>Telephone</w:t>
      </w:r>
      <w:r w:rsidRPr="00583C7D">
        <w:t xml:space="preserve"> Reminder 1 and 2 to ADCC Program Directors</w:t>
      </w:r>
    </w:p>
    <w:p w14:paraId="21BF5DA9" w14:textId="361020E5" w:rsidR="00F6670A" w:rsidRPr="00583C7D" w:rsidRDefault="00A82570" w:rsidP="00583C7D">
      <w:pPr>
        <w:spacing w:after="120"/>
      </w:pPr>
      <w:r w:rsidRPr="00583C7D">
        <w:t xml:space="preserve">Appendix </w:t>
      </w:r>
      <w:r w:rsidR="00F6670A" w:rsidRPr="00583C7D">
        <w:t>A.12</w:t>
      </w:r>
      <w:r w:rsidRPr="00583C7D">
        <w:t xml:space="preserve"> Post-Survey Response Clarification Email to ADCC Program Directors</w:t>
      </w:r>
    </w:p>
    <w:p w14:paraId="1AF055A5" w14:textId="4D372629" w:rsidR="00F6670A" w:rsidRPr="00583C7D" w:rsidRDefault="00A82570" w:rsidP="00583C7D">
      <w:pPr>
        <w:spacing w:after="120"/>
      </w:pPr>
      <w:r w:rsidRPr="00583C7D">
        <w:t xml:space="preserve">Appendix </w:t>
      </w:r>
      <w:r w:rsidR="00F6670A" w:rsidRPr="00583C7D">
        <w:t>A.13</w:t>
      </w:r>
      <w:r w:rsidRPr="00583C7D">
        <w:t xml:space="preserve"> Post-Survey Clarification </w:t>
      </w:r>
      <w:r w:rsidR="001B0E97">
        <w:t>Telephone Script</w:t>
      </w:r>
    </w:p>
    <w:p w14:paraId="0707F8DB" w14:textId="7D67ABD7" w:rsidR="008F4D0B" w:rsidRDefault="008F4D0B" w:rsidP="00583C7D">
      <w:pPr>
        <w:spacing w:after="120"/>
      </w:pPr>
      <w:r w:rsidRPr="00583C7D">
        <w:t>Appendix A.</w:t>
      </w:r>
      <w:r w:rsidR="00C67BD0">
        <w:t>14</w:t>
      </w:r>
      <w:r w:rsidRPr="00583C7D">
        <w:t xml:space="preserve"> Email Notification to Regional Offices.</w:t>
      </w:r>
    </w:p>
    <w:p w14:paraId="5C80F26F" w14:textId="77777777" w:rsidR="00C67BD0" w:rsidRPr="00583C7D" w:rsidRDefault="00C67BD0" w:rsidP="00C67BD0">
      <w:pPr>
        <w:spacing w:after="120"/>
        <w:rPr>
          <w:b/>
          <w:u w:val="single"/>
        </w:rPr>
      </w:pPr>
      <w:r w:rsidRPr="00583C7D">
        <w:rPr>
          <w:b/>
          <w:u w:val="single"/>
        </w:rPr>
        <w:t>Survey Instruments</w:t>
      </w:r>
    </w:p>
    <w:p w14:paraId="59E182A2" w14:textId="29EBBE0F" w:rsidR="00C67BD0" w:rsidRPr="00583C7D" w:rsidRDefault="00C67BD0" w:rsidP="00C67BD0">
      <w:pPr>
        <w:spacing w:after="120"/>
      </w:pPr>
      <w:r w:rsidRPr="00583C7D">
        <w:t>Appendix A.1</w:t>
      </w:r>
      <w:r>
        <w:t>5</w:t>
      </w:r>
      <w:r w:rsidRPr="00583C7D">
        <w:t xml:space="preserve"> </w:t>
      </w:r>
      <w:r w:rsidR="00375FDF" w:rsidRPr="00375FDF">
        <w:t>Survey of Food Safety Education Needs of CACFP ADCC</w:t>
      </w:r>
      <w:r w:rsidRPr="00583C7D">
        <w:t>– Hard Copy</w:t>
      </w:r>
    </w:p>
    <w:p w14:paraId="3B5D79C9" w14:textId="79630C64" w:rsidR="00C67BD0" w:rsidRPr="00583C7D" w:rsidRDefault="00C67BD0" w:rsidP="00C67BD0">
      <w:pPr>
        <w:spacing w:after="120"/>
      </w:pPr>
      <w:r w:rsidRPr="00583C7D">
        <w:t>Appendix A.1</w:t>
      </w:r>
      <w:r>
        <w:t>6</w:t>
      </w:r>
      <w:r w:rsidRPr="00583C7D">
        <w:t xml:space="preserve"> </w:t>
      </w:r>
      <w:r w:rsidR="00375FDF" w:rsidRPr="00375FDF">
        <w:t>Survey of Food Safety Education Needs of CACFP ADCC</w:t>
      </w:r>
      <w:r w:rsidRPr="00583C7D">
        <w:t>– Web Version</w:t>
      </w:r>
    </w:p>
    <w:p w14:paraId="0C15F44E" w14:textId="7426AD45" w:rsidR="00C67BD0" w:rsidRPr="00583C7D" w:rsidRDefault="00C67BD0" w:rsidP="00C67BD0">
      <w:pPr>
        <w:spacing w:after="120"/>
      </w:pPr>
      <w:r w:rsidRPr="00583C7D">
        <w:t>Appendix A.</w:t>
      </w:r>
      <w:r>
        <w:t>17</w:t>
      </w:r>
      <w:r w:rsidRPr="00583C7D">
        <w:t xml:space="preserve"> </w:t>
      </w:r>
      <w:r w:rsidR="00375FDF" w:rsidRPr="00375FDF">
        <w:t>Survey of Food Safety Education Needs of CACFP ADCC</w:t>
      </w:r>
      <w:r w:rsidRPr="00583C7D">
        <w:t>– Screenshots of the Web Version</w:t>
      </w:r>
    </w:p>
    <w:p w14:paraId="414A1779" w14:textId="77777777" w:rsidR="00C67BD0" w:rsidRPr="00583C7D" w:rsidRDefault="00C67BD0" w:rsidP="00C67BD0">
      <w:pPr>
        <w:spacing w:after="120"/>
        <w:rPr>
          <w:b/>
          <w:u w:val="single"/>
        </w:rPr>
      </w:pPr>
      <w:r w:rsidRPr="00583C7D">
        <w:rPr>
          <w:b/>
          <w:u w:val="single"/>
        </w:rPr>
        <w:t>Additional Materials</w:t>
      </w:r>
    </w:p>
    <w:p w14:paraId="52734D34" w14:textId="36320317" w:rsidR="00C67BD0" w:rsidRDefault="00C67BD0" w:rsidP="00C67BD0">
      <w:pPr>
        <w:spacing w:after="120"/>
      </w:pPr>
      <w:r w:rsidRPr="00583C7D">
        <w:t>Appendix A.</w:t>
      </w:r>
      <w:r>
        <w:t>18</w:t>
      </w:r>
      <w:r w:rsidRPr="00583C7D">
        <w:t xml:space="preserve"> Cognitive Pretest Memo</w:t>
      </w:r>
    </w:p>
    <w:p w14:paraId="3D0E92CD" w14:textId="0802F708" w:rsidR="00375FDF" w:rsidRPr="00375FDF" w:rsidRDefault="00375FDF" w:rsidP="00375FDF">
      <w:pPr>
        <w:pStyle w:val="ListParagraph"/>
        <w:numPr>
          <w:ilvl w:val="0"/>
          <w:numId w:val="24"/>
        </w:numPr>
        <w:spacing w:after="120"/>
      </w:pPr>
      <w:r w:rsidRPr="00375FDF">
        <w:t xml:space="preserve">Appendix A.1: </w:t>
      </w:r>
      <w:r w:rsidR="00B322C7">
        <w:t xml:space="preserve">Pretest </w:t>
      </w:r>
      <w:r w:rsidR="001B0E97">
        <w:t>––</w:t>
      </w:r>
      <w:r w:rsidR="00B322C7">
        <w:t xml:space="preserve"> </w:t>
      </w:r>
      <w:r w:rsidR="001B0E97">
        <w:t xml:space="preserve">Recruitment </w:t>
      </w:r>
      <w:r w:rsidRPr="00375FDF">
        <w:t>Email to ADCC Sponsoring Organization</w:t>
      </w:r>
      <w:r w:rsidR="001B0E97">
        <w:t>s</w:t>
      </w:r>
      <w:r w:rsidRPr="00375FDF">
        <w:t xml:space="preserve"> </w:t>
      </w:r>
    </w:p>
    <w:p w14:paraId="7322A6CD" w14:textId="12A6CF10" w:rsidR="00375FDF" w:rsidRPr="00375FDF" w:rsidRDefault="00375FDF" w:rsidP="00375FDF">
      <w:pPr>
        <w:pStyle w:val="ListParagraph"/>
        <w:numPr>
          <w:ilvl w:val="0"/>
          <w:numId w:val="24"/>
        </w:numPr>
        <w:spacing w:after="120"/>
      </w:pPr>
      <w:r w:rsidRPr="00375FDF">
        <w:t xml:space="preserve">Appendix A.2 Pretest - </w:t>
      </w:r>
      <w:r w:rsidR="00B322C7">
        <w:t>R</w:t>
      </w:r>
      <w:r w:rsidRPr="00375FDF">
        <w:t xml:space="preserve">ecruitment </w:t>
      </w:r>
      <w:r w:rsidR="00B322C7">
        <w:t>E</w:t>
      </w:r>
      <w:r w:rsidRPr="00375FDF">
        <w:t>mail to ADCC Program Operators</w:t>
      </w:r>
    </w:p>
    <w:p w14:paraId="1365E8A2" w14:textId="2DE504C2" w:rsidR="00375FDF" w:rsidRPr="00375FDF" w:rsidRDefault="00375FDF" w:rsidP="00375FDF">
      <w:pPr>
        <w:pStyle w:val="ListParagraph"/>
        <w:numPr>
          <w:ilvl w:val="0"/>
          <w:numId w:val="24"/>
        </w:numPr>
        <w:spacing w:after="120"/>
      </w:pPr>
      <w:r w:rsidRPr="00375FDF">
        <w:t xml:space="preserve">Appendix A.3 Pretest - </w:t>
      </w:r>
      <w:r w:rsidR="00B322C7">
        <w:t>R</w:t>
      </w:r>
      <w:r w:rsidRPr="00375FDF">
        <w:t xml:space="preserve">ecruitment </w:t>
      </w:r>
      <w:r w:rsidR="00B322C7">
        <w:t>P</w:t>
      </w:r>
      <w:r w:rsidRPr="00375FDF">
        <w:t xml:space="preserve">hone </w:t>
      </w:r>
      <w:r w:rsidR="00B322C7">
        <w:t>C</w:t>
      </w:r>
      <w:r w:rsidRPr="00375FDF">
        <w:t>alls to ADCC Program Operators</w:t>
      </w:r>
    </w:p>
    <w:p w14:paraId="37AD4C45" w14:textId="45D08DC5" w:rsidR="00375FDF" w:rsidRPr="00583C7D" w:rsidRDefault="00375FDF" w:rsidP="00C67BD0">
      <w:pPr>
        <w:pStyle w:val="ListParagraph"/>
        <w:numPr>
          <w:ilvl w:val="0"/>
          <w:numId w:val="24"/>
        </w:numPr>
        <w:spacing w:after="120"/>
      </w:pPr>
      <w:r w:rsidRPr="00375FDF">
        <w:t xml:space="preserve">Appendix A.4 Pretest - </w:t>
      </w:r>
      <w:r w:rsidR="00B322C7">
        <w:t>S</w:t>
      </w:r>
      <w:r w:rsidRPr="00375FDF">
        <w:t xml:space="preserve">urvey </w:t>
      </w:r>
      <w:r w:rsidR="001B0E97">
        <w:t>of Food Safety Education Needs of</w:t>
      </w:r>
      <w:r w:rsidRPr="00375FDF">
        <w:t xml:space="preserve"> ADCC (Hard Copy Survey)</w:t>
      </w:r>
    </w:p>
    <w:p w14:paraId="2C65B256" w14:textId="577181E1" w:rsidR="00C67BD0" w:rsidRDefault="00C67BD0" w:rsidP="00C67BD0">
      <w:pPr>
        <w:spacing w:after="120"/>
      </w:pPr>
      <w:r w:rsidRPr="00583C7D">
        <w:t>Appendix A.</w:t>
      </w:r>
      <w:r>
        <w:t>19</w:t>
      </w:r>
      <w:r w:rsidRPr="00583C7D">
        <w:t xml:space="preserve"> Frequently Asked Questions (FAQs) </w:t>
      </w:r>
      <w:r w:rsidR="00B322C7">
        <w:t>about</w:t>
      </w:r>
      <w:r w:rsidR="00284455">
        <w:t xml:space="preserve"> the stud</w:t>
      </w:r>
      <w:r w:rsidR="00201893">
        <w:t>y</w:t>
      </w:r>
    </w:p>
    <w:p w14:paraId="480F31A4" w14:textId="77777777" w:rsidR="00C67BD0" w:rsidRPr="00583C7D" w:rsidRDefault="00C67BD0" w:rsidP="00583C7D">
      <w:pPr>
        <w:spacing w:after="120"/>
      </w:pPr>
    </w:p>
    <w:sectPr w:rsidR="00C67BD0" w:rsidRPr="00583C7D" w:rsidSect="00722D7A">
      <w:headerReference w:type="default" r:id="rId13"/>
      <w:footerReference w:type="default" r:id="rId14"/>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822AD3" w16cid:durableId="1F959761"/>
  <w16cid:commentId w16cid:paraId="48E83683" w16cid:durableId="1F959814"/>
  <w16cid:commentId w16cid:paraId="4DD21734" w16cid:durableId="1F959762"/>
  <w16cid:commentId w16cid:paraId="75557171" w16cid:durableId="1F959817"/>
  <w16cid:commentId w16cid:paraId="13623B9C" w16cid:durableId="1F959763"/>
  <w16cid:commentId w16cid:paraId="5F7D60F8" w16cid:durableId="1F959764"/>
  <w16cid:commentId w16cid:paraId="1FAFE04A" w16cid:durableId="1F959765"/>
  <w16cid:commentId w16cid:paraId="00BF1CBC" w16cid:durableId="1F959833"/>
  <w16cid:commentId w16cid:paraId="59ECAE61" w16cid:durableId="1F959766"/>
  <w16cid:commentId w16cid:paraId="50330B1B" w16cid:durableId="1F959846"/>
  <w16cid:commentId w16cid:paraId="6DF6599D" w16cid:durableId="1F959767"/>
  <w16cid:commentId w16cid:paraId="1A1E4128" w16cid:durableId="1F959855"/>
  <w16cid:commentId w16cid:paraId="62BC17FC" w16cid:durableId="1F959768"/>
  <w16cid:commentId w16cid:paraId="38268A1B" w16cid:durableId="1F959769"/>
  <w16cid:commentId w16cid:paraId="373001AE" w16cid:durableId="1F95976A"/>
  <w16cid:commentId w16cid:paraId="6511DA96" w16cid:durableId="1F95976B"/>
  <w16cid:commentId w16cid:paraId="56E90827" w16cid:durableId="1F95986D"/>
  <w16cid:commentId w16cid:paraId="0CEE2AB3" w16cid:durableId="1F95976C"/>
  <w16cid:commentId w16cid:paraId="0CAAE6F1" w16cid:durableId="1F95976D"/>
  <w16cid:commentId w16cid:paraId="3EF40D1D" w16cid:durableId="1F95976E"/>
  <w16cid:commentId w16cid:paraId="42758C51" w16cid:durableId="1F95987A"/>
  <w16cid:commentId w16cid:paraId="612D2A4D" w16cid:durableId="1F95976F"/>
  <w16cid:commentId w16cid:paraId="1AC8086B" w16cid:durableId="1F95988B"/>
  <w16cid:commentId w16cid:paraId="5A0AFAAC" w16cid:durableId="1F959770"/>
  <w16cid:commentId w16cid:paraId="17FE7015" w16cid:durableId="1F959771"/>
  <w16cid:commentId w16cid:paraId="0ABDF075" w16cid:durableId="1F959881"/>
  <w16cid:commentId w16cid:paraId="3CEB3520" w16cid:durableId="1F959772"/>
  <w16cid:commentId w16cid:paraId="5C16F8DD" w16cid:durableId="1F959773"/>
  <w16cid:commentId w16cid:paraId="13554411" w16cid:durableId="1F959895"/>
  <w16cid:commentId w16cid:paraId="4BD38AE2" w16cid:durableId="1F959774"/>
  <w16cid:commentId w16cid:paraId="2D125263" w16cid:durableId="1F959775"/>
  <w16cid:commentId w16cid:paraId="347D867C" w16cid:durableId="1F959776"/>
  <w16cid:commentId w16cid:paraId="5EAEE4B6" w16cid:durableId="1F959777"/>
  <w16cid:commentId w16cid:paraId="165126A4" w16cid:durableId="1F959778"/>
  <w16cid:commentId w16cid:paraId="776FA246" w16cid:durableId="1F9598A0"/>
  <w16cid:commentId w16cid:paraId="23ED1349" w16cid:durableId="1F959779"/>
  <w16cid:commentId w16cid:paraId="0A06CB88" w16cid:durableId="1F95977A"/>
  <w16cid:commentId w16cid:paraId="1C073C25" w16cid:durableId="1F9599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7375D" w14:textId="77777777" w:rsidR="00090D13" w:rsidRDefault="00090D13">
      <w:r>
        <w:separator/>
      </w:r>
    </w:p>
  </w:endnote>
  <w:endnote w:type="continuationSeparator" w:id="0">
    <w:p w14:paraId="7C7C59F9" w14:textId="77777777" w:rsidR="00090D13" w:rsidRDefault="00090D13">
      <w:r>
        <w:continuationSeparator/>
      </w:r>
    </w:p>
  </w:endnote>
  <w:endnote w:type="continuationNotice" w:id="1">
    <w:p w14:paraId="67872BFF" w14:textId="77777777" w:rsidR="00090D13" w:rsidRDefault="00090D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2F5E7" w14:textId="7A4A760B" w:rsidR="00B86CA9" w:rsidRPr="00B86CA9" w:rsidRDefault="00B86CA9" w:rsidP="00B86CA9">
    <w:pPr>
      <w:pBdr>
        <w:top w:val="single" w:sz="4" w:space="1" w:color="636363" w:themeColor="text1" w:themeTint="BF"/>
      </w:pBdr>
      <w:spacing w:after="0"/>
      <w:jc w:val="right"/>
      <w:rPr>
        <w:sz w:val="18"/>
        <w:szCs w:val="18"/>
      </w:rPr>
    </w:pPr>
    <w:r w:rsidRPr="00BB4D87">
      <w:rPr>
        <w:sz w:val="18"/>
        <w:szCs w:val="18"/>
      </w:rPr>
      <w:t xml:space="preserve"> # </w:t>
    </w:r>
    <w:sdt>
      <w:sdtPr>
        <w:rPr>
          <w:sz w:val="18"/>
        </w:rPr>
        <w:alias w:val="Subject"/>
        <w:tag w:val=""/>
        <w:id w:val="-868987525"/>
        <w:placeholder>
          <w:docPart w:val="6F7BB17A49464E2FA2B2DC6F611FF1EC"/>
        </w:placeholder>
        <w:dataBinding w:prefixMappings="xmlns:ns0='http://purl.org/dc/elements/1.1/' xmlns:ns1='http://schemas.openxmlformats.org/package/2006/metadata/core-properties' " w:xpath="/ns1:coreProperties[1]/ns0:subject[1]" w:storeItemID="{6C3C8BC8-F283-45AE-878A-BAB7291924A1}"/>
        <w:text/>
      </w:sdtPr>
      <w:sdtEndPr/>
      <w:sdtContent>
        <w:r w:rsidR="004B40C2">
          <w:rPr>
            <w:sz w:val="18"/>
          </w:rPr>
          <w:t>0584-0613</w:t>
        </w:r>
      </w:sdtContent>
    </w:sdt>
    <w:r w:rsidRPr="00BB4D87">
      <w:rPr>
        <w:sz w:val="18"/>
        <w:szCs w:val="18"/>
      </w:rPr>
      <w:t xml:space="preserve"> |</w:t>
    </w:r>
    <w:r w:rsidRPr="00E8292D">
      <w:rPr>
        <w:b/>
        <w:color w:val="009CD3" w:themeColor="accent1"/>
        <w:sz w:val="18"/>
        <w:szCs w:val="18"/>
      </w:rPr>
      <w:fldChar w:fldCharType="begin"/>
    </w:r>
    <w:r w:rsidRPr="003064AF">
      <w:rPr>
        <w:b/>
        <w:color w:val="009CD3" w:themeColor="accent1"/>
        <w:sz w:val="18"/>
      </w:rPr>
      <w:instrText xml:space="preserve"> PAGE   \* MERGEFORMAT </w:instrText>
    </w:r>
    <w:r w:rsidRPr="00E8292D">
      <w:rPr>
        <w:b/>
        <w:color w:val="009CD3" w:themeColor="accent1"/>
        <w:sz w:val="18"/>
      </w:rPr>
      <w:fldChar w:fldCharType="separate"/>
    </w:r>
    <w:r w:rsidR="001B22B3">
      <w:rPr>
        <w:b/>
        <w:noProof/>
        <w:color w:val="009CD3" w:themeColor="accent1"/>
        <w:sz w:val="18"/>
      </w:rPr>
      <w:t>10</w:t>
    </w:r>
    <w:r w:rsidRPr="00E8292D">
      <w:rPr>
        <w:b/>
        <w:noProof/>
        <w:color w:val="009CD3" w:themeColor="accent1"/>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E9237" w14:textId="77777777" w:rsidR="00090D13" w:rsidRDefault="00090D13">
      <w:r>
        <w:separator/>
      </w:r>
    </w:p>
  </w:footnote>
  <w:footnote w:type="continuationSeparator" w:id="0">
    <w:p w14:paraId="029A7CE1" w14:textId="77777777" w:rsidR="00090D13" w:rsidRDefault="00090D13">
      <w:r>
        <w:continuationSeparator/>
      </w:r>
    </w:p>
  </w:footnote>
  <w:footnote w:type="continuationNotice" w:id="1">
    <w:p w14:paraId="796C6484" w14:textId="77777777" w:rsidR="00090D13" w:rsidRDefault="00090D13">
      <w:pPr>
        <w:spacing w:after="0" w:line="240" w:lineRule="auto"/>
      </w:pPr>
    </w:p>
  </w:footnote>
  <w:footnote w:id="2">
    <w:p w14:paraId="51DFDBFF" w14:textId="77777777" w:rsidR="003B4E70" w:rsidRPr="00287A8F" w:rsidRDefault="003B4E70" w:rsidP="003B4E70">
      <w:pPr>
        <w:pStyle w:val="FootnoteText"/>
        <w:ind w:left="90" w:hanging="90"/>
        <w:rPr>
          <w:rFonts w:asciiTheme="majorHAnsi" w:hAnsiTheme="majorHAnsi" w:cstheme="majorHAnsi"/>
          <w:sz w:val="18"/>
          <w:szCs w:val="18"/>
        </w:rPr>
      </w:pPr>
      <w:r w:rsidRPr="00164B88">
        <w:rPr>
          <w:rStyle w:val="FootnoteReference"/>
          <w:sz w:val="18"/>
          <w:szCs w:val="18"/>
        </w:rPr>
        <w:footnoteRef/>
      </w:r>
      <w:r w:rsidRPr="00164B88">
        <w:rPr>
          <w:sz w:val="18"/>
          <w:szCs w:val="18"/>
        </w:rPr>
        <w:t xml:space="preserve"> </w:t>
      </w:r>
      <w:r w:rsidRPr="00287A8F">
        <w:rPr>
          <w:rFonts w:asciiTheme="majorHAnsi" w:hAnsiTheme="majorHAnsi" w:cstheme="majorHAnsi"/>
          <w:sz w:val="18"/>
          <w:szCs w:val="18"/>
        </w:rPr>
        <w:t xml:space="preserve">Centers for Disease Control and Prevention. (2016). </w:t>
      </w:r>
      <w:r w:rsidRPr="00287A8F">
        <w:rPr>
          <w:rFonts w:asciiTheme="majorHAnsi" w:hAnsiTheme="majorHAnsi" w:cstheme="majorHAnsi"/>
          <w:i/>
          <w:sz w:val="18"/>
          <w:szCs w:val="18"/>
        </w:rPr>
        <w:t>Estimates of foodborne illness in the United States.</w:t>
      </w:r>
      <w:r w:rsidRPr="00287A8F">
        <w:rPr>
          <w:rFonts w:asciiTheme="majorHAnsi" w:hAnsiTheme="majorHAnsi" w:cstheme="majorHAnsi"/>
          <w:sz w:val="18"/>
          <w:szCs w:val="18"/>
        </w:rPr>
        <w:t xml:space="preserve"> Retrieved from </w:t>
      </w:r>
      <w:r w:rsidRPr="00287A8F">
        <w:rPr>
          <w:rStyle w:val="Hyperlink"/>
          <w:rFonts w:asciiTheme="majorHAnsi" w:hAnsiTheme="majorHAnsi" w:cstheme="majorHAnsi"/>
          <w:sz w:val="18"/>
          <w:szCs w:val="18"/>
        </w:rPr>
        <w:t>https://www.cdc.gov/foodborneburden/2011-foodborne-estimates.html</w:t>
      </w:r>
    </w:p>
  </w:footnote>
  <w:footnote w:id="3">
    <w:p w14:paraId="023F55D6" w14:textId="7D17E60A" w:rsidR="007C6008" w:rsidRPr="00287A8F" w:rsidRDefault="007C6008" w:rsidP="00287A8F">
      <w:pPr>
        <w:pStyle w:val="CommentText"/>
        <w:rPr>
          <w:sz w:val="18"/>
          <w:szCs w:val="18"/>
        </w:rPr>
      </w:pPr>
      <w:r w:rsidRPr="00287A8F">
        <w:rPr>
          <w:rStyle w:val="FootnoteReference"/>
          <w:sz w:val="18"/>
          <w:szCs w:val="18"/>
        </w:rPr>
        <w:footnoteRef/>
      </w:r>
      <w:r w:rsidRPr="00287A8F">
        <w:rPr>
          <w:sz w:val="18"/>
          <w:szCs w:val="18"/>
        </w:rPr>
        <w:t xml:space="preserve"> </w:t>
      </w:r>
      <w:bookmarkStart w:id="5" w:name="_Hlk522963331"/>
      <w:r w:rsidRPr="00287A8F">
        <w:rPr>
          <w:sz w:val="18"/>
          <w:szCs w:val="18"/>
        </w:rPr>
        <w:t xml:space="preserve">During the pretesting of the survey, the respondents suggested that the most appropriate person for the survey would be the program director. </w:t>
      </w:r>
      <w:bookmarkEnd w:id="5"/>
      <w:r w:rsidRPr="00287A8F">
        <w:rPr>
          <w:sz w:val="18"/>
          <w:szCs w:val="18"/>
        </w:rPr>
        <w:t xml:space="preserve">As a result, the study team has updated the text from program operators to program directors. For the survey, the study team plans to recruit the person who knows the most about foodservice operations </w:t>
      </w:r>
      <w:r w:rsidR="007E36F2" w:rsidRPr="00287A8F">
        <w:rPr>
          <w:sz w:val="18"/>
          <w:szCs w:val="18"/>
        </w:rPr>
        <w:t>and</w:t>
      </w:r>
      <w:r w:rsidRPr="00287A8F">
        <w:rPr>
          <w:sz w:val="18"/>
          <w:szCs w:val="18"/>
        </w:rPr>
        <w:t xml:space="preserve"> food safety training and education needs of center staff.  </w:t>
      </w:r>
    </w:p>
  </w:footnote>
  <w:footnote w:id="4">
    <w:p w14:paraId="1407B74E" w14:textId="71515D2C" w:rsidR="003B4E70" w:rsidRPr="00287A8F" w:rsidRDefault="003B4E70" w:rsidP="003B4E70">
      <w:pPr>
        <w:pStyle w:val="FootnoteText"/>
        <w:ind w:left="90" w:hanging="90"/>
        <w:rPr>
          <w:rFonts w:asciiTheme="majorHAnsi" w:hAnsiTheme="majorHAnsi" w:cstheme="majorHAnsi"/>
          <w:sz w:val="18"/>
          <w:szCs w:val="18"/>
        </w:rPr>
      </w:pPr>
      <w:r w:rsidRPr="00287A8F">
        <w:rPr>
          <w:rStyle w:val="FootnoteReference"/>
          <w:rFonts w:asciiTheme="majorHAnsi" w:hAnsiTheme="majorHAnsi" w:cstheme="majorHAnsi"/>
          <w:sz w:val="18"/>
          <w:szCs w:val="18"/>
        </w:rPr>
        <w:footnoteRef/>
      </w:r>
      <w:r w:rsidRPr="00287A8F">
        <w:rPr>
          <w:rFonts w:asciiTheme="majorHAnsi" w:hAnsiTheme="majorHAnsi" w:cstheme="majorHAnsi"/>
          <w:sz w:val="18"/>
          <w:szCs w:val="18"/>
        </w:rPr>
        <w:t xml:space="preserve"> U.S. Department of Health and Human Services. (2018). </w:t>
      </w:r>
      <w:r w:rsidRPr="00287A8F">
        <w:rPr>
          <w:rFonts w:asciiTheme="majorHAnsi" w:hAnsiTheme="majorHAnsi" w:cstheme="majorHAnsi"/>
          <w:i/>
          <w:sz w:val="18"/>
          <w:szCs w:val="18"/>
        </w:rPr>
        <w:t>Food safety for older adults.</w:t>
      </w:r>
      <w:r w:rsidRPr="00287A8F">
        <w:rPr>
          <w:rFonts w:asciiTheme="majorHAnsi" w:hAnsiTheme="majorHAnsi" w:cstheme="majorHAnsi"/>
          <w:sz w:val="18"/>
          <w:szCs w:val="18"/>
        </w:rPr>
        <w:t xml:space="preserve"> Retrieved from: </w:t>
      </w:r>
      <w:hyperlink r:id="rId1" w:history="1">
        <w:r w:rsidRPr="00287A8F">
          <w:rPr>
            <w:rStyle w:val="Hyperlink"/>
            <w:rFonts w:asciiTheme="majorHAnsi" w:hAnsiTheme="majorHAnsi" w:cstheme="majorHAnsi"/>
            <w:sz w:val="18"/>
            <w:szCs w:val="18"/>
          </w:rPr>
          <w:t>https://www.foodsafety.gov/risk/olderadults/index.html</w:t>
        </w:r>
      </w:hyperlink>
      <w:r w:rsidRPr="00287A8F">
        <w:rPr>
          <w:rFonts w:asciiTheme="majorHAnsi" w:hAnsiTheme="majorHAnsi" w:cstheme="majorHAnsi"/>
          <w:sz w:val="18"/>
          <w:szCs w:val="18"/>
        </w:rPr>
        <w:t xml:space="preserve"> </w:t>
      </w:r>
    </w:p>
  </w:footnote>
  <w:footnote w:id="5">
    <w:p w14:paraId="0A0B5EE6" w14:textId="77777777" w:rsidR="003B4E70" w:rsidRPr="00287A8F" w:rsidRDefault="003B4E70" w:rsidP="003B4E70">
      <w:pPr>
        <w:pStyle w:val="FootnoteText"/>
        <w:ind w:left="90" w:hanging="90"/>
        <w:rPr>
          <w:rFonts w:asciiTheme="majorHAnsi" w:hAnsiTheme="majorHAnsi" w:cstheme="majorHAnsi"/>
          <w:sz w:val="18"/>
          <w:szCs w:val="18"/>
        </w:rPr>
      </w:pPr>
      <w:r w:rsidRPr="00287A8F">
        <w:rPr>
          <w:rStyle w:val="FootnoteReference"/>
          <w:rFonts w:asciiTheme="majorHAnsi" w:hAnsiTheme="majorHAnsi" w:cstheme="majorHAnsi"/>
          <w:sz w:val="18"/>
          <w:szCs w:val="18"/>
        </w:rPr>
        <w:footnoteRef/>
      </w:r>
      <w:r w:rsidRPr="00287A8F">
        <w:rPr>
          <w:rFonts w:asciiTheme="majorHAnsi" w:hAnsiTheme="majorHAnsi" w:cstheme="majorHAnsi"/>
          <w:sz w:val="18"/>
          <w:szCs w:val="18"/>
        </w:rPr>
        <w:t xml:space="preserve"> U.S. Food and Drug Administration. (2017). </w:t>
      </w:r>
      <w:r w:rsidRPr="00287A8F">
        <w:rPr>
          <w:rFonts w:asciiTheme="majorHAnsi" w:hAnsiTheme="majorHAnsi" w:cstheme="majorHAnsi"/>
          <w:i/>
          <w:sz w:val="18"/>
          <w:szCs w:val="18"/>
        </w:rPr>
        <w:t>Food code: 2017 recommendations of the United States Public Health Service Food and Drug Administration.</w:t>
      </w:r>
      <w:r w:rsidRPr="00287A8F">
        <w:rPr>
          <w:rFonts w:asciiTheme="majorHAnsi" w:hAnsiTheme="majorHAnsi" w:cstheme="majorHAnsi"/>
          <w:sz w:val="18"/>
          <w:szCs w:val="18"/>
        </w:rPr>
        <w:t xml:space="preserve"> Retrieved from </w:t>
      </w:r>
      <w:hyperlink r:id="rId2" w:history="1">
        <w:r w:rsidRPr="00287A8F">
          <w:rPr>
            <w:rStyle w:val="Hyperlink"/>
            <w:rFonts w:asciiTheme="majorHAnsi" w:hAnsiTheme="majorHAnsi" w:cstheme="majorHAnsi"/>
            <w:sz w:val="18"/>
            <w:szCs w:val="18"/>
          </w:rPr>
          <w:t>https://www.fda.gov/downloads/Food/GuidanceRegulation/RetailFoodProtection/FoodCode/UCM595140.pdf</w:t>
        </w:r>
      </w:hyperlink>
      <w:r w:rsidRPr="00287A8F">
        <w:rPr>
          <w:rFonts w:asciiTheme="majorHAnsi" w:hAnsiTheme="majorHAnsi" w:cstheme="majorHAnsi"/>
          <w:sz w:val="18"/>
          <w:szCs w:val="18"/>
        </w:rPr>
        <w:t xml:space="preserve"> </w:t>
      </w:r>
    </w:p>
  </w:footnote>
  <w:footnote w:id="6">
    <w:p w14:paraId="71444976" w14:textId="77777777" w:rsidR="003B4E70" w:rsidRPr="00287A8F" w:rsidRDefault="003B4E70" w:rsidP="003B4E70">
      <w:pPr>
        <w:pStyle w:val="CommentText"/>
        <w:ind w:left="90" w:hanging="90"/>
        <w:rPr>
          <w:rFonts w:asciiTheme="majorHAnsi" w:hAnsiTheme="majorHAnsi" w:cstheme="majorHAnsi"/>
          <w:sz w:val="18"/>
          <w:szCs w:val="18"/>
        </w:rPr>
      </w:pPr>
      <w:r w:rsidRPr="00287A8F">
        <w:rPr>
          <w:rStyle w:val="FootnoteReference"/>
          <w:rFonts w:asciiTheme="majorHAnsi" w:hAnsiTheme="majorHAnsi" w:cstheme="majorHAnsi"/>
          <w:sz w:val="18"/>
          <w:szCs w:val="18"/>
        </w:rPr>
        <w:footnoteRef/>
      </w:r>
      <w:r w:rsidRPr="00287A8F">
        <w:rPr>
          <w:rFonts w:asciiTheme="majorHAnsi" w:hAnsiTheme="majorHAnsi" w:cstheme="majorHAnsi"/>
          <w:sz w:val="18"/>
          <w:szCs w:val="18"/>
        </w:rPr>
        <w:t xml:space="preserve"> Currently, educational materials from the Institute of Child Nutrition (ICN) are promoted, as OFS and ICN have a cooperative agreement in place. Materials can be found at: </w:t>
      </w:r>
      <w:hyperlink r:id="rId3" w:history="1">
        <w:r w:rsidRPr="00287A8F">
          <w:rPr>
            <w:rStyle w:val="Hyperlink"/>
            <w:rFonts w:asciiTheme="majorHAnsi" w:hAnsiTheme="majorHAnsi" w:cstheme="majorHAnsi"/>
            <w:sz w:val="18"/>
            <w:szCs w:val="18"/>
          </w:rPr>
          <w:t>https://theicn.org/icn-resources-a-z/food-safety-in-child-care/</w:t>
        </w:r>
      </w:hyperlink>
      <w:r w:rsidRPr="00287A8F">
        <w:rPr>
          <w:rFonts w:asciiTheme="majorHAnsi" w:hAnsiTheme="majorHAnsi" w:cstheme="majorHAnsi"/>
          <w:sz w:val="18"/>
          <w:szCs w:val="18"/>
        </w:rPr>
        <w:t xml:space="preserve">  </w:t>
      </w:r>
    </w:p>
  </w:footnote>
  <w:footnote w:id="7">
    <w:p w14:paraId="5BC19366" w14:textId="77777777" w:rsidR="00D816C3" w:rsidRPr="00AB5053" w:rsidRDefault="00D816C3" w:rsidP="00D816C3">
      <w:pPr>
        <w:pStyle w:val="FootnoteText"/>
        <w:ind w:left="144" w:hanging="144"/>
        <w:rPr>
          <w:sz w:val="18"/>
        </w:rPr>
      </w:pPr>
      <w:r>
        <w:rPr>
          <w:rStyle w:val="FootnoteReference"/>
        </w:rPr>
        <w:footnoteRef/>
      </w:r>
      <w:r>
        <w:t xml:space="preserve"> </w:t>
      </w:r>
      <w:r w:rsidRPr="00AB5053">
        <w:rPr>
          <w:sz w:val="18"/>
        </w:rPr>
        <w:t xml:space="preserve">Inconsistent reporting errors can occur for several reasons and in different forms. For example, a respondent might rush through questions and select the first response to each question. </w:t>
      </w:r>
    </w:p>
  </w:footnote>
  <w:footnote w:id="8">
    <w:p w14:paraId="2C40A1CC" w14:textId="24261655" w:rsidR="00D816C3" w:rsidRPr="00AB5053" w:rsidRDefault="00D816C3" w:rsidP="00D816C3">
      <w:pPr>
        <w:pStyle w:val="FootnoteText"/>
        <w:ind w:left="144" w:hanging="144"/>
        <w:rPr>
          <w:sz w:val="18"/>
        </w:rPr>
      </w:pPr>
      <w:r w:rsidRPr="00AB5053">
        <w:rPr>
          <w:rStyle w:val="FootnoteReference"/>
          <w:sz w:val="18"/>
        </w:rPr>
        <w:footnoteRef/>
      </w:r>
      <w:r w:rsidRPr="00AB5053">
        <w:rPr>
          <w:sz w:val="18"/>
        </w:rPr>
        <w:t xml:space="preserve"> Wun, L., Ezzati-Rice, T. M., Baskin, R., Greenblatt, J., Zodet, M., Potter, F., . . . Touzani, M. (2004). </w:t>
      </w:r>
      <w:r w:rsidRPr="00AB5053">
        <w:rPr>
          <w:i/>
          <w:sz w:val="18"/>
        </w:rPr>
        <w:t>Using propensity scores to adjust weights to compensate for dwelling unit level nonresponse in the Medical Expenditure Panel Survey</w:t>
      </w:r>
      <w:r w:rsidRPr="00AB5053">
        <w:rPr>
          <w:sz w:val="18"/>
        </w:rPr>
        <w:t xml:space="preserve"> (Agency for Healthcare Research and Quality Working Paper No. 04004). Retrieved from </w:t>
      </w:r>
      <w:hyperlink w:history="1"/>
      <w:hyperlink r:id="rId4" w:history="1">
        <w:r w:rsidRPr="00AB5053">
          <w:rPr>
            <w:rStyle w:val="Hyperlink"/>
            <w:sz w:val="18"/>
          </w:rPr>
          <w:t>https://meps.ahrq.gov/data_files/publications/workingpapers/wp_04004.pdf</w:t>
        </w:r>
      </w:hyperlink>
      <w:r>
        <w:rPr>
          <w:sz w:val="18"/>
        </w:rPr>
        <w:t xml:space="preserve"> </w:t>
      </w:r>
    </w:p>
  </w:footnote>
  <w:footnote w:id="9">
    <w:p w14:paraId="22D1F18E" w14:textId="77777777" w:rsidR="00693FCD" w:rsidRPr="008774AB" w:rsidRDefault="00693FCD" w:rsidP="00693FCD">
      <w:pPr>
        <w:pStyle w:val="FootnoteText"/>
        <w:rPr>
          <w:sz w:val="18"/>
        </w:rPr>
      </w:pPr>
      <w:r>
        <w:rPr>
          <w:rStyle w:val="FootnoteReference"/>
        </w:rPr>
        <w:footnoteRef/>
      </w:r>
      <w:r>
        <w:t xml:space="preserve"> </w:t>
      </w:r>
      <w:r w:rsidRPr="00180ADC">
        <w:rPr>
          <w:rFonts w:asciiTheme="majorHAnsi" w:hAnsiTheme="majorHAnsi" w:cstheme="majorHAnsi"/>
          <w:sz w:val="18"/>
        </w:rPr>
        <w:t xml:space="preserve">Shao, J., &amp; Wu, C. F. J. (1989). A general theory for jackknife variance estimation. </w:t>
      </w:r>
      <w:r w:rsidRPr="00180ADC">
        <w:rPr>
          <w:rFonts w:asciiTheme="majorHAnsi" w:hAnsiTheme="majorHAnsi" w:cstheme="majorHAnsi"/>
          <w:i/>
          <w:sz w:val="18"/>
        </w:rPr>
        <w:t>Annals of Statistics, 17</w:t>
      </w:r>
      <w:r w:rsidRPr="00180ADC">
        <w:rPr>
          <w:rFonts w:asciiTheme="majorHAnsi" w:hAnsiTheme="majorHAnsi" w:cstheme="majorHAnsi"/>
          <w:sz w:val="18"/>
        </w:rPr>
        <w:t>(3), 1176–1197.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85719" w14:textId="08665C77" w:rsidR="00B86CA9" w:rsidRPr="004E304D" w:rsidRDefault="00BC1FE3">
    <w:pPr>
      <w:pStyle w:val="Header"/>
      <w:rPr>
        <w:b/>
        <w:color w:val="969696" w:themeColor="text1" w:themeTint="80"/>
        <w:sz w:val="16"/>
      </w:rPr>
    </w:pPr>
    <w:sdt>
      <w:sdtPr>
        <w:rPr>
          <w:b/>
          <w:color w:val="969696" w:themeColor="text1" w:themeTint="80"/>
          <w:sz w:val="16"/>
        </w:rPr>
        <w:alias w:val="Title"/>
        <w:tag w:val=""/>
        <w:id w:val="-1410375018"/>
        <w:placeholder>
          <w:docPart w:val="473534E9C70E413DB122CDAA1E5302CA"/>
        </w:placeholder>
        <w:dataBinding w:prefixMappings="xmlns:ns0='http://purl.org/dc/elements/1.1/' xmlns:ns1='http://schemas.openxmlformats.org/package/2006/metadata/core-properties' " w:xpath="/ns1:coreProperties[1]/ns0:title[1]" w:storeItemID="{6C3C8BC8-F283-45AE-878A-BAB7291924A1}"/>
        <w:text/>
      </w:sdtPr>
      <w:sdtEndPr/>
      <w:sdtContent>
        <w:r w:rsidR="004E304D">
          <w:rPr>
            <w:b/>
            <w:color w:val="969696" w:themeColor="text1" w:themeTint="80"/>
            <w:sz w:val="16"/>
          </w:rPr>
          <w:t>Generic OMB 0584-0613: SNP Quick Response Surveys</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B32A6"/>
    <w:multiLevelType w:val="hybridMultilevel"/>
    <w:tmpl w:val="3D0E916E"/>
    <w:lvl w:ilvl="0" w:tplc="3482D0B2">
      <w:start w:val="1"/>
      <w:numFmt w:val="decimal"/>
      <w:lvlText w:val="%1."/>
      <w:lvlJc w:val="left"/>
      <w:pPr>
        <w:ind w:left="360" w:hanging="360"/>
      </w:pPr>
      <w:rPr>
        <w:rFonts w:asciiTheme="majorHAnsi" w:hAnsiTheme="majorHAnsi" w:hint="default"/>
        <w:b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12C74A9"/>
    <w:multiLevelType w:val="multilevel"/>
    <w:tmpl w:val="A73896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449666D"/>
    <w:multiLevelType w:val="hybridMultilevel"/>
    <w:tmpl w:val="BABEC072"/>
    <w:lvl w:ilvl="0" w:tplc="4FA4BA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604204"/>
    <w:multiLevelType w:val="hybridMultilevel"/>
    <w:tmpl w:val="C784B304"/>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9">
      <w:start w:val="1"/>
      <w:numFmt w:val="lowerLetter"/>
      <w:lvlText w:val="%3."/>
      <w:lvlJc w:val="left"/>
      <w:pPr>
        <w:tabs>
          <w:tab w:val="num" w:pos="1800"/>
        </w:tabs>
        <w:ind w:left="1800" w:hanging="180"/>
      </w:p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23D67380"/>
    <w:multiLevelType w:val="multilevel"/>
    <w:tmpl w:val="9792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B13B96"/>
    <w:multiLevelType w:val="hybridMultilevel"/>
    <w:tmpl w:val="38546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AE1147"/>
    <w:multiLevelType w:val="hybridMultilevel"/>
    <w:tmpl w:val="6BD2B730"/>
    <w:lvl w:ilvl="0" w:tplc="6116EA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637706"/>
    <w:multiLevelType w:val="hybridMultilevel"/>
    <w:tmpl w:val="EEA6F1C8"/>
    <w:lvl w:ilvl="0" w:tplc="564647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CB0BCE"/>
    <w:multiLevelType w:val="hybridMultilevel"/>
    <w:tmpl w:val="33C47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136630"/>
    <w:multiLevelType w:val="hybridMultilevel"/>
    <w:tmpl w:val="34A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0862E3"/>
    <w:multiLevelType w:val="multilevel"/>
    <w:tmpl w:val="D9FE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430CDA"/>
    <w:multiLevelType w:val="hybridMultilevel"/>
    <w:tmpl w:val="6804E9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134912"/>
    <w:multiLevelType w:val="hybridMultilevel"/>
    <w:tmpl w:val="8AD0F9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F436B"/>
    <w:multiLevelType w:val="hybridMultilevel"/>
    <w:tmpl w:val="645A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E465C1"/>
    <w:multiLevelType w:val="multilevel"/>
    <w:tmpl w:val="F64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1C1614"/>
    <w:multiLevelType w:val="hybridMultilevel"/>
    <w:tmpl w:val="CD70C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7C25179"/>
    <w:multiLevelType w:val="hybridMultilevel"/>
    <w:tmpl w:val="99CEE38C"/>
    <w:lvl w:ilvl="0" w:tplc="55CA8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8">
    <w:nsid w:val="6D2A259B"/>
    <w:multiLevelType w:val="hybridMultilevel"/>
    <w:tmpl w:val="E494A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74673"/>
    <w:multiLevelType w:val="multilevel"/>
    <w:tmpl w:val="D852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EE04A5"/>
    <w:multiLevelType w:val="hybridMultilevel"/>
    <w:tmpl w:val="C10ED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B66594"/>
    <w:multiLevelType w:val="hybridMultilevel"/>
    <w:tmpl w:val="3D5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C850C7"/>
    <w:multiLevelType w:val="hybridMultilevel"/>
    <w:tmpl w:val="F9F60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A6718AC"/>
    <w:multiLevelType w:val="hybridMultilevel"/>
    <w:tmpl w:val="35AC7AF8"/>
    <w:lvl w:ilvl="0" w:tplc="46442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094B05"/>
    <w:multiLevelType w:val="hybridMultilevel"/>
    <w:tmpl w:val="CD827760"/>
    <w:lvl w:ilvl="0" w:tplc="036ED02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FC04920"/>
    <w:multiLevelType w:val="hybridMultilevel"/>
    <w:tmpl w:val="86F02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5"/>
  </w:num>
  <w:num w:numId="4">
    <w:abstractNumId w:val="14"/>
  </w:num>
  <w:num w:numId="5">
    <w:abstractNumId w:val="19"/>
  </w:num>
  <w:num w:numId="6">
    <w:abstractNumId w:val="4"/>
  </w:num>
  <w:num w:numId="7">
    <w:abstractNumId w:val="10"/>
  </w:num>
  <w:num w:numId="8">
    <w:abstractNumId w:val="15"/>
  </w:num>
  <w:num w:numId="9">
    <w:abstractNumId w:val="13"/>
  </w:num>
  <w:num w:numId="10">
    <w:abstractNumId w:val="17"/>
  </w:num>
  <w:num w:numId="11">
    <w:abstractNumId w:val="23"/>
  </w:num>
  <w:num w:numId="12">
    <w:abstractNumId w:val="7"/>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1"/>
  </w:num>
  <w:num w:numId="17">
    <w:abstractNumId w:val="2"/>
  </w:num>
  <w:num w:numId="18">
    <w:abstractNumId w:val="8"/>
  </w:num>
  <w:num w:numId="19">
    <w:abstractNumId w:val="16"/>
  </w:num>
  <w:num w:numId="20">
    <w:abstractNumId w:val="6"/>
  </w:num>
  <w:num w:numId="21">
    <w:abstractNumId w:val="18"/>
  </w:num>
  <w:num w:numId="22">
    <w:abstractNumId w:val="12"/>
  </w:num>
  <w:num w:numId="23">
    <w:abstractNumId w:val="24"/>
  </w:num>
  <w:num w:numId="24">
    <w:abstractNumId w:val="20"/>
  </w:num>
  <w:num w:numId="25">
    <w:abstractNumId w:val="9"/>
  </w:num>
  <w:num w:numId="26">
    <w:abstractNumId w:val="2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efaultTableStyle w:val="LightList-Accent1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5FF"/>
    <w:rsid w:val="000003CB"/>
    <w:rsid w:val="00003C5E"/>
    <w:rsid w:val="00004C5C"/>
    <w:rsid w:val="000054CB"/>
    <w:rsid w:val="00012712"/>
    <w:rsid w:val="000253EA"/>
    <w:rsid w:val="000276EF"/>
    <w:rsid w:val="0003084B"/>
    <w:rsid w:val="00036CD6"/>
    <w:rsid w:val="00043707"/>
    <w:rsid w:val="00043B75"/>
    <w:rsid w:val="000440E2"/>
    <w:rsid w:val="00046321"/>
    <w:rsid w:val="00047E53"/>
    <w:rsid w:val="000524A6"/>
    <w:rsid w:val="00064256"/>
    <w:rsid w:val="00065B76"/>
    <w:rsid w:val="00065C4F"/>
    <w:rsid w:val="000674F3"/>
    <w:rsid w:val="00070B0D"/>
    <w:rsid w:val="00072FC3"/>
    <w:rsid w:val="00081714"/>
    <w:rsid w:val="000859CA"/>
    <w:rsid w:val="00090D13"/>
    <w:rsid w:val="00092D8F"/>
    <w:rsid w:val="000939FF"/>
    <w:rsid w:val="00094D6B"/>
    <w:rsid w:val="000962E0"/>
    <w:rsid w:val="000973B8"/>
    <w:rsid w:val="000A21C2"/>
    <w:rsid w:val="000A46F6"/>
    <w:rsid w:val="000A5525"/>
    <w:rsid w:val="000B1EC9"/>
    <w:rsid w:val="000B5670"/>
    <w:rsid w:val="000B58CD"/>
    <w:rsid w:val="000B7D33"/>
    <w:rsid w:val="000C1335"/>
    <w:rsid w:val="000C18E9"/>
    <w:rsid w:val="000C19F4"/>
    <w:rsid w:val="000D3691"/>
    <w:rsid w:val="000D3F6D"/>
    <w:rsid w:val="000E0113"/>
    <w:rsid w:val="000E1D99"/>
    <w:rsid w:val="000E23B4"/>
    <w:rsid w:val="000E4F5F"/>
    <w:rsid w:val="000E587D"/>
    <w:rsid w:val="000E6252"/>
    <w:rsid w:val="000F0399"/>
    <w:rsid w:val="000F537C"/>
    <w:rsid w:val="000F7903"/>
    <w:rsid w:val="00100249"/>
    <w:rsid w:val="0010054E"/>
    <w:rsid w:val="00107C5B"/>
    <w:rsid w:val="00110E4E"/>
    <w:rsid w:val="00111746"/>
    <w:rsid w:val="001150EB"/>
    <w:rsid w:val="00116C60"/>
    <w:rsid w:val="00117824"/>
    <w:rsid w:val="00121D09"/>
    <w:rsid w:val="001220C1"/>
    <w:rsid w:val="001230CB"/>
    <w:rsid w:val="0012363A"/>
    <w:rsid w:val="00126E09"/>
    <w:rsid w:val="001271AB"/>
    <w:rsid w:val="00127E38"/>
    <w:rsid w:val="00130494"/>
    <w:rsid w:val="00134A7F"/>
    <w:rsid w:val="001419FA"/>
    <w:rsid w:val="00142B0D"/>
    <w:rsid w:val="00143080"/>
    <w:rsid w:val="0014358F"/>
    <w:rsid w:val="00143E83"/>
    <w:rsid w:val="00145C3A"/>
    <w:rsid w:val="001517C7"/>
    <w:rsid w:val="0015300A"/>
    <w:rsid w:val="00157757"/>
    <w:rsid w:val="0016425A"/>
    <w:rsid w:val="00164B88"/>
    <w:rsid w:val="00165F80"/>
    <w:rsid w:val="0016608E"/>
    <w:rsid w:val="00166679"/>
    <w:rsid w:val="00180ADC"/>
    <w:rsid w:val="0018253A"/>
    <w:rsid w:val="00182740"/>
    <w:rsid w:val="00184480"/>
    <w:rsid w:val="00191BFC"/>
    <w:rsid w:val="001A4B73"/>
    <w:rsid w:val="001B041B"/>
    <w:rsid w:val="001B0E97"/>
    <w:rsid w:val="001B22B3"/>
    <w:rsid w:val="001B2E84"/>
    <w:rsid w:val="001C0746"/>
    <w:rsid w:val="001C14F1"/>
    <w:rsid w:val="001C369B"/>
    <w:rsid w:val="001C7D5B"/>
    <w:rsid w:val="001D0794"/>
    <w:rsid w:val="001D4A68"/>
    <w:rsid w:val="001D5DBC"/>
    <w:rsid w:val="001E5C6A"/>
    <w:rsid w:val="001E6E38"/>
    <w:rsid w:val="001E7C66"/>
    <w:rsid w:val="00201485"/>
    <w:rsid w:val="00201893"/>
    <w:rsid w:val="0020723A"/>
    <w:rsid w:val="002076C0"/>
    <w:rsid w:val="00212165"/>
    <w:rsid w:val="002126AF"/>
    <w:rsid w:val="00214BC2"/>
    <w:rsid w:val="00214EA1"/>
    <w:rsid w:val="0021537B"/>
    <w:rsid w:val="002176E0"/>
    <w:rsid w:val="002208A6"/>
    <w:rsid w:val="00221B4C"/>
    <w:rsid w:val="002221B2"/>
    <w:rsid w:val="0022284D"/>
    <w:rsid w:val="00224DA8"/>
    <w:rsid w:val="0022555C"/>
    <w:rsid w:val="00227017"/>
    <w:rsid w:val="002307CB"/>
    <w:rsid w:val="00230A01"/>
    <w:rsid w:val="002328AC"/>
    <w:rsid w:val="00240761"/>
    <w:rsid w:val="002535EE"/>
    <w:rsid w:val="00256696"/>
    <w:rsid w:val="00262733"/>
    <w:rsid w:val="00262E4C"/>
    <w:rsid w:val="00264E1D"/>
    <w:rsid w:val="00270CC5"/>
    <w:rsid w:val="002734E5"/>
    <w:rsid w:val="0028290D"/>
    <w:rsid w:val="00284455"/>
    <w:rsid w:val="002854DF"/>
    <w:rsid w:val="00287108"/>
    <w:rsid w:val="00287A8F"/>
    <w:rsid w:val="002907C0"/>
    <w:rsid w:val="002A0C08"/>
    <w:rsid w:val="002A1B72"/>
    <w:rsid w:val="002A769B"/>
    <w:rsid w:val="002B71E0"/>
    <w:rsid w:val="002C297D"/>
    <w:rsid w:val="002C683B"/>
    <w:rsid w:val="002C7065"/>
    <w:rsid w:val="002D3ED3"/>
    <w:rsid w:val="002D4019"/>
    <w:rsid w:val="002D5BD2"/>
    <w:rsid w:val="002D5C58"/>
    <w:rsid w:val="002D78BC"/>
    <w:rsid w:val="002D7FBC"/>
    <w:rsid w:val="002E0451"/>
    <w:rsid w:val="002F2F01"/>
    <w:rsid w:val="00301347"/>
    <w:rsid w:val="003022D8"/>
    <w:rsid w:val="0030252E"/>
    <w:rsid w:val="00305296"/>
    <w:rsid w:val="003122CF"/>
    <w:rsid w:val="00312E1B"/>
    <w:rsid w:val="00315392"/>
    <w:rsid w:val="003158C0"/>
    <w:rsid w:val="00315AF3"/>
    <w:rsid w:val="003167DE"/>
    <w:rsid w:val="00327D70"/>
    <w:rsid w:val="00331FC6"/>
    <w:rsid w:val="0033543D"/>
    <w:rsid w:val="00344F25"/>
    <w:rsid w:val="0034793E"/>
    <w:rsid w:val="00350C7C"/>
    <w:rsid w:val="0035748D"/>
    <w:rsid w:val="00361800"/>
    <w:rsid w:val="00372508"/>
    <w:rsid w:val="00375FDF"/>
    <w:rsid w:val="00383EF0"/>
    <w:rsid w:val="003854B3"/>
    <w:rsid w:val="00386AB4"/>
    <w:rsid w:val="00393F5D"/>
    <w:rsid w:val="00395CF5"/>
    <w:rsid w:val="0039709D"/>
    <w:rsid w:val="00397476"/>
    <w:rsid w:val="003A3DD1"/>
    <w:rsid w:val="003A4D14"/>
    <w:rsid w:val="003B27FE"/>
    <w:rsid w:val="003B46BD"/>
    <w:rsid w:val="003B4E70"/>
    <w:rsid w:val="003B7DC9"/>
    <w:rsid w:val="003C01D3"/>
    <w:rsid w:val="003C1AD6"/>
    <w:rsid w:val="003D1DBD"/>
    <w:rsid w:val="003D3616"/>
    <w:rsid w:val="003D39C0"/>
    <w:rsid w:val="003E0683"/>
    <w:rsid w:val="003E388E"/>
    <w:rsid w:val="003E3917"/>
    <w:rsid w:val="003E789E"/>
    <w:rsid w:val="003F0EF7"/>
    <w:rsid w:val="003F50B3"/>
    <w:rsid w:val="00400EA0"/>
    <w:rsid w:val="0040533E"/>
    <w:rsid w:val="0040699D"/>
    <w:rsid w:val="00410CA9"/>
    <w:rsid w:val="004119F9"/>
    <w:rsid w:val="00413361"/>
    <w:rsid w:val="00414A50"/>
    <w:rsid w:val="004153EC"/>
    <w:rsid w:val="00415FD6"/>
    <w:rsid w:val="0042325B"/>
    <w:rsid w:val="00426BDE"/>
    <w:rsid w:val="00430EDA"/>
    <w:rsid w:val="00431B89"/>
    <w:rsid w:val="0043558F"/>
    <w:rsid w:val="004364FA"/>
    <w:rsid w:val="00436D17"/>
    <w:rsid w:val="00437B10"/>
    <w:rsid w:val="004543A8"/>
    <w:rsid w:val="00454797"/>
    <w:rsid w:val="00454BAA"/>
    <w:rsid w:val="00455EAE"/>
    <w:rsid w:val="00462B4F"/>
    <w:rsid w:val="004660B7"/>
    <w:rsid w:val="004661A3"/>
    <w:rsid w:val="00466FE2"/>
    <w:rsid w:val="0047530E"/>
    <w:rsid w:val="004800E4"/>
    <w:rsid w:val="004843A0"/>
    <w:rsid w:val="004851B9"/>
    <w:rsid w:val="0049024E"/>
    <w:rsid w:val="00490710"/>
    <w:rsid w:val="00491A2C"/>
    <w:rsid w:val="0049336F"/>
    <w:rsid w:val="00494ECE"/>
    <w:rsid w:val="00496BA4"/>
    <w:rsid w:val="004979AB"/>
    <w:rsid w:val="004A4078"/>
    <w:rsid w:val="004A5728"/>
    <w:rsid w:val="004B32C4"/>
    <w:rsid w:val="004B3F47"/>
    <w:rsid w:val="004B40C2"/>
    <w:rsid w:val="004B78E4"/>
    <w:rsid w:val="004C11AC"/>
    <w:rsid w:val="004C265A"/>
    <w:rsid w:val="004C3711"/>
    <w:rsid w:val="004C41A0"/>
    <w:rsid w:val="004C41D8"/>
    <w:rsid w:val="004C60E5"/>
    <w:rsid w:val="004D2EB9"/>
    <w:rsid w:val="004D3D78"/>
    <w:rsid w:val="004D4DDF"/>
    <w:rsid w:val="004E1BA4"/>
    <w:rsid w:val="004E304D"/>
    <w:rsid w:val="004E37D3"/>
    <w:rsid w:val="004F209A"/>
    <w:rsid w:val="004F2A22"/>
    <w:rsid w:val="004F39BE"/>
    <w:rsid w:val="004F45EB"/>
    <w:rsid w:val="00500F55"/>
    <w:rsid w:val="005027AF"/>
    <w:rsid w:val="00504394"/>
    <w:rsid w:val="005052ED"/>
    <w:rsid w:val="00507741"/>
    <w:rsid w:val="00511FFD"/>
    <w:rsid w:val="0051348B"/>
    <w:rsid w:val="00517828"/>
    <w:rsid w:val="00530CF1"/>
    <w:rsid w:val="00532887"/>
    <w:rsid w:val="0053612E"/>
    <w:rsid w:val="00540FCF"/>
    <w:rsid w:val="00542AE4"/>
    <w:rsid w:val="00542B7B"/>
    <w:rsid w:val="005463AB"/>
    <w:rsid w:val="0056092B"/>
    <w:rsid w:val="0056338C"/>
    <w:rsid w:val="005703EA"/>
    <w:rsid w:val="00570FED"/>
    <w:rsid w:val="00572CEA"/>
    <w:rsid w:val="00572D33"/>
    <w:rsid w:val="0057385F"/>
    <w:rsid w:val="00580149"/>
    <w:rsid w:val="0058043A"/>
    <w:rsid w:val="00582DDA"/>
    <w:rsid w:val="00583C7D"/>
    <w:rsid w:val="00584F9F"/>
    <w:rsid w:val="00585972"/>
    <w:rsid w:val="00585AD0"/>
    <w:rsid w:val="00586805"/>
    <w:rsid w:val="00586813"/>
    <w:rsid w:val="005929E3"/>
    <w:rsid w:val="00594C8E"/>
    <w:rsid w:val="00596DAD"/>
    <w:rsid w:val="00597273"/>
    <w:rsid w:val="005A31AE"/>
    <w:rsid w:val="005A75BC"/>
    <w:rsid w:val="005A7E74"/>
    <w:rsid w:val="005B1BAD"/>
    <w:rsid w:val="005B2DFA"/>
    <w:rsid w:val="005B2FB0"/>
    <w:rsid w:val="005B2FE4"/>
    <w:rsid w:val="005B4FE3"/>
    <w:rsid w:val="005C06C0"/>
    <w:rsid w:val="005C0912"/>
    <w:rsid w:val="005C0A27"/>
    <w:rsid w:val="005C6BBA"/>
    <w:rsid w:val="005D0352"/>
    <w:rsid w:val="005D2BFE"/>
    <w:rsid w:val="005D4577"/>
    <w:rsid w:val="005E07F5"/>
    <w:rsid w:val="005E15FF"/>
    <w:rsid w:val="005E45A0"/>
    <w:rsid w:val="005E4A11"/>
    <w:rsid w:val="005F55C1"/>
    <w:rsid w:val="0060056B"/>
    <w:rsid w:val="00601411"/>
    <w:rsid w:val="00602B18"/>
    <w:rsid w:val="00605201"/>
    <w:rsid w:val="00612BD0"/>
    <w:rsid w:val="00616CFA"/>
    <w:rsid w:val="006170DB"/>
    <w:rsid w:val="006176DF"/>
    <w:rsid w:val="0062031E"/>
    <w:rsid w:val="00620C52"/>
    <w:rsid w:val="00624925"/>
    <w:rsid w:val="00630887"/>
    <w:rsid w:val="006344A2"/>
    <w:rsid w:val="00635D71"/>
    <w:rsid w:val="00652B1D"/>
    <w:rsid w:val="00652F68"/>
    <w:rsid w:val="00654E5D"/>
    <w:rsid w:val="00664CD1"/>
    <w:rsid w:val="00670E0F"/>
    <w:rsid w:val="00670FC2"/>
    <w:rsid w:val="00674379"/>
    <w:rsid w:val="00675604"/>
    <w:rsid w:val="006818A7"/>
    <w:rsid w:val="006828E6"/>
    <w:rsid w:val="00684404"/>
    <w:rsid w:val="0068626B"/>
    <w:rsid w:val="006906D7"/>
    <w:rsid w:val="00693FCD"/>
    <w:rsid w:val="00694D3E"/>
    <w:rsid w:val="00695FE5"/>
    <w:rsid w:val="006A1451"/>
    <w:rsid w:val="006A1638"/>
    <w:rsid w:val="006A25C5"/>
    <w:rsid w:val="006A3A5B"/>
    <w:rsid w:val="006B5656"/>
    <w:rsid w:val="006C17FE"/>
    <w:rsid w:val="006C205F"/>
    <w:rsid w:val="006D149A"/>
    <w:rsid w:val="006D34DD"/>
    <w:rsid w:val="006E01DF"/>
    <w:rsid w:val="006E41B9"/>
    <w:rsid w:val="006E5ABD"/>
    <w:rsid w:val="006E79CB"/>
    <w:rsid w:val="006F3F05"/>
    <w:rsid w:val="006F45EB"/>
    <w:rsid w:val="00701AA6"/>
    <w:rsid w:val="00703152"/>
    <w:rsid w:val="00707CBE"/>
    <w:rsid w:val="007108FD"/>
    <w:rsid w:val="00710D65"/>
    <w:rsid w:val="00722073"/>
    <w:rsid w:val="00722D7A"/>
    <w:rsid w:val="00727A2A"/>
    <w:rsid w:val="00736140"/>
    <w:rsid w:val="007459E1"/>
    <w:rsid w:val="007459F0"/>
    <w:rsid w:val="00750093"/>
    <w:rsid w:val="00755C61"/>
    <w:rsid w:val="007561FC"/>
    <w:rsid w:val="007578F1"/>
    <w:rsid w:val="00760FAB"/>
    <w:rsid w:val="007617A3"/>
    <w:rsid w:val="00771A58"/>
    <w:rsid w:val="007739CA"/>
    <w:rsid w:val="007833D4"/>
    <w:rsid w:val="00783884"/>
    <w:rsid w:val="00787D72"/>
    <w:rsid w:val="0079095B"/>
    <w:rsid w:val="007933AB"/>
    <w:rsid w:val="00797989"/>
    <w:rsid w:val="007A1016"/>
    <w:rsid w:val="007A1134"/>
    <w:rsid w:val="007A2F2A"/>
    <w:rsid w:val="007A39DA"/>
    <w:rsid w:val="007A4D7F"/>
    <w:rsid w:val="007B00CA"/>
    <w:rsid w:val="007B04EE"/>
    <w:rsid w:val="007B6D3F"/>
    <w:rsid w:val="007B77D0"/>
    <w:rsid w:val="007C0171"/>
    <w:rsid w:val="007C167B"/>
    <w:rsid w:val="007C2861"/>
    <w:rsid w:val="007C3628"/>
    <w:rsid w:val="007C6008"/>
    <w:rsid w:val="007C725F"/>
    <w:rsid w:val="007D3374"/>
    <w:rsid w:val="007E36F2"/>
    <w:rsid w:val="007E6E4A"/>
    <w:rsid w:val="007F0C44"/>
    <w:rsid w:val="007F2C17"/>
    <w:rsid w:val="007F540E"/>
    <w:rsid w:val="007F5B2A"/>
    <w:rsid w:val="007F6B33"/>
    <w:rsid w:val="008001E3"/>
    <w:rsid w:val="00802863"/>
    <w:rsid w:val="00805AD7"/>
    <w:rsid w:val="00810381"/>
    <w:rsid w:val="0082042E"/>
    <w:rsid w:val="00820540"/>
    <w:rsid w:val="00821D3F"/>
    <w:rsid w:val="008240B4"/>
    <w:rsid w:val="00824223"/>
    <w:rsid w:val="00824BB9"/>
    <w:rsid w:val="0083140C"/>
    <w:rsid w:val="00837338"/>
    <w:rsid w:val="008436BD"/>
    <w:rsid w:val="00844888"/>
    <w:rsid w:val="00851D24"/>
    <w:rsid w:val="0085615F"/>
    <w:rsid w:val="0086479A"/>
    <w:rsid w:val="008654E2"/>
    <w:rsid w:val="008655DF"/>
    <w:rsid w:val="00865CEB"/>
    <w:rsid w:val="00876984"/>
    <w:rsid w:val="00876C0B"/>
    <w:rsid w:val="008831F5"/>
    <w:rsid w:val="00883886"/>
    <w:rsid w:val="00883F46"/>
    <w:rsid w:val="008871E5"/>
    <w:rsid w:val="008978F0"/>
    <w:rsid w:val="00897D77"/>
    <w:rsid w:val="008A156B"/>
    <w:rsid w:val="008A1853"/>
    <w:rsid w:val="008B2B23"/>
    <w:rsid w:val="008B2FF7"/>
    <w:rsid w:val="008B4BCF"/>
    <w:rsid w:val="008C1ACD"/>
    <w:rsid w:val="008C2B21"/>
    <w:rsid w:val="008C50AD"/>
    <w:rsid w:val="008C5A50"/>
    <w:rsid w:val="008D3493"/>
    <w:rsid w:val="008D6534"/>
    <w:rsid w:val="008E5C28"/>
    <w:rsid w:val="008E6875"/>
    <w:rsid w:val="008F4660"/>
    <w:rsid w:val="008F4D0B"/>
    <w:rsid w:val="008F6A79"/>
    <w:rsid w:val="008F6D12"/>
    <w:rsid w:val="00900ED3"/>
    <w:rsid w:val="009012AD"/>
    <w:rsid w:val="00905764"/>
    <w:rsid w:val="00906F36"/>
    <w:rsid w:val="009212A8"/>
    <w:rsid w:val="00921936"/>
    <w:rsid w:val="00922430"/>
    <w:rsid w:val="00922EC7"/>
    <w:rsid w:val="00923DBA"/>
    <w:rsid w:val="009258D1"/>
    <w:rsid w:val="009342C4"/>
    <w:rsid w:val="0093770F"/>
    <w:rsid w:val="009400D7"/>
    <w:rsid w:val="009406CB"/>
    <w:rsid w:val="00940C2F"/>
    <w:rsid w:val="00940C6C"/>
    <w:rsid w:val="00942A1A"/>
    <w:rsid w:val="0094636C"/>
    <w:rsid w:val="009471E9"/>
    <w:rsid w:val="00954CED"/>
    <w:rsid w:val="00955C7C"/>
    <w:rsid w:val="00957885"/>
    <w:rsid w:val="0096137C"/>
    <w:rsid w:val="009676E0"/>
    <w:rsid w:val="00971910"/>
    <w:rsid w:val="009747DD"/>
    <w:rsid w:val="00980B65"/>
    <w:rsid w:val="00981BE7"/>
    <w:rsid w:val="00986899"/>
    <w:rsid w:val="00986933"/>
    <w:rsid w:val="00990362"/>
    <w:rsid w:val="009A0567"/>
    <w:rsid w:val="009A173C"/>
    <w:rsid w:val="009A1A85"/>
    <w:rsid w:val="009A2879"/>
    <w:rsid w:val="009A3726"/>
    <w:rsid w:val="009A712A"/>
    <w:rsid w:val="009A7FC9"/>
    <w:rsid w:val="009B1C43"/>
    <w:rsid w:val="009B42C8"/>
    <w:rsid w:val="009C17A3"/>
    <w:rsid w:val="009C1994"/>
    <w:rsid w:val="009C1C0D"/>
    <w:rsid w:val="009C1C88"/>
    <w:rsid w:val="009C3C01"/>
    <w:rsid w:val="009C5AE9"/>
    <w:rsid w:val="009C61DF"/>
    <w:rsid w:val="009C79D8"/>
    <w:rsid w:val="009D0A34"/>
    <w:rsid w:val="009D1393"/>
    <w:rsid w:val="009D2C98"/>
    <w:rsid w:val="009D3A7B"/>
    <w:rsid w:val="009D4989"/>
    <w:rsid w:val="009E766A"/>
    <w:rsid w:val="009F1814"/>
    <w:rsid w:val="009F327D"/>
    <w:rsid w:val="009F4082"/>
    <w:rsid w:val="00A01652"/>
    <w:rsid w:val="00A1088D"/>
    <w:rsid w:val="00A11319"/>
    <w:rsid w:val="00A14C50"/>
    <w:rsid w:val="00A14F29"/>
    <w:rsid w:val="00A174B3"/>
    <w:rsid w:val="00A20817"/>
    <w:rsid w:val="00A23276"/>
    <w:rsid w:val="00A30F44"/>
    <w:rsid w:val="00A3434B"/>
    <w:rsid w:val="00A36643"/>
    <w:rsid w:val="00A36A7E"/>
    <w:rsid w:val="00A37E6A"/>
    <w:rsid w:val="00A41C0B"/>
    <w:rsid w:val="00A447DE"/>
    <w:rsid w:val="00A44977"/>
    <w:rsid w:val="00A44A29"/>
    <w:rsid w:val="00A44F7E"/>
    <w:rsid w:val="00A457DC"/>
    <w:rsid w:val="00A46BEE"/>
    <w:rsid w:val="00A50CE2"/>
    <w:rsid w:val="00A50E82"/>
    <w:rsid w:val="00A52122"/>
    <w:rsid w:val="00A551AE"/>
    <w:rsid w:val="00A55FA3"/>
    <w:rsid w:val="00A56A8B"/>
    <w:rsid w:val="00A575BD"/>
    <w:rsid w:val="00A60D53"/>
    <w:rsid w:val="00A64111"/>
    <w:rsid w:val="00A643F0"/>
    <w:rsid w:val="00A64476"/>
    <w:rsid w:val="00A72B30"/>
    <w:rsid w:val="00A741D0"/>
    <w:rsid w:val="00A742DE"/>
    <w:rsid w:val="00A77065"/>
    <w:rsid w:val="00A813C5"/>
    <w:rsid w:val="00A814F1"/>
    <w:rsid w:val="00A81D8E"/>
    <w:rsid w:val="00A82570"/>
    <w:rsid w:val="00A84761"/>
    <w:rsid w:val="00A85007"/>
    <w:rsid w:val="00A87347"/>
    <w:rsid w:val="00A91F2D"/>
    <w:rsid w:val="00A94230"/>
    <w:rsid w:val="00A94BED"/>
    <w:rsid w:val="00AA4161"/>
    <w:rsid w:val="00AB0C61"/>
    <w:rsid w:val="00AB11D7"/>
    <w:rsid w:val="00AB28A3"/>
    <w:rsid w:val="00AB45A5"/>
    <w:rsid w:val="00AB59D2"/>
    <w:rsid w:val="00AB6676"/>
    <w:rsid w:val="00AC195D"/>
    <w:rsid w:val="00AC3402"/>
    <w:rsid w:val="00AC577E"/>
    <w:rsid w:val="00AC7078"/>
    <w:rsid w:val="00AC77F1"/>
    <w:rsid w:val="00AC7FF5"/>
    <w:rsid w:val="00AD396E"/>
    <w:rsid w:val="00AD3C60"/>
    <w:rsid w:val="00AD50F0"/>
    <w:rsid w:val="00AD5EC3"/>
    <w:rsid w:val="00AE2714"/>
    <w:rsid w:val="00AE323E"/>
    <w:rsid w:val="00AE48C2"/>
    <w:rsid w:val="00AE643A"/>
    <w:rsid w:val="00AE6B74"/>
    <w:rsid w:val="00AF0070"/>
    <w:rsid w:val="00AF0FA4"/>
    <w:rsid w:val="00B007CC"/>
    <w:rsid w:val="00B059B2"/>
    <w:rsid w:val="00B10665"/>
    <w:rsid w:val="00B10883"/>
    <w:rsid w:val="00B117FD"/>
    <w:rsid w:val="00B12EBD"/>
    <w:rsid w:val="00B16739"/>
    <w:rsid w:val="00B22274"/>
    <w:rsid w:val="00B23086"/>
    <w:rsid w:val="00B24D21"/>
    <w:rsid w:val="00B25250"/>
    <w:rsid w:val="00B27474"/>
    <w:rsid w:val="00B3068C"/>
    <w:rsid w:val="00B322C7"/>
    <w:rsid w:val="00B33ED8"/>
    <w:rsid w:val="00B34B0A"/>
    <w:rsid w:val="00B35717"/>
    <w:rsid w:val="00B4014F"/>
    <w:rsid w:val="00B43B6E"/>
    <w:rsid w:val="00B441D4"/>
    <w:rsid w:val="00B46E4A"/>
    <w:rsid w:val="00B47CC3"/>
    <w:rsid w:val="00B51477"/>
    <w:rsid w:val="00B514FA"/>
    <w:rsid w:val="00B51C9B"/>
    <w:rsid w:val="00B52708"/>
    <w:rsid w:val="00B540E1"/>
    <w:rsid w:val="00B568B4"/>
    <w:rsid w:val="00B56F70"/>
    <w:rsid w:val="00B6340B"/>
    <w:rsid w:val="00B63BD6"/>
    <w:rsid w:val="00B65E93"/>
    <w:rsid w:val="00B72962"/>
    <w:rsid w:val="00B80908"/>
    <w:rsid w:val="00B82016"/>
    <w:rsid w:val="00B83AE3"/>
    <w:rsid w:val="00B84A67"/>
    <w:rsid w:val="00B86CA9"/>
    <w:rsid w:val="00B90446"/>
    <w:rsid w:val="00B923F7"/>
    <w:rsid w:val="00B939F2"/>
    <w:rsid w:val="00B95669"/>
    <w:rsid w:val="00B9575F"/>
    <w:rsid w:val="00B96437"/>
    <w:rsid w:val="00BA02CB"/>
    <w:rsid w:val="00BA18E8"/>
    <w:rsid w:val="00BA2067"/>
    <w:rsid w:val="00BA72E6"/>
    <w:rsid w:val="00BA7A94"/>
    <w:rsid w:val="00BB0E87"/>
    <w:rsid w:val="00BB21BE"/>
    <w:rsid w:val="00BB2700"/>
    <w:rsid w:val="00BB2843"/>
    <w:rsid w:val="00BB29A6"/>
    <w:rsid w:val="00BB34EC"/>
    <w:rsid w:val="00BC03DC"/>
    <w:rsid w:val="00BC1FE3"/>
    <w:rsid w:val="00BC76BA"/>
    <w:rsid w:val="00BD6322"/>
    <w:rsid w:val="00BE1B4E"/>
    <w:rsid w:val="00BF06F7"/>
    <w:rsid w:val="00BF138F"/>
    <w:rsid w:val="00BF4DF4"/>
    <w:rsid w:val="00BF62D1"/>
    <w:rsid w:val="00BF6D49"/>
    <w:rsid w:val="00C00A1D"/>
    <w:rsid w:val="00C03280"/>
    <w:rsid w:val="00C134D1"/>
    <w:rsid w:val="00C14C35"/>
    <w:rsid w:val="00C20592"/>
    <w:rsid w:val="00C21689"/>
    <w:rsid w:val="00C22FE3"/>
    <w:rsid w:val="00C2357E"/>
    <w:rsid w:val="00C2598E"/>
    <w:rsid w:val="00C30602"/>
    <w:rsid w:val="00C3544B"/>
    <w:rsid w:val="00C35DAC"/>
    <w:rsid w:val="00C376BA"/>
    <w:rsid w:val="00C47F13"/>
    <w:rsid w:val="00C52EFA"/>
    <w:rsid w:val="00C56C72"/>
    <w:rsid w:val="00C56D45"/>
    <w:rsid w:val="00C67BD0"/>
    <w:rsid w:val="00C67E8E"/>
    <w:rsid w:val="00C73B93"/>
    <w:rsid w:val="00C73CF6"/>
    <w:rsid w:val="00C746D8"/>
    <w:rsid w:val="00C85575"/>
    <w:rsid w:val="00C85914"/>
    <w:rsid w:val="00C85EE0"/>
    <w:rsid w:val="00C86D63"/>
    <w:rsid w:val="00C9093A"/>
    <w:rsid w:val="00C9219B"/>
    <w:rsid w:val="00C94A4B"/>
    <w:rsid w:val="00CA2A51"/>
    <w:rsid w:val="00CA4987"/>
    <w:rsid w:val="00CA7DD7"/>
    <w:rsid w:val="00CB1A9A"/>
    <w:rsid w:val="00CB209A"/>
    <w:rsid w:val="00CB2551"/>
    <w:rsid w:val="00CB36C5"/>
    <w:rsid w:val="00CB4F24"/>
    <w:rsid w:val="00CB6407"/>
    <w:rsid w:val="00CB6481"/>
    <w:rsid w:val="00CC4CA9"/>
    <w:rsid w:val="00CC5ABC"/>
    <w:rsid w:val="00CD552E"/>
    <w:rsid w:val="00CD6433"/>
    <w:rsid w:val="00CD7BDE"/>
    <w:rsid w:val="00CE1939"/>
    <w:rsid w:val="00CE3CC9"/>
    <w:rsid w:val="00CE7473"/>
    <w:rsid w:val="00CE771C"/>
    <w:rsid w:val="00CF1D19"/>
    <w:rsid w:val="00CF7BF8"/>
    <w:rsid w:val="00D000B7"/>
    <w:rsid w:val="00D011C7"/>
    <w:rsid w:val="00D03C7C"/>
    <w:rsid w:val="00D068D1"/>
    <w:rsid w:val="00D11C93"/>
    <w:rsid w:val="00D13732"/>
    <w:rsid w:val="00D15938"/>
    <w:rsid w:val="00D16077"/>
    <w:rsid w:val="00D3078C"/>
    <w:rsid w:val="00D3292E"/>
    <w:rsid w:val="00D37F8E"/>
    <w:rsid w:val="00D420A6"/>
    <w:rsid w:val="00D43062"/>
    <w:rsid w:val="00D50A46"/>
    <w:rsid w:val="00D5658D"/>
    <w:rsid w:val="00D62FBC"/>
    <w:rsid w:val="00D7038F"/>
    <w:rsid w:val="00D71512"/>
    <w:rsid w:val="00D71833"/>
    <w:rsid w:val="00D7408C"/>
    <w:rsid w:val="00D74DDD"/>
    <w:rsid w:val="00D76B69"/>
    <w:rsid w:val="00D77079"/>
    <w:rsid w:val="00D816C3"/>
    <w:rsid w:val="00D8184D"/>
    <w:rsid w:val="00D83789"/>
    <w:rsid w:val="00D85BDB"/>
    <w:rsid w:val="00D86EE2"/>
    <w:rsid w:val="00D90A6C"/>
    <w:rsid w:val="00D9154E"/>
    <w:rsid w:val="00D9160B"/>
    <w:rsid w:val="00D92961"/>
    <w:rsid w:val="00D92A09"/>
    <w:rsid w:val="00D950A0"/>
    <w:rsid w:val="00DA0273"/>
    <w:rsid w:val="00DA30A6"/>
    <w:rsid w:val="00DA5299"/>
    <w:rsid w:val="00DB0882"/>
    <w:rsid w:val="00DB150B"/>
    <w:rsid w:val="00DB1FC0"/>
    <w:rsid w:val="00DB24CB"/>
    <w:rsid w:val="00DB3D36"/>
    <w:rsid w:val="00DC0448"/>
    <w:rsid w:val="00DD2C53"/>
    <w:rsid w:val="00DD575C"/>
    <w:rsid w:val="00DE4117"/>
    <w:rsid w:val="00DE5693"/>
    <w:rsid w:val="00E043C9"/>
    <w:rsid w:val="00E161CB"/>
    <w:rsid w:val="00E16499"/>
    <w:rsid w:val="00E167E5"/>
    <w:rsid w:val="00E17F06"/>
    <w:rsid w:val="00E20BD8"/>
    <w:rsid w:val="00E215B8"/>
    <w:rsid w:val="00E232A1"/>
    <w:rsid w:val="00E23CA2"/>
    <w:rsid w:val="00E27FF5"/>
    <w:rsid w:val="00E31422"/>
    <w:rsid w:val="00E32C67"/>
    <w:rsid w:val="00E340C4"/>
    <w:rsid w:val="00E36443"/>
    <w:rsid w:val="00E3732F"/>
    <w:rsid w:val="00E3768C"/>
    <w:rsid w:val="00E43792"/>
    <w:rsid w:val="00E43F01"/>
    <w:rsid w:val="00E44E8E"/>
    <w:rsid w:val="00E456A5"/>
    <w:rsid w:val="00E50F8E"/>
    <w:rsid w:val="00E52CA5"/>
    <w:rsid w:val="00E61A56"/>
    <w:rsid w:val="00E6538C"/>
    <w:rsid w:val="00E71B11"/>
    <w:rsid w:val="00E72FD8"/>
    <w:rsid w:val="00E73CC4"/>
    <w:rsid w:val="00E740DC"/>
    <w:rsid w:val="00E74A1C"/>
    <w:rsid w:val="00E76DD0"/>
    <w:rsid w:val="00E801D6"/>
    <w:rsid w:val="00E957BF"/>
    <w:rsid w:val="00EA4AEA"/>
    <w:rsid w:val="00EA634C"/>
    <w:rsid w:val="00EA6AE5"/>
    <w:rsid w:val="00EB15F1"/>
    <w:rsid w:val="00EB2E32"/>
    <w:rsid w:val="00EB3FC3"/>
    <w:rsid w:val="00EB72BD"/>
    <w:rsid w:val="00EC46FB"/>
    <w:rsid w:val="00EC753E"/>
    <w:rsid w:val="00ED1A74"/>
    <w:rsid w:val="00ED39CC"/>
    <w:rsid w:val="00ED6517"/>
    <w:rsid w:val="00EE60FF"/>
    <w:rsid w:val="00EF083D"/>
    <w:rsid w:val="00EF6738"/>
    <w:rsid w:val="00EF6B8B"/>
    <w:rsid w:val="00F0072D"/>
    <w:rsid w:val="00F011E3"/>
    <w:rsid w:val="00F038CA"/>
    <w:rsid w:val="00F07831"/>
    <w:rsid w:val="00F102E7"/>
    <w:rsid w:val="00F1182A"/>
    <w:rsid w:val="00F11AFF"/>
    <w:rsid w:val="00F1325B"/>
    <w:rsid w:val="00F14749"/>
    <w:rsid w:val="00F15509"/>
    <w:rsid w:val="00F167AF"/>
    <w:rsid w:val="00F21DF7"/>
    <w:rsid w:val="00F23EF3"/>
    <w:rsid w:val="00F24EE7"/>
    <w:rsid w:val="00F251E0"/>
    <w:rsid w:val="00F25F96"/>
    <w:rsid w:val="00F324BB"/>
    <w:rsid w:val="00F32E31"/>
    <w:rsid w:val="00F40B0E"/>
    <w:rsid w:val="00F40E10"/>
    <w:rsid w:val="00F4359E"/>
    <w:rsid w:val="00F4467C"/>
    <w:rsid w:val="00F4798B"/>
    <w:rsid w:val="00F47C54"/>
    <w:rsid w:val="00F5343C"/>
    <w:rsid w:val="00F610EF"/>
    <w:rsid w:val="00F62029"/>
    <w:rsid w:val="00F64795"/>
    <w:rsid w:val="00F64C0C"/>
    <w:rsid w:val="00F65E90"/>
    <w:rsid w:val="00F6670A"/>
    <w:rsid w:val="00F72165"/>
    <w:rsid w:val="00F84E01"/>
    <w:rsid w:val="00F85179"/>
    <w:rsid w:val="00F86DF7"/>
    <w:rsid w:val="00F91A59"/>
    <w:rsid w:val="00F96344"/>
    <w:rsid w:val="00F977EE"/>
    <w:rsid w:val="00FA2129"/>
    <w:rsid w:val="00FA2D77"/>
    <w:rsid w:val="00FA7BE5"/>
    <w:rsid w:val="00FA7E07"/>
    <w:rsid w:val="00FB3B8D"/>
    <w:rsid w:val="00FB45E7"/>
    <w:rsid w:val="00FB656E"/>
    <w:rsid w:val="00FB6A72"/>
    <w:rsid w:val="00FD2D3F"/>
    <w:rsid w:val="00FD425A"/>
    <w:rsid w:val="00FD6430"/>
    <w:rsid w:val="00FD6500"/>
    <w:rsid w:val="00FD6820"/>
    <w:rsid w:val="00FE52D6"/>
    <w:rsid w:val="00FE7223"/>
    <w:rsid w:val="00FF15C8"/>
    <w:rsid w:val="00FF1A00"/>
    <w:rsid w:val="00FF1F3B"/>
    <w:rsid w:val="00FF240D"/>
    <w:rsid w:val="00FF42E2"/>
    <w:rsid w:val="00FF4CD0"/>
    <w:rsid w:val="00FF678E"/>
    <w:rsid w:val="00FF6A75"/>
    <w:rsid w:val="2DAC4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A16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761"/>
  </w:style>
  <w:style w:type="paragraph" w:styleId="Heading1">
    <w:name w:val="heading 1"/>
    <w:basedOn w:val="Normal"/>
    <w:next w:val="Normal"/>
    <w:link w:val="Heading1Char"/>
    <w:uiPriority w:val="9"/>
    <w:qFormat/>
    <w:rsid w:val="00A84761"/>
    <w:pPr>
      <w:keepNext/>
      <w:keepLines/>
      <w:pBdr>
        <w:top w:val="single" w:sz="24" w:space="1" w:color="009CD3" w:themeColor="accent1"/>
      </w:pBdr>
      <w:spacing w:after="240"/>
      <w:outlineLvl w:val="0"/>
    </w:pPr>
    <w:rPr>
      <w:rFonts w:asciiTheme="majorHAnsi" w:eastAsiaTheme="majorEastAsia" w:hAnsiTheme="majorHAnsi"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A84761"/>
    <w:pPr>
      <w:keepNext/>
      <w:keepLines/>
      <w:spacing w:after="240"/>
      <w:outlineLvl w:val="1"/>
    </w:pPr>
    <w:rPr>
      <w:rFonts w:asciiTheme="majorHAnsi" w:eastAsiaTheme="majorEastAsia" w:hAnsiTheme="majorHAnsi" w:cstheme="majorBidi"/>
      <w:b/>
      <w:color w:val="009CD3" w:themeColor="accent1"/>
      <w:sz w:val="28"/>
      <w:szCs w:val="26"/>
    </w:rPr>
  </w:style>
  <w:style w:type="paragraph" w:styleId="Heading3">
    <w:name w:val="heading 3"/>
    <w:basedOn w:val="Normal"/>
    <w:next w:val="Normal"/>
    <w:link w:val="Heading3Char"/>
    <w:uiPriority w:val="9"/>
    <w:unhideWhenUsed/>
    <w:qFormat/>
    <w:rsid w:val="00675604"/>
    <w:pPr>
      <w:autoSpaceDE w:val="0"/>
      <w:autoSpaceDN w:val="0"/>
      <w:adjustRightInd w:val="0"/>
      <w:spacing w:after="120" w:line="240" w:lineRule="auto"/>
      <w:textAlignment w:val="center"/>
      <w:outlineLvl w:val="2"/>
    </w:pPr>
    <w:rPr>
      <w:rFonts w:asciiTheme="majorHAnsi" w:hAnsiTheme="majorHAnsi" w:cs="Calibri"/>
      <w:b/>
      <w:bCs/>
      <w:caps/>
      <w:color w:val="3B3838" w:themeColor="background2" w:themeShade="40"/>
      <w:spacing w:val="7"/>
      <w:szCs w:val="18"/>
    </w:rPr>
  </w:style>
  <w:style w:type="paragraph" w:styleId="Heading4">
    <w:name w:val="heading 4"/>
    <w:basedOn w:val="Heading3"/>
    <w:next w:val="Normal"/>
    <w:link w:val="Heading4Char"/>
    <w:uiPriority w:val="9"/>
    <w:unhideWhenUsed/>
    <w:qFormat/>
    <w:rsid w:val="00A84761"/>
    <w:pPr>
      <w:outlineLvl w:val="3"/>
    </w:pPr>
    <w:rPr>
      <w:rFonts w:eastAsiaTheme="majorEastAsia" w:cstheme="majorBidi"/>
      <w:b w:val="0"/>
      <w:bCs w:val="0"/>
      <w:i/>
      <w:iCs/>
      <w:caps w:val="0"/>
      <w:color w:val="00749E" w:themeColor="accent1" w:themeShade="BF"/>
      <w:spacing w:val="0"/>
      <w:szCs w:val="22"/>
    </w:rPr>
  </w:style>
  <w:style w:type="paragraph" w:styleId="Heading5">
    <w:name w:val="heading 5"/>
    <w:basedOn w:val="Normal"/>
    <w:next w:val="Normal"/>
    <w:link w:val="Heading5Char"/>
    <w:uiPriority w:val="9"/>
    <w:unhideWhenUsed/>
    <w:qFormat/>
    <w:rsid w:val="00A84761"/>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A84761"/>
    <w:pPr>
      <w:outlineLvl w:val="5"/>
    </w:pPr>
  </w:style>
  <w:style w:type="paragraph" w:styleId="Heading7">
    <w:name w:val="heading 7"/>
    <w:basedOn w:val="Heading2"/>
    <w:next w:val="Normal"/>
    <w:link w:val="Heading7Char"/>
    <w:uiPriority w:val="9"/>
    <w:unhideWhenUsed/>
    <w:qFormat/>
    <w:rsid w:val="00A84761"/>
    <w:pPr>
      <w:outlineLvl w:val="6"/>
    </w:pPr>
  </w:style>
  <w:style w:type="paragraph" w:styleId="Heading8">
    <w:name w:val="heading 8"/>
    <w:basedOn w:val="Normal"/>
    <w:next w:val="Normal"/>
    <w:link w:val="Heading8Char"/>
    <w:uiPriority w:val="9"/>
    <w:semiHidden/>
    <w:unhideWhenUsed/>
    <w:qFormat/>
    <w:rsid w:val="00A84761"/>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A84761"/>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092D8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rsid w:val="005E15FF"/>
    <w:rPr>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009CD3" w:themeColor="accent1"/>
        <w:left w:val="single" w:sz="8" w:space="0" w:color="009CD3" w:themeColor="accent1"/>
        <w:bottom w:val="single" w:sz="8" w:space="0" w:color="009CD3" w:themeColor="accent1"/>
        <w:right w:val="single" w:sz="8" w:space="0" w:color="009CD3" w:themeColor="accent1"/>
      </w:tblBorders>
    </w:tblPr>
    <w:tblStylePr w:type="firstRow">
      <w:pPr>
        <w:spacing w:before="0" w:after="0" w:line="240" w:lineRule="auto"/>
      </w:pPr>
      <w:rPr>
        <w:b/>
        <w:bCs/>
        <w:color w:val="FFFFFF" w:themeColor="background1"/>
      </w:rPr>
      <w:tblPr/>
      <w:tcPr>
        <w:shd w:val="clear" w:color="auto" w:fill="009CD3" w:themeFill="accent1"/>
      </w:tcPr>
    </w:tblStylePr>
    <w:tblStylePr w:type="lastRow">
      <w:pPr>
        <w:spacing w:before="0" w:after="0" w:line="240" w:lineRule="auto"/>
      </w:pPr>
      <w:rPr>
        <w:b/>
        <w:bCs/>
      </w:rPr>
      <w:tblPr/>
      <w:tcPr>
        <w:tcBorders>
          <w:top w:val="double" w:sz="6" w:space="0" w:color="009CD3" w:themeColor="accent1"/>
          <w:left w:val="single" w:sz="8" w:space="0" w:color="009CD3" w:themeColor="accent1"/>
          <w:bottom w:val="single" w:sz="8" w:space="0" w:color="009CD3" w:themeColor="accent1"/>
          <w:right w:val="single" w:sz="8" w:space="0" w:color="009CD3" w:themeColor="accent1"/>
        </w:tcBorders>
      </w:tcPr>
    </w:tblStylePr>
    <w:tblStylePr w:type="firstCol">
      <w:rPr>
        <w:b/>
        <w:bCs/>
      </w:rPr>
    </w:tblStylePr>
    <w:tblStylePr w:type="lastCol">
      <w:rPr>
        <w:b/>
        <w:bCs/>
      </w:rPr>
    </w:tblStylePr>
    <w:tblStylePr w:type="band1Vert">
      <w:tblPr/>
      <w:tcPr>
        <w:tcBorders>
          <w:top w:val="single" w:sz="8" w:space="0" w:color="009CD3" w:themeColor="accent1"/>
          <w:left w:val="single" w:sz="8" w:space="0" w:color="009CD3" w:themeColor="accent1"/>
          <w:bottom w:val="single" w:sz="8" w:space="0" w:color="009CD3" w:themeColor="accent1"/>
          <w:right w:val="single" w:sz="8" w:space="0" w:color="009CD3" w:themeColor="accent1"/>
        </w:tcBorders>
      </w:tcPr>
    </w:tblStylePr>
    <w:tblStylePr w:type="band1Horz">
      <w:tblPr/>
      <w:tcPr>
        <w:tcBorders>
          <w:top w:val="single" w:sz="8" w:space="0" w:color="009CD3" w:themeColor="accent1"/>
          <w:left w:val="single" w:sz="8" w:space="0" w:color="009CD3" w:themeColor="accent1"/>
          <w:bottom w:val="single" w:sz="8" w:space="0" w:color="009CD3" w:themeColor="accent1"/>
          <w:right w:val="single" w:sz="8" w:space="0" w:color="009CD3"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link w:val="NoSpacingChar"/>
    <w:uiPriority w:val="1"/>
    <w:qFormat/>
    <w:rsid w:val="00A84761"/>
    <w:pPr>
      <w:spacing w:after="0" w:line="240" w:lineRule="auto"/>
    </w:pPr>
  </w:style>
  <w:style w:type="character" w:customStyle="1" w:styleId="NoSpacingChar">
    <w:name w:val="No Spacing Char"/>
    <w:basedOn w:val="DefaultParagraphFont"/>
    <w:link w:val="NoSpacing"/>
    <w:uiPriority w:val="1"/>
    <w:rsid w:val="00BF6D49"/>
  </w:style>
  <w:style w:type="character" w:styleId="SubtleEmphasis">
    <w:name w:val="Subtle Emphasis"/>
    <w:basedOn w:val="DefaultParagraphFont"/>
    <w:uiPriority w:val="19"/>
    <w:qFormat/>
    <w:rsid w:val="00A84761"/>
    <w:rPr>
      <w:i/>
      <w:iCs/>
      <w:color w:val="636363" w:themeColor="text1" w:themeTint="BF"/>
    </w:rPr>
  </w:style>
  <w:style w:type="paragraph" w:styleId="CommentSubject">
    <w:name w:val="annotation subject"/>
    <w:basedOn w:val="CommentText"/>
    <w:next w:val="CommentText"/>
    <w:link w:val="CommentSubjectChar"/>
    <w:uiPriority w:val="99"/>
    <w:semiHidden/>
    <w:unhideWhenUsed/>
    <w:rsid w:val="00DB24CB"/>
    <w:rPr>
      <w:b/>
      <w:bCs/>
    </w:rPr>
  </w:style>
  <w:style w:type="character" w:customStyle="1" w:styleId="CommentSubjectChar">
    <w:name w:val="Comment Subject Char"/>
    <w:basedOn w:val="CommentTextChar"/>
    <w:link w:val="CommentSubject"/>
    <w:uiPriority w:val="99"/>
    <w:semiHidden/>
    <w:rsid w:val="00DB24CB"/>
    <w:rPr>
      <w:rFonts w:ascii="Times New Roman" w:eastAsia="Times New Roman" w:hAnsi="Times New Roman" w:cs="Times New Roman"/>
      <w:b/>
      <w:bCs/>
      <w:sz w:val="20"/>
      <w:szCs w:val="20"/>
    </w:rPr>
  </w:style>
  <w:style w:type="paragraph" w:styleId="FootnoteText">
    <w:name w:val="footnote text"/>
    <w:aliases w:val="F1,Footnote Text2,F"/>
    <w:basedOn w:val="Normal"/>
    <w:link w:val="FootnoteTextChar"/>
    <w:unhideWhenUsed/>
    <w:rsid w:val="00E6538C"/>
  </w:style>
  <w:style w:type="character" w:customStyle="1" w:styleId="FootnoteTextChar">
    <w:name w:val="Footnote Text Char"/>
    <w:aliases w:val="F1 Char,Footnote Text2 Char,F Char"/>
    <w:basedOn w:val="DefaultParagraphFont"/>
    <w:link w:val="FootnoteText"/>
    <w:rsid w:val="00E6538C"/>
    <w:rPr>
      <w:rFonts w:ascii="Times New Roman" w:eastAsia="Times New Roman" w:hAnsi="Times New Roman" w:cs="Times New Roman"/>
    </w:rPr>
  </w:style>
  <w:style w:type="character" w:styleId="FootnoteReference">
    <w:name w:val="footnote reference"/>
    <w:basedOn w:val="DefaultParagraphFont"/>
    <w:unhideWhenUsed/>
    <w:rsid w:val="00E6538C"/>
    <w:rPr>
      <w:vertAlign w:val="superscript"/>
    </w:rPr>
  </w:style>
  <w:style w:type="character" w:styleId="FollowedHyperlink">
    <w:name w:val="FollowedHyperlink"/>
    <w:basedOn w:val="DefaultParagraphFont"/>
    <w:uiPriority w:val="99"/>
    <w:semiHidden/>
    <w:unhideWhenUsed/>
    <w:rsid w:val="001B041B"/>
    <w:rPr>
      <w:color w:val="954F72" w:themeColor="followedHyperlink"/>
      <w:u w:val="single"/>
    </w:rPr>
  </w:style>
  <w:style w:type="paragraph" w:styleId="Revision">
    <w:name w:val="Revision"/>
    <w:hidden/>
    <w:uiPriority w:val="99"/>
    <w:semiHidden/>
    <w:rsid w:val="00897D77"/>
    <w:rPr>
      <w:rFonts w:ascii="Times New Roman" w:eastAsia="Times New Roman" w:hAnsi="Times New Roman" w:cs="Times New Roman"/>
    </w:rPr>
  </w:style>
  <w:style w:type="paragraph" w:styleId="Header">
    <w:name w:val="header"/>
    <w:basedOn w:val="Normal"/>
    <w:link w:val="HeaderChar"/>
    <w:uiPriority w:val="99"/>
    <w:unhideWhenUsed/>
    <w:rsid w:val="00315392"/>
    <w:pPr>
      <w:tabs>
        <w:tab w:val="center" w:pos="4680"/>
        <w:tab w:val="right" w:pos="9360"/>
      </w:tabs>
    </w:pPr>
  </w:style>
  <w:style w:type="character" w:customStyle="1" w:styleId="HeaderChar">
    <w:name w:val="Header Char"/>
    <w:basedOn w:val="DefaultParagraphFont"/>
    <w:link w:val="Header"/>
    <w:uiPriority w:val="99"/>
    <w:rsid w:val="00315392"/>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0054E"/>
    <w:rPr>
      <w:color w:val="605E5C"/>
      <w:shd w:val="clear" w:color="auto" w:fill="E1DFDD"/>
    </w:rPr>
  </w:style>
  <w:style w:type="paragraph" w:styleId="Caption">
    <w:name w:val="caption"/>
    <w:aliases w:val="Caption ECSS"/>
    <w:basedOn w:val="Normal"/>
    <w:next w:val="Normal"/>
    <w:uiPriority w:val="35"/>
    <w:unhideWhenUsed/>
    <w:qFormat/>
    <w:rsid w:val="00A84761"/>
    <w:pPr>
      <w:keepNext/>
      <w:spacing w:after="200" w:line="240" w:lineRule="auto"/>
      <w:ind w:left="936" w:hanging="936"/>
    </w:pPr>
    <w:rPr>
      <w:b/>
      <w:iCs/>
      <w:color w:val="009CD3" w:themeColor="accent1"/>
      <w:szCs w:val="18"/>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link w:val="ListParagraph"/>
    <w:uiPriority w:val="34"/>
    <w:locked/>
    <w:rsid w:val="00092D8F"/>
  </w:style>
  <w:style w:type="character" w:customStyle="1" w:styleId="Heading1Char">
    <w:name w:val="Heading 1 Char"/>
    <w:basedOn w:val="DefaultParagraphFont"/>
    <w:link w:val="Heading1"/>
    <w:uiPriority w:val="9"/>
    <w:rsid w:val="00A84761"/>
    <w:rPr>
      <w:rFonts w:asciiTheme="majorHAnsi" w:eastAsiaTheme="majorEastAsia" w:hAnsiTheme="majorHAnsi" w:cstheme="majorBidi"/>
      <w:b/>
      <w:caps/>
      <w:color w:val="009CD3" w:themeColor="accent1"/>
      <w:spacing w:val="20"/>
      <w:kern w:val="32"/>
      <w:sz w:val="32"/>
      <w:szCs w:val="32"/>
    </w:rPr>
  </w:style>
  <w:style w:type="character" w:customStyle="1" w:styleId="Heading2Char">
    <w:name w:val="Heading 2 Char"/>
    <w:basedOn w:val="DefaultParagraphFont"/>
    <w:link w:val="Heading2"/>
    <w:uiPriority w:val="9"/>
    <w:rsid w:val="00A84761"/>
    <w:rPr>
      <w:rFonts w:asciiTheme="majorHAnsi" w:eastAsiaTheme="majorEastAsia" w:hAnsiTheme="majorHAnsi" w:cstheme="majorBidi"/>
      <w:b/>
      <w:color w:val="009CD3" w:themeColor="accent1"/>
      <w:sz w:val="28"/>
      <w:szCs w:val="26"/>
    </w:rPr>
  </w:style>
  <w:style w:type="character" w:customStyle="1" w:styleId="Heading3Char">
    <w:name w:val="Heading 3 Char"/>
    <w:basedOn w:val="DefaultParagraphFont"/>
    <w:link w:val="Heading3"/>
    <w:uiPriority w:val="9"/>
    <w:rsid w:val="00675604"/>
    <w:rPr>
      <w:rFonts w:asciiTheme="majorHAnsi" w:hAnsiTheme="majorHAnsi" w:cs="Calibri"/>
      <w:b/>
      <w:bCs/>
      <w:caps/>
      <w:color w:val="3B3838" w:themeColor="background2" w:themeShade="40"/>
      <w:spacing w:val="7"/>
      <w:szCs w:val="18"/>
    </w:rPr>
  </w:style>
  <w:style w:type="character" w:customStyle="1" w:styleId="Heading4Char">
    <w:name w:val="Heading 4 Char"/>
    <w:basedOn w:val="DefaultParagraphFont"/>
    <w:link w:val="Heading4"/>
    <w:uiPriority w:val="9"/>
    <w:rsid w:val="00A84761"/>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rsid w:val="00A84761"/>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A84761"/>
    <w:rPr>
      <w:rFonts w:asciiTheme="majorHAnsi" w:eastAsiaTheme="majorEastAsia" w:hAnsiTheme="majorHAnsi" w:cstheme="majorBidi"/>
      <w:b/>
      <w:caps/>
      <w:color w:val="009CD3" w:themeColor="accent1"/>
      <w:spacing w:val="20"/>
      <w:kern w:val="32"/>
      <w:sz w:val="32"/>
      <w:szCs w:val="32"/>
    </w:rPr>
  </w:style>
  <w:style w:type="character" w:customStyle="1" w:styleId="Heading7Char">
    <w:name w:val="Heading 7 Char"/>
    <w:basedOn w:val="DefaultParagraphFont"/>
    <w:link w:val="Heading7"/>
    <w:uiPriority w:val="9"/>
    <w:rsid w:val="00A84761"/>
    <w:rPr>
      <w:rFonts w:asciiTheme="majorHAnsi" w:eastAsiaTheme="majorEastAsia" w:hAnsiTheme="majorHAnsi" w:cstheme="majorBidi"/>
      <w:b/>
      <w:color w:val="009CD3" w:themeColor="accent1"/>
      <w:sz w:val="28"/>
      <w:szCs w:val="26"/>
    </w:rPr>
  </w:style>
  <w:style w:type="character" w:customStyle="1" w:styleId="Heading8Char">
    <w:name w:val="Heading 8 Char"/>
    <w:basedOn w:val="DefaultParagraphFont"/>
    <w:link w:val="Heading8"/>
    <w:uiPriority w:val="9"/>
    <w:semiHidden/>
    <w:rsid w:val="00A84761"/>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A84761"/>
    <w:rPr>
      <w:rFonts w:asciiTheme="majorHAnsi" w:eastAsiaTheme="majorEastAsia" w:hAnsiTheme="majorHAnsi" w:cstheme="majorBidi"/>
      <w:i/>
      <w:iCs/>
      <w:color w:val="4E4E4E" w:themeColor="text1" w:themeTint="D8"/>
      <w:sz w:val="21"/>
      <w:szCs w:val="21"/>
    </w:rPr>
  </w:style>
  <w:style w:type="paragraph" w:styleId="Title">
    <w:name w:val="Title"/>
    <w:basedOn w:val="Normal"/>
    <w:next w:val="Normal"/>
    <w:link w:val="TitleChar"/>
    <w:uiPriority w:val="10"/>
    <w:qFormat/>
    <w:rsid w:val="00A847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761"/>
    <w:pPr>
      <w:numPr>
        <w:ilvl w:val="1"/>
      </w:numPr>
    </w:pPr>
    <w:rPr>
      <w:rFonts w:eastAsiaTheme="minorEastAsia"/>
      <w:b/>
      <w:caps/>
      <w:color w:val="777777" w:themeColor="text1" w:themeTint="A6"/>
      <w:spacing w:val="20"/>
      <w:sz w:val="28"/>
    </w:rPr>
  </w:style>
  <w:style w:type="character" w:customStyle="1" w:styleId="SubtitleChar">
    <w:name w:val="Subtitle Char"/>
    <w:basedOn w:val="DefaultParagraphFont"/>
    <w:link w:val="Subtitle"/>
    <w:uiPriority w:val="11"/>
    <w:rsid w:val="00A84761"/>
    <w:rPr>
      <w:rFonts w:eastAsiaTheme="minorEastAsia"/>
      <w:b/>
      <w:caps/>
      <w:color w:val="777777" w:themeColor="text1" w:themeTint="A6"/>
      <w:spacing w:val="20"/>
      <w:sz w:val="28"/>
    </w:rPr>
  </w:style>
  <w:style w:type="character" w:styleId="Emphasis">
    <w:name w:val="Emphasis"/>
    <w:basedOn w:val="DefaultParagraphFont"/>
    <w:uiPriority w:val="20"/>
    <w:qFormat/>
    <w:rsid w:val="00A84761"/>
    <w:rPr>
      <w:i/>
      <w:iCs/>
    </w:rPr>
  </w:style>
  <w:style w:type="paragraph" w:styleId="TOCHeading">
    <w:name w:val="TOC Heading"/>
    <w:basedOn w:val="Heading1"/>
    <w:next w:val="Normal"/>
    <w:uiPriority w:val="39"/>
    <w:semiHidden/>
    <w:unhideWhenUsed/>
    <w:qFormat/>
    <w:rsid w:val="00A84761"/>
    <w:pPr>
      <w:outlineLvl w:val="9"/>
    </w:pPr>
  </w:style>
  <w:style w:type="table" w:customStyle="1" w:styleId="GridTable4Accent1">
    <w:name w:val="Grid Table 4 Accent 1"/>
    <w:basedOn w:val="TableNormal"/>
    <w:uiPriority w:val="49"/>
    <w:rsid w:val="00F21DF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styleId="PlaceholderText">
    <w:name w:val="Placeholder Text"/>
    <w:basedOn w:val="DefaultParagraphFont"/>
    <w:uiPriority w:val="99"/>
    <w:semiHidden/>
    <w:rsid w:val="00B86CA9"/>
    <w:rPr>
      <w:color w:val="808080"/>
    </w:rPr>
  </w:style>
  <w:style w:type="character" w:customStyle="1" w:styleId="UnresolvedMention">
    <w:name w:val="Unresolved Mention"/>
    <w:basedOn w:val="DefaultParagraphFont"/>
    <w:uiPriority w:val="99"/>
    <w:semiHidden/>
    <w:unhideWhenUsed/>
    <w:rsid w:val="00E4379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761"/>
  </w:style>
  <w:style w:type="paragraph" w:styleId="Heading1">
    <w:name w:val="heading 1"/>
    <w:basedOn w:val="Normal"/>
    <w:next w:val="Normal"/>
    <w:link w:val="Heading1Char"/>
    <w:uiPriority w:val="9"/>
    <w:qFormat/>
    <w:rsid w:val="00A84761"/>
    <w:pPr>
      <w:keepNext/>
      <w:keepLines/>
      <w:pBdr>
        <w:top w:val="single" w:sz="24" w:space="1" w:color="009CD3" w:themeColor="accent1"/>
      </w:pBdr>
      <w:spacing w:after="240"/>
      <w:outlineLvl w:val="0"/>
    </w:pPr>
    <w:rPr>
      <w:rFonts w:asciiTheme="majorHAnsi" w:eastAsiaTheme="majorEastAsia" w:hAnsiTheme="majorHAnsi"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A84761"/>
    <w:pPr>
      <w:keepNext/>
      <w:keepLines/>
      <w:spacing w:after="240"/>
      <w:outlineLvl w:val="1"/>
    </w:pPr>
    <w:rPr>
      <w:rFonts w:asciiTheme="majorHAnsi" w:eastAsiaTheme="majorEastAsia" w:hAnsiTheme="majorHAnsi" w:cstheme="majorBidi"/>
      <w:b/>
      <w:color w:val="009CD3" w:themeColor="accent1"/>
      <w:sz w:val="28"/>
      <w:szCs w:val="26"/>
    </w:rPr>
  </w:style>
  <w:style w:type="paragraph" w:styleId="Heading3">
    <w:name w:val="heading 3"/>
    <w:basedOn w:val="Normal"/>
    <w:next w:val="Normal"/>
    <w:link w:val="Heading3Char"/>
    <w:uiPriority w:val="9"/>
    <w:unhideWhenUsed/>
    <w:qFormat/>
    <w:rsid w:val="00675604"/>
    <w:pPr>
      <w:autoSpaceDE w:val="0"/>
      <w:autoSpaceDN w:val="0"/>
      <w:adjustRightInd w:val="0"/>
      <w:spacing w:after="120" w:line="240" w:lineRule="auto"/>
      <w:textAlignment w:val="center"/>
      <w:outlineLvl w:val="2"/>
    </w:pPr>
    <w:rPr>
      <w:rFonts w:asciiTheme="majorHAnsi" w:hAnsiTheme="majorHAnsi" w:cs="Calibri"/>
      <w:b/>
      <w:bCs/>
      <w:caps/>
      <w:color w:val="3B3838" w:themeColor="background2" w:themeShade="40"/>
      <w:spacing w:val="7"/>
      <w:szCs w:val="18"/>
    </w:rPr>
  </w:style>
  <w:style w:type="paragraph" w:styleId="Heading4">
    <w:name w:val="heading 4"/>
    <w:basedOn w:val="Heading3"/>
    <w:next w:val="Normal"/>
    <w:link w:val="Heading4Char"/>
    <w:uiPriority w:val="9"/>
    <w:unhideWhenUsed/>
    <w:qFormat/>
    <w:rsid w:val="00A84761"/>
    <w:pPr>
      <w:outlineLvl w:val="3"/>
    </w:pPr>
    <w:rPr>
      <w:rFonts w:eastAsiaTheme="majorEastAsia" w:cstheme="majorBidi"/>
      <w:b w:val="0"/>
      <w:bCs w:val="0"/>
      <w:i/>
      <w:iCs/>
      <w:caps w:val="0"/>
      <w:color w:val="00749E" w:themeColor="accent1" w:themeShade="BF"/>
      <w:spacing w:val="0"/>
      <w:szCs w:val="22"/>
    </w:rPr>
  </w:style>
  <w:style w:type="paragraph" w:styleId="Heading5">
    <w:name w:val="heading 5"/>
    <w:basedOn w:val="Normal"/>
    <w:next w:val="Normal"/>
    <w:link w:val="Heading5Char"/>
    <w:uiPriority w:val="9"/>
    <w:unhideWhenUsed/>
    <w:qFormat/>
    <w:rsid w:val="00A84761"/>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A84761"/>
    <w:pPr>
      <w:outlineLvl w:val="5"/>
    </w:pPr>
  </w:style>
  <w:style w:type="paragraph" w:styleId="Heading7">
    <w:name w:val="heading 7"/>
    <w:basedOn w:val="Heading2"/>
    <w:next w:val="Normal"/>
    <w:link w:val="Heading7Char"/>
    <w:uiPriority w:val="9"/>
    <w:unhideWhenUsed/>
    <w:qFormat/>
    <w:rsid w:val="00A84761"/>
    <w:pPr>
      <w:outlineLvl w:val="6"/>
    </w:pPr>
  </w:style>
  <w:style w:type="paragraph" w:styleId="Heading8">
    <w:name w:val="heading 8"/>
    <w:basedOn w:val="Normal"/>
    <w:next w:val="Normal"/>
    <w:link w:val="Heading8Char"/>
    <w:uiPriority w:val="9"/>
    <w:semiHidden/>
    <w:unhideWhenUsed/>
    <w:qFormat/>
    <w:rsid w:val="00A84761"/>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A84761"/>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092D8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rsid w:val="005E15FF"/>
    <w:rPr>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009CD3" w:themeColor="accent1"/>
        <w:left w:val="single" w:sz="8" w:space="0" w:color="009CD3" w:themeColor="accent1"/>
        <w:bottom w:val="single" w:sz="8" w:space="0" w:color="009CD3" w:themeColor="accent1"/>
        <w:right w:val="single" w:sz="8" w:space="0" w:color="009CD3" w:themeColor="accent1"/>
      </w:tblBorders>
    </w:tblPr>
    <w:tblStylePr w:type="firstRow">
      <w:pPr>
        <w:spacing w:before="0" w:after="0" w:line="240" w:lineRule="auto"/>
      </w:pPr>
      <w:rPr>
        <w:b/>
        <w:bCs/>
        <w:color w:val="FFFFFF" w:themeColor="background1"/>
      </w:rPr>
      <w:tblPr/>
      <w:tcPr>
        <w:shd w:val="clear" w:color="auto" w:fill="009CD3" w:themeFill="accent1"/>
      </w:tcPr>
    </w:tblStylePr>
    <w:tblStylePr w:type="lastRow">
      <w:pPr>
        <w:spacing w:before="0" w:after="0" w:line="240" w:lineRule="auto"/>
      </w:pPr>
      <w:rPr>
        <w:b/>
        <w:bCs/>
      </w:rPr>
      <w:tblPr/>
      <w:tcPr>
        <w:tcBorders>
          <w:top w:val="double" w:sz="6" w:space="0" w:color="009CD3" w:themeColor="accent1"/>
          <w:left w:val="single" w:sz="8" w:space="0" w:color="009CD3" w:themeColor="accent1"/>
          <w:bottom w:val="single" w:sz="8" w:space="0" w:color="009CD3" w:themeColor="accent1"/>
          <w:right w:val="single" w:sz="8" w:space="0" w:color="009CD3" w:themeColor="accent1"/>
        </w:tcBorders>
      </w:tcPr>
    </w:tblStylePr>
    <w:tblStylePr w:type="firstCol">
      <w:rPr>
        <w:b/>
        <w:bCs/>
      </w:rPr>
    </w:tblStylePr>
    <w:tblStylePr w:type="lastCol">
      <w:rPr>
        <w:b/>
        <w:bCs/>
      </w:rPr>
    </w:tblStylePr>
    <w:tblStylePr w:type="band1Vert">
      <w:tblPr/>
      <w:tcPr>
        <w:tcBorders>
          <w:top w:val="single" w:sz="8" w:space="0" w:color="009CD3" w:themeColor="accent1"/>
          <w:left w:val="single" w:sz="8" w:space="0" w:color="009CD3" w:themeColor="accent1"/>
          <w:bottom w:val="single" w:sz="8" w:space="0" w:color="009CD3" w:themeColor="accent1"/>
          <w:right w:val="single" w:sz="8" w:space="0" w:color="009CD3" w:themeColor="accent1"/>
        </w:tcBorders>
      </w:tcPr>
    </w:tblStylePr>
    <w:tblStylePr w:type="band1Horz">
      <w:tblPr/>
      <w:tcPr>
        <w:tcBorders>
          <w:top w:val="single" w:sz="8" w:space="0" w:color="009CD3" w:themeColor="accent1"/>
          <w:left w:val="single" w:sz="8" w:space="0" w:color="009CD3" w:themeColor="accent1"/>
          <w:bottom w:val="single" w:sz="8" w:space="0" w:color="009CD3" w:themeColor="accent1"/>
          <w:right w:val="single" w:sz="8" w:space="0" w:color="009CD3"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link w:val="NoSpacingChar"/>
    <w:uiPriority w:val="1"/>
    <w:qFormat/>
    <w:rsid w:val="00A84761"/>
    <w:pPr>
      <w:spacing w:after="0" w:line="240" w:lineRule="auto"/>
    </w:pPr>
  </w:style>
  <w:style w:type="character" w:customStyle="1" w:styleId="NoSpacingChar">
    <w:name w:val="No Spacing Char"/>
    <w:basedOn w:val="DefaultParagraphFont"/>
    <w:link w:val="NoSpacing"/>
    <w:uiPriority w:val="1"/>
    <w:rsid w:val="00BF6D49"/>
  </w:style>
  <w:style w:type="character" w:styleId="SubtleEmphasis">
    <w:name w:val="Subtle Emphasis"/>
    <w:basedOn w:val="DefaultParagraphFont"/>
    <w:uiPriority w:val="19"/>
    <w:qFormat/>
    <w:rsid w:val="00A84761"/>
    <w:rPr>
      <w:i/>
      <w:iCs/>
      <w:color w:val="636363" w:themeColor="text1" w:themeTint="BF"/>
    </w:rPr>
  </w:style>
  <w:style w:type="paragraph" w:styleId="CommentSubject">
    <w:name w:val="annotation subject"/>
    <w:basedOn w:val="CommentText"/>
    <w:next w:val="CommentText"/>
    <w:link w:val="CommentSubjectChar"/>
    <w:uiPriority w:val="99"/>
    <w:semiHidden/>
    <w:unhideWhenUsed/>
    <w:rsid w:val="00DB24CB"/>
    <w:rPr>
      <w:b/>
      <w:bCs/>
    </w:rPr>
  </w:style>
  <w:style w:type="character" w:customStyle="1" w:styleId="CommentSubjectChar">
    <w:name w:val="Comment Subject Char"/>
    <w:basedOn w:val="CommentTextChar"/>
    <w:link w:val="CommentSubject"/>
    <w:uiPriority w:val="99"/>
    <w:semiHidden/>
    <w:rsid w:val="00DB24CB"/>
    <w:rPr>
      <w:rFonts w:ascii="Times New Roman" w:eastAsia="Times New Roman" w:hAnsi="Times New Roman" w:cs="Times New Roman"/>
      <w:b/>
      <w:bCs/>
      <w:sz w:val="20"/>
      <w:szCs w:val="20"/>
    </w:rPr>
  </w:style>
  <w:style w:type="paragraph" w:styleId="FootnoteText">
    <w:name w:val="footnote text"/>
    <w:aliases w:val="F1,Footnote Text2,F"/>
    <w:basedOn w:val="Normal"/>
    <w:link w:val="FootnoteTextChar"/>
    <w:unhideWhenUsed/>
    <w:rsid w:val="00E6538C"/>
  </w:style>
  <w:style w:type="character" w:customStyle="1" w:styleId="FootnoteTextChar">
    <w:name w:val="Footnote Text Char"/>
    <w:aliases w:val="F1 Char,Footnote Text2 Char,F Char"/>
    <w:basedOn w:val="DefaultParagraphFont"/>
    <w:link w:val="FootnoteText"/>
    <w:rsid w:val="00E6538C"/>
    <w:rPr>
      <w:rFonts w:ascii="Times New Roman" w:eastAsia="Times New Roman" w:hAnsi="Times New Roman" w:cs="Times New Roman"/>
    </w:rPr>
  </w:style>
  <w:style w:type="character" w:styleId="FootnoteReference">
    <w:name w:val="footnote reference"/>
    <w:basedOn w:val="DefaultParagraphFont"/>
    <w:unhideWhenUsed/>
    <w:rsid w:val="00E6538C"/>
    <w:rPr>
      <w:vertAlign w:val="superscript"/>
    </w:rPr>
  </w:style>
  <w:style w:type="character" w:styleId="FollowedHyperlink">
    <w:name w:val="FollowedHyperlink"/>
    <w:basedOn w:val="DefaultParagraphFont"/>
    <w:uiPriority w:val="99"/>
    <w:semiHidden/>
    <w:unhideWhenUsed/>
    <w:rsid w:val="001B041B"/>
    <w:rPr>
      <w:color w:val="954F72" w:themeColor="followedHyperlink"/>
      <w:u w:val="single"/>
    </w:rPr>
  </w:style>
  <w:style w:type="paragraph" w:styleId="Revision">
    <w:name w:val="Revision"/>
    <w:hidden/>
    <w:uiPriority w:val="99"/>
    <w:semiHidden/>
    <w:rsid w:val="00897D77"/>
    <w:rPr>
      <w:rFonts w:ascii="Times New Roman" w:eastAsia="Times New Roman" w:hAnsi="Times New Roman" w:cs="Times New Roman"/>
    </w:rPr>
  </w:style>
  <w:style w:type="paragraph" w:styleId="Header">
    <w:name w:val="header"/>
    <w:basedOn w:val="Normal"/>
    <w:link w:val="HeaderChar"/>
    <w:uiPriority w:val="99"/>
    <w:unhideWhenUsed/>
    <w:rsid w:val="00315392"/>
    <w:pPr>
      <w:tabs>
        <w:tab w:val="center" w:pos="4680"/>
        <w:tab w:val="right" w:pos="9360"/>
      </w:tabs>
    </w:pPr>
  </w:style>
  <w:style w:type="character" w:customStyle="1" w:styleId="HeaderChar">
    <w:name w:val="Header Char"/>
    <w:basedOn w:val="DefaultParagraphFont"/>
    <w:link w:val="Header"/>
    <w:uiPriority w:val="99"/>
    <w:rsid w:val="00315392"/>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0054E"/>
    <w:rPr>
      <w:color w:val="605E5C"/>
      <w:shd w:val="clear" w:color="auto" w:fill="E1DFDD"/>
    </w:rPr>
  </w:style>
  <w:style w:type="paragraph" w:styleId="Caption">
    <w:name w:val="caption"/>
    <w:aliases w:val="Caption ECSS"/>
    <w:basedOn w:val="Normal"/>
    <w:next w:val="Normal"/>
    <w:uiPriority w:val="35"/>
    <w:unhideWhenUsed/>
    <w:qFormat/>
    <w:rsid w:val="00A84761"/>
    <w:pPr>
      <w:keepNext/>
      <w:spacing w:after="200" w:line="240" w:lineRule="auto"/>
      <w:ind w:left="936" w:hanging="936"/>
    </w:pPr>
    <w:rPr>
      <w:b/>
      <w:iCs/>
      <w:color w:val="009CD3" w:themeColor="accent1"/>
      <w:szCs w:val="18"/>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link w:val="ListParagraph"/>
    <w:uiPriority w:val="34"/>
    <w:locked/>
    <w:rsid w:val="00092D8F"/>
  </w:style>
  <w:style w:type="character" w:customStyle="1" w:styleId="Heading1Char">
    <w:name w:val="Heading 1 Char"/>
    <w:basedOn w:val="DefaultParagraphFont"/>
    <w:link w:val="Heading1"/>
    <w:uiPriority w:val="9"/>
    <w:rsid w:val="00A84761"/>
    <w:rPr>
      <w:rFonts w:asciiTheme="majorHAnsi" w:eastAsiaTheme="majorEastAsia" w:hAnsiTheme="majorHAnsi" w:cstheme="majorBidi"/>
      <w:b/>
      <w:caps/>
      <w:color w:val="009CD3" w:themeColor="accent1"/>
      <w:spacing w:val="20"/>
      <w:kern w:val="32"/>
      <w:sz w:val="32"/>
      <w:szCs w:val="32"/>
    </w:rPr>
  </w:style>
  <w:style w:type="character" w:customStyle="1" w:styleId="Heading2Char">
    <w:name w:val="Heading 2 Char"/>
    <w:basedOn w:val="DefaultParagraphFont"/>
    <w:link w:val="Heading2"/>
    <w:uiPriority w:val="9"/>
    <w:rsid w:val="00A84761"/>
    <w:rPr>
      <w:rFonts w:asciiTheme="majorHAnsi" w:eastAsiaTheme="majorEastAsia" w:hAnsiTheme="majorHAnsi" w:cstheme="majorBidi"/>
      <w:b/>
      <w:color w:val="009CD3" w:themeColor="accent1"/>
      <w:sz w:val="28"/>
      <w:szCs w:val="26"/>
    </w:rPr>
  </w:style>
  <w:style w:type="character" w:customStyle="1" w:styleId="Heading3Char">
    <w:name w:val="Heading 3 Char"/>
    <w:basedOn w:val="DefaultParagraphFont"/>
    <w:link w:val="Heading3"/>
    <w:uiPriority w:val="9"/>
    <w:rsid w:val="00675604"/>
    <w:rPr>
      <w:rFonts w:asciiTheme="majorHAnsi" w:hAnsiTheme="majorHAnsi" w:cs="Calibri"/>
      <w:b/>
      <w:bCs/>
      <w:caps/>
      <w:color w:val="3B3838" w:themeColor="background2" w:themeShade="40"/>
      <w:spacing w:val="7"/>
      <w:szCs w:val="18"/>
    </w:rPr>
  </w:style>
  <w:style w:type="character" w:customStyle="1" w:styleId="Heading4Char">
    <w:name w:val="Heading 4 Char"/>
    <w:basedOn w:val="DefaultParagraphFont"/>
    <w:link w:val="Heading4"/>
    <w:uiPriority w:val="9"/>
    <w:rsid w:val="00A84761"/>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rsid w:val="00A84761"/>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A84761"/>
    <w:rPr>
      <w:rFonts w:asciiTheme="majorHAnsi" w:eastAsiaTheme="majorEastAsia" w:hAnsiTheme="majorHAnsi" w:cstheme="majorBidi"/>
      <w:b/>
      <w:caps/>
      <w:color w:val="009CD3" w:themeColor="accent1"/>
      <w:spacing w:val="20"/>
      <w:kern w:val="32"/>
      <w:sz w:val="32"/>
      <w:szCs w:val="32"/>
    </w:rPr>
  </w:style>
  <w:style w:type="character" w:customStyle="1" w:styleId="Heading7Char">
    <w:name w:val="Heading 7 Char"/>
    <w:basedOn w:val="DefaultParagraphFont"/>
    <w:link w:val="Heading7"/>
    <w:uiPriority w:val="9"/>
    <w:rsid w:val="00A84761"/>
    <w:rPr>
      <w:rFonts w:asciiTheme="majorHAnsi" w:eastAsiaTheme="majorEastAsia" w:hAnsiTheme="majorHAnsi" w:cstheme="majorBidi"/>
      <w:b/>
      <w:color w:val="009CD3" w:themeColor="accent1"/>
      <w:sz w:val="28"/>
      <w:szCs w:val="26"/>
    </w:rPr>
  </w:style>
  <w:style w:type="character" w:customStyle="1" w:styleId="Heading8Char">
    <w:name w:val="Heading 8 Char"/>
    <w:basedOn w:val="DefaultParagraphFont"/>
    <w:link w:val="Heading8"/>
    <w:uiPriority w:val="9"/>
    <w:semiHidden/>
    <w:rsid w:val="00A84761"/>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A84761"/>
    <w:rPr>
      <w:rFonts w:asciiTheme="majorHAnsi" w:eastAsiaTheme="majorEastAsia" w:hAnsiTheme="majorHAnsi" w:cstheme="majorBidi"/>
      <w:i/>
      <w:iCs/>
      <w:color w:val="4E4E4E" w:themeColor="text1" w:themeTint="D8"/>
      <w:sz w:val="21"/>
      <w:szCs w:val="21"/>
    </w:rPr>
  </w:style>
  <w:style w:type="paragraph" w:styleId="Title">
    <w:name w:val="Title"/>
    <w:basedOn w:val="Normal"/>
    <w:next w:val="Normal"/>
    <w:link w:val="TitleChar"/>
    <w:uiPriority w:val="10"/>
    <w:qFormat/>
    <w:rsid w:val="00A847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761"/>
    <w:pPr>
      <w:numPr>
        <w:ilvl w:val="1"/>
      </w:numPr>
    </w:pPr>
    <w:rPr>
      <w:rFonts w:eastAsiaTheme="minorEastAsia"/>
      <w:b/>
      <w:caps/>
      <w:color w:val="777777" w:themeColor="text1" w:themeTint="A6"/>
      <w:spacing w:val="20"/>
      <w:sz w:val="28"/>
    </w:rPr>
  </w:style>
  <w:style w:type="character" w:customStyle="1" w:styleId="SubtitleChar">
    <w:name w:val="Subtitle Char"/>
    <w:basedOn w:val="DefaultParagraphFont"/>
    <w:link w:val="Subtitle"/>
    <w:uiPriority w:val="11"/>
    <w:rsid w:val="00A84761"/>
    <w:rPr>
      <w:rFonts w:eastAsiaTheme="minorEastAsia"/>
      <w:b/>
      <w:caps/>
      <w:color w:val="777777" w:themeColor="text1" w:themeTint="A6"/>
      <w:spacing w:val="20"/>
      <w:sz w:val="28"/>
    </w:rPr>
  </w:style>
  <w:style w:type="character" w:styleId="Emphasis">
    <w:name w:val="Emphasis"/>
    <w:basedOn w:val="DefaultParagraphFont"/>
    <w:uiPriority w:val="20"/>
    <w:qFormat/>
    <w:rsid w:val="00A84761"/>
    <w:rPr>
      <w:i/>
      <w:iCs/>
    </w:rPr>
  </w:style>
  <w:style w:type="paragraph" w:styleId="TOCHeading">
    <w:name w:val="TOC Heading"/>
    <w:basedOn w:val="Heading1"/>
    <w:next w:val="Normal"/>
    <w:uiPriority w:val="39"/>
    <w:semiHidden/>
    <w:unhideWhenUsed/>
    <w:qFormat/>
    <w:rsid w:val="00A84761"/>
    <w:pPr>
      <w:outlineLvl w:val="9"/>
    </w:pPr>
  </w:style>
  <w:style w:type="table" w:customStyle="1" w:styleId="GridTable4Accent1">
    <w:name w:val="Grid Table 4 Accent 1"/>
    <w:basedOn w:val="TableNormal"/>
    <w:uiPriority w:val="49"/>
    <w:rsid w:val="00F21DF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styleId="PlaceholderText">
    <w:name w:val="Placeholder Text"/>
    <w:basedOn w:val="DefaultParagraphFont"/>
    <w:uiPriority w:val="99"/>
    <w:semiHidden/>
    <w:rsid w:val="00B86CA9"/>
    <w:rPr>
      <w:color w:val="808080"/>
    </w:rPr>
  </w:style>
  <w:style w:type="character" w:customStyle="1" w:styleId="UnresolvedMention">
    <w:name w:val="Unresolved Mention"/>
    <w:basedOn w:val="DefaultParagraphFont"/>
    <w:uiPriority w:val="99"/>
    <w:semiHidden/>
    <w:unhideWhenUsed/>
    <w:rsid w:val="00E43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785507">
      <w:bodyDiv w:val="1"/>
      <w:marLeft w:val="0"/>
      <w:marRight w:val="0"/>
      <w:marTop w:val="0"/>
      <w:marBottom w:val="0"/>
      <w:divBdr>
        <w:top w:val="none" w:sz="0" w:space="0" w:color="auto"/>
        <w:left w:val="none" w:sz="0" w:space="0" w:color="auto"/>
        <w:bottom w:val="none" w:sz="0" w:space="0" w:color="auto"/>
        <w:right w:val="none" w:sz="0" w:space="0" w:color="auto"/>
      </w:divBdr>
    </w:div>
    <w:div w:id="885798479">
      <w:bodyDiv w:val="1"/>
      <w:marLeft w:val="0"/>
      <w:marRight w:val="0"/>
      <w:marTop w:val="0"/>
      <w:marBottom w:val="0"/>
      <w:divBdr>
        <w:top w:val="none" w:sz="0" w:space="0" w:color="auto"/>
        <w:left w:val="none" w:sz="0" w:space="0" w:color="auto"/>
        <w:bottom w:val="none" w:sz="0" w:space="0" w:color="auto"/>
        <w:right w:val="none" w:sz="0" w:space="0" w:color="auto"/>
      </w:divBdr>
    </w:div>
    <w:div w:id="903954851">
      <w:bodyDiv w:val="1"/>
      <w:marLeft w:val="0"/>
      <w:marRight w:val="0"/>
      <w:marTop w:val="0"/>
      <w:marBottom w:val="0"/>
      <w:divBdr>
        <w:top w:val="none" w:sz="0" w:space="0" w:color="auto"/>
        <w:left w:val="none" w:sz="0" w:space="0" w:color="auto"/>
        <w:bottom w:val="none" w:sz="0" w:space="0" w:color="auto"/>
        <w:right w:val="none" w:sz="0" w:space="0" w:color="auto"/>
      </w:divBdr>
    </w:div>
    <w:div w:id="1162085205">
      <w:bodyDiv w:val="1"/>
      <w:marLeft w:val="0"/>
      <w:marRight w:val="0"/>
      <w:marTop w:val="0"/>
      <w:marBottom w:val="0"/>
      <w:divBdr>
        <w:top w:val="none" w:sz="0" w:space="0" w:color="auto"/>
        <w:left w:val="none" w:sz="0" w:space="0" w:color="auto"/>
        <w:bottom w:val="none" w:sz="0" w:space="0" w:color="auto"/>
        <w:right w:val="none" w:sz="0" w:space="0" w:color="auto"/>
      </w:divBdr>
    </w:div>
    <w:div w:id="1423186966">
      <w:bodyDiv w:val="1"/>
      <w:marLeft w:val="0"/>
      <w:marRight w:val="0"/>
      <w:marTop w:val="0"/>
      <w:marBottom w:val="0"/>
      <w:divBdr>
        <w:top w:val="none" w:sz="0" w:space="0" w:color="auto"/>
        <w:left w:val="none" w:sz="0" w:space="0" w:color="auto"/>
        <w:bottom w:val="none" w:sz="0" w:space="0" w:color="auto"/>
        <w:right w:val="none" w:sz="0" w:space="0" w:color="auto"/>
      </w:divBdr>
    </w:div>
    <w:div w:id="1948927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heicn.org/icn-resources-a-z/food-safety-in-child-care/" TargetMode="External"/><Relationship Id="rId2" Type="http://schemas.openxmlformats.org/officeDocument/2006/relationships/hyperlink" Target="https://www.fda.gov/downloads/Food/GuidanceRegulation/RetailFoodProtection/FoodCode/UCM595140.pdf" TargetMode="External"/><Relationship Id="rId1" Type="http://schemas.openxmlformats.org/officeDocument/2006/relationships/hyperlink" Target="https://www.foodsafety.gov/risk/olderadults/index.html" TargetMode="External"/><Relationship Id="rId4" Type="http://schemas.openxmlformats.org/officeDocument/2006/relationships/hyperlink" Target="https://meps.ahrq.gov/data_files/publications/workingpapers/wp_04004.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F7BB17A49464E2FA2B2DC6F611FF1EC"/>
        <w:category>
          <w:name w:val="General"/>
          <w:gallery w:val="placeholder"/>
        </w:category>
        <w:types>
          <w:type w:val="bbPlcHdr"/>
        </w:types>
        <w:behaviors>
          <w:behavior w:val="content"/>
        </w:behaviors>
        <w:guid w:val="{BCD220B9-2275-4B86-82F0-7FDF54299D92}"/>
      </w:docPartPr>
      <w:docPartBody>
        <w:p w:rsidR="002B7BFA" w:rsidRDefault="00815816" w:rsidP="00815816">
          <w:pPr>
            <w:pStyle w:val="6F7BB17A49464E2FA2B2DC6F611FF1EC"/>
          </w:pPr>
          <w:r w:rsidRPr="00F13947">
            <w:rPr>
              <w:rStyle w:val="PlaceholderText"/>
            </w:rPr>
            <w:t>[Subject]</w:t>
          </w:r>
        </w:p>
      </w:docPartBody>
    </w:docPart>
    <w:docPart>
      <w:docPartPr>
        <w:name w:val="473534E9C70E413DB122CDAA1E5302CA"/>
        <w:category>
          <w:name w:val="General"/>
          <w:gallery w:val="placeholder"/>
        </w:category>
        <w:types>
          <w:type w:val="bbPlcHdr"/>
        </w:types>
        <w:behaviors>
          <w:behavior w:val="content"/>
        </w:behaviors>
        <w:guid w:val="{13BC0F4C-674C-419F-A349-F8E65472A545}"/>
      </w:docPartPr>
      <w:docPartBody>
        <w:p w:rsidR="00232447" w:rsidRDefault="00EF137D" w:rsidP="00EF137D">
          <w:pPr>
            <w:pStyle w:val="473534E9C70E413DB122CDAA1E5302CA"/>
          </w:pPr>
          <w:r w:rsidRPr="002D5A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16"/>
    <w:rsid w:val="00232447"/>
    <w:rsid w:val="002B7BFA"/>
    <w:rsid w:val="00317097"/>
    <w:rsid w:val="00332BBF"/>
    <w:rsid w:val="00542A77"/>
    <w:rsid w:val="00646D48"/>
    <w:rsid w:val="00673073"/>
    <w:rsid w:val="006C3C6D"/>
    <w:rsid w:val="006F46BF"/>
    <w:rsid w:val="007C2459"/>
    <w:rsid w:val="007F50E7"/>
    <w:rsid w:val="00815816"/>
    <w:rsid w:val="0098507B"/>
    <w:rsid w:val="009D34D9"/>
    <w:rsid w:val="00A54707"/>
    <w:rsid w:val="00A80512"/>
    <w:rsid w:val="00C33BDB"/>
    <w:rsid w:val="00C86DA1"/>
    <w:rsid w:val="00CE47C7"/>
    <w:rsid w:val="00D37BE2"/>
    <w:rsid w:val="00D65242"/>
    <w:rsid w:val="00D955C4"/>
    <w:rsid w:val="00E47530"/>
    <w:rsid w:val="00EF137D"/>
    <w:rsid w:val="00FA7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37D"/>
    <w:rPr>
      <w:color w:val="808080"/>
    </w:rPr>
  </w:style>
  <w:style w:type="paragraph" w:customStyle="1" w:styleId="6F7BB17A49464E2FA2B2DC6F611FF1EC">
    <w:name w:val="6F7BB17A49464E2FA2B2DC6F611FF1EC"/>
    <w:rsid w:val="00815816"/>
  </w:style>
  <w:style w:type="paragraph" w:customStyle="1" w:styleId="473534E9C70E413DB122CDAA1E5302CA">
    <w:name w:val="473534E9C70E413DB122CDAA1E5302CA"/>
    <w:rsid w:val="00EF137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37D"/>
    <w:rPr>
      <w:color w:val="808080"/>
    </w:rPr>
  </w:style>
  <w:style w:type="paragraph" w:customStyle="1" w:styleId="6F7BB17A49464E2FA2B2DC6F611FF1EC">
    <w:name w:val="6F7BB17A49464E2FA2B2DC6F611FF1EC"/>
    <w:rsid w:val="00815816"/>
  </w:style>
  <w:style w:type="paragraph" w:customStyle="1" w:styleId="473534E9C70E413DB122CDAA1E5302CA">
    <w:name w:val="473534E9C70E413DB122CDAA1E5302CA"/>
    <w:rsid w:val="00EF1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2M Research">
      <a:dk1>
        <a:srgbClr val="2F2F2F"/>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4C189B3A823B43924932A548F363D7" ma:contentTypeVersion="8" ma:contentTypeDescription="Create a new document." ma:contentTypeScope="" ma:versionID="aa7d7bca925d4d2098f3fbe1d09d631b">
  <xsd:schema xmlns:xsd="http://www.w3.org/2001/XMLSchema" xmlns:xs="http://www.w3.org/2001/XMLSchema" xmlns:p="http://schemas.microsoft.com/office/2006/metadata/properties" xmlns:ns2="4a5e2684-f7cd-4448-a3d6-c5be07ace99e" xmlns:ns3="22088e7c-88fa-40f6-88eb-a8b754a964ae" targetNamespace="http://schemas.microsoft.com/office/2006/metadata/properties" ma:root="true" ma:fieldsID="ffcfb544f0e024f836592661021b9299" ns2:_="" ns3:_="">
    <xsd:import namespace="4a5e2684-f7cd-4448-a3d6-c5be07ace9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e2684-f7cd-4448-a3d6-c5be07ace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Joshua Townley</DisplayName>
        <AccountId>28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6586-3AB1-42C2-87AA-4F2DC9809124}">
  <ds:schemaRefs>
    <ds:schemaRef ds:uri="http://schemas.microsoft.com/sharepoint/v3/contenttype/forms"/>
  </ds:schemaRefs>
</ds:datastoreItem>
</file>

<file path=customXml/itemProps2.xml><?xml version="1.0" encoding="utf-8"?>
<ds:datastoreItem xmlns:ds="http://schemas.openxmlformats.org/officeDocument/2006/customXml" ds:itemID="{91B48B90-7B9B-4ADF-80BF-6CB7CB67C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e2684-f7cd-4448-a3d6-c5be07ace9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0B3ED-1701-410B-91ED-037E7A749D32}">
  <ds:schemaRefs>
    <ds:schemaRef ds:uri="http://schemas.microsoft.com/office/2006/metadata/properties"/>
    <ds:schemaRef ds:uri="http://schemas.microsoft.com/office/infopath/2007/PartnerControls"/>
    <ds:schemaRef ds:uri="22088e7c-88fa-40f6-88eb-a8b754a964ae"/>
  </ds:schemaRefs>
</ds:datastoreItem>
</file>

<file path=customXml/itemProps4.xml><?xml version="1.0" encoding="utf-8"?>
<ds:datastoreItem xmlns:ds="http://schemas.openxmlformats.org/officeDocument/2006/customXml" ds:itemID="{2E87988E-857D-4593-9068-C8A1BE527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3397</Words>
  <Characters>19364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Generic OMB 0584-0613: SNP Quick Response Surveys</vt:lpstr>
    </vt:vector>
  </TitlesOfParts>
  <Company>2M Research</Company>
  <LinksUpToDate>false</LinksUpToDate>
  <CharactersWithSpaces>22716</CharactersWithSpaces>
  <SharedDoc>false</SharedDoc>
  <HLinks>
    <vt:vector size="24" baseType="variant">
      <vt:variant>
        <vt:i4>5505055</vt:i4>
      </vt:variant>
      <vt:variant>
        <vt:i4>12</vt:i4>
      </vt:variant>
      <vt:variant>
        <vt:i4>0</vt:i4>
      </vt:variant>
      <vt:variant>
        <vt:i4>5</vt:i4>
      </vt:variant>
      <vt:variant>
        <vt:lpwstr>https://meps.ahrq.gov/data_files/publications/workingpapers/wp_04004.pdf</vt:lpwstr>
      </vt:variant>
      <vt:variant>
        <vt:lpwstr/>
      </vt:variant>
      <vt:variant>
        <vt:i4>4063339</vt:i4>
      </vt:variant>
      <vt:variant>
        <vt:i4>6</vt:i4>
      </vt:variant>
      <vt:variant>
        <vt:i4>0</vt:i4>
      </vt:variant>
      <vt:variant>
        <vt:i4>5</vt:i4>
      </vt:variant>
      <vt:variant>
        <vt:lpwstr>https://theicn.org/icn-resources-a-z/food-safety-in-child-care/</vt:lpwstr>
      </vt:variant>
      <vt:variant>
        <vt:lpwstr/>
      </vt:variant>
      <vt:variant>
        <vt:i4>1048584</vt:i4>
      </vt:variant>
      <vt:variant>
        <vt:i4>3</vt:i4>
      </vt:variant>
      <vt:variant>
        <vt:i4>0</vt:i4>
      </vt:variant>
      <vt:variant>
        <vt:i4>5</vt:i4>
      </vt:variant>
      <vt:variant>
        <vt:lpwstr>https://www.fda.gov/downloads/Food/GuidanceRegulation/RetailFoodProtection/FoodCode/UCM595140.pdf</vt:lpwstr>
      </vt:variant>
      <vt:variant>
        <vt:lpwstr/>
      </vt:variant>
      <vt:variant>
        <vt:i4>7995446</vt:i4>
      </vt:variant>
      <vt:variant>
        <vt:i4>0</vt:i4>
      </vt:variant>
      <vt:variant>
        <vt:i4>0</vt:i4>
      </vt:variant>
      <vt:variant>
        <vt:i4>5</vt:i4>
      </vt:variant>
      <vt:variant>
        <vt:lpwstr>https://www.foodsafety.gov/risk/olderadults/index.html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OMB 0584-0613: SNP Quick Response Surveys</dc:title>
  <dc:subject>0584-0613</dc:subject>
  <dc:creator>Gerad O'Shea</dc:creator>
  <cp:keywords/>
  <dc:description/>
  <cp:lastModifiedBy>SYSTEM</cp:lastModifiedBy>
  <cp:revision>2</cp:revision>
  <cp:lastPrinted>2018-12-03T17:21:00Z</cp:lastPrinted>
  <dcterms:created xsi:type="dcterms:W3CDTF">2018-12-04T22:03:00Z</dcterms:created>
  <dcterms:modified xsi:type="dcterms:W3CDTF">2018-12-04T22:03:00Z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0x010100CF4C189B3A823B43924932A548F363D7</vt:lpwstr>
  </property>
</Properties>
</file>