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32" w:rsidRPr="00F85977" w:rsidRDefault="00511432" w:rsidP="00511432">
      <w:pPr>
        <w:pStyle w:val="Heading2"/>
        <w:spacing w:before="56"/>
        <w:ind w:left="115"/>
        <w:jc w:val="center"/>
        <w:rPr>
          <w:rFonts w:cs="Times New Roman"/>
          <w:b w:val="0"/>
          <w:bCs w:val="0"/>
          <w:u w:val="none"/>
        </w:rPr>
      </w:pPr>
      <w:bookmarkStart w:id="0" w:name="_GoBack"/>
      <w:bookmarkEnd w:id="0"/>
      <w:r w:rsidRPr="00F85977">
        <w:rPr>
          <w:u w:val="none"/>
        </w:rPr>
        <w:t>SUPPORTING STATEMENT</w:t>
      </w:r>
    </w:p>
    <w:p w:rsidR="00511432" w:rsidRPr="00F85977" w:rsidRDefault="00511432" w:rsidP="00511432">
      <w:pPr>
        <w:ind w:left="115"/>
        <w:jc w:val="center"/>
        <w:rPr>
          <w:rFonts w:ascii="Times New Roman" w:eastAsia="Times New Roman" w:hAnsi="Times New Roman" w:cs="Times New Roman"/>
          <w:sz w:val="24"/>
          <w:szCs w:val="24"/>
        </w:rPr>
      </w:pPr>
      <w:r w:rsidRPr="00F85977">
        <w:rPr>
          <w:rFonts w:ascii="Times New Roman"/>
          <w:b/>
          <w:sz w:val="24"/>
        </w:rPr>
        <w:t>GROUNDFISH TRAWL CATCHER/PROCESSOR ECONOMIC DATA REPORT (EDR) OMB CONTROL NO. 0648-0564</w:t>
      </w:r>
    </w:p>
    <w:p w:rsidR="00511432" w:rsidRPr="00F85977" w:rsidRDefault="00511432" w:rsidP="00511432">
      <w:pPr>
        <w:ind w:left="115"/>
        <w:rPr>
          <w:rFonts w:ascii="Times New Roman" w:eastAsia="Times New Roman" w:hAnsi="Times New Roman" w:cs="Times New Roman"/>
          <w:b/>
          <w:bCs/>
          <w:sz w:val="24"/>
          <w:szCs w:val="24"/>
        </w:rPr>
      </w:pPr>
    </w:p>
    <w:p w:rsidR="00511432" w:rsidRPr="00F85977" w:rsidRDefault="00511432" w:rsidP="00511432">
      <w:pPr>
        <w:numPr>
          <w:ilvl w:val="0"/>
          <w:numId w:val="1"/>
        </w:numPr>
        <w:tabs>
          <w:tab w:val="left" w:pos="461"/>
        </w:tabs>
        <w:ind w:left="346" w:hanging="346"/>
        <w:rPr>
          <w:rFonts w:ascii="Times New Roman" w:eastAsia="Times New Roman" w:hAnsi="Times New Roman" w:cs="Times New Roman"/>
          <w:sz w:val="24"/>
          <w:szCs w:val="24"/>
        </w:rPr>
      </w:pPr>
      <w:r w:rsidRPr="00F85977">
        <w:rPr>
          <w:rFonts w:ascii="Times New Roman"/>
          <w:b/>
          <w:sz w:val="24"/>
        </w:rPr>
        <w:t>COLLECTIONS OF INFORMATION EMPLOYING STATISTICAL METHODS</w:t>
      </w:r>
    </w:p>
    <w:p w:rsidR="00511432" w:rsidRPr="00F85977" w:rsidRDefault="00511432" w:rsidP="00511432">
      <w:pPr>
        <w:rPr>
          <w:rFonts w:ascii="Times New Roman" w:eastAsia="Times New Roman" w:hAnsi="Times New Roman" w:cs="Times New Roman"/>
          <w:b/>
          <w:bCs/>
          <w:sz w:val="24"/>
          <w:szCs w:val="24"/>
        </w:rPr>
      </w:pPr>
    </w:p>
    <w:p w:rsidR="00511432" w:rsidRPr="00F85977" w:rsidRDefault="00511432" w:rsidP="00511432">
      <w:pPr>
        <w:numPr>
          <w:ilvl w:val="1"/>
          <w:numId w:val="1"/>
        </w:numPr>
        <w:tabs>
          <w:tab w:val="left" w:pos="420"/>
        </w:tabs>
        <w:ind w:left="0" w:firstLine="0"/>
        <w:jc w:val="left"/>
        <w:rPr>
          <w:rFonts w:ascii="Times New Roman" w:eastAsia="Times New Roman" w:hAnsi="Times New Roman" w:cs="Times New Roman"/>
          <w:sz w:val="24"/>
          <w:szCs w:val="24"/>
        </w:rPr>
      </w:pPr>
      <w:r w:rsidRPr="00F85977">
        <w:rPr>
          <w:rFonts w:ascii="Times New Roman"/>
          <w:b/>
          <w:sz w:val="24"/>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511432" w:rsidRDefault="00511432" w:rsidP="00511432">
      <w:pPr>
        <w:spacing w:before="8"/>
        <w:rPr>
          <w:rFonts w:ascii="Times New Roman" w:eastAsia="Times New Roman" w:hAnsi="Times New Roman" w:cs="Times New Roman"/>
          <w:b/>
          <w:bCs/>
          <w:sz w:val="24"/>
          <w:szCs w:val="24"/>
        </w:rPr>
      </w:pPr>
    </w:p>
    <w:tbl>
      <w:tblPr>
        <w:tblW w:w="0" w:type="auto"/>
        <w:tblInd w:w="2269" w:type="dxa"/>
        <w:tblLayout w:type="fixed"/>
        <w:tblCellMar>
          <w:left w:w="0" w:type="dxa"/>
          <w:right w:w="0" w:type="dxa"/>
        </w:tblCellMar>
        <w:tblLook w:val="01E0" w:firstRow="1" w:lastRow="1" w:firstColumn="1" w:lastColumn="1" w:noHBand="0" w:noVBand="0"/>
      </w:tblPr>
      <w:tblGrid>
        <w:gridCol w:w="3395"/>
        <w:gridCol w:w="1890"/>
      </w:tblGrid>
      <w:tr w:rsidR="00511432" w:rsidTr="00322B20">
        <w:trPr>
          <w:trHeight w:hRule="exact" w:val="286"/>
        </w:trPr>
        <w:tc>
          <w:tcPr>
            <w:tcW w:w="3395" w:type="dxa"/>
            <w:tcBorders>
              <w:top w:val="single" w:sz="5" w:space="0" w:color="000000"/>
              <w:left w:val="single" w:sz="5" w:space="0" w:color="000000"/>
              <w:bottom w:val="single" w:sz="5" w:space="0" w:color="000000"/>
              <w:right w:val="single" w:sz="5" w:space="0" w:color="000000"/>
            </w:tcBorders>
          </w:tcPr>
          <w:p w:rsidR="00511432" w:rsidRDefault="00511432" w:rsidP="00322B20">
            <w:pPr>
              <w:pStyle w:val="TableParagraph"/>
              <w:spacing w:line="267" w:lineRule="exact"/>
              <w:ind w:left="115"/>
              <w:rPr>
                <w:rFonts w:ascii="Times New Roman" w:eastAsia="Times New Roman" w:hAnsi="Times New Roman" w:cs="Times New Roman"/>
                <w:sz w:val="24"/>
                <w:szCs w:val="24"/>
              </w:rPr>
            </w:pPr>
            <w:r>
              <w:rPr>
                <w:rFonts w:ascii="Times New Roman"/>
                <w:sz w:val="24"/>
              </w:rPr>
              <w:t>Entity</w:t>
            </w:r>
            <w:r>
              <w:rPr>
                <w:rFonts w:ascii="Times New Roman"/>
                <w:spacing w:val="-5"/>
                <w:sz w:val="24"/>
              </w:rPr>
              <w:t xml:space="preserve"> </w:t>
            </w:r>
            <w:r>
              <w:rPr>
                <w:rFonts w:ascii="Times New Roman"/>
                <w:spacing w:val="-1"/>
                <w:sz w:val="24"/>
              </w:rPr>
              <w:t>Type</w:t>
            </w:r>
          </w:p>
        </w:tc>
        <w:tc>
          <w:tcPr>
            <w:tcW w:w="1890" w:type="dxa"/>
            <w:tcBorders>
              <w:top w:val="single" w:sz="5" w:space="0" w:color="000000"/>
              <w:left w:val="single" w:sz="5" w:space="0" w:color="000000"/>
              <w:bottom w:val="single" w:sz="5" w:space="0" w:color="000000"/>
              <w:right w:val="single" w:sz="5" w:space="0" w:color="000000"/>
            </w:tcBorders>
          </w:tcPr>
          <w:p w:rsidR="00511432" w:rsidRDefault="00511432" w:rsidP="00322B20">
            <w:pPr>
              <w:pStyle w:val="TableParagraph"/>
              <w:spacing w:line="267" w:lineRule="exact"/>
              <w:ind w:left="115"/>
              <w:rPr>
                <w:rFonts w:ascii="Times New Roman" w:eastAsia="Times New Roman" w:hAnsi="Times New Roman" w:cs="Times New Roman"/>
                <w:sz w:val="24"/>
                <w:szCs w:val="24"/>
              </w:rPr>
            </w:pPr>
            <w:r>
              <w:rPr>
                <w:rFonts w:ascii="Times New Roman"/>
                <w:spacing w:val="-1"/>
                <w:sz w:val="24"/>
              </w:rPr>
              <w:t xml:space="preserve">Sample </w:t>
            </w:r>
            <w:r>
              <w:rPr>
                <w:rFonts w:ascii="Times New Roman"/>
                <w:sz w:val="24"/>
              </w:rPr>
              <w:t>Size</w:t>
            </w:r>
          </w:p>
        </w:tc>
      </w:tr>
      <w:tr w:rsidR="00511432" w:rsidTr="00322B20">
        <w:trPr>
          <w:trHeight w:hRule="exact" w:val="300"/>
        </w:trPr>
        <w:tc>
          <w:tcPr>
            <w:tcW w:w="3395" w:type="dxa"/>
            <w:tcBorders>
              <w:top w:val="single" w:sz="5" w:space="0" w:color="000000"/>
              <w:left w:val="single" w:sz="5" w:space="0" w:color="000000"/>
              <w:bottom w:val="single" w:sz="5" w:space="0" w:color="000000"/>
              <w:right w:val="single" w:sz="5" w:space="0" w:color="000000"/>
            </w:tcBorders>
          </w:tcPr>
          <w:p w:rsidR="00511432" w:rsidRPr="00601C23" w:rsidRDefault="00511432" w:rsidP="00322B20">
            <w:pPr>
              <w:pStyle w:val="TableParagraph"/>
              <w:spacing w:line="267" w:lineRule="exact"/>
              <w:ind w:left="115"/>
              <w:rPr>
                <w:rFonts w:ascii="Times New Roman" w:eastAsia="Times New Roman" w:hAnsi="Times New Roman" w:cs="Times New Roman"/>
                <w:sz w:val="24"/>
                <w:szCs w:val="24"/>
              </w:rPr>
            </w:pPr>
            <w:r>
              <w:rPr>
                <w:rFonts w:ascii="Times New Roman"/>
                <w:sz w:val="24"/>
              </w:rPr>
              <w:t>3</w:t>
            </w:r>
            <w:r w:rsidRPr="00601C23">
              <w:rPr>
                <w:rFonts w:ascii="Times New Roman"/>
                <w:sz w:val="24"/>
              </w:rPr>
              <w:t xml:space="preserve">0 </w:t>
            </w:r>
            <w:r w:rsidRPr="00601C23">
              <w:rPr>
                <w:rFonts w:ascii="Times New Roman"/>
                <w:spacing w:val="-1"/>
                <w:sz w:val="24"/>
              </w:rPr>
              <w:t xml:space="preserve">catcher/processors </w:t>
            </w:r>
            <w:r w:rsidRPr="00601C23">
              <w:rPr>
                <w:rFonts w:ascii="Times New Roman"/>
                <w:sz w:val="24"/>
              </w:rPr>
              <w:t xml:space="preserve">in </w:t>
            </w:r>
            <w:r w:rsidRPr="00601C23">
              <w:rPr>
                <w:rFonts w:ascii="Times New Roman"/>
                <w:spacing w:val="-1"/>
                <w:sz w:val="24"/>
              </w:rPr>
              <w:t>GOA</w:t>
            </w:r>
          </w:p>
        </w:tc>
        <w:tc>
          <w:tcPr>
            <w:tcW w:w="1890" w:type="dxa"/>
            <w:tcBorders>
              <w:top w:val="single" w:sz="5" w:space="0" w:color="000000"/>
              <w:left w:val="single" w:sz="5" w:space="0" w:color="000000"/>
              <w:bottom w:val="single" w:sz="5" w:space="0" w:color="000000"/>
              <w:right w:val="single" w:sz="5" w:space="0" w:color="000000"/>
            </w:tcBorders>
          </w:tcPr>
          <w:p w:rsidR="00511432" w:rsidRPr="00601C23" w:rsidRDefault="00511432" w:rsidP="00322B20">
            <w:pPr>
              <w:pStyle w:val="TableParagraph"/>
              <w:spacing w:line="267" w:lineRule="exact"/>
              <w:ind w:left="115"/>
              <w:rPr>
                <w:rFonts w:ascii="Times New Roman" w:eastAsia="Times New Roman" w:hAnsi="Times New Roman" w:cs="Times New Roman"/>
                <w:sz w:val="24"/>
                <w:szCs w:val="24"/>
              </w:rPr>
            </w:pPr>
            <w:r w:rsidRPr="00601C23">
              <w:rPr>
                <w:rFonts w:ascii="Times New Roman"/>
                <w:sz w:val="24"/>
              </w:rPr>
              <w:t>100%</w:t>
            </w:r>
          </w:p>
        </w:tc>
      </w:tr>
    </w:tbl>
    <w:p w:rsidR="00511432" w:rsidRDefault="00511432" w:rsidP="00511432">
      <w:pPr>
        <w:spacing w:before="8"/>
        <w:ind w:left="115"/>
        <w:rPr>
          <w:rFonts w:ascii="Times New Roman" w:eastAsia="Times New Roman" w:hAnsi="Times New Roman" w:cs="Times New Roman"/>
          <w:b/>
          <w:bCs/>
          <w:sz w:val="16"/>
          <w:szCs w:val="16"/>
        </w:rPr>
      </w:pPr>
    </w:p>
    <w:p w:rsidR="00511432" w:rsidRPr="00F85977" w:rsidRDefault="00511432" w:rsidP="00511432">
      <w:pPr>
        <w:pStyle w:val="BodyText"/>
        <w:spacing w:before="69"/>
        <w:ind w:left="0"/>
        <w:rPr>
          <w:rFonts w:cs="Times New Roman"/>
        </w:rPr>
      </w:pPr>
      <w:r w:rsidRPr="00F85977">
        <w:t>Groundfish harvest includes both the GOA and BSAI</w:t>
      </w:r>
      <w:r>
        <w:t>;</w:t>
      </w:r>
      <w:r w:rsidRPr="00F85977">
        <w:t xml:space="preserve"> therefore groundfish activity from both areas is included.  Each catcher/processor is required to have one Amendment 80 QS permit and one LLP license, or a</w:t>
      </w:r>
      <w:r>
        <w:t>n</w:t>
      </w:r>
      <w:r w:rsidRPr="00F85977">
        <w:t xml:space="preserve"> LLP groundfish license.  Owners of multiple licenses and associated vessels are required annually to submit one EDR for each licensed vessel. In 2016, 30 entities submitted an EDR, and 16 of those were Amendment 80 catcher</w:t>
      </w:r>
      <w:r>
        <w:t>/</w:t>
      </w:r>
      <w:r w:rsidRPr="00F85977">
        <w:t>processors.</w:t>
      </w:r>
    </w:p>
    <w:p w:rsidR="00511432" w:rsidRPr="00F85977" w:rsidRDefault="00511432" w:rsidP="00511432">
      <w:pPr>
        <w:spacing w:before="5"/>
        <w:rPr>
          <w:rFonts w:ascii="Times New Roman" w:eastAsia="Times New Roman" w:hAnsi="Times New Roman" w:cs="Times New Roman"/>
          <w:sz w:val="20"/>
          <w:szCs w:val="20"/>
        </w:rPr>
      </w:pPr>
    </w:p>
    <w:p w:rsidR="00511432" w:rsidRPr="00F85977" w:rsidRDefault="00511432" w:rsidP="00511432">
      <w:pPr>
        <w:pStyle w:val="Heading2"/>
        <w:numPr>
          <w:ilvl w:val="1"/>
          <w:numId w:val="1"/>
        </w:numPr>
        <w:tabs>
          <w:tab w:val="left" w:pos="420"/>
        </w:tabs>
        <w:ind w:left="0" w:firstLine="0"/>
        <w:jc w:val="left"/>
        <w:rPr>
          <w:u w:val="none"/>
        </w:rPr>
      </w:pPr>
      <w:r w:rsidRPr="00F85977">
        <w:rPr>
          <w:u w:val="non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511432" w:rsidRPr="00F85977" w:rsidRDefault="00511432" w:rsidP="00511432">
      <w:pPr>
        <w:spacing w:before="7"/>
        <w:rPr>
          <w:rFonts w:ascii="Times New Roman" w:eastAsia="Times New Roman" w:hAnsi="Times New Roman" w:cs="Times New Roman"/>
          <w:b/>
          <w:bCs/>
          <w:sz w:val="23"/>
          <w:szCs w:val="23"/>
        </w:rPr>
      </w:pPr>
    </w:p>
    <w:p w:rsidR="00511432" w:rsidRPr="00F85977" w:rsidRDefault="00511432" w:rsidP="00511432">
      <w:pPr>
        <w:pStyle w:val="BodyText"/>
        <w:ind w:left="0"/>
        <w:rPr>
          <w:rFonts w:cs="Times New Roman"/>
        </w:rPr>
      </w:pPr>
      <w:r w:rsidRPr="00F85977">
        <w:t xml:space="preserve">The sample selection method is an annual census of all 30 catcher/processors, as any other sampling methodology would produce too few observations to estimate representative levels of cost, earnings, and other outputs required for this collection. As </w:t>
      </w:r>
      <w:r>
        <w:t>the EDR</w:t>
      </w:r>
      <w:r w:rsidRPr="00F85977">
        <w:t xml:space="preserve"> is a mandatory collection, and valuable fishing privileges will be withheld if an EDR is not submitted, we anticipate a 100 percent response rate from QS holders.  </w:t>
      </w:r>
      <w:r>
        <w:t>QS</w:t>
      </w:r>
      <w:r w:rsidRPr="00F85977">
        <w:t xml:space="preserve"> and LLP license</w:t>
      </w:r>
      <w:r>
        <w:t xml:space="preserve">s </w:t>
      </w:r>
      <w:r w:rsidRPr="00F85977">
        <w:t xml:space="preserve">that </w:t>
      </w:r>
      <w:r>
        <w:t>designate participation</w:t>
      </w:r>
      <w:r w:rsidRPr="00F85977">
        <w:t xml:space="preserve"> in the GOA trawl fisheries are issued to entities, rather than vessels, and specific provisions require that each participant is responsible for including data from any acquired vessel in this sector.</w:t>
      </w:r>
    </w:p>
    <w:p w:rsidR="00511432" w:rsidRPr="00F85977" w:rsidRDefault="00511432" w:rsidP="00511432">
      <w:pPr>
        <w:rPr>
          <w:rFonts w:ascii="Times New Roman" w:eastAsia="Times New Roman" w:hAnsi="Times New Roman" w:cs="Times New Roman"/>
          <w:sz w:val="24"/>
          <w:szCs w:val="24"/>
        </w:rPr>
      </w:pPr>
    </w:p>
    <w:p w:rsidR="00FC7CA9" w:rsidRDefault="00511432" w:rsidP="00511432">
      <w:pPr>
        <w:pStyle w:val="BodyText"/>
        <w:spacing w:before="52"/>
        <w:ind w:left="0"/>
      </w:pPr>
      <w:r w:rsidRPr="00F85977">
        <w:t xml:space="preserve">Given that a maximum of 30 catcher/processors will be participating in this fishery, it is not feasible to generate enough observations on any one of the variables without applying this collection annually. And, random sampling from this population is not a viable option for statistical reasons.  Based upon the degrees of freedom and number of observations required for estimating the statistical relationship among the variables in this collection, data in the </w:t>
      </w:r>
      <w:r>
        <w:t>Annual</w:t>
      </w:r>
      <w:r w:rsidRPr="00F85977">
        <w:t xml:space="preserve"> Trawl Catcher</w:t>
      </w:r>
      <w:r>
        <w:t>/</w:t>
      </w:r>
      <w:r w:rsidRPr="00F85977">
        <w:t xml:space="preserve">Processor EDR may be pooled to create a time-series of cross-sectional data in order to generate sufficient observations for economic and statistical analysis.  Although the strata to be </w:t>
      </w:r>
      <w:r>
        <w:t>used</w:t>
      </w:r>
      <w:r w:rsidRPr="00F85977">
        <w:t xml:space="preserve"> in preparing analyses (either deterministic or statistical) of management actions </w:t>
      </w:r>
    </w:p>
    <w:p w:rsidR="00FC7CA9" w:rsidRDefault="00FC7CA9" w:rsidP="00511432">
      <w:pPr>
        <w:pStyle w:val="BodyText"/>
        <w:spacing w:before="52"/>
        <w:ind w:left="0"/>
      </w:pPr>
    </w:p>
    <w:p w:rsidR="00511432" w:rsidRPr="00F85977" w:rsidRDefault="00511432" w:rsidP="00511432">
      <w:pPr>
        <w:pStyle w:val="BodyText"/>
        <w:spacing w:before="52"/>
        <w:ind w:left="0"/>
      </w:pPr>
      <w:r w:rsidRPr="00F85977">
        <w:lastRenderedPageBreak/>
        <w:t>for this fleet will depend on the specific questions of interest, vessels are commonly stratified by vessel length and the distribution and amount of catch, by species.</w:t>
      </w:r>
      <w:r w:rsidRPr="00F85977" w:rsidDel="00035260">
        <w:t xml:space="preserve"> </w:t>
      </w:r>
    </w:p>
    <w:p w:rsidR="00511432" w:rsidRPr="00F85977" w:rsidRDefault="00511432" w:rsidP="00511432">
      <w:pPr>
        <w:pStyle w:val="BodyText"/>
        <w:spacing w:before="52"/>
        <w:ind w:left="0"/>
      </w:pPr>
    </w:p>
    <w:p w:rsidR="00511432" w:rsidRPr="00F85977" w:rsidRDefault="00511432" w:rsidP="00511432">
      <w:pPr>
        <w:pStyle w:val="Heading2"/>
        <w:numPr>
          <w:ilvl w:val="1"/>
          <w:numId w:val="1"/>
        </w:numPr>
        <w:tabs>
          <w:tab w:val="left" w:pos="420"/>
        </w:tabs>
        <w:ind w:left="0" w:firstLine="0"/>
        <w:jc w:val="left"/>
        <w:rPr>
          <w:u w:val="none"/>
        </w:rPr>
      </w:pPr>
      <w:r w:rsidRPr="00F85977">
        <w:rPr>
          <w:u w:val="none"/>
        </w:rPr>
        <w:t xml:space="preserve">Describe the methods used to maximize response rates and to deal with non-response. </w:t>
      </w:r>
    </w:p>
    <w:p w:rsidR="00511432" w:rsidRPr="00F85977" w:rsidRDefault="00511432" w:rsidP="00511432">
      <w:pPr>
        <w:pStyle w:val="Heading2"/>
        <w:tabs>
          <w:tab w:val="left" w:pos="420"/>
        </w:tabs>
        <w:ind w:left="0"/>
        <w:rPr>
          <w:u w:val="none"/>
        </w:rPr>
      </w:pPr>
      <w:r w:rsidRPr="00F85977">
        <w:rPr>
          <w:u w:val="none"/>
        </w:rPr>
        <w:t>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511432" w:rsidRPr="00F85977" w:rsidRDefault="00511432" w:rsidP="00511432">
      <w:pPr>
        <w:spacing w:before="7"/>
        <w:rPr>
          <w:rFonts w:ascii="Times New Roman" w:eastAsia="Times New Roman" w:hAnsi="Times New Roman" w:cs="Times New Roman"/>
          <w:b/>
          <w:bCs/>
          <w:sz w:val="23"/>
          <w:szCs w:val="23"/>
        </w:rPr>
      </w:pPr>
    </w:p>
    <w:p w:rsidR="00511432" w:rsidRPr="00F85977" w:rsidRDefault="00511432" w:rsidP="00511432">
      <w:pPr>
        <w:pStyle w:val="BodyText"/>
        <w:ind w:left="0"/>
        <w:rPr>
          <w:rFonts w:cs="Times New Roman"/>
        </w:rPr>
      </w:pPr>
      <w:r w:rsidRPr="00F85977">
        <w:t xml:space="preserve">Each of the owners and leaseholders in the catcher/processor sector are required to </w:t>
      </w:r>
      <w:r>
        <w:t xml:space="preserve">annually </w:t>
      </w:r>
      <w:r w:rsidRPr="00F85977">
        <w:t xml:space="preserve">submit </w:t>
      </w:r>
      <w:r>
        <w:t>the</w:t>
      </w:r>
      <w:r w:rsidRPr="00F85977">
        <w:t xml:space="preserve"> EDR.  Therefore, the response to mandatory data requirements should be very high. Those individuals who do not submit their EDR by the submission date will receive a follow-up phone call from Pacific States. If a solution cannot be reached at that point, their information will be referred to the </w:t>
      </w:r>
      <w:r>
        <w:t>NOAA Office of Law Enforcement</w:t>
      </w:r>
      <w:r w:rsidRPr="00F85977">
        <w:t xml:space="preserve">.  Therefore, we </w:t>
      </w:r>
      <w:r>
        <w:t>anticipate</w:t>
      </w:r>
      <w:r w:rsidRPr="00F85977">
        <w:t xml:space="preserve"> response rates of 95</w:t>
      </w:r>
      <w:r>
        <w:t xml:space="preserve"> to </w:t>
      </w:r>
      <w:r w:rsidRPr="00F85977">
        <w:t>100 percent.</w:t>
      </w:r>
    </w:p>
    <w:p w:rsidR="00511432" w:rsidRPr="00F85977" w:rsidRDefault="00511432" w:rsidP="00511432">
      <w:pPr>
        <w:rPr>
          <w:rFonts w:ascii="Times New Roman" w:eastAsia="Times New Roman" w:hAnsi="Times New Roman" w:cs="Times New Roman"/>
          <w:sz w:val="24"/>
          <w:szCs w:val="24"/>
        </w:rPr>
      </w:pPr>
    </w:p>
    <w:p w:rsidR="00511432" w:rsidRPr="00F85977" w:rsidRDefault="00511432" w:rsidP="00511432">
      <w:pPr>
        <w:pStyle w:val="BodyText"/>
        <w:ind w:left="0"/>
        <w:rPr>
          <w:rFonts w:cs="Times New Roman"/>
        </w:rPr>
      </w:pPr>
      <w:r w:rsidRPr="00F85977">
        <w:t xml:space="preserve">Enforcement </w:t>
      </w:r>
      <w:r w:rsidRPr="00013AF1">
        <w:t xml:space="preserve">of the </w:t>
      </w:r>
      <w:r>
        <w:t>GOA Trawl EDR P</w:t>
      </w:r>
      <w:r w:rsidRPr="00013AF1">
        <w:t>rogram</w:t>
      </w:r>
      <w:r w:rsidRPr="00F85977">
        <w:t xml:space="preserve"> with regard to non-compliance has been different from enforcement programs used to ensure that accurate landings are reported.  The economic data </w:t>
      </w:r>
      <w:r>
        <w:t>are</w:t>
      </w:r>
      <w:r w:rsidRPr="00F85977">
        <w:t xml:space="preserve"> not be used for in-season management; persons submitting the data are given an opportunity to correct omissions and errors before any enforcement action is taken.</w:t>
      </w:r>
    </w:p>
    <w:p w:rsidR="00511432" w:rsidRPr="00F85977" w:rsidRDefault="00511432" w:rsidP="00511432">
      <w:pPr>
        <w:rPr>
          <w:rFonts w:ascii="Times New Roman" w:eastAsia="Times New Roman" w:hAnsi="Times New Roman" w:cs="Times New Roman"/>
          <w:sz w:val="24"/>
          <w:szCs w:val="24"/>
        </w:rPr>
      </w:pPr>
    </w:p>
    <w:p w:rsidR="00511432" w:rsidRPr="00F85977" w:rsidRDefault="00511432" w:rsidP="00511432">
      <w:pPr>
        <w:pStyle w:val="BodyText"/>
        <w:ind w:left="0"/>
        <w:rPr>
          <w:rFonts w:cs="Times New Roman"/>
        </w:rPr>
      </w:pPr>
      <w:r w:rsidRPr="00F85977">
        <w:t xml:space="preserve">Giving the person submitting data a chance to correct problems is important because of the complexities associated with generating these data. Only if the agency and the person submitting the data cannot reach a solution </w:t>
      </w:r>
      <w:r>
        <w:t>will</w:t>
      </w:r>
      <w:r w:rsidRPr="00F85977">
        <w:t xml:space="preserve"> the enforcement agency be contacted. The intent of this </w:t>
      </w:r>
      <w:r w:rsidRPr="00013AF1">
        <w:t>program</w:t>
      </w:r>
      <w:r w:rsidRPr="00F85977">
        <w:t xml:space="preserve"> is to ensure that accurate data are collected without being overly burdensome on industry for unintended errors.</w:t>
      </w:r>
    </w:p>
    <w:p w:rsidR="00511432" w:rsidRPr="00F85977" w:rsidRDefault="00511432" w:rsidP="00511432">
      <w:pPr>
        <w:spacing w:before="5"/>
        <w:rPr>
          <w:rFonts w:ascii="Times New Roman" w:eastAsia="Times New Roman" w:hAnsi="Times New Roman" w:cs="Times New Roman"/>
          <w:sz w:val="24"/>
          <w:szCs w:val="24"/>
        </w:rPr>
      </w:pPr>
    </w:p>
    <w:p w:rsidR="00511432" w:rsidRPr="00D73D10" w:rsidRDefault="00511432" w:rsidP="00511432">
      <w:pPr>
        <w:pStyle w:val="Heading2"/>
        <w:numPr>
          <w:ilvl w:val="1"/>
          <w:numId w:val="1"/>
        </w:numPr>
        <w:tabs>
          <w:tab w:val="left" w:pos="420"/>
        </w:tabs>
        <w:ind w:left="0" w:firstLine="0"/>
        <w:jc w:val="left"/>
        <w:rPr>
          <w:u w:val="none"/>
        </w:rPr>
      </w:pPr>
      <w:r w:rsidRPr="00F85977">
        <w:rPr>
          <w:u w:val="none"/>
        </w:rPr>
        <w:t>Describe any tests of procedures or methods to be undertaken. Tests are encouraged</w:t>
      </w:r>
      <w:r>
        <w:rPr>
          <w:u w:val="none"/>
        </w:rPr>
        <w:t xml:space="preserve"> </w:t>
      </w:r>
      <w:r w:rsidRPr="00D73D10">
        <w:rPr>
          <w:u w:val="none"/>
        </w:rPr>
        <w:t>as effective means to refine collections, but if ten or more test respondents are involved OMB must give prior approval.</w:t>
      </w:r>
    </w:p>
    <w:p w:rsidR="00511432" w:rsidRPr="00F85977" w:rsidRDefault="00511432" w:rsidP="00511432">
      <w:pPr>
        <w:spacing w:before="7"/>
        <w:rPr>
          <w:rFonts w:ascii="Times New Roman" w:eastAsia="Times New Roman" w:hAnsi="Times New Roman" w:cs="Times New Roman"/>
          <w:b/>
          <w:bCs/>
          <w:sz w:val="23"/>
          <w:szCs w:val="23"/>
        </w:rPr>
      </w:pPr>
    </w:p>
    <w:p w:rsidR="00511432" w:rsidRDefault="00511432" w:rsidP="00511432">
      <w:pPr>
        <w:pStyle w:val="BodyText"/>
        <w:ind w:left="0"/>
      </w:pPr>
      <w:r w:rsidRPr="00F85977">
        <w:t xml:space="preserve">Since the </w:t>
      </w:r>
      <w:r w:rsidRPr="00013AF1">
        <w:t>GOA Trawl EDR Program</w:t>
      </w:r>
      <w:r w:rsidRPr="00F85977">
        <w:t xml:space="preserve"> has been in place, informal testing has taken place by meeting with EDR submitters to discuss ways in which the forms used to request information could be improved.  The accountants that perform the data quality audits, as well as Pacific States (who administers the data collection)</w:t>
      </w:r>
      <w:r>
        <w:t>,</w:t>
      </w:r>
      <w:r w:rsidRPr="00F85977">
        <w:t xml:space="preserve"> also document ways in which the EDRs could be clarified</w:t>
      </w:r>
      <w:r>
        <w:t>,</w:t>
      </w:r>
      <w:r w:rsidRPr="00F85977">
        <w:t xml:space="preserve"> and this information </w:t>
      </w:r>
      <w:r>
        <w:t xml:space="preserve">is used </w:t>
      </w:r>
      <w:r w:rsidRPr="00F85977">
        <w:t>to clarify instructions an</w:t>
      </w:r>
      <w:r>
        <w:t xml:space="preserve">d variable definitions for this </w:t>
      </w:r>
      <w:r w:rsidRPr="00F85977">
        <w:t>EDR.</w:t>
      </w:r>
    </w:p>
    <w:p w:rsidR="00511432" w:rsidRPr="00D73D10" w:rsidRDefault="00511432" w:rsidP="00511432">
      <w:pPr>
        <w:widowControl/>
        <w:spacing w:after="160" w:line="259" w:lineRule="auto"/>
        <w:rPr>
          <w:rFonts w:ascii="Times New Roman" w:eastAsia="Times New Roman" w:hAnsi="Times New Roman"/>
          <w:sz w:val="24"/>
          <w:szCs w:val="24"/>
        </w:rPr>
      </w:pPr>
      <w:r>
        <w:br w:type="page"/>
      </w:r>
    </w:p>
    <w:p w:rsidR="00511432" w:rsidRPr="00F85977" w:rsidRDefault="00511432" w:rsidP="00511432">
      <w:pPr>
        <w:pStyle w:val="BodyText"/>
        <w:spacing w:before="52"/>
        <w:ind w:left="0"/>
      </w:pPr>
    </w:p>
    <w:p w:rsidR="00511432" w:rsidRPr="00F85977" w:rsidRDefault="00511432" w:rsidP="00511432">
      <w:pPr>
        <w:pStyle w:val="Heading2"/>
        <w:numPr>
          <w:ilvl w:val="1"/>
          <w:numId w:val="1"/>
        </w:numPr>
        <w:tabs>
          <w:tab w:val="left" w:pos="400"/>
        </w:tabs>
        <w:ind w:left="0" w:firstLine="0"/>
        <w:jc w:val="left"/>
        <w:rPr>
          <w:u w:val="none"/>
        </w:rPr>
      </w:pPr>
      <w:r w:rsidRPr="00F85977">
        <w:rPr>
          <w:u w:val="none"/>
        </w:rPr>
        <w:t xml:space="preserve">Provide the name and telephone number of individuals consulted on the statistical </w:t>
      </w:r>
    </w:p>
    <w:p w:rsidR="00511432" w:rsidRPr="00F85977" w:rsidRDefault="00511432" w:rsidP="00511432">
      <w:pPr>
        <w:pStyle w:val="Heading2"/>
        <w:tabs>
          <w:tab w:val="left" w:pos="400"/>
        </w:tabs>
        <w:ind w:left="0"/>
        <w:rPr>
          <w:u w:val="none"/>
        </w:rPr>
      </w:pPr>
      <w:r w:rsidRPr="00F85977">
        <w:rPr>
          <w:u w:val="none"/>
        </w:rPr>
        <w:t xml:space="preserve">aspects of the design, and the name of the agency unit, contractor(s), grantee(s), or other person(s) who will actually collect and/or analyze the information for the agency.  </w:t>
      </w:r>
    </w:p>
    <w:p w:rsidR="00511432" w:rsidRPr="00F85977" w:rsidRDefault="00511432" w:rsidP="00511432">
      <w:pPr>
        <w:spacing w:before="7"/>
        <w:rPr>
          <w:rFonts w:ascii="Times New Roman" w:eastAsia="Times New Roman" w:hAnsi="Times New Roman" w:cs="Times New Roman"/>
          <w:b/>
          <w:bCs/>
          <w:sz w:val="23"/>
          <w:szCs w:val="23"/>
        </w:rPr>
      </w:pPr>
    </w:p>
    <w:p w:rsidR="00511432" w:rsidRPr="00F85977" w:rsidRDefault="00511432" w:rsidP="00511432">
      <w:pPr>
        <w:pStyle w:val="BodyText"/>
        <w:ind w:left="0"/>
      </w:pPr>
      <w:r w:rsidRPr="00F85977">
        <w:t xml:space="preserve">Brian Garber-Yonts, Ph.D.  [statistical design and analysis of data] </w:t>
      </w:r>
    </w:p>
    <w:p w:rsidR="00511432" w:rsidRPr="00F85977" w:rsidRDefault="00511432" w:rsidP="00511432">
      <w:pPr>
        <w:pStyle w:val="BodyText"/>
        <w:ind w:left="0"/>
        <w:rPr>
          <w:rFonts w:cs="Times New Roman"/>
        </w:rPr>
      </w:pPr>
      <w:r w:rsidRPr="00F85977">
        <w:t>Research Economist</w:t>
      </w:r>
    </w:p>
    <w:p w:rsidR="00511432" w:rsidRPr="00F85977" w:rsidRDefault="00511432" w:rsidP="00511432">
      <w:pPr>
        <w:pStyle w:val="BodyText"/>
        <w:ind w:left="0"/>
        <w:rPr>
          <w:rFonts w:cs="Times New Roman"/>
        </w:rPr>
      </w:pPr>
      <w:r w:rsidRPr="00F85977">
        <w:t>NOAA/NMFS, Alaska Fisheries Science Center PH: (206) 526-6301</w:t>
      </w:r>
    </w:p>
    <w:p w:rsidR="00511432" w:rsidRPr="00F85977" w:rsidRDefault="00511432" w:rsidP="00511432">
      <w:pPr>
        <w:pStyle w:val="BodyText"/>
        <w:ind w:left="0"/>
        <w:rPr>
          <w:rFonts w:cs="Times New Roman"/>
        </w:rPr>
      </w:pPr>
      <w:r w:rsidRPr="00F85977">
        <w:t xml:space="preserve">Email Address: </w:t>
      </w:r>
      <w:hyperlink r:id="rId7">
        <w:r w:rsidRPr="00F85977">
          <w:rPr>
            <w:color w:val="0000FF"/>
            <w:u w:val="single" w:color="0000FF"/>
          </w:rPr>
          <w:t>Brian.Garber-yonts@noaa.gov</w:t>
        </w:r>
      </w:hyperlink>
    </w:p>
    <w:p w:rsidR="00511432" w:rsidRPr="00F85977" w:rsidRDefault="00511432" w:rsidP="00511432">
      <w:pPr>
        <w:spacing w:before="11"/>
        <w:rPr>
          <w:rFonts w:ascii="Times New Roman" w:eastAsia="Times New Roman" w:hAnsi="Times New Roman" w:cs="Times New Roman"/>
          <w:sz w:val="24"/>
          <w:szCs w:val="24"/>
        </w:rPr>
      </w:pPr>
    </w:p>
    <w:p w:rsidR="00511432" w:rsidRPr="00F85977" w:rsidRDefault="00511432" w:rsidP="00511432">
      <w:pPr>
        <w:pStyle w:val="BodyText"/>
        <w:ind w:left="0"/>
      </w:pPr>
      <w:r w:rsidRPr="00F85977">
        <w:t xml:space="preserve">Stephanie Warpinski [specialist on EDR regulations] </w:t>
      </w:r>
    </w:p>
    <w:p w:rsidR="00511432" w:rsidRPr="00F85977" w:rsidRDefault="00511432" w:rsidP="00511432">
      <w:pPr>
        <w:pStyle w:val="BodyText"/>
        <w:ind w:left="0"/>
        <w:rPr>
          <w:rFonts w:cs="Times New Roman"/>
        </w:rPr>
      </w:pPr>
      <w:r w:rsidRPr="00F85977">
        <w:t>NOAA/NMFS, Alaska Region</w:t>
      </w:r>
    </w:p>
    <w:p w:rsidR="00511432" w:rsidRPr="00F85977" w:rsidRDefault="00511432" w:rsidP="00511432">
      <w:pPr>
        <w:pStyle w:val="BodyText"/>
        <w:ind w:left="0"/>
        <w:rPr>
          <w:rFonts w:cs="Times New Roman"/>
        </w:rPr>
      </w:pPr>
      <w:r w:rsidRPr="00F85977">
        <w:t>PH: (907) 586-7234</w:t>
      </w:r>
    </w:p>
    <w:p w:rsidR="00511432" w:rsidRPr="00F85977" w:rsidRDefault="00511432" w:rsidP="00511432">
      <w:pPr>
        <w:pStyle w:val="BodyText"/>
        <w:ind w:left="0"/>
      </w:pPr>
      <w:r w:rsidRPr="00F85977">
        <w:t xml:space="preserve">Email Address: </w:t>
      </w:r>
      <w:hyperlink r:id="rId8" w:history="1">
        <w:r w:rsidRPr="00D73D10">
          <w:rPr>
            <w:color w:val="0000FF"/>
            <w:u w:val="single"/>
          </w:rPr>
          <w:t>stephanie.warpinski@noaa.gov</w:t>
        </w:r>
      </w:hyperlink>
    </w:p>
    <w:p w:rsidR="00511432" w:rsidRPr="00F85977" w:rsidRDefault="00511432" w:rsidP="00511432">
      <w:pPr>
        <w:pStyle w:val="BodyText"/>
        <w:ind w:left="0"/>
      </w:pPr>
    </w:p>
    <w:p w:rsidR="00511432" w:rsidRPr="00F85977" w:rsidRDefault="00511432" w:rsidP="00511432">
      <w:pPr>
        <w:pStyle w:val="BodyText"/>
        <w:spacing w:before="69"/>
        <w:ind w:left="0"/>
      </w:pPr>
      <w:r w:rsidRPr="00F85977">
        <w:t xml:space="preserve">Geana Tyler [collection of data, verification of accuracy of data] </w:t>
      </w:r>
    </w:p>
    <w:p w:rsidR="00511432" w:rsidRPr="00F85977" w:rsidRDefault="00511432" w:rsidP="00511432">
      <w:pPr>
        <w:pStyle w:val="BodyText"/>
        <w:ind w:left="0"/>
        <w:rPr>
          <w:rFonts w:cs="Times New Roman"/>
        </w:rPr>
      </w:pPr>
      <w:r w:rsidRPr="00F85977">
        <w:t>Pacific States Marine Fisheries Commission</w:t>
      </w:r>
    </w:p>
    <w:p w:rsidR="00511432" w:rsidRPr="00F85977" w:rsidRDefault="00511432" w:rsidP="00511432">
      <w:pPr>
        <w:pStyle w:val="BodyText"/>
        <w:ind w:left="0"/>
        <w:rPr>
          <w:rFonts w:cs="Times New Roman"/>
        </w:rPr>
      </w:pPr>
      <w:r w:rsidRPr="00F85977">
        <w:t>PH: (503) 595-3100</w:t>
      </w:r>
    </w:p>
    <w:p w:rsidR="00511432" w:rsidRPr="00F85977" w:rsidRDefault="00511432" w:rsidP="00511432">
      <w:pPr>
        <w:pStyle w:val="BodyText"/>
        <w:ind w:left="0"/>
        <w:rPr>
          <w:rFonts w:cs="Times New Roman"/>
        </w:rPr>
      </w:pPr>
      <w:r w:rsidRPr="00F85977">
        <w:t xml:space="preserve">Email Address: </w:t>
      </w:r>
      <w:hyperlink r:id="rId9">
        <w:r w:rsidRPr="00F85977">
          <w:rPr>
            <w:color w:val="0000FF"/>
            <w:u w:val="single" w:color="0000FF"/>
          </w:rPr>
          <w:t>gtyler@psmfc.org</w:t>
        </w:r>
      </w:hyperlink>
    </w:p>
    <w:p w:rsidR="00511432" w:rsidRPr="00F85977" w:rsidRDefault="00511432" w:rsidP="00511432">
      <w:pPr>
        <w:spacing w:before="11"/>
        <w:rPr>
          <w:rFonts w:ascii="Times New Roman" w:eastAsia="Times New Roman" w:hAnsi="Times New Roman" w:cs="Times New Roman"/>
          <w:sz w:val="24"/>
          <w:szCs w:val="24"/>
        </w:rPr>
      </w:pPr>
    </w:p>
    <w:p w:rsidR="00511432" w:rsidRPr="00F85977" w:rsidRDefault="00511432" w:rsidP="00511432">
      <w:pPr>
        <w:pStyle w:val="BodyText"/>
        <w:spacing w:before="69"/>
        <w:ind w:left="0"/>
      </w:pPr>
      <w:r w:rsidRPr="00F85977">
        <w:t xml:space="preserve">Tracy Buck [permits, permit data] </w:t>
      </w:r>
    </w:p>
    <w:p w:rsidR="00511432" w:rsidRPr="00F85977" w:rsidRDefault="00511432" w:rsidP="00511432">
      <w:pPr>
        <w:pStyle w:val="BodyText"/>
        <w:ind w:left="0"/>
        <w:rPr>
          <w:rFonts w:cs="Times New Roman"/>
        </w:rPr>
      </w:pPr>
      <w:r w:rsidRPr="00F85977">
        <w:t>Supervisor of Permits</w:t>
      </w:r>
    </w:p>
    <w:p w:rsidR="00511432" w:rsidRPr="00F85977" w:rsidRDefault="00511432" w:rsidP="00511432">
      <w:pPr>
        <w:pStyle w:val="BodyText"/>
        <w:ind w:left="0"/>
        <w:rPr>
          <w:rFonts w:cs="Times New Roman"/>
        </w:rPr>
      </w:pPr>
      <w:r w:rsidRPr="00F85977">
        <w:t>PH: (907) 586-7889</w:t>
      </w:r>
    </w:p>
    <w:p w:rsidR="00511432" w:rsidRPr="00F85977" w:rsidRDefault="00511432" w:rsidP="00511432">
      <w:pPr>
        <w:pStyle w:val="BodyText"/>
        <w:ind w:left="0"/>
        <w:rPr>
          <w:rFonts w:cs="Times New Roman"/>
        </w:rPr>
      </w:pPr>
      <w:r w:rsidRPr="00F85977">
        <w:t>NOAA/NMFS, Alaska Region</w:t>
      </w:r>
    </w:p>
    <w:p w:rsidR="00511432" w:rsidRPr="00F85977" w:rsidRDefault="00511432" w:rsidP="00511432">
      <w:pPr>
        <w:pStyle w:val="BodyText"/>
        <w:ind w:left="0"/>
        <w:rPr>
          <w:rFonts w:cs="Times New Roman"/>
        </w:rPr>
      </w:pPr>
      <w:r w:rsidRPr="00F85977">
        <w:t xml:space="preserve">Email Address:  </w:t>
      </w:r>
      <w:hyperlink r:id="rId10">
        <w:r w:rsidRPr="00F85977">
          <w:rPr>
            <w:color w:val="0000FF"/>
            <w:u w:val="single" w:color="0000FF"/>
          </w:rPr>
          <w:t>tracy.buck@noaa.gov</w:t>
        </w:r>
      </w:hyperlink>
    </w:p>
    <w:p w:rsidR="00511432" w:rsidRPr="00F85977" w:rsidRDefault="00511432" w:rsidP="00511432">
      <w:pPr>
        <w:spacing w:before="11"/>
        <w:rPr>
          <w:rFonts w:ascii="Times New Roman" w:eastAsia="Times New Roman" w:hAnsi="Times New Roman" w:cs="Times New Roman"/>
          <w:sz w:val="24"/>
          <w:szCs w:val="24"/>
        </w:rPr>
      </w:pPr>
    </w:p>
    <w:p w:rsidR="00511432" w:rsidRPr="00F85977" w:rsidRDefault="00511432" w:rsidP="00511432">
      <w:pPr>
        <w:pStyle w:val="BodyText"/>
        <w:spacing w:before="69"/>
        <w:ind w:left="0"/>
      </w:pPr>
      <w:r w:rsidRPr="00F85977">
        <w:t xml:space="preserve">Steve Whitney [administers Amendment 80 Program] </w:t>
      </w:r>
    </w:p>
    <w:p w:rsidR="00511432" w:rsidRPr="00F85977" w:rsidRDefault="00511432" w:rsidP="00511432">
      <w:pPr>
        <w:pStyle w:val="BodyText"/>
        <w:ind w:left="0"/>
        <w:rPr>
          <w:rFonts w:cs="Times New Roman"/>
        </w:rPr>
      </w:pPr>
      <w:r w:rsidRPr="00F85977">
        <w:t>NOAA/NMFS, Alaska Region</w:t>
      </w:r>
    </w:p>
    <w:p w:rsidR="00511432" w:rsidRPr="00F85977" w:rsidRDefault="00511432" w:rsidP="00511432">
      <w:pPr>
        <w:pStyle w:val="BodyText"/>
        <w:ind w:left="0"/>
        <w:rPr>
          <w:rFonts w:cs="Times New Roman"/>
        </w:rPr>
      </w:pPr>
      <w:r w:rsidRPr="00F85977">
        <w:t>PH: (907) 586-7269</w:t>
      </w:r>
    </w:p>
    <w:p w:rsidR="00AD472B" w:rsidRDefault="00511432" w:rsidP="00511432">
      <w:r w:rsidRPr="00F85977">
        <w:rPr>
          <w:rFonts w:ascii="Times New Roman"/>
          <w:sz w:val="24"/>
          <w:szCs w:val="24"/>
        </w:rPr>
        <w:t xml:space="preserve">Email Address:  </w:t>
      </w:r>
      <w:hyperlink r:id="rId11">
        <w:r w:rsidRPr="00F85977">
          <w:rPr>
            <w:rFonts w:ascii="Times New Roman"/>
            <w:color w:val="0000FF"/>
            <w:sz w:val="24"/>
            <w:szCs w:val="24"/>
            <w:u w:val="single" w:color="0000FF"/>
          </w:rPr>
          <w:t>steve.whitney@noaa.gov</w:t>
        </w:r>
      </w:hyperlink>
      <w:r>
        <w:rPr>
          <w:rFonts w:ascii="Times New Roman"/>
          <w:color w:val="0000FF"/>
          <w:sz w:val="24"/>
          <w:szCs w:val="24"/>
          <w:u w:val="single" w:color="0000FF"/>
        </w:rPr>
        <w:t xml:space="preserve">  </w:t>
      </w:r>
    </w:p>
    <w:sectPr w:rsidR="00AD4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F2047"/>
    <w:multiLevelType w:val="hybridMultilevel"/>
    <w:tmpl w:val="91060012"/>
    <w:lvl w:ilvl="0" w:tplc="B5760494">
      <w:start w:val="1"/>
      <w:numFmt w:val="upperLetter"/>
      <w:lvlText w:val="%1."/>
      <w:lvlJc w:val="left"/>
      <w:pPr>
        <w:ind w:left="472" w:hanging="353"/>
      </w:pPr>
      <w:rPr>
        <w:rFonts w:ascii="Times New Roman" w:eastAsia="Times New Roman" w:hAnsi="Times New Roman" w:hint="default"/>
        <w:b/>
        <w:bCs/>
        <w:spacing w:val="-1"/>
        <w:sz w:val="24"/>
        <w:szCs w:val="24"/>
      </w:rPr>
    </w:lvl>
    <w:lvl w:ilvl="1" w:tplc="257C6760">
      <w:start w:val="1"/>
      <w:numFmt w:val="decimal"/>
      <w:lvlText w:val="%2."/>
      <w:lvlJc w:val="left"/>
      <w:pPr>
        <w:ind w:left="480" w:hanging="300"/>
        <w:jc w:val="right"/>
      </w:pPr>
      <w:rPr>
        <w:rFonts w:ascii="Times New Roman" w:eastAsia="Times New Roman" w:hAnsi="Times New Roman" w:hint="default"/>
        <w:b/>
        <w:bCs/>
        <w:sz w:val="24"/>
        <w:szCs w:val="24"/>
      </w:rPr>
    </w:lvl>
    <w:lvl w:ilvl="2" w:tplc="50D6BAEC">
      <w:start w:val="1"/>
      <w:numFmt w:val="lowerLetter"/>
      <w:lvlText w:val="%3."/>
      <w:lvlJc w:val="left"/>
      <w:pPr>
        <w:ind w:left="420" w:hanging="300"/>
      </w:pPr>
      <w:rPr>
        <w:rFonts w:ascii="Times New Roman" w:eastAsia="Times New Roman" w:hAnsi="Times New Roman" w:hint="default"/>
        <w:b/>
        <w:bCs/>
        <w:sz w:val="24"/>
        <w:szCs w:val="24"/>
      </w:rPr>
    </w:lvl>
    <w:lvl w:ilvl="3" w:tplc="9C22477A">
      <w:start w:val="1"/>
      <w:numFmt w:val="bullet"/>
      <w:lvlText w:val="◆"/>
      <w:lvlJc w:val="left"/>
      <w:pPr>
        <w:ind w:left="820" w:hanging="360"/>
      </w:pPr>
      <w:rPr>
        <w:rFonts w:ascii="Times New Roman" w:eastAsia="Times New Roman" w:hAnsi="Times New Roman" w:hint="default"/>
        <w:w w:val="51"/>
        <w:sz w:val="24"/>
        <w:szCs w:val="24"/>
      </w:rPr>
    </w:lvl>
    <w:lvl w:ilvl="4" w:tplc="9E801640">
      <w:start w:val="1"/>
      <w:numFmt w:val="bullet"/>
      <w:lvlText w:val="□"/>
      <w:lvlJc w:val="left"/>
      <w:pPr>
        <w:ind w:left="1200" w:hanging="360"/>
      </w:pPr>
      <w:rPr>
        <w:rFonts w:ascii="Times New Roman" w:eastAsia="Times New Roman" w:hAnsi="Times New Roman" w:hint="default"/>
        <w:sz w:val="24"/>
        <w:szCs w:val="24"/>
      </w:rPr>
    </w:lvl>
    <w:lvl w:ilvl="5" w:tplc="0A6A07D4">
      <w:start w:val="1"/>
      <w:numFmt w:val="bullet"/>
      <w:lvlText w:val="•"/>
      <w:lvlJc w:val="left"/>
      <w:pPr>
        <w:ind w:left="1180" w:hanging="360"/>
      </w:pPr>
      <w:rPr>
        <w:rFonts w:hint="default"/>
      </w:rPr>
    </w:lvl>
    <w:lvl w:ilvl="6" w:tplc="A426F4B0">
      <w:start w:val="1"/>
      <w:numFmt w:val="bullet"/>
      <w:lvlText w:val="•"/>
      <w:lvlJc w:val="left"/>
      <w:pPr>
        <w:ind w:left="1180" w:hanging="360"/>
      </w:pPr>
      <w:rPr>
        <w:rFonts w:hint="default"/>
      </w:rPr>
    </w:lvl>
    <w:lvl w:ilvl="7" w:tplc="BA222AC4">
      <w:start w:val="1"/>
      <w:numFmt w:val="bullet"/>
      <w:lvlText w:val="•"/>
      <w:lvlJc w:val="left"/>
      <w:pPr>
        <w:ind w:left="1200" w:hanging="360"/>
      </w:pPr>
      <w:rPr>
        <w:rFonts w:hint="default"/>
      </w:rPr>
    </w:lvl>
    <w:lvl w:ilvl="8" w:tplc="128CD6C8">
      <w:start w:val="1"/>
      <w:numFmt w:val="bullet"/>
      <w:lvlText w:val="•"/>
      <w:lvlJc w:val="left"/>
      <w:pPr>
        <w:ind w:left="27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32"/>
    <w:rsid w:val="00511432"/>
    <w:rsid w:val="00AD472B"/>
    <w:rsid w:val="00F30433"/>
    <w:rsid w:val="00FC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1432"/>
    <w:pPr>
      <w:widowControl w:val="0"/>
      <w:spacing w:after="0" w:line="240" w:lineRule="auto"/>
    </w:pPr>
  </w:style>
  <w:style w:type="paragraph" w:styleId="Heading2">
    <w:name w:val="heading 2"/>
    <w:basedOn w:val="Normal"/>
    <w:link w:val="Heading2Char"/>
    <w:uiPriority w:val="1"/>
    <w:qFormat/>
    <w:rsid w:val="00511432"/>
    <w:pPr>
      <w:ind w:left="12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11432"/>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511432"/>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11432"/>
    <w:rPr>
      <w:rFonts w:ascii="Times New Roman" w:eastAsia="Times New Roman" w:hAnsi="Times New Roman"/>
      <w:sz w:val="24"/>
      <w:szCs w:val="24"/>
    </w:rPr>
  </w:style>
  <w:style w:type="paragraph" w:customStyle="1" w:styleId="TableParagraph">
    <w:name w:val="Table Paragraph"/>
    <w:basedOn w:val="Normal"/>
    <w:uiPriority w:val="1"/>
    <w:qFormat/>
    <w:rsid w:val="00511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1432"/>
    <w:pPr>
      <w:widowControl w:val="0"/>
      <w:spacing w:after="0" w:line="240" w:lineRule="auto"/>
    </w:pPr>
  </w:style>
  <w:style w:type="paragraph" w:styleId="Heading2">
    <w:name w:val="heading 2"/>
    <w:basedOn w:val="Normal"/>
    <w:link w:val="Heading2Char"/>
    <w:uiPriority w:val="1"/>
    <w:qFormat/>
    <w:rsid w:val="00511432"/>
    <w:pPr>
      <w:ind w:left="12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11432"/>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511432"/>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11432"/>
    <w:rPr>
      <w:rFonts w:ascii="Times New Roman" w:eastAsia="Times New Roman" w:hAnsi="Times New Roman"/>
      <w:sz w:val="24"/>
      <w:szCs w:val="24"/>
    </w:rPr>
  </w:style>
  <w:style w:type="paragraph" w:customStyle="1" w:styleId="TableParagraph">
    <w:name w:val="Table Paragraph"/>
    <w:basedOn w:val="Normal"/>
    <w:uiPriority w:val="1"/>
    <w:qFormat/>
    <w:rsid w:val="005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warpinski@noa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rian.Garber-yonts@noa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ve.whitney@noaa.gov" TargetMode="External"/><Relationship Id="rId5" Type="http://schemas.openxmlformats.org/officeDocument/2006/relationships/settings" Target="settings.xml"/><Relationship Id="rId10" Type="http://schemas.openxmlformats.org/officeDocument/2006/relationships/hyperlink" Target="mailto:tracy.buck@noaa.gov" TargetMode="External"/><Relationship Id="rId4" Type="http://schemas.microsoft.com/office/2007/relationships/stylesWithEffects" Target="stylesWithEffects.xml"/><Relationship Id="rId9" Type="http://schemas.openxmlformats.org/officeDocument/2006/relationships/hyperlink" Target="mailto:gtyler@psm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24A9-9873-4B52-AE2A-A9BD4DD0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Company>NOAA</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SYSTEM</cp:lastModifiedBy>
  <cp:revision>2</cp:revision>
  <dcterms:created xsi:type="dcterms:W3CDTF">2017-10-17T16:11:00Z</dcterms:created>
  <dcterms:modified xsi:type="dcterms:W3CDTF">2017-10-17T16:11:00Z</dcterms:modified>
</cp:coreProperties>
</file>