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0A" w:rsidRPr="00A165F0" w:rsidRDefault="00DB5B0A" w:rsidP="006505DA">
      <w:pPr>
        <w:tabs>
          <w:tab w:val="left" w:pos="360"/>
          <w:tab w:val="left" w:pos="720"/>
          <w:tab w:val="left" w:pos="1080"/>
        </w:tabs>
        <w:jc w:val="center"/>
        <w:rPr>
          <w:sz w:val="24"/>
          <w:szCs w:val="24"/>
          <w:u w:val="single"/>
        </w:rPr>
      </w:pPr>
      <w:bookmarkStart w:id="0" w:name="_GoBack"/>
      <w:bookmarkEnd w:id="0"/>
      <w:r w:rsidRPr="00A165F0">
        <w:rPr>
          <w:sz w:val="24"/>
          <w:szCs w:val="24"/>
          <w:u w:val="single"/>
        </w:rPr>
        <w:t>SUPPORTING STATEMENT</w:t>
      </w:r>
    </w:p>
    <w:p w:rsidR="002D3FFF" w:rsidRPr="00A165F0" w:rsidRDefault="002D3FFF" w:rsidP="002D3FFF">
      <w:pPr>
        <w:tabs>
          <w:tab w:val="left" w:pos="360"/>
          <w:tab w:val="left" w:pos="720"/>
          <w:tab w:val="left" w:pos="1080"/>
        </w:tabs>
        <w:jc w:val="center"/>
        <w:rPr>
          <w:sz w:val="24"/>
          <w:szCs w:val="24"/>
          <w:u w:val="single"/>
        </w:rPr>
      </w:pPr>
      <w:r w:rsidRPr="00A165F0">
        <w:rPr>
          <w:sz w:val="24"/>
          <w:szCs w:val="24"/>
          <w:u w:val="single"/>
        </w:rPr>
        <w:t>OMB Control Number 0704-0248</w:t>
      </w:r>
    </w:p>
    <w:p w:rsidR="002D3FFF" w:rsidRPr="00A165F0" w:rsidRDefault="002D3FFF" w:rsidP="006505DA">
      <w:pPr>
        <w:tabs>
          <w:tab w:val="left" w:pos="360"/>
          <w:tab w:val="left" w:pos="720"/>
          <w:tab w:val="left" w:pos="1080"/>
        </w:tabs>
        <w:jc w:val="center"/>
        <w:rPr>
          <w:sz w:val="24"/>
          <w:szCs w:val="24"/>
          <w:u w:val="single"/>
        </w:rPr>
      </w:pPr>
      <w:r w:rsidRPr="00A165F0">
        <w:rPr>
          <w:sz w:val="24"/>
          <w:szCs w:val="24"/>
          <w:u w:val="single"/>
        </w:rPr>
        <w:t>Defense Federal Acquisition Regulation Supplement,</w:t>
      </w:r>
      <w:r w:rsidR="00F06AB7" w:rsidRPr="00A165F0">
        <w:rPr>
          <w:sz w:val="24"/>
          <w:szCs w:val="24"/>
          <w:u w:val="single"/>
        </w:rPr>
        <w:t xml:space="preserve"> Appendix F</w:t>
      </w:r>
      <w:r w:rsidRPr="00A165F0">
        <w:rPr>
          <w:sz w:val="24"/>
          <w:szCs w:val="24"/>
          <w:u w:val="single"/>
        </w:rPr>
        <w:t xml:space="preserve">, </w:t>
      </w:r>
    </w:p>
    <w:p w:rsidR="00930EBA" w:rsidRPr="00A165F0" w:rsidRDefault="002D3FFF" w:rsidP="006505DA">
      <w:pPr>
        <w:tabs>
          <w:tab w:val="left" w:pos="360"/>
          <w:tab w:val="left" w:pos="720"/>
          <w:tab w:val="left" w:pos="1080"/>
        </w:tabs>
        <w:jc w:val="center"/>
        <w:rPr>
          <w:sz w:val="24"/>
          <w:szCs w:val="24"/>
          <w:u w:val="single"/>
        </w:rPr>
      </w:pPr>
      <w:r w:rsidRPr="00A165F0">
        <w:rPr>
          <w:sz w:val="24"/>
          <w:szCs w:val="24"/>
          <w:u w:val="single"/>
        </w:rPr>
        <w:t>Inspection and Receiving</w:t>
      </w:r>
    </w:p>
    <w:p w:rsidR="00930EBA" w:rsidRPr="00A165F0" w:rsidRDefault="00930EBA" w:rsidP="006505DA">
      <w:pPr>
        <w:tabs>
          <w:tab w:val="left" w:pos="360"/>
          <w:tab w:val="left" w:pos="720"/>
          <w:tab w:val="left" w:pos="1080"/>
        </w:tabs>
        <w:jc w:val="center"/>
        <w:rPr>
          <w:sz w:val="24"/>
          <w:szCs w:val="24"/>
          <w:u w:val="single"/>
        </w:rPr>
      </w:pPr>
    </w:p>
    <w:p w:rsidR="00C90980" w:rsidRPr="00A165F0" w:rsidRDefault="00DE6EB0" w:rsidP="006505DA">
      <w:pPr>
        <w:tabs>
          <w:tab w:val="left" w:pos="360"/>
          <w:tab w:val="left" w:pos="720"/>
          <w:tab w:val="left" w:pos="1080"/>
        </w:tabs>
        <w:rPr>
          <w:sz w:val="24"/>
          <w:szCs w:val="24"/>
        </w:rPr>
      </w:pPr>
      <w:r w:rsidRPr="00A165F0">
        <w:rPr>
          <w:sz w:val="24"/>
          <w:szCs w:val="24"/>
        </w:rPr>
        <w:t xml:space="preserve">A.  </w:t>
      </w:r>
      <w:r w:rsidR="00C90980" w:rsidRPr="00A165F0">
        <w:rPr>
          <w:sz w:val="24"/>
          <w:szCs w:val="24"/>
          <w:u w:val="single"/>
        </w:rPr>
        <w:t>JUSTIFICATION</w:t>
      </w:r>
    </w:p>
    <w:p w:rsidR="00C90980" w:rsidRPr="00A165F0" w:rsidRDefault="00C90980" w:rsidP="006505DA">
      <w:pPr>
        <w:tabs>
          <w:tab w:val="left" w:pos="360"/>
          <w:tab w:val="left" w:pos="720"/>
          <w:tab w:val="left" w:pos="1080"/>
        </w:tabs>
        <w:rPr>
          <w:sz w:val="24"/>
          <w:szCs w:val="24"/>
        </w:rPr>
      </w:pPr>
    </w:p>
    <w:p w:rsidR="0044387F" w:rsidRPr="00A165F0" w:rsidRDefault="0023675B" w:rsidP="006505DA">
      <w:pPr>
        <w:tabs>
          <w:tab w:val="left" w:pos="360"/>
          <w:tab w:val="left" w:pos="720"/>
          <w:tab w:val="left" w:pos="1080"/>
        </w:tabs>
        <w:rPr>
          <w:sz w:val="24"/>
          <w:szCs w:val="24"/>
        </w:rPr>
      </w:pPr>
      <w:r w:rsidRPr="00A165F0">
        <w:rPr>
          <w:sz w:val="24"/>
          <w:szCs w:val="24"/>
        </w:rPr>
        <w:tab/>
      </w:r>
      <w:r w:rsidR="00C90980" w:rsidRPr="00A165F0">
        <w:rPr>
          <w:sz w:val="24"/>
          <w:szCs w:val="24"/>
        </w:rPr>
        <w:t>1.</w:t>
      </w:r>
      <w:r w:rsidR="005B6779" w:rsidRPr="00A165F0">
        <w:rPr>
          <w:sz w:val="24"/>
          <w:szCs w:val="24"/>
        </w:rPr>
        <w:t xml:space="preserve">  </w:t>
      </w:r>
      <w:r w:rsidRPr="00A165F0">
        <w:rPr>
          <w:sz w:val="24"/>
          <w:szCs w:val="24"/>
          <w:u w:val="single"/>
        </w:rPr>
        <w:t>Need for the Information Collection</w:t>
      </w:r>
    </w:p>
    <w:p w:rsidR="0044387F" w:rsidRPr="00A165F0" w:rsidRDefault="0044387F" w:rsidP="006505DA">
      <w:pPr>
        <w:tabs>
          <w:tab w:val="left" w:pos="360"/>
          <w:tab w:val="left" w:pos="720"/>
          <w:tab w:val="left" w:pos="1080"/>
        </w:tabs>
        <w:rPr>
          <w:sz w:val="24"/>
          <w:szCs w:val="24"/>
        </w:rPr>
      </w:pPr>
    </w:p>
    <w:p w:rsidR="007E6363" w:rsidRPr="00A165F0" w:rsidRDefault="0044387F" w:rsidP="006505DA">
      <w:pPr>
        <w:tabs>
          <w:tab w:val="left" w:pos="360"/>
          <w:tab w:val="left" w:pos="720"/>
          <w:tab w:val="left" w:pos="1080"/>
        </w:tabs>
        <w:rPr>
          <w:sz w:val="24"/>
          <w:szCs w:val="24"/>
        </w:rPr>
      </w:pPr>
      <w:r w:rsidRPr="00A165F0">
        <w:rPr>
          <w:sz w:val="24"/>
          <w:szCs w:val="24"/>
        </w:rPr>
        <w:tab/>
      </w:r>
      <w:r w:rsidRPr="00A165F0">
        <w:rPr>
          <w:sz w:val="24"/>
          <w:szCs w:val="24"/>
        </w:rPr>
        <w:tab/>
      </w:r>
      <w:r w:rsidR="000F0091" w:rsidRPr="00A165F0">
        <w:rPr>
          <w:sz w:val="24"/>
          <w:szCs w:val="24"/>
        </w:rPr>
        <w:t>a</w:t>
      </w:r>
      <w:r w:rsidR="00F67575" w:rsidRPr="00A165F0">
        <w:rPr>
          <w:sz w:val="24"/>
          <w:szCs w:val="24"/>
        </w:rPr>
        <w:t>.</w:t>
      </w:r>
      <w:r w:rsidR="00460B9D">
        <w:rPr>
          <w:sz w:val="24"/>
          <w:szCs w:val="24"/>
        </w:rPr>
        <w:t xml:space="preserve"> </w:t>
      </w:r>
      <w:r w:rsidR="00F67575" w:rsidRPr="00A165F0">
        <w:rPr>
          <w:sz w:val="24"/>
          <w:szCs w:val="24"/>
        </w:rPr>
        <w:t xml:space="preserve"> </w:t>
      </w:r>
      <w:r w:rsidR="00C90980" w:rsidRPr="00A165F0">
        <w:rPr>
          <w:sz w:val="24"/>
          <w:szCs w:val="24"/>
        </w:rPr>
        <w:t xml:space="preserve">This </w:t>
      </w:r>
      <w:r w:rsidR="007C459F" w:rsidRPr="00A165F0">
        <w:rPr>
          <w:sz w:val="24"/>
          <w:szCs w:val="24"/>
        </w:rPr>
        <w:t>justification supports</w:t>
      </w:r>
      <w:r w:rsidR="00DD5221" w:rsidRPr="00A165F0">
        <w:rPr>
          <w:sz w:val="24"/>
          <w:szCs w:val="24"/>
        </w:rPr>
        <w:t xml:space="preserve"> renewal of</w:t>
      </w:r>
      <w:r w:rsidR="007C459F" w:rsidRPr="00A165F0">
        <w:rPr>
          <w:sz w:val="24"/>
          <w:szCs w:val="24"/>
        </w:rPr>
        <w:t xml:space="preserve"> </w:t>
      </w:r>
      <w:r w:rsidR="00891873" w:rsidRPr="00A165F0">
        <w:rPr>
          <w:sz w:val="24"/>
          <w:szCs w:val="24"/>
        </w:rPr>
        <w:t xml:space="preserve">OMB Control Number </w:t>
      </w:r>
      <w:r w:rsidR="002F741F" w:rsidRPr="00A165F0">
        <w:rPr>
          <w:sz w:val="24"/>
          <w:szCs w:val="24"/>
        </w:rPr>
        <w:t>0704-024</w:t>
      </w:r>
      <w:r w:rsidR="00300078" w:rsidRPr="00A165F0">
        <w:rPr>
          <w:sz w:val="24"/>
          <w:szCs w:val="24"/>
        </w:rPr>
        <w:t>8</w:t>
      </w:r>
      <w:r w:rsidR="00C90980" w:rsidRPr="00A165F0">
        <w:rPr>
          <w:sz w:val="24"/>
          <w:szCs w:val="24"/>
        </w:rPr>
        <w:t xml:space="preserve">. </w:t>
      </w:r>
      <w:r w:rsidR="007C459F" w:rsidRPr="00A165F0">
        <w:rPr>
          <w:sz w:val="24"/>
          <w:szCs w:val="24"/>
        </w:rPr>
        <w:t xml:space="preserve"> This information collection concerns</w:t>
      </w:r>
      <w:r w:rsidR="00C90980" w:rsidRPr="00A165F0">
        <w:rPr>
          <w:sz w:val="24"/>
          <w:szCs w:val="24"/>
        </w:rPr>
        <w:t xml:space="preserve"> Defense F</w:t>
      </w:r>
      <w:r w:rsidR="007C459F" w:rsidRPr="00A165F0">
        <w:rPr>
          <w:sz w:val="24"/>
          <w:szCs w:val="24"/>
        </w:rPr>
        <w:t xml:space="preserve">ederal Acquisition Regulation </w:t>
      </w:r>
      <w:r w:rsidR="00C90980" w:rsidRPr="00A165F0">
        <w:rPr>
          <w:sz w:val="24"/>
          <w:szCs w:val="24"/>
        </w:rPr>
        <w:t>Supplement</w:t>
      </w:r>
      <w:r w:rsidR="00B90ACF" w:rsidRPr="00A165F0">
        <w:rPr>
          <w:sz w:val="24"/>
          <w:szCs w:val="24"/>
        </w:rPr>
        <w:t xml:space="preserve"> (DFARS)</w:t>
      </w:r>
      <w:r w:rsidR="00C90980" w:rsidRPr="00A165F0">
        <w:rPr>
          <w:sz w:val="24"/>
          <w:szCs w:val="24"/>
        </w:rPr>
        <w:t xml:space="preserve"> </w:t>
      </w:r>
    </w:p>
    <w:p w:rsidR="00D44C0B" w:rsidRPr="00A165F0" w:rsidRDefault="00B855A8" w:rsidP="00B855A8">
      <w:pPr>
        <w:tabs>
          <w:tab w:val="left" w:pos="360"/>
          <w:tab w:val="left" w:pos="720"/>
          <w:tab w:val="left" w:pos="1080"/>
        </w:tabs>
        <w:rPr>
          <w:sz w:val="24"/>
          <w:szCs w:val="24"/>
        </w:rPr>
      </w:pPr>
      <w:r w:rsidRPr="00A165F0">
        <w:rPr>
          <w:sz w:val="24"/>
          <w:szCs w:val="24"/>
        </w:rPr>
        <w:t xml:space="preserve">Appendix F, Material Inspection and Receiving Report.  </w:t>
      </w:r>
    </w:p>
    <w:p w:rsidR="00D44C0B" w:rsidRPr="00A165F0" w:rsidRDefault="00D44C0B" w:rsidP="00B855A8">
      <w:pPr>
        <w:tabs>
          <w:tab w:val="left" w:pos="360"/>
          <w:tab w:val="left" w:pos="720"/>
          <w:tab w:val="left" w:pos="1080"/>
        </w:tabs>
        <w:rPr>
          <w:sz w:val="24"/>
          <w:szCs w:val="24"/>
        </w:rPr>
      </w:pPr>
    </w:p>
    <w:p w:rsidR="00B32240" w:rsidRDefault="00D44C0B" w:rsidP="00B855A8">
      <w:pPr>
        <w:tabs>
          <w:tab w:val="left" w:pos="360"/>
          <w:tab w:val="left" w:pos="720"/>
          <w:tab w:val="left" w:pos="1080"/>
        </w:tabs>
        <w:rPr>
          <w:sz w:val="24"/>
          <w:szCs w:val="24"/>
        </w:rPr>
      </w:pPr>
      <w:r w:rsidRPr="00A165F0">
        <w:rPr>
          <w:sz w:val="24"/>
          <w:szCs w:val="24"/>
        </w:rPr>
        <w:tab/>
      </w:r>
      <w:r w:rsidRPr="00A165F0">
        <w:rPr>
          <w:sz w:val="24"/>
          <w:szCs w:val="24"/>
        </w:rPr>
        <w:tab/>
        <w:t>b.</w:t>
      </w:r>
      <w:r w:rsidR="00460B9D">
        <w:rPr>
          <w:sz w:val="24"/>
          <w:szCs w:val="24"/>
        </w:rPr>
        <w:t xml:space="preserve"> </w:t>
      </w:r>
      <w:r w:rsidRPr="00A165F0">
        <w:rPr>
          <w:sz w:val="24"/>
          <w:szCs w:val="24"/>
        </w:rPr>
        <w:t xml:space="preserve"> </w:t>
      </w:r>
      <w:r w:rsidR="00B855A8" w:rsidRPr="00A165F0">
        <w:rPr>
          <w:sz w:val="24"/>
          <w:szCs w:val="24"/>
        </w:rPr>
        <w:t xml:space="preserve">Appendix F contains procedures and instructions for </w:t>
      </w:r>
      <w:r w:rsidR="00460B9D">
        <w:rPr>
          <w:sz w:val="24"/>
          <w:szCs w:val="24"/>
        </w:rPr>
        <w:t>submission of contractor payment requests and receiving reports</w:t>
      </w:r>
      <w:r w:rsidR="00DC3A51">
        <w:rPr>
          <w:sz w:val="24"/>
          <w:szCs w:val="24"/>
        </w:rPr>
        <w:t xml:space="preserve"> using Wide Area WorkFlow (WAWF)</w:t>
      </w:r>
      <w:r w:rsidR="00460B9D">
        <w:rPr>
          <w:sz w:val="24"/>
          <w:szCs w:val="24"/>
        </w:rPr>
        <w:t xml:space="preserve">.  </w:t>
      </w:r>
      <w:r w:rsidR="00460B9D" w:rsidRPr="00A165F0">
        <w:rPr>
          <w:color w:val="333333"/>
          <w:sz w:val="24"/>
          <w:szCs w:val="24"/>
        </w:rPr>
        <w:t xml:space="preserve">10 U.S.C. </w:t>
      </w:r>
      <w:r w:rsidR="00460B9D" w:rsidRPr="00A165F0">
        <w:rPr>
          <w:sz w:val="24"/>
          <w:szCs w:val="24"/>
        </w:rPr>
        <w:t>2227(c) requires electronic submission and processing of claims for contract payments</w:t>
      </w:r>
      <w:r w:rsidR="00460B9D">
        <w:rPr>
          <w:sz w:val="24"/>
          <w:szCs w:val="24"/>
        </w:rPr>
        <w:t xml:space="preserve"> </w:t>
      </w:r>
      <w:r w:rsidR="006B3D32">
        <w:rPr>
          <w:sz w:val="24"/>
          <w:szCs w:val="24"/>
        </w:rPr>
        <w:t>under</w:t>
      </w:r>
      <w:r w:rsidR="00460B9D">
        <w:rPr>
          <w:sz w:val="24"/>
          <w:szCs w:val="24"/>
        </w:rPr>
        <w:t xml:space="preserve"> DoD contracts</w:t>
      </w:r>
      <w:r w:rsidR="00777075">
        <w:rPr>
          <w:sz w:val="24"/>
          <w:szCs w:val="24"/>
        </w:rPr>
        <w:t>.  DoD</w:t>
      </w:r>
      <w:r w:rsidR="00460B9D">
        <w:rPr>
          <w:sz w:val="24"/>
          <w:szCs w:val="24"/>
        </w:rPr>
        <w:t xml:space="preserve"> has designated </w:t>
      </w:r>
      <w:r w:rsidR="00DC3A51">
        <w:rPr>
          <w:sz w:val="24"/>
          <w:szCs w:val="24"/>
        </w:rPr>
        <w:t>WAWF</w:t>
      </w:r>
      <w:r w:rsidR="00460B9D">
        <w:rPr>
          <w:sz w:val="24"/>
          <w:szCs w:val="24"/>
        </w:rPr>
        <w:t xml:space="preserve"> as the designated platform </w:t>
      </w:r>
      <w:r w:rsidR="00777075">
        <w:rPr>
          <w:sz w:val="24"/>
          <w:szCs w:val="24"/>
        </w:rPr>
        <w:t xml:space="preserve">for contractors </w:t>
      </w:r>
      <w:r w:rsidR="00460B9D">
        <w:rPr>
          <w:sz w:val="24"/>
          <w:szCs w:val="24"/>
        </w:rPr>
        <w:t>to submit payment requests and supporting documentation, including receiving reports.  WAWF supports t</w:t>
      </w:r>
      <w:r w:rsidR="00B855A8" w:rsidRPr="00A165F0">
        <w:rPr>
          <w:sz w:val="24"/>
          <w:szCs w:val="24"/>
        </w:rPr>
        <w:t xml:space="preserve">he use, preparation, and distribution of the electronic </w:t>
      </w:r>
      <w:r w:rsidR="00401AE4">
        <w:rPr>
          <w:sz w:val="24"/>
          <w:szCs w:val="24"/>
        </w:rPr>
        <w:t xml:space="preserve">equivalent for the </w:t>
      </w:r>
      <w:r w:rsidR="00B855A8" w:rsidRPr="00A165F0">
        <w:rPr>
          <w:sz w:val="24"/>
          <w:szCs w:val="24"/>
        </w:rPr>
        <w:t>DD Form 250, Material Inspection and Receiving Report</w:t>
      </w:r>
      <w:r w:rsidR="00401AE4">
        <w:rPr>
          <w:sz w:val="24"/>
          <w:szCs w:val="24"/>
        </w:rPr>
        <w:t>, and</w:t>
      </w:r>
      <w:r w:rsidR="00B855A8" w:rsidRPr="00A165F0">
        <w:rPr>
          <w:sz w:val="24"/>
          <w:szCs w:val="24"/>
        </w:rPr>
        <w:t xml:space="preserve"> the DD Form 250 series equivalents</w:t>
      </w:r>
      <w:r w:rsidR="00401AE4">
        <w:rPr>
          <w:sz w:val="24"/>
          <w:szCs w:val="24"/>
        </w:rPr>
        <w:t xml:space="preserve"> for property repairs and energy-related overland or waterborne shipments</w:t>
      </w:r>
      <w:r w:rsidR="00B855A8" w:rsidRPr="00A165F0">
        <w:rPr>
          <w:sz w:val="24"/>
          <w:szCs w:val="24"/>
        </w:rPr>
        <w:t>.</w:t>
      </w:r>
      <w:r w:rsidR="007A7919" w:rsidRPr="00A165F0">
        <w:rPr>
          <w:sz w:val="24"/>
          <w:szCs w:val="24"/>
        </w:rPr>
        <w:t xml:space="preserve">  </w:t>
      </w:r>
    </w:p>
    <w:p w:rsidR="00460B9D" w:rsidRPr="00A165F0" w:rsidRDefault="00460B9D" w:rsidP="00B855A8">
      <w:pPr>
        <w:tabs>
          <w:tab w:val="left" w:pos="360"/>
          <w:tab w:val="left" w:pos="720"/>
          <w:tab w:val="left" w:pos="1080"/>
        </w:tabs>
        <w:rPr>
          <w:sz w:val="24"/>
          <w:szCs w:val="24"/>
        </w:rPr>
      </w:pPr>
    </w:p>
    <w:p w:rsidR="002D3FFF" w:rsidRPr="00A165F0" w:rsidRDefault="002D3FFF" w:rsidP="00B855A8">
      <w:pPr>
        <w:tabs>
          <w:tab w:val="left" w:pos="360"/>
          <w:tab w:val="left" w:pos="720"/>
          <w:tab w:val="left" w:pos="1080"/>
        </w:tabs>
        <w:rPr>
          <w:sz w:val="24"/>
          <w:szCs w:val="24"/>
          <w:u w:val="single"/>
        </w:rPr>
      </w:pPr>
      <w:r w:rsidRPr="00A165F0">
        <w:rPr>
          <w:sz w:val="24"/>
          <w:szCs w:val="24"/>
        </w:rPr>
        <w:tab/>
        <w:t xml:space="preserve">2.  </w:t>
      </w:r>
      <w:r w:rsidRPr="00A165F0">
        <w:rPr>
          <w:sz w:val="24"/>
          <w:szCs w:val="24"/>
          <w:u w:val="single"/>
        </w:rPr>
        <w:t>Use of the Information</w:t>
      </w:r>
    </w:p>
    <w:p w:rsidR="00B32240" w:rsidRPr="00A165F0" w:rsidRDefault="00B32240" w:rsidP="00B855A8">
      <w:pPr>
        <w:tabs>
          <w:tab w:val="left" w:pos="360"/>
          <w:tab w:val="left" w:pos="720"/>
          <w:tab w:val="left" w:pos="1080"/>
        </w:tabs>
        <w:rPr>
          <w:sz w:val="24"/>
          <w:szCs w:val="24"/>
          <w:u w:val="single"/>
        </w:rPr>
      </w:pPr>
    </w:p>
    <w:p w:rsidR="00B32240" w:rsidRPr="00A165F0" w:rsidRDefault="00B32240" w:rsidP="00B32240">
      <w:pPr>
        <w:tabs>
          <w:tab w:val="left" w:pos="360"/>
          <w:tab w:val="left" w:pos="720"/>
          <w:tab w:val="left" w:pos="1080"/>
        </w:tabs>
        <w:rPr>
          <w:sz w:val="24"/>
          <w:szCs w:val="24"/>
        </w:rPr>
      </w:pPr>
      <w:r w:rsidRPr="00A165F0">
        <w:rPr>
          <w:sz w:val="24"/>
          <w:szCs w:val="24"/>
        </w:rPr>
        <w:tab/>
        <w:t>Receiving reports</w:t>
      </w:r>
      <w:r w:rsidR="009170BE">
        <w:rPr>
          <w:sz w:val="24"/>
          <w:szCs w:val="24"/>
        </w:rPr>
        <w:t xml:space="preserve"> showing Government acceptance or approval</w:t>
      </w:r>
      <w:r w:rsidR="00C03F6C">
        <w:rPr>
          <w:sz w:val="24"/>
          <w:szCs w:val="24"/>
        </w:rPr>
        <w:t xml:space="preserve"> of contract deliverables</w:t>
      </w:r>
      <w:r w:rsidRPr="00A165F0">
        <w:rPr>
          <w:sz w:val="24"/>
          <w:szCs w:val="24"/>
        </w:rPr>
        <w:t xml:space="preserve"> are required to </w:t>
      </w:r>
      <w:r w:rsidR="00C03F6C">
        <w:rPr>
          <w:sz w:val="24"/>
          <w:szCs w:val="24"/>
        </w:rPr>
        <w:t>permit</w:t>
      </w:r>
      <w:r w:rsidRPr="00A165F0">
        <w:rPr>
          <w:sz w:val="24"/>
          <w:szCs w:val="24"/>
        </w:rPr>
        <w:t xml:space="preserve"> payment of contractor invoices.  </w:t>
      </w:r>
      <w:r w:rsidR="00817AF7">
        <w:rPr>
          <w:sz w:val="24"/>
          <w:szCs w:val="24"/>
        </w:rPr>
        <w:t xml:space="preserve">Federal Acquisition Regulation </w:t>
      </w:r>
      <w:r w:rsidRPr="00A165F0">
        <w:rPr>
          <w:sz w:val="24"/>
          <w:szCs w:val="24"/>
        </w:rPr>
        <w:t>32.905(c) requires</w:t>
      </w:r>
      <w:r w:rsidR="00C03F6C">
        <w:rPr>
          <w:sz w:val="24"/>
          <w:szCs w:val="24"/>
        </w:rPr>
        <w:t xml:space="preserve"> that</w:t>
      </w:r>
      <w:r w:rsidRPr="00A165F0">
        <w:rPr>
          <w:sz w:val="24"/>
          <w:szCs w:val="24"/>
        </w:rPr>
        <w:t xml:space="preserve"> invoice payments </w:t>
      </w:r>
      <w:r w:rsidR="00C03F6C">
        <w:rPr>
          <w:sz w:val="24"/>
          <w:szCs w:val="24"/>
        </w:rPr>
        <w:t>are</w:t>
      </w:r>
      <w:r w:rsidRPr="00A165F0">
        <w:rPr>
          <w:sz w:val="24"/>
          <w:szCs w:val="24"/>
        </w:rPr>
        <w:t xml:space="preserve"> supported by a receiving report or other Government document</w:t>
      </w:r>
      <w:r w:rsidR="009170BE">
        <w:rPr>
          <w:sz w:val="24"/>
          <w:szCs w:val="24"/>
        </w:rPr>
        <w:t xml:space="preserve"> to</w:t>
      </w:r>
      <w:r w:rsidRPr="00A165F0">
        <w:rPr>
          <w:sz w:val="24"/>
          <w:szCs w:val="24"/>
        </w:rPr>
        <w:t xml:space="preserve"> authoriz</w:t>
      </w:r>
      <w:r w:rsidR="009170BE">
        <w:rPr>
          <w:sz w:val="24"/>
          <w:szCs w:val="24"/>
        </w:rPr>
        <w:t>e</w:t>
      </w:r>
      <w:r w:rsidRPr="00A165F0">
        <w:rPr>
          <w:sz w:val="24"/>
          <w:szCs w:val="24"/>
        </w:rPr>
        <w:t xml:space="preserve"> </w:t>
      </w:r>
      <w:r w:rsidR="00C03F6C">
        <w:rPr>
          <w:sz w:val="24"/>
          <w:szCs w:val="24"/>
        </w:rPr>
        <w:t xml:space="preserve">the </w:t>
      </w:r>
      <w:r w:rsidRPr="00A165F0">
        <w:rPr>
          <w:sz w:val="24"/>
          <w:szCs w:val="24"/>
        </w:rPr>
        <w:t>payment.  The receiving report</w:t>
      </w:r>
      <w:r w:rsidR="00C03F6C">
        <w:rPr>
          <w:sz w:val="24"/>
          <w:szCs w:val="24"/>
        </w:rPr>
        <w:t xml:space="preserve"> must</w:t>
      </w:r>
      <w:r w:rsidRPr="00A165F0">
        <w:rPr>
          <w:sz w:val="24"/>
          <w:szCs w:val="24"/>
        </w:rPr>
        <w:t xml:space="preserve"> </w:t>
      </w:r>
      <w:r w:rsidR="009170BE">
        <w:rPr>
          <w:sz w:val="24"/>
          <w:szCs w:val="24"/>
        </w:rPr>
        <w:t>include</w:t>
      </w:r>
      <w:r w:rsidRPr="00A165F0">
        <w:rPr>
          <w:sz w:val="24"/>
          <w:szCs w:val="24"/>
        </w:rPr>
        <w:t xml:space="preserve"> the</w:t>
      </w:r>
      <w:r w:rsidR="00817AF7">
        <w:rPr>
          <w:sz w:val="24"/>
          <w:szCs w:val="24"/>
        </w:rPr>
        <w:t xml:space="preserve"> contract number,</w:t>
      </w:r>
      <w:r w:rsidRPr="00A165F0">
        <w:rPr>
          <w:sz w:val="24"/>
          <w:szCs w:val="24"/>
        </w:rPr>
        <w:t xml:space="preserve"> date</w:t>
      </w:r>
      <w:r w:rsidR="00817AF7">
        <w:rPr>
          <w:sz w:val="24"/>
          <w:szCs w:val="24"/>
        </w:rPr>
        <w:t>,</w:t>
      </w:r>
      <w:r w:rsidRPr="00A165F0">
        <w:rPr>
          <w:sz w:val="24"/>
          <w:szCs w:val="24"/>
        </w:rPr>
        <w:t xml:space="preserve"> </w:t>
      </w:r>
      <w:r w:rsidR="00817AF7">
        <w:rPr>
          <w:sz w:val="24"/>
          <w:szCs w:val="24"/>
        </w:rPr>
        <w:t>description</w:t>
      </w:r>
      <w:r w:rsidR="00777075">
        <w:rPr>
          <w:sz w:val="24"/>
          <w:szCs w:val="24"/>
        </w:rPr>
        <w:t>,</w:t>
      </w:r>
      <w:r w:rsidR="00817AF7">
        <w:rPr>
          <w:sz w:val="24"/>
          <w:szCs w:val="24"/>
        </w:rPr>
        <w:t xml:space="preserve"> </w:t>
      </w:r>
      <w:r w:rsidRPr="00A165F0">
        <w:rPr>
          <w:sz w:val="24"/>
          <w:szCs w:val="24"/>
        </w:rPr>
        <w:t>quantities of supplies received or services performed</w:t>
      </w:r>
      <w:r w:rsidR="00817AF7">
        <w:rPr>
          <w:sz w:val="24"/>
          <w:szCs w:val="24"/>
        </w:rPr>
        <w:t>,</w:t>
      </w:r>
      <w:r w:rsidRPr="00A165F0">
        <w:rPr>
          <w:sz w:val="24"/>
          <w:szCs w:val="24"/>
        </w:rPr>
        <w:t xml:space="preserve"> as well as</w:t>
      </w:r>
      <w:r w:rsidR="00777075">
        <w:rPr>
          <w:sz w:val="24"/>
          <w:szCs w:val="24"/>
        </w:rPr>
        <w:t xml:space="preserve"> identification of</w:t>
      </w:r>
      <w:r w:rsidRPr="00A165F0">
        <w:rPr>
          <w:sz w:val="24"/>
          <w:szCs w:val="24"/>
        </w:rPr>
        <w:t xml:space="preserve"> the designated Government official who accepted the supplies or services.</w:t>
      </w:r>
    </w:p>
    <w:p w:rsidR="00B855A8" w:rsidRPr="00A165F0" w:rsidRDefault="00B855A8" w:rsidP="006505DA">
      <w:pPr>
        <w:tabs>
          <w:tab w:val="left" w:pos="360"/>
          <w:tab w:val="left" w:pos="720"/>
          <w:tab w:val="left" w:pos="1080"/>
        </w:tabs>
        <w:rPr>
          <w:sz w:val="24"/>
          <w:szCs w:val="24"/>
        </w:rPr>
      </w:pPr>
    </w:p>
    <w:p w:rsidR="00AA7F77" w:rsidRPr="00A165F0" w:rsidRDefault="00B036EB" w:rsidP="006505DA">
      <w:pPr>
        <w:tabs>
          <w:tab w:val="left" w:pos="360"/>
          <w:tab w:val="left" w:pos="720"/>
          <w:tab w:val="left" w:pos="1080"/>
        </w:tabs>
        <w:rPr>
          <w:sz w:val="24"/>
          <w:szCs w:val="24"/>
        </w:rPr>
      </w:pPr>
      <w:r w:rsidRPr="00A165F0">
        <w:rPr>
          <w:sz w:val="24"/>
          <w:szCs w:val="24"/>
        </w:rPr>
        <w:tab/>
      </w:r>
      <w:r w:rsidR="00353B29" w:rsidRPr="00A165F0">
        <w:rPr>
          <w:sz w:val="24"/>
          <w:szCs w:val="24"/>
        </w:rPr>
        <w:t xml:space="preserve">3.  </w:t>
      </w:r>
      <w:r w:rsidR="0023675B" w:rsidRPr="00A165F0">
        <w:rPr>
          <w:sz w:val="24"/>
          <w:szCs w:val="24"/>
          <w:u w:val="single"/>
        </w:rPr>
        <w:t xml:space="preserve">Use of </w:t>
      </w:r>
      <w:r w:rsidR="00DB5B0A" w:rsidRPr="00A165F0">
        <w:rPr>
          <w:sz w:val="24"/>
          <w:szCs w:val="24"/>
          <w:u w:val="single"/>
        </w:rPr>
        <w:t>Information Technology</w:t>
      </w:r>
      <w:r w:rsidR="00DB5B0A" w:rsidRPr="00A165F0">
        <w:rPr>
          <w:sz w:val="24"/>
          <w:szCs w:val="24"/>
        </w:rPr>
        <w:t xml:space="preserve"> </w:t>
      </w:r>
    </w:p>
    <w:p w:rsidR="00AA7F77" w:rsidRPr="00A165F0" w:rsidRDefault="00AA7F77" w:rsidP="006505DA">
      <w:pPr>
        <w:tabs>
          <w:tab w:val="left" w:pos="360"/>
          <w:tab w:val="left" w:pos="720"/>
          <w:tab w:val="left" w:pos="1080"/>
        </w:tabs>
        <w:rPr>
          <w:sz w:val="24"/>
          <w:szCs w:val="24"/>
        </w:rPr>
      </w:pPr>
    </w:p>
    <w:p w:rsidR="001172B5" w:rsidRPr="00A165F0" w:rsidRDefault="00AA7F77" w:rsidP="005D3420">
      <w:pPr>
        <w:rPr>
          <w:sz w:val="24"/>
          <w:szCs w:val="24"/>
        </w:rPr>
      </w:pPr>
      <w:r w:rsidRPr="00A165F0">
        <w:rPr>
          <w:sz w:val="24"/>
          <w:szCs w:val="24"/>
        </w:rPr>
        <w:tab/>
      </w:r>
      <w:r w:rsidR="00EB4A95" w:rsidRPr="00A165F0">
        <w:rPr>
          <w:sz w:val="24"/>
          <w:szCs w:val="24"/>
        </w:rPr>
        <w:t xml:space="preserve">Information technology is used </w:t>
      </w:r>
      <w:r w:rsidR="001172B5" w:rsidRPr="00A165F0">
        <w:rPr>
          <w:sz w:val="24"/>
          <w:szCs w:val="24"/>
        </w:rPr>
        <w:t xml:space="preserve">approximately </w:t>
      </w:r>
      <w:r w:rsidR="00B32240" w:rsidRPr="00A165F0">
        <w:rPr>
          <w:sz w:val="24"/>
          <w:szCs w:val="24"/>
        </w:rPr>
        <w:t xml:space="preserve">100 percent of the time </w:t>
      </w:r>
      <w:r w:rsidR="009974C3" w:rsidRPr="00A165F0">
        <w:rPr>
          <w:sz w:val="24"/>
          <w:szCs w:val="24"/>
        </w:rPr>
        <w:t>to collect the i</w:t>
      </w:r>
      <w:r w:rsidR="00D44C0B" w:rsidRPr="00A165F0">
        <w:rPr>
          <w:sz w:val="24"/>
          <w:szCs w:val="24"/>
        </w:rPr>
        <w:t>nformation</w:t>
      </w:r>
      <w:r w:rsidR="00B855A8" w:rsidRPr="00A165F0">
        <w:rPr>
          <w:sz w:val="24"/>
          <w:szCs w:val="24"/>
        </w:rPr>
        <w:t>.  Contractors submit payment requests</w:t>
      </w:r>
      <w:r w:rsidR="00C03F6C">
        <w:rPr>
          <w:sz w:val="24"/>
          <w:szCs w:val="24"/>
        </w:rPr>
        <w:t xml:space="preserve"> and receiving reports</w:t>
      </w:r>
      <w:r w:rsidR="00B855A8" w:rsidRPr="00A165F0">
        <w:rPr>
          <w:sz w:val="24"/>
          <w:szCs w:val="24"/>
        </w:rPr>
        <w:t xml:space="preserve"> to WAWF via Electronic Data Interchange, Secure File Transfer Protocol, or via direct input through the WAWF website.</w:t>
      </w:r>
      <w:r w:rsidR="005D3420" w:rsidRPr="00A165F0">
        <w:rPr>
          <w:sz w:val="24"/>
          <w:szCs w:val="24"/>
        </w:rPr>
        <w:t xml:space="preserve">  </w:t>
      </w:r>
    </w:p>
    <w:p w:rsidR="001172B5" w:rsidRPr="00A165F0" w:rsidRDefault="001172B5" w:rsidP="005D3420">
      <w:pPr>
        <w:rPr>
          <w:sz w:val="24"/>
          <w:szCs w:val="24"/>
        </w:rPr>
      </w:pPr>
    </w:p>
    <w:p w:rsidR="005D3420" w:rsidRPr="00A165F0" w:rsidRDefault="005D3420" w:rsidP="001172B5">
      <w:pPr>
        <w:ind w:firstLine="720"/>
        <w:rPr>
          <w:sz w:val="24"/>
          <w:szCs w:val="24"/>
        </w:rPr>
      </w:pPr>
      <w:r w:rsidRPr="00A165F0">
        <w:rPr>
          <w:sz w:val="24"/>
          <w:szCs w:val="24"/>
        </w:rPr>
        <w:t xml:space="preserve">In accordance with DFARS clause 252.232-7003, Electronic Submission of Payment Requests and Receiving Reports, Contractors are required to submit electronic payment requests and receiving reports in WAWF in nearly all cases.  In accordance with DFARS clause 252.246-7000, this is accomplished by using the electronic WAWF </w:t>
      </w:r>
      <w:r w:rsidR="00C03F6C">
        <w:rPr>
          <w:sz w:val="24"/>
          <w:szCs w:val="24"/>
        </w:rPr>
        <w:t>receiving report</w:t>
      </w:r>
      <w:r w:rsidRPr="00A165F0">
        <w:rPr>
          <w:sz w:val="24"/>
          <w:szCs w:val="24"/>
        </w:rPr>
        <w:t xml:space="preserve">; use of the paper DD Form 250 (or equivalent) is authorized only on an exception basis.  In addition, when contractors utilize WAWF in accordance with </w:t>
      </w:r>
      <w:r w:rsidR="00C03F6C">
        <w:rPr>
          <w:sz w:val="24"/>
          <w:szCs w:val="24"/>
        </w:rPr>
        <w:t xml:space="preserve">DFARS </w:t>
      </w:r>
      <w:r w:rsidRPr="00A165F0">
        <w:rPr>
          <w:sz w:val="24"/>
          <w:szCs w:val="24"/>
        </w:rPr>
        <w:t xml:space="preserve">252.232-7003 and Appendix F, the </w:t>
      </w:r>
      <w:r w:rsidR="00C03F6C">
        <w:rPr>
          <w:sz w:val="24"/>
          <w:szCs w:val="24"/>
        </w:rPr>
        <w:t>item unique identification (</w:t>
      </w:r>
      <w:r w:rsidRPr="00A165F0">
        <w:rPr>
          <w:sz w:val="24"/>
          <w:szCs w:val="24"/>
        </w:rPr>
        <w:t>IUID</w:t>
      </w:r>
      <w:r w:rsidR="00C03F6C">
        <w:rPr>
          <w:sz w:val="24"/>
          <w:szCs w:val="24"/>
        </w:rPr>
        <w:t>)</w:t>
      </w:r>
      <w:r w:rsidRPr="00A165F0">
        <w:rPr>
          <w:sz w:val="24"/>
          <w:szCs w:val="24"/>
        </w:rPr>
        <w:t xml:space="preserve"> information required by DFARS clause 252.211-7003 is automatically transmitted to the IUID Registry.</w:t>
      </w:r>
    </w:p>
    <w:p w:rsidR="00AA7F77" w:rsidRPr="00A165F0" w:rsidRDefault="00B036EB" w:rsidP="006505DA">
      <w:pPr>
        <w:tabs>
          <w:tab w:val="left" w:pos="360"/>
          <w:tab w:val="left" w:pos="450"/>
          <w:tab w:val="left" w:pos="720"/>
          <w:tab w:val="left" w:pos="1080"/>
        </w:tabs>
        <w:rPr>
          <w:sz w:val="24"/>
          <w:szCs w:val="24"/>
        </w:rPr>
      </w:pPr>
      <w:r w:rsidRPr="00A165F0">
        <w:rPr>
          <w:sz w:val="24"/>
          <w:szCs w:val="24"/>
        </w:rPr>
        <w:lastRenderedPageBreak/>
        <w:tab/>
      </w:r>
      <w:r w:rsidR="00353B29" w:rsidRPr="00A165F0">
        <w:rPr>
          <w:sz w:val="24"/>
          <w:szCs w:val="24"/>
        </w:rPr>
        <w:t xml:space="preserve">4. </w:t>
      </w:r>
      <w:r w:rsidR="0023675B" w:rsidRPr="00A165F0">
        <w:rPr>
          <w:sz w:val="24"/>
          <w:szCs w:val="24"/>
        </w:rPr>
        <w:t xml:space="preserve"> </w:t>
      </w:r>
      <w:r w:rsidR="0023675B" w:rsidRPr="00A165F0">
        <w:rPr>
          <w:sz w:val="24"/>
          <w:szCs w:val="24"/>
          <w:u w:val="single"/>
        </w:rPr>
        <w:t>Non-d</w:t>
      </w:r>
      <w:r w:rsidR="00DB5B0A" w:rsidRPr="00A165F0">
        <w:rPr>
          <w:sz w:val="24"/>
          <w:szCs w:val="24"/>
          <w:u w:val="single"/>
        </w:rPr>
        <w:t>uplication</w:t>
      </w:r>
    </w:p>
    <w:p w:rsidR="00AA7F77" w:rsidRPr="00A165F0" w:rsidRDefault="00AA7F77" w:rsidP="006505DA">
      <w:pPr>
        <w:tabs>
          <w:tab w:val="left" w:pos="360"/>
          <w:tab w:val="left" w:pos="720"/>
          <w:tab w:val="left" w:pos="1080"/>
        </w:tabs>
        <w:rPr>
          <w:sz w:val="24"/>
          <w:szCs w:val="24"/>
        </w:rPr>
      </w:pPr>
    </w:p>
    <w:p w:rsidR="00353B29" w:rsidRPr="00A165F0" w:rsidRDefault="00AA7F77" w:rsidP="006505DA">
      <w:pPr>
        <w:tabs>
          <w:tab w:val="left" w:pos="360"/>
          <w:tab w:val="left" w:pos="720"/>
          <w:tab w:val="left" w:pos="1080"/>
        </w:tabs>
        <w:rPr>
          <w:sz w:val="24"/>
          <w:szCs w:val="24"/>
        </w:rPr>
      </w:pPr>
      <w:r w:rsidRPr="00A165F0">
        <w:rPr>
          <w:sz w:val="24"/>
          <w:szCs w:val="24"/>
        </w:rPr>
        <w:tab/>
      </w:r>
      <w:r w:rsidR="00EB4A95" w:rsidRPr="00A165F0">
        <w:rPr>
          <w:sz w:val="24"/>
          <w:szCs w:val="24"/>
        </w:rPr>
        <w:tab/>
      </w:r>
      <w:r w:rsidR="00353B29" w:rsidRPr="00A165F0">
        <w:rPr>
          <w:sz w:val="24"/>
          <w:szCs w:val="24"/>
        </w:rPr>
        <w:t>As a matter of policy, DoD reviews the DFARS to determine whether adequate language already exists.  This information collection does not duplicate any other requirement.</w:t>
      </w:r>
    </w:p>
    <w:p w:rsidR="00353B29" w:rsidRPr="00A165F0" w:rsidRDefault="00353B29" w:rsidP="006505DA">
      <w:pPr>
        <w:tabs>
          <w:tab w:val="left" w:pos="360"/>
          <w:tab w:val="left" w:pos="720"/>
          <w:tab w:val="left" w:pos="1080"/>
        </w:tabs>
        <w:rPr>
          <w:sz w:val="24"/>
          <w:szCs w:val="24"/>
        </w:rPr>
      </w:pPr>
    </w:p>
    <w:p w:rsidR="00AA7F77" w:rsidRPr="00A165F0" w:rsidRDefault="00B036EB" w:rsidP="006505DA">
      <w:pPr>
        <w:tabs>
          <w:tab w:val="left" w:pos="360"/>
          <w:tab w:val="left" w:pos="720"/>
          <w:tab w:val="left" w:pos="1080"/>
        </w:tabs>
        <w:rPr>
          <w:sz w:val="24"/>
          <w:szCs w:val="24"/>
        </w:rPr>
      </w:pPr>
      <w:r w:rsidRPr="00A165F0">
        <w:rPr>
          <w:sz w:val="24"/>
          <w:szCs w:val="24"/>
        </w:rPr>
        <w:tab/>
      </w:r>
      <w:r w:rsidR="00353B29" w:rsidRPr="00A165F0">
        <w:rPr>
          <w:sz w:val="24"/>
          <w:szCs w:val="24"/>
        </w:rPr>
        <w:t xml:space="preserve">5. </w:t>
      </w:r>
      <w:r w:rsidR="00631ADE" w:rsidRPr="00A165F0">
        <w:rPr>
          <w:sz w:val="24"/>
          <w:szCs w:val="24"/>
        </w:rPr>
        <w:t xml:space="preserve"> </w:t>
      </w:r>
      <w:r w:rsidR="00631ADE" w:rsidRPr="00A165F0">
        <w:rPr>
          <w:sz w:val="24"/>
          <w:szCs w:val="24"/>
          <w:u w:val="single"/>
        </w:rPr>
        <w:t>Burden on</w:t>
      </w:r>
      <w:r w:rsidR="00353B29" w:rsidRPr="00A165F0">
        <w:rPr>
          <w:sz w:val="24"/>
          <w:szCs w:val="24"/>
          <w:u w:val="single"/>
        </w:rPr>
        <w:t xml:space="preserve"> </w:t>
      </w:r>
      <w:r w:rsidR="00DB5B0A" w:rsidRPr="00A165F0">
        <w:rPr>
          <w:sz w:val="24"/>
          <w:szCs w:val="24"/>
          <w:u w:val="single"/>
        </w:rPr>
        <w:t>Small Business</w:t>
      </w:r>
    </w:p>
    <w:p w:rsidR="00AA7F77" w:rsidRPr="00A165F0" w:rsidRDefault="00DB5B0A" w:rsidP="006505DA">
      <w:pPr>
        <w:tabs>
          <w:tab w:val="left" w:pos="360"/>
          <w:tab w:val="left" w:pos="720"/>
          <w:tab w:val="left" w:pos="1080"/>
        </w:tabs>
        <w:rPr>
          <w:sz w:val="24"/>
          <w:szCs w:val="24"/>
        </w:rPr>
      </w:pPr>
      <w:r w:rsidRPr="00A165F0">
        <w:rPr>
          <w:sz w:val="24"/>
          <w:szCs w:val="24"/>
        </w:rPr>
        <w:t xml:space="preserve"> </w:t>
      </w:r>
    </w:p>
    <w:p w:rsidR="00204D73" w:rsidRPr="00A165F0" w:rsidRDefault="00353B29" w:rsidP="00B32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sidRPr="00A165F0">
        <w:rPr>
          <w:sz w:val="24"/>
          <w:szCs w:val="24"/>
        </w:rPr>
        <w:t xml:space="preserve">This collection is not expected to </w:t>
      </w:r>
      <w:r w:rsidR="00D20F32" w:rsidRPr="00A165F0">
        <w:rPr>
          <w:sz w:val="24"/>
          <w:szCs w:val="24"/>
        </w:rPr>
        <w:t xml:space="preserve">impose a </w:t>
      </w:r>
      <w:r w:rsidR="00156872" w:rsidRPr="00A165F0">
        <w:rPr>
          <w:sz w:val="24"/>
          <w:szCs w:val="24"/>
        </w:rPr>
        <w:t xml:space="preserve">significant </w:t>
      </w:r>
      <w:r w:rsidR="00D20F32" w:rsidRPr="00A165F0">
        <w:rPr>
          <w:sz w:val="24"/>
          <w:szCs w:val="24"/>
        </w:rPr>
        <w:t>burden</w:t>
      </w:r>
      <w:r w:rsidRPr="00A165F0">
        <w:rPr>
          <w:sz w:val="24"/>
          <w:szCs w:val="24"/>
        </w:rPr>
        <w:t xml:space="preserve"> on small </w:t>
      </w:r>
      <w:r w:rsidR="00D20F32" w:rsidRPr="00A165F0">
        <w:rPr>
          <w:sz w:val="24"/>
          <w:szCs w:val="24"/>
        </w:rPr>
        <w:t xml:space="preserve">businesses, </w:t>
      </w:r>
      <w:r w:rsidRPr="00A165F0">
        <w:rPr>
          <w:sz w:val="24"/>
          <w:szCs w:val="24"/>
        </w:rPr>
        <w:t>because</w:t>
      </w:r>
      <w:r w:rsidR="00973433" w:rsidRPr="00A165F0">
        <w:rPr>
          <w:sz w:val="24"/>
          <w:szCs w:val="24"/>
        </w:rPr>
        <w:t xml:space="preserve"> </w:t>
      </w:r>
      <w:r w:rsidR="005F2B1D" w:rsidRPr="00A165F0">
        <w:rPr>
          <w:sz w:val="24"/>
          <w:szCs w:val="24"/>
        </w:rPr>
        <w:t>the use of electronic tools</w:t>
      </w:r>
      <w:r w:rsidR="005F2B1D" w:rsidRPr="00A165F0">
        <w:rPr>
          <w:color w:val="333333"/>
          <w:sz w:val="24"/>
          <w:szCs w:val="24"/>
        </w:rPr>
        <w:t xml:space="preserve"> facilitates timely and accu</w:t>
      </w:r>
      <w:r w:rsidR="00D56FEE" w:rsidRPr="00A165F0">
        <w:rPr>
          <w:color w:val="333333"/>
          <w:sz w:val="24"/>
          <w:szCs w:val="24"/>
        </w:rPr>
        <w:t>rate payments, which can improve cash</w:t>
      </w:r>
      <w:r w:rsidR="002929BE">
        <w:rPr>
          <w:color w:val="333333"/>
          <w:sz w:val="24"/>
          <w:szCs w:val="24"/>
        </w:rPr>
        <w:t>-</w:t>
      </w:r>
      <w:r w:rsidR="00D56FEE" w:rsidRPr="00A165F0">
        <w:rPr>
          <w:color w:val="333333"/>
          <w:sz w:val="24"/>
          <w:szCs w:val="24"/>
        </w:rPr>
        <w:t>flow management and reduce operating costs.</w:t>
      </w:r>
      <w:r w:rsidR="001C051A" w:rsidRPr="00A165F0">
        <w:rPr>
          <w:sz w:val="24"/>
          <w:szCs w:val="24"/>
        </w:rPr>
        <w:t xml:space="preserve"> </w:t>
      </w:r>
      <w:r w:rsidR="00A30CA7" w:rsidRPr="00A165F0">
        <w:rPr>
          <w:sz w:val="24"/>
          <w:szCs w:val="24"/>
        </w:rPr>
        <w:t xml:space="preserve"> </w:t>
      </w:r>
      <w:r w:rsidR="006C6CCB" w:rsidRPr="00A165F0">
        <w:rPr>
          <w:sz w:val="24"/>
          <w:szCs w:val="24"/>
        </w:rPr>
        <w:t xml:space="preserve">Manual, i.e., non-electronic practices and </w:t>
      </w:r>
      <w:r w:rsidR="00204D73" w:rsidRPr="00A165F0">
        <w:rPr>
          <w:sz w:val="24"/>
          <w:szCs w:val="24"/>
        </w:rPr>
        <w:t>processes</w:t>
      </w:r>
      <w:r w:rsidR="006C6CCB" w:rsidRPr="00A165F0">
        <w:rPr>
          <w:sz w:val="24"/>
          <w:szCs w:val="24"/>
        </w:rPr>
        <w:t xml:space="preserve">, involving paper </w:t>
      </w:r>
      <w:r w:rsidR="006C6CCB" w:rsidRPr="00A165F0">
        <w:rPr>
          <w:color w:val="000000"/>
          <w:sz w:val="24"/>
          <w:szCs w:val="24"/>
        </w:rPr>
        <w:t>invoices</w:t>
      </w:r>
      <w:r w:rsidR="0033549B" w:rsidRPr="00A165F0">
        <w:rPr>
          <w:color w:val="000000"/>
          <w:sz w:val="24"/>
          <w:szCs w:val="24"/>
        </w:rPr>
        <w:t xml:space="preserve"> and receiving reports</w:t>
      </w:r>
      <w:r w:rsidR="006C6CCB" w:rsidRPr="00A165F0">
        <w:rPr>
          <w:color w:val="000000"/>
          <w:sz w:val="24"/>
          <w:szCs w:val="24"/>
        </w:rPr>
        <w:t xml:space="preserve"> can </w:t>
      </w:r>
      <w:r w:rsidR="00204D73" w:rsidRPr="00A165F0">
        <w:rPr>
          <w:color w:val="000000"/>
          <w:sz w:val="24"/>
          <w:szCs w:val="24"/>
        </w:rPr>
        <w:t>result in redundant data entry, misplaced documents, higher than necessary transaction processing fees, and payment delays</w:t>
      </w:r>
      <w:r w:rsidR="002929BE">
        <w:rPr>
          <w:color w:val="000000"/>
          <w:sz w:val="24"/>
          <w:szCs w:val="24"/>
        </w:rPr>
        <w:t>.</w:t>
      </w:r>
    </w:p>
    <w:p w:rsidR="00204D73" w:rsidRPr="00A165F0" w:rsidRDefault="00204D73" w:rsidP="0020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607775" w:rsidRPr="00A165F0" w:rsidRDefault="00A30CA7" w:rsidP="00B32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sidRPr="00A165F0">
        <w:rPr>
          <w:sz w:val="24"/>
          <w:szCs w:val="24"/>
        </w:rPr>
        <w:t xml:space="preserve">WAWF is available to all DoD contractors at no cost and provides electronic confirmation that the payment office has received payment documents. </w:t>
      </w:r>
      <w:r w:rsidR="00B32240" w:rsidRPr="00A165F0">
        <w:rPr>
          <w:sz w:val="24"/>
          <w:szCs w:val="24"/>
        </w:rPr>
        <w:t xml:space="preserve"> </w:t>
      </w:r>
      <w:r w:rsidRPr="00A165F0">
        <w:rPr>
          <w:sz w:val="24"/>
          <w:szCs w:val="24"/>
        </w:rPr>
        <w:t>WAWF also allows contractors to track the status of their payments.  According to the Government Accountability Office, “with the arrival</w:t>
      </w:r>
      <w:r w:rsidR="001C051A" w:rsidRPr="00A165F0">
        <w:rPr>
          <w:sz w:val="24"/>
          <w:szCs w:val="24"/>
        </w:rPr>
        <w:t xml:space="preserve"> of Web-based business tools, the electronic exchange of data has become more cost-effective for many smaller businesses</w:t>
      </w:r>
      <w:r w:rsidRPr="00A165F0">
        <w:rPr>
          <w:sz w:val="24"/>
          <w:szCs w:val="24"/>
        </w:rPr>
        <w:t>” (</w:t>
      </w:r>
      <w:r w:rsidRPr="00A165F0">
        <w:rPr>
          <w:bCs/>
          <w:sz w:val="24"/>
          <w:szCs w:val="24"/>
        </w:rPr>
        <w:t xml:space="preserve">GAO-06-358 dated May 2006). </w:t>
      </w:r>
      <w:r w:rsidR="00607775" w:rsidRPr="00A165F0">
        <w:rPr>
          <w:bCs/>
          <w:sz w:val="24"/>
          <w:szCs w:val="24"/>
        </w:rPr>
        <w:t xml:space="preserve"> With few </w:t>
      </w:r>
      <w:r w:rsidR="00574BDB" w:rsidRPr="00A165F0">
        <w:rPr>
          <w:spacing w:val="-5"/>
          <w:kern w:val="20"/>
          <w:sz w:val="24"/>
          <w:szCs w:val="24"/>
          <w:lang w:eastAsia="x-none"/>
        </w:rPr>
        <w:t xml:space="preserve">exceptions, the </w:t>
      </w:r>
      <w:r w:rsidR="00D44C0B" w:rsidRPr="00A165F0">
        <w:rPr>
          <w:spacing w:val="-5"/>
          <w:kern w:val="20"/>
          <w:sz w:val="24"/>
          <w:szCs w:val="24"/>
          <w:lang w:eastAsia="x-none"/>
        </w:rPr>
        <w:t>p</w:t>
      </w:r>
      <w:r w:rsidR="00607775" w:rsidRPr="00A165F0">
        <w:rPr>
          <w:spacing w:val="-5"/>
          <w:kern w:val="20"/>
          <w:sz w:val="24"/>
          <w:szCs w:val="24"/>
          <w:lang w:eastAsia="x-none"/>
        </w:rPr>
        <w:t xml:space="preserve">rocessing of payment </w:t>
      </w:r>
      <w:r w:rsidR="00607775" w:rsidRPr="00A165F0">
        <w:rPr>
          <w:spacing w:val="-5"/>
          <w:kern w:val="20"/>
          <w:sz w:val="24"/>
          <w:szCs w:val="24"/>
          <w:lang w:val="x-none" w:eastAsia="x-none"/>
        </w:rPr>
        <w:t xml:space="preserve">requests and receiving </w:t>
      </w:r>
      <w:r w:rsidR="00607775" w:rsidRPr="00A165F0">
        <w:rPr>
          <w:spacing w:val="-5"/>
          <w:kern w:val="20"/>
          <w:sz w:val="24"/>
          <w:szCs w:val="24"/>
          <w:lang w:eastAsia="x-none"/>
        </w:rPr>
        <w:t xml:space="preserve">reports </w:t>
      </w:r>
      <w:r w:rsidR="00204D73" w:rsidRPr="00A165F0">
        <w:rPr>
          <w:spacing w:val="-5"/>
          <w:kern w:val="20"/>
          <w:sz w:val="24"/>
          <w:szCs w:val="24"/>
          <w:lang w:eastAsia="x-none"/>
        </w:rPr>
        <w:t xml:space="preserve">through </w:t>
      </w:r>
      <w:r w:rsidR="00D44C0B" w:rsidRPr="00A165F0">
        <w:rPr>
          <w:spacing w:val="-5"/>
          <w:kern w:val="20"/>
          <w:sz w:val="24"/>
          <w:szCs w:val="24"/>
          <w:lang w:eastAsia="x-none"/>
        </w:rPr>
        <w:t xml:space="preserve">WAWF is only limited </w:t>
      </w:r>
      <w:r w:rsidR="00607775" w:rsidRPr="00A165F0">
        <w:rPr>
          <w:spacing w:val="-5"/>
          <w:kern w:val="20"/>
          <w:sz w:val="24"/>
          <w:szCs w:val="24"/>
          <w:lang w:eastAsia="x-none"/>
        </w:rPr>
        <w:t>by access to the internet</w:t>
      </w:r>
      <w:r w:rsidR="00B32240" w:rsidRPr="00A165F0">
        <w:rPr>
          <w:sz w:val="24"/>
          <w:szCs w:val="24"/>
        </w:rPr>
        <w:t xml:space="preserve">, which is rare in today’s </w:t>
      </w:r>
      <w:r w:rsidR="00C03F6C">
        <w:rPr>
          <w:sz w:val="24"/>
          <w:szCs w:val="24"/>
        </w:rPr>
        <w:t xml:space="preserve">commercial </w:t>
      </w:r>
      <w:r w:rsidR="00B32240" w:rsidRPr="00A165F0">
        <w:rPr>
          <w:sz w:val="24"/>
          <w:szCs w:val="24"/>
        </w:rPr>
        <w:t>marketplace.</w:t>
      </w:r>
    </w:p>
    <w:p w:rsidR="00A30CA7" w:rsidRPr="00A165F0" w:rsidRDefault="00A30CA7" w:rsidP="006505DA">
      <w:pPr>
        <w:tabs>
          <w:tab w:val="left" w:pos="360"/>
          <w:tab w:val="left" w:pos="720"/>
          <w:tab w:val="left" w:pos="1080"/>
        </w:tabs>
        <w:rPr>
          <w:color w:val="333333"/>
          <w:sz w:val="24"/>
          <w:szCs w:val="24"/>
        </w:rPr>
      </w:pPr>
    </w:p>
    <w:p w:rsidR="00AA7F77" w:rsidRPr="00A165F0" w:rsidRDefault="00B036EB" w:rsidP="006505DA">
      <w:pPr>
        <w:tabs>
          <w:tab w:val="left" w:pos="360"/>
          <w:tab w:val="left" w:pos="720"/>
          <w:tab w:val="left" w:pos="1080"/>
        </w:tabs>
        <w:rPr>
          <w:sz w:val="24"/>
          <w:szCs w:val="24"/>
        </w:rPr>
      </w:pPr>
      <w:r w:rsidRPr="00A165F0">
        <w:rPr>
          <w:sz w:val="24"/>
          <w:szCs w:val="24"/>
        </w:rPr>
        <w:tab/>
      </w:r>
      <w:r w:rsidR="00F62478" w:rsidRPr="00A165F0">
        <w:rPr>
          <w:sz w:val="24"/>
          <w:szCs w:val="24"/>
        </w:rPr>
        <w:t>6</w:t>
      </w:r>
      <w:r w:rsidR="00F62478" w:rsidRPr="00A165F0">
        <w:rPr>
          <w:b/>
          <w:sz w:val="24"/>
          <w:szCs w:val="24"/>
        </w:rPr>
        <w:t>.</w:t>
      </w:r>
      <w:r w:rsidR="00F62478" w:rsidRPr="00A165F0">
        <w:rPr>
          <w:sz w:val="24"/>
          <w:szCs w:val="24"/>
        </w:rPr>
        <w:t xml:space="preserve">  </w:t>
      </w:r>
      <w:r w:rsidR="00631ADE" w:rsidRPr="00A165F0">
        <w:rPr>
          <w:sz w:val="24"/>
          <w:szCs w:val="24"/>
          <w:u w:val="single"/>
        </w:rPr>
        <w:t>Less Frequent Collection</w:t>
      </w:r>
      <w:r w:rsidR="00DB5B0A" w:rsidRPr="00A165F0">
        <w:rPr>
          <w:sz w:val="24"/>
          <w:szCs w:val="24"/>
        </w:rPr>
        <w:t xml:space="preserve"> </w:t>
      </w:r>
    </w:p>
    <w:p w:rsidR="00AA7F77" w:rsidRPr="00A165F0" w:rsidRDefault="00AA7F77" w:rsidP="006505DA">
      <w:pPr>
        <w:tabs>
          <w:tab w:val="left" w:pos="360"/>
          <w:tab w:val="left" w:pos="720"/>
          <w:tab w:val="left" w:pos="1080"/>
        </w:tabs>
        <w:rPr>
          <w:sz w:val="24"/>
          <w:szCs w:val="24"/>
        </w:rPr>
      </w:pPr>
    </w:p>
    <w:p w:rsidR="00574BDB" w:rsidRPr="00A165F0" w:rsidRDefault="008E5949" w:rsidP="00B32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 w:val="24"/>
          <w:szCs w:val="24"/>
        </w:rPr>
      </w:pPr>
      <w:r>
        <w:rPr>
          <w:sz w:val="24"/>
          <w:szCs w:val="24"/>
        </w:rPr>
        <w:t xml:space="preserve">Contractor payment requests are submitted in accordance with each individual contract’s terms and conditions, and receiving reports are completed to document receipt of the goods or services being invoiced.  </w:t>
      </w:r>
      <w:r w:rsidR="00574BDB" w:rsidRPr="00A165F0">
        <w:rPr>
          <w:sz w:val="24"/>
          <w:szCs w:val="24"/>
        </w:rPr>
        <w:t>Less frequent collection could</w:t>
      </w:r>
      <w:r w:rsidR="002929BE">
        <w:rPr>
          <w:sz w:val="24"/>
          <w:szCs w:val="24"/>
        </w:rPr>
        <w:t xml:space="preserve"> result in violation of a contract’s terms and</w:t>
      </w:r>
      <w:r w:rsidR="00574BDB" w:rsidRPr="00A165F0">
        <w:rPr>
          <w:sz w:val="24"/>
          <w:szCs w:val="24"/>
        </w:rPr>
        <w:t xml:space="preserve"> hinder </w:t>
      </w:r>
      <w:r w:rsidR="00585E73" w:rsidRPr="00A165F0">
        <w:rPr>
          <w:color w:val="333333"/>
          <w:sz w:val="24"/>
          <w:szCs w:val="24"/>
        </w:rPr>
        <w:t>timely and accurate payments</w:t>
      </w:r>
      <w:r>
        <w:rPr>
          <w:color w:val="333333"/>
          <w:sz w:val="24"/>
          <w:szCs w:val="24"/>
        </w:rPr>
        <w:t xml:space="preserve"> to contractors.</w:t>
      </w:r>
    </w:p>
    <w:p w:rsidR="004E4CB0" w:rsidRPr="00A165F0" w:rsidRDefault="004E4CB0" w:rsidP="0057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AA7F77" w:rsidRPr="00A165F0" w:rsidRDefault="00B036EB" w:rsidP="006505DA">
      <w:pPr>
        <w:tabs>
          <w:tab w:val="left" w:pos="360"/>
          <w:tab w:val="left" w:pos="720"/>
          <w:tab w:val="left" w:pos="1080"/>
        </w:tabs>
        <w:rPr>
          <w:sz w:val="24"/>
          <w:szCs w:val="24"/>
        </w:rPr>
      </w:pPr>
      <w:r w:rsidRPr="00A165F0">
        <w:rPr>
          <w:sz w:val="24"/>
          <w:szCs w:val="24"/>
        </w:rPr>
        <w:tab/>
      </w:r>
      <w:r w:rsidR="00531F62" w:rsidRPr="00A165F0">
        <w:rPr>
          <w:sz w:val="24"/>
          <w:szCs w:val="24"/>
        </w:rPr>
        <w:t xml:space="preserve">7.  </w:t>
      </w:r>
      <w:r w:rsidR="00AA7F77" w:rsidRPr="00A165F0">
        <w:rPr>
          <w:sz w:val="24"/>
          <w:szCs w:val="24"/>
          <w:u w:val="single"/>
        </w:rPr>
        <w:t>Paperwork Reduction Act Guidelines</w:t>
      </w:r>
      <w:r w:rsidR="00DB5B0A" w:rsidRPr="00A165F0">
        <w:rPr>
          <w:sz w:val="24"/>
          <w:szCs w:val="24"/>
        </w:rPr>
        <w:t xml:space="preserve">  </w:t>
      </w:r>
    </w:p>
    <w:p w:rsidR="00AA7F77" w:rsidRPr="00A165F0" w:rsidRDefault="00AA7F77" w:rsidP="006505DA">
      <w:pPr>
        <w:tabs>
          <w:tab w:val="left" w:pos="360"/>
          <w:tab w:val="left" w:pos="720"/>
          <w:tab w:val="left" w:pos="1080"/>
        </w:tabs>
        <w:rPr>
          <w:sz w:val="24"/>
          <w:szCs w:val="24"/>
        </w:rPr>
      </w:pPr>
    </w:p>
    <w:p w:rsidR="00F62478" w:rsidRPr="00A165F0" w:rsidRDefault="00AA7F77" w:rsidP="006505DA">
      <w:pPr>
        <w:tabs>
          <w:tab w:val="left" w:pos="360"/>
          <w:tab w:val="left" w:pos="720"/>
          <w:tab w:val="left" w:pos="1080"/>
        </w:tabs>
        <w:rPr>
          <w:sz w:val="24"/>
          <w:szCs w:val="24"/>
        </w:rPr>
      </w:pPr>
      <w:r w:rsidRPr="00A165F0">
        <w:rPr>
          <w:sz w:val="24"/>
          <w:szCs w:val="24"/>
        </w:rPr>
        <w:tab/>
      </w:r>
      <w:r w:rsidR="00EB4A95" w:rsidRPr="00A165F0">
        <w:rPr>
          <w:sz w:val="24"/>
          <w:szCs w:val="24"/>
        </w:rPr>
        <w:tab/>
      </w:r>
      <w:r w:rsidR="00F62478" w:rsidRPr="00A165F0">
        <w:rPr>
          <w:sz w:val="24"/>
          <w:szCs w:val="24"/>
        </w:rPr>
        <w:t xml:space="preserve">There are no special circumstances </w:t>
      </w:r>
      <w:r w:rsidR="00EB4A95" w:rsidRPr="00A165F0">
        <w:rPr>
          <w:sz w:val="24"/>
          <w:szCs w:val="24"/>
        </w:rPr>
        <w:t>for</w:t>
      </w:r>
      <w:r w:rsidR="00531F62" w:rsidRPr="00A165F0">
        <w:rPr>
          <w:sz w:val="24"/>
          <w:szCs w:val="24"/>
        </w:rPr>
        <w:t xml:space="preserve"> collection</w:t>
      </w:r>
      <w:r w:rsidR="00EB4A95" w:rsidRPr="00A165F0">
        <w:rPr>
          <w:sz w:val="24"/>
          <w:szCs w:val="24"/>
        </w:rPr>
        <w:t xml:space="preserve">. </w:t>
      </w:r>
      <w:r w:rsidR="00DD5221" w:rsidRPr="00A165F0">
        <w:rPr>
          <w:sz w:val="24"/>
          <w:szCs w:val="24"/>
        </w:rPr>
        <w:t xml:space="preserve"> </w:t>
      </w:r>
      <w:r w:rsidR="00EB4A95" w:rsidRPr="00A165F0">
        <w:rPr>
          <w:sz w:val="24"/>
          <w:szCs w:val="24"/>
        </w:rPr>
        <w:t>Collection of this information is consistent with the guidelines at</w:t>
      </w:r>
      <w:r w:rsidR="00531F62" w:rsidRPr="00A165F0">
        <w:rPr>
          <w:sz w:val="24"/>
          <w:szCs w:val="24"/>
        </w:rPr>
        <w:t xml:space="preserve"> 5 CFR 1320.5(d)(2).</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u w:val="single"/>
        </w:rPr>
      </w:pPr>
      <w:r w:rsidRPr="00A165F0">
        <w:rPr>
          <w:sz w:val="24"/>
          <w:szCs w:val="24"/>
        </w:rPr>
        <w:tab/>
        <w:t xml:space="preserve">8.  </w:t>
      </w:r>
      <w:r w:rsidRPr="00A165F0">
        <w:rPr>
          <w:sz w:val="24"/>
          <w:szCs w:val="24"/>
          <w:u w:val="single"/>
        </w:rPr>
        <w:t>Consultation and Public Comments</w:t>
      </w:r>
    </w:p>
    <w:p w:rsidR="00CC7577" w:rsidRPr="00A165F0" w:rsidRDefault="00BB176B" w:rsidP="006505DA">
      <w:pPr>
        <w:pStyle w:val="p3"/>
        <w:tabs>
          <w:tab w:val="left" w:pos="360"/>
          <w:tab w:val="left" w:pos="720"/>
          <w:tab w:val="left" w:pos="1080"/>
        </w:tabs>
      </w:pPr>
      <w:r w:rsidRPr="00A165F0">
        <w:tab/>
      </w:r>
      <w:bookmarkStart w:id="1" w:name="cp447"/>
      <w:r w:rsidR="00CC7577" w:rsidRPr="00A165F0">
        <w:tab/>
      </w:r>
      <w:bookmarkStart w:id="2" w:name="cp449"/>
      <w:bookmarkEnd w:id="1"/>
      <w:r w:rsidR="00CC7577" w:rsidRPr="00A165F0">
        <w:t xml:space="preserve">a.  This information collection is consistent with the guidelines in 5 CFR 1320.6.  Public comments were solicited in the </w:t>
      </w:r>
      <w:r w:rsidR="00CC7577" w:rsidRPr="00A165F0">
        <w:rPr>
          <w:i/>
        </w:rPr>
        <w:t>Federal Register</w:t>
      </w:r>
      <w:r w:rsidR="00CC7577" w:rsidRPr="00A165F0">
        <w:t xml:space="preserve"> on</w:t>
      </w:r>
      <w:r w:rsidRPr="00A165F0">
        <w:t xml:space="preserve"> </w:t>
      </w:r>
      <w:r w:rsidR="004E4E44">
        <w:t xml:space="preserve">August 29, 2017, at </w:t>
      </w:r>
      <w:hyperlink r:id="rId8" w:history="1">
        <w:r w:rsidR="004E4E44" w:rsidRPr="003626D2">
          <w:rPr>
            <w:rStyle w:val="Hyperlink"/>
          </w:rPr>
          <w:t>82 FR 41006</w:t>
        </w:r>
      </w:hyperlink>
      <w:r w:rsidRPr="00A165F0">
        <w:t xml:space="preserve">. </w:t>
      </w:r>
      <w:r w:rsidR="000B7619" w:rsidRPr="00A165F0">
        <w:t xml:space="preserve"> </w:t>
      </w:r>
      <w:r w:rsidR="004E4E44">
        <w:t>One</w:t>
      </w:r>
      <w:r w:rsidR="000B7619" w:rsidRPr="00A165F0">
        <w:t xml:space="preserve"> </w:t>
      </w:r>
      <w:r w:rsidR="00CC7577" w:rsidRPr="00A165F0">
        <w:t>comment w</w:t>
      </w:r>
      <w:r w:rsidR="004E4E44">
        <w:t>as</w:t>
      </w:r>
      <w:r w:rsidR="00CC7577" w:rsidRPr="00A165F0">
        <w:t xml:space="preserve"> received in response to this notice</w:t>
      </w:r>
      <w:r w:rsidR="004E4E44">
        <w:t>.  The comment was out of scope of</w:t>
      </w:r>
      <w:r w:rsidR="00BA2D1E">
        <w:t xml:space="preserve"> this renewal</w:t>
      </w:r>
      <w:r w:rsidR="004E4E44">
        <w:t xml:space="preserve"> as </w:t>
      </w:r>
      <w:r w:rsidR="00BA2D1E">
        <w:t>the respondent</w:t>
      </w:r>
      <w:r w:rsidR="004E4E44">
        <w:t xml:space="preserve"> provided an unrelated philosophical discussion of geopolitical matters.</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b.  </w:t>
      </w:r>
      <w:r w:rsidR="00D67F62" w:rsidRPr="00A165F0">
        <w:rPr>
          <w:sz w:val="24"/>
          <w:szCs w:val="24"/>
        </w:rPr>
        <w:t xml:space="preserve">Subject matter experts </w:t>
      </w:r>
      <w:r w:rsidR="00B32240" w:rsidRPr="00A165F0">
        <w:rPr>
          <w:sz w:val="24"/>
          <w:szCs w:val="24"/>
        </w:rPr>
        <w:t xml:space="preserve">within DoD, including </w:t>
      </w:r>
      <w:r w:rsidR="004039EC" w:rsidRPr="00A165F0">
        <w:rPr>
          <w:sz w:val="24"/>
          <w:szCs w:val="24"/>
        </w:rPr>
        <w:t>the Defense Finance and Accounting Service,</w:t>
      </w:r>
      <w:r w:rsidR="004E4CB0" w:rsidRPr="00A165F0">
        <w:rPr>
          <w:sz w:val="24"/>
          <w:szCs w:val="24"/>
        </w:rPr>
        <w:t xml:space="preserve"> </w:t>
      </w:r>
      <w:r w:rsidR="00D67F62" w:rsidRPr="00A165F0">
        <w:rPr>
          <w:sz w:val="24"/>
          <w:szCs w:val="24"/>
        </w:rPr>
        <w:t>were consulted</w:t>
      </w:r>
      <w:r w:rsidR="00BC5291" w:rsidRPr="00A165F0">
        <w:rPr>
          <w:sz w:val="24"/>
          <w:szCs w:val="24"/>
        </w:rPr>
        <w:t xml:space="preserve"> regarding the renewal of this information collection</w:t>
      </w:r>
      <w:r w:rsidR="00D67F62" w:rsidRPr="00A165F0">
        <w:rPr>
          <w:sz w:val="24"/>
          <w:szCs w:val="24"/>
        </w:rPr>
        <w:t>.</w:t>
      </w:r>
    </w:p>
    <w:p w:rsidR="00CC7577"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c.  A notice of submission to OMB for clearance of this information collection was published in the </w:t>
      </w:r>
      <w:r w:rsidRPr="00A165F0">
        <w:rPr>
          <w:i/>
          <w:sz w:val="24"/>
          <w:szCs w:val="24"/>
        </w:rPr>
        <w:t>Federal Register</w:t>
      </w:r>
      <w:r w:rsidRPr="00A165F0">
        <w:rPr>
          <w:sz w:val="24"/>
          <w:szCs w:val="24"/>
        </w:rPr>
        <w:t xml:space="preserve"> </w:t>
      </w:r>
      <w:r w:rsidR="003626D2">
        <w:rPr>
          <w:sz w:val="24"/>
          <w:szCs w:val="24"/>
        </w:rPr>
        <w:t xml:space="preserve">at </w:t>
      </w:r>
      <w:hyperlink r:id="rId9" w:history="1">
        <w:r w:rsidR="003626D2" w:rsidRPr="003626D2">
          <w:rPr>
            <w:rStyle w:val="Hyperlink"/>
            <w:sz w:val="24"/>
            <w:szCs w:val="24"/>
          </w:rPr>
          <w:t>82 FR 51227</w:t>
        </w:r>
      </w:hyperlink>
      <w:r w:rsidR="003626D2">
        <w:rPr>
          <w:sz w:val="24"/>
          <w:szCs w:val="24"/>
        </w:rPr>
        <w:t xml:space="preserve"> </w:t>
      </w:r>
      <w:r w:rsidRPr="00A165F0">
        <w:rPr>
          <w:sz w:val="24"/>
          <w:szCs w:val="24"/>
        </w:rPr>
        <w:t xml:space="preserve">on </w:t>
      </w:r>
      <w:r w:rsidR="003626D2">
        <w:rPr>
          <w:sz w:val="24"/>
          <w:szCs w:val="24"/>
        </w:rPr>
        <w:t>November 3, 2017</w:t>
      </w:r>
      <w:r w:rsidR="00BB176B" w:rsidRPr="00A165F0">
        <w:rPr>
          <w:sz w:val="24"/>
          <w:szCs w:val="24"/>
        </w:rPr>
        <w:t>.</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t xml:space="preserve">9.  </w:t>
      </w:r>
      <w:r w:rsidRPr="00A165F0">
        <w:rPr>
          <w:sz w:val="24"/>
          <w:szCs w:val="24"/>
          <w:u w:val="single"/>
        </w:rPr>
        <w:t>Gifts or Payment</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bookmarkStart w:id="3" w:name="cp450"/>
      <w:bookmarkEnd w:id="2"/>
      <w:r w:rsidRPr="00A165F0">
        <w:rPr>
          <w:sz w:val="24"/>
          <w:szCs w:val="24"/>
        </w:rPr>
        <w:tab/>
      </w:r>
      <w:r w:rsidRPr="00A165F0">
        <w:rPr>
          <w:sz w:val="24"/>
          <w:szCs w:val="24"/>
        </w:rPr>
        <w:tab/>
      </w:r>
      <w:bookmarkEnd w:id="3"/>
      <w:r w:rsidRPr="00A165F0">
        <w:rPr>
          <w:sz w:val="24"/>
          <w:szCs w:val="24"/>
        </w:rPr>
        <w:t xml:space="preserve">DoD will not provide a payment or gift to respondents </w:t>
      </w:r>
      <w:r w:rsidR="003A37C9" w:rsidRPr="00A165F0">
        <w:rPr>
          <w:sz w:val="24"/>
          <w:szCs w:val="24"/>
        </w:rPr>
        <w:t>under</w:t>
      </w:r>
      <w:r w:rsidRPr="00A165F0">
        <w:rPr>
          <w:sz w:val="24"/>
          <w:szCs w:val="24"/>
        </w:rPr>
        <w:t xml:space="preserve"> this information </w:t>
      </w:r>
      <w:r w:rsidR="003A37C9" w:rsidRPr="00A165F0">
        <w:rPr>
          <w:sz w:val="24"/>
          <w:szCs w:val="24"/>
        </w:rPr>
        <w:t>collect</w:t>
      </w:r>
      <w:r w:rsidRPr="00A165F0">
        <w:rPr>
          <w:sz w:val="24"/>
          <w:szCs w:val="24"/>
        </w:rPr>
        <w:t>ion requirement.</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t xml:space="preserve">10.  </w:t>
      </w:r>
      <w:r w:rsidRPr="00A165F0">
        <w:rPr>
          <w:sz w:val="24"/>
          <w:szCs w:val="24"/>
          <w:u w:val="single"/>
        </w:rPr>
        <w:t>Confidentiality</w:t>
      </w:r>
    </w:p>
    <w:p w:rsidR="00CC7577" w:rsidRPr="00A165F0" w:rsidRDefault="00CC7577" w:rsidP="006505DA">
      <w:pPr>
        <w:tabs>
          <w:tab w:val="left" w:pos="360"/>
          <w:tab w:val="left" w:pos="720"/>
          <w:tab w:val="left" w:pos="1080"/>
          <w:tab w:val="left" w:pos="1440"/>
        </w:tabs>
        <w:spacing w:before="100" w:beforeAutospacing="1" w:after="100" w:afterAutospacing="1" w:line="288" w:lineRule="atLeast"/>
        <w:rPr>
          <w:sz w:val="24"/>
          <w:szCs w:val="24"/>
        </w:rPr>
      </w:pPr>
      <w:r w:rsidRPr="00A165F0">
        <w:rPr>
          <w:sz w:val="24"/>
          <w:szCs w:val="24"/>
        </w:rPr>
        <w:tab/>
      </w:r>
      <w:r w:rsidRPr="00A165F0">
        <w:rPr>
          <w:sz w:val="24"/>
          <w:szCs w:val="24"/>
        </w:rPr>
        <w:tab/>
        <w:t xml:space="preserve">This information is disclosed only to the extent consistent with statutory requirements, current regulations, and prudent business practices.  The collection of information does not include any personally identifiable information; therefore, no Privacy Impact Assessment or </w:t>
      </w:r>
      <w:r w:rsidR="00EB4A95" w:rsidRPr="00A165F0">
        <w:rPr>
          <w:sz w:val="24"/>
          <w:szCs w:val="24"/>
        </w:rPr>
        <w:t>P</w:t>
      </w:r>
      <w:r w:rsidRPr="00A165F0">
        <w:rPr>
          <w:sz w:val="24"/>
          <w:szCs w:val="24"/>
        </w:rPr>
        <w:t>rivacy Act System of Records Notice is required.</w:t>
      </w:r>
    </w:p>
    <w:p w:rsidR="00AA7F77" w:rsidRPr="00A165F0" w:rsidRDefault="00EB4A95" w:rsidP="006505DA">
      <w:pPr>
        <w:tabs>
          <w:tab w:val="left" w:pos="360"/>
          <w:tab w:val="left" w:pos="720"/>
          <w:tab w:val="left" w:pos="1080"/>
        </w:tabs>
        <w:rPr>
          <w:sz w:val="24"/>
          <w:szCs w:val="24"/>
          <w:u w:val="single"/>
        </w:rPr>
      </w:pPr>
      <w:r w:rsidRPr="00A165F0">
        <w:rPr>
          <w:sz w:val="24"/>
          <w:szCs w:val="24"/>
        </w:rPr>
        <w:tab/>
      </w:r>
      <w:r w:rsidR="003C379F" w:rsidRPr="00A165F0">
        <w:rPr>
          <w:sz w:val="24"/>
          <w:szCs w:val="24"/>
        </w:rPr>
        <w:t xml:space="preserve">11. </w:t>
      </w:r>
      <w:r w:rsidR="005B6779" w:rsidRPr="00A165F0">
        <w:rPr>
          <w:sz w:val="24"/>
          <w:szCs w:val="24"/>
        </w:rPr>
        <w:t xml:space="preserve"> </w:t>
      </w:r>
      <w:r w:rsidR="00B8242B" w:rsidRPr="00A165F0">
        <w:rPr>
          <w:sz w:val="24"/>
          <w:szCs w:val="24"/>
          <w:u w:val="single"/>
        </w:rPr>
        <w:t>Sensitive Questions</w:t>
      </w:r>
    </w:p>
    <w:p w:rsidR="00AA7F77" w:rsidRPr="00A165F0" w:rsidRDefault="00AA7F77" w:rsidP="006505DA">
      <w:pPr>
        <w:tabs>
          <w:tab w:val="left" w:pos="360"/>
          <w:tab w:val="left" w:pos="720"/>
          <w:tab w:val="left" w:pos="1080"/>
        </w:tabs>
        <w:rPr>
          <w:sz w:val="24"/>
          <w:szCs w:val="24"/>
          <w:u w:val="single"/>
        </w:rPr>
      </w:pPr>
    </w:p>
    <w:p w:rsidR="003C379F" w:rsidRPr="00A165F0" w:rsidRDefault="00AA7F77" w:rsidP="006505DA">
      <w:pPr>
        <w:tabs>
          <w:tab w:val="left" w:pos="360"/>
          <w:tab w:val="left" w:pos="720"/>
          <w:tab w:val="left" w:pos="1080"/>
        </w:tabs>
        <w:rPr>
          <w:sz w:val="24"/>
          <w:szCs w:val="24"/>
        </w:rPr>
      </w:pPr>
      <w:r w:rsidRPr="00A165F0">
        <w:rPr>
          <w:sz w:val="24"/>
          <w:szCs w:val="24"/>
        </w:rPr>
        <w:tab/>
      </w:r>
      <w:r w:rsidR="00D67F62" w:rsidRPr="00A165F0">
        <w:rPr>
          <w:sz w:val="24"/>
          <w:szCs w:val="24"/>
        </w:rPr>
        <w:tab/>
      </w:r>
      <w:r w:rsidR="003C379F" w:rsidRPr="00A165F0">
        <w:rPr>
          <w:sz w:val="24"/>
          <w:szCs w:val="24"/>
        </w:rPr>
        <w:t>No sensitive questions are involved.</w:t>
      </w:r>
    </w:p>
    <w:p w:rsidR="003C379F" w:rsidRPr="00A165F0" w:rsidRDefault="003C379F" w:rsidP="006505DA">
      <w:pPr>
        <w:tabs>
          <w:tab w:val="left" w:pos="360"/>
          <w:tab w:val="left" w:pos="720"/>
          <w:tab w:val="left" w:pos="1080"/>
        </w:tabs>
        <w:rPr>
          <w:sz w:val="24"/>
          <w:szCs w:val="24"/>
        </w:rPr>
      </w:pPr>
    </w:p>
    <w:p w:rsidR="00A35016" w:rsidRPr="00A165F0" w:rsidRDefault="00EB4A95" w:rsidP="006505DA">
      <w:pPr>
        <w:tabs>
          <w:tab w:val="left" w:pos="360"/>
          <w:tab w:val="left" w:pos="720"/>
          <w:tab w:val="left" w:pos="1080"/>
        </w:tabs>
        <w:rPr>
          <w:sz w:val="24"/>
          <w:szCs w:val="24"/>
        </w:rPr>
      </w:pPr>
      <w:r w:rsidRPr="00A165F0">
        <w:rPr>
          <w:sz w:val="24"/>
          <w:szCs w:val="24"/>
        </w:rPr>
        <w:tab/>
      </w:r>
      <w:r w:rsidR="003C379F" w:rsidRPr="00A165F0">
        <w:rPr>
          <w:sz w:val="24"/>
          <w:szCs w:val="24"/>
        </w:rPr>
        <w:t xml:space="preserve">12. </w:t>
      </w:r>
      <w:r w:rsidR="00AA7F77" w:rsidRPr="00A165F0">
        <w:rPr>
          <w:sz w:val="24"/>
          <w:szCs w:val="24"/>
        </w:rPr>
        <w:t xml:space="preserve"> </w:t>
      </w:r>
      <w:r w:rsidR="00AA7F77" w:rsidRPr="00A165F0">
        <w:rPr>
          <w:sz w:val="24"/>
          <w:szCs w:val="24"/>
          <w:u w:val="single"/>
        </w:rPr>
        <w:t>Respondent Burden and its Labor Costs</w:t>
      </w:r>
      <w:r w:rsidR="003C379F" w:rsidRPr="00A165F0">
        <w:rPr>
          <w:sz w:val="24"/>
          <w:szCs w:val="24"/>
        </w:rPr>
        <w:t xml:space="preserve"> </w:t>
      </w:r>
    </w:p>
    <w:p w:rsidR="005D3420" w:rsidRPr="00A165F0" w:rsidRDefault="005D3420" w:rsidP="006505DA">
      <w:pPr>
        <w:tabs>
          <w:tab w:val="left" w:pos="360"/>
          <w:tab w:val="left" w:pos="720"/>
          <w:tab w:val="left" w:pos="1080"/>
        </w:tabs>
        <w:rPr>
          <w:sz w:val="24"/>
          <w:szCs w:val="24"/>
        </w:rPr>
      </w:pPr>
    </w:p>
    <w:p w:rsidR="0061607E" w:rsidRPr="00A165F0" w:rsidRDefault="0061607E" w:rsidP="00D35BE6">
      <w:pPr>
        <w:ind w:firstLine="720"/>
        <w:rPr>
          <w:sz w:val="24"/>
          <w:szCs w:val="24"/>
        </w:rPr>
      </w:pPr>
      <w:r w:rsidRPr="00A165F0">
        <w:rPr>
          <w:sz w:val="24"/>
          <w:szCs w:val="24"/>
        </w:rPr>
        <w:t>Since the last renewal</w:t>
      </w:r>
      <w:r w:rsidR="001E6986" w:rsidRPr="00A165F0">
        <w:rPr>
          <w:sz w:val="24"/>
          <w:szCs w:val="24"/>
        </w:rPr>
        <w:t xml:space="preserve"> there have been two program changes that have reduced public burden.  A</w:t>
      </w:r>
      <w:r w:rsidRPr="00A165F0">
        <w:rPr>
          <w:sz w:val="24"/>
          <w:szCs w:val="24"/>
        </w:rPr>
        <w:t>n electronic form, WAWF Reparable Receiving Report, has been created in WAWF to be used as the electronic equivalent of the DD Form 250, Material Inspection and Receiving Report, for repair, maintenance, or overhaul of Government furnished property (81 FR 17051, March 25, 2016).  Additionally, a WAWF Energy Receiving Report was created in WAWF</w:t>
      </w:r>
      <w:r w:rsidR="000418C9">
        <w:rPr>
          <w:sz w:val="24"/>
          <w:szCs w:val="24"/>
        </w:rPr>
        <w:t xml:space="preserve"> and was designed</w:t>
      </w:r>
      <w:r w:rsidRPr="00A165F0">
        <w:rPr>
          <w:sz w:val="24"/>
          <w:szCs w:val="24"/>
        </w:rPr>
        <w:t xml:space="preserve"> to be used as the electronic equivalent of the DD 250 for overland shipments and the DD Form 250-1, Tanker/Barge Material Inspection and Receiving Report, for waterborne shipments</w:t>
      </w:r>
      <w:r w:rsidR="001E6986" w:rsidRPr="00A165F0">
        <w:rPr>
          <w:sz w:val="24"/>
          <w:szCs w:val="24"/>
        </w:rPr>
        <w:t xml:space="preserve"> (80 FR 29983, May 26, 2015)</w:t>
      </w:r>
      <w:r w:rsidRPr="00A165F0">
        <w:rPr>
          <w:sz w:val="24"/>
          <w:szCs w:val="24"/>
        </w:rPr>
        <w:t>.</w:t>
      </w:r>
      <w:r w:rsidR="002929BE">
        <w:rPr>
          <w:sz w:val="24"/>
          <w:szCs w:val="24"/>
        </w:rPr>
        <w:t xml:space="preserve">  </w:t>
      </w:r>
      <w:r w:rsidR="00D35BE6" w:rsidRPr="00A165F0">
        <w:rPr>
          <w:sz w:val="24"/>
          <w:szCs w:val="24"/>
        </w:rPr>
        <w:t>As a result of the</w:t>
      </w:r>
      <w:r w:rsidR="002929BE">
        <w:rPr>
          <w:sz w:val="24"/>
          <w:szCs w:val="24"/>
        </w:rPr>
        <w:t>se</w:t>
      </w:r>
      <w:r w:rsidR="001E6986" w:rsidRPr="00A165F0">
        <w:rPr>
          <w:sz w:val="24"/>
          <w:szCs w:val="24"/>
        </w:rPr>
        <w:t xml:space="preserve"> two</w:t>
      </w:r>
      <w:r w:rsidR="00D35BE6" w:rsidRPr="00A165F0">
        <w:rPr>
          <w:sz w:val="24"/>
          <w:szCs w:val="24"/>
        </w:rPr>
        <w:t xml:space="preserve"> initiatives, v</w:t>
      </w:r>
      <w:r w:rsidRPr="00A165F0">
        <w:rPr>
          <w:sz w:val="24"/>
          <w:szCs w:val="24"/>
        </w:rPr>
        <w:t xml:space="preserve">ery few </w:t>
      </w:r>
      <w:r w:rsidR="00D35BE6" w:rsidRPr="00A165F0">
        <w:rPr>
          <w:sz w:val="24"/>
          <w:szCs w:val="24"/>
        </w:rPr>
        <w:t xml:space="preserve">manual (paper) </w:t>
      </w:r>
      <w:r w:rsidRPr="00A165F0">
        <w:rPr>
          <w:sz w:val="24"/>
          <w:szCs w:val="24"/>
        </w:rPr>
        <w:t>DD Form 250</w:t>
      </w:r>
      <w:r w:rsidR="00D35BE6" w:rsidRPr="00A165F0">
        <w:rPr>
          <w:sz w:val="24"/>
          <w:szCs w:val="24"/>
        </w:rPr>
        <w:t xml:space="preserve"> submissions are processed as there is</w:t>
      </w:r>
      <w:r w:rsidR="000418C9">
        <w:rPr>
          <w:sz w:val="24"/>
          <w:szCs w:val="24"/>
        </w:rPr>
        <w:t xml:space="preserve"> now</w:t>
      </w:r>
      <w:r w:rsidR="00D35BE6" w:rsidRPr="00A165F0">
        <w:rPr>
          <w:sz w:val="24"/>
          <w:szCs w:val="24"/>
        </w:rPr>
        <w:t xml:space="preserve"> an equivalent </w:t>
      </w:r>
      <w:r w:rsidR="002929BE">
        <w:rPr>
          <w:sz w:val="24"/>
          <w:szCs w:val="24"/>
        </w:rPr>
        <w:t>automated</w:t>
      </w:r>
      <w:r w:rsidR="00D35BE6" w:rsidRPr="00A165F0">
        <w:rPr>
          <w:sz w:val="24"/>
          <w:szCs w:val="24"/>
        </w:rPr>
        <w:t xml:space="preserve"> form for each type of </w:t>
      </w:r>
      <w:r w:rsidR="001E6986" w:rsidRPr="00A165F0">
        <w:rPr>
          <w:sz w:val="24"/>
          <w:szCs w:val="24"/>
        </w:rPr>
        <w:t xml:space="preserve">receiving report </w:t>
      </w:r>
      <w:r w:rsidR="00D35BE6" w:rsidRPr="00A165F0">
        <w:rPr>
          <w:sz w:val="24"/>
          <w:szCs w:val="24"/>
        </w:rPr>
        <w:t xml:space="preserve">transaction.  Consequently, the calculations for this renewal rely </w:t>
      </w:r>
      <w:r w:rsidR="00A165F0" w:rsidRPr="00A165F0">
        <w:rPr>
          <w:sz w:val="24"/>
          <w:szCs w:val="24"/>
        </w:rPr>
        <w:t>solely</w:t>
      </w:r>
      <w:r w:rsidR="00D35BE6" w:rsidRPr="00A165F0">
        <w:rPr>
          <w:sz w:val="24"/>
          <w:szCs w:val="24"/>
        </w:rPr>
        <w:t xml:space="preserve"> on the electronic data submissions to WAWF.</w:t>
      </w:r>
    </w:p>
    <w:p w:rsidR="0061607E" w:rsidRPr="00A165F0" w:rsidRDefault="0061607E" w:rsidP="006505DA">
      <w:pPr>
        <w:tabs>
          <w:tab w:val="left" w:pos="360"/>
          <w:tab w:val="left" w:pos="720"/>
          <w:tab w:val="left" w:pos="1080"/>
        </w:tabs>
        <w:rPr>
          <w:sz w:val="24"/>
          <w:szCs w:val="24"/>
        </w:rPr>
      </w:pPr>
    </w:p>
    <w:p w:rsidR="000418C9" w:rsidRDefault="0061607E" w:rsidP="006505DA">
      <w:pPr>
        <w:tabs>
          <w:tab w:val="left" w:pos="360"/>
          <w:tab w:val="left" w:pos="720"/>
          <w:tab w:val="left" w:pos="1080"/>
        </w:tabs>
        <w:rPr>
          <w:sz w:val="24"/>
          <w:szCs w:val="24"/>
        </w:rPr>
      </w:pPr>
      <w:r w:rsidRPr="00A165F0">
        <w:rPr>
          <w:sz w:val="24"/>
          <w:szCs w:val="24"/>
        </w:rPr>
        <w:tab/>
      </w:r>
      <w:r w:rsidR="000418C9">
        <w:rPr>
          <w:sz w:val="24"/>
          <w:szCs w:val="24"/>
        </w:rPr>
        <w:tab/>
      </w:r>
      <w:r w:rsidR="005D3420" w:rsidRPr="00A165F0">
        <w:rPr>
          <w:sz w:val="24"/>
          <w:szCs w:val="24"/>
        </w:rPr>
        <w:t xml:space="preserve">According to </w:t>
      </w:r>
      <w:r w:rsidR="001172B5" w:rsidRPr="00A165F0">
        <w:rPr>
          <w:sz w:val="24"/>
          <w:szCs w:val="24"/>
        </w:rPr>
        <w:t>fiscal year</w:t>
      </w:r>
      <w:r w:rsidR="002929BE">
        <w:rPr>
          <w:sz w:val="24"/>
          <w:szCs w:val="24"/>
        </w:rPr>
        <w:t xml:space="preserve"> (FY)</w:t>
      </w:r>
      <w:r w:rsidR="001172B5" w:rsidRPr="00A165F0">
        <w:rPr>
          <w:sz w:val="24"/>
          <w:szCs w:val="24"/>
        </w:rPr>
        <w:t xml:space="preserve"> 2016 </w:t>
      </w:r>
      <w:r w:rsidR="005D3420" w:rsidRPr="00A165F0">
        <w:rPr>
          <w:sz w:val="24"/>
          <w:szCs w:val="24"/>
        </w:rPr>
        <w:t>data available in</w:t>
      </w:r>
      <w:r w:rsidR="001172B5" w:rsidRPr="00A165F0">
        <w:rPr>
          <w:sz w:val="24"/>
          <w:szCs w:val="24"/>
        </w:rPr>
        <w:t xml:space="preserve"> WAWF,</w:t>
      </w:r>
      <w:r w:rsidR="005D3420" w:rsidRPr="00A165F0">
        <w:rPr>
          <w:sz w:val="24"/>
          <w:szCs w:val="24"/>
        </w:rPr>
        <w:t xml:space="preserve"> there </w:t>
      </w:r>
      <w:r w:rsidR="001172B5" w:rsidRPr="00A165F0">
        <w:rPr>
          <w:sz w:val="24"/>
          <w:szCs w:val="24"/>
        </w:rPr>
        <w:t>were</w:t>
      </w:r>
      <w:r w:rsidR="005D3420" w:rsidRPr="00A165F0">
        <w:rPr>
          <w:sz w:val="24"/>
          <w:szCs w:val="24"/>
        </w:rPr>
        <w:t xml:space="preserve"> approximately 336,000 </w:t>
      </w:r>
      <w:r w:rsidR="001172B5" w:rsidRPr="00A165F0">
        <w:rPr>
          <w:sz w:val="24"/>
          <w:szCs w:val="24"/>
        </w:rPr>
        <w:t xml:space="preserve">individual </w:t>
      </w:r>
      <w:r w:rsidR="005D3420" w:rsidRPr="00A165F0">
        <w:rPr>
          <w:sz w:val="24"/>
          <w:szCs w:val="24"/>
        </w:rPr>
        <w:t xml:space="preserve">contractor </w:t>
      </w:r>
      <w:r w:rsidR="000418C9">
        <w:rPr>
          <w:sz w:val="24"/>
          <w:szCs w:val="24"/>
        </w:rPr>
        <w:t>personnel using</w:t>
      </w:r>
      <w:r w:rsidR="001172B5" w:rsidRPr="00A165F0">
        <w:rPr>
          <w:sz w:val="24"/>
          <w:szCs w:val="24"/>
        </w:rPr>
        <w:t xml:space="preserve"> WAWF</w:t>
      </w:r>
      <w:r w:rsidR="000418C9">
        <w:rPr>
          <w:sz w:val="24"/>
          <w:szCs w:val="24"/>
        </w:rPr>
        <w:t>.  These users</w:t>
      </w:r>
      <w:r w:rsidR="001172B5" w:rsidRPr="00A165F0">
        <w:rPr>
          <w:sz w:val="24"/>
          <w:szCs w:val="24"/>
        </w:rPr>
        <w:t xml:space="preserve"> represent</w:t>
      </w:r>
      <w:r w:rsidR="005D3420" w:rsidRPr="00A165F0">
        <w:rPr>
          <w:sz w:val="24"/>
          <w:szCs w:val="24"/>
        </w:rPr>
        <w:t xml:space="preserve"> 153,</w:t>
      </w:r>
      <w:r w:rsidR="001172B5" w:rsidRPr="00A165F0">
        <w:rPr>
          <w:sz w:val="24"/>
          <w:szCs w:val="24"/>
        </w:rPr>
        <w:t>000 unique entities (companies)</w:t>
      </w:r>
      <w:r w:rsidR="000418C9">
        <w:rPr>
          <w:sz w:val="24"/>
          <w:szCs w:val="24"/>
        </w:rPr>
        <w:t>,</w:t>
      </w:r>
      <w:r w:rsidR="001172B5" w:rsidRPr="00A165F0">
        <w:rPr>
          <w:sz w:val="24"/>
          <w:szCs w:val="24"/>
        </w:rPr>
        <w:t xml:space="preserve"> </w:t>
      </w:r>
      <w:r w:rsidR="000418C9">
        <w:rPr>
          <w:sz w:val="24"/>
          <w:szCs w:val="24"/>
        </w:rPr>
        <w:t>and</w:t>
      </w:r>
      <w:r w:rsidR="001172B5" w:rsidRPr="00A165F0">
        <w:rPr>
          <w:sz w:val="24"/>
          <w:szCs w:val="24"/>
        </w:rPr>
        <w:t xml:space="preserve"> </w:t>
      </w:r>
      <w:r w:rsidR="000418C9">
        <w:rPr>
          <w:sz w:val="24"/>
          <w:szCs w:val="24"/>
        </w:rPr>
        <w:t xml:space="preserve">they </w:t>
      </w:r>
      <w:r w:rsidR="001172B5" w:rsidRPr="00A165F0">
        <w:rPr>
          <w:sz w:val="24"/>
          <w:szCs w:val="24"/>
        </w:rPr>
        <w:t>processed approximately 2.8 million receiving reports</w:t>
      </w:r>
      <w:r w:rsidR="002929BE">
        <w:rPr>
          <w:sz w:val="24"/>
          <w:szCs w:val="24"/>
        </w:rPr>
        <w:t xml:space="preserve"> during FY 2016</w:t>
      </w:r>
      <w:r w:rsidR="001172B5" w:rsidRPr="00A165F0">
        <w:rPr>
          <w:sz w:val="24"/>
          <w:szCs w:val="24"/>
        </w:rPr>
        <w:t>.</w:t>
      </w:r>
      <w:r w:rsidR="005D3420" w:rsidRPr="00A165F0">
        <w:rPr>
          <w:sz w:val="24"/>
          <w:szCs w:val="24"/>
        </w:rPr>
        <w:t xml:space="preserve"> </w:t>
      </w:r>
      <w:r w:rsidR="00D35BE6" w:rsidRPr="00A165F0">
        <w:rPr>
          <w:sz w:val="24"/>
          <w:szCs w:val="24"/>
        </w:rPr>
        <w:t xml:space="preserve"> </w:t>
      </w:r>
    </w:p>
    <w:p w:rsidR="000418C9" w:rsidRDefault="000418C9" w:rsidP="006505DA">
      <w:pPr>
        <w:tabs>
          <w:tab w:val="left" w:pos="360"/>
          <w:tab w:val="left" w:pos="720"/>
          <w:tab w:val="left" w:pos="1080"/>
        </w:tabs>
        <w:rPr>
          <w:sz w:val="24"/>
          <w:szCs w:val="24"/>
        </w:rPr>
      </w:pPr>
    </w:p>
    <w:p w:rsidR="005D3420" w:rsidRDefault="000418C9" w:rsidP="000418C9">
      <w:pPr>
        <w:tabs>
          <w:tab w:val="left" w:pos="360"/>
          <w:tab w:val="left" w:pos="720"/>
          <w:tab w:val="left" w:pos="1080"/>
        </w:tabs>
        <w:ind w:left="90"/>
        <w:rPr>
          <w:sz w:val="24"/>
          <w:szCs w:val="24"/>
        </w:rPr>
      </w:pPr>
      <w:r>
        <w:rPr>
          <w:sz w:val="24"/>
          <w:szCs w:val="24"/>
        </w:rPr>
        <w:tab/>
      </w:r>
      <w:r>
        <w:rPr>
          <w:sz w:val="24"/>
          <w:szCs w:val="24"/>
        </w:rPr>
        <w:tab/>
      </w:r>
      <w:r w:rsidR="00D35BE6" w:rsidRPr="00A165F0">
        <w:rPr>
          <w:sz w:val="24"/>
          <w:szCs w:val="24"/>
        </w:rPr>
        <w:t>Prior inquiries with contractors that use the WAWF</w:t>
      </w:r>
      <w:r w:rsidR="002929BE">
        <w:rPr>
          <w:sz w:val="24"/>
          <w:szCs w:val="24"/>
        </w:rPr>
        <w:t xml:space="preserve"> electronic</w:t>
      </w:r>
      <w:r w:rsidR="00D35BE6" w:rsidRPr="00A165F0">
        <w:rPr>
          <w:sz w:val="24"/>
          <w:szCs w:val="24"/>
        </w:rPr>
        <w:t xml:space="preserve"> </w:t>
      </w:r>
      <w:r w:rsidR="002929BE">
        <w:rPr>
          <w:sz w:val="24"/>
          <w:szCs w:val="24"/>
        </w:rPr>
        <w:t>receiving reports</w:t>
      </w:r>
      <w:r w:rsidR="00D35BE6" w:rsidRPr="00A165F0">
        <w:rPr>
          <w:sz w:val="24"/>
          <w:szCs w:val="24"/>
        </w:rPr>
        <w:t xml:space="preserve"> extensively have indicated that it takes no more than one minute to prepare the forms electronically</w:t>
      </w:r>
      <w:r w:rsidR="002929BE">
        <w:rPr>
          <w:sz w:val="24"/>
          <w:szCs w:val="24"/>
        </w:rPr>
        <w:t>.  This reduced timeframe is because</w:t>
      </w:r>
      <w:r w:rsidR="006C7C33" w:rsidRPr="00A165F0">
        <w:rPr>
          <w:sz w:val="24"/>
          <w:szCs w:val="24"/>
        </w:rPr>
        <w:t xml:space="preserve"> many WAWF receiving report data elements are prepopulated from either the contract or a previously submitted receiving report.</w:t>
      </w:r>
      <w:r w:rsidR="00D35BE6" w:rsidRPr="00A165F0">
        <w:rPr>
          <w:sz w:val="24"/>
          <w:szCs w:val="24"/>
        </w:rPr>
        <w:t xml:space="preserve"> </w:t>
      </w:r>
      <w:r w:rsidR="005D3420" w:rsidRPr="00A165F0">
        <w:rPr>
          <w:sz w:val="24"/>
          <w:szCs w:val="24"/>
        </w:rPr>
        <w:t xml:space="preserve"> </w:t>
      </w:r>
      <w:r w:rsidR="001E6986" w:rsidRPr="00A165F0">
        <w:rPr>
          <w:sz w:val="24"/>
          <w:szCs w:val="24"/>
        </w:rPr>
        <w:t xml:space="preserve">As a conservative </w:t>
      </w:r>
      <w:r w:rsidRPr="00A165F0">
        <w:rPr>
          <w:sz w:val="24"/>
          <w:szCs w:val="24"/>
        </w:rPr>
        <w:t>approximation</w:t>
      </w:r>
      <w:r w:rsidR="001E6986" w:rsidRPr="00A165F0">
        <w:rPr>
          <w:sz w:val="24"/>
          <w:szCs w:val="24"/>
        </w:rPr>
        <w:t>, an estimate of three minutes per report (.05/hour) is used to accommodate time to upload any</w:t>
      </w:r>
      <w:r>
        <w:rPr>
          <w:sz w:val="24"/>
          <w:szCs w:val="24"/>
        </w:rPr>
        <w:t xml:space="preserve"> </w:t>
      </w:r>
      <w:r w:rsidR="002929BE">
        <w:rPr>
          <w:sz w:val="24"/>
          <w:szCs w:val="24"/>
        </w:rPr>
        <w:t>required</w:t>
      </w:r>
      <w:r>
        <w:rPr>
          <w:sz w:val="24"/>
          <w:szCs w:val="24"/>
        </w:rPr>
        <w:t xml:space="preserve"> documentation/</w:t>
      </w:r>
      <w:r w:rsidR="001E6986" w:rsidRPr="00A165F0">
        <w:rPr>
          <w:sz w:val="24"/>
          <w:szCs w:val="24"/>
        </w:rPr>
        <w:t>attachments and to account for the very few manual (paper) DD Form 250 reports that may be processed</w:t>
      </w:r>
      <w:r w:rsidR="002929BE">
        <w:rPr>
          <w:sz w:val="24"/>
          <w:szCs w:val="24"/>
        </w:rPr>
        <w:t xml:space="preserve"> outside of the WAWF system</w:t>
      </w:r>
      <w:r w:rsidR="001E6986" w:rsidRPr="00A165F0">
        <w:rPr>
          <w:sz w:val="24"/>
          <w:szCs w:val="24"/>
        </w:rPr>
        <w:t>.</w:t>
      </w:r>
    </w:p>
    <w:p w:rsidR="000418C9" w:rsidRDefault="000418C9" w:rsidP="006505DA">
      <w:pPr>
        <w:tabs>
          <w:tab w:val="left" w:pos="360"/>
          <w:tab w:val="left" w:pos="720"/>
          <w:tab w:val="left" w:pos="1080"/>
        </w:tabs>
        <w:rPr>
          <w:sz w:val="24"/>
          <w:szCs w:val="24"/>
        </w:rPr>
      </w:pPr>
    </w:p>
    <w:p w:rsidR="002929BE" w:rsidRDefault="002929BE" w:rsidP="006505DA">
      <w:pPr>
        <w:tabs>
          <w:tab w:val="left" w:pos="360"/>
          <w:tab w:val="left" w:pos="720"/>
          <w:tab w:val="left" w:pos="1080"/>
        </w:tabs>
        <w:rPr>
          <w:sz w:val="24"/>
          <w:szCs w:val="24"/>
        </w:rPr>
      </w:pPr>
    </w:p>
    <w:p w:rsidR="006C6CCB" w:rsidRPr="00A165F0" w:rsidRDefault="006C6CCB" w:rsidP="006505DA">
      <w:pPr>
        <w:tabs>
          <w:tab w:val="left" w:pos="360"/>
          <w:tab w:val="left" w:pos="720"/>
          <w:tab w:val="left" w:pos="1080"/>
        </w:tabs>
        <w:rPr>
          <w:sz w:val="24"/>
          <w:szCs w:val="24"/>
        </w:rPr>
      </w:pPr>
    </w:p>
    <w:tbl>
      <w:tblPr>
        <w:tblW w:w="713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43"/>
      </w:tblGrid>
      <w:tr w:rsidR="00B855A8" w:rsidRPr="00A165F0" w:rsidTr="002966AE">
        <w:trPr>
          <w:trHeight w:val="386"/>
        </w:trPr>
        <w:tc>
          <w:tcPr>
            <w:tcW w:w="7133" w:type="dxa"/>
            <w:gridSpan w:val="2"/>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pPr>
              <w:tabs>
                <w:tab w:val="left" w:pos="360"/>
                <w:tab w:val="left" w:pos="720"/>
                <w:tab w:val="left" w:pos="1080"/>
              </w:tabs>
              <w:spacing w:before="100" w:beforeAutospacing="1" w:after="100" w:afterAutospacing="1" w:line="288" w:lineRule="atLeast"/>
              <w:jc w:val="center"/>
              <w:rPr>
                <w:sz w:val="24"/>
                <w:szCs w:val="24"/>
              </w:rPr>
            </w:pPr>
            <w:r w:rsidRPr="00A165F0">
              <w:rPr>
                <w:sz w:val="24"/>
                <w:szCs w:val="24"/>
              </w:rPr>
              <w:t xml:space="preserve">Estimation of Respondent Burden: </w:t>
            </w:r>
            <w:r w:rsidR="001E6986" w:rsidRPr="00A165F0">
              <w:rPr>
                <w:sz w:val="24"/>
                <w:szCs w:val="24"/>
              </w:rPr>
              <w:t xml:space="preserve"> </w:t>
            </w:r>
            <w:r w:rsidRPr="00A165F0">
              <w:rPr>
                <w:sz w:val="24"/>
                <w:szCs w:val="24"/>
              </w:rPr>
              <w:t>DFARS Appendix F</w:t>
            </w:r>
          </w:p>
        </w:tc>
      </w:tr>
      <w:tr w:rsidR="00B855A8" w:rsidRPr="00A165F0" w:rsidTr="002966AE">
        <w:trPr>
          <w:trHeight w:val="386"/>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A165F0">
            <w:pPr>
              <w:tabs>
                <w:tab w:val="left" w:pos="360"/>
                <w:tab w:val="left" w:pos="720"/>
                <w:tab w:val="left" w:pos="1080"/>
              </w:tabs>
              <w:rPr>
                <w:color w:val="000000"/>
                <w:sz w:val="24"/>
                <w:szCs w:val="24"/>
              </w:rPr>
            </w:pPr>
            <w:r w:rsidRPr="00A165F0">
              <w:rPr>
                <w:color w:val="000000"/>
                <w:sz w:val="24"/>
                <w:szCs w:val="24"/>
              </w:rPr>
              <w:t xml:space="preserve">Number of respondents </w:t>
            </w:r>
            <w:r w:rsidR="00A165F0" w:rsidRPr="00A165F0">
              <w:rPr>
                <w:color w:val="000000"/>
                <w:sz w:val="24"/>
                <w:szCs w:val="24"/>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7A7919">
            <w:pPr>
              <w:tabs>
                <w:tab w:val="left" w:pos="360"/>
                <w:tab w:val="left" w:pos="720"/>
                <w:tab w:val="left" w:pos="1080"/>
              </w:tabs>
              <w:jc w:val="right"/>
              <w:rPr>
                <w:sz w:val="24"/>
                <w:szCs w:val="24"/>
              </w:rPr>
            </w:pPr>
            <w:r w:rsidRPr="00A165F0">
              <w:rPr>
                <w:sz w:val="24"/>
                <w:szCs w:val="24"/>
              </w:rPr>
              <w:t>153,000</w:t>
            </w:r>
          </w:p>
        </w:tc>
      </w:tr>
      <w:tr w:rsidR="00B855A8" w:rsidRPr="00A165F0" w:rsidTr="002966AE">
        <w:trPr>
          <w:trHeight w:val="422"/>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B66568">
            <w:pPr>
              <w:tabs>
                <w:tab w:val="left" w:pos="360"/>
                <w:tab w:val="left" w:pos="720"/>
                <w:tab w:val="left" w:pos="1080"/>
              </w:tabs>
              <w:rPr>
                <w:color w:val="000000"/>
                <w:sz w:val="24"/>
                <w:szCs w:val="24"/>
              </w:rPr>
            </w:pPr>
            <w:r w:rsidRPr="00A165F0">
              <w:rPr>
                <w:color w:val="000000"/>
                <w:sz w:val="24"/>
                <w:szCs w:val="24"/>
              </w:rPr>
              <w:t xml:space="preserve">Responses per respondent </w:t>
            </w:r>
            <w:r w:rsidR="005D5A26" w:rsidRPr="00A165F0">
              <w:rPr>
                <w:color w:val="000000"/>
                <w:sz w:val="24"/>
                <w:szCs w:val="24"/>
              </w:rPr>
              <w:t xml:space="preserve"> (</w:t>
            </w:r>
            <w:r w:rsidR="00B66568">
              <w:rPr>
                <w:color w:val="000000"/>
                <w:sz w:val="24"/>
                <w:szCs w:val="24"/>
              </w:rPr>
              <w:t>rounded down from 18.3</w:t>
            </w:r>
            <w:r w:rsidR="005D5A26" w:rsidRPr="00A165F0">
              <w:rPr>
                <w:color w:val="000000"/>
                <w:sz w:val="24"/>
                <w:szCs w:val="24"/>
              </w:rPr>
              <w:t>)</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4257BB" w:rsidP="00835A4C">
            <w:pPr>
              <w:tabs>
                <w:tab w:val="left" w:pos="360"/>
                <w:tab w:val="left" w:pos="720"/>
                <w:tab w:val="left" w:pos="1080"/>
              </w:tabs>
              <w:jc w:val="right"/>
              <w:rPr>
                <w:sz w:val="24"/>
                <w:szCs w:val="24"/>
              </w:rPr>
            </w:pPr>
            <w:r w:rsidRPr="00A165F0">
              <w:rPr>
                <w:sz w:val="24"/>
                <w:szCs w:val="24"/>
              </w:rPr>
              <w:t>18</w:t>
            </w:r>
          </w:p>
        </w:tc>
      </w:tr>
      <w:tr w:rsidR="00B855A8" w:rsidRPr="00A165F0" w:rsidTr="002966AE">
        <w:trPr>
          <w:trHeight w:val="431"/>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A165F0">
            <w:pPr>
              <w:tabs>
                <w:tab w:val="left" w:pos="360"/>
                <w:tab w:val="left" w:pos="720"/>
                <w:tab w:val="left" w:pos="1080"/>
              </w:tabs>
              <w:rPr>
                <w:color w:val="000000"/>
                <w:sz w:val="24"/>
                <w:szCs w:val="24"/>
              </w:rPr>
            </w:pPr>
            <w:r w:rsidRPr="00A165F0">
              <w:rPr>
                <w:color w:val="000000"/>
                <w:sz w:val="24"/>
                <w:szCs w:val="24"/>
              </w:rPr>
              <w:t xml:space="preserve">Number of responses </w:t>
            </w:r>
            <w:r w:rsidR="00A165F0" w:rsidRPr="00A165F0">
              <w:rPr>
                <w:color w:val="000000"/>
                <w:sz w:val="24"/>
                <w:szCs w:val="24"/>
              </w:rPr>
              <w:t xml:space="preserve"> </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4257BB">
            <w:pPr>
              <w:tabs>
                <w:tab w:val="left" w:pos="360"/>
                <w:tab w:val="left" w:pos="720"/>
                <w:tab w:val="left" w:pos="1080"/>
              </w:tabs>
              <w:jc w:val="right"/>
              <w:rPr>
                <w:sz w:val="24"/>
                <w:szCs w:val="24"/>
              </w:rPr>
            </w:pPr>
            <w:r w:rsidRPr="00A165F0">
              <w:rPr>
                <w:sz w:val="24"/>
                <w:szCs w:val="24"/>
              </w:rPr>
              <w:t>2,800,000</w:t>
            </w:r>
          </w:p>
        </w:tc>
      </w:tr>
      <w:tr w:rsidR="00B855A8" w:rsidRPr="00A165F0" w:rsidTr="002966AE">
        <w:trPr>
          <w:trHeight w:val="440"/>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A6489E" w:rsidP="00A165F0">
            <w:pPr>
              <w:tabs>
                <w:tab w:val="left" w:pos="360"/>
                <w:tab w:val="left" w:pos="720"/>
                <w:tab w:val="left" w:pos="1080"/>
              </w:tabs>
              <w:rPr>
                <w:color w:val="000000"/>
                <w:sz w:val="24"/>
                <w:szCs w:val="24"/>
              </w:rPr>
            </w:pPr>
            <w:r w:rsidRPr="00A165F0">
              <w:rPr>
                <w:color w:val="000000"/>
                <w:sz w:val="24"/>
                <w:szCs w:val="24"/>
              </w:rPr>
              <w:t xml:space="preserve">Hours per response </w:t>
            </w:r>
            <w:r w:rsidR="00A165F0" w:rsidRPr="00A165F0">
              <w:rPr>
                <w:color w:val="000000"/>
                <w:sz w:val="24"/>
                <w:szCs w:val="24"/>
              </w:rPr>
              <w:t xml:space="preserve"> </w:t>
            </w:r>
            <w:r w:rsidR="002966AE">
              <w:rPr>
                <w:color w:val="000000"/>
                <w:sz w:val="24"/>
                <w:szCs w:val="24"/>
              </w:rPr>
              <w:t>(3 minutes)</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A6489E" w:rsidP="002966AE">
            <w:pPr>
              <w:tabs>
                <w:tab w:val="left" w:pos="360"/>
                <w:tab w:val="left" w:pos="720"/>
                <w:tab w:val="left" w:pos="1080"/>
              </w:tabs>
              <w:jc w:val="right"/>
              <w:rPr>
                <w:sz w:val="24"/>
                <w:szCs w:val="24"/>
              </w:rPr>
            </w:pPr>
            <w:r w:rsidRPr="00A165F0">
              <w:rPr>
                <w:sz w:val="24"/>
                <w:szCs w:val="24"/>
              </w:rPr>
              <w:t>.0</w:t>
            </w:r>
            <w:r w:rsidR="006C7C33" w:rsidRPr="00A165F0">
              <w:rPr>
                <w:sz w:val="24"/>
                <w:szCs w:val="24"/>
              </w:rPr>
              <w:t>5</w:t>
            </w:r>
            <w:r w:rsidR="008D52B6" w:rsidRPr="00A165F0">
              <w:rPr>
                <w:sz w:val="24"/>
                <w:szCs w:val="24"/>
              </w:rPr>
              <w:t xml:space="preserve">         </w:t>
            </w:r>
          </w:p>
        </w:tc>
      </w:tr>
      <w:tr w:rsidR="00B855A8" w:rsidRPr="00A165F0" w:rsidTr="002966AE">
        <w:trPr>
          <w:trHeight w:val="449"/>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460B9D">
            <w:pPr>
              <w:tabs>
                <w:tab w:val="left" w:pos="360"/>
                <w:tab w:val="left" w:pos="720"/>
                <w:tab w:val="left" w:pos="1080"/>
              </w:tabs>
              <w:rPr>
                <w:color w:val="000000"/>
                <w:sz w:val="24"/>
                <w:szCs w:val="24"/>
              </w:rPr>
            </w:pPr>
            <w:r w:rsidRPr="00A165F0">
              <w:rPr>
                <w:color w:val="000000"/>
                <w:sz w:val="24"/>
                <w:szCs w:val="24"/>
              </w:rPr>
              <w:t xml:space="preserve">Estimated hours </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1E6986" w:rsidP="00BD71D9">
            <w:pPr>
              <w:tabs>
                <w:tab w:val="left" w:pos="360"/>
                <w:tab w:val="left" w:pos="720"/>
                <w:tab w:val="left" w:pos="1080"/>
              </w:tabs>
              <w:jc w:val="right"/>
              <w:rPr>
                <w:sz w:val="24"/>
                <w:szCs w:val="24"/>
              </w:rPr>
            </w:pPr>
            <w:r w:rsidRPr="00A165F0">
              <w:rPr>
                <w:sz w:val="24"/>
                <w:szCs w:val="24"/>
              </w:rPr>
              <w:t>140</w:t>
            </w:r>
            <w:r w:rsidR="004257BB" w:rsidRPr="00A165F0">
              <w:rPr>
                <w:sz w:val="24"/>
                <w:szCs w:val="24"/>
              </w:rPr>
              <w:t>,000</w:t>
            </w:r>
          </w:p>
        </w:tc>
      </w:tr>
      <w:tr w:rsidR="00B855A8" w:rsidRPr="00A165F0" w:rsidTr="002966AE">
        <w:trPr>
          <w:trHeight w:val="431"/>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A165F0" w:rsidP="00550E7A">
            <w:pPr>
              <w:tabs>
                <w:tab w:val="left" w:pos="360"/>
                <w:tab w:val="left" w:pos="720"/>
                <w:tab w:val="left" w:pos="1080"/>
              </w:tabs>
              <w:rPr>
                <w:color w:val="000000"/>
                <w:sz w:val="24"/>
                <w:szCs w:val="24"/>
              </w:rPr>
            </w:pPr>
            <w:r w:rsidRPr="00A165F0">
              <w:rPr>
                <w:color w:val="000000"/>
                <w:sz w:val="24"/>
                <w:szCs w:val="24"/>
              </w:rPr>
              <w:t>Cost per hour (hourly wage)</w:t>
            </w:r>
            <w:r w:rsidR="000418C9">
              <w:rPr>
                <w:color w:val="000000"/>
                <w:sz w:val="24"/>
                <w:szCs w:val="24"/>
              </w:rPr>
              <w:t>(</w:t>
            </w:r>
            <w:r w:rsidR="00550E7A">
              <w:rPr>
                <w:color w:val="000000"/>
                <w:sz w:val="24"/>
                <w:szCs w:val="24"/>
              </w:rPr>
              <w:t>See Note</w:t>
            </w:r>
            <w:r w:rsidR="000418C9">
              <w:rPr>
                <w:color w:val="000000"/>
                <w:sz w:val="24"/>
                <w:szCs w:val="24"/>
              </w:rPr>
              <w:t>)</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BD71D9" w:rsidP="005D0DFC">
            <w:pPr>
              <w:tabs>
                <w:tab w:val="left" w:pos="360"/>
                <w:tab w:val="left" w:pos="720"/>
                <w:tab w:val="left" w:pos="1080"/>
              </w:tabs>
              <w:jc w:val="right"/>
              <w:rPr>
                <w:sz w:val="24"/>
                <w:szCs w:val="24"/>
              </w:rPr>
            </w:pPr>
            <w:r w:rsidRPr="00A165F0">
              <w:rPr>
                <w:sz w:val="24"/>
                <w:szCs w:val="24"/>
              </w:rPr>
              <w:t>$3</w:t>
            </w:r>
            <w:r w:rsidR="005D0DFC" w:rsidRPr="00A165F0">
              <w:rPr>
                <w:sz w:val="24"/>
                <w:szCs w:val="24"/>
              </w:rPr>
              <w:t>7</w:t>
            </w:r>
          </w:p>
        </w:tc>
      </w:tr>
      <w:tr w:rsidR="00B855A8" w:rsidRPr="00A165F0" w:rsidTr="002966AE">
        <w:trPr>
          <w:trHeight w:val="440"/>
        </w:trPr>
        <w:tc>
          <w:tcPr>
            <w:tcW w:w="5490" w:type="dxa"/>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460B9D">
            <w:pPr>
              <w:tabs>
                <w:tab w:val="left" w:pos="360"/>
                <w:tab w:val="left" w:pos="720"/>
                <w:tab w:val="left" w:pos="1080"/>
              </w:tabs>
              <w:rPr>
                <w:color w:val="000000"/>
                <w:sz w:val="24"/>
                <w:szCs w:val="24"/>
              </w:rPr>
            </w:pPr>
            <w:r w:rsidRPr="00A165F0">
              <w:rPr>
                <w:color w:val="000000"/>
                <w:sz w:val="24"/>
                <w:szCs w:val="24"/>
              </w:rPr>
              <w:t xml:space="preserve">Annual public burden </w:t>
            </w:r>
          </w:p>
        </w:tc>
        <w:tc>
          <w:tcPr>
            <w:tcW w:w="1643" w:type="dxa"/>
            <w:tcBorders>
              <w:top w:val="single" w:sz="4" w:space="0" w:color="auto"/>
              <w:left w:val="single" w:sz="4" w:space="0" w:color="auto"/>
              <w:bottom w:val="single" w:sz="4" w:space="0" w:color="auto"/>
              <w:right w:val="single" w:sz="4" w:space="0" w:color="auto"/>
            </w:tcBorders>
            <w:vAlign w:val="center"/>
          </w:tcPr>
          <w:p w:rsidR="00B855A8" w:rsidRPr="00A165F0" w:rsidRDefault="004257BB" w:rsidP="001E6986">
            <w:pPr>
              <w:tabs>
                <w:tab w:val="left" w:pos="360"/>
                <w:tab w:val="left" w:pos="720"/>
                <w:tab w:val="left" w:pos="1080"/>
              </w:tabs>
              <w:jc w:val="right"/>
              <w:rPr>
                <w:sz w:val="24"/>
                <w:szCs w:val="24"/>
              </w:rPr>
            </w:pPr>
            <w:r w:rsidRPr="00A165F0">
              <w:rPr>
                <w:sz w:val="24"/>
                <w:szCs w:val="24"/>
              </w:rPr>
              <w:t>$</w:t>
            </w:r>
            <w:r w:rsidR="001E6986" w:rsidRPr="00A165F0">
              <w:rPr>
                <w:sz w:val="24"/>
                <w:szCs w:val="24"/>
              </w:rPr>
              <w:t>5</w:t>
            </w:r>
            <w:r w:rsidRPr="00A165F0">
              <w:rPr>
                <w:sz w:val="24"/>
                <w:szCs w:val="24"/>
              </w:rPr>
              <w:t>,</w:t>
            </w:r>
            <w:r w:rsidR="001E6986" w:rsidRPr="00A165F0">
              <w:rPr>
                <w:sz w:val="24"/>
                <w:szCs w:val="24"/>
              </w:rPr>
              <w:t>180</w:t>
            </w:r>
            <w:r w:rsidRPr="00A165F0">
              <w:rPr>
                <w:sz w:val="24"/>
                <w:szCs w:val="24"/>
              </w:rPr>
              <w:t>,000</w:t>
            </w:r>
          </w:p>
        </w:tc>
      </w:tr>
    </w:tbl>
    <w:p w:rsidR="000418C9" w:rsidRDefault="000418C9" w:rsidP="000418C9">
      <w:pPr>
        <w:tabs>
          <w:tab w:val="left" w:pos="360"/>
          <w:tab w:val="left" w:pos="720"/>
          <w:tab w:val="left" w:pos="1080"/>
        </w:tabs>
        <w:ind w:left="90"/>
        <w:rPr>
          <w:sz w:val="24"/>
          <w:szCs w:val="24"/>
        </w:rPr>
      </w:pPr>
    </w:p>
    <w:p w:rsidR="00E04A0A" w:rsidRPr="00A165F0" w:rsidRDefault="00550E7A" w:rsidP="002966AE">
      <w:pPr>
        <w:tabs>
          <w:tab w:val="left" w:pos="360"/>
          <w:tab w:val="left" w:pos="720"/>
          <w:tab w:val="left" w:pos="1080"/>
        </w:tabs>
        <w:ind w:left="720"/>
        <w:rPr>
          <w:sz w:val="24"/>
          <w:szCs w:val="24"/>
        </w:rPr>
      </w:pPr>
      <w:r>
        <w:rPr>
          <w:sz w:val="24"/>
          <w:szCs w:val="24"/>
        </w:rPr>
        <w:t>Note for</w:t>
      </w:r>
      <w:r w:rsidR="000418C9">
        <w:rPr>
          <w:sz w:val="24"/>
          <w:szCs w:val="24"/>
        </w:rPr>
        <w:t xml:space="preserve"> </w:t>
      </w:r>
      <w:r w:rsidR="001E6986" w:rsidRPr="00A165F0">
        <w:rPr>
          <w:sz w:val="24"/>
          <w:szCs w:val="24"/>
        </w:rPr>
        <w:t>Labor rate calculation:</w:t>
      </w:r>
    </w:p>
    <w:p w:rsidR="00C3677D" w:rsidRPr="00A165F0" w:rsidRDefault="00C07C5C" w:rsidP="002966AE">
      <w:pPr>
        <w:pStyle w:val="HTMLPreformatted"/>
        <w:tabs>
          <w:tab w:val="left" w:pos="360"/>
          <w:tab w:val="left" w:pos="720"/>
          <w:tab w:val="left" w:pos="1080"/>
        </w:tabs>
        <w:ind w:left="720"/>
        <w:rPr>
          <w:rFonts w:ascii="Times New Roman" w:eastAsia="+mn-ea" w:hAnsi="Times New Roman"/>
          <w:sz w:val="24"/>
          <w:szCs w:val="24"/>
          <w:lang w:val="en-US"/>
        </w:rPr>
      </w:pPr>
      <w:r w:rsidRPr="00A165F0">
        <w:rPr>
          <w:rFonts w:ascii="Times New Roman" w:eastAsia="+mn-ea" w:hAnsi="Times New Roman"/>
          <w:sz w:val="24"/>
          <w:szCs w:val="24"/>
          <w:lang w:val="en-US"/>
        </w:rPr>
        <w:t>C</w:t>
      </w:r>
      <w:r w:rsidR="00C3677D" w:rsidRPr="00A165F0">
        <w:rPr>
          <w:rFonts w:ascii="Times New Roman" w:eastAsia="+mn-ea" w:hAnsi="Times New Roman"/>
          <w:sz w:val="24"/>
          <w:szCs w:val="24"/>
        </w:rPr>
        <w:t xml:space="preserve">ost per hour is </w:t>
      </w:r>
      <w:r w:rsidRPr="00A165F0">
        <w:rPr>
          <w:rFonts w:ascii="Times New Roman" w:eastAsia="+mn-ea" w:hAnsi="Times New Roman"/>
          <w:sz w:val="24"/>
          <w:szCs w:val="24"/>
          <w:lang w:val="en-US"/>
        </w:rPr>
        <w:t>$3</w:t>
      </w:r>
      <w:r w:rsidR="00AE50DA" w:rsidRPr="00A165F0">
        <w:rPr>
          <w:rFonts w:ascii="Times New Roman" w:eastAsia="+mn-ea" w:hAnsi="Times New Roman"/>
          <w:sz w:val="24"/>
          <w:szCs w:val="24"/>
          <w:lang w:val="en-US"/>
        </w:rPr>
        <w:t>7</w:t>
      </w:r>
      <w:r w:rsidRPr="00A165F0">
        <w:rPr>
          <w:rFonts w:ascii="Times New Roman" w:eastAsia="+mn-ea" w:hAnsi="Times New Roman"/>
          <w:sz w:val="24"/>
          <w:szCs w:val="24"/>
          <w:lang w:val="en-US"/>
        </w:rPr>
        <w:t xml:space="preserve">, </w:t>
      </w:r>
      <w:r w:rsidR="00C3677D" w:rsidRPr="00A165F0">
        <w:rPr>
          <w:rFonts w:ascii="Times New Roman" w:eastAsia="+mn-ea" w:hAnsi="Times New Roman"/>
          <w:sz w:val="24"/>
          <w:szCs w:val="24"/>
        </w:rPr>
        <w:t xml:space="preserve">based on OPM GS-09, </w:t>
      </w:r>
      <w:r w:rsidR="00A165F0" w:rsidRPr="00A165F0">
        <w:rPr>
          <w:rFonts w:ascii="Times New Roman" w:eastAsia="+mn-ea" w:hAnsi="Times New Roman"/>
          <w:sz w:val="24"/>
          <w:szCs w:val="24"/>
          <w:lang w:val="en-US"/>
        </w:rPr>
        <w:t>s</w:t>
      </w:r>
      <w:r w:rsidR="00C3677D" w:rsidRPr="00A165F0">
        <w:rPr>
          <w:rFonts w:ascii="Times New Roman" w:eastAsia="+mn-ea" w:hAnsi="Times New Roman"/>
          <w:sz w:val="24"/>
          <w:szCs w:val="24"/>
        </w:rPr>
        <w:t>tep 5, base hourly rate for 201</w:t>
      </w:r>
      <w:r w:rsidR="00AE50DA" w:rsidRPr="00A165F0">
        <w:rPr>
          <w:rFonts w:ascii="Times New Roman" w:eastAsia="+mn-ea" w:hAnsi="Times New Roman"/>
          <w:sz w:val="24"/>
          <w:szCs w:val="24"/>
          <w:lang w:val="en-US"/>
        </w:rPr>
        <w:t>7</w:t>
      </w:r>
      <w:r w:rsidR="00C3677D" w:rsidRPr="00A165F0">
        <w:rPr>
          <w:rFonts w:ascii="Times New Roman" w:eastAsia="+mn-ea" w:hAnsi="Times New Roman"/>
          <w:sz w:val="24"/>
          <w:szCs w:val="24"/>
        </w:rPr>
        <w:t xml:space="preserve"> ($</w:t>
      </w:r>
      <w:r w:rsidR="00AE50DA" w:rsidRPr="00A165F0">
        <w:rPr>
          <w:rFonts w:ascii="Times New Roman" w:eastAsia="+mn-ea" w:hAnsi="Times New Roman"/>
          <w:sz w:val="24"/>
          <w:szCs w:val="24"/>
          <w:lang w:val="en-US"/>
        </w:rPr>
        <w:t>27.02</w:t>
      </w:r>
      <w:r w:rsidR="00C3677D" w:rsidRPr="00A165F0">
        <w:rPr>
          <w:rFonts w:ascii="Times New Roman" w:eastAsia="+mn-ea" w:hAnsi="Times New Roman"/>
          <w:sz w:val="24"/>
          <w:szCs w:val="24"/>
          <w:lang w:val="en-US"/>
        </w:rPr>
        <w:t>)</w:t>
      </w:r>
      <w:r w:rsidRPr="00A165F0">
        <w:rPr>
          <w:rFonts w:ascii="Times New Roman" w:eastAsia="+mn-ea" w:hAnsi="Times New Roman"/>
          <w:sz w:val="24"/>
          <w:szCs w:val="24"/>
          <w:lang w:val="en-US"/>
        </w:rPr>
        <w:t xml:space="preserve"> </w:t>
      </w:r>
      <w:r w:rsidR="00C3677D" w:rsidRPr="00A165F0">
        <w:rPr>
          <w:rFonts w:ascii="Times New Roman" w:eastAsia="+mn-ea" w:hAnsi="Times New Roman"/>
          <w:sz w:val="24"/>
          <w:szCs w:val="24"/>
          <w:lang w:val="en-US"/>
        </w:rPr>
        <w:t>p</w:t>
      </w:r>
      <w:r w:rsidR="00C3677D" w:rsidRPr="00A165F0">
        <w:rPr>
          <w:rFonts w:ascii="Times New Roman" w:eastAsia="+mn-ea" w:hAnsi="Times New Roman"/>
          <w:sz w:val="24"/>
          <w:szCs w:val="24"/>
        </w:rPr>
        <w:t>lus the 36.25% civilian personnel full fringe benefit rate from OMB Memo</w:t>
      </w:r>
      <w:r w:rsidR="00D56FEE" w:rsidRPr="00A165F0">
        <w:rPr>
          <w:rFonts w:ascii="Times New Roman" w:eastAsia="+mn-ea" w:hAnsi="Times New Roman"/>
          <w:sz w:val="24"/>
          <w:szCs w:val="24"/>
          <w:lang w:val="en-US"/>
        </w:rPr>
        <w:t xml:space="preserve"> </w:t>
      </w:r>
      <w:r w:rsidR="00C3677D" w:rsidRPr="00A165F0">
        <w:rPr>
          <w:rFonts w:ascii="Times New Roman" w:eastAsia="+mn-ea" w:hAnsi="Times New Roman"/>
          <w:sz w:val="24"/>
          <w:szCs w:val="24"/>
        </w:rPr>
        <w:t>M-08-13</w:t>
      </w:r>
      <w:r w:rsidR="00AE50DA" w:rsidRPr="00A165F0">
        <w:rPr>
          <w:rFonts w:ascii="Times New Roman" w:eastAsia="+mn-ea" w:hAnsi="Times New Roman"/>
          <w:sz w:val="24"/>
          <w:szCs w:val="24"/>
          <w:lang w:val="en-US"/>
        </w:rPr>
        <w:t xml:space="preserve"> </w:t>
      </w:r>
      <w:r w:rsidR="00C3677D" w:rsidRPr="00A165F0">
        <w:rPr>
          <w:rFonts w:ascii="Times New Roman" w:eastAsia="+mn-ea" w:hAnsi="Times New Roman"/>
          <w:sz w:val="24"/>
          <w:szCs w:val="24"/>
        </w:rPr>
        <w:t>($</w:t>
      </w:r>
      <w:r w:rsidR="00AE50DA" w:rsidRPr="00A165F0">
        <w:rPr>
          <w:rFonts w:ascii="Times New Roman" w:eastAsia="+mn-ea" w:hAnsi="Times New Roman"/>
          <w:sz w:val="24"/>
          <w:szCs w:val="24"/>
          <w:lang w:val="en-US"/>
        </w:rPr>
        <w:t>9.79</w:t>
      </w:r>
      <w:r w:rsidR="00C3677D" w:rsidRPr="00A165F0">
        <w:rPr>
          <w:rFonts w:ascii="Times New Roman" w:eastAsia="+mn-ea" w:hAnsi="Times New Roman"/>
          <w:sz w:val="24"/>
          <w:szCs w:val="24"/>
        </w:rPr>
        <w:t xml:space="preserve">), rounded to the nearest dollar </w:t>
      </w:r>
      <w:r w:rsidR="00C3677D" w:rsidRPr="00A165F0">
        <w:rPr>
          <w:rFonts w:ascii="Times New Roman" w:eastAsia="+mn-ea" w:hAnsi="Times New Roman"/>
          <w:sz w:val="24"/>
          <w:szCs w:val="24"/>
          <w:lang w:val="en-US"/>
        </w:rPr>
        <w:t>($</w:t>
      </w:r>
      <w:r w:rsidR="00A165F0" w:rsidRPr="00A165F0">
        <w:rPr>
          <w:rFonts w:ascii="Times New Roman" w:eastAsia="+mn-ea" w:hAnsi="Times New Roman"/>
          <w:sz w:val="24"/>
          <w:szCs w:val="24"/>
          <w:lang w:val="en-US"/>
        </w:rPr>
        <w:t>3</w:t>
      </w:r>
      <w:r w:rsidR="00AE50DA" w:rsidRPr="00A165F0">
        <w:rPr>
          <w:rFonts w:ascii="Times New Roman" w:eastAsia="+mn-ea" w:hAnsi="Times New Roman"/>
          <w:sz w:val="24"/>
          <w:szCs w:val="24"/>
          <w:lang w:val="en-US"/>
        </w:rPr>
        <w:t>7</w:t>
      </w:r>
      <w:r w:rsidR="00C3677D" w:rsidRPr="00A165F0">
        <w:rPr>
          <w:rFonts w:ascii="Times New Roman" w:eastAsia="+mn-ea" w:hAnsi="Times New Roman"/>
          <w:sz w:val="24"/>
          <w:szCs w:val="24"/>
          <w:lang w:val="en-US"/>
        </w:rPr>
        <w:t>).</w:t>
      </w:r>
      <w:r w:rsidR="000418C9">
        <w:rPr>
          <w:rFonts w:ascii="Times New Roman" w:eastAsia="+mn-ea" w:hAnsi="Times New Roman"/>
          <w:sz w:val="24"/>
          <w:szCs w:val="24"/>
          <w:lang w:val="en-US"/>
        </w:rPr>
        <w:t xml:space="preserve">  The OPM rate</w:t>
      </w:r>
      <w:r w:rsidR="002929BE">
        <w:rPr>
          <w:rFonts w:ascii="Times New Roman" w:eastAsia="+mn-ea" w:hAnsi="Times New Roman"/>
          <w:sz w:val="24"/>
          <w:szCs w:val="24"/>
          <w:lang w:val="en-US"/>
        </w:rPr>
        <w:t xml:space="preserve"> used</w:t>
      </w:r>
      <w:r w:rsidR="000418C9">
        <w:rPr>
          <w:rFonts w:ascii="Times New Roman" w:eastAsia="+mn-ea" w:hAnsi="Times New Roman"/>
          <w:sz w:val="24"/>
          <w:szCs w:val="24"/>
          <w:lang w:val="en-US"/>
        </w:rPr>
        <w:t xml:space="preserve"> includes locality pay area for the res</w:t>
      </w:r>
      <w:r w:rsidR="005672C0">
        <w:rPr>
          <w:rFonts w:ascii="Times New Roman" w:eastAsia="+mn-ea" w:hAnsi="Times New Roman"/>
          <w:sz w:val="24"/>
          <w:szCs w:val="24"/>
          <w:lang w:val="en-US"/>
        </w:rPr>
        <w:t>t of the U.S.</w:t>
      </w:r>
    </w:p>
    <w:p w:rsidR="004039EC" w:rsidRPr="00A165F0" w:rsidRDefault="004039EC" w:rsidP="000418C9">
      <w:pPr>
        <w:pStyle w:val="HTMLPreformatted"/>
        <w:tabs>
          <w:tab w:val="clear" w:pos="916"/>
          <w:tab w:val="left" w:pos="360"/>
          <w:tab w:val="left" w:pos="720"/>
          <w:tab w:val="left" w:pos="1080"/>
        </w:tabs>
        <w:ind w:left="90"/>
        <w:rPr>
          <w:rFonts w:ascii="Times New Roman" w:hAnsi="Times New Roman"/>
          <w:sz w:val="24"/>
          <w:szCs w:val="24"/>
          <w:lang w:val="en-US"/>
        </w:rPr>
      </w:pPr>
    </w:p>
    <w:p w:rsidR="002154D1" w:rsidRPr="00A165F0" w:rsidRDefault="006C6CCB" w:rsidP="000418C9">
      <w:pPr>
        <w:pStyle w:val="HTMLPreformatted"/>
        <w:tabs>
          <w:tab w:val="clear" w:pos="916"/>
          <w:tab w:val="left" w:pos="360"/>
          <w:tab w:val="left" w:pos="720"/>
          <w:tab w:val="left" w:pos="1080"/>
        </w:tabs>
        <w:ind w:left="90"/>
        <w:rPr>
          <w:rFonts w:ascii="Times New Roman" w:hAnsi="Times New Roman"/>
          <w:sz w:val="24"/>
          <w:szCs w:val="24"/>
          <w:u w:val="single"/>
        </w:rPr>
      </w:pPr>
      <w:r w:rsidRPr="00A165F0">
        <w:rPr>
          <w:rFonts w:ascii="Times New Roman" w:hAnsi="Times New Roman"/>
          <w:sz w:val="24"/>
          <w:szCs w:val="24"/>
          <w:lang w:val="en-US"/>
        </w:rPr>
        <w:tab/>
      </w:r>
      <w:r w:rsidR="00B0040D" w:rsidRPr="00A165F0">
        <w:rPr>
          <w:rFonts w:ascii="Times New Roman" w:hAnsi="Times New Roman"/>
          <w:sz w:val="24"/>
          <w:szCs w:val="24"/>
          <w:lang w:val="en-US"/>
        </w:rPr>
        <w:t>1</w:t>
      </w:r>
      <w:r w:rsidR="002154D1" w:rsidRPr="00A165F0">
        <w:rPr>
          <w:rFonts w:ascii="Times New Roman" w:hAnsi="Times New Roman"/>
          <w:sz w:val="24"/>
          <w:szCs w:val="24"/>
        </w:rPr>
        <w:t xml:space="preserve">3. </w:t>
      </w:r>
      <w:r w:rsidR="005B6779" w:rsidRPr="00A165F0">
        <w:rPr>
          <w:rFonts w:ascii="Times New Roman" w:hAnsi="Times New Roman"/>
          <w:sz w:val="24"/>
          <w:szCs w:val="24"/>
        </w:rPr>
        <w:t xml:space="preserve"> </w:t>
      </w:r>
      <w:r w:rsidR="00AA7F77" w:rsidRPr="00A165F0">
        <w:rPr>
          <w:rFonts w:ascii="Times New Roman" w:hAnsi="Times New Roman"/>
          <w:sz w:val="24"/>
          <w:szCs w:val="24"/>
          <w:u w:val="single"/>
        </w:rPr>
        <w:t xml:space="preserve">Respondent Costs Other Than Burden Hour Costs </w:t>
      </w:r>
    </w:p>
    <w:p w:rsidR="00603608" w:rsidRPr="00A165F0" w:rsidRDefault="00603608" w:rsidP="000418C9">
      <w:pPr>
        <w:tabs>
          <w:tab w:val="left" w:pos="360"/>
          <w:tab w:val="left" w:pos="720"/>
          <w:tab w:val="left" w:pos="1080"/>
        </w:tabs>
        <w:ind w:left="90"/>
        <w:rPr>
          <w:sz w:val="24"/>
          <w:szCs w:val="24"/>
          <w:u w:val="single"/>
        </w:rPr>
      </w:pPr>
    </w:p>
    <w:p w:rsidR="00603608" w:rsidRPr="00A165F0" w:rsidRDefault="0044387F" w:rsidP="000418C9">
      <w:pPr>
        <w:tabs>
          <w:tab w:val="left" w:pos="360"/>
          <w:tab w:val="left" w:pos="720"/>
          <w:tab w:val="left" w:pos="810"/>
          <w:tab w:val="left" w:pos="1080"/>
        </w:tabs>
        <w:ind w:left="90"/>
        <w:rPr>
          <w:sz w:val="24"/>
          <w:szCs w:val="24"/>
        </w:rPr>
      </w:pPr>
      <w:r w:rsidRPr="00A165F0">
        <w:rPr>
          <w:sz w:val="24"/>
          <w:szCs w:val="24"/>
        </w:rPr>
        <w:tab/>
      </w:r>
      <w:r w:rsidR="004D0A62" w:rsidRPr="00A165F0">
        <w:rPr>
          <w:sz w:val="24"/>
          <w:szCs w:val="24"/>
        </w:rPr>
        <w:tab/>
      </w:r>
      <w:r w:rsidR="00D67F62" w:rsidRPr="00A165F0">
        <w:rPr>
          <w:sz w:val="24"/>
          <w:szCs w:val="24"/>
        </w:rPr>
        <w:t>DoD does not estimate any annual cost burden apart from the hourly burden in Item 12 above</w:t>
      </w:r>
      <w:r w:rsidR="002378D4" w:rsidRPr="00A165F0">
        <w:rPr>
          <w:sz w:val="24"/>
          <w:szCs w:val="24"/>
        </w:rPr>
        <w:t>.</w:t>
      </w:r>
    </w:p>
    <w:p w:rsidR="003D512D" w:rsidRPr="00A165F0" w:rsidRDefault="003D512D" w:rsidP="000418C9">
      <w:pPr>
        <w:tabs>
          <w:tab w:val="left" w:pos="360"/>
          <w:tab w:val="left" w:pos="720"/>
          <w:tab w:val="left" w:pos="810"/>
          <w:tab w:val="left" w:pos="1080"/>
        </w:tabs>
        <w:ind w:left="90"/>
        <w:rPr>
          <w:sz w:val="24"/>
          <w:szCs w:val="24"/>
        </w:rPr>
      </w:pPr>
    </w:p>
    <w:p w:rsidR="0044387F" w:rsidRPr="00A165F0" w:rsidRDefault="003D512D" w:rsidP="006505DA">
      <w:pPr>
        <w:tabs>
          <w:tab w:val="left" w:pos="360"/>
          <w:tab w:val="left" w:pos="720"/>
          <w:tab w:val="left" w:pos="1080"/>
        </w:tabs>
        <w:rPr>
          <w:sz w:val="24"/>
          <w:szCs w:val="24"/>
        </w:rPr>
      </w:pPr>
      <w:r w:rsidRPr="00A165F0">
        <w:rPr>
          <w:sz w:val="24"/>
          <w:szCs w:val="24"/>
        </w:rPr>
        <w:tab/>
      </w:r>
      <w:r w:rsidR="002154D1" w:rsidRPr="00A165F0">
        <w:rPr>
          <w:sz w:val="24"/>
          <w:szCs w:val="24"/>
        </w:rPr>
        <w:t xml:space="preserve">14. </w:t>
      </w:r>
      <w:r w:rsidR="005B6779" w:rsidRPr="00A165F0">
        <w:rPr>
          <w:sz w:val="24"/>
          <w:szCs w:val="24"/>
        </w:rPr>
        <w:t xml:space="preserve"> </w:t>
      </w:r>
      <w:r w:rsidR="005D22DE" w:rsidRPr="00A165F0">
        <w:rPr>
          <w:sz w:val="24"/>
          <w:szCs w:val="24"/>
          <w:u w:val="single"/>
        </w:rPr>
        <w:t>Cost to the Government</w:t>
      </w:r>
    </w:p>
    <w:p w:rsidR="0044387F" w:rsidRPr="00A165F0" w:rsidRDefault="0044387F" w:rsidP="006505DA">
      <w:pPr>
        <w:tabs>
          <w:tab w:val="left" w:pos="360"/>
          <w:tab w:val="left" w:pos="720"/>
          <w:tab w:val="left" w:pos="1080"/>
        </w:tabs>
        <w:rPr>
          <w:sz w:val="24"/>
          <w:szCs w:val="24"/>
        </w:rPr>
      </w:pPr>
    </w:p>
    <w:p w:rsidR="004E4CB0" w:rsidRPr="00A165F0" w:rsidRDefault="0044387F" w:rsidP="004E4CB0">
      <w:pPr>
        <w:pStyle w:val="HTMLPreformatted"/>
        <w:tabs>
          <w:tab w:val="clear" w:pos="916"/>
          <w:tab w:val="left" w:pos="360"/>
          <w:tab w:val="left" w:pos="720"/>
          <w:tab w:val="left" w:pos="990"/>
          <w:tab w:val="left" w:pos="1080"/>
        </w:tabs>
        <w:rPr>
          <w:rFonts w:ascii="Times New Roman" w:hAnsi="Times New Roman"/>
          <w:sz w:val="24"/>
          <w:szCs w:val="24"/>
          <w:lang w:val="en-US"/>
        </w:rPr>
      </w:pPr>
      <w:r w:rsidRPr="00A165F0">
        <w:rPr>
          <w:rFonts w:ascii="Times New Roman" w:hAnsi="Times New Roman"/>
          <w:sz w:val="24"/>
          <w:szCs w:val="24"/>
        </w:rPr>
        <w:tab/>
      </w:r>
      <w:r w:rsidR="004D0A62" w:rsidRPr="00A165F0">
        <w:rPr>
          <w:rFonts w:ascii="Times New Roman" w:hAnsi="Times New Roman"/>
          <w:sz w:val="24"/>
          <w:szCs w:val="24"/>
        </w:rPr>
        <w:tab/>
      </w:r>
      <w:r w:rsidR="00B66568">
        <w:rPr>
          <w:rFonts w:ascii="Times New Roman" w:hAnsi="Times New Roman"/>
          <w:sz w:val="24"/>
          <w:szCs w:val="24"/>
          <w:lang w:val="en-US"/>
        </w:rPr>
        <w:t>The estimate of the time it will take the Government representative to review and analyze the each response is three minutes.  The reduction from the prior renewal estimate of five minutes is due to the program changes that have resulted in submission of electronic</w:t>
      </w:r>
      <w:r w:rsidR="00DC6144">
        <w:rPr>
          <w:rFonts w:ascii="Times New Roman" w:hAnsi="Times New Roman"/>
          <w:sz w:val="24"/>
          <w:szCs w:val="24"/>
          <w:lang w:val="en-US"/>
        </w:rPr>
        <w:t xml:space="preserve"> reparable and energy</w:t>
      </w:r>
      <w:r w:rsidR="00B66568">
        <w:rPr>
          <w:rFonts w:ascii="Times New Roman" w:hAnsi="Times New Roman"/>
          <w:sz w:val="24"/>
          <w:szCs w:val="24"/>
          <w:lang w:val="en-US"/>
        </w:rPr>
        <w:t xml:space="preserve"> reports.  </w:t>
      </w:r>
      <w:r w:rsidR="00591858" w:rsidRPr="00A165F0">
        <w:rPr>
          <w:rFonts w:ascii="Times New Roman" w:hAnsi="Times New Roman"/>
          <w:sz w:val="24"/>
          <w:szCs w:val="24"/>
          <w:lang w:val="en-US"/>
        </w:rPr>
        <w:t>The estimated cost to the Government is shown in the following table</w:t>
      </w:r>
      <w:r w:rsidR="0033549B" w:rsidRPr="00A165F0">
        <w:rPr>
          <w:rFonts w:ascii="Times New Roman" w:hAnsi="Times New Roman"/>
          <w:sz w:val="24"/>
          <w:szCs w:val="24"/>
          <w:lang w:val="en-US"/>
        </w:rPr>
        <w:t>:</w:t>
      </w:r>
    </w:p>
    <w:p w:rsidR="0033549B" w:rsidRPr="00A165F0" w:rsidRDefault="0033549B" w:rsidP="004E4CB0">
      <w:pPr>
        <w:pStyle w:val="HTMLPreformatted"/>
        <w:tabs>
          <w:tab w:val="clear" w:pos="916"/>
          <w:tab w:val="left" w:pos="360"/>
          <w:tab w:val="left" w:pos="720"/>
          <w:tab w:val="left" w:pos="990"/>
          <w:tab w:val="left" w:pos="1080"/>
        </w:tabs>
        <w:rPr>
          <w:rFonts w:ascii="Times New Roman" w:hAnsi="Times New Roman"/>
          <w:sz w:val="24"/>
          <w:szCs w:val="24"/>
          <w:lang w:val="en-US"/>
        </w:rPr>
      </w:pPr>
    </w:p>
    <w:tbl>
      <w:tblPr>
        <w:tblW w:w="720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710"/>
      </w:tblGrid>
      <w:tr w:rsidR="00B855A8" w:rsidRPr="00A165F0" w:rsidTr="002966AE">
        <w:trPr>
          <w:trHeight w:val="386"/>
        </w:trPr>
        <w:tc>
          <w:tcPr>
            <w:tcW w:w="7200" w:type="dxa"/>
            <w:gridSpan w:val="2"/>
            <w:tcBorders>
              <w:top w:val="single" w:sz="4" w:space="0" w:color="auto"/>
              <w:left w:val="single" w:sz="4" w:space="0" w:color="auto"/>
              <w:bottom w:val="single" w:sz="4" w:space="0" w:color="auto"/>
              <w:right w:val="single" w:sz="4" w:space="0" w:color="auto"/>
            </w:tcBorders>
            <w:vAlign w:val="center"/>
            <w:hideMark/>
          </w:tcPr>
          <w:p w:rsidR="00B855A8" w:rsidRPr="00A165F0" w:rsidRDefault="00B855A8" w:rsidP="005D5A26">
            <w:pPr>
              <w:tabs>
                <w:tab w:val="left" w:pos="360"/>
                <w:tab w:val="left" w:pos="720"/>
                <w:tab w:val="left" w:pos="1080"/>
              </w:tabs>
              <w:spacing w:before="100" w:beforeAutospacing="1" w:after="100" w:afterAutospacing="1" w:line="288" w:lineRule="atLeast"/>
              <w:jc w:val="center"/>
              <w:rPr>
                <w:sz w:val="24"/>
                <w:szCs w:val="24"/>
              </w:rPr>
            </w:pPr>
            <w:r w:rsidRPr="00A165F0">
              <w:rPr>
                <w:sz w:val="24"/>
                <w:szCs w:val="24"/>
              </w:rPr>
              <w:t xml:space="preserve">Estimation of </w:t>
            </w:r>
            <w:r w:rsidR="005D5A26" w:rsidRPr="00A165F0">
              <w:rPr>
                <w:sz w:val="24"/>
                <w:szCs w:val="24"/>
              </w:rPr>
              <w:t>Government</w:t>
            </w:r>
            <w:r w:rsidR="00264826" w:rsidRPr="00A165F0">
              <w:rPr>
                <w:sz w:val="24"/>
                <w:szCs w:val="24"/>
              </w:rPr>
              <w:t xml:space="preserve"> Burden: Appendix F</w:t>
            </w:r>
            <w:r w:rsidR="00D56FEE" w:rsidRPr="00A165F0">
              <w:rPr>
                <w:sz w:val="24"/>
                <w:szCs w:val="24"/>
              </w:rPr>
              <w:t xml:space="preserve"> </w:t>
            </w:r>
          </w:p>
        </w:tc>
      </w:tr>
      <w:tr w:rsidR="00B66568" w:rsidRPr="00A165F0" w:rsidTr="002966AE">
        <w:trPr>
          <w:trHeight w:val="386"/>
        </w:trPr>
        <w:tc>
          <w:tcPr>
            <w:tcW w:w="5490" w:type="dxa"/>
            <w:tcBorders>
              <w:top w:val="single" w:sz="4" w:space="0" w:color="auto"/>
              <w:left w:val="single" w:sz="4" w:space="0" w:color="auto"/>
              <w:bottom w:val="single" w:sz="4" w:space="0" w:color="auto"/>
              <w:right w:val="single" w:sz="4" w:space="0" w:color="auto"/>
            </w:tcBorders>
            <w:vAlign w:val="center"/>
            <w:hideMark/>
          </w:tcPr>
          <w:p w:rsidR="00B66568" w:rsidRPr="00A165F0" w:rsidRDefault="00B66568" w:rsidP="00B66568">
            <w:pPr>
              <w:tabs>
                <w:tab w:val="left" w:pos="360"/>
                <w:tab w:val="left" w:pos="720"/>
                <w:tab w:val="left" w:pos="1080"/>
              </w:tabs>
              <w:rPr>
                <w:color w:val="000000"/>
                <w:sz w:val="24"/>
                <w:szCs w:val="24"/>
              </w:rPr>
            </w:pPr>
            <w:r w:rsidRPr="00A165F0">
              <w:rPr>
                <w:color w:val="000000"/>
                <w:sz w:val="24"/>
                <w:szCs w:val="24"/>
              </w:rPr>
              <w:t xml:space="preserve">Number of </w:t>
            </w:r>
            <w:r>
              <w:rPr>
                <w:color w:val="000000"/>
                <w:sz w:val="24"/>
                <w:szCs w:val="24"/>
              </w:rPr>
              <w:t>responses (r</w:t>
            </w:r>
            <w:r w:rsidRPr="00A165F0">
              <w:rPr>
                <w:color w:val="000000"/>
                <w:sz w:val="24"/>
                <w:szCs w:val="24"/>
              </w:rPr>
              <w:t xml:space="preserve">eceiving </w:t>
            </w:r>
            <w:r>
              <w:rPr>
                <w:color w:val="000000"/>
                <w:sz w:val="24"/>
                <w:szCs w:val="24"/>
              </w:rPr>
              <w:t>r</w:t>
            </w:r>
            <w:r w:rsidRPr="00A165F0">
              <w:rPr>
                <w:color w:val="000000"/>
                <w:sz w:val="24"/>
                <w:szCs w:val="24"/>
              </w:rPr>
              <w:t>eports</w:t>
            </w:r>
            <w:r>
              <w:rPr>
                <w:color w:val="000000"/>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rsidR="00B66568" w:rsidRPr="00A165F0" w:rsidRDefault="00B66568" w:rsidP="00B66568">
            <w:pPr>
              <w:tabs>
                <w:tab w:val="left" w:pos="360"/>
                <w:tab w:val="left" w:pos="720"/>
                <w:tab w:val="left" w:pos="1080"/>
              </w:tabs>
              <w:jc w:val="right"/>
              <w:rPr>
                <w:sz w:val="24"/>
                <w:szCs w:val="24"/>
              </w:rPr>
            </w:pPr>
            <w:r w:rsidRPr="00A165F0">
              <w:rPr>
                <w:sz w:val="24"/>
                <w:szCs w:val="24"/>
              </w:rPr>
              <w:t>2,800,000</w:t>
            </w:r>
          </w:p>
        </w:tc>
      </w:tr>
      <w:tr w:rsidR="0061676D" w:rsidRPr="00A165F0" w:rsidTr="002966AE">
        <w:trPr>
          <w:trHeight w:val="422"/>
        </w:trPr>
        <w:tc>
          <w:tcPr>
            <w:tcW w:w="5490" w:type="dxa"/>
            <w:tcBorders>
              <w:top w:val="single" w:sz="4" w:space="0" w:color="auto"/>
              <w:left w:val="single" w:sz="4" w:space="0" w:color="auto"/>
              <w:bottom w:val="single" w:sz="4" w:space="0" w:color="auto"/>
              <w:right w:val="single" w:sz="4" w:space="0" w:color="auto"/>
            </w:tcBorders>
            <w:vAlign w:val="center"/>
            <w:hideMark/>
          </w:tcPr>
          <w:p w:rsidR="0061676D" w:rsidRPr="00A165F0" w:rsidRDefault="0061676D" w:rsidP="0061676D">
            <w:pPr>
              <w:tabs>
                <w:tab w:val="left" w:pos="360"/>
                <w:tab w:val="left" w:pos="720"/>
                <w:tab w:val="left" w:pos="1080"/>
              </w:tabs>
              <w:rPr>
                <w:color w:val="000000"/>
                <w:sz w:val="24"/>
                <w:szCs w:val="24"/>
              </w:rPr>
            </w:pPr>
            <w:r w:rsidRPr="00A165F0">
              <w:rPr>
                <w:color w:val="000000"/>
                <w:sz w:val="24"/>
                <w:szCs w:val="24"/>
              </w:rPr>
              <w:t xml:space="preserve">Number of hours </w:t>
            </w:r>
            <w:r>
              <w:rPr>
                <w:color w:val="000000"/>
                <w:sz w:val="24"/>
                <w:szCs w:val="24"/>
              </w:rPr>
              <w:t xml:space="preserve"> (3 minutes)</w:t>
            </w:r>
          </w:p>
        </w:tc>
        <w:tc>
          <w:tcPr>
            <w:tcW w:w="171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jc w:val="right"/>
              <w:rPr>
                <w:sz w:val="24"/>
                <w:szCs w:val="24"/>
              </w:rPr>
            </w:pPr>
            <w:r>
              <w:rPr>
                <w:sz w:val="24"/>
                <w:szCs w:val="24"/>
              </w:rPr>
              <w:t>.05</w:t>
            </w:r>
          </w:p>
        </w:tc>
      </w:tr>
      <w:tr w:rsidR="0061676D" w:rsidRPr="00A165F0" w:rsidTr="0061676D">
        <w:trPr>
          <w:trHeight w:val="431"/>
        </w:trPr>
        <w:tc>
          <w:tcPr>
            <w:tcW w:w="549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rPr>
                <w:color w:val="000000"/>
                <w:sz w:val="24"/>
                <w:szCs w:val="24"/>
              </w:rPr>
            </w:pPr>
            <w:r>
              <w:rPr>
                <w:color w:val="000000"/>
                <w:sz w:val="24"/>
                <w:szCs w:val="24"/>
              </w:rPr>
              <w:t>Burden Hours</w:t>
            </w:r>
          </w:p>
        </w:tc>
        <w:tc>
          <w:tcPr>
            <w:tcW w:w="171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jc w:val="right"/>
              <w:rPr>
                <w:sz w:val="24"/>
                <w:szCs w:val="24"/>
              </w:rPr>
            </w:pPr>
            <w:r>
              <w:rPr>
                <w:sz w:val="24"/>
                <w:szCs w:val="24"/>
              </w:rPr>
              <w:t>140</w:t>
            </w:r>
            <w:r w:rsidR="00AD4CD8">
              <w:rPr>
                <w:sz w:val="24"/>
                <w:szCs w:val="24"/>
              </w:rPr>
              <w:t>,</w:t>
            </w:r>
            <w:r>
              <w:rPr>
                <w:sz w:val="24"/>
                <w:szCs w:val="24"/>
              </w:rPr>
              <w:t>000</w:t>
            </w:r>
          </w:p>
        </w:tc>
      </w:tr>
      <w:tr w:rsidR="0061676D" w:rsidRPr="00A165F0" w:rsidTr="002966AE">
        <w:trPr>
          <w:trHeight w:val="440"/>
        </w:trPr>
        <w:tc>
          <w:tcPr>
            <w:tcW w:w="549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550E7A">
            <w:pPr>
              <w:tabs>
                <w:tab w:val="left" w:pos="360"/>
                <w:tab w:val="left" w:pos="720"/>
                <w:tab w:val="left" w:pos="1080"/>
              </w:tabs>
              <w:rPr>
                <w:color w:val="000000"/>
                <w:sz w:val="24"/>
                <w:szCs w:val="24"/>
              </w:rPr>
            </w:pPr>
            <w:r w:rsidRPr="00A165F0">
              <w:rPr>
                <w:color w:val="000000"/>
                <w:sz w:val="24"/>
                <w:szCs w:val="24"/>
              </w:rPr>
              <w:t>Cost per hour</w:t>
            </w:r>
            <w:r>
              <w:rPr>
                <w:color w:val="000000"/>
                <w:sz w:val="24"/>
                <w:szCs w:val="24"/>
              </w:rPr>
              <w:t xml:space="preserve"> (</w:t>
            </w:r>
            <w:r w:rsidR="00550E7A">
              <w:rPr>
                <w:color w:val="000000"/>
                <w:sz w:val="24"/>
                <w:szCs w:val="24"/>
              </w:rPr>
              <w:t>See Note</w:t>
            </w:r>
            <w:r>
              <w:rPr>
                <w:color w:val="000000"/>
                <w:sz w:val="24"/>
                <w:szCs w:val="24"/>
              </w:rPr>
              <w:t>)</w:t>
            </w:r>
          </w:p>
        </w:tc>
        <w:tc>
          <w:tcPr>
            <w:tcW w:w="171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jc w:val="right"/>
              <w:rPr>
                <w:sz w:val="24"/>
                <w:szCs w:val="24"/>
              </w:rPr>
            </w:pPr>
            <w:r w:rsidRPr="00A165F0">
              <w:rPr>
                <w:sz w:val="24"/>
                <w:szCs w:val="24"/>
              </w:rPr>
              <w:t>$37</w:t>
            </w:r>
          </w:p>
        </w:tc>
      </w:tr>
      <w:tr w:rsidR="0061676D" w:rsidRPr="00A165F0" w:rsidTr="002966AE">
        <w:trPr>
          <w:trHeight w:val="440"/>
        </w:trPr>
        <w:tc>
          <w:tcPr>
            <w:tcW w:w="549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rPr>
                <w:color w:val="000000"/>
                <w:sz w:val="24"/>
                <w:szCs w:val="24"/>
              </w:rPr>
            </w:pPr>
            <w:r w:rsidRPr="00A165F0">
              <w:rPr>
                <w:color w:val="000000"/>
                <w:sz w:val="24"/>
                <w:szCs w:val="24"/>
              </w:rPr>
              <w:t>Cost to the Government</w:t>
            </w:r>
          </w:p>
        </w:tc>
        <w:tc>
          <w:tcPr>
            <w:tcW w:w="1710" w:type="dxa"/>
            <w:tcBorders>
              <w:top w:val="single" w:sz="4" w:space="0" w:color="auto"/>
              <w:left w:val="single" w:sz="4" w:space="0" w:color="auto"/>
              <w:bottom w:val="single" w:sz="4" w:space="0" w:color="auto"/>
              <w:right w:val="single" w:sz="4" w:space="0" w:color="auto"/>
            </w:tcBorders>
            <w:vAlign w:val="center"/>
          </w:tcPr>
          <w:p w:rsidR="0061676D" w:rsidRPr="00A165F0" w:rsidRDefault="0061676D" w:rsidP="0061676D">
            <w:pPr>
              <w:tabs>
                <w:tab w:val="left" w:pos="360"/>
                <w:tab w:val="left" w:pos="720"/>
                <w:tab w:val="left" w:pos="1080"/>
              </w:tabs>
              <w:jc w:val="right"/>
              <w:rPr>
                <w:sz w:val="24"/>
                <w:szCs w:val="24"/>
              </w:rPr>
            </w:pPr>
            <w:r w:rsidRPr="00A165F0">
              <w:rPr>
                <w:sz w:val="24"/>
                <w:szCs w:val="24"/>
              </w:rPr>
              <w:t>$5,180,000</w:t>
            </w:r>
          </w:p>
        </w:tc>
      </w:tr>
    </w:tbl>
    <w:p w:rsidR="00DC7044" w:rsidRPr="00A165F0" w:rsidRDefault="00DC7044" w:rsidP="004E4CB0">
      <w:pPr>
        <w:pStyle w:val="HTMLPreformatted"/>
        <w:tabs>
          <w:tab w:val="clear" w:pos="916"/>
          <w:tab w:val="left" w:pos="360"/>
          <w:tab w:val="left" w:pos="720"/>
          <w:tab w:val="left" w:pos="990"/>
          <w:tab w:val="left" w:pos="1080"/>
        </w:tabs>
        <w:rPr>
          <w:rFonts w:ascii="Times New Roman" w:eastAsia="+mn-ea" w:hAnsi="Times New Roman"/>
          <w:sz w:val="24"/>
          <w:szCs w:val="24"/>
          <w:lang w:val="en-US"/>
        </w:rPr>
      </w:pPr>
    </w:p>
    <w:p w:rsidR="005672C0" w:rsidRPr="00A165F0" w:rsidRDefault="00550E7A" w:rsidP="002966AE">
      <w:pPr>
        <w:tabs>
          <w:tab w:val="left" w:pos="360"/>
          <w:tab w:val="left" w:pos="720"/>
          <w:tab w:val="left" w:pos="1080"/>
        </w:tabs>
        <w:ind w:left="1080"/>
        <w:rPr>
          <w:sz w:val="24"/>
          <w:szCs w:val="24"/>
        </w:rPr>
      </w:pPr>
      <w:r>
        <w:rPr>
          <w:sz w:val="24"/>
          <w:szCs w:val="24"/>
        </w:rPr>
        <w:t>Note for</w:t>
      </w:r>
      <w:r w:rsidR="005672C0">
        <w:rPr>
          <w:sz w:val="24"/>
          <w:szCs w:val="24"/>
        </w:rPr>
        <w:t xml:space="preserve"> </w:t>
      </w:r>
      <w:r w:rsidR="005672C0" w:rsidRPr="00A165F0">
        <w:rPr>
          <w:sz w:val="24"/>
          <w:szCs w:val="24"/>
        </w:rPr>
        <w:t>Labor rate calculation:</w:t>
      </w:r>
    </w:p>
    <w:p w:rsidR="005672C0" w:rsidRDefault="005672C0" w:rsidP="002966AE">
      <w:pPr>
        <w:pStyle w:val="HTMLPreformatted"/>
        <w:tabs>
          <w:tab w:val="left" w:pos="360"/>
          <w:tab w:val="left" w:pos="720"/>
          <w:tab w:val="left" w:pos="1080"/>
        </w:tabs>
        <w:ind w:left="1080"/>
        <w:rPr>
          <w:rFonts w:ascii="Times New Roman" w:eastAsia="+mn-ea" w:hAnsi="Times New Roman"/>
          <w:sz w:val="24"/>
          <w:szCs w:val="24"/>
          <w:lang w:val="en-US"/>
        </w:rPr>
      </w:pPr>
      <w:r w:rsidRPr="00A165F0">
        <w:rPr>
          <w:rFonts w:ascii="Times New Roman" w:eastAsia="+mn-ea" w:hAnsi="Times New Roman"/>
          <w:sz w:val="24"/>
          <w:szCs w:val="24"/>
          <w:lang w:val="en-US"/>
        </w:rPr>
        <w:t>C</w:t>
      </w:r>
      <w:r w:rsidRPr="00A165F0">
        <w:rPr>
          <w:rFonts w:ascii="Times New Roman" w:eastAsia="+mn-ea" w:hAnsi="Times New Roman"/>
          <w:sz w:val="24"/>
          <w:szCs w:val="24"/>
        </w:rPr>
        <w:t xml:space="preserve">ost per hour is </w:t>
      </w:r>
      <w:r w:rsidRPr="00A165F0">
        <w:rPr>
          <w:rFonts w:ascii="Times New Roman" w:eastAsia="+mn-ea" w:hAnsi="Times New Roman"/>
          <w:sz w:val="24"/>
          <w:szCs w:val="24"/>
          <w:lang w:val="en-US"/>
        </w:rPr>
        <w:t xml:space="preserve">$37, </w:t>
      </w:r>
      <w:r w:rsidRPr="00A165F0">
        <w:rPr>
          <w:rFonts w:ascii="Times New Roman" w:eastAsia="+mn-ea" w:hAnsi="Times New Roman"/>
          <w:sz w:val="24"/>
          <w:szCs w:val="24"/>
        </w:rPr>
        <w:t xml:space="preserve">based on OPM GS-09, </w:t>
      </w:r>
      <w:r w:rsidRPr="00A165F0">
        <w:rPr>
          <w:rFonts w:ascii="Times New Roman" w:eastAsia="+mn-ea" w:hAnsi="Times New Roman"/>
          <w:sz w:val="24"/>
          <w:szCs w:val="24"/>
          <w:lang w:val="en-US"/>
        </w:rPr>
        <w:t>s</w:t>
      </w:r>
      <w:r w:rsidRPr="00A165F0">
        <w:rPr>
          <w:rFonts w:ascii="Times New Roman" w:eastAsia="+mn-ea" w:hAnsi="Times New Roman"/>
          <w:sz w:val="24"/>
          <w:szCs w:val="24"/>
        </w:rPr>
        <w:t>tep 5, base hourly rate for 201</w:t>
      </w:r>
      <w:r w:rsidRPr="00A165F0">
        <w:rPr>
          <w:rFonts w:ascii="Times New Roman" w:eastAsia="+mn-ea" w:hAnsi="Times New Roman"/>
          <w:sz w:val="24"/>
          <w:szCs w:val="24"/>
          <w:lang w:val="en-US"/>
        </w:rPr>
        <w:t>7</w:t>
      </w:r>
      <w:r w:rsidRPr="00A165F0">
        <w:rPr>
          <w:rFonts w:ascii="Times New Roman" w:eastAsia="+mn-ea" w:hAnsi="Times New Roman"/>
          <w:sz w:val="24"/>
          <w:szCs w:val="24"/>
        </w:rPr>
        <w:t xml:space="preserve"> ($</w:t>
      </w:r>
      <w:r w:rsidRPr="00A165F0">
        <w:rPr>
          <w:rFonts w:ascii="Times New Roman" w:eastAsia="+mn-ea" w:hAnsi="Times New Roman"/>
          <w:sz w:val="24"/>
          <w:szCs w:val="24"/>
          <w:lang w:val="en-US"/>
        </w:rPr>
        <w:t>27.02) p</w:t>
      </w:r>
      <w:r w:rsidRPr="00A165F0">
        <w:rPr>
          <w:rFonts w:ascii="Times New Roman" w:eastAsia="+mn-ea" w:hAnsi="Times New Roman"/>
          <w:sz w:val="24"/>
          <w:szCs w:val="24"/>
        </w:rPr>
        <w:t>lus the 36.25% civilian personnel full fringe benefit rate from OMB Memo</w:t>
      </w:r>
      <w:r w:rsidRPr="00A165F0">
        <w:rPr>
          <w:rFonts w:ascii="Times New Roman" w:eastAsia="+mn-ea" w:hAnsi="Times New Roman"/>
          <w:sz w:val="24"/>
          <w:szCs w:val="24"/>
          <w:lang w:val="en-US"/>
        </w:rPr>
        <w:t xml:space="preserve"> </w:t>
      </w:r>
      <w:r w:rsidRPr="00A165F0">
        <w:rPr>
          <w:rFonts w:ascii="Times New Roman" w:eastAsia="+mn-ea" w:hAnsi="Times New Roman"/>
          <w:sz w:val="24"/>
          <w:szCs w:val="24"/>
        </w:rPr>
        <w:t>M-08-13</w:t>
      </w:r>
      <w:r w:rsidRPr="00A165F0">
        <w:rPr>
          <w:rFonts w:ascii="Times New Roman" w:eastAsia="+mn-ea" w:hAnsi="Times New Roman"/>
          <w:sz w:val="24"/>
          <w:szCs w:val="24"/>
          <w:lang w:val="en-US"/>
        </w:rPr>
        <w:t xml:space="preserve"> </w:t>
      </w:r>
      <w:r w:rsidRPr="00A165F0">
        <w:rPr>
          <w:rFonts w:ascii="Times New Roman" w:eastAsia="+mn-ea" w:hAnsi="Times New Roman"/>
          <w:sz w:val="24"/>
          <w:szCs w:val="24"/>
        </w:rPr>
        <w:t>($</w:t>
      </w:r>
      <w:r w:rsidRPr="00A165F0">
        <w:rPr>
          <w:rFonts w:ascii="Times New Roman" w:eastAsia="+mn-ea" w:hAnsi="Times New Roman"/>
          <w:sz w:val="24"/>
          <w:szCs w:val="24"/>
          <w:lang w:val="en-US"/>
        </w:rPr>
        <w:t>9.79</w:t>
      </w:r>
      <w:r w:rsidRPr="00A165F0">
        <w:rPr>
          <w:rFonts w:ascii="Times New Roman" w:eastAsia="+mn-ea" w:hAnsi="Times New Roman"/>
          <w:sz w:val="24"/>
          <w:szCs w:val="24"/>
        </w:rPr>
        <w:t xml:space="preserve">), rounded to the nearest dollar </w:t>
      </w:r>
      <w:r w:rsidRPr="00A165F0">
        <w:rPr>
          <w:rFonts w:ascii="Times New Roman" w:eastAsia="+mn-ea" w:hAnsi="Times New Roman"/>
          <w:sz w:val="24"/>
          <w:szCs w:val="24"/>
          <w:lang w:val="en-US"/>
        </w:rPr>
        <w:t>($37).</w:t>
      </w:r>
      <w:r>
        <w:rPr>
          <w:rFonts w:ascii="Times New Roman" w:eastAsia="+mn-ea" w:hAnsi="Times New Roman"/>
          <w:sz w:val="24"/>
          <w:szCs w:val="24"/>
          <w:lang w:val="en-US"/>
        </w:rPr>
        <w:t xml:space="preserve">  The OPM rate includes locality pay area for the rest of the U.S.</w:t>
      </w:r>
    </w:p>
    <w:p w:rsidR="006E33F7" w:rsidRPr="00A165F0" w:rsidRDefault="00B0040D" w:rsidP="00AC1E16">
      <w:pPr>
        <w:tabs>
          <w:tab w:val="left" w:pos="360"/>
          <w:tab w:val="left" w:pos="720"/>
          <w:tab w:val="left" w:pos="1080"/>
        </w:tabs>
        <w:rPr>
          <w:sz w:val="24"/>
          <w:szCs w:val="24"/>
        </w:rPr>
      </w:pPr>
      <w:r w:rsidRPr="00A165F0">
        <w:rPr>
          <w:sz w:val="24"/>
          <w:szCs w:val="24"/>
        </w:rPr>
        <w:tab/>
      </w:r>
      <w:r w:rsidR="00707E3A" w:rsidRPr="00A165F0">
        <w:rPr>
          <w:sz w:val="24"/>
          <w:szCs w:val="24"/>
        </w:rPr>
        <w:t xml:space="preserve">15. </w:t>
      </w:r>
      <w:r w:rsidR="005B6779" w:rsidRPr="00A165F0">
        <w:rPr>
          <w:sz w:val="24"/>
          <w:szCs w:val="24"/>
        </w:rPr>
        <w:t xml:space="preserve"> </w:t>
      </w:r>
      <w:r w:rsidR="0044387F" w:rsidRPr="00A165F0">
        <w:rPr>
          <w:sz w:val="24"/>
          <w:szCs w:val="24"/>
          <w:u w:val="single"/>
        </w:rPr>
        <w:t>Reasons for Change in Burden</w:t>
      </w:r>
      <w:r w:rsidR="00AC1E16" w:rsidRPr="00A165F0">
        <w:rPr>
          <w:sz w:val="24"/>
          <w:szCs w:val="24"/>
        </w:rPr>
        <w:t xml:space="preserve">.  </w:t>
      </w:r>
    </w:p>
    <w:p w:rsidR="006E33F7" w:rsidRPr="00A165F0" w:rsidRDefault="006E33F7" w:rsidP="00AC1E16">
      <w:pPr>
        <w:tabs>
          <w:tab w:val="left" w:pos="360"/>
          <w:tab w:val="left" w:pos="720"/>
          <w:tab w:val="left" w:pos="1080"/>
        </w:tabs>
        <w:rPr>
          <w:sz w:val="24"/>
          <w:szCs w:val="24"/>
        </w:rPr>
      </w:pPr>
    </w:p>
    <w:p w:rsidR="006E33F7" w:rsidRPr="00A165F0" w:rsidRDefault="006E33F7" w:rsidP="00AC1E16">
      <w:pPr>
        <w:tabs>
          <w:tab w:val="left" w:pos="360"/>
          <w:tab w:val="left" w:pos="720"/>
          <w:tab w:val="left" w:pos="1080"/>
        </w:tabs>
        <w:rPr>
          <w:sz w:val="24"/>
          <w:szCs w:val="24"/>
        </w:rPr>
      </w:pPr>
      <w:r w:rsidRPr="00A165F0">
        <w:rPr>
          <w:sz w:val="24"/>
          <w:szCs w:val="24"/>
        </w:rPr>
        <w:tab/>
      </w:r>
      <w:r w:rsidRPr="00A165F0">
        <w:rPr>
          <w:sz w:val="24"/>
          <w:szCs w:val="24"/>
        </w:rPr>
        <w:tab/>
      </w:r>
      <w:r w:rsidR="00AC1E16" w:rsidRPr="00A165F0">
        <w:rPr>
          <w:sz w:val="24"/>
          <w:szCs w:val="24"/>
        </w:rPr>
        <w:t xml:space="preserve">The change in burden estimation is </w:t>
      </w:r>
      <w:r w:rsidRPr="00A165F0">
        <w:rPr>
          <w:sz w:val="24"/>
          <w:szCs w:val="24"/>
        </w:rPr>
        <w:t>shown in the following table:</w:t>
      </w:r>
    </w:p>
    <w:p w:rsidR="006E33F7" w:rsidRPr="00A165F0" w:rsidRDefault="006E33F7" w:rsidP="00AC1E16">
      <w:pPr>
        <w:tabs>
          <w:tab w:val="left" w:pos="360"/>
          <w:tab w:val="left" w:pos="720"/>
          <w:tab w:val="left" w:pos="1080"/>
        </w:tabs>
        <w:rPr>
          <w:sz w:val="24"/>
          <w:szCs w:val="24"/>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746"/>
        <w:gridCol w:w="1674"/>
        <w:gridCol w:w="1620"/>
      </w:tblGrid>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line="288" w:lineRule="atLeast"/>
              <w:rPr>
                <w:rFonts w:eastAsia="Calibri"/>
                <w:sz w:val="24"/>
                <w:szCs w:val="24"/>
              </w:rPr>
            </w:pPr>
            <w:r w:rsidRPr="00A165F0">
              <w:rPr>
                <w:rFonts w:eastAsia="Calibri"/>
                <w:sz w:val="24"/>
                <w:szCs w:val="24"/>
              </w:rPr>
              <w:t>Change in Burden</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line="288" w:lineRule="atLeast"/>
              <w:jc w:val="right"/>
              <w:rPr>
                <w:rFonts w:eastAsia="Calibri"/>
                <w:sz w:val="24"/>
                <w:szCs w:val="24"/>
              </w:rPr>
            </w:pPr>
            <w:r w:rsidRPr="00A165F0">
              <w:rPr>
                <w:rFonts w:eastAsia="Calibri"/>
                <w:sz w:val="24"/>
                <w:szCs w:val="24"/>
              </w:rPr>
              <w:t>2014</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line="288" w:lineRule="atLeast"/>
              <w:jc w:val="right"/>
              <w:rPr>
                <w:rFonts w:eastAsia="Calibri"/>
                <w:sz w:val="24"/>
                <w:szCs w:val="24"/>
              </w:rPr>
            </w:pPr>
            <w:r w:rsidRPr="00A165F0">
              <w:rPr>
                <w:rFonts w:eastAsia="Calibri"/>
                <w:sz w:val="24"/>
                <w:szCs w:val="24"/>
              </w:rPr>
              <w:t>2017</w:t>
            </w:r>
          </w:p>
        </w:tc>
        <w:tc>
          <w:tcPr>
            <w:tcW w:w="1620" w:type="dxa"/>
            <w:shd w:val="clear" w:color="auto" w:fill="auto"/>
            <w:vAlign w:val="center"/>
          </w:tcPr>
          <w:p w:rsidR="006E33F7" w:rsidRPr="00A165F0" w:rsidRDefault="006E33F7" w:rsidP="00BB3CFE">
            <w:pPr>
              <w:tabs>
                <w:tab w:val="left" w:pos="360"/>
                <w:tab w:val="left" w:pos="720"/>
                <w:tab w:val="left" w:pos="1080"/>
                <w:tab w:val="left" w:pos="1440"/>
              </w:tabs>
              <w:spacing w:line="288" w:lineRule="atLeast"/>
              <w:jc w:val="right"/>
              <w:rPr>
                <w:rFonts w:eastAsia="Calibri"/>
                <w:sz w:val="24"/>
                <w:szCs w:val="24"/>
              </w:rPr>
            </w:pPr>
            <w:r w:rsidRPr="00A165F0">
              <w:rPr>
                <w:rFonts w:eastAsia="Calibri"/>
                <w:sz w:val="24"/>
                <w:szCs w:val="24"/>
              </w:rPr>
              <w:t>Difference</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Number of respondents</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92,500</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153,000</w:t>
            </w:r>
          </w:p>
        </w:tc>
        <w:tc>
          <w:tcPr>
            <w:tcW w:w="16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+60,500</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Responses/respondent</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25</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18</w:t>
            </w:r>
          </w:p>
        </w:tc>
        <w:tc>
          <w:tcPr>
            <w:tcW w:w="1620" w:type="dxa"/>
            <w:shd w:val="clear" w:color="auto" w:fill="auto"/>
            <w:vAlign w:val="center"/>
          </w:tcPr>
          <w:p w:rsidR="006E33F7" w:rsidRPr="00A165F0" w:rsidRDefault="006F241E"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6E33F7" w:rsidRPr="00A165F0">
              <w:rPr>
                <w:rFonts w:eastAsia="Calibri"/>
                <w:sz w:val="24"/>
                <w:szCs w:val="24"/>
              </w:rPr>
              <w:t>7</w:t>
            </w:r>
            <w:r>
              <w:rPr>
                <w:rFonts w:eastAsia="Calibri"/>
                <w:sz w:val="24"/>
                <w:szCs w:val="24"/>
              </w:rPr>
              <w:t>)</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annual responses</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2,352,941</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2,800,000</w:t>
            </w:r>
          </w:p>
        </w:tc>
        <w:tc>
          <w:tcPr>
            <w:tcW w:w="1620" w:type="dxa"/>
            <w:shd w:val="clear" w:color="auto" w:fill="auto"/>
            <w:vAlign w:val="center"/>
          </w:tcPr>
          <w:p w:rsidR="006E33F7" w:rsidRPr="00A165F0" w:rsidRDefault="00D5381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w:t>
            </w:r>
            <w:r w:rsidR="006E33F7" w:rsidRPr="00A165F0">
              <w:rPr>
                <w:rFonts w:eastAsia="Calibri"/>
                <w:sz w:val="24"/>
                <w:szCs w:val="24"/>
              </w:rPr>
              <w:t>447,059</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Hours per response</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5 minutes</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3 minutes</w:t>
            </w:r>
          </w:p>
        </w:tc>
        <w:tc>
          <w:tcPr>
            <w:tcW w:w="1620" w:type="dxa"/>
            <w:shd w:val="clear" w:color="auto" w:fill="auto"/>
            <w:vAlign w:val="center"/>
          </w:tcPr>
          <w:p w:rsidR="006E33F7" w:rsidRPr="00A165F0" w:rsidRDefault="00D22A84" w:rsidP="00D22A84">
            <w:pPr>
              <w:tabs>
                <w:tab w:val="left" w:pos="360"/>
                <w:tab w:val="left" w:pos="720"/>
                <w:tab w:val="left" w:pos="1080"/>
                <w:tab w:val="left" w:pos="1440"/>
              </w:tabs>
              <w:spacing w:before="100" w:beforeAutospacing="1" w:after="100" w:afterAutospacing="1" w:line="288" w:lineRule="atLeast"/>
              <w:jc w:val="center"/>
              <w:rPr>
                <w:rFonts w:eastAsia="Calibri"/>
                <w:sz w:val="24"/>
                <w:szCs w:val="24"/>
              </w:rPr>
            </w:pPr>
            <w:r>
              <w:rPr>
                <w:rFonts w:eastAsia="Calibri"/>
                <w:sz w:val="24"/>
                <w:szCs w:val="24"/>
              </w:rPr>
              <w:t>-</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Hours</w:t>
            </w:r>
          </w:p>
        </w:tc>
        <w:tc>
          <w:tcPr>
            <w:tcW w:w="1746" w:type="dxa"/>
            <w:shd w:val="clear" w:color="auto" w:fill="auto"/>
            <w:vAlign w:val="center"/>
          </w:tcPr>
          <w:p w:rsidR="006E33F7" w:rsidRPr="00A165F0" w:rsidRDefault="00A165F0"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209,804</w:t>
            </w:r>
          </w:p>
        </w:tc>
        <w:tc>
          <w:tcPr>
            <w:tcW w:w="1674"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140,000</w:t>
            </w:r>
          </w:p>
        </w:tc>
        <w:tc>
          <w:tcPr>
            <w:tcW w:w="1620" w:type="dxa"/>
            <w:shd w:val="clear" w:color="auto" w:fill="auto"/>
            <w:vAlign w:val="center"/>
          </w:tcPr>
          <w:p w:rsidR="006E33F7" w:rsidRPr="00A165F0" w:rsidRDefault="006F241E" w:rsidP="00A165F0">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A165F0" w:rsidRPr="00A165F0">
              <w:rPr>
                <w:rFonts w:eastAsia="Calibri"/>
                <w:sz w:val="24"/>
                <w:szCs w:val="24"/>
              </w:rPr>
              <w:t>69,804</w:t>
            </w:r>
            <w:r>
              <w:rPr>
                <w:rFonts w:eastAsia="Calibri"/>
                <w:sz w:val="24"/>
                <w:szCs w:val="24"/>
              </w:rPr>
              <w:t>)</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Cost per hour</w:t>
            </w:r>
          </w:p>
        </w:tc>
        <w:tc>
          <w:tcPr>
            <w:tcW w:w="1746"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$31.00</w:t>
            </w:r>
          </w:p>
        </w:tc>
        <w:tc>
          <w:tcPr>
            <w:tcW w:w="1674" w:type="dxa"/>
            <w:shd w:val="clear" w:color="auto" w:fill="auto"/>
            <w:vAlign w:val="center"/>
          </w:tcPr>
          <w:p w:rsidR="006E33F7" w:rsidRPr="00A165F0" w:rsidRDefault="006E33F7" w:rsidP="00A165F0">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$3</w:t>
            </w:r>
            <w:r w:rsidR="00A165F0" w:rsidRPr="00A165F0">
              <w:rPr>
                <w:rFonts w:eastAsia="Calibri"/>
                <w:sz w:val="24"/>
                <w:szCs w:val="24"/>
              </w:rPr>
              <w:t>7</w:t>
            </w:r>
            <w:r w:rsidRPr="00A165F0">
              <w:rPr>
                <w:rFonts w:eastAsia="Calibri"/>
                <w:sz w:val="24"/>
                <w:szCs w:val="24"/>
              </w:rPr>
              <w:t>.00</w:t>
            </w:r>
          </w:p>
        </w:tc>
        <w:tc>
          <w:tcPr>
            <w:tcW w:w="1620" w:type="dxa"/>
            <w:shd w:val="clear" w:color="auto" w:fill="auto"/>
            <w:vAlign w:val="center"/>
          </w:tcPr>
          <w:p w:rsidR="006E33F7" w:rsidRPr="00A165F0" w:rsidRDefault="00D22A84" w:rsidP="00D22A84">
            <w:pPr>
              <w:tabs>
                <w:tab w:val="left" w:pos="360"/>
                <w:tab w:val="left" w:pos="720"/>
                <w:tab w:val="left" w:pos="1080"/>
                <w:tab w:val="left" w:pos="1440"/>
              </w:tabs>
              <w:spacing w:before="100" w:beforeAutospacing="1" w:after="100" w:afterAutospacing="1" w:line="288" w:lineRule="atLeast"/>
              <w:jc w:val="center"/>
              <w:rPr>
                <w:rFonts w:eastAsia="Calibri"/>
                <w:sz w:val="24"/>
                <w:szCs w:val="24"/>
              </w:rPr>
            </w:pPr>
            <w:r>
              <w:rPr>
                <w:rFonts w:eastAsia="Calibri"/>
                <w:sz w:val="24"/>
                <w:szCs w:val="24"/>
              </w:rPr>
              <w:t>-</w:t>
            </w:r>
          </w:p>
        </w:tc>
      </w:tr>
      <w:tr w:rsidR="005672C0" w:rsidRPr="00A165F0" w:rsidTr="002966AE">
        <w:trPr>
          <w:trHeight w:val="432"/>
        </w:trPr>
        <w:tc>
          <w:tcPr>
            <w:tcW w:w="2520" w:type="dxa"/>
            <w:shd w:val="clear" w:color="auto" w:fill="auto"/>
            <w:vAlign w:val="center"/>
          </w:tcPr>
          <w:p w:rsidR="006E33F7" w:rsidRPr="00A165F0" w:rsidRDefault="006E33F7" w:rsidP="00BB3CFE">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A165F0">
              <w:rPr>
                <w:rFonts w:eastAsia="Calibri"/>
                <w:sz w:val="24"/>
                <w:szCs w:val="24"/>
              </w:rPr>
              <w:t>Total Cost</w:t>
            </w:r>
          </w:p>
        </w:tc>
        <w:tc>
          <w:tcPr>
            <w:tcW w:w="1746" w:type="dxa"/>
            <w:shd w:val="clear" w:color="auto" w:fill="auto"/>
            <w:vAlign w:val="center"/>
          </w:tcPr>
          <w:p w:rsidR="006E33F7" w:rsidRPr="00A165F0" w:rsidRDefault="00A165F0"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A165F0">
              <w:rPr>
                <w:rFonts w:eastAsia="Calibri"/>
                <w:sz w:val="24"/>
                <w:szCs w:val="24"/>
              </w:rPr>
              <w:t>$</w:t>
            </w:r>
            <w:r w:rsidR="006E33F7" w:rsidRPr="00A165F0">
              <w:rPr>
                <w:rFonts w:eastAsia="Calibri"/>
                <w:sz w:val="24"/>
                <w:szCs w:val="24"/>
              </w:rPr>
              <w:t>6,503,924</w:t>
            </w:r>
          </w:p>
        </w:tc>
        <w:tc>
          <w:tcPr>
            <w:tcW w:w="1674" w:type="dxa"/>
            <w:shd w:val="clear" w:color="auto" w:fill="auto"/>
            <w:vAlign w:val="center"/>
          </w:tcPr>
          <w:tbl>
            <w:tblPr>
              <w:tblW w:w="0" w:type="auto"/>
              <w:tblInd w:w="108" w:type="dxa"/>
              <w:tblLook w:val="04A0" w:firstRow="1" w:lastRow="0" w:firstColumn="1" w:lastColumn="0" w:noHBand="0" w:noVBand="1"/>
            </w:tblPr>
            <w:tblGrid>
              <w:gridCol w:w="1350"/>
            </w:tblGrid>
            <w:tr w:rsidR="006E33F7" w:rsidRPr="00A165F0" w:rsidTr="00BB3CFE">
              <w:trPr>
                <w:trHeight w:val="432"/>
              </w:trPr>
              <w:tc>
                <w:tcPr>
                  <w:tcW w:w="2010" w:type="dxa"/>
                  <w:shd w:val="clear" w:color="auto" w:fill="auto"/>
                  <w:vAlign w:val="center"/>
                </w:tcPr>
                <w:p w:rsidR="006E33F7" w:rsidRPr="00A165F0" w:rsidRDefault="00EA3414" w:rsidP="00EA3414">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sz w:val="24"/>
                      <w:szCs w:val="24"/>
                    </w:rPr>
                    <w:t>$5,180,000</w:t>
                  </w:r>
                </w:p>
              </w:tc>
            </w:tr>
          </w:tbl>
          <w:p w:rsidR="006E33F7" w:rsidRPr="00A165F0" w:rsidRDefault="006E33F7" w:rsidP="00BB3CF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p>
        </w:tc>
        <w:tc>
          <w:tcPr>
            <w:tcW w:w="1620" w:type="dxa"/>
            <w:shd w:val="clear" w:color="auto" w:fill="auto"/>
            <w:vAlign w:val="center"/>
          </w:tcPr>
          <w:p w:rsidR="006E33F7" w:rsidRPr="00A165F0" w:rsidRDefault="006F241E" w:rsidP="00A165F0">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w:t>
            </w:r>
            <w:r w:rsidR="00A165F0" w:rsidRPr="00A165F0">
              <w:rPr>
                <w:rFonts w:eastAsia="Calibri"/>
                <w:sz w:val="24"/>
                <w:szCs w:val="24"/>
              </w:rPr>
              <w:t>$1,323</w:t>
            </w:r>
            <w:r w:rsidR="006E33F7" w:rsidRPr="00A165F0">
              <w:rPr>
                <w:rFonts w:eastAsia="Calibri"/>
                <w:sz w:val="24"/>
                <w:szCs w:val="24"/>
              </w:rPr>
              <w:t>,924</w:t>
            </w:r>
            <w:r>
              <w:rPr>
                <w:rFonts w:eastAsia="Calibri"/>
                <w:sz w:val="24"/>
                <w:szCs w:val="24"/>
              </w:rPr>
              <w:t>)</w:t>
            </w:r>
          </w:p>
        </w:tc>
      </w:tr>
    </w:tbl>
    <w:p w:rsidR="005672C0" w:rsidRDefault="005672C0" w:rsidP="00AC1E16">
      <w:pPr>
        <w:tabs>
          <w:tab w:val="left" w:pos="360"/>
          <w:tab w:val="left" w:pos="720"/>
          <w:tab w:val="left" w:pos="1080"/>
        </w:tabs>
        <w:rPr>
          <w:sz w:val="24"/>
          <w:szCs w:val="24"/>
        </w:rPr>
      </w:pPr>
    </w:p>
    <w:p w:rsidR="006E33F7" w:rsidRPr="00A165F0" w:rsidRDefault="005672C0" w:rsidP="00AC1E16">
      <w:pPr>
        <w:tabs>
          <w:tab w:val="left" w:pos="360"/>
          <w:tab w:val="left" w:pos="720"/>
          <w:tab w:val="left" w:pos="1080"/>
        </w:tabs>
        <w:rPr>
          <w:sz w:val="24"/>
          <w:szCs w:val="24"/>
        </w:rPr>
      </w:pPr>
      <w:r>
        <w:rPr>
          <w:sz w:val="24"/>
          <w:szCs w:val="24"/>
        </w:rPr>
        <w:tab/>
      </w:r>
      <w:r>
        <w:rPr>
          <w:sz w:val="24"/>
          <w:szCs w:val="24"/>
        </w:rPr>
        <w:tab/>
      </w:r>
      <w:r w:rsidR="006E33F7" w:rsidRPr="00A165F0">
        <w:rPr>
          <w:sz w:val="24"/>
          <w:szCs w:val="24"/>
        </w:rPr>
        <w:t>Reasons for change in burden:</w:t>
      </w:r>
    </w:p>
    <w:p w:rsidR="00011858" w:rsidRPr="00A165F0" w:rsidRDefault="00011858" w:rsidP="00AC1E16">
      <w:pPr>
        <w:tabs>
          <w:tab w:val="left" w:pos="360"/>
          <w:tab w:val="left" w:pos="720"/>
          <w:tab w:val="left" w:pos="1080"/>
        </w:tabs>
        <w:rPr>
          <w:sz w:val="24"/>
          <w:szCs w:val="24"/>
        </w:rPr>
      </w:pPr>
    </w:p>
    <w:p w:rsidR="00C468FA" w:rsidRDefault="00C468FA" w:rsidP="00AC1E16">
      <w:pPr>
        <w:tabs>
          <w:tab w:val="left" w:pos="360"/>
          <w:tab w:val="left" w:pos="720"/>
          <w:tab w:val="left" w:pos="1080"/>
        </w:tabs>
        <w:rPr>
          <w:sz w:val="24"/>
          <w:szCs w:val="24"/>
        </w:rPr>
      </w:pPr>
      <w:r>
        <w:rPr>
          <w:sz w:val="24"/>
          <w:szCs w:val="24"/>
        </w:rPr>
        <w:tab/>
      </w:r>
      <w:r>
        <w:rPr>
          <w:sz w:val="24"/>
          <w:szCs w:val="24"/>
        </w:rPr>
        <w:tab/>
      </w:r>
      <w:r w:rsidR="00DC6144">
        <w:rPr>
          <w:sz w:val="24"/>
          <w:szCs w:val="24"/>
        </w:rPr>
        <w:t>a.  Programming</w:t>
      </w:r>
      <w:r>
        <w:rPr>
          <w:sz w:val="24"/>
          <w:szCs w:val="24"/>
        </w:rPr>
        <w:t xml:space="preserve"> changes</w:t>
      </w:r>
      <w:r w:rsidR="00DC6144">
        <w:rPr>
          <w:sz w:val="24"/>
          <w:szCs w:val="24"/>
        </w:rPr>
        <w:t xml:space="preserve"> made to WAWF</w:t>
      </w:r>
      <w:r>
        <w:rPr>
          <w:sz w:val="24"/>
          <w:szCs w:val="24"/>
        </w:rPr>
        <w:t xml:space="preserve"> resulted in </w:t>
      </w:r>
      <w:r w:rsidR="002966AE">
        <w:rPr>
          <w:sz w:val="24"/>
          <w:szCs w:val="24"/>
        </w:rPr>
        <w:t>computerization</w:t>
      </w:r>
      <w:r>
        <w:rPr>
          <w:sz w:val="24"/>
          <w:szCs w:val="24"/>
        </w:rPr>
        <w:t xml:space="preserve"> of various DD Form 250 series receiving reports with a commensurate reduction in burden on the public.  </w:t>
      </w:r>
      <w:r w:rsidR="002966AE">
        <w:rPr>
          <w:sz w:val="24"/>
          <w:szCs w:val="24"/>
        </w:rPr>
        <w:t>(</w:t>
      </w:r>
      <w:r>
        <w:rPr>
          <w:sz w:val="24"/>
          <w:szCs w:val="24"/>
        </w:rPr>
        <w:t>See the two final DFARS rules discussed in paragraph 12.</w:t>
      </w:r>
      <w:r w:rsidR="002966AE">
        <w:rPr>
          <w:sz w:val="24"/>
          <w:szCs w:val="24"/>
        </w:rPr>
        <w:t>)</w:t>
      </w:r>
      <w:r>
        <w:rPr>
          <w:sz w:val="24"/>
          <w:szCs w:val="24"/>
        </w:rPr>
        <w:t xml:space="preserve">  </w:t>
      </w:r>
      <w:r w:rsidRPr="00A165F0">
        <w:rPr>
          <w:rFonts w:eastAsia="+mn-ea"/>
          <w:sz w:val="24"/>
          <w:szCs w:val="24"/>
        </w:rPr>
        <w:t xml:space="preserve">As a </w:t>
      </w:r>
      <w:r w:rsidR="005672C0">
        <w:rPr>
          <w:rFonts w:eastAsia="+mn-ea"/>
          <w:sz w:val="24"/>
          <w:szCs w:val="24"/>
        </w:rPr>
        <w:t>matter of law (10 U.S.C. 2227)</w:t>
      </w:r>
      <w:r w:rsidRPr="00A165F0">
        <w:rPr>
          <w:rFonts w:eastAsia="+mn-ea"/>
          <w:sz w:val="24"/>
          <w:szCs w:val="24"/>
        </w:rPr>
        <w:t xml:space="preserve">, </w:t>
      </w:r>
      <w:r w:rsidR="005672C0">
        <w:rPr>
          <w:rFonts w:eastAsia="+mn-ea"/>
          <w:sz w:val="24"/>
          <w:szCs w:val="24"/>
        </w:rPr>
        <w:t xml:space="preserve">any claim for payment under a DoD contract </w:t>
      </w:r>
      <w:r w:rsidRPr="00A165F0">
        <w:rPr>
          <w:spacing w:val="-5"/>
          <w:kern w:val="20"/>
          <w:sz w:val="24"/>
          <w:szCs w:val="24"/>
          <w:lang w:eastAsia="x-none"/>
        </w:rPr>
        <w:t>must be</w:t>
      </w:r>
      <w:r w:rsidR="005672C0">
        <w:rPr>
          <w:spacing w:val="-5"/>
          <w:kern w:val="20"/>
          <w:sz w:val="24"/>
          <w:szCs w:val="24"/>
          <w:lang w:eastAsia="x-none"/>
        </w:rPr>
        <w:t xml:space="preserve"> in</w:t>
      </w:r>
      <w:r w:rsidRPr="00A165F0">
        <w:rPr>
          <w:spacing w:val="-5"/>
          <w:kern w:val="20"/>
          <w:sz w:val="24"/>
          <w:szCs w:val="24"/>
          <w:lang w:eastAsia="x-none"/>
        </w:rPr>
        <w:t xml:space="preserve"> electronic</w:t>
      </w:r>
      <w:r w:rsidR="005672C0">
        <w:rPr>
          <w:spacing w:val="-5"/>
          <w:kern w:val="20"/>
          <w:sz w:val="24"/>
          <w:szCs w:val="24"/>
          <w:lang w:eastAsia="x-none"/>
        </w:rPr>
        <w:t xml:space="preserve"> form</w:t>
      </w:r>
      <w:r w:rsidRPr="00A165F0">
        <w:rPr>
          <w:spacing w:val="-5"/>
          <w:kern w:val="20"/>
          <w:sz w:val="24"/>
          <w:szCs w:val="24"/>
          <w:lang w:eastAsia="x-none"/>
        </w:rPr>
        <w:t xml:space="preserve">.  </w:t>
      </w:r>
      <w:r w:rsidRPr="00A165F0">
        <w:rPr>
          <w:rFonts w:eastAsia="+mn-ea"/>
          <w:sz w:val="24"/>
          <w:szCs w:val="24"/>
        </w:rPr>
        <w:t xml:space="preserve">Accordingly, the separate burden hours associated with </w:t>
      </w:r>
      <w:r w:rsidR="005672C0">
        <w:rPr>
          <w:rFonts w:eastAsia="+mn-ea"/>
          <w:sz w:val="24"/>
          <w:szCs w:val="24"/>
        </w:rPr>
        <w:t>manually submitted (</w:t>
      </w:r>
      <w:r w:rsidRPr="00A165F0">
        <w:rPr>
          <w:rFonts w:eastAsia="+mn-ea"/>
          <w:sz w:val="24"/>
          <w:szCs w:val="24"/>
        </w:rPr>
        <w:t>paper</w:t>
      </w:r>
      <w:r w:rsidR="005672C0">
        <w:rPr>
          <w:rFonts w:eastAsia="+mn-ea"/>
          <w:sz w:val="24"/>
          <w:szCs w:val="24"/>
        </w:rPr>
        <w:t>)</w:t>
      </w:r>
      <w:r w:rsidRPr="00A165F0">
        <w:rPr>
          <w:rFonts w:eastAsia="+mn-ea"/>
          <w:sz w:val="24"/>
          <w:szCs w:val="24"/>
        </w:rPr>
        <w:t xml:space="preserve"> DD 250s, which were included in the 2014 supporting statement, are not included </w:t>
      </w:r>
      <w:r w:rsidR="005672C0">
        <w:rPr>
          <w:rFonts w:eastAsia="+mn-ea"/>
          <w:sz w:val="24"/>
          <w:szCs w:val="24"/>
        </w:rPr>
        <w:t>in the current assessment</w:t>
      </w:r>
      <w:r w:rsidRPr="00A165F0">
        <w:rPr>
          <w:rFonts w:eastAsia="+mn-ea"/>
          <w:sz w:val="24"/>
          <w:szCs w:val="24"/>
        </w:rPr>
        <w:t>.</w:t>
      </w:r>
    </w:p>
    <w:p w:rsidR="00C468FA" w:rsidRDefault="00C468FA" w:rsidP="00AC1E16">
      <w:pPr>
        <w:tabs>
          <w:tab w:val="left" w:pos="360"/>
          <w:tab w:val="left" w:pos="720"/>
          <w:tab w:val="left" w:pos="1080"/>
        </w:tabs>
        <w:rPr>
          <w:sz w:val="24"/>
          <w:szCs w:val="24"/>
        </w:rPr>
      </w:pPr>
    </w:p>
    <w:p w:rsidR="00205282" w:rsidRDefault="00C468FA" w:rsidP="00AC1E16">
      <w:pPr>
        <w:tabs>
          <w:tab w:val="left" w:pos="360"/>
          <w:tab w:val="left" w:pos="720"/>
          <w:tab w:val="left" w:pos="1080"/>
        </w:tabs>
        <w:rPr>
          <w:sz w:val="24"/>
          <w:szCs w:val="24"/>
        </w:rPr>
      </w:pPr>
      <w:r>
        <w:rPr>
          <w:sz w:val="24"/>
          <w:szCs w:val="24"/>
        </w:rPr>
        <w:tab/>
      </w:r>
      <w:r>
        <w:rPr>
          <w:sz w:val="24"/>
          <w:szCs w:val="24"/>
        </w:rPr>
        <w:tab/>
        <w:t xml:space="preserve">b.  </w:t>
      </w:r>
      <w:r w:rsidR="00F375AC">
        <w:rPr>
          <w:sz w:val="24"/>
          <w:szCs w:val="24"/>
        </w:rPr>
        <w:t>I</w:t>
      </w:r>
      <w:r w:rsidR="00205282" w:rsidRPr="00A165F0">
        <w:rPr>
          <w:sz w:val="24"/>
          <w:szCs w:val="24"/>
        </w:rPr>
        <w:t>ncrease in the</w:t>
      </w:r>
      <w:r w:rsidR="00527BBE" w:rsidRPr="00A165F0">
        <w:rPr>
          <w:sz w:val="24"/>
          <w:szCs w:val="24"/>
        </w:rPr>
        <w:t xml:space="preserve"> number of respondents, which is due to</w:t>
      </w:r>
      <w:r w:rsidR="00205282" w:rsidRPr="00A165F0">
        <w:rPr>
          <w:sz w:val="24"/>
          <w:szCs w:val="24"/>
        </w:rPr>
        <w:t>:</w:t>
      </w:r>
    </w:p>
    <w:p w:rsidR="00C468FA" w:rsidRDefault="00C468FA" w:rsidP="00AC1E16">
      <w:pPr>
        <w:tabs>
          <w:tab w:val="left" w:pos="360"/>
          <w:tab w:val="left" w:pos="720"/>
          <w:tab w:val="left" w:pos="1080"/>
        </w:tabs>
        <w:rPr>
          <w:sz w:val="24"/>
          <w:szCs w:val="24"/>
        </w:rPr>
      </w:pPr>
    </w:p>
    <w:p w:rsidR="00011858" w:rsidRPr="00A165F0" w:rsidRDefault="00205282" w:rsidP="00DC6144">
      <w:pPr>
        <w:pStyle w:val="ListParagraph"/>
        <w:numPr>
          <w:ilvl w:val="0"/>
          <w:numId w:val="11"/>
        </w:numPr>
        <w:tabs>
          <w:tab w:val="left" w:pos="360"/>
          <w:tab w:val="left" w:pos="720"/>
          <w:tab w:val="left" w:pos="1080"/>
        </w:tabs>
        <w:rPr>
          <w:rFonts w:eastAsia="+mn-ea"/>
          <w:sz w:val="24"/>
          <w:szCs w:val="24"/>
        </w:rPr>
      </w:pPr>
      <w:r w:rsidRPr="00A165F0">
        <w:rPr>
          <w:sz w:val="24"/>
          <w:szCs w:val="24"/>
        </w:rPr>
        <w:t xml:space="preserve">Greater use of </w:t>
      </w:r>
      <w:r w:rsidR="00011858" w:rsidRPr="00A165F0">
        <w:rPr>
          <w:sz w:val="24"/>
          <w:szCs w:val="24"/>
        </w:rPr>
        <w:t>WAWF</w:t>
      </w:r>
      <w:r w:rsidRPr="00A165F0">
        <w:rPr>
          <w:sz w:val="24"/>
          <w:szCs w:val="24"/>
        </w:rPr>
        <w:t xml:space="preserve"> generally, in part because of implementation of </w:t>
      </w:r>
      <w:r w:rsidR="00011858" w:rsidRPr="00A165F0">
        <w:rPr>
          <w:sz w:val="24"/>
          <w:szCs w:val="24"/>
        </w:rPr>
        <w:t>DFARS clause 252.232-7003, Electronic Submission of Payment Requests and Receiving Reports, which</w:t>
      </w:r>
      <w:r w:rsidR="00DC6144">
        <w:rPr>
          <w:sz w:val="24"/>
          <w:szCs w:val="24"/>
        </w:rPr>
        <w:t xml:space="preserve"> mandates use of WAWF</w:t>
      </w:r>
      <w:r w:rsidR="00011858" w:rsidRPr="00A165F0">
        <w:rPr>
          <w:sz w:val="24"/>
          <w:szCs w:val="24"/>
        </w:rPr>
        <w:t xml:space="preserve"> (77 FR </w:t>
      </w:r>
      <w:r w:rsidR="00700D2F" w:rsidRPr="00A165F0">
        <w:rPr>
          <w:bCs/>
          <w:sz w:val="24"/>
          <w:szCs w:val="24"/>
        </w:rPr>
        <w:t>38731</w:t>
      </w:r>
      <w:r w:rsidR="00C468FA">
        <w:rPr>
          <w:bCs/>
          <w:sz w:val="24"/>
          <w:szCs w:val="24"/>
        </w:rPr>
        <w:t>, June 29, 2012</w:t>
      </w:r>
      <w:r w:rsidR="00700D2F" w:rsidRPr="00A165F0">
        <w:rPr>
          <w:bCs/>
          <w:sz w:val="24"/>
          <w:szCs w:val="24"/>
        </w:rPr>
        <w:t>).</w:t>
      </w:r>
    </w:p>
    <w:p w:rsidR="00011858" w:rsidRPr="00A165F0" w:rsidRDefault="00011858" w:rsidP="00DC6144">
      <w:pPr>
        <w:tabs>
          <w:tab w:val="left" w:pos="360"/>
          <w:tab w:val="left" w:pos="720"/>
          <w:tab w:val="left" w:pos="1080"/>
        </w:tabs>
        <w:rPr>
          <w:rFonts w:eastAsia="+mn-ea"/>
          <w:sz w:val="24"/>
          <w:szCs w:val="24"/>
        </w:rPr>
      </w:pPr>
    </w:p>
    <w:p w:rsidR="005445C8" w:rsidRPr="00A165F0" w:rsidRDefault="005445C8" w:rsidP="00DC6144">
      <w:pPr>
        <w:pStyle w:val="ListParagraph"/>
        <w:numPr>
          <w:ilvl w:val="0"/>
          <w:numId w:val="11"/>
        </w:numPr>
        <w:tabs>
          <w:tab w:val="left" w:pos="360"/>
          <w:tab w:val="left" w:pos="720"/>
          <w:tab w:val="left" w:pos="1080"/>
        </w:tabs>
        <w:rPr>
          <w:rFonts w:eastAsia="+mn-ea"/>
          <w:sz w:val="24"/>
          <w:szCs w:val="24"/>
        </w:rPr>
      </w:pPr>
      <w:r w:rsidRPr="00A165F0">
        <w:rPr>
          <w:rFonts w:eastAsia="+mn-ea"/>
          <w:sz w:val="24"/>
          <w:szCs w:val="24"/>
        </w:rPr>
        <w:t xml:space="preserve">Increased </w:t>
      </w:r>
      <w:r w:rsidR="00DC6144">
        <w:rPr>
          <w:rFonts w:eastAsia="+mn-ea"/>
          <w:sz w:val="24"/>
          <w:szCs w:val="24"/>
        </w:rPr>
        <w:t>visibility</w:t>
      </w:r>
      <w:r w:rsidRPr="00A165F0">
        <w:rPr>
          <w:rFonts w:eastAsia="+mn-ea"/>
          <w:sz w:val="24"/>
          <w:szCs w:val="24"/>
        </w:rPr>
        <w:t xml:space="preserve"> </w:t>
      </w:r>
      <w:r w:rsidR="00205282" w:rsidRPr="00A165F0">
        <w:rPr>
          <w:rFonts w:eastAsia="+mn-ea"/>
          <w:sz w:val="24"/>
          <w:szCs w:val="24"/>
        </w:rPr>
        <w:t xml:space="preserve">of WAWF </w:t>
      </w:r>
      <w:r w:rsidRPr="00A165F0">
        <w:rPr>
          <w:rFonts w:eastAsia="+mn-ea"/>
          <w:sz w:val="24"/>
          <w:szCs w:val="24"/>
        </w:rPr>
        <w:t>at trade shows</w:t>
      </w:r>
      <w:r w:rsidR="00205282" w:rsidRPr="00A165F0">
        <w:rPr>
          <w:rFonts w:eastAsia="+mn-ea"/>
          <w:sz w:val="24"/>
          <w:szCs w:val="24"/>
        </w:rPr>
        <w:t>,</w:t>
      </w:r>
      <w:r w:rsidRPr="00A165F0">
        <w:rPr>
          <w:rFonts w:eastAsia="+mn-ea"/>
          <w:sz w:val="24"/>
          <w:szCs w:val="24"/>
        </w:rPr>
        <w:t xml:space="preserve"> industry</w:t>
      </w:r>
      <w:r w:rsidR="00CC1048" w:rsidRPr="00A165F0">
        <w:rPr>
          <w:rFonts w:eastAsia="+mn-ea"/>
          <w:sz w:val="24"/>
          <w:szCs w:val="24"/>
        </w:rPr>
        <w:t xml:space="preserve"> conferences</w:t>
      </w:r>
      <w:r w:rsidR="00205282" w:rsidRPr="00A165F0">
        <w:rPr>
          <w:rFonts w:eastAsia="+mn-ea"/>
          <w:sz w:val="24"/>
          <w:szCs w:val="24"/>
        </w:rPr>
        <w:t>,</w:t>
      </w:r>
      <w:r w:rsidR="00CC1048" w:rsidRPr="00A165F0">
        <w:rPr>
          <w:rFonts w:eastAsia="+mn-ea"/>
          <w:sz w:val="24"/>
          <w:szCs w:val="24"/>
        </w:rPr>
        <w:t xml:space="preserve"> and </w:t>
      </w:r>
      <w:r w:rsidRPr="00A165F0">
        <w:rPr>
          <w:rFonts w:eastAsia="+mn-ea"/>
          <w:sz w:val="24"/>
          <w:szCs w:val="24"/>
        </w:rPr>
        <w:t>forums</w:t>
      </w:r>
      <w:r w:rsidR="00CC1048" w:rsidRPr="00A165F0">
        <w:rPr>
          <w:rFonts w:eastAsia="+mn-ea"/>
          <w:sz w:val="24"/>
          <w:szCs w:val="24"/>
        </w:rPr>
        <w:t>.</w:t>
      </w:r>
    </w:p>
    <w:p w:rsidR="005445C8" w:rsidRPr="00A165F0" w:rsidRDefault="005445C8" w:rsidP="00DC6144">
      <w:pPr>
        <w:tabs>
          <w:tab w:val="left" w:pos="360"/>
          <w:tab w:val="left" w:pos="720"/>
          <w:tab w:val="left" w:pos="1080"/>
        </w:tabs>
        <w:rPr>
          <w:rFonts w:eastAsia="+mn-ea"/>
          <w:sz w:val="24"/>
          <w:szCs w:val="24"/>
        </w:rPr>
      </w:pPr>
    </w:p>
    <w:p w:rsidR="00205282" w:rsidRPr="00A165F0" w:rsidRDefault="00CC1048" w:rsidP="00DC6144">
      <w:pPr>
        <w:pStyle w:val="ListParagraph"/>
        <w:numPr>
          <w:ilvl w:val="0"/>
          <w:numId w:val="11"/>
        </w:numPr>
        <w:tabs>
          <w:tab w:val="left" w:pos="360"/>
          <w:tab w:val="left" w:pos="720"/>
          <w:tab w:val="left" w:pos="1080"/>
        </w:tabs>
        <w:rPr>
          <w:rFonts w:eastAsia="+mn-ea"/>
          <w:sz w:val="24"/>
          <w:szCs w:val="24"/>
        </w:rPr>
      </w:pPr>
      <w:r w:rsidRPr="00A165F0">
        <w:rPr>
          <w:rFonts w:eastAsia="+mn-ea"/>
          <w:sz w:val="24"/>
          <w:szCs w:val="24"/>
        </w:rPr>
        <w:t xml:space="preserve">Collaborative resolution of technical and other issues through the </w:t>
      </w:r>
      <w:r w:rsidR="00205282" w:rsidRPr="00A165F0">
        <w:rPr>
          <w:rFonts w:eastAsia="+mn-ea"/>
          <w:sz w:val="24"/>
          <w:szCs w:val="24"/>
        </w:rPr>
        <w:t>WAWF/</w:t>
      </w:r>
      <w:r w:rsidR="001579CC">
        <w:rPr>
          <w:rFonts w:eastAsia="+mn-ea"/>
          <w:sz w:val="24"/>
          <w:szCs w:val="24"/>
        </w:rPr>
        <w:t>Item Unique Identification</w:t>
      </w:r>
      <w:r w:rsidR="00205282" w:rsidRPr="00A165F0">
        <w:rPr>
          <w:rFonts w:eastAsia="+mn-ea"/>
          <w:sz w:val="24"/>
          <w:szCs w:val="24"/>
        </w:rPr>
        <w:t>/R</w:t>
      </w:r>
      <w:r w:rsidR="001579CC">
        <w:rPr>
          <w:rFonts w:eastAsia="+mn-ea"/>
          <w:sz w:val="24"/>
          <w:szCs w:val="24"/>
        </w:rPr>
        <w:t>adio Frequency Identification</w:t>
      </w:r>
      <w:r w:rsidR="00205282" w:rsidRPr="00A165F0">
        <w:rPr>
          <w:rFonts w:eastAsia="+mn-ea"/>
          <w:sz w:val="24"/>
          <w:szCs w:val="24"/>
        </w:rPr>
        <w:t xml:space="preserve"> </w:t>
      </w:r>
      <w:r w:rsidRPr="00A165F0">
        <w:rPr>
          <w:rFonts w:eastAsia="+mn-ea"/>
          <w:sz w:val="24"/>
          <w:szCs w:val="24"/>
        </w:rPr>
        <w:t>Users Industry Group</w:t>
      </w:r>
      <w:r w:rsidR="00205282" w:rsidRPr="00A165F0">
        <w:rPr>
          <w:rFonts w:eastAsia="+mn-ea"/>
          <w:sz w:val="24"/>
          <w:szCs w:val="24"/>
        </w:rPr>
        <w:t xml:space="preserve">, which </w:t>
      </w:r>
      <w:r w:rsidRPr="00A165F0">
        <w:rPr>
          <w:rFonts w:eastAsia="+mn-ea"/>
          <w:sz w:val="24"/>
          <w:szCs w:val="24"/>
        </w:rPr>
        <w:t xml:space="preserve">has resulted in greater customer </w:t>
      </w:r>
      <w:r w:rsidR="001579CC">
        <w:rPr>
          <w:rFonts w:eastAsia="+mn-ea"/>
          <w:sz w:val="24"/>
          <w:szCs w:val="24"/>
        </w:rPr>
        <w:t xml:space="preserve">familiarity and </w:t>
      </w:r>
      <w:r w:rsidRPr="00A165F0">
        <w:rPr>
          <w:rFonts w:eastAsia="+mn-ea"/>
          <w:sz w:val="24"/>
          <w:szCs w:val="24"/>
        </w:rPr>
        <w:t xml:space="preserve">acceptance of </w:t>
      </w:r>
      <w:r w:rsidR="00205282" w:rsidRPr="00A165F0">
        <w:rPr>
          <w:rFonts w:eastAsia="+mn-ea"/>
          <w:sz w:val="24"/>
          <w:szCs w:val="24"/>
        </w:rPr>
        <w:t>WAWF.</w:t>
      </w:r>
    </w:p>
    <w:p w:rsidR="00527BBE" w:rsidRPr="00A165F0" w:rsidRDefault="00527BBE" w:rsidP="00DC6144">
      <w:pPr>
        <w:tabs>
          <w:tab w:val="left" w:pos="360"/>
          <w:tab w:val="left" w:pos="720"/>
          <w:tab w:val="left" w:pos="1080"/>
        </w:tabs>
        <w:ind w:left="360"/>
        <w:rPr>
          <w:rFonts w:eastAsia="+mn-ea"/>
          <w:sz w:val="24"/>
          <w:szCs w:val="24"/>
        </w:rPr>
      </w:pPr>
    </w:p>
    <w:p w:rsidR="00AC1E16" w:rsidRPr="00A165F0" w:rsidRDefault="00C468FA" w:rsidP="00C468FA">
      <w:pPr>
        <w:tabs>
          <w:tab w:val="left" w:pos="360"/>
          <w:tab w:val="left" w:pos="720"/>
          <w:tab w:val="left" w:pos="1080"/>
        </w:tabs>
        <w:ind w:firstLine="720"/>
        <w:rPr>
          <w:rFonts w:eastAsia="+mn-ea"/>
          <w:sz w:val="24"/>
          <w:szCs w:val="24"/>
        </w:rPr>
      </w:pPr>
      <w:r>
        <w:rPr>
          <w:rFonts w:eastAsia="+mn-ea"/>
          <w:sz w:val="24"/>
          <w:szCs w:val="24"/>
        </w:rPr>
        <w:t>c.</w:t>
      </w:r>
      <w:r w:rsidR="00A165F0" w:rsidRPr="00A165F0">
        <w:rPr>
          <w:rFonts w:eastAsia="+mn-ea"/>
          <w:sz w:val="24"/>
          <w:szCs w:val="24"/>
        </w:rPr>
        <w:t xml:space="preserve"> </w:t>
      </w:r>
      <w:r w:rsidR="006E33F7" w:rsidRPr="00A165F0">
        <w:rPr>
          <w:rFonts w:eastAsia="+mn-ea"/>
          <w:sz w:val="24"/>
          <w:szCs w:val="24"/>
        </w:rPr>
        <w:t xml:space="preserve"> </w:t>
      </w:r>
      <w:r w:rsidR="00205282" w:rsidRPr="00A165F0">
        <w:rPr>
          <w:rFonts w:eastAsia="+mn-ea"/>
          <w:sz w:val="24"/>
          <w:szCs w:val="24"/>
        </w:rPr>
        <w:t>C</w:t>
      </w:r>
      <w:r w:rsidR="002F2AE7" w:rsidRPr="00A165F0">
        <w:rPr>
          <w:rFonts w:eastAsia="+mn-ea"/>
          <w:sz w:val="24"/>
          <w:szCs w:val="24"/>
        </w:rPr>
        <w:t xml:space="preserve">ontinued </w:t>
      </w:r>
      <w:r w:rsidR="00607775" w:rsidRPr="00A165F0">
        <w:rPr>
          <w:rFonts w:eastAsia="+mn-ea"/>
          <w:sz w:val="24"/>
          <w:szCs w:val="24"/>
        </w:rPr>
        <w:t>maturi</w:t>
      </w:r>
      <w:r w:rsidR="002F2AE7" w:rsidRPr="00A165F0">
        <w:rPr>
          <w:rFonts w:eastAsia="+mn-ea"/>
          <w:sz w:val="24"/>
          <w:szCs w:val="24"/>
        </w:rPr>
        <w:t xml:space="preserve">ty and capability </w:t>
      </w:r>
      <w:r w:rsidR="00607775" w:rsidRPr="00A165F0">
        <w:rPr>
          <w:rFonts w:eastAsia="+mn-ea"/>
          <w:sz w:val="24"/>
          <w:szCs w:val="24"/>
        </w:rPr>
        <w:t>of Government</w:t>
      </w:r>
      <w:r w:rsidR="002F2AE7" w:rsidRPr="00A165F0">
        <w:rPr>
          <w:rFonts w:eastAsia="+mn-ea"/>
          <w:sz w:val="24"/>
          <w:szCs w:val="24"/>
        </w:rPr>
        <w:t xml:space="preserve"> </w:t>
      </w:r>
      <w:r w:rsidR="00607775" w:rsidRPr="00A165F0">
        <w:rPr>
          <w:rFonts w:eastAsia="+mn-ea"/>
          <w:sz w:val="24"/>
          <w:szCs w:val="24"/>
        </w:rPr>
        <w:t>and contractor system interfaces</w:t>
      </w:r>
      <w:r w:rsidR="002F2AE7" w:rsidRPr="00A165F0">
        <w:rPr>
          <w:rFonts w:eastAsia="+mn-ea"/>
          <w:sz w:val="24"/>
          <w:szCs w:val="24"/>
        </w:rPr>
        <w:t xml:space="preserve">, </w:t>
      </w:r>
      <w:r w:rsidR="00607775" w:rsidRPr="00A165F0">
        <w:rPr>
          <w:rFonts w:eastAsia="+mn-ea"/>
          <w:sz w:val="24"/>
          <w:szCs w:val="24"/>
        </w:rPr>
        <w:t>coupled with the normal learning curve associated with process</w:t>
      </w:r>
      <w:r w:rsidR="002F2AE7" w:rsidRPr="00A165F0">
        <w:rPr>
          <w:rFonts w:eastAsia="+mn-ea"/>
          <w:sz w:val="24"/>
          <w:szCs w:val="24"/>
        </w:rPr>
        <w:t xml:space="preserve"> improvements such as electronic invoicing, </w:t>
      </w:r>
      <w:r w:rsidR="00607775" w:rsidRPr="00A165F0">
        <w:rPr>
          <w:rFonts w:eastAsia="+mn-ea"/>
          <w:sz w:val="24"/>
          <w:szCs w:val="24"/>
        </w:rPr>
        <w:t xml:space="preserve">has </w:t>
      </w:r>
      <w:r w:rsidR="002F2AE7" w:rsidRPr="00A165F0">
        <w:rPr>
          <w:rFonts w:eastAsia="+mn-ea"/>
          <w:sz w:val="24"/>
          <w:szCs w:val="24"/>
        </w:rPr>
        <w:t>increased the number of customers using WAWF (by extension, increasing the number of respondents and responses) and lowered process</w:t>
      </w:r>
      <w:r w:rsidR="00205282" w:rsidRPr="00A165F0">
        <w:rPr>
          <w:rFonts w:eastAsia="+mn-ea"/>
          <w:sz w:val="24"/>
          <w:szCs w:val="24"/>
        </w:rPr>
        <w:t>ing</w:t>
      </w:r>
      <w:r w:rsidR="002F2AE7" w:rsidRPr="00A165F0">
        <w:rPr>
          <w:rFonts w:eastAsia="+mn-ea"/>
          <w:sz w:val="24"/>
          <w:szCs w:val="24"/>
        </w:rPr>
        <w:t xml:space="preserve"> costs.</w:t>
      </w:r>
    </w:p>
    <w:p w:rsidR="00205282" w:rsidRPr="00A165F0" w:rsidRDefault="00205282" w:rsidP="00011858">
      <w:pPr>
        <w:tabs>
          <w:tab w:val="left" w:pos="360"/>
          <w:tab w:val="left" w:pos="720"/>
          <w:tab w:val="left" w:pos="1080"/>
        </w:tabs>
        <w:rPr>
          <w:rFonts w:eastAsia="+mn-ea"/>
          <w:sz w:val="24"/>
          <w:szCs w:val="24"/>
        </w:rPr>
      </w:pPr>
    </w:p>
    <w:p w:rsidR="00205282" w:rsidRPr="00A165F0" w:rsidRDefault="00C468FA" w:rsidP="00011858">
      <w:pPr>
        <w:tabs>
          <w:tab w:val="left" w:pos="360"/>
          <w:tab w:val="left" w:pos="720"/>
          <w:tab w:val="left" w:pos="1080"/>
        </w:tabs>
        <w:rPr>
          <w:rFonts w:eastAsia="+mn-ea"/>
          <w:sz w:val="24"/>
          <w:szCs w:val="24"/>
        </w:rPr>
      </w:pPr>
      <w:r>
        <w:rPr>
          <w:rFonts w:eastAsia="+mn-ea"/>
          <w:sz w:val="24"/>
          <w:szCs w:val="24"/>
        </w:rPr>
        <w:tab/>
      </w:r>
      <w:r>
        <w:rPr>
          <w:rFonts w:eastAsia="+mn-ea"/>
          <w:sz w:val="24"/>
          <w:szCs w:val="24"/>
        </w:rPr>
        <w:tab/>
        <w:t>d.</w:t>
      </w:r>
      <w:r w:rsidR="006E33F7" w:rsidRPr="00A165F0">
        <w:rPr>
          <w:rFonts w:eastAsia="+mn-ea"/>
          <w:sz w:val="24"/>
          <w:szCs w:val="24"/>
        </w:rPr>
        <w:t xml:space="preserve"> </w:t>
      </w:r>
      <w:r w:rsidR="00205282" w:rsidRPr="00A165F0">
        <w:rPr>
          <w:rFonts w:eastAsia="+mn-ea"/>
          <w:sz w:val="24"/>
          <w:szCs w:val="24"/>
        </w:rPr>
        <w:t xml:space="preserve"> </w:t>
      </w:r>
      <w:r w:rsidR="00A66A96">
        <w:rPr>
          <w:rFonts w:eastAsia="+mn-ea"/>
          <w:sz w:val="24"/>
          <w:szCs w:val="24"/>
        </w:rPr>
        <w:t>D</w:t>
      </w:r>
      <w:r w:rsidR="00205282" w:rsidRPr="00A165F0">
        <w:rPr>
          <w:rFonts w:eastAsia="+mn-ea"/>
          <w:sz w:val="24"/>
          <w:szCs w:val="24"/>
        </w:rPr>
        <w:t>ata is</w:t>
      </w:r>
      <w:r w:rsidR="00A66A96">
        <w:rPr>
          <w:rFonts w:eastAsia="+mn-ea"/>
          <w:sz w:val="24"/>
          <w:szCs w:val="24"/>
        </w:rPr>
        <w:t xml:space="preserve"> now </w:t>
      </w:r>
      <w:r w:rsidR="00205282" w:rsidRPr="00A165F0">
        <w:rPr>
          <w:rFonts w:eastAsia="+mn-ea"/>
          <w:sz w:val="24"/>
          <w:szCs w:val="24"/>
        </w:rPr>
        <w:t xml:space="preserve">available relative to the actual use of </w:t>
      </w:r>
      <w:r w:rsidR="005445C8" w:rsidRPr="00A165F0">
        <w:rPr>
          <w:rFonts w:eastAsia="+mn-ea"/>
          <w:sz w:val="24"/>
          <w:szCs w:val="24"/>
        </w:rPr>
        <w:t>WAWF v</w:t>
      </w:r>
      <w:r>
        <w:rPr>
          <w:rFonts w:eastAsia="+mn-ea"/>
          <w:sz w:val="24"/>
          <w:szCs w:val="24"/>
        </w:rPr>
        <w:t>ersus</w:t>
      </w:r>
      <w:r w:rsidR="005445C8" w:rsidRPr="00A165F0">
        <w:rPr>
          <w:rFonts w:eastAsia="+mn-ea"/>
          <w:sz w:val="24"/>
          <w:szCs w:val="24"/>
        </w:rPr>
        <w:t xml:space="preserve"> </w:t>
      </w:r>
      <w:r w:rsidR="00CC1048" w:rsidRPr="00A165F0">
        <w:rPr>
          <w:rFonts w:eastAsia="+mn-ea"/>
          <w:sz w:val="24"/>
          <w:szCs w:val="24"/>
        </w:rPr>
        <w:t xml:space="preserve">past </w:t>
      </w:r>
      <w:r w:rsidR="00205282" w:rsidRPr="00A165F0">
        <w:rPr>
          <w:rFonts w:eastAsia="+mn-ea"/>
          <w:sz w:val="24"/>
          <w:szCs w:val="24"/>
        </w:rPr>
        <w:t>r</w:t>
      </w:r>
      <w:r w:rsidR="005445C8" w:rsidRPr="00A165F0">
        <w:rPr>
          <w:rFonts w:eastAsia="+mn-ea"/>
          <w:sz w:val="24"/>
          <w:szCs w:val="24"/>
        </w:rPr>
        <w:t>eliance on estimates from subject matter experts.</w:t>
      </w:r>
      <w:r w:rsidR="00205282" w:rsidRPr="00A165F0">
        <w:rPr>
          <w:rFonts w:eastAsia="+mn-ea"/>
          <w:sz w:val="24"/>
          <w:szCs w:val="24"/>
        </w:rPr>
        <w:t xml:space="preserve">  </w:t>
      </w:r>
    </w:p>
    <w:p w:rsidR="00205282" w:rsidRPr="00A165F0" w:rsidRDefault="00205282" w:rsidP="00011858">
      <w:pPr>
        <w:tabs>
          <w:tab w:val="left" w:pos="360"/>
          <w:tab w:val="left" w:pos="720"/>
          <w:tab w:val="left" w:pos="1080"/>
        </w:tabs>
        <w:rPr>
          <w:rFonts w:eastAsia="+mn-ea"/>
          <w:sz w:val="24"/>
          <w:szCs w:val="24"/>
        </w:rPr>
      </w:pPr>
    </w:p>
    <w:p w:rsidR="0044387F" w:rsidRPr="00A165F0" w:rsidRDefault="00B0040D" w:rsidP="006505DA">
      <w:pPr>
        <w:tabs>
          <w:tab w:val="left" w:pos="360"/>
          <w:tab w:val="left" w:pos="720"/>
          <w:tab w:val="left" w:pos="1080"/>
        </w:tabs>
        <w:rPr>
          <w:sz w:val="24"/>
          <w:szCs w:val="24"/>
        </w:rPr>
      </w:pPr>
      <w:r w:rsidRPr="00A165F0">
        <w:rPr>
          <w:sz w:val="24"/>
          <w:szCs w:val="24"/>
        </w:rPr>
        <w:tab/>
      </w:r>
      <w:r w:rsidR="00707E3A" w:rsidRPr="00A165F0">
        <w:rPr>
          <w:sz w:val="24"/>
          <w:szCs w:val="24"/>
        </w:rPr>
        <w:t xml:space="preserve">16. </w:t>
      </w:r>
      <w:r w:rsidR="005B6779" w:rsidRPr="00A165F0">
        <w:rPr>
          <w:sz w:val="24"/>
          <w:szCs w:val="24"/>
        </w:rPr>
        <w:t xml:space="preserve"> </w:t>
      </w:r>
      <w:r w:rsidR="006D058E" w:rsidRPr="00A165F0">
        <w:rPr>
          <w:sz w:val="24"/>
          <w:szCs w:val="24"/>
          <w:u w:val="single"/>
        </w:rPr>
        <w:t>Publication</w:t>
      </w:r>
      <w:r w:rsidR="0044387F" w:rsidRPr="00A165F0">
        <w:rPr>
          <w:sz w:val="24"/>
          <w:szCs w:val="24"/>
          <w:u w:val="single"/>
        </w:rPr>
        <w:t xml:space="preserve"> of Results</w:t>
      </w:r>
    </w:p>
    <w:p w:rsidR="0044387F" w:rsidRPr="00A165F0" w:rsidRDefault="0044387F" w:rsidP="006505DA">
      <w:pPr>
        <w:tabs>
          <w:tab w:val="left" w:pos="360"/>
          <w:tab w:val="left" w:pos="720"/>
          <w:tab w:val="left" w:pos="1080"/>
        </w:tabs>
        <w:rPr>
          <w:sz w:val="24"/>
          <w:szCs w:val="24"/>
        </w:rPr>
      </w:pPr>
    </w:p>
    <w:p w:rsidR="00707E3A" w:rsidRPr="00A165F0" w:rsidRDefault="0044387F" w:rsidP="006505DA">
      <w:pPr>
        <w:tabs>
          <w:tab w:val="left" w:pos="360"/>
          <w:tab w:val="left" w:pos="720"/>
          <w:tab w:val="left" w:pos="1080"/>
        </w:tabs>
        <w:rPr>
          <w:sz w:val="24"/>
          <w:szCs w:val="24"/>
        </w:rPr>
      </w:pPr>
      <w:r w:rsidRPr="00A165F0">
        <w:rPr>
          <w:sz w:val="24"/>
          <w:szCs w:val="24"/>
        </w:rPr>
        <w:tab/>
      </w:r>
      <w:r w:rsidR="006D058E" w:rsidRPr="00A165F0">
        <w:rPr>
          <w:sz w:val="24"/>
          <w:szCs w:val="24"/>
        </w:rPr>
        <w:t xml:space="preserve"> </w:t>
      </w:r>
      <w:r w:rsidR="004D0A62" w:rsidRPr="00A165F0">
        <w:rPr>
          <w:sz w:val="24"/>
          <w:szCs w:val="24"/>
        </w:rPr>
        <w:tab/>
      </w:r>
      <w:r w:rsidR="00707E3A" w:rsidRPr="00A165F0">
        <w:rPr>
          <w:sz w:val="24"/>
          <w:szCs w:val="24"/>
        </w:rPr>
        <w:t>Results of this information will not be tabulated or published.</w:t>
      </w:r>
    </w:p>
    <w:p w:rsidR="003A24D9" w:rsidRPr="00A165F0" w:rsidRDefault="003A24D9" w:rsidP="006505DA">
      <w:pPr>
        <w:tabs>
          <w:tab w:val="left" w:pos="360"/>
          <w:tab w:val="left" w:pos="720"/>
          <w:tab w:val="left" w:pos="1080"/>
        </w:tabs>
        <w:rPr>
          <w:sz w:val="24"/>
          <w:szCs w:val="24"/>
        </w:rPr>
      </w:pPr>
    </w:p>
    <w:p w:rsidR="0044387F" w:rsidRPr="00A165F0" w:rsidRDefault="00B0040D" w:rsidP="006505DA">
      <w:pPr>
        <w:tabs>
          <w:tab w:val="left" w:pos="360"/>
          <w:tab w:val="left" w:pos="720"/>
          <w:tab w:val="left" w:pos="1080"/>
        </w:tabs>
        <w:rPr>
          <w:sz w:val="24"/>
          <w:szCs w:val="24"/>
        </w:rPr>
      </w:pPr>
      <w:r w:rsidRPr="00A165F0">
        <w:rPr>
          <w:sz w:val="24"/>
          <w:szCs w:val="24"/>
        </w:rPr>
        <w:tab/>
      </w:r>
      <w:r w:rsidR="003A24D9" w:rsidRPr="00A165F0">
        <w:rPr>
          <w:sz w:val="24"/>
          <w:szCs w:val="24"/>
        </w:rPr>
        <w:t xml:space="preserve">17. </w:t>
      </w:r>
      <w:r w:rsidR="005B6779" w:rsidRPr="00A165F0">
        <w:rPr>
          <w:sz w:val="24"/>
          <w:szCs w:val="24"/>
        </w:rPr>
        <w:t xml:space="preserve"> </w:t>
      </w:r>
      <w:r w:rsidR="006D058E" w:rsidRPr="00A165F0">
        <w:rPr>
          <w:sz w:val="24"/>
          <w:szCs w:val="24"/>
          <w:u w:val="single"/>
        </w:rPr>
        <w:t>Expiration Date</w:t>
      </w:r>
      <w:r w:rsidR="006D058E" w:rsidRPr="00A165F0">
        <w:rPr>
          <w:sz w:val="24"/>
          <w:szCs w:val="24"/>
        </w:rPr>
        <w:t xml:space="preserve">  </w:t>
      </w:r>
    </w:p>
    <w:p w:rsidR="0044387F" w:rsidRDefault="0044387F" w:rsidP="006505DA">
      <w:pPr>
        <w:tabs>
          <w:tab w:val="left" w:pos="360"/>
          <w:tab w:val="left" w:pos="720"/>
          <w:tab w:val="left" w:pos="1080"/>
        </w:tabs>
        <w:rPr>
          <w:sz w:val="24"/>
          <w:szCs w:val="24"/>
        </w:rPr>
      </w:pPr>
      <w:r w:rsidRPr="00A165F0">
        <w:rPr>
          <w:sz w:val="24"/>
          <w:szCs w:val="24"/>
        </w:rPr>
        <w:tab/>
      </w:r>
    </w:p>
    <w:p w:rsidR="00096FF5" w:rsidRPr="00096FF5" w:rsidRDefault="00096FF5" w:rsidP="00096FF5">
      <w:pPr>
        <w:tabs>
          <w:tab w:val="left" w:pos="360"/>
          <w:tab w:val="left" w:pos="720"/>
          <w:tab w:val="left" w:pos="1080"/>
        </w:tabs>
        <w:rPr>
          <w:sz w:val="24"/>
          <w:szCs w:val="24"/>
        </w:rPr>
      </w:pPr>
      <w:r>
        <w:rPr>
          <w:sz w:val="24"/>
          <w:szCs w:val="24"/>
        </w:rPr>
        <w:tab/>
      </w:r>
      <w:r w:rsidR="00F67299">
        <w:rPr>
          <w:sz w:val="24"/>
          <w:szCs w:val="24"/>
        </w:rPr>
        <w:t>DoD</w:t>
      </w:r>
      <w:r w:rsidRPr="00096FF5">
        <w:rPr>
          <w:sz w:val="24"/>
          <w:szCs w:val="24"/>
        </w:rPr>
        <w:t xml:space="preserve"> requests that the previously granted approval </w:t>
      </w:r>
      <w:r w:rsidR="006E2B39">
        <w:rPr>
          <w:sz w:val="24"/>
          <w:szCs w:val="24"/>
        </w:rPr>
        <w:t xml:space="preserve">to not </w:t>
      </w:r>
      <w:r w:rsidRPr="00096FF5">
        <w:rPr>
          <w:sz w:val="24"/>
          <w:szCs w:val="24"/>
        </w:rPr>
        <w:t>display the expiration date</w:t>
      </w:r>
      <w:r w:rsidR="006E2B39">
        <w:rPr>
          <w:sz w:val="24"/>
          <w:szCs w:val="24"/>
        </w:rPr>
        <w:t>,</w:t>
      </w:r>
      <w:r w:rsidRPr="00096FF5">
        <w:rPr>
          <w:sz w:val="24"/>
          <w:szCs w:val="24"/>
        </w:rPr>
        <w:t xml:space="preserve"> as provided for in 5 CFR 1320.</w:t>
      </w:r>
      <w:r w:rsidR="009B3613">
        <w:rPr>
          <w:sz w:val="24"/>
          <w:szCs w:val="24"/>
        </w:rPr>
        <w:t>5</w:t>
      </w:r>
      <w:r w:rsidRPr="00096FF5">
        <w:rPr>
          <w:sz w:val="24"/>
          <w:szCs w:val="24"/>
        </w:rPr>
        <w:t>(</w:t>
      </w:r>
      <w:r w:rsidR="009B3613">
        <w:rPr>
          <w:sz w:val="24"/>
          <w:szCs w:val="24"/>
        </w:rPr>
        <w:t>a</w:t>
      </w:r>
      <w:r w:rsidRPr="00096FF5">
        <w:rPr>
          <w:sz w:val="24"/>
          <w:szCs w:val="24"/>
        </w:rPr>
        <w:t>)(1)</w:t>
      </w:r>
      <w:r w:rsidR="009B3613">
        <w:rPr>
          <w:sz w:val="24"/>
          <w:szCs w:val="24"/>
        </w:rPr>
        <w:t>(iii)(C)</w:t>
      </w:r>
      <w:r w:rsidR="003F5797">
        <w:rPr>
          <w:sz w:val="24"/>
          <w:szCs w:val="24"/>
        </w:rPr>
        <w:t xml:space="preserve"> and 1320.8(b)(1)</w:t>
      </w:r>
      <w:r w:rsidRPr="00096FF5">
        <w:rPr>
          <w:sz w:val="24"/>
          <w:szCs w:val="24"/>
        </w:rPr>
        <w:t xml:space="preserve">, be continued for this collection. </w:t>
      </w:r>
      <w:r>
        <w:rPr>
          <w:sz w:val="24"/>
          <w:szCs w:val="24"/>
        </w:rPr>
        <w:t xml:space="preserve"> The DD Form 250 series first obtained OMB clearance under the Paperwork Reduction Act under DAR Case 1979-89.  The OMB clearance number was affixed to the form at that time, and permission </w:t>
      </w:r>
      <w:r w:rsidR="006B77C6">
        <w:rPr>
          <w:sz w:val="24"/>
          <w:szCs w:val="24"/>
        </w:rPr>
        <w:t xml:space="preserve">was </w:t>
      </w:r>
      <w:r>
        <w:rPr>
          <w:sz w:val="24"/>
          <w:szCs w:val="24"/>
        </w:rPr>
        <w:t>granted to not display the expiration date</w:t>
      </w:r>
      <w:r w:rsidR="006B77C6">
        <w:rPr>
          <w:sz w:val="24"/>
          <w:szCs w:val="24"/>
        </w:rPr>
        <w:t>, since an</w:t>
      </w:r>
      <w:r>
        <w:rPr>
          <w:sz w:val="24"/>
          <w:szCs w:val="24"/>
        </w:rPr>
        <w:t xml:space="preserve"> inordinate expense would have been incurred in the reprinting and restocking of the form every 3 years when the expiration date was revised.  Currently, the preponderance of the use of the DD Form 250 ser</w:t>
      </w:r>
      <w:r w:rsidR="006B77C6">
        <w:rPr>
          <w:sz w:val="24"/>
          <w:szCs w:val="24"/>
        </w:rPr>
        <w:t>ie</w:t>
      </w:r>
      <w:r>
        <w:rPr>
          <w:sz w:val="24"/>
          <w:szCs w:val="24"/>
        </w:rPr>
        <w:t>s is electronic as the forms are programed into the WAWF system</w:t>
      </w:r>
      <w:r w:rsidR="006E2B39">
        <w:rPr>
          <w:sz w:val="24"/>
          <w:szCs w:val="24"/>
        </w:rPr>
        <w:t xml:space="preserve"> and interface with several other Government financial and </w:t>
      </w:r>
      <w:r w:rsidR="006B77C6">
        <w:rPr>
          <w:sz w:val="24"/>
          <w:szCs w:val="24"/>
        </w:rPr>
        <w:t>logistical</w:t>
      </w:r>
      <w:r w:rsidR="006E2B39">
        <w:rPr>
          <w:sz w:val="24"/>
          <w:szCs w:val="24"/>
        </w:rPr>
        <w:t xml:space="preserve"> systems</w:t>
      </w:r>
      <w:r>
        <w:rPr>
          <w:sz w:val="24"/>
          <w:szCs w:val="24"/>
        </w:rPr>
        <w:t xml:space="preserve"> and has thousands of contractor and Government users.  The cost of reprogramming the WAWF database every 3 years to revise the expiration date of the OMB clearance </w:t>
      </w:r>
      <w:r w:rsidR="006E2B39">
        <w:rPr>
          <w:sz w:val="24"/>
          <w:szCs w:val="24"/>
        </w:rPr>
        <w:t xml:space="preserve">for the </w:t>
      </w:r>
      <w:r w:rsidR="004415F5">
        <w:rPr>
          <w:sz w:val="24"/>
          <w:szCs w:val="24"/>
        </w:rPr>
        <w:t xml:space="preserve">electronic </w:t>
      </w:r>
      <w:r w:rsidR="006E2B39">
        <w:rPr>
          <w:sz w:val="24"/>
          <w:szCs w:val="24"/>
        </w:rPr>
        <w:t>DD 350 series is an expense that can be avoided by continuing the approval to not display the OMB clearance expiration date.</w:t>
      </w:r>
    </w:p>
    <w:p w:rsidR="00096FF5" w:rsidRDefault="00096FF5" w:rsidP="006505DA">
      <w:pPr>
        <w:tabs>
          <w:tab w:val="left" w:pos="360"/>
          <w:tab w:val="left" w:pos="720"/>
          <w:tab w:val="left" w:pos="1080"/>
        </w:tabs>
        <w:rPr>
          <w:sz w:val="24"/>
          <w:szCs w:val="24"/>
        </w:rPr>
      </w:pPr>
    </w:p>
    <w:p w:rsidR="0044387F" w:rsidRPr="00A165F0" w:rsidRDefault="004D0A62" w:rsidP="006505DA">
      <w:pPr>
        <w:tabs>
          <w:tab w:val="left" w:pos="360"/>
          <w:tab w:val="left" w:pos="720"/>
          <w:tab w:val="left" w:pos="1080"/>
        </w:tabs>
        <w:rPr>
          <w:sz w:val="24"/>
          <w:szCs w:val="24"/>
          <w:u w:val="single"/>
        </w:rPr>
      </w:pPr>
      <w:r w:rsidRPr="00A165F0">
        <w:rPr>
          <w:sz w:val="24"/>
          <w:szCs w:val="24"/>
        </w:rPr>
        <w:tab/>
      </w:r>
      <w:r w:rsidR="003A24D9" w:rsidRPr="00A165F0">
        <w:rPr>
          <w:sz w:val="24"/>
          <w:szCs w:val="24"/>
        </w:rPr>
        <w:t xml:space="preserve">18. </w:t>
      </w:r>
      <w:r w:rsidR="005B6779" w:rsidRPr="00A165F0">
        <w:rPr>
          <w:sz w:val="24"/>
          <w:szCs w:val="24"/>
        </w:rPr>
        <w:t xml:space="preserve"> </w:t>
      </w:r>
      <w:r w:rsidR="00502540" w:rsidRPr="00A165F0">
        <w:rPr>
          <w:sz w:val="24"/>
          <w:szCs w:val="24"/>
          <w:u w:val="single"/>
        </w:rPr>
        <w:t xml:space="preserve">Exceptions to </w:t>
      </w:r>
      <w:r w:rsidR="0044387F" w:rsidRPr="00A165F0">
        <w:rPr>
          <w:sz w:val="24"/>
          <w:szCs w:val="24"/>
          <w:u w:val="single"/>
        </w:rPr>
        <w:t>Certification for Paperwork Reduction Submissions</w:t>
      </w:r>
      <w:r w:rsidR="006D058E" w:rsidRPr="00A165F0">
        <w:rPr>
          <w:sz w:val="24"/>
          <w:szCs w:val="24"/>
          <w:u w:val="single"/>
        </w:rPr>
        <w:t xml:space="preserve"> </w:t>
      </w:r>
    </w:p>
    <w:p w:rsidR="0044387F" w:rsidRPr="00A165F0" w:rsidRDefault="0044387F" w:rsidP="006505DA">
      <w:pPr>
        <w:tabs>
          <w:tab w:val="left" w:pos="360"/>
          <w:tab w:val="left" w:pos="720"/>
          <w:tab w:val="left" w:pos="1080"/>
        </w:tabs>
        <w:rPr>
          <w:sz w:val="24"/>
          <w:szCs w:val="24"/>
          <w:u w:val="single"/>
        </w:rPr>
      </w:pPr>
    </w:p>
    <w:p w:rsidR="00111F4B" w:rsidRPr="00A165F0" w:rsidRDefault="0044387F" w:rsidP="00B82DDC">
      <w:pPr>
        <w:pStyle w:val="NormalWeb"/>
        <w:spacing w:before="0" w:beforeAutospacing="0" w:after="0" w:afterAutospacing="0"/>
      </w:pPr>
      <w:r w:rsidRPr="00A165F0">
        <w:tab/>
      </w:r>
      <w:r w:rsidR="003A24D9" w:rsidRPr="00A165F0">
        <w:t>There are no exceptions to the certification accompanying this Paperwork Reduction Act submission.</w:t>
      </w:r>
      <w:r w:rsidR="00111F4B" w:rsidRPr="00A165F0">
        <w:rPr>
          <w:rFonts w:eastAsia="+mn-ea"/>
          <w:i/>
        </w:rPr>
        <w:t xml:space="preserve"> </w:t>
      </w:r>
    </w:p>
    <w:p w:rsidR="00AA7F77" w:rsidRPr="00A165F0" w:rsidRDefault="00AA7F77" w:rsidP="006505DA">
      <w:pPr>
        <w:tabs>
          <w:tab w:val="left" w:pos="360"/>
          <w:tab w:val="left" w:pos="720"/>
          <w:tab w:val="left" w:pos="1080"/>
        </w:tabs>
        <w:rPr>
          <w:sz w:val="24"/>
          <w:szCs w:val="24"/>
        </w:rPr>
      </w:pPr>
    </w:p>
    <w:sectPr w:rsidR="00AA7F77" w:rsidRPr="00A165F0" w:rsidSect="00E94F7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13" w:rsidRDefault="00BD7E13" w:rsidP="00954C4D">
      <w:r>
        <w:separator/>
      </w:r>
    </w:p>
  </w:endnote>
  <w:endnote w:type="continuationSeparator" w:id="0">
    <w:p w:rsidR="00BD7E13" w:rsidRDefault="00BD7E13" w:rsidP="0095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MICI J+ Century">
    <w:altName w:val="Century"/>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86449"/>
      <w:docPartObj>
        <w:docPartGallery w:val="Page Numbers (Bottom of Page)"/>
        <w:docPartUnique/>
      </w:docPartObj>
    </w:sdtPr>
    <w:sdtEndPr/>
    <w:sdtContent>
      <w:sdt>
        <w:sdtPr>
          <w:id w:val="1728636285"/>
          <w:docPartObj>
            <w:docPartGallery w:val="Page Numbers (Top of Page)"/>
            <w:docPartUnique/>
          </w:docPartObj>
        </w:sdtPr>
        <w:sdtEndPr/>
        <w:sdtContent>
          <w:p w:rsidR="00BF2CE8" w:rsidRDefault="00BF2CE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60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60E0">
              <w:rPr>
                <w:b/>
                <w:bCs/>
                <w:noProof/>
              </w:rPr>
              <w:t>1</w:t>
            </w:r>
            <w:r>
              <w:rPr>
                <w:b/>
                <w:bCs/>
                <w:sz w:val="24"/>
                <w:szCs w:val="24"/>
              </w:rPr>
              <w:fldChar w:fldCharType="end"/>
            </w:r>
          </w:p>
        </w:sdtContent>
      </w:sdt>
    </w:sdtContent>
  </w:sdt>
  <w:p w:rsidR="00C05857" w:rsidRDefault="00C05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13" w:rsidRDefault="00BD7E13" w:rsidP="00954C4D">
      <w:r>
        <w:separator/>
      </w:r>
    </w:p>
  </w:footnote>
  <w:footnote w:type="continuationSeparator" w:id="0">
    <w:p w:rsidR="00BD7E13" w:rsidRDefault="00BD7E13" w:rsidP="00954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69CA"/>
    <w:multiLevelType w:val="hybridMultilevel"/>
    <w:tmpl w:val="8DCA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BE18D6"/>
    <w:multiLevelType w:val="hybridMultilevel"/>
    <w:tmpl w:val="21D2F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E1238A"/>
    <w:multiLevelType w:val="hybridMultilevel"/>
    <w:tmpl w:val="FECEF0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AB43FF"/>
    <w:multiLevelType w:val="hybridMultilevel"/>
    <w:tmpl w:val="59CA2B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1361CD"/>
    <w:multiLevelType w:val="hybridMultilevel"/>
    <w:tmpl w:val="DF9626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4B177F"/>
    <w:multiLevelType w:val="hybridMultilevel"/>
    <w:tmpl w:val="CDB08450"/>
    <w:lvl w:ilvl="0" w:tplc="F5F2F7FA">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2648B9"/>
    <w:multiLevelType w:val="hybridMultilevel"/>
    <w:tmpl w:val="BE486AA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2452B4"/>
    <w:multiLevelType w:val="hybridMultilevel"/>
    <w:tmpl w:val="0CA800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375544"/>
    <w:multiLevelType w:val="hybridMultilevel"/>
    <w:tmpl w:val="4BF464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2F3797"/>
    <w:multiLevelType w:val="hybridMultilevel"/>
    <w:tmpl w:val="6BC61414"/>
    <w:lvl w:ilvl="0" w:tplc="035E7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2A30AA"/>
    <w:multiLevelType w:val="hybridMultilevel"/>
    <w:tmpl w:val="6C5EC4D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6"/>
  </w:num>
  <w:num w:numId="5">
    <w:abstractNumId w:val="8"/>
  </w:num>
  <w:num w:numId="6">
    <w:abstractNumId w:val="10"/>
  </w:num>
  <w:num w:numId="7">
    <w:abstractNumId w:val="7"/>
  </w:num>
  <w:num w:numId="8">
    <w:abstractNumId w:val="3"/>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560"/>
    <w:rsid w:val="00011858"/>
    <w:rsid w:val="00016768"/>
    <w:rsid w:val="00021336"/>
    <w:rsid w:val="00021952"/>
    <w:rsid w:val="00021EFC"/>
    <w:rsid w:val="0003797E"/>
    <w:rsid w:val="000418C9"/>
    <w:rsid w:val="00042A91"/>
    <w:rsid w:val="00042D22"/>
    <w:rsid w:val="00051A57"/>
    <w:rsid w:val="00060199"/>
    <w:rsid w:val="0006044C"/>
    <w:rsid w:val="00071F5A"/>
    <w:rsid w:val="0007719F"/>
    <w:rsid w:val="0008783E"/>
    <w:rsid w:val="00096FF5"/>
    <w:rsid w:val="000B7619"/>
    <w:rsid w:val="000B7690"/>
    <w:rsid w:val="000C4219"/>
    <w:rsid w:val="000D567E"/>
    <w:rsid w:val="000F0091"/>
    <w:rsid w:val="000F144E"/>
    <w:rsid w:val="000F29B8"/>
    <w:rsid w:val="00111F4B"/>
    <w:rsid w:val="001172B5"/>
    <w:rsid w:val="00146FA5"/>
    <w:rsid w:val="00147661"/>
    <w:rsid w:val="00147CC0"/>
    <w:rsid w:val="00156872"/>
    <w:rsid w:val="001579CC"/>
    <w:rsid w:val="00166F43"/>
    <w:rsid w:val="001802DB"/>
    <w:rsid w:val="00181DA4"/>
    <w:rsid w:val="001A317C"/>
    <w:rsid w:val="001C051A"/>
    <w:rsid w:val="001E13BC"/>
    <w:rsid w:val="001E6986"/>
    <w:rsid w:val="001F4D06"/>
    <w:rsid w:val="00204D73"/>
    <w:rsid w:val="00205282"/>
    <w:rsid w:val="0021293C"/>
    <w:rsid w:val="002154D1"/>
    <w:rsid w:val="002211B0"/>
    <w:rsid w:val="00232F4D"/>
    <w:rsid w:val="002330E0"/>
    <w:rsid w:val="0023317E"/>
    <w:rsid w:val="0023326E"/>
    <w:rsid w:val="0023675B"/>
    <w:rsid w:val="002378D4"/>
    <w:rsid w:val="00244E01"/>
    <w:rsid w:val="002459CA"/>
    <w:rsid w:val="002643D9"/>
    <w:rsid w:val="00264826"/>
    <w:rsid w:val="00273F83"/>
    <w:rsid w:val="002929BE"/>
    <w:rsid w:val="002932E2"/>
    <w:rsid w:val="00296605"/>
    <w:rsid w:val="002966AE"/>
    <w:rsid w:val="002A449E"/>
    <w:rsid w:val="002A4FC0"/>
    <w:rsid w:val="002B4148"/>
    <w:rsid w:val="002B6237"/>
    <w:rsid w:val="002C50A8"/>
    <w:rsid w:val="002C79DF"/>
    <w:rsid w:val="002D3FFF"/>
    <w:rsid w:val="002D66F7"/>
    <w:rsid w:val="002F0EDD"/>
    <w:rsid w:val="002F2AE7"/>
    <w:rsid w:val="002F6134"/>
    <w:rsid w:val="002F741F"/>
    <w:rsid w:val="00300078"/>
    <w:rsid w:val="00300560"/>
    <w:rsid w:val="003035C6"/>
    <w:rsid w:val="003053AC"/>
    <w:rsid w:val="003138F8"/>
    <w:rsid w:val="003268A4"/>
    <w:rsid w:val="00332905"/>
    <w:rsid w:val="0033549B"/>
    <w:rsid w:val="00341E8C"/>
    <w:rsid w:val="00353B29"/>
    <w:rsid w:val="00357D69"/>
    <w:rsid w:val="003626D2"/>
    <w:rsid w:val="0037227C"/>
    <w:rsid w:val="00375008"/>
    <w:rsid w:val="003844FE"/>
    <w:rsid w:val="003A10A7"/>
    <w:rsid w:val="003A24D9"/>
    <w:rsid w:val="003A2EAD"/>
    <w:rsid w:val="003A37C9"/>
    <w:rsid w:val="003A589A"/>
    <w:rsid w:val="003C379F"/>
    <w:rsid w:val="003D383A"/>
    <w:rsid w:val="003D3C0F"/>
    <w:rsid w:val="003D512D"/>
    <w:rsid w:val="003E0949"/>
    <w:rsid w:val="003F5797"/>
    <w:rsid w:val="00401AE4"/>
    <w:rsid w:val="004029C8"/>
    <w:rsid w:val="004039EC"/>
    <w:rsid w:val="00424D9C"/>
    <w:rsid w:val="004257A1"/>
    <w:rsid w:val="004257BB"/>
    <w:rsid w:val="00426A7F"/>
    <w:rsid w:val="00426C2B"/>
    <w:rsid w:val="004415F5"/>
    <w:rsid w:val="0044387F"/>
    <w:rsid w:val="00460B9D"/>
    <w:rsid w:val="00466380"/>
    <w:rsid w:val="00490312"/>
    <w:rsid w:val="0049756B"/>
    <w:rsid w:val="004A1ADE"/>
    <w:rsid w:val="004B12C3"/>
    <w:rsid w:val="004B4B4F"/>
    <w:rsid w:val="004B6FB9"/>
    <w:rsid w:val="004C09DF"/>
    <w:rsid w:val="004D0A62"/>
    <w:rsid w:val="004D7224"/>
    <w:rsid w:val="004E1DC0"/>
    <w:rsid w:val="004E4CB0"/>
    <w:rsid w:val="004E4E44"/>
    <w:rsid w:val="004F0539"/>
    <w:rsid w:val="00502540"/>
    <w:rsid w:val="0050566A"/>
    <w:rsid w:val="00512014"/>
    <w:rsid w:val="0052038D"/>
    <w:rsid w:val="00527BBE"/>
    <w:rsid w:val="00531F62"/>
    <w:rsid w:val="005445C8"/>
    <w:rsid w:val="005465DC"/>
    <w:rsid w:val="00550E7A"/>
    <w:rsid w:val="00556AA7"/>
    <w:rsid w:val="0056216C"/>
    <w:rsid w:val="00562286"/>
    <w:rsid w:val="005672C0"/>
    <w:rsid w:val="005706B2"/>
    <w:rsid w:val="00574BDB"/>
    <w:rsid w:val="00581127"/>
    <w:rsid w:val="00585E73"/>
    <w:rsid w:val="00591858"/>
    <w:rsid w:val="005B6779"/>
    <w:rsid w:val="005C1B35"/>
    <w:rsid w:val="005D0DFC"/>
    <w:rsid w:val="005D22DE"/>
    <w:rsid w:val="005D3420"/>
    <w:rsid w:val="005D39A9"/>
    <w:rsid w:val="005D46B9"/>
    <w:rsid w:val="005D5A26"/>
    <w:rsid w:val="005E0B18"/>
    <w:rsid w:val="005F2B1D"/>
    <w:rsid w:val="005F578E"/>
    <w:rsid w:val="00601ACB"/>
    <w:rsid w:val="00603608"/>
    <w:rsid w:val="00607775"/>
    <w:rsid w:val="00613C78"/>
    <w:rsid w:val="0061607E"/>
    <w:rsid w:val="0061676D"/>
    <w:rsid w:val="0063084E"/>
    <w:rsid w:val="00631ADE"/>
    <w:rsid w:val="0063207C"/>
    <w:rsid w:val="0063601F"/>
    <w:rsid w:val="006409A2"/>
    <w:rsid w:val="006441E6"/>
    <w:rsid w:val="006452F5"/>
    <w:rsid w:val="006460B0"/>
    <w:rsid w:val="006505DA"/>
    <w:rsid w:val="006574E4"/>
    <w:rsid w:val="00661E13"/>
    <w:rsid w:val="00677EF5"/>
    <w:rsid w:val="0068472C"/>
    <w:rsid w:val="00692E21"/>
    <w:rsid w:val="006A2A8A"/>
    <w:rsid w:val="006B3D32"/>
    <w:rsid w:val="006B77C6"/>
    <w:rsid w:val="006C6CCB"/>
    <w:rsid w:val="006C7C33"/>
    <w:rsid w:val="006D058E"/>
    <w:rsid w:val="006E0DC3"/>
    <w:rsid w:val="006E2B39"/>
    <w:rsid w:val="006E33F7"/>
    <w:rsid w:val="006F241E"/>
    <w:rsid w:val="006F4E45"/>
    <w:rsid w:val="00700D2F"/>
    <w:rsid w:val="00703370"/>
    <w:rsid w:val="00707A16"/>
    <w:rsid w:val="00707E3A"/>
    <w:rsid w:val="007127D6"/>
    <w:rsid w:val="00722A21"/>
    <w:rsid w:val="007230AD"/>
    <w:rsid w:val="0075414E"/>
    <w:rsid w:val="00762BA4"/>
    <w:rsid w:val="00777075"/>
    <w:rsid w:val="00787E41"/>
    <w:rsid w:val="007953B6"/>
    <w:rsid w:val="007A3404"/>
    <w:rsid w:val="007A7919"/>
    <w:rsid w:val="007B4F0B"/>
    <w:rsid w:val="007C0DF7"/>
    <w:rsid w:val="007C459F"/>
    <w:rsid w:val="007C6DC6"/>
    <w:rsid w:val="007D43C5"/>
    <w:rsid w:val="007E6363"/>
    <w:rsid w:val="007F3EDF"/>
    <w:rsid w:val="007F4952"/>
    <w:rsid w:val="007F6C9B"/>
    <w:rsid w:val="00800253"/>
    <w:rsid w:val="00800B56"/>
    <w:rsid w:val="008149A8"/>
    <w:rsid w:val="00814B64"/>
    <w:rsid w:val="00817AF7"/>
    <w:rsid w:val="00835A4C"/>
    <w:rsid w:val="00835D27"/>
    <w:rsid w:val="00887173"/>
    <w:rsid w:val="00891873"/>
    <w:rsid w:val="008A5F49"/>
    <w:rsid w:val="008B3895"/>
    <w:rsid w:val="008C4AD8"/>
    <w:rsid w:val="008D1D65"/>
    <w:rsid w:val="008D3C71"/>
    <w:rsid w:val="008D52B6"/>
    <w:rsid w:val="008E5949"/>
    <w:rsid w:val="009012E6"/>
    <w:rsid w:val="009170BE"/>
    <w:rsid w:val="00921F3D"/>
    <w:rsid w:val="00926943"/>
    <w:rsid w:val="00930EBA"/>
    <w:rsid w:val="00933AD3"/>
    <w:rsid w:val="00935BEB"/>
    <w:rsid w:val="00954C4D"/>
    <w:rsid w:val="00960526"/>
    <w:rsid w:val="00960EF6"/>
    <w:rsid w:val="00971D8C"/>
    <w:rsid w:val="00973433"/>
    <w:rsid w:val="00973873"/>
    <w:rsid w:val="00983327"/>
    <w:rsid w:val="009974C3"/>
    <w:rsid w:val="009B3613"/>
    <w:rsid w:val="009B453D"/>
    <w:rsid w:val="009D0488"/>
    <w:rsid w:val="009D148E"/>
    <w:rsid w:val="009D7E6F"/>
    <w:rsid w:val="009E02E0"/>
    <w:rsid w:val="009E0880"/>
    <w:rsid w:val="009F2D83"/>
    <w:rsid w:val="009F6CB3"/>
    <w:rsid w:val="009F72FA"/>
    <w:rsid w:val="00A11126"/>
    <w:rsid w:val="00A122AC"/>
    <w:rsid w:val="00A15098"/>
    <w:rsid w:val="00A165F0"/>
    <w:rsid w:val="00A242E3"/>
    <w:rsid w:val="00A30CA7"/>
    <w:rsid w:val="00A35016"/>
    <w:rsid w:val="00A52B53"/>
    <w:rsid w:val="00A544C5"/>
    <w:rsid w:val="00A54DD2"/>
    <w:rsid w:val="00A6489E"/>
    <w:rsid w:val="00A66A96"/>
    <w:rsid w:val="00A75D1C"/>
    <w:rsid w:val="00A75F3E"/>
    <w:rsid w:val="00A800E0"/>
    <w:rsid w:val="00A809ED"/>
    <w:rsid w:val="00A813AF"/>
    <w:rsid w:val="00A95F11"/>
    <w:rsid w:val="00AA7F77"/>
    <w:rsid w:val="00AC1E16"/>
    <w:rsid w:val="00AD4CD8"/>
    <w:rsid w:val="00AE000C"/>
    <w:rsid w:val="00AE50DA"/>
    <w:rsid w:val="00B0040D"/>
    <w:rsid w:val="00B036EB"/>
    <w:rsid w:val="00B12EB2"/>
    <w:rsid w:val="00B24587"/>
    <w:rsid w:val="00B24DDB"/>
    <w:rsid w:val="00B32240"/>
    <w:rsid w:val="00B36E1F"/>
    <w:rsid w:val="00B409EE"/>
    <w:rsid w:val="00B507A6"/>
    <w:rsid w:val="00B66568"/>
    <w:rsid w:val="00B8242B"/>
    <w:rsid w:val="00B82DDC"/>
    <w:rsid w:val="00B855A8"/>
    <w:rsid w:val="00B8611A"/>
    <w:rsid w:val="00B90ACF"/>
    <w:rsid w:val="00BA2D1E"/>
    <w:rsid w:val="00BA53FF"/>
    <w:rsid w:val="00BA706B"/>
    <w:rsid w:val="00BB0B3F"/>
    <w:rsid w:val="00BB176B"/>
    <w:rsid w:val="00BC30DA"/>
    <w:rsid w:val="00BC5291"/>
    <w:rsid w:val="00BC5B01"/>
    <w:rsid w:val="00BD71D9"/>
    <w:rsid w:val="00BD7E13"/>
    <w:rsid w:val="00BE42A0"/>
    <w:rsid w:val="00BF2CE8"/>
    <w:rsid w:val="00BF3623"/>
    <w:rsid w:val="00BF60E0"/>
    <w:rsid w:val="00C03F6C"/>
    <w:rsid w:val="00C05857"/>
    <w:rsid w:val="00C07C5C"/>
    <w:rsid w:val="00C16287"/>
    <w:rsid w:val="00C17218"/>
    <w:rsid w:val="00C23DED"/>
    <w:rsid w:val="00C3677D"/>
    <w:rsid w:val="00C468FA"/>
    <w:rsid w:val="00C525A2"/>
    <w:rsid w:val="00C63EB2"/>
    <w:rsid w:val="00C701DF"/>
    <w:rsid w:val="00C80D16"/>
    <w:rsid w:val="00C90980"/>
    <w:rsid w:val="00CA279C"/>
    <w:rsid w:val="00CC1048"/>
    <w:rsid w:val="00CC7577"/>
    <w:rsid w:val="00CD3F3B"/>
    <w:rsid w:val="00CE3985"/>
    <w:rsid w:val="00CF0920"/>
    <w:rsid w:val="00D0592C"/>
    <w:rsid w:val="00D06F59"/>
    <w:rsid w:val="00D11130"/>
    <w:rsid w:val="00D1425D"/>
    <w:rsid w:val="00D155C2"/>
    <w:rsid w:val="00D1697E"/>
    <w:rsid w:val="00D204F4"/>
    <w:rsid w:val="00D20F32"/>
    <w:rsid w:val="00D22A84"/>
    <w:rsid w:val="00D23109"/>
    <w:rsid w:val="00D3469B"/>
    <w:rsid w:val="00D35BE6"/>
    <w:rsid w:val="00D44C0B"/>
    <w:rsid w:val="00D52598"/>
    <w:rsid w:val="00D53817"/>
    <w:rsid w:val="00D55A49"/>
    <w:rsid w:val="00D56FEE"/>
    <w:rsid w:val="00D67F62"/>
    <w:rsid w:val="00D70BBF"/>
    <w:rsid w:val="00D71A0B"/>
    <w:rsid w:val="00D80383"/>
    <w:rsid w:val="00D80639"/>
    <w:rsid w:val="00D944C0"/>
    <w:rsid w:val="00DA6B5F"/>
    <w:rsid w:val="00DB5B0A"/>
    <w:rsid w:val="00DB6102"/>
    <w:rsid w:val="00DC3A51"/>
    <w:rsid w:val="00DC5587"/>
    <w:rsid w:val="00DC6144"/>
    <w:rsid w:val="00DC7044"/>
    <w:rsid w:val="00DD21E1"/>
    <w:rsid w:val="00DD5221"/>
    <w:rsid w:val="00DE0FA1"/>
    <w:rsid w:val="00DE51CC"/>
    <w:rsid w:val="00DE5659"/>
    <w:rsid w:val="00DE5C8E"/>
    <w:rsid w:val="00DE6EB0"/>
    <w:rsid w:val="00DF2F56"/>
    <w:rsid w:val="00E01F69"/>
    <w:rsid w:val="00E04A0A"/>
    <w:rsid w:val="00E15FAD"/>
    <w:rsid w:val="00E37E4C"/>
    <w:rsid w:val="00E54628"/>
    <w:rsid w:val="00E73A2A"/>
    <w:rsid w:val="00E84C39"/>
    <w:rsid w:val="00E87306"/>
    <w:rsid w:val="00E9285E"/>
    <w:rsid w:val="00E94F7F"/>
    <w:rsid w:val="00E9608E"/>
    <w:rsid w:val="00EA3414"/>
    <w:rsid w:val="00EB4A95"/>
    <w:rsid w:val="00EC7168"/>
    <w:rsid w:val="00EC7AA6"/>
    <w:rsid w:val="00EE0A9F"/>
    <w:rsid w:val="00EE34F4"/>
    <w:rsid w:val="00EF68E7"/>
    <w:rsid w:val="00F06AB7"/>
    <w:rsid w:val="00F12D66"/>
    <w:rsid w:val="00F21467"/>
    <w:rsid w:val="00F375AC"/>
    <w:rsid w:val="00F43FA4"/>
    <w:rsid w:val="00F566DF"/>
    <w:rsid w:val="00F6103E"/>
    <w:rsid w:val="00F62478"/>
    <w:rsid w:val="00F67299"/>
    <w:rsid w:val="00F67575"/>
    <w:rsid w:val="00F7266C"/>
    <w:rsid w:val="00F74A07"/>
    <w:rsid w:val="00F76C44"/>
    <w:rsid w:val="00F865AF"/>
    <w:rsid w:val="00F9351C"/>
    <w:rsid w:val="00F93A41"/>
    <w:rsid w:val="00FB20C1"/>
    <w:rsid w:val="00FC7540"/>
    <w:rsid w:val="00FD409E"/>
    <w:rsid w:val="00FD651D"/>
    <w:rsid w:val="00FD65F8"/>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rsid w:val="00096F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customStyle="1" w:styleId="Default">
    <w:name w:val="Default"/>
    <w:rsid w:val="00A30CA7"/>
    <w:pPr>
      <w:autoSpaceDE w:val="0"/>
      <w:autoSpaceDN w:val="0"/>
      <w:adjustRightInd w:val="0"/>
    </w:pPr>
    <w:rPr>
      <w:rFonts w:ascii="KMICI J+ Century" w:hAnsi="KMICI J+ Century" w:cs="KMICI J+ Century"/>
      <w:color w:val="000000"/>
      <w:sz w:val="24"/>
      <w:szCs w:val="24"/>
    </w:rPr>
  </w:style>
  <w:style w:type="character" w:styleId="Strong">
    <w:name w:val="Strong"/>
    <w:basedOn w:val="DefaultParagraphFont"/>
    <w:uiPriority w:val="22"/>
    <w:qFormat/>
    <w:rsid w:val="00CC1048"/>
    <w:rPr>
      <w:b/>
      <w:bCs/>
    </w:rPr>
  </w:style>
  <w:style w:type="character" w:customStyle="1" w:styleId="Heading1Char">
    <w:name w:val="Heading 1 Char"/>
    <w:basedOn w:val="DefaultParagraphFont"/>
    <w:link w:val="Heading1"/>
    <w:rsid w:val="00096FF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rsid w:val="00096F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2E6"/>
    <w:pPr>
      <w:ind w:left="720"/>
      <w:contextualSpacing/>
    </w:pPr>
  </w:style>
  <w:style w:type="paragraph" w:customStyle="1" w:styleId="Default">
    <w:name w:val="Default"/>
    <w:rsid w:val="00A30CA7"/>
    <w:pPr>
      <w:autoSpaceDE w:val="0"/>
      <w:autoSpaceDN w:val="0"/>
      <w:adjustRightInd w:val="0"/>
    </w:pPr>
    <w:rPr>
      <w:rFonts w:ascii="KMICI J+ Century" w:hAnsi="KMICI J+ Century" w:cs="KMICI J+ Century"/>
      <w:color w:val="000000"/>
      <w:sz w:val="24"/>
      <w:szCs w:val="24"/>
    </w:rPr>
  </w:style>
  <w:style w:type="character" w:styleId="Strong">
    <w:name w:val="Strong"/>
    <w:basedOn w:val="DefaultParagraphFont"/>
    <w:uiPriority w:val="22"/>
    <w:qFormat/>
    <w:rsid w:val="00CC1048"/>
    <w:rPr>
      <w:b/>
      <w:bCs/>
    </w:rPr>
  </w:style>
  <w:style w:type="character" w:customStyle="1" w:styleId="Heading1Char">
    <w:name w:val="Heading 1 Char"/>
    <w:basedOn w:val="DefaultParagraphFont"/>
    <w:link w:val="Heading1"/>
    <w:rsid w:val="00096F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7433">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776020140">
      <w:bodyDiv w:val="1"/>
      <w:marLeft w:val="0"/>
      <w:marRight w:val="0"/>
      <w:marTop w:val="0"/>
      <w:marBottom w:val="0"/>
      <w:divBdr>
        <w:top w:val="none" w:sz="0" w:space="0" w:color="auto"/>
        <w:left w:val="none" w:sz="0" w:space="0" w:color="auto"/>
        <w:bottom w:val="none" w:sz="0" w:space="0" w:color="auto"/>
        <w:right w:val="none" w:sz="0" w:space="0" w:color="auto"/>
      </w:divBdr>
    </w:div>
    <w:div w:id="824317271">
      <w:bodyDiv w:val="1"/>
      <w:marLeft w:val="0"/>
      <w:marRight w:val="0"/>
      <w:marTop w:val="0"/>
      <w:marBottom w:val="0"/>
      <w:divBdr>
        <w:top w:val="none" w:sz="0" w:space="0" w:color="auto"/>
        <w:left w:val="none" w:sz="0" w:space="0" w:color="auto"/>
        <w:bottom w:val="none" w:sz="0" w:space="0" w:color="auto"/>
        <w:right w:val="none" w:sz="0" w:space="0" w:color="auto"/>
      </w:divBdr>
    </w:div>
    <w:div w:id="1274555569">
      <w:bodyDiv w:val="1"/>
      <w:marLeft w:val="0"/>
      <w:marRight w:val="0"/>
      <w:marTop w:val="0"/>
      <w:marBottom w:val="0"/>
      <w:divBdr>
        <w:top w:val="none" w:sz="0" w:space="0" w:color="auto"/>
        <w:left w:val="none" w:sz="0" w:space="0" w:color="auto"/>
        <w:bottom w:val="none" w:sz="0" w:space="0" w:color="auto"/>
        <w:right w:val="none" w:sz="0" w:space="0" w:color="auto"/>
      </w:divBdr>
    </w:div>
    <w:div w:id="1544053407">
      <w:bodyDiv w:val="1"/>
      <w:marLeft w:val="0"/>
      <w:marRight w:val="0"/>
      <w:marTop w:val="0"/>
      <w:marBottom w:val="0"/>
      <w:divBdr>
        <w:top w:val="none" w:sz="0" w:space="0" w:color="auto"/>
        <w:left w:val="none" w:sz="0" w:space="0" w:color="auto"/>
        <w:bottom w:val="none" w:sz="0" w:space="0" w:color="auto"/>
        <w:right w:val="none" w:sz="0" w:space="0" w:color="auto"/>
      </w:divBdr>
    </w:div>
    <w:div w:id="15918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8-29/pdf/2017-1821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po.gov/fdsys/pkg/FR-2017-11-03/pdf/2017-239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SYSTEM</cp:lastModifiedBy>
  <cp:revision>2</cp:revision>
  <cp:lastPrinted>2017-10-17T17:23:00Z</cp:lastPrinted>
  <dcterms:created xsi:type="dcterms:W3CDTF">2017-11-03T18:56:00Z</dcterms:created>
  <dcterms:modified xsi:type="dcterms:W3CDTF">2017-11-03T18:56:00Z</dcterms:modified>
</cp:coreProperties>
</file>