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B81E7" w14:textId="77777777" w:rsidR="00BA2DBE" w:rsidRPr="00D74E8E" w:rsidRDefault="00BA2DBE">
      <w:pPr>
        <w:rPr>
          <w:rFonts w:ascii="Arial" w:hAnsi="Arial" w:cs="Arial"/>
        </w:rPr>
      </w:pPr>
      <w:bookmarkStart w:id="0" w:name="_Toc337198071"/>
      <w:bookmarkStart w:id="1" w:name="_Toc423335421"/>
      <w:bookmarkStart w:id="2" w:name="_GoBack"/>
      <w:bookmarkEnd w:id="2"/>
    </w:p>
    <w:p w14:paraId="59337D84" w14:textId="77777777" w:rsidR="00BA2DBE" w:rsidRPr="00D74E8E" w:rsidRDefault="00BA2DBE">
      <w:pPr>
        <w:rPr>
          <w:rFonts w:ascii="Arial" w:hAnsi="Arial" w:cs="Arial"/>
        </w:rPr>
      </w:pPr>
    </w:p>
    <w:p w14:paraId="276321DF" w14:textId="77777777" w:rsidR="00BA2DBE" w:rsidRPr="00D74E8E" w:rsidRDefault="00BA2DBE">
      <w:pPr>
        <w:rPr>
          <w:rFonts w:ascii="Arial" w:hAnsi="Arial" w:cs="Arial"/>
        </w:rPr>
      </w:pPr>
    </w:p>
    <w:p w14:paraId="21173796" w14:textId="77777777" w:rsidR="00BA2DBE" w:rsidRPr="00D74E8E" w:rsidRDefault="00BA2DBE">
      <w:pPr>
        <w:rPr>
          <w:rFonts w:ascii="Arial" w:hAnsi="Arial" w:cs="Arial"/>
        </w:rPr>
      </w:pPr>
    </w:p>
    <w:p w14:paraId="12BC4B96" w14:textId="77777777" w:rsidR="00BA2DBE" w:rsidRPr="00D74E8E" w:rsidRDefault="00BA2DBE">
      <w:pPr>
        <w:rPr>
          <w:rFonts w:ascii="Arial" w:hAnsi="Arial" w:cs="Arial"/>
        </w:rPr>
      </w:pPr>
    </w:p>
    <w:p w14:paraId="62935A17" w14:textId="20333636" w:rsidR="00AD665B" w:rsidRPr="00D74E8E" w:rsidRDefault="009812B0" w:rsidP="001626E8">
      <w:pPr>
        <w:pStyle w:val="Subtitle"/>
        <w:rPr>
          <w:rFonts w:eastAsiaTheme="minorHAnsi" w:cs="Courier New"/>
          <w:b/>
          <w:color w:val="auto"/>
          <w:sz w:val="36"/>
          <w:szCs w:val="36"/>
        </w:rPr>
      </w:pPr>
      <w:r w:rsidRPr="00D74E8E">
        <w:rPr>
          <w:rFonts w:eastAsiaTheme="minorHAnsi" w:cs="Courier New"/>
          <w:b/>
          <w:color w:val="auto"/>
          <w:sz w:val="36"/>
          <w:szCs w:val="36"/>
        </w:rPr>
        <w:t>C</w:t>
      </w:r>
      <w:r w:rsidR="002D3B65" w:rsidRPr="00D74E8E">
        <w:rPr>
          <w:rFonts w:eastAsiaTheme="minorHAnsi" w:cs="Courier New"/>
          <w:b/>
          <w:color w:val="auto"/>
          <w:sz w:val="36"/>
          <w:szCs w:val="36"/>
        </w:rPr>
        <w:t>hildhood Blood Lead Surveillance (CBLS</w:t>
      </w:r>
      <w:r w:rsidR="006915FE" w:rsidRPr="00D74E8E">
        <w:rPr>
          <w:rFonts w:eastAsiaTheme="minorHAnsi" w:cs="Courier New"/>
          <w:b/>
          <w:color w:val="auto"/>
          <w:sz w:val="36"/>
          <w:szCs w:val="36"/>
        </w:rPr>
        <w:t>)</w:t>
      </w:r>
      <w:r w:rsidR="00C03695" w:rsidRPr="00D74E8E">
        <w:rPr>
          <w:rFonts w:eastAsiaTheme="minorHAnsi" w:cs="Courier New"/>
          <w:b/>
          <w:color w:val="auto"/>
          <w:sz w:val="36"/>
          <w:szCs w:val="36"/>
        </w:rPr>
        <w:t xml:space="preserve"> and Adult Blood Lead Epidemiology and Surveillance (ABLES)</w:t>
      </w:r>
    </w:p>
    <w:p w14:paraId="61EAE914" w14:textId="6D489FFD" w:rsidR="00BA2DBE" w:rsidRPr="00D74E8E" w:rsidRDefault="00480FC6" w:rsidP="001626E8">
      <w:pPr>
        <w:pStyle w:val="Subtitle"/>
        <w:rPr>
          <w:color w:val="auto"/>
          <w:sz w:val="32"/>
          <w:szCs w:val="32"/>
        </w:rPr>
      </w:pPr>
      <w:r w:rsidRPr="00D74E8E">
        <w:rPr>
          <w:color w:val="auto"/>
          <w:sz w:val="32"/>
          <w:szCs w:val="32"/>
        </w:rPr>
        <w:t>OMB Control N</w:t>
      </w:r>
      <w:r w:rsidR="00EA55C0" w:rsidRPr="00D74E8E">
        <w:rPr>
          <w:color w:val="auto"/>
          <w:sz w:val="32"/>
          <w:szCs w:val="32"/>
        </w:rPr>
        <w:t>o. 0920-</w:t>
      </w:r>
      <w:r w:rsidR="009812B0" w:rsidRPr="00D74E8E">
        <w:rPr>
          <w:color w:val="auto"/>
          <w:sz w:val="32"/>
          <w:szCs w:val="32"/>
        </w:rPr>
        <w:t>NEW</w:t>
      </w:r>
      <w:r w:rsidRPr="00D74E8E">
        <w:rPr>
          <w:color w:val="auto"/>
          <w:sz w:val="32"/>
          <w:szCs w:val="32"/>
        </w:rPr>
        <w:t xml:space="preserve"> </w:t>
      </w:r>
    </w:p>
    <w:p w14:paraId="3CCFBB7E" w14:textId="77777777" w:rsidR="005A64B8" w:rsidRPr="00D74E8E" w:rsidRDefault="005A64B8">
      <w:pPr>
        <w:spacing w:after="200" w:line="276" w:lineRule="auto"/>
        <w:rPr>
          <w:rFonts w:asciiTheme="majorHAnsi" w:hAnsiTheme="majorHAnsi" w:cs="Arial"/>
          <w:sz w:val="32"/>
          <w:szCs w:val="32"/>
        </w:rPr>
      </w:pPr>
    </w:p>
    <w:p w14:paraId="0BFC8620" w14:textId="162EAF70" w:rsidR="001626E8" w:rsidRPr="00D74E8E" w:rsidRDefault="009812B0">
      <w:pPr>
        <w:spacing w:after="200" w:line="276" w:lineRule="auto"/>
        <w:rPr>
          <w:rFonts w:asciiTheme="majorHAnsi" w:hAnsiTheme="majorHAnsi" w:cs="Arial"/>
          <w:sz w:val="32"/>
          <w:szCs w:val="32"/>
        </w:rPr>
      </w:pPr>
      <w:r w:rsidRPr="00D74E8E">
        <w:rPr>
          <w:rFonts w:asciiTheme="majorHAnsi" w:hAnsiTheme="majorHAnsi" w:cs="Arial"/>
          <w:sz w:val="32"/>
          <w:szCs w:val="32"/>
        </w:rPr>
        <w:t>New</w:t>
      </w:r>
      <w:r w:rsidR="00065B92" w:rsidRPr="00D74E8E">
        <w:rPr>
          <w:rFonts w:asciiTheme="majorHAnsi" w:hAnsiTheme="majorHAnsi" w:cs="Arial"/>
          <w:sz w:val="32"/>
          <w:szCs w:val="32"/>
        </w:rPr>
        <w:t xml:space="preserve"> Information Collection Request</w:t>
      </w:r>
    </w:p>
    <w:p w14:paraId="208934B9" w14:textId="77777777" w:rsidR="00C000CD" w:rsidRPr="00D74E8E" w:rsidRDefault="00C000CD" w:rsidP="001626E8">
      <w:pPr>
        <w:pStyle w:val="Subtitle"/>
        <w:rPr>
          <w:color w:val="auto"/>
        </w:rPr>
      </w:pPr>
    </w:p>
    <w:p w14:paraId="0ED778E6" w14:textId="77777777" w:rsidR="00D16598" w:rsidRPr="00D74E8E" w:rsidRDefault="00480FC6" w:rsidP="001626E8">
      <w:pPr>
        <w:pStyle w:val="Subtitle"/>
        <w:rPr>
          <w:color w:val="auto"/>
        </w:rPr>
      </w:pPr>
      <w:r w:rsidRPr="00D74E8E">
        <w:rPr>
          <w:color w:val="auto"/>
        </w:rPr>
        <w:t xml:space="preserve">Supporting Statement Part A </w:t>
      </w:r>
      <w:r w:rsidR="00BB0E8E" w:rsidRPr="00D74E8E">
        <w:rPr>
          <w:color w:val="auto"/>
        </w:rPr>
        <w:t>–</w:t>
      </w:r>
      <w:r w:rsidRPr="00D74E8E">
        <w:rPr>
          <w:color w:val="auto"/>
        </w:rPr>
        <w:t xml:space="preserve"> </w:t>
      </w:r>
    </w:p>
    <w:p w14:paraId="5CC0C15F" w14:textId="79D690D7" w:rsidR="00BA2DBE" w:rsidRPr="00D74E8E" w:rsidRDefault="00480FC6" w:rsidP="00CE590C">
      <w:pPr>
        <w:pStyle w:val="Subtitle"/>
        <w:rPr>
          <w:color w:val="auto"/>
        </w:rPr>
      </w:pPr>
      <w:r w:rsidRPr="00D74E8E">
        <w:rPr>
          <w:color w:val="auto"/>
        </w:rPr>
        <w:t>Justification</w:t>
      </w:r>
    </w:p>
    <w:p w14:paraId="69C74FD2" w14:textId="77777777" w:rsidR="00BA2DBE" w:rsidRPr="00D74E8E" w:rsidRDefault="00BA2DBE">
      <w:pPr>
        <w:spacing w:after="200" w:line="276" w:lineRule="auto"/>
        <w:rPr>
          <w:rFonts w:asciiTheme="majorHAnsi" w:hAnsiTheme="majorHAnsi" w:cs="Arial"/>
          <w:sz w:val="36"/>
          <w:szCs w:val="36"/>
        </w:rPr>
      </w:pPr>
    </w:p>
    <w:p w14:paraId="1E4E243A" w14:textId="77777777" w:rsidR="00BA2DBE" w:rsidRPr="00D74E8E" w:rsidRDefault="00BA2DBE">
      <w:pPr>
        <w:spacing w:after="200" w:line="276" w:lineRule="auto"/>
        <w:rPr>
          <w:rFonts w:asciiTheme="majorHAnsi" w:hAnsiTheme="majorHAnsi" w:cs="Arial"/>
          <w:sz w:val="36"/>
          <w:szCs w:val="36"/>
        </w:rPr>
      </w:pPr>
    </w:p>
    <w:p w14:paraId="36D07EFE" w14:textId="77777777" w:rsidR="00BA2DBE" w:rsidRPr="00D74E8E" w:rsidRDefault="00BA2DBE">
      <w:pPr>
        <w:spacing w:after="200" w:line="276" w:lineRule="auto"/>
        <w:rPr>
          <w:rFonts w:asciiTheme="majorHAnsi" w:hAnsiTheme="majorHAnsi" w:cs="Arial"/>
          <w:sz w:val="36"/>
          <w:szCs w:val="36"/>
        </w:rPr>
      </w:pPr>
    </w:p>
    <w:p w14:paraId="0A8313A0" w14:textId="77777777" w:rsidR="0025799F" w:rsidRPr="00D74E8E" w:rsidRDefault="0025799F" w:rsidP="0025799F">
      <w:pPr>
        <w:pStyle w:val="Subtitle"/>
        <w:spacing w:after="0"/>
        <w:rPr>
          <w:rFonts w:ascii="Cambria" w:hAnsi="Cambria"/>
          <w:color w:val="auto"/>
        </w:rPr>
      </w:pPr>
      <w:r w:rsidRPr="00D74E8E">
        <w:rPr>
          <w:rFonts w:ascii="Cambria" w:hAnsi="Cambria"/>
          <w:color w:val="auto"/>
        </w:rPr>
        <w:t>Program Official: Adrienne Ettinger, ScD</w:t>
      </w:r>
    </w:p>
    <w:p w14:paraId="6194A831" w14:textId="77777777" w:rsidR="0025799F" w:rsidRPr="00D74E8E" w:rsidRDefault="0025799F" w:rsidP="0025799F">
      <w:pPr>
        <w:pStyle w:val="Subtitle"/>
        <w:spacing w:after="0"/>
        <w:rPr>
          <w:rFonts w:ascii="Cambria" w:hAnsi="Cambria"/>
          <w:color w:val="auto"/>
        </w:rPr>
      </w:pPr>
      <w:r w:rsidRPr="00D74E8E">
        <w:rPr>
          <w:rFonts w:ascii="Cambria" w:hAnsi="Cambria"/>
          <w:color w:val="auto"/>
        </w:rPr>
        <w:t>Title: Program Chief</w:t>
      </w:r>
    </w:p>
    <w:p w14:paraId="1F0557CD" w14:textId="77777777" w:rsidR="0025799F" w:rsidRPr="00D74E8E" w:rsidRDefault="0025799F" w:rsidP="0025799F">
      <w:pPr>
        <w:pStyle w:val="Subtitle"/>
        <w:spacing w:after="0"/>
        <w:ind w:firstLine="720"/>
        <w:rPr>
          <w:rFonts w:ascii="Cambria" w:hAnsi="Cambria"/>
          <w:color w:val="auto"/>
        </w:rPr>
      </w:pPr>
      <w:r w:rsidRPr="00D74E8E">
        <w:rPr>
          <w:rFonts w:ascii="Cambria" w:hAnsi="Cambria"/>
          <w:color w:val="auto"/>
        </w:rPr>
        <w:t>Health Homes and Lead Poisoning Prevention Program (HHLPPP)</w:t>
      </w:r>
    </w:p>
    <w:p w14:paraId="2B061629" w14:textId="77777777" w:rsidR="0025799F" w:rsidRPr="00D74E8E" w:rsidRDefault="0025799F" w:rsidP="0025799F">
      <w:pPr>
        <w:spacing w:after="0" w:line="240" w:lineRule="auto"/>
        <w:ind w:firstLine="720"/>
        <w:rPr>
          <w:rFonts w:ascii="Cambria" w:hAnsi="Cambria"/>
          <w:sz w:val="30"/>
          <w:szCs w:val="30"/>
        </w:rPr>
      </w:pPr>
      <w:r w:rsidRPr="00D74E8E">
        <w:rPr>
          <w:rFonts w:ascii="Cambria" w:hAnsi="Cambria"/>
          <w:sz w:val="30"/>
          <w:szCs w:val="30"/>
        </w:rPr>
        <w:t>National Center for Environmental Health (NCEH)</w:t>
      </w:r>
    </w:p>
    <w:p w14:paraId="238CEFB3" w14:textId="77777777" w:rsidR="0025799F" w:rsidRPr="00D74E8E" w:rsidRDefault="0025799F" w:rsidP="0025799F">
      <w:pPr>
        <w:spacing w:after="0" w:line="240" w:lineRule="auto"/>
        <w:ind w:firstLine="720"/>
        <w:rPr>
          <w:rFonts w:ascii="Cambria" w:hAnsi="Cambria"/>
          <w:sz w:val="30"/>
          <w:szCs w:val="30"/>
        </w:rPr>
      </w:pPr>
      <w:r w:rsidRPr="00D74E8E">
        <w:rPr>
          <w:rFonts w:ascii="Cambria" w:hAnsi="Cambria"/>
          <w:sz w:val="30"/>
          <w:szCs w:val="30"/>
        </w:rPr>
        <w:t>Centers for Disease Control and Prevention (CDC)</w:t>
      </w:r>
    </w:p>
    <w:p w14:paraId="70D46078" w14:textId="77777777" w:rsidR="0025799F" w:rsidRPr="00D74E8E" w:rsidRDefault="0025799F" w:rsidP="0025799F">
      <w:pPr>
        <w:pStyle w:val="Subtitle"/>
        <w:spacing w:after="0"/>
        <w:rPr>
          <w:rFonts w:ascii="Cambria" w:hAnsi="Cambria"/>
          <w:color w:val="auto"/>
        </w:rPr>
      </w:pPr>
      <w:r w:rsidRPr="00D74E8E">
        <w:rPr>
          <w:rFonts w:ascii="Cambria" w:hAnsi="Cambria"/>
          <w:color w:val="auto"/>
        </w:rPr>
        <w:t>Phone: 770-488-7492</w:t>
      </w:r>
    </w:p>
    <w:p w14:paraId="1E85CF83" w14:textId="77777777" w:rsidR="0025799F" w:rsidRPr="00D74E8E" w:rsidRDefault="0025799F" w:rsidP="0025799F">
      <w:pPr>
        <w:pStyle w:val="Subtitle"/>
        <w:spacing w:after="0"/>
        <w:rPr>
          <w:rFonts w:ascii="Cambria" w:hAnsi="Cambria"/>
          <w:color w:val="auto"/>
        </w:rPr>
      </w:pPr>
      <w:r w:rsidRPr="00D74E8E">
        <w:rPr>
          <w:rFonts w:ascii="Cambria" w:hAnsi="Cambria"/>
          <w:color w:val="auto"/>
        </w:rPr>
        <w:t>Email: abe7@cdc.gov</w:t>
      </w:r>
    </w:p>
    <w:p w14:paraId="0E768812" w14:textId="77777777" w:rsidR="0025799F" w:rsidRPr="00D74E8E" w:rsidRDefault="0025799F" w:rsidP="0025799F">
      <w:pPr>
        <w:pStyle w:val="Subtitle"/>
        <w:spacing w:after="0"/>
        <w:rPr>
          <w:rFonts w:ascii="Cambria" w:hAnsi="Cambria"/>
          <w:color w:val="auto"/>
        </w:rPr>
      </w:pPr>
      <w:r w:rsidRPr="00D74E8E">
        <w:rPr>
          <w:rFonts w:ascii="Cambria" w:hAnsi="Cambria"/>
          <w:color w:val="auto"/>
        </w:rPr>
        <w:t>Fax: 770-488-3635</w:t>
      </w:r>
    </w:p>
    <w:p w14:paraId="744EC5D8" w14:textId="77777777" w:rsidR="0025799F" w:rsidRPr="00D74E8E" w:rsidRDefault="0025799F" w:rsidP="0025799F">
      <w:pPr>
        <w:pStyle w:val="Subtitle"/>
        <w:spacing w:after="0"/>
        <w:rPr>
          <w:rFonts w:ascii="Cambria" w:hAnsi="Cambria"/>
          <w:color w:val="auto"/>
        </w:rPr>
      </w:pPr>
    </w:p>
    <w:p w14:paraId="76D937C3" w14:textId="116C5F86" w:rsidR="00965C2A" w:rsidRPr="00D74E8E" w:rsidRDefault="0025799F" w:rsidP="0025799F">
      <w:pPr>
        <w:pStyle w:val="Subtitle"/>
        <w:spacing w:after="0"/>
        <w:rPr>
          <w:rFonts w:ascii="Arial" w:hAnsi="Arial"/>
          <w:color w:val="auto"/>
        </w:rPr>
      </w:pPr>
      <w:r w:rsidRPr="00D74E8E">
        <w:rPr>
          <w:rFonts w:ascii="Cambria" w:hAnsi="Cambria"/>
          <w:color w:val="auto"/>
        </w:rPr>
        <w:t xml:space="preserve">Date: </w:t>
      </w:r>
      <w:r w:rsidR="00FD0C5F">
        <w:rPr>
          <w:rFonts w:ascii="Cambria" w:hAnsi="Cambria"/>
          <w:color w:val="auto"/>
        </w:rPr>
        <w:t xml:space="preserve">October </w:t>
      </w:r>
      <w:r w:rsidR="009646A9">
        <w:rPr>
          <w:rFonts w:ascii="Cambria" w:hAnsi="Cambria"/>
          <w:color w:val="auto"/>
        </w:rPr>
        <w:t>18</w:t>
      </w:r>
      <w:r w:rsidR="005D19AC">
        <w:rPr>
          <w:rFonts w:ascii="Cambria" w:hAnsi="Cambria"/>
          <w:color w:val="auto"/>
        </w:rPr>
        <w:t>, 2017</w:t>
      </w:r>
      <w:r w:rsidR="00BA2DBE" w:rsidRPr="00D74E8E">
        <w:rPr>
          <w:rFonts w:ascii="Arial" w:hAnsi="Arial"/>
          <w:color w:val="auto"/>
        </w:rPr>
        <w:br w:type="page"/>
      </w:r>
    </w:p>
    <w:sdt>
      <w:sdtPr>
        <w:rPr>
          <w:rFonts w:asciiTheme="minorHAnsi" w:eastAsiaTheme="minorEastAsia" w:hAnsiTheme="minorHAnsi" w:cstheme="minorBidi"/>
          <w:color w:val="auto"/>
          <w:sz w:val="21"/>
          <w:szCs w:val="21"/>
        </w:rPr>
        <w:id w:val="-1403140958"/>
        <w:docPartObj>
          <w:docPartGallery w:val="Table of Contents"/>
          <w:docPartUnique/>
        </w:docPartObj>
      </w:sdtPr>
      <w:sdtEndPr>
        <w:rPr>
          <w:b/>
          <w:bCs/>
          <w:noProof/>
        </w:rPr>
      </w:sdtEndPr>
      <w:sdtContent>
        <w:p w14:paraId="1C83B101" w14:textId="2229C436" w:rsidR="009B765E" w:rsidRPr="00D74E8E" w:rsidRDefault="009B765E" w:rsidP="00637DF7">
          <w:pPr>
            <w:pStyle w:val="TOCHeading"/>
            <w:spacing w:after="480"/>
            <w:jc w:val="center"/>
            <w:rPr>
              <w:color w:val="auto"/>
            </w:rPr>
          </w:pPr>
          <w:r w:rsidRPr="00D74E8E">
            <w:rPr>
              <w:color w:val="auto"/>
            </w:rPr>
            <w:t>Table of Contents</w:t>
          </w:r>
        </w:p>
        <w:p w14:paraId="542CB5DB" w14:textId="4969A2C0" w:rsidR="00926794" w:rsidRPr="00926794" w:rsidRDefault="009B765E">
          <w:pPr>
            <w:pStyle w:val="TOC1"/>
            <w:rPr>
              <w:noProof/>
              <w:sz w:val="22"/>
              <w:szCs w:val="22"/>
            </w:rPr>
          </w:pPr>
          <w:r w:rsidRPr="005D19AC">
            <w:fldChar w:fldCharType="begin"/>
          </w:r>
          <w:r w:rsidRPr="005D19AC">
            <w:instrText xml:space="preserve"> TOC \o "1-3" \h \z \u </w:instrText>
          </w:r>
          <w:r w:rsidRPr="005D19AC">
            <w:fldChar w:fldCharType="separate"/>
          </w:r>
          <w:hyperlink w:anchor="_Toc494815278" w:history="1">
            <w:r w:rsidR="00926794" w:rsidRPr="00926794">
              <w:rPr>
                <w:rStyle w:val="Hyperlink"/>
                <w:noProof/>
              </w:rPr>
              <w:t>A.1.  Circumstances Making the Collection of Information Necessary</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_Toc494815278 \h </w:instrText>
            </w:r>
            <w:r w:rsidR="00926794" w:rsidRPr="00926794">
              <w:rPr>
                <w:noProof/>
                <w:webHidden/>
              </w:rPr>
            </w:r>
            <w:r w:rsidR="00926794" w:rsidRPr="00926794">
              <w:rPr>
                <w:noProof/>
                <w:webHidden/>
              </w:rPr>
              <w:fldChar w:fldCharType="separate"/>
            </w:r>
            <w:r w:rsidR="00B5238A">
              <w:rPr>
                <w:noProof/>
                <w:webHidden/>
              </w:rPr>
              <w:t>4</w:t>
            </w:r>
            <w:r w:rsidR="00926794" w:rsidRPr="00926794">
              <w:rPr>
                <w:noProof/>
                <w:webHidden/>
              </w:rPr>
              <w:fldChar w:fldCharType="end"/>
            </w:r>
          </w:hyperlink>
        </w:p>
        <w:p w14:paraId="52497683" w14:textId="250D4B8A" w:rsidR="00926794" w:rsidRPr="00926794" w:rsidRDefault="005D4F7E">
          <w:pPr>
            <w:pStyle w:val="TOC1"/>
            <w:rPr>
              <w:noProof/>
              <w:sz w:val="22"/>
              <w:szCs w:val="22"/>
            </w:rPr>
          </w:pPr>
          <w:hyperlink w:anchor="_Toc494815279" w:history="1">
            <w:r w:rsidR="00926794" w:rsidRPr="00926794">
              <w:rPr>
                <w:rStyle w:val="Hyperlink"/>
                <w:noProof/>
              </w:rPr>
              <w:t>A.2.  Purpose and Use of the Information Collection</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_Toc494815279 \h </w:instrText>
            </w:r>
            <w:r w:rsidR="00926794" w:rsidRPr="00926794">
              <w:rPr>
                <w:noProof/>
                <w:webHidden/>
              </w:rPr>
            </w:r>
            <w:r w:rsidR="00926794" w:rsidRPr="00926794">
              <w:rPr>
                <w:noProof/>
                <w:webHidden/>
              </w:rPr>
              <w:fldChar w:fldCharType="separate"/>
            </w:r>
            <w:r w:rsidR="00B5238A">
              <w:rPr>
                <w:noProof/>
                <w:webHidden/>
              </w:rPr>
              <w:t>5</w:t>
            </w:r>
            <w:r w:rsidR="00926794" w:rsidRPr="00926794">
              <w:rPr>
                <w:noProof/>
                <w:webHidden/>
              </w:rPr>
              <w:fldChar w:fldCharType="end"/>
            </w:r>
          </w:hyperlink>
        </w:p>
        <w:p w14:paraId="67546544" w14:textId="4950BD22" w:rsidR="00926794" w:rsidRPr="00926794" w:rsidRDefault="005D4F7E">
          <w:pPr>
            <w:pStyle w:val="TOC1"/>
            <w:rPr>
              <w:noProof/>
              <w:sz w:val="22"/>
              <w:szCs w:val="22"/>
            </w:rPr>
          </w:pPr>
          <w:hyperlink w:anchor="_Toc494815280" w:history="1">
            <w:r w:rsidR="00926794" w:rsidRPr="00926794">
              <w:rPr>
                <w:rStyle w:val="Hyperlink"/>
                <w:noProof/>
              </w:rPr>
              <w:t>A.3.  Use of Improved Information Technology and Burden Reduction</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_Toc494815280 \h </w:instrText>
            </w:r>
            <w:r w:rsidR="00926794" w:rsidRPr="00926794">
              <w:rPr>
                <w:noProof/>
                <w:webHidden/>
              </w:rPr>
            </w:r>
            <w:r w:rsidR="00926794" w:rsidRPr="00926794">
              <w:rPr>
                <w:noProof/>
                <w:webHidden/>
              </w:rPr>
              <w:fldChar w:fldCharType="separate"/>
            </w:r>
            <w:r w:rsidR="00B5238A">
              <w:rPr>
                <w:noProof/>
                <w:webHidden/>
              </w:rPr>
              <w:t>16</w:t>
            </w:r>
            <w:r w:rsidR="00926794" w:rsidRPr="00926794">
              <w:rPr>
                <w:noProof/>
                <w:webHidden/>
              </w:rPr>
              <w:fldChar w:fldCharType="end"/>
            </w:r>
          </w:hyperlink>
        </w:p>
        <w:p w14:paraId="2BBDCE33" w14:textId="4B949FE6" w:rsidR="00926794" w:rsidRPr="00926794" w:rsidRDefault="005D4F7E">
          <w:pPr>
            <w:pStyle w:val="TOC1"/>
            <w:rPr>
              <w:noProof/>
              <w:sz w:val="22"/>
              <w:szCs w:val="22"/>
            </w:rPr>
          </w:pPr>
          <w:hyperlink w:anchor="_Toc494815281" w:history="1">
            <w:r w:rsidR="00926794" w:rsidRPr="00926794">
              <w:rPr>
                <w:rStyle w:val="Hyperlink"/>
                <w:noProof/>
              </w:rPr>
              <w:t>A.4.  Efforts to Identify Duplication and Use of Similar Information</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_Toc494815281 \h </w:instrText>
            </w:r>
            <w:r w:rsidR="00926794" w:rsidRPr="00926794">
              <w:rPr>
                <w:noProof/>
                <w:webHidden/>
              </w:rPr>
            </w:r>
            <w:r w:rsidR="00926794" w:rsidRPr="00926794">
              <w:rPr>
                <w:noProof/>
                <w:webHidden/>
              </w:rPr>
              <w:fldChar w:fldCharType="separate"/>
            </w:r>
            <w:r w:rsidR="00B5238A">
              <w:rPr>
                <w:noProof/>
                <w:webHidden/>
              </w:rPr>
              <w:t>17</w:t>
            </w:r>
            <w:r w:rsidR="00926794" w:rsidRPr="00926794">
              <w:rPr>
                <w:noProof/>
                <w:webHidden/>
              </w:rPr>
              <w:fldChar w:fldCharType="end"/>
            </w:r>
          </w:hyperlink>
        </w:p>
        <w:p w14:paraId="2B9C54F8" w14:textId="36B91215" w:rsidR="00926794" w:rsidRPr="00926794" w:rsidRDefault="005D4F7E">
          <w:pPr>
            <w:pStyle w:val="TOC1"/>
            <w:rPr>
              <w:noProof/>
              <w:sz w:val="22"/>
              <w:szCs w:val="22"/>
            </w:rPr>
          </w:pPr>
          <w:hyperlink w:anchor="_Toc494815282" w:history="1">
            <w:r w:rsidR="00926794" w:rsidRPr="00926794">
              <w:rPr>
                <w:rStyle w:val="Hyperlink"/>
                <w:noProof/>
              </w:rPr>
              <w:t>A.5.  Impact on Small Businesses or Other Small Entities</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_Toc494815282 \h </w:instrText>
            </w:r>
            <w:r w:rsidR="00926794" w:rsidRPr="00926794">
              <w:rPr>
                <w:noProof/>
                <w:webHidden/>
              </w:rPr>
            </w:r>
            <w:r w:rsidR="00926794" w:rsidRPr="00926794">
              <w:rPr>
                <w:noProof/>
                <w:webHidden/>
              </w:rPr>
              <w:fldChar w:fldCharType="separate"/>
            </w:r>
            <w:r w:rsidR="00B5238A">
              <w:rPr>
                <w:noProof/>
                <w:webHidden/>
              </w:rPr>
              <w:t>21</w:t>
            </w:r>
            <w:r w:rsidR="00926794" w:rsidRPr="00926794">
              <w:rPr>
                <w:noProof/>
                <w:webHidden/>
              </w:rPr>
              <w:fldChar w:fldCharType="end"/>
            </w:r>
          </w:hyperlink>
        </w:p>
        <w:p w14:paraId="27746ACA" w14:textId="587B4597" w:rsidR="00926794" w:rsidRPr="00926794" w:rsidRDefault="005D4F7E">
          <w:pPr>
            <w:pStyle w:val="TOC1"/>
            <w:rPr>
              <w:noProof/>
              <w:sz w:val="22"/>
              <w:szCs w:val="22"/>
            </w:rPr>
          </w:pPr>
          <w:hyperlink w:anchor="_Toc494815283" w:history="1">
            <w:r w:rsidR="00926794" w:rsidRPr="00926794">
              <w:rPr>
                <w:rStyle w:val="Hyperlink"/>
                <w:noProof/>
              </w:rPr>
              <w:t>A.6.  Consequences of Collecting the Information Less Frequently</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_Toc494815283 \h </w:instrText>
            </w:r>
            <w:r w:rsidR="00926794" w:rsidRPr="00926794">
              <w:rPr>
                <w:noProof/>
                <w:webHidden/>
              </w:rPr>
            </w:r>
            <w:r w:rsidR="00926794" w:rsidRPr="00926794">
              <w:rPr>
                <w:noProof/>
                <w:webHidden/>
              </w:rPr>
              <w:fldChar w:fldCharType="separate"/>
            </w:r>
            <w:r w:rsidR="00B5238A">
              <w:rPr>
                <w:noProof/>
                <w:webHidden/>
              </w:rPr>
              <w:t>21</w:t>
            </w:r>
            <w:r w:rsidR="00926794" w:rsidRPr="00926794">
              <w:rPr>
                <w:noProof/>
                <w:webHidden/>
              </w:rPr>
              <w:fldChar w:fldCharType="end"/>
            </w:r>
          </w:hyperlink>
        </w:p>
        <w:p w14:paraId="38317FCE" w14:textId="33875ED1" w:rsidR="00926794" w:rsidRPr="00926794" w:rsidRDefault="005D4F7E">
          <w:pPr>
            <w:pStyle w:val="TOC1"/>
            <w:rPr>
              <w:noProof/>
              <w:sz w:val="22"/>
              <w:szCs w:val="22"/>
            </w:rPr>
          </w:pPr>
          <w:hyperlink w:anchor="_Toc494815284" w:history="1">
            <w:r w:rsidR="00926794" w:rsidRPr="00926794">
              <w:rPr>
                <w:rStyle w:val="Hyperlink"/>
                <w:noProof/>
              </w:rPr>
              <w:t>A.7.  Special Circumstances Relating to the Guidelines of 5 CFR 1320.5</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_Toc494815284 \h </w:instrText>
            </w:r>
            <w:r w:rsidR="00926794" w:rsidRPr="00926794">
              <w:rPr>
                <w:noProof/>
                <w:webHidden/>
              </w:rPr>
            </w:r>
            <w:r w:rsidR="00926794" w:rsidRPr="00926794">
              <w:rPr>
                <w:noProof/>
                <w:webHidden/>
              </w:rPr>
              <w:fldChar w:fldCharType="separate"/>
            </w:r>
            <w:r w:rsidR="00B5238A">
              <w:rPr>
                <w:noProof/>
                <w:webHidden/>
              </w:rPr>
              <w:t>21</w:t>
            </w:r>
            <w:r w:rsidR="00926794" w:rsidRPr="00926794">
              <w:rPr>
                <w:noProof/>
                <w:webHidden/>
              </w:rPr>
              <w:fldChar w:fldCharType="end"/>
            </w:r>
          </w:hyperlink>
        </w:p>
        <w:p w14:paraId="5E00D30F" w14:textId="0E2FF5EF" w:rsidR="00926794" w:rsidRPr="00926794" w:rsidRDefault="005D4F7E">
          <w:pPr>
            <w:pStyle w:val="TOC1"/>
            <w:rPr>
              <w:noProof/>
              <w:sz w:val="22"/>
              <w:szCs w:val="22"/>
            </w:rPr>
          </w:pPr>
          <w:hyperlink w:anchor="_Toc494815285" w:history="1">
            <w:r w:rsidR="00926794" w:rsidRPr="00926794">
              <w:rPr>
                <w:rStyle w:val="Hyperlink"/>
                <w:noProof/>
              </w:rPr>
              <w:t>A.8.  Comments in Response to the Federal Register Notice and Efforts to Consult Outside the Agency</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_Toc494815285 \h </w:instrText>
            </w:r>
            <w:r w:rsidR="00926794" w:rsidRPr="00926794">
              <w:rPr>
                <w:noProof/>
                <w:webHidden/>
              </w:rPr>
            </w:r>
            <w:r w:rsidR="00926794" w:rsidRPr="00926794">
              <w:rPr>
                <w:noProof/>
                <w:webHidden/>
              </w:rPr>
              <w:fldChar w:fldCharType="separate"/>
            </w:r>
            <w:r w:rsidR="00B5238A">
              <w:rPr>
                <w:noProof/>
                <w:webHidden/>
              </w:rPr>
              <w:t>21</w:t>
            </w:r>
            <w:r w:rsidR="00926794" w:rsidRPr="00926794">
              <w:rPr>
                <w:noProof/>
                <w:webHidden/>
              </w:rPr>
              <w:fldChar w:fldCharType="end"/>
            </w:r>
          </w:hyperlink>
        </w:p>
        <w:p w14:paraId="60ADBC64" w14:textId="05AAAEB8" w:rsidR="00926794" w:rsidRPr="00926794" w:rsidRDefault="005D4F7E">
          <w:pPr>
            <w:pStyle w:val="TOC1"/>
            <w:rPr>
              <w:noProof/>
              <w:sz w:val="22"/>
              <w:szCs w:val="22"/>
            </w:rPr>
          </w:pPr>
          <w:hyperlink w:anchor="_Toc494815286" w:history="1">
            <w:r w:rsidR="00926794" w:rsidRPr="00926794">
              <w:rPr>
                <w:rStyle w:val="Hyperlink"/>
                <w:noProof/>
              </w:rPr>
              <w:t>A.9.  Explanation of Any Payment or Gift to Respondents</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_Toc494815286 \h </w:instrText>
            </w:r>
            <w:r w:rsidR="00926794" w:rsidRPr="00926794">
              <w:rPr>
                <w:noProof/>
                <w:webHidden/>
              </w:rPr>
            </w:r>
            <w:r w:rsidR="00926794" w:rsidRPr="00926794">
              <w:rPr>
                <w:noProof/>
                <w:webHidden/>
              </w:rPr>
              <w:fldChar w:fldCharType="separate"/>
            </w:r>
            <w:r w:rsidR="00B5238A">
              <w:rPr>
                <w:noProof/>
                <w:webHidden/>
              </w:rPr>
              <w:t>24</w:t>
            </w:r>
            <w:r w:rsidR="00926794" w:rsidRPr="00926794">
              <w:rPr>
                <w:noProof/>
                <w:webHidden/>
              </w:rPr>
              <w:fldChar w:fldCharType="end"/>
            </w:r>
          </w:hyperlink>
        </w:p>
        <w:p w14:paraId="04212F49" w14:textId="38E7FADC" w:rsidR="00926794" w:rsidRPr="00926794" w:rsidRDefault="005D4F7E">
          <w:pPr>
            <w:pStyle w:val="TOC1"/>
            <w:rPr>
              <w:noProof/>
              <w:sz w:val="22"/>
              <w:szCs w:val="22"/>
            </w:rPr>
          </w:pPr>
          <w:hyperlink w:anchor="_Toc494815287" w:history="1">
            <w:r w:rsidR="00926794" w:rsidRPr="00926794">
              <w:rPr>
                <w:rStyle w:val="Hyperlink"/>
                <w:noProof/>
              </w:rPr>
              <w:t>A.10.  Protection of the Privacy and Confidentiality of Information Provided by Respondents</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_Toc494815287 \h </w:instrText>
            </w:r>
            <w:r w:rsidR="00926794" w:rsidRPr="00926794">
              <w:rPr>
                <w:noProof/>
                <w:webHidden/>
              </w:rPr>
            </w:r>
            <w:r w:rsidR="00926794" w:rsidRPr="00926794">
              <w:rPr>
                <w:noProof/>
                <w:webHidden/>
              </w:rPr>
              <w:fldChar w:fldCharType="separate"/>
            </w:r>
            <w:r w:rsidR="00B5238A">
              <w:rPr>
                <w:noProof/>
                <w:webHidden/>
              </w:rPr>
              <w:t>24</w:t>
            </w:r>
            <w:r w:rsidR="00926794" w:rsidRPr="00926794">
              <w:rPr>
                <w:noProof/>
                <w:webHidden/>
              </w:rPr>
              <w:fldChar w:fldCharType="end"/>
            </w:r>
          </w:hyperlink>
        </w:p>
        <w:p w14:paraId="081FA6AA" w14:textId="401FBAC9" w:rsidR="00926794" w:rsidRPr="00926794" w:rsidRDefault="005D4F7E">
          <w:pPr>
            <w:pStyle w:val="TOC1"/>
            <w:rPr>
              <w:noProof/>
              <w:sz w:val="22"/>
              <w:szCs w:val="22"/>
            </w:rPr>
          </w:pPr>
          <w:hyperlink w:anchor="_Toc494815288" w:history="1">
            <w:r w:rsidR="00926794" w:rsidRPr="00926794">
              <w:rPr>
                <w:rStyle w:val="Hyperlink"/>
                <w:noProof/>
              </w:rPr>
              <w:t>A.11.  Institutional Review Board (IRB) and Justification for Sensitive Questions</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_Toc494815288 \h </w:instrText>
            </w:r>
            <w:r w:rsidR="00926794" w:rsidRPr="00926794">
              <w:rPr>
                <w:noProof/>
                <w:webHidden/>
              </w:rPr>
            </w:r>
            <w:r w:rsidR="00926794" w:rsidRPr="00926794">
              <w:rPr>
                <w:noProof/>
                <w:webHidden/>
              </w:rPr>
              <w:fldChar w:fldCharType="separate"/>
            </w:r>
            <w:r w:rsidR="00B5238A">
              <w:rPr>
                <w:noProof/>
                <w:webHidden/>
              </w:rPr>
              <w:t>34</w:t>
            </w:r>
            <w:r w:rsidR="00926794" w:rsidRPr="00926794">
              <w:rPr>
                <w:noProof/>
                <w:webHidden/>
              </w:rPr>
              <w:fldChar w:fldCharType="end"/>
            </w:r>
          </w:hyperlink>
        </w:p>
        <w:p w14:paraId="41498280" w14:textId="682510F3" w:rsidR="00926794" w:rsidRPr="00926794" w:rsidRDefault="005D4F7E">
          <w:pPr>
            <w:pStyle w:val="TOC1"/>
            <w:rPr>
              <w:noProof/>
              <w:sz w:val="22"/>
              <w:szCs w:val="22"/>
            </w:rPr>
          </w:pPr>
          <w:hyperlink w:anchor="_Toc494815289" w:history="1">
            <w:r w:rsidR="00926794" w:rsidRPr="00926794">
              <w:rPr>
                <w:rStyle w:val="Hyperlink"/>
                <w:noProof/>
              </w:rPr>
              <w:t>A.12.  Estimates of Annualized Burden Hours and Costs</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_Toc494815289 \h </w:instrText>
            </w:r>
            <w:r w:rsidR="00926794" w:rsidRPr="00926794">
              <w:rPr>
                <w:noProof/>
                <w:webHidden/>
              </w:rPr>
            </w:r>
            <w:r w:rsidR="00926794" w:rsidRPr="00926794">
              <w:rPr>
                <w:noProof/>
                <w:webHidden/>
              </w:rPr>
              <w:fldChar w:fldCharType="separate"/>
            </w:r>
            <w:r w:rsidR="00B5238A">
              <w:rPr>
                <w:noProof/>
                <w:webHidden/>
              </w:rPr>
              <w:t>35</w:t>
            </w:r>
            <w:r w:rsidR="00926794" w:rsidRPr="00926794">
              <w:rPr>
                <w:noProof/>
                <w:webHidden/>
              </w:rPr>
              <w:fldChar w:fldCharType="end"/>
            </w:r>
          </w:hyperlink>
        </w:p>
        <w:p w14:paraId="3C2051ED" w14:textId="62E95BAA" w:rsidR="00926794" w:rsidRPr="00926794" w:rsidRDefault="005D4F7E">
          <w:pPr>
            <w:pStyle w:val="TOC1"/>
            <w:rPr>
              <w:noProof/>
              <w:sz w:val="22"/>
              <w:szCs w:val="22"/>
            </w:rPr>
          </w:pPr>
          <w:hyperlink w:anchor="_Toc494815290" w:history="1">
            <w:r w:rsidR="00926794" w:rsidRPr="00926794">
              <w:rPr>
                <w:rStyle w:val="Hyperlink"/>
                <w:noProof/>
              </w:rPr>
              <w:t>A.13.  Estimates of Other Total Annual Cost Burden to Respondents and Record Keepers</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_Toc494815290 \h </w:instrText>
            </w:r>
            <w:r w:rsidR="00926794" w:rsidRPr="00926794">
              <w:rPr>
                <w:noProof/>
                <w:webHidden/>
              </w:rPr>
            </w:r>
            <w:r w:rsidR="00926794" w:rsidRPr="00926794">
              <w:rPr>
                <w:noProof/>
                <w:webHidden/>
              </w:rPr>
              <w:fldChar w:fldCharType="separate"/>
            </w:r>
            <w:r w:rsidR="00B5238A">
              <w:rPr>
                <w:noProof/>
                <w:webHidden/>
              </w:rPr>
              <w:t>37</w:t>
            </w:r>
            <w:r w:rsidR="00926794" w:rsidRPr="00926794">
              <w:rPr>
                <w:noProof/>
                <w:webHidden/>
              </w:rPr>
              <w:fldChar w:fldCharType="end"/>
            </w:r>
          </w:hyperlink>
        </w:p>
        <w:p w14:paraId="3EF3BA61" w14:textId="02F6A926" w:rsidR="00926794" w:rsidRPr="00926794" w:rsidRDefault="005D4F7E">
          <w:pPr>
            <w:pStyle w:val="TOC1"/>
            <w:rPr>
              <w:noProof/>
              <w:sz w:val="22"/>
              <w:szCs w:val="22"/>
            </w:rPr>
          </w:pPr>
          <w:hyperlink w:anchor="_Toc494815291" w:history="1">
            <w:r w:rsidR="00926794" w:rsidRPr="00926794">
              <w:rPr>
                <w:rStyle w:val="Hyperlink"/>
                <w:noProof/>
              </w:rPr>
              <w:t>A.14.  Annualized Cost to the Federal Government</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_Toc494815291 \h </w:instrText>
            </w:r>
            <w:r w:rsidR="00926794" w:rsidRPr="00926794">
              <w:rPr>
                <w:noProof/>
                <w:webHidden/>
              </w:rPr>
            </w:r>
            <w:r w:rsidR="00926794" w:rsidRPr="00926794">
              <w:rPr>
                <w:noProof/>
                <w:webHidden/>
              </w:rPr>
              <w:fldChar w:fldCharType="separate"/>
            </w:r>
            <w:r w:rsidR="00B5238A">
              <w:rPr>
                <w:noProof/>
                <w:webHidden/>
              </w:rPr>
              <w:t>38</w:t>
            </w:r>
            <w:r w:rsidR="00926794" w:rsidRPr="00926794">
              <w:rPr>
                <w:noProof/>
                <w:webHidden/>
              </w:rPr>
              <w:fldChar w:fldCharType="end"/>
            </w:r>
          </w:hyperlink>
        </w:p>
        <w:p w14:paraId="2741E771" w14:textId="315C3C05" w:rsidR="00926794" w:rsidRPr="00926794" w:rsidRDefault="005D4F7E">
          <w:pPr>
            <w:pStyle w:val="TOC1"/>
            <w:rPr>
              <w:noProof/>
              <w:sz w:val="22"/>
              <w:szCs w:val="22"/>
            </w:rPr>
          </w:pPr>
          <w:hyperlink w:anchor="_Toc494815292" w:history="1">
            <w:r w:rsidR="00926794" w:rsidRPr="00926794">
              <w:rPr>
                <w:rStyle w:val="Hyperlink"/>
                <w:noProof/>
              </w:rPr>
              <w:t>A.15.  Explanation for Program Changes or Adjustments</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_Toc494815292 \h </w:instrText>
            </w:r>
            <w:r w:rsidR="00926794" w:rsidRPr="00926794">
              <w:rPr>
                <w:noProof/>
                <w:webHidden/>
              </w:rPr>
            </w:r>
            <w:r w:rsidR="00926794" w:rsidRPr="00926794">
              <w:rPr>
                <w:noProof/>
                <w:webHidden/>
              </w:rPr>
              <w:fldChar w:fldCharType="separate"/>
            </w:r>
            <w:r w:rsidR="00B5238A">
              <w:rPr>
                <w:noProof/>
                <w:webHidden/>
              </w:rPr>
              <w:t>39</w:t>
            </w:r>
            <w:r w:rsidR="00926794" w:rsidRPr="00926794">
              <w:rPr>
                <w:noProof/>
                <w:webHidden/>
              </w:rPr>
              <w:fldChar w:fldCharType="end"/>
            </w:r>
          </w:hyperlink>
        </w:p>
        <w:p w14:paraId="2658A97A" w14:textId="11FF4A25" w:rsidR="00926794" w:rsidRPr="00926794" w:rsidRDefault="005D4F7E">
          <w:pPr>
            <w:pStyle w:val="TOC1"/>
            <w:rPr>
              <w:noProof/>
              <w:sz w:val="22"/>
              <w:szCs w:val="22"/>
            </w:rPr>
          </w:pPr>
          <w:hyperlink w:anchor="_Toc494815293" w:history="1">
            <w:r w:rsidR="00926794" w:rsidRPr="00926794">
              <w:rPr>
                <w:rStyle w:val="Hyperlink"/>
                <w:noProof/>
              </w:rPr>
              <w:t>A.16.  Plans for Tabulation and Publication and Project Time Schedule</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_Toc494815293 \h </w:instrText>
            </w:r>
            <w:r w:rsidR="00926794" w:rsidRPr="00926794">
              <w:rPr>
                <w:noProof/>
                <w:webHidden/>
              </w:rPr>
            </w:r>
            <w:r w:rsidR="00926794" w:rsidRPr="00926794">
              <w:rPr>
                <w:noProof/>
                <w:webHidden/>
              </w:rPr>
              <w:fldChar w:fldCharType="separate"/>
            </w:r>
            <w:r w:rsidR="00B5238A">
              <w:rPr>
                <w:noProof/>
                <w:webHidden/>
              </w:rPr>
              <w:t>41</w:t>
            </w:r>
            <w:r w:rsidR="00926794" w:rsidRPr="00926794">
              <w:rPr>
                <w:noProof/>
                <w:webHidden/>
              </w:rPr>
              <w:fldChar w:fldCharType="end"/>
            </w:r>
          </w:hyperlink>
        </w:p>
        <w:p w14:paraId="326A757A" w14:textId="7936F099" w:rsidR="00926794" w:rsidRPr="00926794" w:rsidRDefault="005D4F7E">
          <w:pPr>
            <w:pStyle w:val="TOC1"/>
            <w:rPr>
              <w:noProof/>
              <w:sz w:val="22"/>
              <w:szCs w:val="22"/>
            </w:rPr>
          </w:pPr>
          <w:hyperlink w:anchor="_Toc494815294" w:history="1">
            <w:r w:rsidR="00926794" w:rsidRPr="00926794">
              <w:rPr>
                <w:rStyle w:val="Hyperlink"/>
                <w:noProof/>
              </w:rPr>
              <w:t>A.17.  Reason(s) Display of OMB Expiration Date is Inappropriate</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_Toc494815294 \h </w:instrText>
            </w:r>
            <w:r w:rsidR="00926794" w:rsidRPr="00926794">
              <w:rPr>
                <w:noProof/>
                <w:webHidden/>
              </w:rPr>
            </w:r>
            <w:r w:rsidR="00926794" w:rsidRPr="00926794">
              <w:rPr>
                <w:noProof/>
                <w:webHidden/>
              </w:rPr>
              <w:fldChar w:fldCharType="separate"/>
            </w:r>
            <w:r w:rsidR="00B5238A">
              <w:rPr>
                <w:noProof/>
                <w:webHidden/>
              </w:rPr>
              <w:t>43</w:t>
            </w:r>
            <w:r w:rsidR="00926794" w:rsidRPr="00926794">
              <w:rPr>
                <w:noProof/>
                <w:webHidden/>
              </w:rPr>
              <w:fldChar w:fldCharType="end"/>
            </w:r>
          </w:hyperlink>
        </w:p>
        <w:p w14:paraId="3929A017" w14:textId="15E9AEAA" w:rsidR="00926794" w:rsidRPr="00926794" w:rsidRDefault="005D4F7E">
          <w:pPr>
            <w:pStyle w:val="TOC1"/>
            <w:rPr>
              <w:noProof/>
              <w:sz w:val="22"/>
              <w:szCs w:val="22"/>
            </w:rPr>
          </w:pPr>
          <w:hyperlink w:anchor="_Toc494815295" w:history="1">
            <w:r w:rsidR="00926794" w:rsidRPr="00926794">
              <w:rPr>
                <w:rStyle w:val="Hyperlink"/>
                <w:noProof/>
              </w:rPr>
              <w:t>A.18.  Exceptions to Certification for Paperwork Reduction Act Submissions</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_Toc494815295 \h </w:instrText>
            </w:r>
            <w:r w:rsidR="00926794" w:rsidRPr="00926794">
              <w:rPr>
                <w:noProof/>
                <w:webHidden/>
              </w:rPr>
            </w:r>
            <w:r w:rsidR="00926794" w:rsidRPr="00926794">
              <w:rPr>
                <w:noProof/>
                <w:webHidden/>
              </w:rPr>
              <w:fldChar w:fldCharType="separate"/>
            </w:r>
            <w:r w:rsidR="00B5238A">
              <w:rPr>
                <w:noProof/>
                <w:webHidden/>
              </w:rPr>
              <w:t>43</w:t>
            </w:r>
            <w:r w:rsidR="00926794" w:rsidRPr="00926794">
              <w:rPr>
                <w:noProof/>
                <w:webHidden/>
              </w:rPr>
              <w:fldChar w:fldCharType="end"/>
            </w:r>
          </w:hyperlink>
        </w:p>
        <w:p w14:paraId="0CEF52DF" w14:textId="32493BAA" w:rsidR="00926794" w:rsidRPr="00926794" w:rsidRDefault="005D4F7E">
          <w:pPr>
            <w:pStyle w:val="TOC1"/>
            <w:rPr>
              <w:noProof/>
              <w:sz w:val="22"/>
              <w:szCs w:val="22"/>
            </w:rPr>
          </w:pPr>
          <w:hyperlink w:anchor="_Toc494815296" w:history="1">
            <w:r w:rsidR="00926794" w:rsidRPr="00926794">
              <w:rPr>
                <w:rStyle w:val="Hyperlink"/>
                <w:noProof/>
              </w:rPr>
              <w:t>References</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_Toc494815296 \h </w:instrText>
            </w:r>
            <w:r w:rsidR="00926794" w:rsidRPr="00926794">
              <w:rPr>
                <w:noProof/>
                <w:webHidden/>
              </w:rPr>
            </w:r>
            <w:r w:rsidR="00926794" w:rsidRPr="00926794">
              <w:rPr>
                <w:noProof/>
                <w:webHidden/>
              </w:rPr>
              <w:fldChar w:fldCharType="separate"/>
            </w:r>
            <w:r w:rsidR="00B5238A">
              <w:rPr>
                <w:noProof/>
                <w:webHidden/>
              </w:rPr>
              <w:t>44</w:t>
            </w:r>
            <w:r w:rsidR="00926794" w:rsidRPr="00926794">
              <w:rPr>
                <w:noProof/>
                <w:webHidden/>
              </w:rPr>
              <w:fldChar w:fldCharType="end"/>
            </w:r>
          </w:hyperlink>
        </w:p>
        <w:p w14:paraId="544AF78C" w14:textId="362BBEE3" w:rsidR="00926794" w:rsidRDefault="005D4F7E">
          <w:pPr>
            <w:pStyle w:val="TOC1"/>
            <w:rPr>
              <w:noProof/>
              <w:sz w:val="22"/>
              <w:szCs w:val="22"/>
            </w:rPr>
          </w:pPr>
          <w:hyperlink w:anchor="_Toc494815297" w:history="1">
            <w:r w:rsidR="00926794" w:rsidRPr="000A0A0F">
              <w:rPr>
                <w:rStyle w:val="Hyperlink"/>
                <w:noProof/>
              </w:rPr>
              <w:t>List of Attachments</w:t>
            </w:r>
            <w:r w:rsidR="00926794" w:rsidRPr="00926794">
              <w:rPr>
                <w:noProof/>
                <w:webHidden/>
              </w:rPr>
              <w:tab/>
            </w:r>
            <w:r w:rsidR="00926794" w:rsidRPr="00926794">
              <w:rPr>
                <w:noProof/>
                <w:webHidden/>
              </w:rPr>
              <w:fldChar w:fldCharType="begin"/>
            </w:r>
            <w:r w:rsidR="00926794" w:rsidRPr="00926794">
              <w:rPr>
                <w:noProof/>
                <w:webHidden/>
              </w:rPr>
              <w:instrText xml:space="preserve"> PAGEREF _Toc494815297 \h </w:instrText>
            </w:r>
            <w:r w:rsidR="00926794" w:rsidRPr="00926794">
              <w:rPr>
                <w:noProof/>
                <w:webHidden/>
              </w:rPr>
            </w:r>
            <w:r w:rsidR="00926794" w:rsidRPr="00926794">
              <w:rPr>
                <w:noProof/>
                <w:webHidden/>
              </w:rPr>
              <w:fldChar w:fldCharType="separate"/>
            </w:r>
            <w:r w:rsidR="00B5238A">
              <w:rPr>
                <w:noProof/>
                <w:webHidden/>
              </w:rPr>
              <w:t>51</w:t>
            </w:r>
            <w:r w:rsidR="00926794" w:rsidRPr="00926794">
              <w:rPr>
                <w:noProof/>
                <w:webHidden/>
              </w:rPr>
              <w:fldChar w:fldCharType="end"/>
            </w:r>
          </w:hyperlink>
        </w:p>
        <w:p w14:paraId="032A377A" w14:textId="5EA69E8F" w:rsidR="009B765E" w:rsidRPr="005D19AC" w:rsidRDefault="009B765E">
          <w:r w:rsidRPr="005D19AC">
            <w:rPr>
              <w:b/>
              <w:bCs/>
              <w:noProof/>
            </w:rPr>
            <w:fldChar w:fldCharType="end"/>
          </w:r>
        </w:p>
      </w:sdtContent>
    </w:sdt>
    <w:p w14:paraId="031BBD7F" w14:textId="77777777" w:rsidR="00BA2DBE" w:rsidRPr="00D74E8E" w:rsidRDefault="00BA2DBE">
      <w:pPr>
        <w:spacing w:after="200" w:line="276" w:lineRule="auto"/>
        <w:rPr>
          <w:rFonts w:eastAsiaTheme="majorEastAsia" w:cs="Arial"/>
          <w:b/>
          <w:bCs/>
          <w:sz w:val="26"/>
          <w:szCs w:val="26"/>
        </w:rPr>
      </w:pPr>
    </w:p>
    <w:bookmarkEnd w:id="0"/>
    <w:bookmarkEnd w:id="1"/>
    <w:p w14:paraId="5A416702" w14:textId="77777777" w:rsidR="00480FC6" w:rsidRPr="00D74E8E" w:rsidRDefault="00480FC6">
      <w:r w:rsidRPr="00D74E8E">
        <w:br w:type="page"/>
      </w:r>
    </w:p>
    <w:p w14:paraId="7F1919E5" w14:textId="77777777" w:rsidR="00D062BC" w:rsidRPr="00D74E8E" w:rsidRDefault="00D062BC" w:rsidP="00EE7CF9">
      <w:pPr>
        <w:pBdr>
          <w:bottom w:val="single" w:sz="4" w:space="1" w:color="auto"/>
        </w:pBdr>
        <w:rPr>
          <w:rFonts w:asciiTheme="majorHAnsi" w:hAnsiTheme="majorHAnsi"/>
          <w:sz w:val="36"/>
          <w:szCs w:val="36"/>
        </w:rPr>
        <w:sectPr w:rsidR="00D062BC" w:rsidRPr="00D74E8E" w:rsidSect="00A93264">
          <w:footerReference w:type="default" r:id="rId9"/>
          <w:type w:val="continuous"/>
          <w:pgSz w:w="12240" w:h="15840" w:code="1"/>
          <w:pgMar w:top="1440" w:right="1440" w:bottom="1440" w:left="1440" w:header="720" w:footer="720" w:gutter="0"/>
          <w:cols w:space="720"/>
          <w:docGrid w:linePitch="360"/>
        </w:sectPr>
      </w:pPr>
    </w:p>
    <w:p w14:paraId="15DFC48F" w14:textId="75E22101" w:rsidR="0024399D" w:rsidRPr="00D74E8E" w:rsidRDefault="0024399D" w:rsidP="00EE7CF9">
      <w:pPr>
        <w:pBdr>
          <w:bottom w:val="single" w:sz="4" w:space="1" w:color="auto"/>
        </w:pBdr>
        <w:rPr>
          <w:rFonts w:asciiTheme="majorHAnsi" w:hAnsiTheme="majorHAnsi"/>
          <w:sz w:val="36"/>
          <w:szCs w:val="36"/>
        </w:rPr>
      </w:pPr>
      <w:r w:rsidRPr="00D74E8E">
        <w:rPr>
          <w:rFonts w:asciiTheme="majorHAnsi" w:hAnsiTheme="majorHAnsi"/>
          <w:noProof/>
          <w:sz w:val="36"/>
          <w:szCs w:val="36"/>
        </w:rPr>
        <w:lastRenderedPageBreak/>
        <mc:AlternateContent>
          <mc:Choice Requires="wps">
            <w:drawing>
              <wp:anchor distT="45720" distB="45720" distL="114300" distR="114300" simplePos="0" relativeHeight="251659264" behindDoc="0" locked="0" layoutInCell="1" allowOverlap="1" wp14:anchorId="33E3FF57" wp14:editId="05F254DC">
                <wp:simplePos x="0" y="0"/>
                <wp:positionH relativeFrom="margin">
                  <wp:posOffset>0</wp:posOffset>
                </wp:positionH>
                <wp:positionV relativeFrom="paragraph">
                  <wp:posOffset>479254</wp:posOffset>
                </wp:positionV>
                <wp:extent cx="5930900" cy="7656394"/>
                <wp:effectExtent l="0" t="0" r="1270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7656394"/>
                        </a:xfrm>
                        <a:prstGeom prst="rect">
                          <a:avLst/>
                        </a:prstGeom>
                        <a:solidFill>
                          <a:srgbClr val="FFFFFF"/>
                        </a:solidFill>
                        <a:ln w="9525">
                          <a:solidFill>
                            <a:srgbClr val="000000"/>
                          </a:solidFill>
                          <a:miter lim="800000"/>
                          <a:headEnd/>
                          <a:tailEnd/>
                        </a:ln>
                      </wps:spPr>
                      <wps:txbx>
                        <w:txbxContent>
                          <w:p w14:paraId="44845CEB" w14:textId="110E1311" w:rsidR="00D271EF" w:rsidRPr="003621A6" w:rsidRDefault="00D271EF" w:rsidP="004B49F4">
                            <w:pPr>
                              <w:spacing w:line="240" w:lineRule="auto"/>
                              <w:rPr>
                                <w:rFonts w:eastAsiaTheme="minorHAnsi" w:cs="Courier New"/>
                                <w:sz w:val="22"/>
                                <w:szCs w:val="22"/>
                              </w:rPr>
                            </w:pPr>
                            <w:r w:rsidRPr="0089033D">
                              <w:rPr>
                                <w:b/>
                                <w:sz w:val="22"/>
                                <w:szCs w:val="22"/>
                              </w:rPr>
                              <w:t xml:space="preserve">Goal of the information collection: </w:t>
                            </w:r>
                            <w:r w:rsidRPr="0089033D">
                              <w:rPr>
                                <w:rFonts w:eastAsiaTheme="minorHAnsi" w:cs="Courier New"/>
                                <w:sz w:val="22"/>
                                <w:szCs w:val="22"/>
                              </w:rPr>
                              <w:t xml:space="preserve">The goal of the National Center for Environmental Health (NCEH) Childhood Blood Lead Surveillance (CBLS) Program is to promote primary prevention of exposure to lead in children, and, as a secondary prevention strategy, to prevent adverse health effects when lead exposures occur in children, through improved program management and oversight in respondent jurisdictions. The goal of the National Institute for Occupational Safety and Health (NIOSH) Adult Blood Lead Epidemiology and Surveillance (ABLES) Program </w:t>
                            </w:r>
                            <w:r w:rsidRPr="00D9054A">
                              <w:rPr>
                                <w:sz w:val="22"/>
                                <w:szCs w:val="22"/>
                              </w:rPr>
                              <w:t>is to build state capacity for adult blood lead surveillance programs to measure trends in adult blood lead levels and to prevent lead over-exposures.</w:t>
                            </w:r>
                            <w:r w:rsidRPr="0089033D">
                              <w:rPr>
                                <w:rFonts w:eastAsiaTheme="minorHAnsi" w:cs="Courier New"/>
                                <w:sz w:val="22"/>
                                <w:szCs w:val="22"/>
                              </w:rPr>
                              <w:t xml:space="preserve"> </w:t>
                            </w:r>
                            <w:r w:rsidRPr="0089033D">
                              <w:rPr>
                                <w:sz w:val="22"/>
                                <w:szCs w:val="22"/>
                              </w:rPr>
                              <w:t>Together,</w:t>
                            </w:r>
                            <w:r w:rsidRPr="00DF7F65">
                              <w:rPr>
                                <w:b/>
                                <w:sz w:val="22"/>
                                <w:szCs w:val="22"/>
                              </w:rPr>
                              <w:t xml:space="preserve"> </w:t>
                            </w:r>
                            <w:r w:rsidRPr="00DF7F65">
                              <w:rPr>
                                <w:rFonts w:eastAsiaTheme="minorHAnsi" w:cs="Courier New"/>
                                <w:sz w:val="22"/>
                                <w:szCs w:val="22"/>
                              </w:rPr>
                              <w:t>CBLS and ABLES offer a coordinated, comprehensive, and systematic public health approach to el</w:t>
                            </w:r>
                            <w:r w:rsidRPr="003621A6">
                              <w:rPr>
                                <w:rFonts w:eastAsiaTheme="minorHAnsi" w:cs="Courier New"/>
                                <w:sz w:val="22"/>
                                <w:szCs w:val="22"/>
                              </w:rPr>
                              <w:t>iminate lead poisoning over the United States (U</w:t>
                            </w:r>
                            <w:r w:rsidR="0034652E">
                              <w:rPr>
                                <w:rFonts w:eastAsiaTheme="minorHAnsi" w:cs="Courier New"/>
                                <w:sz w:val="22"/>
                                <w:szCs w:val="22"/>
                              </w:rPr>
                              <w:t>.</w:t>
                            </w:r>
                            <w:r w:rsidRPr="003621A6">
                              <w:rPr>
                                <w:rFonts w:eastAsiaTheme="minorHAnsi" w:cs="Courier New"/>
                                <w:sz w:val="22"/>
                                <w:szCs w:val="22"/>
                              </w:rPr>
                              <w:t>S</w:t>
                            </w:r>
                            <w:r w:rsidR="0034652E">
                              <w:rPr>
                                <w:rFonts w:eastAsiaTheme="minorHAnsi" w:cs="Courier New"/>
                                <w:sz w:val="22"/>
                                <w:szCs w:val="22"/>
                              </w:rPr>
                              <w:t>.</w:t>
                            </w:r>
                            <w:r w:rsidRPr="003621A6">
                              <w:rPr>
                                <w:rFonts w:eastAsiaTheme="minorHAnsi" w:cs="Courier New"/>
                                <w:sz w:val="22"/>
                                <w:szCs w:val="22"/>
                              </w:rPr>
                              <w:t>) population lifespan.</w:t>
                            </w:r>
                          </w:p>
                          <w:p w14:paraId="24ED7B57" w14:textId="119FEB7D" w:rsidR="00D271EF" w:rsidRPr="0089033D" w:rsidRDefault="00D271EF" w:rsidP="004B49F4">
                            <w:pPr>
                              <w:spacing w:after="0" w:line="240" w:lineRule="auto"/>
                              <w:rPr>
                                <w:rFonts w:cs="Times New Roman"/>
                                <w:sz w:val="22"/>
                                <w:szCs w:val="22"/>
                              </w:rPr>
                            </w:pPr>
                            <w:r w:rsidRPr="0089033D">
                              <w:rPr>
                                <w:b/>
                                <w:sz w:val="22"/>
                                <w:szCs w:val="22"/>
                              </w:rPr>
                              <w:t xml:space="preserve">Intended use of the resulting data: </w:t>
                            </w:r>
                            <w:r w:rsidRPr="0089033D">
                              <w:rPr>
                                <w:rFonts w:cs="Times New Roman"/>
                                <w:iCs/>
                                <w:sz w:val="22"/>
                                <w:szCs w:val="22"/>
                              </w:rPr>
                              <w:t xml:space="preserve"> Through a new Fiscal Year 2017 (FY17) program announcement, NCEH will promote primary prevention activities and will support secondary prevention activities, including childhood blood lead testing, surveillance, and targeted population-based interventions.</w:t>
                            </w:r>
                          </w:p>
                          <w:p w14:paraId="03A5C6DC" w14:textId="73835994" w:rsidR="00D271EF" w:rsidRPr="001957F2" w:rsidRDefault="00D271EF" w:rsidP="004B49F4">
                            <w:pPr>
                              <w:spacing w:after="0" w:line="240" w:lineRule="auto"/>
                              <w:rPr>
                                <w:sz w:val="22"/>
                                <w:szCs w:val="22"/>
                              </w:rPr>
                            </w:pPr>
                            <w:r w:rsidRPr="00D9054A">
                              <w:rPr>
                                <w:sz w:val="22"/>
                                <w:szCs w:val="22"/>
                              </w:rPr>
                              <w:t>The NIOSH ABLES Program is a state-based surveillance program of laboratory-reported adult blood lead levels. The program objective is to build state capacity to initiate, expand, or improve adult blood lead surveillance programs which can accurately measure trends in adult blood lead levels and which can effectively intervene to prevent lead over-exposures.</w:t>
                            </w:r>
                            <w:r>
                              <w:rPr>
                                <w:sz w:val="22"/>
                                <w:szCs w:val="22"/>
                              </w:rPr>
                              <w:t xml:space="preserve"> By combining the data collected from these two programs, CDC will be better able to </w:t>
                            </w:r>
                            <w:r w:rsidRPr="001957F2">
                              <w:rPr>
                                <w:sz w:val="22"/>
                                <w:szCs w:val="22"/>
                              </w:rPr>
                              <w:t>identify and intervene for both ch</w:t>
                            </w:r>
                            <w:r>
                              <w:rPr>
                                <w:sz w:val="22"/>
                                <w:szCs w:val="22"/>
                              </w:rPr>
                              <w:t>ildhood and adult lead exposure.</w:t>
                            </w:r>
                          </w:p>
                          <w:p w14:paraId="182D8562" w14:textId="61CF5364" w:rsidR="00D271EF" w:rsidRPr="0089033D" w:rsidRDefault="00D271EF" w:rsidP="005C6643">
                            <w:pPr>
                              <w:spacing w:before="240" w:line="240" w:lineRule="auto"/>
                              <w:rPr>
                                <w:sz w:val="22"/>
                                <w:szCs w:val="22"/>
                              </w:rPr>
                            </w:pPr>
                            <w:r w:rsidRPr="0089033D">
                              <w:rPr>
                                <w:b/>
                                <w:sz w:val="22"/>
                                <w:szCs w:val="22"/>
                              </w:rPr>
                              <w:t xml:space="preserve">Methods to be used to collect: </w:t>
                            </w:r>
                            <w:r w:rsidRPr="00DF7F65">
                              <w:rPr>
                                <w:sz w:val="22"/>
                                <w:szCs w:val="22"/>
                              </w:rPr>
                              <w:t>NCEH partners will submit standardized childhood lead screening data on a quarterly basis via a secure encrypted file transfer protocol (FTP) site. NCEH staff transfer the quarterly data into the Childhood Blood Lead Surveillance (CBLS) system for proce</w:t>
                            </w:r>
                            <w:r w:rsidRPr="003621A6">
                              <w:rPr>
                                <w:sz w:val="22"/>
                                <w:szCs w:val="22"/>
                              </w:rPr>
                              <w:t>ssing, dissemination, and results reporting.</w:t>
                            </w:r>
                            <w:r>
                              <w:rPr>
                                <w:sz w:val="22"/>
                                <w:szCs w:val="22"/>
                              </w:rPr>
                              <w:t xml:space="preserve">  </w:t>
                            </w:r>
                            <w:r w:rsidRPr="0089033D">
                              <w:rPr>
                                <w:sz w:val="22"/>
                                <w:szCs w:val="22"/>
                              </w:rPr>
                              <w:t>For the NIOSH ABLES Program, partners will submit adult blood lead data on an annual basis through secure email attachments, secure web accounts, or secure encrypted FTP sites. Eventually, all ABLES partners will submit data through secure encrypted FTP sites. Data will be stored on secure CDC network drives.  The ABLES Program may request additional information from partners for data cleaning, management, analysis, or reporting purposes.</w:t>
                            </w:r>
                          </w:p>
                          <w:p w14:paraId="5E266301" w14:textId="5F3D971F" w:rsidR="00D271EF" w:rsidRPr="0089033D" w:rsidRDefault="00D271EF" w:rsidP="008C46E9">
                            <w:pPr>
                              <w:spacing w:before="240" w:line="240" w:lineRule="auto"/>
                              <w:rPr>
                                <w:sz w:val="22"/>
                                <w:szCs w:val="22"/>
                              </w:rPr>
                            </w:pPr>
                            <w:r w:rsidRPr="0089033D">
                              <w:rPr>
                                <w:b/>
                                <w:sz w:val="22"/>
                                <w:szCs w:val="22"/>
                              </w:rPr>
                              <w:t xml:space="preserve">Subpopulation of interest: </w:t>
                            </w:r>
                            <w:r w:rsidRPr="0089033D">
                              <w:rPr>
                                <w:sz w:val="22"/>
                                <w:szCs w:val="22"/>
                              </w:rPr>
                              <w:t>The respondents will include partners at State or local public health agencies or their bona fide fiscal agents that will submit NCEH childhood (n=48) and NIOSH adult blood lead surveillance data (n=40).</w:t>
                            </w:r>
                            <w:r>
                              <w:rPr>
                                <w:sz w:val="22"/>
                                <w:szCs w:val="22"/>
                              </w:rPr>
                              <w:t xml:space="preserve"> </w:t>
                            </w:r>
                            <w:r w:rsidRPr="0089033D">
                              <w:rPr>
                                <w:sz w:val="22"/>
                                <w:szCs w:val="22"/>
                              </w:rPr>
                              <w:t xml:space="preserve">The CBLS is designed for blood lead surveillance among children under 16 years of age. The majority of the NCEH respondent activities focus on lead poisoning prevention among children, less than 6 years of age (more specifically defined as less than 72 months). </w:t>
                            </w:r>
                            <w:r>
                              <w:rPr>
                                <w:sz w:val="22"/>
                                <w:szCs w:val="22"/>
                              </w:rPr>
                              <w:t xml:space="preserve"> </w:t>
                            </w:r>
                            <w:r w:rsidRPr="0089033D">
                              <w:rPr>
                                <w:sz w:val="22"/>
                                <w:szCs w:val="22"/>
                              </w:rPr>
                              <w:t xml:space="preserve">The NIOSH ABLES collection includes adults, 16 years of age or over. About 95% of adults with elevated blood lead levels are occupational when the exposure source is known. </w:t>
                            </w:r>
                            <w:r>
                              <w:rPr>
                                <w:sz w:val="22"/>
                                <w:szCs w:val="22"/>
                              </w:rPr>
                              <w:t>O</w:t>
                            </w:r>
                            <w:r w:rsidRPr="00ED565C">
                              <w:rPr>
                                <w:sz w:val="22"/>
                                <w:szCs w:val="22"/>
                              </w:rPr>
                              <w:t xml:space="preserve">ccupational exposures may affect child lead exposure in several ways including: take-home </w:t>
                            </w:r>
                            <w:r>
                              <w:rPr>
                                <w:sz w:val="22"/>
                                <w:szCs w:val="22"/>
                              </w:rPr>
                              <w:t xml:space="preserve">(e.g., dust or residual) </w:t>
                            </w:r>
                            <w:r w:rsidRPr="00ED565C">
                              <w:rPr>
                                <w:sz w:val="22"/>
                                <w:szCs w:val="22"/>
                              </w:rPr>
                              <w:t>exposures from parents employed in lead</w:t>
                            </w:r>
                            <w:r>
                              <w:rPr>
                                <w:sz w:val="22"/>
                                <w:szCs w:val="22"/>
                              </w:rPr>
                              <w:t>-related</w:t>
                            </w:r>
                            <w:r w:rsidRPr="00ED565C">
                              <w:rPr>
                                <w:sz w:val="22"/>
                                <w:szCs w:val="22"/>
                              </w:rPr>
                              <w:t xml:space="preserve"> industries; pregnant and breastfeeding women who are employed in lead</w:t>
                            </w:r>
                            <w:r>
                              <w:rPr>
                                <w:sz w:val="22"/>
                                <w:szCs w:val="22"/>
                              </w:rPr>
                              <w:t>-related</w:t>
                            </w:r>
                            <w:r w:rsidRPr="00ED565C">
                              <w:rPr>
                                <w:sz w:val="22"/>
                                <w:szCs w:val="22"/>
                              </w:rPr>
                              <w:t xml:space="preserve"> industries</w:t>
                            </w:r>
                            <w:r>
                              <w:rPr>
                                <w:sz w:val="22"/>
                                <w:szCs w:val="22"/>
                              </w:rPr>
                              <w:t xml:space="preserve"> may pass exposure to unborn baby or breastfeeding infant</w:t>
                            </w:r>
                            <w:r w:rsidRPr="00ED565C">
                              <w:rPr>
                                <w:sz w:val="22"/>
                                <w:szCs w:val="22"/>
                              </w:rPr>
                              <w:t>; and older children employed on a part-time or full-time basis in work that may involve lead (e.g., construction, commercial fishing).</w:t>
                            </w:r>
                          </w:p>
                          <w:p w14:paraId="01B10897" w14:textId="4C53BAD0" w:rsidR="00D271EF" w:rsidRPr="0089033D" w:rsidRDefault="00D271EF" w:rsidP="008C46E9">
                            <w:pPr>
                              <w:spacing w:before="240" w:line="240" w:lineRule="auto"/>
                              <w:rPr>
                                <w:sz w:val="22"/>
                                <w:szCs w:val="22"/>
                              </w:rPr>
                            </w:pPr>
                            <w:r w:rsidRPr="0089033D">
                              <w:rPr>
                                <w:b/>
                                <w:sz w:val="22"/>
                                <w:szCs w:val="22"/>
                              </w:rPr>
                              <w:t xml:space="preserve">How data will be analyzed: </w:t>
                            </w:r>
                            <w:r w:rsidRPr="0089033D">
                              <w:rPr>
                                <w:sz w:val="22"/>
                                <w:szCs w:val="22"/>
                              </w:rPr>
                              <w:t>Data will be analyzed by CDC staff to calculate descriptive statistics</w:t>
                            </w:r>
                            <w:r>
                              <w:rPr>
                                <w:sz w:val="22"/>
                                <w:szCs w:val="22"/>
                              </w:rPr>
                              <w:t xml:space="preserve"> and to explore factors that may be related to differences in exposure levels</w:t>
                            </w:r>
                            <w:r w:rsidRPr="0089033D">
                              <w:rPr>
                                <w:b/>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7.75pt;width:467pt;height:60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">
                <v:textbox>
                  <w:txbxContent>
                    <w:p w14:paraId="44845CEB" w14:textId="110E1311" w:rsidR="00D271EF" w:rsidRPr="003621A6" w:rsidRDefault="00D271EF" w:rsidP="004B49F4">
                      <w:pPr>
                        <w:spacing w:line="240" w:lineRule="auto"/>
                        <w:rPr>
                          <w:rFonts w:eastAsiaTheme="minorHAnsi" w:cs="Courier New"/>
                          <w:sz w:val="22"/>
                          <w:szCs w:val="22"/>
                        </w:rPr>
                      </w:pPr>
                      <w:r w:rsidRPr="0089033D">
                        <w:rPr>
                          <w:b/>
                          <w:sz w:val="22"/>
                          <w:szCs w:val="22"/>
                        </w:rPr>
                        <w:t xml:space="preserve">Goal of the information collection: </w:t>
                      </w:r>
                      <w:r w:rsidRPr="0089033D">
                        <w:rPr>
                          <w:rFonts w:eastAsiaTheme="minorHAnsi" w:cs="Courier New"/>
                          <w:sz w:val="22"/>
                          <w:szCs w:val="22"/>
                        </w:rPr>
                        <w:t xml:space="preserve">The goal of the National Center for Environmental Health (NCEH) Childhood Blood Lead Surveillance (CBLS) Program is to promote primary prevention of exposure to lead in children, and, as a secondary prevention strategy, to prevent adverse health effects when lead exposures occur in children, through improved program management and oversight in respondent jurisdictions. The goal of the National Institute for Occupational Safety and Health (NIOSH) Adult Blood Lead Epidemiology and Surveillance (ABLES) Program </w:t>
                      </w:r>
                      <w:r w:rsidRPr="00D9054A">
                        <w:rPr>
                          <w:sz w:val="22"/>
                          <w:szCs w:val="22"/>
                        </w:rPr>
                        <w:t>is to build state capacity for adult blood lead surveillance programs to measure trends in adult blood lead levels and to prevent lead over-exposures.</w:t>
                      </w:r>
                      <w:r w:rsidRPr="0089033D">
                        <w:rPr>
                          <w:rFonts w:eastAsiaTheme="minorHAnsi" w:cs="Courier New"/>
                          <w:sz w:val="22"/>
                          <w:szCs w:val="22"/>
                        </w:rPr>
                        <w:t xml:space="preserve"> </w:t>
                      </w:r>
                      <w:r w:rsidRPr="0089033D">
                        <w:rPr>
                          <w:sz w:val="22"/>
                          <w:szCs w:val="22"/>
                        </w:rPr>
                        <w:t>Together,</w:t>
                      </w:r>
                      <w:r w:rsidRPr="00DF7F65">
                        <w:rPr>
                          <w:b/>
                          <w:sz w:val="22"/>
                          <w:szCs w:val="22"/>
                        </w:rPr>
                        <w:t xml:space="preserve"> </w:t>
                      </w:r>
                      <w:r w:rsidRPr="00DF7F65">
                        <w:rPr>
                          <w:rFonts w:eastAsiaTheme="minorHAnsi" w:cs="Courier New"/>
                          <w:sz w:val="22"/>
                          <w:szCs w:val="22"/>
                        </w:rPr>
                        <w:t>CBLS and ABLES offer a coordinated, comprehensive, and systematic public health approach to el</w:t>
                      </w:r>
                      <w:r w:rsidRPr="003621A6">
                        <w:rPr>
                          <w:rFonts w:eastAsiaTheme="minorHAnsi" w:cs="Courier New"/>
                          <w:sz w:val="22"/>
                          <w:szCs w:val="22"/>
                        </w:rPr>
                        <w:t>iminate lead poisoning over the United States (U</w:t>
                      </w:r>
                      <w:r w:rsidR="0034652E">
                        <w:rPr>
                          <w:rFonts w:eastAsiaTheme="minorHAnsi" w:cs="Courier New"/>
                          <w:sz w:val="22"/>
                          <w:szCs w:val="22"/>
                        </w:rPr>
                        <w:t>.</w:t>
                      </w:r>
                      <w:r w:rsidRPr="003621A6">
                        <w:rPr>
                          <w:rFonts w:eastAsiaTheme="minorHAnsi" w:cs="Courier New"/>
                          <w:sz w:val="22"/>
                          <w:szCs w:val="22"/>
                        </w:rPr>
                        <w:t>S</w:t>
                      </w:r>
                      <w:r w:rsidR="0034652E">
                        <w:rPr>
                          <w:rFonts w:eastAsiaTheme="minorHAnsi" w:cs="Courier New"/>
                          <w:sz w:val="22"/>
                          <w:szCs w:val="22"/>
                        </w:rPr>
                        <w:t>.</w:t>
                      </w:r>
                      <w:r w:rsidRPr="003621A6">
                        <w:rPr>
                          <w:rFonts w:eastAsiaTheme="minorHAnsi" w:cs="Courier New"/>
                          <w:sz w:val="22"/>
                          <w:szCs w:val="22"/>
                        </w:rPr>
                        <w:t>) population lifespan.</w:t>
                      </w:r>
                    </w:p>
                    <w:p w14:paraId="24ED7B57" w14:textId="119FEB7D" w:rsidR="00D271EF" w:rsidRPr="0089033D" w:rsidRDefault="00D271EF" w:rsidP="004B49F4">
                      <w:pPr>
                        <w:spacing w:after="0" w:line="240" w:lineRule="auto"/>
                        <w:rPr>
                          <w:rFonts w:cs="Times New Roman"/>
                          <w:sz w:val="22"/>
                          <w:szCs w:val="22"/>
                        </w:rPr>
                      </w:pPr>
                      <w:r w:rsidRPr="0089033D">
                        <w:rPr>
                          <w:b/>
                          <w:sz w:val="22"/>
                          <w:szCs w:val="22"/>
                        </w:rPr>
                        <w:t xml:space="preserve">Intended use of the resulting data: </w:t>
                      </w:r>
                      <w:r w:rsidRPr="0089033D">
                        <w:rPr>
                          <w:rFonts w:cs="Times New Roman"/>
                          <w:iCs/>
                          <w:sz w:val="22"/>
                          <w:szCs w:val="22"/>
                        </w:rPr>
                        <w:t xml:space="preserve"> Through a new Fiscal Year 2017 (FY17) program announcement, NCEH will promote primary prevention activities and will support secondary prevention activities, including childhood blood lead testing, surveillance, and targeted population-based interventions.</w:t>
                      </w:r>
                    </w:p>
                    <w:p w14:paraId="03A5C6DC" w14:textId="73835994" w:rsidR="00D271EF" w:rsidRPr="001957F2" w:rsidRDefault="00D271EF" w:rsidP="004B49F4">
                      <w:pPr>
                        <w:spacing w:after="0" w:line="240" w:lineRule="auto"/>
                        <w:rPr>
                          <w:sz w:val="22"/>
                          <w:szCs w:val="22"/>
                        </w:rPr>
                      </w:pPr>
                      <w:r w:rsidRPr="00D9054A">
                        <w:rPr>
                          <w:sz w:val="22"/>
                          <w:szCs w:val="22"/>
                        </w:rPr>
                        <w:t>The NIOSH ABLES Program is a state-based surveillance program of laboratory-reported adult blood lead levels. The program objective is to build state capacity to initiate, expand, or improve adult blood lead surveillance programs which can accurately measure trends in adult blood lead levels and which can effectively intervene to prevent lead over-exposures.</w:t>
                      </w:r>
                      <w:r>
                        <w:rPr>
                          <w:sz w:val="22"/>
                          <w:szCs w:val="22"/>
                        </w:rPr>
                        <w:t xml:space="preserve"> By combining the data collected from these two programs, CDC will be better able to </w:t>
                      </w:r>
                      <w:r w:rsidRPr="001957F2">
                        <w:rPr>
                          <w:sz w:val="22"/>
                          <w:szCs w:val="22"/>
                        </w:rPr>
                        <w:t>identify and intervene for both ch</w:t>
                      </w:r>
                      <w:r>
                        <w:rPr>
                          <w:sz w:val="22"/>
                          <w:szCs w:val="22"/>
                        </w:rPr>
                        <w:t>ildhood and adult lead exposure.</w:t>
                      </w:r>
                    </w:p>
                    <w:p w14:paraId="182D8562" w14:textId="61CF5364" w:rsidR="00D271EF" w:rsidRPr="0089033D" w:rsidRDefault="00D271EF" w:rsidP="005C6643">
                      <w:pPr>
                        <w:spacing w:before="240" w:line="240" w:lineRule="auto"/>
                        <w:rPr>
                          <w:sz w:val="22"/>
                          <w:szCs w:val="22"/>
                        </w:rPr>
                      </w:pPr>
                      <w:r w:rsidRPr="0089033D">
                        <w:rPr>
                          <w:b/>
                          <w:sz w:val="22"/>
                          <w:szCs w:val="22"/>
                        </w:rPr>
                        <w:t xml:space="preserve">Methods to be used to collect: </w:t>
                      </w:r>
                      <w:r w:rsidRPr="00DF7F65">
                        <w:rPr>
                          <w:sz w:val="22"/>
                          <w:szCs w:val="22"/>
                        </w:rPr>
                        <w:t>NCEH partners will submit standardized childhood lead screening data on a quarterly basis via a secure encrypted file transfer protocol (FTP) site. NCEH staff transfer the quarterly data into the Childhood Blood Lead Surveillance (CBLS) system for proce</w:t>
                      </w:r>
                      <w:r w:rsidRPr="003621A6">
                        <w:rPr>
                          <w:sz w:val="22"/>
                          <w:szCs w:val="22"/>
                        </w:rPr>
                        <w:t>ssing, dissemination, and results reporting.</w:t>
                      </w:r>
                      <w:r>
                        <w:rPr>
                          <w:sz w:val="22"/>
                          <w:szCs w:val="22"/>
                        </w:rPr>
                        <w:t xml:space="preserve">  </w:t>
                      </w:r>
                      <w:r w:rsidRPr="0089033D">
                        <w:rPr>
                          <w:sz w:val="22"/>
                          <w:szCs w:val="22"/>
                        </w:rPr>
                        <w:t>For the NIOSH ABLES Program, partners will submit adult blood lead data on an annual basis through secure email attachments, secure web accounts, or secure encrypted FTP sites. Eventually, all ABLES partners will submit data through secure encrypted FTP sites. Data will be stored on secure CDC network drives.  The ABLES Program may request additional information from partners for data cleaning, management, analysis, or reporting purposes.</w:t>
                      </w:r>
                    </w:p>
                    <w:p w14:paraId="5E266301" w14:textId="5F3D971F" w:rsidR="00D271EF" w:rsidRPr="0089033D" w:rsidRDefault="00D271EF" w:rsidP="008C46E9">
                      <w:pPr>
                        <w:spacing w:before="240" w:line="240" w:lineRule="auto"/>
                        <w:rPr>
                          <w:sz w:val="22"/>
                          <w:szCs w:val="22"/>
                        </w:rPr>
                      </w:pPr>
                      <w:r w:rsidRPr="0089033D">
                        <w:rPr>
                          <w:b/>
                          <w:sz w:val="22"/>
                          <w:szCs w:val="22"/>
                        </w:rPr>
                        <w:t xml:space="preserve">Subpopulation of interest: </w:t>
                      </w:r>
                      <w:r w:rsidRPr="0089033D">
                        <w:rPr>
                          <w:sz w:val="22"/>
                          <w:szCs w:val="22"/>
                        </w:rPr>
                        <w:t>The respondents will include partners at State or local public health agencies or their bona fide fiscal agents that will submit NCEH childhood (n=48) and NIOSH adult blood lead surveillance data (n=40).</w:t>
                      </w:r>
                      <w:r>
                        <w:rPr>
                          <w:sz w:val="22"/>
                          <w:szCs w:val="22"/>
                        </w:rPr>
                        <w:t xml:space="preserve"> </w:t>
                      </w:r>
                      <w:r w:rsidRPr="0089033D">
                        <w:rPr>
                          <w:sz w:val="22"/>
                          <w:szCs w:val="22"/>
                        </w:rPr>
                        <w:t xml:space="preserve">The CBLS is designed for blood lead surveillance among children under 16 years of age. The majority of the NCEH respondent activities focus on lead poisoning prevention among children, less than 6 years of age (more specifically defined as less than 72 months). </w:t>
                      </w:r>
                      <w:r>
                        <w:rPr>
                          <w:sz w:val="22"/>
                          <w:szCs w:val="22"/>
                        </w:rPr>
                        <w:t xml:space="preserve"> </w:t>
                      </w:r>
                      <w:r w:rsidRPr="0089033D">
                        <w:rPr>
                          <w:sz w:val="22"/>
                          <w:szCs w:val="22"/>
                        </w:rPr>
                        <w:t xml:space="preserve">The NIOSH ABLES collection includes adults, 16 years of age or over. About 95% of adults with elevated blood lead levels are occupational when the exposure source is known. </w:t>
                      </w:r>
                      <w:r>
                        <w:rPr>
                          <w:sz w:val="22"/>
                          <w:szCs w:val="22"/>
                        </w:rPr>
                        <w:t>O</w:t>
                      </w:r>
                      <w:r w:rsidRPr="00ED565C">
                        <w:rPr>
                          <w:sz w:val="22"/>
                          <w:szCs w:val="22"/>
                        </w:rPr>
                        <w:t xml:space="preserve">ccupational exposures may affect child lead exposure in several ways including: take-home </w:t>
                      </w:r>
                      <w:r>
                        <w:rPr>
                          <w:sz w:val="22"/>
                          <w:szCs w:val="22"/>
                        </w:rPr>
                        <w:t xml:space="preserve">(e.g., dust or residual) </w:t>
                      </w:r>
                      <w:r w:rsidRPr="00ED565C">
                        <w:rPr>
                          <w:sz w:val="22"/>
                          <w:szCs w:val="22"/>
                        </w:rPr>
                        <w:t>exposures from parents employed in lead</w:t>
                      </w:r>
                      <w:r>
                        <w:rPr>
                          <w:sz w:val="22"/>
                          <w:szCs w:val="22"/>
                        </w:rPr>
                        <w:t>-related</w:t>
                      </w:r>
                      <w:r w:rsidRPr="00ED565C">
                        <w:rPr>
                          <w:sz w:val="22"/>
                          <w:szCs w:val="22"/>
                        </w:rPr>
                        <w:t xml:space="preserve"> industries; pregnant and breastfeeding women who are employed in lead</w:t>
                      </w:r>
                      <w:r>
                        <w:rPr>
                          <w:sz w:val="22"/>
                          <w:szCs w:val="22"/>
                        </w:rPr>
                        <w:t>-related</w:t>
                      </w:r>
                      <w:r w:rsidRPr="00ED565C">
                        <w:rPr>
                          <w:sz w:val="22"/>
                          <w:szCs w:val="22"/>
                        </w:rPr>
                        <w:t xml:space="preserve"> industries</w:t>
                      </w:r>
                      <w:r>
                        <w:rPr>
                          <w:sz w:val="22"/>
                          <w:szCs w:val="22"/>
                        </w:rPr>
                        <w:t xml:space="preserve"> may pass exposure to unborn baby or breastfeeding infant</w:t>
                      </w:r>
                      <w:r w:rsidRPr="00ED565C">
                        <w:rPr>
                          <w:sz w:val="22"/>
                          <w:szCs w:val="22"/>
                        </w:rPr>
                        <w:t>; and older children employed on a part-time or full-time basis in work that may involve lead (e.g., construction, commercial fishing).</w:t>
                      </w:r>
                    </w:p>
                    <w:p w14:paraId="01B10897" w14:textId="4C53BAD0" w:rsidR="00D271EF" w:rsidRPr="0089033D" w:rsidRDefault="00D271EF" w:rsidP="008C46E9">
                      <w:pPr>
                        <w:spacing w:before="240" w:line="240" w:lineRule="auto"/>
                        <w:rPr>
                          <w:sz w:val="22"/>
                          <w:szCs w:val="22"/>
                        </w:rPr>
                      </w:pPr>
                      <w:r w:rsidRPr="0089033D">
                        <w:rPr>
                          <w:b/>
                          <w:sz w:val="22"/>
                          <w:szCs w:val="22"/>
                        </w:rPr>
                        <w:t xml:space="preserve">How data will be analyzed: </w:t>
                      </w:r>
                      <w:r w:rsidRPr="0089033D">
                        <w:rPr>
                          <w:sz w:val="22"/>
                          <w:szCs w:val="22"/>
                        </w:rPr>
                        <w:t>Data will be analyzed by CDC staff to calculate descriptive statistics</w:t>
                      </w:r>
                      <w:r>
                        <w:rPr>
                          <w:sz w:val="22"/>
                          <w:szCs w:val="22"/>
                        </w:rPr>
                        <w:t xml:space="preserve"> and to explore factors that may be related to differences in exposure levels</w:t>
                      </w:r>
                      <w:r w:rsidRPr="0089033D">
                        <w:rPr>
                          <w:b/>
                          <w:sz w:val="22"/>
                          <w:szCs w:val="22"/>
                        </w:rPr>
                        <w:t xml:space="preserve">. </w:t>
                      </w:r>
                    </w:p>
                  </w:txbxContent>
                </v:textbox>
                <w10:wrap type="square" anchorx="margin"/>
              </v:shape>
            </w:pict>
          </mc:Fallback>
        </mc:AlternateContent>
      </w:r>
      <w:r w:rsidRPr="00D74E8E">
        <w:rPr>
          <w:rFonts w:asciiTheme="majorHAnsi" w:hAnsiTheme="majorHAnsi"/>
          <w:sz w:val="36"/>
          <w:szCs w:val="36"/>
        </w:rPr>
        <w:t>Part A. Justification</w:t>
      </w:r>
    </w:p>
    <w:p w14:paraId="6564C8A5" w14:textId="54A0130A" w:rsidR="00B45002" w:rsidRPr="00D74E8E" w:rsidRDefault="00FC5B5A" w:rsidP="00C03179">
      <w:pPr>
        <w:pStyle w:val="Heading1"/>
        <w:pBdr>
          <w:bottom w:val="none" w:sz="0" w:space="0" w:color="auto"/>
        </w:pBdr>
        <w:rPr>
          <w:color w:val="auto"/>
        </w:rPr>
      </w:pPr>
      <w:bookmarkStart w:id="3" w:name="_Toc494815278"/>
      <w:r w:rsidRPr="00D74E8E">
        <w:rPr>
          <w:color w:val="auto"/>
        </w:rPr>
        <w:t>A</w:t>
      </w:r>
      <w:r w:rsidR="0024399D" w:rsidRPr="00D74E8E">
        <w:rPr>
          <w:color w:val="auto"/>
        </w:rPr>
        <w:t>.</w:t>
      </w:r>
      <w:r w:rsidR="004D21C9" w:rsidRPr="00D74E8E">
        <w:rPr>
          <w:color w:val="auto"/>
        </w:rPr>
        <w:t xml:space="preserve">1.  </w:t>
      </w:r>
      <w:r w:rsidR="00B45002" w:rsidRPr="00D74E8E">
        <w:rPr>
          <w:color w:val="auto"/>
        </w:rPr>
        <w:t>Circumstances Making the Collection of Information Necessary</w:t>
      </w:r>
      <w:bookmarkEnd w:id="3"/>
    </w:p>
    <w:p w14:paraId="19324432" w14:textId="77777777" w:rsidR="00FC5B5A" w:rsidRPr="00D74E8E" w:rsidRDefault="00FC5B5A" w:rsidP="00601F1A"/>
    <w:p w14:paraId="4E405AA4" w14:textId="1BFB604D" w:rsidR="00994F3B" w:rsidRPr="00D74E8E" w:rsidRDefault="00994F3B" w:rsidP="00FD58A1">
      <w:pPr>
        <w:spacing w:line="276" w:lineRule="auto"/>
        <w:rPr>
          <w:rFonts w:eastAsiaTheme="minorHAnsi" w:cs="Courier New"/>
          <w:sz w:val="24"/>
          <w:szCs w:val="24"/>
        </w:rPr>
      </w:pPr>
      <w:r w:rsidRPr="00D74E8E">
        <w:rPr>
          <w:rFonts w:eastAsiaTheme="minorHAnsi" w:cs="Courier New"/>
          <w:sz w:val="24"/>
          <w:szCs w:val="24"/>
        </w:rPr>
        <w:t>The National Center for Environmental Health (NCEH) is leading a new three-year infor</w:t>
      </w:r>
      <w:r w:rsidR="00CB03FB" w:rsidRPr="00D74E8E">
        <w:rPr>
          <w:rFonts w:eastAsiaTheme="minorHAnsi" w:cs="Courier New"/>
          <w:sz w:val="24"/>
          <w:szCs w:val="24"/>
        </w:rPr>
        <w:t xml:space="preserve">mation collection request (ICR), titled “Childhood Blood Lead Surveillance (CBLS) and Adult Blood Lead Epidemiology and Surveillance (ABLES),” </w:t>
      </w:r>
      <w:r w:rsidRPr="00D74E8E">
        <w:rPr>
          <w:rFonts w:eastAsiaTheme="minorHAnsi" w:cs="Courier New"/>
          <w:sz w:val="24"/>
          <w:szCs w:val="24"/>
        </w:rPr>
        <w:t>that covers two Centers for Disease Control and Prevention (CDC) information collections, one for childhood blood lead surveillance by NCEH and another for adult blood lead surveillance by the National Institute for Occupational Safety and Health (NIOSH). Thus, blood lead surveillance over the human lifespan is covered under this sin</w:t>
      </w:r>
      <w:r w:rsidR="00710A5B" w:rsidRPr="00D74E8E">
        <w:rPr>
          <w:rFonts w:eastAsiaTheme="minorHAnsi" w:cs="Courier New"/>
          <w:sz w:val="24"/>
          <w:szCs w:val="24"/>
        </w:rPr>
        <w:t>gle ICR</w:t>
      </w:r>
      <w:r w:rsidRPr="00D74E8E">
        <w:rPr>
          <w:rFonts w:eastAsiaTheme="minorHAnsi" w:cs="Courier New"/>
          <w:sz w:val="24"/>
          <w:szCs w:val="24"/>
        </w:rPr>
        <w:t>.</w:t>
      </w:r>
    </w:p>
    <w:p w14:paraId="145BEFC7" w14:textId="328B26DE" w:rsidR="004C12B2" w:rsidRPr="00D74E8E" w:rsidRDefault="00146020" w:rsidP="004C12B2">
      <w:pPr>
        <w:spacing w:line="276" w:lineRule="auto"/>
        <w:rPr>
          <w:rFonts w:eastAsiaTheme="minorHAnsi" w:cs="Courier New"/>
          <w:sz w:val="24"/>
          <w:szCs w:val="24"/>
        </w:rPr>
      </w:pPr>
      <w:r w:rsidRPr="00D74E8E">
        <w:rPr>
          <w:rFonts w:eastAsiaTheme="minorHAnsi" w:cs="Courier New"/>
          <w:sz w:val="24"/>
          <w:szCs w:val="24"/>
        </w:rPr>
        <w:t xml:space="preserve">The NCEH </w:t>
      </w:r>
      <w:r w:rsidR="005C6643" w:rsidRPr="00D74E8E">
        <w:rPr>
          <w:rFonts w:eastAsiaTheme="minorHAnsi" w:cs="Courier New"/>
          <w:sz w:val="24"/>
          <w:szCs w:val="24"/>
        </w:rPr>
        <w:t>Healthy Homes and Lead Poisoning Prevention Program (</w:t>
      </w:r>
      <w:r w:rsidR="00970794" w:rsidRPr="00D74E8E">
        <w:rPr>
          <w:rFonts w:eastAsiaTheme="minorHAnsi" w:cs="Courier New"/>
          <w:sz w:val="24"/>
          <w:szCs w:val="24"/>
        </w:rPr>
        <w:t>HHLPPP</w:t>
      </w:r>
      <w:r w:rsidR="005C6643" w:rsidRPr="00D74E8E">
        <w:rPr>
          <w:rFonts w:eastAsiaTheme="minorHAnsi" w:cs="Courier New"/>
          <w:sz w:val="24"/>
          <w:szCs w:val="24"/>
        </w:rPr>
        <w:t>)</w:t>
      </w:r>
      <w:r w:rsidR="00970794" w:rsidRPr="00D74E8E">
        <w:rPr>
          <w:rFonts w:eastAsiaTheme="minorHAnsi" w:cs="Courier New"/>
          <w:sz w:val="24"/>
          <w:szCs w:val="24"/>
        </w:rPr>
        <w:t xml:space="preserve"> is sponsoring</w:t>
      </w:r>
      <w:r w:rsidR="00C90CA9" w:rsidRPr="00D74E8E">
        <w:rPr>
          <w:rFonts w:eastAsiaTheme="minorHAnsi" w:cs="Courier New"/>
          <w:sz w:val="24"/>
          <w:szCs w:val="24"/>
        </w:rPr>
        <w:t xml:space="preserve"> a new</w:t>
      </w:r>
      <w:r w:rsidR="00EB1E76" w:rsidRPr="00D74E8E">
        <w:rPr>
          <w:rFonts w:eastAsiaTheme="minorHAnsi" w:cs="Courier New"/>
          <w:sz w:val="24"/>
          <w:szCs w:val="24"/>
        </w:rPr>
        <w:t xml:space="preserve"> </w:t>
      </w:r>
      <w:r w:rsidR="00CA62A9" w:rsidRPr="00D74E8E">
        <w:rPr>
          <w:rFonts w:eastAsiaTheme="minorHAnsi" w:cs="Courier New"/>
          <w:sz w:val="24"/>
          <w:szCs w:val="24"/>
        </w:rPr>
        <w:t>F</w:t>
      </w:r>
      <w:r w:rsidR="003D5008" w:rsidRPr="00D74E8E">
        <w:rPr>
          <w:rFonts w:eastAsiaTheme="minorHAnsi" w:cs="Courier New"/>
          <w:sz w:val="24"/>
          <w:szCs w:val="24"/>
        </w:rPr>
        <w:t xml:space="preserve">iscal Year </w:t>
      </w:r>
      <w:r w:rsidR="00CA62A9" w:rsidRPr="00D74E8E">
        <w:rPr>
          <w:rFonts w:eastAsiaTheme="minorHAnsi" w:cs="Courier New"/>
          <w:sz w:val="24"/>
          <w:szCs w:val="24"/>
        </w:rPr>
        <w:t>2017</w:t>
      </w:r>
      <w:r w:rsidR="003D5008" w:rsidRPr="00D74E8E">
        <w:rPr>
          <w:rFonts w:eastAsiaTheme="minorHAnsi" w:cs="Courier New"/>
          <w:sz w:val="24"/>
          <w:szCs w:val="24"/>
        </w:rPr>
        <w:t xml:space="preserve"> (FY17)</w:t>
      </w:r>
      <w:r w:rsidR="00CA62A9" w:rsidRPr="00D74E8E">
        <w:rPr>
          <w:rFonts w:eastAsiaTheme="minorHAnsi" w:cs="Courier New"/>
          <w:sz w:val="24"/>
          <w:szCs w:val="24"/>
        </w:rPr>
        <w:t xml:space="preserve"> </w:t>
      </w:r>
      <w:r w:rsidR="003D5008" w:rsidRPr="00D74E8E">
        <w:rPr>
          <w:rFonts w:eastAsiaTheme="minorHAnsi" w:cs="Courier New"/>
          <w:sz w:val="24"/>
          <w:szCs w:val="24"/>
        </w:rPr>
        <w:t xml:space="preserve">three-year </w:t>
      </w:r>
      <w:r w:rsidR="00EB1E76" w:rsidRPr="00D74E8E">
        <w:rPr>
          <w:rFonts w:eastAsiaTheme="minorHAnsi" w:cs="Courier New"/>
          <w:sz w:val="24"/>
          <w:szCs w:val="24"/>
        </w:rPr>
        <w:t>cooperative agreement</w:t>
      </w:r>
      <w:r w:rsidR="00782A7B" w:rsidRPr="00D74E8E">
        <w:rPr>
          <w:rFonts w:eastAsiaTheme="minorHAnsi" w:cs="Courier New"/>
          <w:sz w:val="24"/>
          <w:szCs w:val="24"/>
        </w:rPr>
        <w:t>, titled “</w:t>
      </w:r>
      <w:r w:rsidR="00782A7B" w:rsidRPr="00D74E8E">
        <w:rPr>
          <w:rFonts w:cs="Courier New"/>
          <w:sz w:val="24"/>
          <w:szCs w:val="24"/>
        </w:rPr>
        <w:t>Lead Poisoning Prevention</w:t>
      </w:r>
      <w:r w:rsidR="00D70474" w:rsidRPr="00D74E8E">
        <w:rPr>
          <w:rFonts w:cs="Courier New"/>
          <w:sz w:val="24"/>
          <w:szCs w:val="24"/>
        </w:rPr>
        <w:t xml:space="preserve"> </w:t>
      </w:r>
      <w:r w:rsidR="00D70474" w:rsidRPr="00D74E8E">
        <w:rPr>
          <w:sz w:val="24"/>
          <w:szCs w:val="24"/>
        </w:rPr>
        <w:t xml:space="preserve">– </w:t>
      </w:r>
      <w:r w:rsidR="00782A7B" w:rsidRPr="00D74E8E">
        <w:rPr>
          <w:rFonts w:cs="Courier New"/>
          <w:sz w:val="24"/>
          <w:szCs w:val="24"/>
        </w:rPr>
        <w:t>Childhood Lead Poisoning Prevention</w:t>
      </w:r>
      <w:r w:rsidR="00E2199F" w:rsidRPr="00D74E8E">
        <w:rPr>
          <w:rFonts w:cs="Courier New"/>
          <w:sz w:val="24"/>
          <w:szCs w:val="24"/>
        </w:rPr>
        <w:t xml:space="preserve"> </w:t>
      </w:r>
      <w:r w:rsidR="00D70474" w:rsidRPr="00D74E8E">
        <w:rPr>
          <w:sz w:val="24"/>
          <w:szCs w:val="24"/>
        </w:rPr>
        <w:t xml:space="preserve">– </w:t>
      </w:r>
      <w:r w:rsidR="00782A7B" w:rsidRPr="00D74E8E">
        <w:rPr>
          <w:rFonts w:cs="Courier New"/>
          <w:sz w:val="24"/>
          <w:szCs w:val="24"/>
        </w:rPr>
        <w:t>financed partially by Prevention and Public Health Funds”</w:t>
      </w:r>
      <w:r w:rsidR="00782A7B" w:rsidRPr="00D74E8E">
        <w:rPr>
          <w:sz w:val="24"/>
          <w:szCs w:val="24"/>
        </w:rPr>
        <w:t xml:space="preserve"> </w:t>
      </w:r>
      <w:r w:rsidR="00EB1E76" w:rsidRPr="00D74E8E">
        <w:rPr>
          <w:rFonts w:eastAsiaTheme="minorHAnsi" w:cs="Courier New"/>
          <w:sz w:val="24"/>
          <w:szCs w:val="24"/>
        </w:rPr>
        <w:t xml:space="preserve"> (F</w:t>
      </w:r>
      <w:r w:rsidR="007C7A58" w:rsidRPr="00D74E8E">
        <w:rPr>
          <w:rFonts w:eastAsiaTheme="minorHAnsi" w:cs="Courier New"/>
          <w:sz w:val="24"/>
          <w:szCs w:val="24"/>
        </w:rPr>
        <w:t>OA</w:t>
      </w:r>
      <w:r w:rsidR="00EB1E76" w:rsidRPr="00D74E8E">
        <w:rPr>
          <w:rFonts w:eastAsiaTheme="minorHAnsi" w:cs="Courier New"/>
          <w:sz w:val="24"/>
          <w:szCs w:val="24"/>
        </w:rPr>
        <w:t xml:space="preserve"> No. CDC-RFA-EH17-1701-P</w:t>
      </w:r>
      <w:r w:rsidR="00DB0819" w:rsidRPr="00D74E8E">
        <w:rPr>
          <w:rFonts w:eastAsiaTheme="minorHAnsi" w:cs="Courier New"/>
          <w:sz w:val="24"/>
          <w:szCs w:val="24"/>
        </w:rPr>
        <w:t>P</w:t>
      </w:r>
      <w:r w:rsidR="00EB1E76" w:rsidRPr="00D74E8E">
        <w:rPr>
          <w:rFonts w:eastAsiaTheme="minorHAnsi" w:cs="Courier New"/>
          <w:sz w:val="24"/>
          <w:szCs w:val="24"/>
        </w:rPr>
        <w:t>HF</w:t>
      </w:r>
      <w:r w:rsidR="003A10B6" w:rsidRPr="00D74E8E">
        <w:rPr>
          <w:rFonts w:eastAsiaTheme="minorHAnsi" w:cs="Courier New"/>
          <w:sz w:val="24"/>
          <w:szCs w:val="24"/>
        </w:rPr>
        <w:t>17</w:t>
      </w:r>
      <w:r w:rsidR="00EB1E76" w:rsidRPr="00D74E8E">
        <w:rPr>
          <w:rFonts w:eastAsiaTheme="minorHAnsi" w:cs="Courier New"/>
          <w:sz w:val="24"/>
          <w:szCs w:val="24"/>
        </w:rPr>
        <w:t>)</w:t>
      </w:r>
      <w:r w:rsidR="00FD58A1" w:rsidRPr="00D74E8E">
        <w:rPr>
          <w:rFonts w:eastAsiaTheme="minorHAnsi" w:cs="Courier New"/>
          <w:sz w:val="24"/>
          <w:szCs w:val="24"/>
        </w:rPr>
        <w:t xml:space="preserve"> (</w:t>
      </w:r>
      <w:r w:rsidR="00FD58A1" w:rsidRPr="00D74E8E">
        <w:rPr>
          <w:rFonts w:eastAsiaTheme="minorHAnsi" w:cs="Courier New"/>
          <w:b/>
          <w:sz w:val="24"/>
          <w:szCs w:val="24"/>
        </w:rPr>
        <w:t>Attachment 3a</w:t>
      </w:r>
      <w:r w:rsidR="00FD58A1" w:rsidRPr="00D74E8E">
        <w:rPr>
          <w:rFonts w:eastAsiaTheme="minorHAnsi" w:cs="Courier New"/>
          <w:sz w:val="24"/>
          <w:szCs w:val="24"/>
        </w:rPr>
        <w:t>)</w:t>
      </w:r>
      <w:r w:rsidR="00EB1E76" w:rsidRPr="00D74E8E">
        <w:rPr>
          <w:rFonts w:eastAsiaTheme="minorHAnsi" w:cs="Courier New"/>
          <w:sz w:val="24"/>
          <w:szCs w:val="24"/>
        </w:rPr>
        <w:t>.</w:t>
      </w:r>
      <w:r w:rsidR="00E243DC" w:rsidRPr="00D74E8E">
        <w:rPr>
          <w:rFonts w:eastAsiaTheme="minorHAnsi" w:cs="Courier New"/>
          <w:sz w:val="24"/>
          <w:szCs w:val="24"/>
        </w:rPr>
        <w:t xml:space="preserve"> </w:t>
      </w:r>
      <w:r w:rsidR="006A2B87" w:rsidRPr="00D74E8E">
        <w:rPr>
          <w:rFonts w:eastAsiaTheme="minorHAnsi" w:cs="Courier New"/>
          <w:sz w:val="24"/>
          <w:szCs w:val="24"/>
        </w:rPr>
        <w:t xml:space="preserve">Based on available FY17 funds, NCEH is requesting PRA clearance for </w:t>
      </w:r>
      <w:r w:rsidR="00EE7DC5" w:rsidRPr="00D74E8E">
        <w:rPr>
          <w:rFonts w:eastAsiaTheme="minorHAnsi" w:cs="Courier New"/>
          <w:sz w:val="24"/>
          <w:szCs w:val="24"/>
        </w:rPr>
        <w:t>48</w:t>
      </w:r>
      <w:r w:rsidR="006A2B87" w:rsidRPr="00D74E8E">
        <w:rPr>
          <w:rFonts w:eastAsiaTheme="minorHAnsi" w:cs="Courier New"/>
          <w:sz w:val="24"/>
          <w:szCs w:val="24"/>
        </w:rPr>
        <w:t xml:space="preserve"> respondents and an annual time burden of </w:t>
      </w:r>
      <w:r w:rsidR="00BF6DB5" w:rsidRPr="00D74E8E">
        <w:rPr>
          <w:rFonts w:eastAsiaTheme="minorHAnsi" w:cs="Courier New"/>
          <w:sz w:val="24"/>
          <w:szCs w:val="24"/>
        </w:rPr>
        <w:t>7</w:t>
      </w:r>
      <w:r w:rsidR="00F21468" w:rsidRPr="00D74E8E">
        <w:rPr>
          <w:rFonts w:eastAsiaTheme="minorHAnsi" w:cs="Courier New"/>
          <w:sz w:val="24"/>
          <w:szCs w:val="24"/>
        </w:rPr>
        <w:t>60</w:t>
      </w:r>
      <w:r w:rsidR="006A2B87" w:rsidRPr="00D74E8E">
        <w:rPr>
          <w:rFonts w:eastAsiaTheme="minorHAnsi" w:cs="Courier New"/>
          <w:sz w:val="24"/>
          <w:szCs w:val="24"/>
        </w:rPr>
        <w:t xml:space="preserve"> hours. </w:t>
      </w:r>
    </w:p>
    <w:p w14:paraId="59E081D5" w14:textId="417FA995" w:rsidR="00CA271A" w:rsidRPr="00D74E8E" w:rsidRDefault="003D5008" w:rsidP="004C12B2">
      <w:pPr>
        <w:spacing w:line="276" w:lineRule="auto"/>
        <w:rPr>
          <w:rFonts w:eastAsiaTheme="minorHAnsi" w:cs="Courier New"/>
          <w:sz w:val="24"/>
          <w:szCs w:val="24"/>
        </w:rPr>
      </w:pPr>
      <w:r w:rsidRPr="00D74E8E">
        <w:rPr>
          <w:rFonts w:eastAsiaTheme="minorHAnsi" w:cs="Courier New"/>
          <w:sz w:val="24"/>
          <w:szCs w:val="24"/>
        </w:rPr>
        <w:t>There will b</w:t>
      </w:r>
      <w:r w:rsidR="004C12B2" w:rsidRPr="00D74E8E">
        <w:rPr>
          <w:rFonts w:eastAsiaTheme="minorHAnsi" w:cs="Courier New"/>
          <w:sz w:val="24"/>
          <w:szCs w:val="24"/>
        </w:rPr>
        <w:t>e a one-year overlap between this</w:t>
      </w:r>
      <w:r w:rsidRPr="00D74E8E">
        <w:rPr>
          <w:rFonts w:eastAsiaTheme="minorHAnsi" w:cs="Courier New"/>
          <w:sz w:val="24"/>
          <w:szCs w:val="24"/>
        </w:rPr>
        <w:t xml:space="preserve"> new FY17 program and the fourth and final year of the existing FY14 cooperative agreement program titled “</w:t>
      </w:r>
      <w:r w:rsidRPr="00D74E8E">
        <w:rPr>
          <w:sz w:val="24"/>
          <w:szCs w:val="24"/>
        </w:rPr>
        <w:t>PPHF 2014: Lead Poisoning Prevention – Childhood Lead Poisoning Prevention</w:t>
      </w:r>
      <w:r w:rsidR="00D70474" w:rsidRPr="00D74E8E">
        <w:rPr>
          <w:sz w:val="24"/>
          <w:szCs w:val="24"/>
        </w:rPr>
        <w:t xml:space="preserve"> – </w:t>
      </w:r>
      <w:r w:rsidRPr="00D74E8E">
        <w:rPr>
          <w:sz w:val="24"/>
          <w:szCs w:val="24"/>
        </w:rPr>
        <w:t>financed solely by 2014 Prevention and Public Health Funds</w:t>
      </w:r>
      <w:r w:rsidRPr="00D74E8E">
        <w:rPr>
          <w:rFonts w:eastAsiaTheme="minorHAnsi" w:cs="Courier New"/>
          <w:sz w:val="24"/>
          <w:szCs w:val="24"/>
        </w:rPr>
        <w:t>”</w:t>
      </w:r>
      <w:r w:rsidR="00FD58A1" w:rsidRPr="00D74E8E">
        <w:rPr>
          <w:rFonts w:eastAsiaTheme="minorHAnsi" w:cs="Courier New"/>
          <w:sz w:val="24"/>
          <w:szCs w:val="24"/>
        </w:rPr>
        <w:t xml:space="preserve"> (</w:t>
      </w:r>
      <w:r w:rsidR="00FD58A1" w:rsidRPr="00D74E8E">
        <w:rPr>
          <w:rFonts w:eastAsiaTheme="minorHAnsi" w:cs="Courier New"/>
          <w:b/>
          <w:sz w:val="24"/>
          <w:szCs w:val="24"/>
        </w:rPr>
        <w:t>Attachment 3b</w:t>
      </w:r>
      <w:r w:rsidR="00FD58A1" w:rsidRPr="00D74E8E">
        <w:rPr>
          <w:rFonts w:eastAsiaTheme="minorHAnsi" w:cs="Courier New"/>
          <w:sz w:val="24"/>
          <w:szCs w:val="24"/>
        </w:rPr>
        <w:t>).</w:t>
      </w:r>
      <w:r w:rsidRPr="00D74E8E">
        <w:rPr>
          <w:rFonts w:eastAsiaTheme="minorHAnsi" w:cs="Courier New"/>
          <w:sz w:val="24"/>
          <w:szCs w:val="24"/>
        </w:rPr>
        <w:t xml:space="preserve"> </w:t>
      </w:r>
      <w:r w:rsidR="001C5530" w:rsidRPr="00D74E8E">
        <w:rPr>
          <w:rFonts w:eastAsiaTheme="minorHAnsi" w:cs="Courier New"/>
          <w:sz w:val="24"/>
          <w:szCs w:val="24"/>
        </w:rPr>
        <w:t>During this overlap</w:t>
      </w:r>
      <w:r w:rsidR="006A2B87" w:rsidRPr="00D74E8E">
        <w:rPr>
          <w:rFonts w:eastAsiaTheme="minorHAnsi" w:cs="Courier New"/>
          <w:sz w:val="24"/>
          <w:szCs w:val="24"/>
        </w:rPr>
        <w:t>ping program</w:t>
      </w:r>
      <w:r w:rsidR="001C5530" w:rsidRPr="00D74E8E">
        <w:rPr>
          <w:rFonts w:eastAsiaTheme="minorHAnsi" w:cs="Courier New"/>
          <w:sz w:val="24"/>
          <w:szCs w:val="24"/>
        </w:rPr>
        <w:t xml:space="preserve"> year, a</w:t>
      </w:r>
      <w:r w:rsidR="003A4A0D" w:rsidRPr="00D74E8E">
        <w:rPr>
          <w:rFonts w:eastAsiaTheme="minorHAnsi" w:cs="Courier New"/>
          <w:sz w:val="24"/>
          <w:szCs w:val="24"/>
        </w:rPr>
        <w:t>wardees will submit childhood blood lead surveillance</w:t>
      </w:r>
      <w:r w:rsidR="000542CF" w:rsidRPr="00D74E8E">
        <w:rPr>
          <w:rFonts w:eastAsiaTheme="minorHAnsi" w:cs="Courier New"/>
          <w:sz w:val="24"/>
          <w:szCs w:val="24"/>
        </w:rPr>
        <w:t xml:space="preserve"> data</w:t>
      </w:r>
      <w:r w:rsidR="003A4A0D" w:rsidRPr="00D74E8E">
        <w:rPr>
          <w:rFonts w:eastAsiaTheme="minorHAnsi" w:cs="Courier New"/>
          <w:sz w:val="24"/>
          <w:szCs w:val="24"/>
        </w:rPr>
        <w:t xml:space="preserve"> </w:t>
      </w:r>
      <w:r w:rsidRPr="00D74E8E">
        <w:rPr>
          <w:rFonts w:eastAsiaTheme="minorHAnsi" w:cs="Courier New"/>
          <w:sz w:val="24"/>
          <w:szCs w:val="24"/>
        </w:rPr>
        <w:t>under</w:t>
      </w:r>
      <w:r w:rsidR="003A4A0D" w:rsidRPr="00D74E8E">
        <w:rPr>
          <w:rFonts w:eastAsiaTheme="minorHAnsi" w:cs="Courier New"/>
          <w:sz w:val="24"/>
          <w:szCs w:val="24"/>
        </w:rPr>
        <w:t xml:space="preserve"> one or the other ICR, but not </w:t>
      </w:r>
      <w:r w:rsidRPr="00D74E8E">
        <w:rPr>
          <w:rFonts w:eastAsiaTheme="minorHAnsi" w:cs="Courier New"/>
          <w:sz w:val="24"/>
          <w:szCs w:val="24"/>
        </w:rPr>
        <w:t>under</w:t>
      </w:r>
      <w:r w:rsidR="003A4A0D" w:rsidRPr="00D74E8E">
        <w:rPr>
          <w:rFonts w:eastAsiaTheme="minorHAnsi" w:cs="Courier New"/>
          <w:sz w:val="24"/>
          <w:szCs w:val="24"/>
        </w:rPr>
        <w:t xml:space="preserve"> both.</w:t>
      </w:r>
      <w:r w:rsidR="006A2B87" w:rsidRPr="00D74E8E">
        <w:rPr>
          <w:rStyle w:val="FootnoteReference"/>
          <w:rFonts w:eastAsiaTheme="minorHAnsi" w:cs="Courier New"/>
          <w:sz w:val="24"/>
          <w:szCs w:val="24"/>
        </w:rPr>
        <w:footnoteReference w:id="2"/>
      </w:r>
      <w:r w:rsidR="00A244A0" w:rsidRPr="00D74E8E">
        <w:rPr>
          <w:rFonts w:eastAsiaTheme="minorHAnsi" w:cs="Courier New"/>
          <w:sz w:val="24"/>
          <w:szCs w:val="24"/>
        </w:rPr>
        <w:t xml:space="preserve"> </w:t>
      </w:r>
    </w:p>
    <w:p w14:paraId="57ED2E8F" w14:textId="77777777" w:rsidR="001957F2" w:rsidRPr="00D74E8E" w:rsidRDefault="001957F2" w:rsidP="001957F2">
      <w:pPr>
        <w:autoSpaceDE w:val="0"/>
        <w:autoSpaceDN w:val="0"/>
        <w:adjustRightInd w:val="0"/>
        <w:spacing w:line="276" w:lineRule="auto"/>
        <w:rPr>
          <w:rFonts w:cs="Arial"/>
          <w:sz w:val="24"/>
          <w:szCs w:val="24"/>
          <w:lang w:val="en"/>
        </w:rPr>
      </w:pPr>
      <w:r w:rsidRPr="00D74E8E">
        <w:rPr>
          <w:sz w:val="24"/>
          <w:szCs w:val="24"/>
        </w:rPr>
        <w:t>The NCEH CBLS collection is authorized under Sections 301(a), 317A, and 317B of the 1944 Public Health Service Act, as amended by the 1988 Lead Contamination Control Act.</w:t>
      </w:r>
      <w:r w:rsidRPr="00D74E8E">
        <w:rPr>
          <w:sz w:val="24"/>
          <w:szCs w:val="24"/>
          <w:vertAlign w:val="superscript"/>
        </w:rPr>
        <w:t xml:space="preserve"> </w:t>
      </w:r>
      <w:r w:rsidRPr="00D74E8E">
        <w:rPr>
          <w:rStyle w:val="FootnoteReference"/>
          <w:rFonts w:cs="Arial"/>
          <w:sz w:val="24"/>
          <w:szCs w:val="24"/>
          <w:lang w:val="en"/>
        </w:rPr>
        <w:footnoteReference w:id="3"/>
      </w:r>
      <w:r w:rsidRPr="00D74E8E">
        <w:rPr>
          <w:sz w:val="24"/>
          <w:szCs w:val="24"/>
        </w:rPr>
        <w:t xml:space="preserve"> In addition, </w:t>
      </w:r>
      <w:r w:rsidRPr="00D74E8E">
        <w:rPr>
          <w:rFonts w:cs="TimesNewRomanPSMT"/>
          <w:sz w:val="24"/>
          <w:szCs w:val="24"/>
        </w:rPr>
        <w:t>this program is also authorized under Section 4002 of the Patient Protection and Affordable Care Act of 2010 (ACA), Public Law (PL) 111-148, (42 U.S.C. Section 300u-11), and</w:t>
      </w:r>
      <w:r w:rsidRPr="00D74E8E">
        <w:rPr>
          <w:rFonts w:cs="Times New Roman"/>
          <w:sz w:val="24"/>
          <w:szCs w:val="24"/>
        </w:rPr>
        <w:t xml:space="preserve"> under Section 2204 of the Water Infrastructure Improvements for the Nation (WIIN) Act of 2016 (PL 114-322)</w:t>
      </w:r>
      <w:r w:rsidRPr="00D74E8E">
        <w:rPr>
          <w:rFonts w:cs="TimesNewRomanPSMT"/>
          <w:sz w:val="24"/>
          <w:szCs w:val="24"/>
        </w:rPr>
        <w:t xml:space="preserve"> </w:t>
      </w:r>
      <w:r w:rsidRPr="00D74E8E">
        <w:rPr>
          <w:sz w:val="24"/>
          <w:szCs w:val="24"/>
        </w:rPr>
        <w:t>(</w:t>
      </w:r>
      <w:r w:rsidRPr="00D74E8E">
        <w:rPr>
          <w:b/>
          <w:sz w:val="24"/>
          <w:szCs w:val="24"/>
        </w:rPr>
        <w:t>Attachment 1a</w:t>
      </w:r>
      <w:r w:rsidRPr="00D74E8E">
        <w:rPr>
          <w:sz w:val="24"/>
          <w:szCs w:val="24"/>
        </w:rPr>
        <w:t>)</w:t>
      </w:r>
      <w:r w:rsidRPr="00D74E8E">
        <w:rPr>
          <w:rFonts w:cs="Arial"/>
          <w:sz w:val="24"/>
          <w:szCs w:val="24"/>
          <w:lang w:val="en"/>
        </w:rPr>
        <w:t>.</w:t>
      </w:r>
    </w:p>
    <w:p w14:paraId="7E162F7A" w14:textId="510F64C2" w:rsidR="00B5656C" w:rsidRPr="00D74E8E" w:rsidRDefault="00BC5825" w:rsidP="00D46D4F">
      <w:pPr>
        <w:spacing w:line="276" w:lineRule="auto"/>
        <w:rPr>
          <w:rFonts w:eastAsiaTheme="minorHAnsi" w:cs="Courier New"/>
          <w:sz w:val="24"/>
          <w:szCs w:val="24"/>
        </w:rPr>
      </w:pPr>
      <w:r w:rsidRPr="00D74E8E">
        <w:rPr>
          <w:rFonts w:eastAsiaTheme="minorHAnsi" w:cs="Courier New"/>
          <w:sz w:val="24"/>
          <w:szCs w:val="24"/>
        </w:rPr>
        <w:t>T</w:t>
      </w:r>
      <w:r w:rsidR="00EE1F94" w:rsidRPr="00D74E8E">
        <w:rPr>
          <w:rFonts w:eastAsiaTheme="minorHAnsi" w:cs="Courier New"/>
          <w:sz w:val="24"/>
          <w:szCs w:val="24"/>
        </w:rPr>
        <w:t xml:space="preserve">he NIOSH ABLES </w:t>
      </w:r>
      <w:r w:rsidR="008304E5" w:rsidRPr="00D74E8E">
        <w:rPr>
          <w:rFonts w:eastAsiaTheme="minorHAnsi" w:cs="Courier New"/>
          <w:sz w:val="24"/>
          <w:szCs w:val="24"/>
        </w:rPr>
        <w:t>collection will be accounted for</w:t>
      </w:r>
      <w:r w:rsidR="00EE1F94" w:rsidRPr="00D74E8E">
        <w:rPr>
          <w:rFonts w:eastAsiaTheme="minorHAnsi" w:cs="Courier New"/>
          <w:sz w:val="24"/>
          <w:szCs w:val="24"/>
        </w:rPr>
        <w:t xml:space="preserve"> in this </w:t>
      </w:r>
      <w:r w:rsidR="0006417C" w:rsidRPr="00D74E8E">
        <w:rPr>
          <w:rFonts w:eastAsiaTheme="minorHAnsi" w:cs="Courier New"/>
          <w:sz w:val="24"/>
          <w:szCs w:val="24"/>
        </w:rPr>
        <w:t xml:space="preserve">new </w:t>
      </w:r>
      <w:r w:rsidR="00EE1F94" w:rsidRPr="00D74E8E">
        <w:rPr>
          <w:rFonts w:eastAsiaTheme="minorHAnsi" w:cs="Courier New"/>
          <w:sz w:val="24"/>
          <w:szCs w:val="24"/>
        </w:rPr>
        <w:t>ICR because it was previously included</w:t>
      </w:r>
      <w:r w:rsidR="001957F2">
        <w:rPr>
          <w:rFonts w:eastAsiaTheme="minorHAnsi" w:cs="Courier New"/>
          <w:sz w:val="24"/>
          <w:szCs w:val="24"/>
        </w:rPr>
        <w:t>,</w:t>
      </w:r>
      <w:r w:rsidR="00EE1F94" w:rsidRPr="00D74E8E">
        <w:rPr>
          <w:rFonts w:eastAsiaTheme="minorHAnsi" w:cs="Courier New"/>
          <w:sz w:val="24"/>
          <w:szCs w:val="24"/>
        </w:rPr>
        <w:t xml:space="preserve"> but not </w:t>
      </w:r>
      <w:r w:rsidR="00490F15">
        <w:rPr>
          <w:rFonts w:eastAsiaTheme="minorHAnsi" w:cs="Courier New"/>
          <w:sz w:val="24"/>
          <w:szCs w:val="24"/>
        </w:rPr>
        <w:t xml:space="preserve">fully </w:t>
      </w:r>
      <w:r w:rsidR="00EE1F94" w:rsidRPr="00D74E8E">
        <w:rPr>
          <w:rFonts w:eastAsiaTheme="minorHAnsi" w:cs="Courier New"/>
          <w:sz w:val="24"/>
          <w:szCs w:val="24"/>
        </w:rPr>
        <w:t>described</w:t>
      </w:r>
      <w:r w:rsidR="00416917">
        <w:rPr>
          <w:rFonts w:eastAsiaTheme="minorHAnsi" w:cs="Courier New"/>
          <w:sz w:val="24"/>
          <w:szCs w:val="24"/>
        </w:rPr>
        <w:t xml:space="preserve"> and </w:t>
      </w:r>
      <w:r w:rsidR="00656A8E">
        <w:rPr>
          <w:rFonts w:eastAsiaTheme="minorHAnsi" w:cs="Courier New"/>
          <w:sz w:val="24"/>
          <w:szCs w:val="24"/>
        </w:rPr>
        <w:t xml:space="preserve">its burden </w:t>
      </w:r>
      <w:r w:rsidR="00416917">
        <w:rPr>
          <w:rFonts w:eastAsiaTheme="minorHAnsi" w:cs="Courier New"/>
          <w:sz w:val="24"/>
          <w:szCs w:val="24"/>
        </w:rPr>
        <w:t>accounted for</w:t>
      </w:r>
      <w:r w:rsidR="001957F2">
        <w:rPr>
          <w:rFonts w:eastAsiaTheme="minorHAnsi" w:cs="Courier New"/>
          <w:sz w:val="24"/>
          <w:szCs w:val="24"/>
        </w:rPr>
        <w:t>,</w:t>
      </w:r>
      <w:r w:rsidR="008304E5" w:rsidRPr="00D74E8E">
        <w:rPr>
          <w:rFonts w:eastAsiaTheme="minorHAnsi" w:cs="Courier New"/>
          <w:sz w:val="24"/>
          <w:szCs w:val="24"/>
        </w:rPr>
        <w:t xml:space="preserve"> under </w:t>
      </w:r>
      <w:r w:rsidR="00207E1F" w:rsidRPr="00D74E8E">
        <w:rPr>
          <w:rFonts w:eastAsiaTheme="minorHAnsi" w:cs="Courier New"/>
          <w:sz w:val="24"/>
          <w:szCs w:val="24"/>
        </w:rPr>
        <w:t xml:space="preserve">the </w:t>
      </w:r>
      <w:r w:rsidR="005E470E" w:rsidRPr="00D74E8E">
        <w:rPr>
          <w:rFonts w:eastAsiaTheme="minorHAnsi" w:cs="Courier New"/>
          <w:sz w:val="24"/>
          <w:szCs w:val="24"/>
        </w:rPr>
        <w:t>Healthy Homes and Lead Poisoning Surveillance System (</w:t>
      </w:r>
      <w:r w:rsidR="008304E5" w:rsidRPr="00D74E8E">
        <w:rPr>
          <w:rFonts w:eastAsiaTheme="minorHAnsi" w:cs="Courier New"/>
          <w:sz w:val="24"/>
          <w:szCs w:val="24"/>
        </w:rPr>
        <w:t>HHLPSS</w:t>
      </w:r>
      <w:r w:rsidR="005E470E" w:rsidRPr="00D74E8E">
        <w:rPr>
          <w:rFonts w:eastAsiaTheme="minorHAnsi" w:cs="Courier New"/>
          <w:sz w:val="24"/>
          <w:szCs w:val="24"/>
        </w:rPr>
        <w:t>)</w:t>
      </w:r>
      <w:r w:rsidR="00207E1F" w:rsidRPr="00D74E8E">
        <w:rPr>
          <w:rFonts w:eastAsiaTheme="minorHAnsi" w:cs="Courier New"/>
          <w:sz w:val="24"/>
          <w:szCs w:val="24"/>
        </w:rPr>
        <w:t xml:space="preserve"> ICR</w:t>
      </w:r>
      <w:r w:rsidR="008304E5" w:rsidRPr="00D74E8E">
        <w:rPr>
          <w:rFonts w:eastAsiaTheme="minorHAnsi" w:cs="Courier New"/>
          <w:sz w:val="24"/>
          <w:szCs w:val="24"/>
        </w:rPr>
        <w:t xml:space="preserve"> (OMB Control No. 0920-0931, expiration date 05/31/2018)</w:t>
      </w:r>
      <w:r w:rsidR="00EE1F94" w:rsidRPr="00D74E8E">
        <w:rPr>
          <w:rFonts w:eastAsiaTheme="minorHAnsi" w:cs="Courier New"/>
          <w:sz w:val="24"/>
          <w:szCs w:val="24"/>
        </w:rPr>
        <w:t>.</w:t>
      </w:r>
      <w:r w:rsidR="00DC750B" w:rsidRPr="00D74E8E">
        <w:rPr>
          <w:rFonts w:eastAsiaTheme="minorHAnsi" w:cs="Courier New"/>
          <w:sz w:val="24"/>
          <w:szCs w:val="24"/>
        </w:rPr>
        <w:t xml:space="preserve"> Th</w:t>
      </w:r>
      <w:r w:rsidR="00A40997" w:rsidRPr="00D74E8E">
        <w:rPr>
          <w:rFonts w:eastAsiaTheme="minorHAnsi" w:cs="Courier New"/>
          <w:sz w:val="24"/>
          <w:szCs w:val="24"/>
        </w:rPr>
        <w:t>e</w:t>
      </w:r>
      <w:r w:rsidR="008304E5" w:rsidRPr="00D74E8E">
        <w:rPr>
          <w:rFonts w:eastAsiaTheme="minorHAnsi" w:cs="Courier New"/>
          <w:sz w:val="24"/>
          <w:szCs w:val="24"/>
        </w:rPr>
        <w:t xml:space="preserve"> NIOSH AB</w:t>
      </w:r>
      <w:r w:rsidR="00DC750B" w:rsidRPr="00D74E8E">
        <w:rPr>
          <w:rFonts w:eastAsiaTheme="minorHAnsi" w:cs="Courier New"/>
          <w:sz w:val="24"/>
          <w:szCs w:val="24"/>
        </w:rPr>
        <w:t>L</w:t>
      </w:r>
      <w:r w:rsidR="008304E5" w:rsidRPr="00D74E8E">
        <w:rPr>
          <w:rFonts w:eastAsiaTheme="minorHAnsi" w:cs="Courier New"/>
          <w:sz w:val="24"/>
          <w:szCs w:val="24"/>
        </w:rPr>
        <w:t>E</w:t>
      </w:r>
      <w:r w:rsidR="00DC750B" w:rsidRPr="00D74E8E">
        <w:rPr>
          <w:rFonts w:eastAsiaTheme="minorHAnsi" w:cs="Courier New"/>
          <w:sz w:val="24"/>
          <w:szCs w:val="24"/>
        </w:rPr>
        <w:t xml:space="preserve">S Program is requesting approval for up to </w:t>
      </w:r>
      <w:r w:rsidR="003D6B0F" w:rsidRPr="00D74E8E">
        <w:rPr>
          <w:rFonts w:eastAsiaTheme="minorHAnsi" w:cs="Courier New"/>
          <w:sz w:val="24"/>
          <w:szCs w:val="24"/>
        </w:rPr>
        <w:t xml:space="preserve">40 </w:t>
      </w:r>
      <w:r w:rsidR="00DC750B" w:rsidRPr="00D74E8E">
        <w:rPr>
          <w:rFonts w:eastAsiaTheme="minorHAnsi" w:cs="Courier New"/>
          <w:sz w:val="24"/>
          <w:szCs w:val="24"/>
        </w:rPr>
        <w:t>respondents and an</w:t>
      </w:r>
      <w:r w:rsidR="00E3108A" w:rsidRPr="00D74E8E">
        <w:rPr>
          <w:rFonts w:eastAsiaTheme="minorHAnsi" w:cs="Courier New"/>
          <w:sz w:val="24"/>
          <w:szCs w:val="24"/>
        </w:rPr>
        <w:t xml:space="preserve"> </w:t>
      </w:r>
      <w:r w:rsidR="00DC750B" w:rsidRPr="00D74E8E">
        <w:rPr>
          <w:rFonts w:eastAsiaTheme="minorHAnsi" w:cs="Courier New"/>
          <w:sz w:val="24"/>
          <w:szCs w:val="24"/>
        </w:rPr>
        <w:t xml:space="preserve">annual time burden of </w:t>
      </w:r>
      <w:r w:rsidR="00F43BE9" w:rsidRPr="00D74E8E">
        <w:rPr>
          <w:rFonts w:eastAsiaTheme="minorHAnsi" w:cs="Courier New"/>
          <w:sz w:val="24"/>
          <w:szCs w:val="24"/>
        </w:rPr>
        <w:t>280</w:t>
      </w:r>
      <w:r w:rsidR="00DC750B" w:rsidRPr="00D74E8E">
        <w:rPr>
          <w:rFonts w:eastAsiaTheme="minorHAnsi" w:cs="Courier New"/>
          <w:sz w:val="24"/>
          <w:szCs w:val="24"/>
        </w:rPr>
        <w:t xml:space="preserve"> hours. In total, both collections will require a total time burden of </w:t>
      </w:r>
      <w:r w:rsidR="00F21468" w:rsidRPr="00D74E8E">
        <w:rPr>
          <w:rFonts w:eastAsiaTheme="minorHAnsi" w:cs="Courier New"/>
          <w:sz w:val="24"/>
          <w:szCs w:val="24"/>
        </w:rPr>
        <w:t>1,040</w:t>
      </w:r>
      <w:r w:rsidR="00DC750B" w:rsidRPr="00D74E8E">
        <w:rPr>
          <w:rFonts w:eastAsiaTheme="minorHAnsi" w:cs="Courier New"/>
          <w:sz w:val="24"/>
          <w:szCs w:val="24"/>
        </w:rPr>
        <w:t xml:space="preserve"> hours.</w:t>
      </w:r>
      <w:r w:rsidR="00A01072">
        <w:rPr>
          <w:rFonts w:eastAsiaTheme="minorHAnsi" w:cs="Courier New"/>
          <w:sz w:val="24"/>
          <w:szCs w:val="24"/>
        </w:rPr>
        <w:t xml:space="preserve"> </w:t>
      </w:r>
      <w:r w:rsidR="002D4235" w:rsidRPr="00D74E8E">
        <w:rPr>
          <w:rFonts w:eastAsiaTheme="minorHAnsi" w:cs="Courier New"/>
          <w:sz w:val="24"/>
          <w:szCs w:val="24"/>
        </w:rPr>
        <w:t>A discussion of the differences in the existing and the new blood lead surveillance</w:t>
      </w:r>
      <w:r w:rsidR="0033565F" w:rsidRPr="00D74E8E">
        <w:rPr>
          <w:rFonts w:eastAsiaTheme="minorHAnsi" w:cs="Courier New"/>
          <w:sz w:val="24"/>
          <w:szCs w:val="24"/>
        </w:rPr>
        <w:t xml:space="preserve"> ICRs</w:t>
      </w:r>
      <w:r w:rsidR="002D4235" w:rsidRPr="00D74E8E">
        <w:rPr>
          <w:rFonts w:eastAsiaTheme="minorHAnsi" w:cs="Courier New"/>
          <w:sz w:val="24"/>
          <w:szCs w:val="24"/>
        </w:rPr>
        <w:t xml:space="preserve"> is found in Section</w:t>
      </w:r>
      <w:r w:rsidR="000149B1" w:rsidRPr="00D74E8E">
        <w:rPr>
          <w:rFonts w:eastAsiaTheme="minorHAnsi" w:cs="Courier New"/>
          <w:sz w:val="24"/>
          <w:szCs w:val="24"/>
        </w:rPr>
        <w:t>s A.10 and</w:t>
      </w:r>
      <w:r w:rsidR="002D4235" w:rsidRPr="00D74E8E">
        <w:rPr>
          <w:rFonts w:eastAsiaTheme="minorHAnsi" w:cs="Courier New"/>
          <w:sz w:val="24"/>
          <w:szCs w:val="24"/>
        </w:rPr>
        <w:t xml:space="preserve"> A.15.</w:t>
      </w:r>
    </w:p>
    <w:p w14:paraId="35DC89B0" w14:textId="5ED07B4C" w:rsidR="00595F45" w:rsidRDefault="00C234BD" w:rsidP="00A420D3">
      <w:pPr>
        <w:rPr>
          <w:sz w:val="24"/>
          <w:szCs w:val="24"/>
        </w:rPr>
      </w:pPr>
      <w:r w:rsidRPr="00D74E8E">
        <w:rPr>
          <w:sz w:val="24"/>
          <w:szCs w:val="24"/>
        </w:rPr>
        <w:t>The mission of NIOSH is to promote safety and health at work for all people through research and prevention.</w:t>
      </w:r>
      <w:r w:rsidRPr="00D74E8E">
        <w:rPr>
          <w:rFonts w:ascii="Georgia" w:hAnsi="Georgia"/>
          <w:sz w:val="24"/>
          <w:szCs w:val="24"/>
        </w:rPr>
        <w:t xml:space="preserve">  </w:t>
      </w:r>
      <w:r w:rsidR="00AF0E02" w:rsidRPr="00D74E8E">
        <w:rPr>
          <w:rFonts w:cs="Arial"/>
          <w:sz w:val="24"/>
          <w:szCs w:val="24"/>
          <w:lang w:val="en"/>
        </w:rPr>
        <w:t xml:space="preserve">NIOSH </w:t>
      </w:r>
      <w:r w:rsidR="00594EFF" w:rsidRPr="00D74E8E">
        <w:rPr>
          <w:rFonts w:cs="Arial"/>
          <w:sz w:val="24"/>
          <w:szCs w:val="24"/>
          <w:lang w:val="en"/>
        </w:rPr>
        <w:t>was established under Section 22 (29 USC 671)</w:t>
      </w:r>
      <w:r w:rsidR="005A34D5" w:rsidRPr="00D74E8E">
        <w:rPr>
          <w:rFonts w:cs="Arial"/>
          <w:sz w:val="24"/>
          <w:szCs w:val="24"/>
          <w:lang w:val="en"/>
        </w:rPr>
        <w:t>,</w:t>
      </w:r>
      <w:r w:rsidR="00594EFF" w:rsidRPr="00D74E8E">
        <w:rPr>
          <w:rFonts w:cs="Arial"/>
          <w:sz w:val="24"/>
          <w:szCs w:val="24"/>
          <w:lang w:val="en"/>
        </w:rPr>
        <w:t xml:space="preserve"> and its </w:t>
      </w:r>
      <w:r w:rsidR="003A6834" w:rsidRPr="00D74E8E">
        <w:rPr>
          <w:rFonts w:cs="Arial"/>
          <w:sz w:val="24"/>
          <w:szCs w:val="24"/>
          <w:lang w:val="en"/>
        </w:rPr>
        <w:t xml:space="preserve">general </w:t>
      </w:r>
      <w:r w:rsidR="00AF0E02" w:rsidRPr="00D74E8E">
        <w:rPr>
          <w:rFonts w:cs="Arial"/>
          <w:sz w:val="24"/>
          <w:szCs w:val="24"/>
          <w:lang w:val="en"/>
        </w:rPr>
        <w:t>authority to conduct th</w:t>
      </w:r>
      <w:r w:rsidR="0050154A" w:rsidRPr="00D74E8E">
        <w:rPr>
          <w:rFonts w:cs="Arial"/>
          <w:sz w:val="24"/>
          <w:szCs w:val="24"/>
          <w:lang w:val="en"/>
        </w:rPr>
        <w:t xml:space="preserve">e ABLES collection is found in </w:t>
      </w:r>
      <w:r w:rsidR="0050154A" w:rsidRPr="00D74E8E">
        <w:rPr>
          <w:sz w:val="24"/>
          <w:szCs w:val="24"/>
        </w:rPr>
        <w:t xml:space="preserve">Section 20 </w:t>
      </w:r>
      <w:r w:rsidR="003A6834" w:rsidRPr="00D74E8E">
        <w:rPr>
          <w:sz w:val="24"/>
          <w:szCs w:val="24"/>
        </w:rPr>
        <w:t>(29 USC 669)</w:t>
      </w:r>
      <w:r w:rsidR="005A34D5" w:rsidRPr="00D74E8E">
        <w:rPr>
          <w:sz w:val="24"/>
          <w:szCs w:val="24"/>
        </w:rPr>
        <w:t>,</w:t>
      </w:r>
      <w:r w:rsidR="003A6834" w:rsidRPr="00D74E8E">
        <w:rPr>
          <w:rFonts w:cs="Arial"/>
          <w:sz w:val="24"/>
          <w:szCs w:val="24"/>
          <w:lang w:val="en"/>
        </w:rPr>
        <w:t xml:space="preserve"> </w:t>
      </w:r>
      <w:r w:rsidR="0050154A" w:rsidRPr="00D74E8E">
        <w:rPr>
          <w:sz w:val="24"/>
          <w:szCs w:val="24"/>
        </w:rPr>
        <w:t xml:space="preserve">of the </w:t>
      </w:r>
      <w:r w:rsidR="00CD337C" w:rsidRPr="00D74E8E">
        <w:rPr>
          <w:sz w:val="24"/>
          <w:szCs w:val="24"/>
        </w:rPr>
        <w:t xml:space="preserve">1970 </w:t>
      </w:r>
      <w:r w:rsidR="0050154A" w:rsidRPr="00D74E8E">
        <w:rPr>
          <w:sz w:val="24"/>
          <w:szCs w:val="24"/>
        </w:rPr>
        <w:t>Occupational Safety and Health Act</w:t>
      </w:r>
      <w:r w:rsidR="00CD337C" w:rsidRPr="00D74E8E">
        <w:rPr>
          <w:sz w:val="24"/>
          <w:szCs w:val="24"/>
        </w:rPr>
        <w:t xml:space="preserve"> (</w:t>
      </w:r>
      <w:bookmarkStart w:id="4" w:name="SECTION1"/>
      <w:bookmarkEnd w:id="4"/>
      <w:r w:rsidR="00CD337C" w:rsidRPr="00D74E8E">
        <w:rPr>
          <w:rFonts w:cs="Tahoma"/>
          <w:sz w:val="24"/>
          <w:szCs w:val="24"/>
        </w:rPr>
        <w:t>Public Law 91-596)</w:t>
      </w:r>
      <w:r w:rsidR="00664510" w:rsidRPr="00D74E8E">
        <w:rPr>
          <w:rFonts w:cs="Tahoma"/>
          <w:sz w:val="24"/>
          <w:szCs w:val="24"/>
        </w:rPr>
        <w:t>, as amended</w:t>
      </w:r>
      <w:r w:rsidR="0050154A" w:rsidRPr="00D74E8E">
        <w:rPr>
          <w:sz w:val="24"/>
          <w:szCs w:val="24"/>
        </w:rPr>
        <w:t xml:space="preserve"> </w:t>
      </w:r>
      <w:r w:rsidR="003610A0" w:rsidRPr="00D74E8E">
        <w:rPr>
          <w:sz w:val="24"/>
          <w:szCs w:val="24"/>
        </w:rPr>
        <w:t>(</w:t>
      </w:r>
      <w:r w:rsidR="003610A0" w:rsidRPr="00D74E8E">
        <w:rPr>
          <w:b/>
          <w:sz w:val="24"/>
          <w:szCs w:val="24"/>
        </w:rPr>
        <w:t>Attachment 1</w:t>
      </w:r>
      <w:r w:rsidR="00236BE1" w:rsidRPr="00D74E8E">
        <w:rPr>
          <w:b/>
          <w:sz w:val="24"/>
          <w:szCs w:val="24"/>
        </w:rPr>
        <w:t>b</w:t>
      </w:r>
      <w:r w:rsidR="003610A0" w:rsidRPr="00D74E8E">
        <w:rPr>
          <w:sz w:val="24"/>
          <w:szCs w:val="24"/>
        </w:rPr>
        <w:t>)</w:t>
      </w:r>
      <w:r w:rsidR="00AF0E02" w:rsidRPr="00D74E8E">
        <w:rPr>
          <w:rFonts w:cs="Arial"/>
          <w:sz w:val="24"/>
          <w:szCs w:val="24"/>
          <w:lang w:val="en"/>
        </w:rPr>
        <w:t>.</w:t>
      </w:r>
      <w:r w:rsidR="00A420D3" w:rsidRPr="00D74E8E">
        <w:rPr>
          <w:rFonts w:cs="Arial"/>
          <w:sz w:val="24"/>
          <w:szCs w:val="24"/>
          <w:lang w:val="en"/>
        </w:rPr>
        <w:t xml:space="preserve"> </w:t>
      </w:r>
      <w:r w:rsidRPr="00D74E8E">
        <w:rPr>
          <w:sz w:val="24"/>
          <w:szCs w:val="24"/>
        </w:rPr>
        <w:t>Tracking of occupational hazards, exposures, injuries and illnesses has and continues to be an integral part of the NIOSH mission. NIOSH provides funding and expertise necessary for states to understand and prevent work-related risks. This support allows states to develop or increase state health department capacity to conduct occupational safety and health surveillance, as well as develop intervention and prevention programs.</w:t>
      </w:r>
    </w:p>
    <w:p w14:paraId="6A0010D7" w14:textId="4959ED28" w:rsidR="00F33FA2" w:rsidRPr="00D74E8E" w:rsidRDefault="001957F2" w:rsidP="00A420D3">
      <w:pPr>
        <w:rPr>
          <w:sz w:val="24"/>
          <w:szCs w:val="24"/>
        </w:rPr>
      </w:pPr>
      <w:r w:rsidRPr="001957F2">
        <w:rPr>
          <w:sz w:val="24"/>
          <w:szCs w:val="24"/>
        </w:rPr>
        <w:t xml:space="preserve">Occupational exposures </w:t>
      </w:r>
      <w:r>
        <w:rPr>
          <w:sz w:val="24"/>
          <w:szCs w:val="24"/>
        </w:rPr>
        <w:t xml:space="preserve">to adults </w:t>
      </w:r>
      <w:r w:rsidRPr="001957F2">
        <w:rPr>
          <w:sz w:val="24"/>
          <w:szCs w:val="24"/>
        </w:rPr>
        <w:t>may affect child lead exposure in several ways including: take-home (e.g., dust or residual) exposures from parents employed in lead-related industries; pregnant and breastfeeding women who are employed in lead-related industries may pass exposure to unborn baby or breastfeeding infant; and older children employed on a part-time or full-time basis in work that may involve lead (e.g., construction, commercial fishing).</w:t>
      </w:r>
      <w:r w:rsidR="00072789">
        <w:rPr>
          <w:sz w:val="24"/>
          <w:szCs w:val="24"/>
        </w:rPr>
        <w:t xml:space="preserve">  Hence, b</w:t>
      </w:r>
      <w:r w:rsidR="00072789" w:rsidRPr="00072789">
        <w:rPr>
          <w:sz w:val="24"/>
          <w:szCs w:val="24"/>
        </w:rPr>
        <w:t>y combining the data collected from these two programs, CDC will be better able to identify and intervene for both childhood and adult lead exposure.</w:t>
      </w:r>
    </w:p>
    <w:p w14:paraId="54109C18" w14:textId="322ADF4F" w:rsidR="00C36650" w:rsidRPr="00D74E8E" w:rsidRDefault="008A61B8" w:rsidP="00146020">
      <w:pPr>
        <w:spacing w:before="120" w:line="276" w:lineRule="auto"/>
        <w:rPr>
          <w:rFonts w:asciiTheme="majorHAnsi" w:eastAsiaTheme="majorEastAsia" w:hAnsiTheme="majorHAnsi" w:cstheme="majorBidi"/>
          <w:sz w:val="36"/>
          <w:szCs w:val="36"/>
        </w:rPr>
      </w:pPr>
      <w:r w:rsidRPr="00D74E8E">
        <w:rPr>
          <w:sz w:val="24"/>
          <w:szCs w:val="24"/>
        </w:rPr>
        <w:t xml:space="preserve">The 60-day Federal Register Notice was published on </w:t>
      </w:r>
      <w:r w:rsidR="00877CCE" w:rsidRPr="00D74E8E">
        <w:rPr>
          <w:sz w:val="24"/>
          <w:szCs w:val="24"/>
        </w:rPr>
        <w:t>April 6, 2017</w:t>
      </w:r>
      <w:r w:rsidRPr="00D74E8E">
        <w:rPr>
          <w:sz w:val="24"/>
          <w:szCs w:val="24"/>
        </w:rPr>
        <w:t xml:space="preserve"> (</w:t>
      </w:r>
      <w:r w:rsidRPr="00D74E8E">
        <w:rPr>
          <w:b/>
          <w:sz w:val="24"/>
          <w:szCs w:val="24"/>
        </w:rPr>
        <w:t>Attachment 2</w:t>
      </w:r>
      <w:r w:rsidRPr="00D74E8E">
        <w:rPr>
          <w:sz w:val="24"/>
          <w:szCs w:val="24"/>
        </w:rPr>
        <w:t>) and is further discussed in Section A.8.</w:t>
      </w:r>
    </w:p>
    <w:p w14:paraId="66725973" w14:textId="74277175" w:rsidR="00B45002" w:rsidRPr="00D74E8E" w:rsidRDefault="00601F1A" w:rsidP="00601F1A">
      <w:pPr>
        <w:pStyle w:val="Heading1"/>
        <w:pBdr>
          <w:bottom w:val="none" w:sz="0" w:space="0" w:color="auto"/>
        </w:pBdr>
        <w:rPr>
          <w:color w:val="auto"/>
        </w:rPr>
      </w:pPr>
      <w:bookmarkStart w:id="5" w:name="_Toc494815279"/>
      <w:r w:rsidRPr="00D74E8E">
        <w:rPr>
          <w:color w:val="auto"/>
        </w:rPr>
        <w:t>A.</w:t>
      </w:r>
      <w:r w:rsidR="004D21C9" w:rsidRPr="00D74E8E">
        <w:rPr>
          <w:color w:val="auto"/>
        </w:rPr>
        <w:t>2</w:t>
      </w:r>
      <w:r w:rsidR="005E0A7B" w:rsidRPr="00D74E8E">
        <w:rPr>
          <w:color w:val="auto"/>
        </w:rPr>
        <w:t>. Purpose</w:t>
      </w:r>
      <w:r w:rsidR="00B45002" w:rsidRPr="00D74E8E">
        <w:rPr>
          <w:color w:val="auto"/>
        </w:rPr>
        <w:t xml:space="preserve"> and Use of the Information Collection</w:t>
      </w:r>
      <w:bookmarkEnd w:id="5"/>
    </w:p>
    <w:p w14:paraId="0ED6801B" w14:textId="77777777" w:rsidR="00831E07" w:rsidRPr="00D74E8E" w:rsidRDefault="00831E07" w:rsidP="00B26758">
      <w:pPr>
        <w:pStyle w:val="Default"/>
        <w:spacing w:line="276" w:lineRule="auto"/>
        <w:rPr>
          <w:rFonts w:asciiTheme="minorHAnsi" w:eastAsiaTheme="minorEastAsia" w:hAnsiTheme="minorHAnsi" w:cs="ITCFranklinGothicStd-Book"/>
          <w:color w:val="auto"/>
        </w:rPr>
      </w:pPr>
    </w:p>
    <w:p w14:paraId="2B52C201" w14:textId="22614B07" w:rsidR="0086311B" w:rsidRPr="00D74E8E" w:rsidRDefault="00C91FD2" w:rsidP="00864E6C">
      <w:pPr>
        <w:rPr>
          <w:sz w:val="24"/>
          <w:szCs w:val="24"/>
        </w:rPr>
      </w:pPr>
      <w:r w:rsidRPr="00D74E8E">
        <w:rPr>
          <w:sz w:val="24"/>
          <w:szCs w:val="24"/>
        </w:rPr>
        <w:t>T</w:t>
      </w:r>
      <w:r w:rsidR="003E2D3E" w:rsidRPr="00D74E8E">
        <w:rPr>
          <w:sz w:val="24"/>
          <w:szCs w:val="24"/>
        </w:rPr>
        <w:t>he two CDC collections</w:t>
      </w:r>
      <w:r w:rsidR="006F4F9C" w:rsidRPr="00D74E8E">
        <w:rPr>
          <w:sz w:val="24"/>
          <w:szCs w:val="24"/>
        </w:rPr>
        <w:t>,</w:t>
      </w:r>
      <w:r w:rsidR="003E2D3E" w:rsidRPr="00D74E8E">
        <w:rPr>
          <w:sz w:val="24"/>
          <w:szCs w:val="24"/>
        </w:rPr>
        <w:t xml:space="preserve"> under </w:t>
      </w:r>
      <w:r w:rsidR="00FE5650" w:rsidRPr="00D74E8E">
        <w:rPr>
          <w:sz w:val="24"/>
          <w:szCs w:val="24"/>
        </w:rPr>
        <w:t>this</w:t>
      </w:r>
      <w:r w:rsidR="003E2D3E" w:rsidRPr="00D74E8E">
        <w:rPr>
          <w:sz w:val="24"/>
          <w:szCs w:val="24"/>
        </w:rPr>
        <w:t xml:space="preserve"> single ICR</w:t>
      </w:r>
      <w:r w:rsidR="006F4F9C" w:rsidRPr="00D74E8E">
        <w:rPr>
          <w:sz w:val="24"/>
          <w:szCs w:val="24"/>
        </w:rPr>
        <w:t>,</w:t>
      </w:r>
      <w:r w:rsidR="003E2D3E" w:rsidRPr="00D74E8E">
        <w:rPr>
          <w:sz w:val="24"/>
          <w:szCs w:val="24"/>
        </w:rPr>
        <w:t xml:space="preserve"> cover blood lead surveillance over the </w:t>
      </w:r>
      <w:r w:rsidR="00775B05" w:rsidRPr="00D74E8E">
        <w:rPr>
          <w:sz w:val="24"/>
          <w:szCs w:val="24"/>
        </w:rPr>
        <w:t>United States (</w:t>
      </w:r>
      <w:r w:rsidR="006C174A" w:rsidRPr="00D74E8E">
        <w:rPr>
          <w:sz w:val="24"/>
          <w:szCs w:val="24"/>
        </w:rPr>
        <w:t>U</w:t>
      </w:r>
      <w:r w:rsidR="0034652E">
        <w:rPr>
          <w:sz w:val="24"/>
          <w:szCs w:val="24"/>
        </w:rPr>
        <w:t>.</w:t>
      </w:r>
      <w:r w:rsidR="006C174A" w:rsidRPr="00D74E8E">
        <w:rPr>
          <w:sz w:val="24"/>
          <w:szCs w:val="24"/>
        </w:rPr>
        <w:t>S</w:t>
      </w:r>
      <w:r w:rsidR="0034652E">
        <w:rPr>
          <w:sz w:val="24"/>
          <w:szCs w:val="24"/>
        </w:rPr>
        <w:t>.</w:t>
      </w:r>
      <w:r w:rsidR="00775B05" w:rsidRPr="00D74E8E">
        <w:rPr>
          <w:sz w:val="24"/>
          <w:szCs w:val="24"/>
        </w:rPr>
        <w:t>)</w:t>
      </w:r>
      <w:r w:rsidR="006C174A" w:rsidRPr="00D74E8E">
        <w:rPr>
          <w:sz w:val="24"/>
          <w:szCs w:val="24"/>
        </w:rPr>
        <w:t xml:space="preserve"> </w:t>
      </w:r>
      <w:r w:rsidR="00E16EBD" w:rsidRPr="00D74E8E">
        <w:rPr>
          <w:sz w:val="24"/>
          <w:szCs w:val="24"/>
        </w:rPr>
        <w:t xml:space="preserve">population </w:t>
      </w:r>
      <w:r w:rsidR="006C174A" w:rsidRPr="00D74E8E">
        <w:rPr>
          <w:sz w:val="24"/>
          <w:szCs w:val="24"/>
        </w:rPr>
        <w:t>lifespan, for</w:t>
      </w:r>
      <w:r w:rsidR="002F3A75" w:rsidRPr="00D74E8E">
        <w:rPr>
          <w:sz w:val="24"/>
          <w:szCs w:val="24"/>
        </w:rPr>
        <w:t xml:space="preserve"> </w:t>
      </w:r>
      <w:r w:rsidR="003E2D3E" w:rsidRPr="00D74E8E">
        <w:rPr>
          <w:sz w:val="24"/>
          <w:szCs w:val="24"/>
        </w:rPr>
        <w:t>children under 16 years of age</w:t>
      </w:r>
      <w:r w:rsidR="00515AD9" w:rsidRPr="00D74E8E">
        <w:rPr>
          <w:sz w:val="24"/>
          <w:szCs w:val="24"/>
        </w:rPr>
        <w:t>,</w:t>
      </w:r>
      <w:r w:rsidR="006C174A" w:rsidRPr="00D74E8E">
        <w:rPr>
          <w:sz w:val="24"/>
          <w:szCs w:val="24"/>
        </w:rPr>
        <w:t xml:space="preserve"> and for</w:t>
      </w:r>
      <w:r w:rsidR="002F3A75" w:rsidRPr="00D74E8E">
        <w:rPr>
          <w:sz w:val="24"/>
          <w:szCs w:val="24"/>
        </w:rPr>
        <w:t xml:space="preserve"> </w:t>
      </w:r>
      <w:r w:rsidR="003E2D3E" w:rsidRPr="00D74E8E">
        <w:rPr>
          <w:sz w:val="24"/>
          <w:szCs w:val="24"/>
        </w:rPr>
        <w:t>adults 16 years of age or over who may have entered the workforce.</w:t>
      </w:r>
      <w:r w:rsidR="00BB2CA7" w:rsidRPr="00D74E8E">
        <w:rPr>
          <w:rFonts w:cs="ITCFranklinGothicStd-Book"/>
          <w:noProof/>
          <w:sz w:val="24"/>
          <w:szCs w:val="24"/>
        </w:rPr>
        <w:t xml:space="preserve"> </w:t>
      </w:r>
      <w:r w:rsidR="009D34EE" w:rsidRPr="00D74E8E">
        <w:rPr>
          <w:rFonts w:cs="ITCFranklinGothicStd-Book"/>
          <w:sz w:val="24"/>
          <w:szCs w:val="24"/>
        </w:rPr>
        <w:t xml:space="preserve">A summary of </w:t>
      </w:r>
      <w:r w:rsidR="009E2249" w:rsidRPr="00D74E8E">
        <w:rPr>
          <w:rFonts w:cs="ITCFranklinGothicStd-Book"/>
          <w:sz w:val="24"/>
          <w:szCs w:val="24"/>
        </w:rPr>
        <w:t>CBLS</w:t>
      </w:r>
      <w:r w:rsidR="009D34EE" w:rsidRPr="00D74E8E">
        <w:rPr>
          <w:rFonts w:cs="ITCFranklinGothicStd-Book"/>
          <w:sz w:val="24"/>
          <w:szCs w:val="24"/>
        </w:rPr>
        <w:t xml:space="preserve"> and ABLES </w:t>
      </w:r>
      <w:r w:rsidR="00F2176D">
        <w:rPr>
          <w:rFonts w:cs="ITCFranklinGothicStd-Book"/>
          <w:sz w:val="24"/>
          <w:szCs w:val="24"/>
        </w:rPr>
        <w:t>Program</w:t>
      </w:r>
      <w:r w:rsidR="009D34EE" w:rsidRPr="00D74E8E">
        <w:rPr>
          <w:rFonts w:cs="ITCFranklinGothicStd-Book"/>
          <w:sz w:val="24"/>
          <w:szCs w:val="24"/>
        </w:rPr>
        <w:t xml:space="preserve"> milestones and accomplishments is found in </w:t>
      </w:r>
      <w:r w:rsidR="009D34EE" w:rsidRPr="00D74E8E">
        <w:rPr>
          <w:rFonts w:cs="ITCFranklinGothicStd-Book"/>
          <w:b/>
          <w:sz w:val="24"/>
          <w:szCs w:val="24"/>
        </w:rPr>
        <w:t xml:space="preserve">Attachment </w:t>
      </w:r>
      <w:r w:rsidR="00877CCE" w:rsidRPr="00D74E8E">
        <w:rPr>
          <w:rFonts w:cs="ITCFranklinGothicStd-Book"/>
          <w:b/>
          <w:sz w:val="24"/>
          <w:szCs w:val="24"/>
        </w:rPr>
        <w:t>4</w:t>
      </w:r>
      <w:r w:rsidR="009D34EE" w:rsidRPr="00D74E8E">
        <w:rPr>
          <w:rFonts w:cs="ITCFranklinGothicStd-Book"/>
          <w:sz w:val="24"/>
          <w:szCs w:val="24"/>
        </w:rPr>
        <w:t xml:space="preserve">. </w:t>
      </w:r>
      <w:r w:rsidR="00E6217F">
        <w:rPr>
          <w:sz w:val="24"/>
          <w:szCs w:val="24"/>
        </w:rPr>
        <w:t>Th</w:t>
      </w:r>
      <w:r w:rsidR="005A677D" w:rsidRPr="00D74E8E">
        <w:rPr>
          <w:sz w:val="24"/>
          <w:szCs w:val="24"/>
        </w:rPr>
        <w:t>e NCEH CB</w:t>
      </w:r>
      <w:r w:rsidR="0075071C" w:rsidRPr="00D74E8E">
        <w:rPr>
          <w:sz w:val="24"/>
          <w:szCs w:val="24"/>
        </w:rPr>
        <w:t>LS and the NIOSH ABLES Programs</w:t>
      </w:r>
      <w:r w:rsidR="00C14297" w:rsidRPr="00D74E8E">
        <w:rPr>
          <w:sz w:val="24"/>
          <w:szCs w:val="24"/>
        </w:rPr>
        <w:t xml:space="preserve"> </w:t>
      </w:r>
      <w:r w:rsidR="00E6217F">
        <w:rPr>
          <w:sz w:val="24"/>
          <w:szCs w:val="24"/>
        </w:rPr>
        <w:t xml:space="preserve">together </w:t>
      </w:r>
      <w:r w:rsidR="00C14297" w:rsidRPr="00D74E8E">
        <w:rPr>
          <w:sz w:val="24"/>
          <w:szCs w:val="24"/>
        </w:rPr>
        <w:t>allow</w:t>
      </w:r>
      <w:r w:rsidR="0037690A" w:rsidRPr="00D74E8E">
        <w:rPr>
          <w:sz w:val="24"/>
          <w:szCs w:val="24"/>
        </w:rPr>
        <w:t xml:space="preserve"> CDC</w:t>
      </w:r>
      <w:r w:rsidR="005A677D" w:rsidRPr="00D74E8E">
        <w:rPr>
          <w:sz w:val="24"/>
          <w:szCs w:val="24"/>
        </w:rPr>
        <w:t xml:space="preserve"> to </w:t>
      </w:r>
      <w:r w:rsidR="00313AFA" w:rsidRPr="00D74E8E">
        <w:rPr>
          <w:sz w:val="24"/>
          <w:szCs w:val="24"/>
        </w:rPr>
        <w:t xml:space="preserve">better </w:t>
      </w:r>
      <w:r w:rsidR="005A677D" w:rsidRPr="00D74E8E">
        <w:rPr>
          <w:sz w:val="24"/>
          <w:szCs w:val="24"/>
        </w:rPr>
        <w:t xml:space="preserve">identify and intervene for </w:t>
      </w:r>
      <w:r w:rsidR="00E6217F">
        <w:rPr>
          <w:sz w:val="24"/>
          <w:szCs w:val="24"/>
        </w:rPr>
        <w:t xml:space="preserve">both </w:t>
      </w:r>
      <w:r w:rsidR="005A677D" w:rsidRPr="00D74E8E">
        <w:rPr>
          <w:sz w:val="24"/>
          <w:szCs w:val="24"/>
        </w:rPr>
        <w:t xml:space="preserve">childhood </w:t>
      </w:r>
      <w:r w:rsidR="00344979" w:rsidRPr="00D74E8E">
        <w:rPr>
          <w:sz w:val="24"/>
          <w:szCs w:val="24"/>
        </w:rPr>
        <w:t xml:space="preserve">and adult </w:t>
      </w:r>
      <w:r w:rsidR="005A677D" w:rsidRPr="00D74E8E">
        <w:rPr>
          <w:sz w:val="24"/>
          <w:szCs w:val="24"/>
        </w:rPr>
        <w:t>lead exposure from lead paint, contaminated water, soil, dust or consumer products; for occupational exposures; and for “take home” exposures when workers bring lead contaminated clothing or equipment home to their children (NIOSH, 1995 &amp; 2002; OSHA, 2014; Newman, 2015).</w:t>
      </w:r>
    </w:p>
    <w:p w14:paraId="248AA7F4" w14:textId="58D0EB1B" w:rsidR="005A677D" w:rsidRPr="00D74E8E" w:rsidRDefault="00250C44" w:rsidP="00864E6C">
      <w:pPr>
        <w:rPr>
          <w:rFonts w:cs="ITCFranklinGothicStd-Book"/>
          <w:sz w:val="24"/>
          <w:szCs w:val="24"/>
        </w:rPr>
      </w:pPr>
      <w:r w:rsidRPr="00D74E8E">
        <w:rPr>
          <w:rFonts w:cs="ITCFranklinGothicStd-Book"/>
          <w:noProof/>
          <w:sz w:val="24"/>
          <w:szCs w:val="24"/>
        </w:rPr>
        <mc:AlternateContent>
          <mc:Choice Requires="wps">
            <w:drawing>
              <wp:anchor distT="45720" distB="45720" distL="114300" distR="114300" simplePos="0" relativeHeight="251671552" behindDoc="0" locked="0" layoutInCell="1" allowOverlap="1" wp14:anchorId="0D16297A" wp14:editId="54FB4BEA">
                <wp:simplePos x="0" y="0"/>
                <wp:positionH relativeFrom="margin">
                  <wp:align>left</wp:align>
                </wp:positionH>
                <wp:positionV relativeFrom="paragraph">
                  <wp:posOffset>610553</wp:posOffset>
                </wp:positionV>
                <wp:extent cx="6033135" cy="1404620"/>
                <wp:effectExtent l="0" t="0" r="2476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1404620"/>
                        </a:xfrm>
                        <a:prstGeom prst="rect">
                          <a:avLst/>
                        </a:prstGeom>
                        <a:solidFill>
                          <a:srgbClr val="FFFFFF"/>
                        </a:solidFill>
                        <a:ln w="9525">
                          <a:solidFill>
                            <a:srgbClr val="000000"/>
                          </a:solidFill>
                          <a:miter lim="800000"/>
                          <a:headEnd/>
                          <a:tailEnd/>
                        </a:ln>
                      </wps:spPr>
                      <wps:txbx>
                        <w:txbxContent>
                          <w:p w14:paraId="659A0915" w14:textId="26C968F7" w:rsidR="00D271EF" w:rsidRPr="00170EDA" w:rsidRDefault="00D271EF" w:rsidP="00CE590C">
                            <w:pPr>
                              <w:spacing w:line="240" w:lineRule="auto"/>
                              <w:rPr>
                                <w:rFonts w:cs="ITCFranklinGothicStd-Book"/>
                                <w:b/>
                                <w:sz w:val="20"/>
                                <w:szCs w:val="20"/>
                              </w:rPr>
                            </w:pPr>
                            <w:r w:rsidRPr="00170EDA">
                              <w:rPr>
                                <w:rFonts w:cs="ITCFranklinGothicStd-Book"/>
                                <w:b/>
                                <w:sz w:val="20"/>
                                <w:szCs w:val="20"/>
                              </w:rPr>
                              <w:t>Table A.2.1. Healthy People 2020 Goals</w:t>
                            </w:r>
                          </w:p>
                          <w:p w14:paraId="4D3AECC9" w14:textId="0C6C1BB0" w:rsidR="00D271EF" w:rsidRPr="00170EDA" w:rsidRDefault="00D271EF" w:rsidP="00CE590C">
                            <w:pPr>
                              <w:spacing w:line="240" w:lineRule="auto"/>
                              <w:rPr>
                                <w:rFonts w:cs="ITCFranklinGothicStd-Book"/>
                                <w:sz w:val="20"/>
                                <w:szCs w:val="20"/>
                              </w:rPr>
                            </w:pPr>
                            <w:r w:rsidRPr="003621A6">
                              <w:rPr>
                                <w:rFonts w:cs="ITCFranklinGothicStd-Book"/>
                                <w:b/>
                                <w:sz w:val="20"/>
                                <w:szCs w:val="20"/>
                              </w:rPr>
                              <w:t>Childhood Blood Lead Surveillance System (CBLS)</w:t>
                            </w:r>
                          </w:p>
                          <w:p w14:paraId="04916284" w14:textId="2A6EDBD2" w:rsidR="00D271EF" w:rsidRPr="00170EDA" w:rsidRDefault="00D271EF" w:rsidP="00CE590C">
                            <w:pPr>
                              <w:spacing w:line="240" w:lineRule="auto"/>
                              <w:rPr>
                                <w:rFonts w:cs="ITCFranklinGothicStd-Book"/>
                              </w:rPr>
                            </w:pPr>
                            <w:r w:rsidRPr="00170EDA">
                              <w:rPr>
                                <w:rFonts w:cs="ITCFranklinGothicStd-Book"/>
                                <w:sz w:val="20"/>
                                <w:szCs w:val="20"/>
                                <w:u w:val="single"/>
                              </w:rPr>
                              <w:t>Environmental Health Goal:</w:t>
                            </w:r>
                            <w:r w:rsidRPr="00170EDA">
                              <w:rPr>
                                <w:rFonts w:cs="ITCFranklinGothicStd-Book"/>
                                <w:sz w:val="20"/>
                                <w:szCs w:val="20"/>
                              </w:rPr>
                              <w:t xml:space="preserve"> </w:t>
                            </w:r>
                            <w:r w:rsidRPr="00170EDA">
                              <w:rPr>
                                <w:rFonts w:cs="Arial"/>
                                <w:sz w:val="20"/>
                                <w:szCs w:val="20"/>
                                <w:lang w:val="en"/>
                              </w:rPr>
                              <w:t>Promote health for all through a healthy environment.</w:t>
                            </w:r>
                          </w:p>
                          <w:p w14:paraId="2FBF8BE7" w14:textId="79F3D98F" w:rsidR="00D271EF" w:rsidRPr="00170EDA" w:rsidRDefault="00D271EF" w:rsidP="00CE590C">
                            <w:pPr>
                              <w:pStyle w:val="ListParagraph"/>
                              <w:numPr>
                                <w:ilvl w:val="0"/>
                                <w:numId w:val="44"/>
                              </w:numPr>
                              <w:spacing w:after="0" w:line="240" w:lineRule="auto"/>
                              <w:ind w:left="360"/>
                              <w:contextualSpacing w:val="0"/>
                              <w:rPr>
                                <w:rFonts w:cs="ITCFranklinGothicStd-Book"/>
                                <w:sz w:val="20"/>
                                <w:szCs w:val="20"/>
                              </w:rPr>
                            </w:pPr>
                            <w:r w:rsidRPr="00170EDA">
                              <w:rPr>
                                <w:rStyle w:val="field-content9"/>
                                <w:rFonts w:cs="Arial"/>
                                <w:sz w:val="20"/>
                                <w:szCs w:val="20"/>
                                <w:u w:val="single"/>
                                <w:lang w:val="en"/>
                              </w:rPr>
                              <w:t>Objective EH-8</w:t>
                            </w:r>
                            <w:r w:rsidRPr="00170EDA">
                              <w:rPr>
                                <w:rStyle w:val="field-content9"/>
                                <w:rFonts w:cs="Arial"/>
                                <w:sz w:val="20"/>
                                <w:szCs w:val="20"/>
                                <w:lang w:val="en"/>
                              </w:rPr>
                              <w:t xml:space="preserve"> - Reduce blood lead levels in children.</w:t>
                            </w:r>
                          </w:p>
                          <w:p w14:paraId="05B54355" w14:textId="1AEE2DBA" w:rsidR="00D271EF" w:rsidRPr="00170EDA" w:rsidRDefault="00D271EF" w:rsidP="00CE590C">
                            <w:pPr>
                              <w:pStyle w:val="ListParagraph"/>
                              <w:numPr>
                                <w:ilvl w:val="0"/>
                                <w:numId w:val="44"/>
                              </w:numPr>
                              <w:spacing w:after="0" w:line="240" w:lineRule="auto"/>
                              <w:contextualSpacing w:val="0"/>
                              <w:rPr>
                                <w:rStyle w:val="field-content9"/>
                                <w:rFonts w:cs="ITCFranklinGothicStd-Book"/>
                                <w:sz w:val="20"/>
                                <w:szCs w:val="20"/>
                                <w:u w:val="single"/>
                              </w:rPr>
                            </w:pPr>
                            <w:r w:rsidRPr="00170EDA">
                              <w:rPr>
                                <w:rStyle w:val="field-content9"/>
                                <w:rFonts w:cs="ITCFranklinGothicStd-Book"/>
                                <w:sz w:val="20"/>
                                <w:szCs w:val="20"/>
                                <w:u w:val="single"/>
                              </w:rPr>
                              <w:t xml:space="preserve">Objective </w:t>
                            </w:r>
                            <w:r w:rsidRPr="00170EDA">
                              <w:rPr>
                                <w:rStyle w:val="field-content9"/>
                                <w:rFonts w:cs="Arial"/>
                                <w:sz w:val="20"/>
                                <w:szCs w:val="20"/>
                                <w:u w:val="single"/>
                                <w:lang w:val="en"/>
                              </w:rPr>
                              <w:t>EH-8.1</w:t>
                            </w:r>
                            <w:r w:rsidRPr="00170EDA">
                              <w:rPr>
                                <w:rStyle w:val="field-content9"/>
                                <w:rFonts w:cs="Arial"/>
                                <w:sz w:val="20"/>
                                <w:szCs w:val="20"/>
                                <w:lang w:val="en"/>
                              </w:rPr>
                              <w:t xml:space="preserve"> - Reduce blood lead level in children aged 1–5 years.</w:t>
                            </w:r>
                          </w:p>
                          <w:p w14:paraId="3B466611" w14:textId="68D78840" w:rsidR="00D271EF" w:rsidRPr="00170EDA" w:rsidRDefault="00D271EF" w:rsidP="00CE590C">
                            <w:pPr>
                              <w:pStyle w:val="ListParagraph"/>
                              <w:numPr>
                                <w:ilvl w:val="0"/>
                                <w:numId w:val="44"/>
                              </w:numPr>
                              <w:spacing w:line="240" w:lineRule="auto"/>
                              <w:contextualSpacing w:val="0"/>
                              <w:rPr>
                                <w:rStyle w:val="field-content9"/>
                                <w:rFonts w:cs="ITCFranklinGothicStd-Book"/>
                                <w:sz w:val="20"/>
                                <w:szCs w:val="20"/>
                                <w:u w:val="single"/>
                              </w:rPr>
                            </w:pPr>
                            <w:r w:rsidRPr="00170EDA">
                              <w:rPr>
                                <w:rStyle w:val="field-content9"/>
                                <w:rFonts w:cs="Arial"/>
                                <w:sz w:val="20"/>
                                <w:szCs w:val="20"/>
                                <w:u w:val="single"/>
                                <w:lang w:val="en"/>
                              </w:rPr>
                              <w:t>Objective EH-8.2</w:t>
                            </w:r>
                            <w:r w:rsidRPr="00170EDA">
                              <w:rPr>
                                <w:rStyle w:val="field-content9"/>
                                <w:rFonts w:cs="Arial"/>
                                <w:sz w:val="20"/>
                                <w:szCs w:val="20"/>
                                <w:lang w:val="en"/>
                              </w:rPr>
                              <w:t xml:space="preserve"> - Reduce the mean blood lead levels in children.</w:t>
                            </w:r>
                          </w:p>
                          <w:p w14:paraId="5C0ACBCB" w14:textId="77777777" w:rsidR="00D271EF" w:rsidRPr="00170EDA" w:rsidRDefault="00D271EF" w:rsidP="00CE590C">
                            <w:pPr>
                              <w:pStyle w:val="ListParagraph"/>
                              <w:numPr>
                                <w:ilvl w:val="0"/>
                                <w:numId w:val="44"/>
                              </w:numPr>
                              <w:spacing w:line="240" w:lineRule="auto"/>
                              <w:ind w:left="360"/>
                              <w:rPr>
                                <w:rStyle w:val="field-content9"/>
                                <w:rFonts w:cs="ITCFranklinGothicStd-Book"/>
                                <w:sz w:val="20"/>
                                <w:szCs w:val="20"/>
                              </w:rPr>
                            </w:pPr>
                            <w:r w:rsidRPr="00170EDA">
                              <w:rPr>
                                <w:rStyle w:val="field-content9"/>
                                <w:rFonts w:cs="Arial"/>
                                <w:sz w:val="20"/>
                                <w:szCs w:val="20"/>
                                <w:u w:val="single"/>
                                <w:lang w:val="en"/>
                              </w:rPr>
                              <w:t>Objective EH-20</w:t>
                            </w:r>
                            <w:r w:rsidRPr="00170EDA">
                              <w:rPr>
                                <w:rStyle w:val="field-content9"/>
                                <w:rFonts w:cs="Arial"/>
                                <w:sz w:val="20"/>
                                <w:szCs w:val="20"/>
                                <w:lang w:val="en"/>
                              </w:rPr>
                              <w:t xml:space="preserve"> - Reduce exposure to selected environmental chemicals in the population, as measured by blood and urine concentrations of the substances or their metabolites.</w:t>
                            </w:r>
                          </w:p>
                          <w:p w14:paraId="35945AC0" w14:textId="7524DC62" w:rsidR="00D271EF" w:rsidRPr="00170EDA" w:rsidRDefault="00D271EF" w:rsidP="00CE590C">
                            <w:pPr>
                              <w:pStyle w:val="ListParagraph"/>
                              <w:numPr>
                                <w:ilvl w:val="0"/>
                                <w:numId w:val="44"/>
                              </w:numPr>
                              <w:spacing w:line="240" w:lineRule="auto"/>
                              <w:rPr>
                                <w:rStyle w:val="field-content9"/>
                                <w:rFonts w:cs="ITCFranklinGothicStd-Book"/>
                                <w:sz w:val="20"/>
                                <w:szCs w:val="20"/>
                              </w:rPr>
                            </w:pPr>
                            <w:r w:rsidRPr="00170EDA">
                              <w:rPr>
                                <w:rStyle w:val="field-content9"/>
                                <w:rFonts w:cs="Arial"/>
                                <w:sz w:val="20"/>
                                <w:szCs w:val="20"/>
                                <w:u w:val="single"/>
                                <w:lang w:val="en"/>
                              </w:rPr>
                              <w:t>Objective EH-20.3</w:t>
                            </w:r>
                            <w:r w:rsidRPr="00170EDA">
                              <w:rPr>
                                <w:rStyle w:val="field-content9"/>
                                <w:rFonts w:cs="Arial"/>
                                <w:sz w:val="20"/>
                                <w:szCs w:val="20"/>
                                <w:lang w:val="en"/>
                              </w:rPr>
                              <w:t xml:space="preserve"> - Reduce exposure to lead in the population, as measured by blood and urine concentrations of the substance or its metabolites.</w:t>
                            </w:r>
                          </w:p>
                          <w:p w14:paraId="3396BC25" w14:textId="623626B5" w:rsidR="00D271EF" w:rsidRPr="00170EDA" w:rsidRDefault="00D271EF" w:rsidP="00CE590C">
                            <w:pPr>
                              <w:pStyle w:val="ListParagraph"/>
                              <w:numPr>
                                <w:ilvl w:val="0"/>
                                <w:numId w:val="44"/>
                              </w:numPr>
                              <w:spacing w:line="240" w:lineRule="auto"/>
                              <w:ind w:left="360"/>
                              <w:rPr>
                                <w:rStyle w:val="field-content9"/>
                                <w:rFonts w:cs="ITCFranklinGothicStd-Book"/>
                                <w:sz w:val="20"/>
                                <w:szCs w:val="20"/>
                              </w:rPr>
                            </w:pPr>
                            <w:r w:rsidRPr="00170EDA">
                              <w:rPr>
                                <w:rFonts w:cs="Arial"/>
                                <w:sz w:val="20"/>
                                <w:szCs w:val="20"/>
                                <w:u w:val="single"/>
                                <w:lang w:val="en"/>
                              </w:rPr>
                              <w:t xml:space="preserve">Objective </w:t>
                            </w:r>
                            <w:r w:rsidRPr="00170EDA">
                              <w:rPr>
                                <w:rStyle w:val="field-content9"/>
                                <w:rFonts w:cs="Arial"/>
                                <w:sz w:val="20"/>
                                <w:szCs w:val="20"/>
                                <w:u w:val="single"/>
                                <w:lang w:val="en"/>
                              </w:rPr>
                              <w:t>EH-22.1</w:t>
                            </w:r>
                            <w:r w:rsidRPr="00170EDA">
                              <w:rPr>
                                <w:rStyle w:val="field-content9"/>
                                <w:rFonts w:cs="Arial"/>
                                <w:sz w:val="20"/>
                                <w:szCs w:val="20"/>
                                <w:lang w:val="en"/>
                              </w:rPr>
                              <w:t xml:space="preserve"> - Increase the number of States, Territories, Tribes, and the District of Columbia that monitor diseases or conditions that can be caused by exposure to lead poisoning.</w:t>
                            </w:r>
                          </w:p>
                          <w:p w14:paraId="52A7BA5A" w14:textId="69F868BA" w:rsidR="00D271EF" w:rsidRPr="00170EDA" w:rsidRDefault="00D271EF" w:rsidP="00CE590C">
                            <w:pPr>
                              <w:spacing w:line="240" w:lineRule="auto"/>
                              <w:rPr>
                                <w:rFonts w:cs="ITCFranklinGothicStd-Book"/>
                                <w:sz w:val="20"/>
                                <w:szCs w:val="20"/>
                              </w:rPr>
                            </w:pPr>
                            <w:r w:rsidRPr="00170EDA">
                              <w:rPr>
                                <w:rFonts w:cs="ITCFranklinGothicStd-Book"/>
                                <w:b/>
                                <w:sz w:val="20"/>
                                <w:szCs w:val="20"/>
                              </w:rPr>
                              <w:t>Adult Blood Lead Epidemiology and Surveillance (ABLES)</w:t>
                            </w:r>
                          </w:p>
                          <w:p w14:paraId="07A4E22C" w14:textId="77777777" w:rsidR="00D271EF" w:rsidRPr="00170EDA" w:rsidRDefault="00D271EF" w:rsidP="00CE590C">
                            <w:pPr>
                              <w:spacing w:line="240" w:lineRule="auto"/>
                              <w:rPr>
                                <w:rFonts w:cs="ITCFranklinGothicStd-Book"/>
                                <w:sz w:val="20"/>
                                <w:szCs w:val="20"/>
                              </w:rPr>
                            </w:pPr>
                            <w:r w:rsidRPr="00170EDA">
                              <w:rPr>
                                <w:rFonts w:cs="Arial"/>
                                <w:sz w:val="20"/>
                                <w:szCs w:val="20"/>
                                <w:u w:val="single"/>
                                <w:lang w:val="en"/>
                              </w:rPr>
                              <w:t>Occupational Safety and Health Goal</w:t>
                            </w:r>
                            <w:r w:rsidRPr="00170EDA">
                              <w:rPr>
                                <w:rFonts w:cs="Arial"/>
                                <w:sz w:val="20"/>
                                <w:szCs w:val="20"/>
                                <w:lang w:val="en"/>
                              </w:rPr>
                              <w:t>: Promote the health and safety of people at work through prevention and early intervention.</w:t>
                            </w:r>
                          </w:p>
                          <w:p w14:paraId="5B856370" w14:textId="77777777" w:rsidR="00D271EF" w:rsidRPr="00170EDA" w:rsidRDefault="00D271EF" w:rsidP="00CE590C">
                            <w:pPr>
                              <w:pStyle w:val="ListParagraph"/>
                              <w:numPr>
                                <w:ilvl w:val="0"/>
                                <w:numId w:val="45"/>
                              </w:numPr>
                              <w:spacing w:line="240" w:lineRule="auto"/>
                              <w:ind w:left="360"/>
                              <w:rPr>
                                <w:rFonts w:cs="ITCFranklinGothicStd-Book"/>
                                <w:sz w:val="20"/>
                                <w:szCs w:val="20"/>
                              </w:rPr>
                            </w:pPr>
                            <w:r w:rsidRPr="00170EDA">
                              <w:rPr>
                                <w:rFonts w:cs="Arial"/>
                                <w:sz w:val="20"/>
                                <w:szCs w:val="20"/>
                                <w:u w:val="single"/>
                                <w:lang w:val="en"/>
                              </w:rPr>
                              <w:t xml:space="preserve">Objective </w:t>
                            </w:r>
                            <w:r w:rsidRPr="00170EDA">
                              <w:rPr>
                                <w:rStyle w:val="field-content9"/>
                                <w:rFonts w:cs="Arial"/>
                                <w:sz w:val="20"/>
                                <w:szCs w:val="20"/>
                                <w:u w:val="single"/>
                                <w:lang w:val="en"/>
                              </w:rPr>
                              <w:t>OSH-7</w:t>
                            </w:r>
                            <w:r w:rsidRPr="00170EDA">
                              <w:rPr>
                                <w:rStyle w:val="field-content9"/>
                                <w:rFonts w:cs="Arial"/>
                                <w:sz w:val="20"/>
                                <w:szCs w:val="20"/>
                                <w:lang w:val="en"/>
                              </w:rPr>
                              <w:t xml:space="preserve"> - Reduce the proportion of persons who have elevated blood lead concentrations from work exposures.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48.1pt;width:475.0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">
                <v:textbox style="mso-fit-shape-to-text:t">
                  <w:txbxContent>
                    <w:p w14:paraId="659A0915" w14:textId="26C968F7" w:rsidR="00D271EF" w:rsidRPr="00170EDA" w:rsidRDefault="00D271EF" w:rsidP="00CE590C">
                      <w:pPr>
                        <w:spacing w:line="240" w:lineRule="auto"/>
                        <w:rPr>
                          <w:rFonts w:cs="ITCFranklinGothicStd-Book"/>
                          <w:b/>
                          <w:sz w:val="20"/>
                          <w:szCs w:val="20"/>
                        </w:rPr>
                      </w:pPr>
                      <w:r w:rsidRPr="00170EDA">
                        <w:rPr>
                          <w:rFonts w:cs="ITCFranklinGothicStd-Book"/>
                          <w:b/>
                          <w:sz w:val="20"/>
                          <w:szCs w:val="20"/>
                        </w:rPr>
                        <w:t>Table A.2.1. Healthy People 2020 Goals</w:t>
                      </w:r>
                    </w:p>
                    <w:p w14:paraId="4D3AECC9" w14:textId="0C6C1BB0" w:rsidR="00D271EF" w:rsidRPr="00170EDA" w:rsidRDefault="00D271EF" w:rsidP="00CE590C">
                      <w:pPr>
                        <w:spacing w:line="240" w:lineRule="auto"/>
                        <w:rPr>
                          <w:rFonts w:cs="ITCFranklinGothicStd-Book"/>
                          <w:sz w:val="20"/>
                          <w:szCs w:val="20"/>
                        </w:rPr>
                      </w:pPr>
                      <w:r w:rsidRPr="003621A6">
                        <w:rPr>
                          <w:rFonts w:cs="ITCFranklinGothicStd-Book"/>
                          <w:b/>
                          <w:sz w:val="20"/>
                          <w:szCs w:val="20"/>
                        </w:rPr>
                        <w:t>Childhood Blood Lead Surveillance System (CBLS)</w:t>
                      </w:r>
                    </w:p>
                    <w:p w14:paraId="04916284" w14:textId="2A6EDBD2" w:rsidR="00D271EF" w:rsidRPr="00170EDA" w:rsidRDefault="00D271EF" w:rsidP="00CE590C">
                      <w:pPr>
                        <w:spacing w:line="240" w:lineRule="auto"/>
                        <w:rPr>
                          <w:rFonts w:cs="ITCFranklinGothicStd-Book"/>
                        </w:rPr>
                      </w:pPr>
                      <w:r w:rsidRPr="00170EDA">
                        <w:rPr>
                          <w:rFonts w:cs="ITCFranklinGothicStd-Book"/>
                          <w:sz w:val="20"/>
                          <w:szCs w:val="20"/>
                          <w:u w:val="single"/>
                        </w:rPr>
                        <w:t>Environmental Health Goal:</w:t>
                      </w:r>
                      <w:r w:rsidRPr="00170EDA">
                        <w:rPr>
                          <w:rFonts w:cs="ITCFranklinGothicStd-Book"/>
                          <w:sz w:val="20"/>
                          <w:szCs w:val="20"/>
                        </w:rPr>
                        <w:t xml:space="preserve"> </w:t>
                      </w:r>
                      <w:r w:rsidRPr="00170EDA">
                        <w:rPr>
                          <w:rFonts w:cs="Arial"/>
                          <w:sz w:val="20"/>
                          <w:szCs w:val="20"/>
                          <w:lang w:val="en"/>
                        </w:rPr>
                        <w:t>Promote health for all through a healthy environment.</w:t>
                      </w:r>
                    </w:p>
                    <w:p w14:paraId="2FBF8BE7" w14:textId="79F3D98F" w:rsidR="00D271EF" w:rsidRPr="00170EDA" w:rsidRDefault="00D271EF" w:rsidP="00CE590C">
                      <w:pPr>
                        <w:pStyle w:val="ListParagraph"/>
                        <w:numPr>
                          <w:ilvl w:val="0"/>
                          <w:numId w:val="44"/>
                        </w:numPr>
                        <w:spacing w:after="0" w:line="240" w:lineRule="auto"/>
                        <w:ind w:left="360"/>
                        <w:contextualSpacing w:val="0"/>
                        <w:rPr>
                          <w:rFonts w:cs="ITCFranklinGothicStd-Book"/>
                          <w:sz w:val="20"/>
                          <w:szCs w:val="20"/>
                        </w:rPr>
                      </w:pPr>
                      <w:r w:rsidRPr="00170EDA">
                        <w:rPr>
                          <w:rStyle w:val="field-content9"/>
                          <w:rFonts w:cs="Arial"/>
                          <w:sz w:val="20"/>
                          <w:szCs w:val="20"/>
                          <w:u w:val="single"/>
                          <w:lang w:val="en"/>
                        </w:rPr>
                        <w:t>Objective EH-8</w:t>
                      </w:r>
                      <w:r w:rsidRPr="00170EDA">
                        <w:rPr>
                          <w:rStyle w:val="field-content9"/>
                          <w:rFonts w:cs="Arial"/>
                          <w:sz w:val="20"/>
                          <w:szCs w:val="20"/>
                          <w:lang w:val="en"/>
                        </w:rPr>
                        <w:t xml:space="preserve"> - Reduce blood lead levels in children.</w:t>
                      </w:r>
                    </w:p>
                    <w:p w14:paraId="05B54355" w14:textId="1AEE2DBA" w:rsidR="00D271EF" w:rsidRPr="00170EDA" w:rsidRDefault="00D271EF" w:rsidP="00CE590C">
                      <w:pPr>
                        <w:pStyle w:val="ListParagraph"/>
                        <w:numPr>
                          <w:ilvl w:val="0"/>
                          <w:numId w:val="44"/>
                        </w:numPr>
                        <w:spacing w:after="0" w:line="240" w:lineRule="auto"/>
                        <w:contextualSpacing w:val="0"/>
                        <w:rPr>
                          <w:rStyle w:val="field-content9"/>
                          <w:rFonts w:cs="ITCFranklinGothicStd-Book"/>
                          <w:sz w:val="20"/>
                          <w:szCs w:val="20"/>
                          <w:u w:val="single"/>
                        </w:rPr>
                      </w:pPr>
                      <w:r w:rsidRPr="00170EDA">
                        <w:rPr>
                          <w:rStyle w:val="field-content9"/>
                          <w:rFonts w:cs="ITCFranklinGothicStd-Book"/>
                          <w:sz w:val="20"/>
                          <w:szCs w:val="20"/>
                          <w:u w:val="single"/>
                        </w:rPr>
                        <w:t xml:space="preserve">Objective </w:t>
                      </w:r>
                      <w:r w:rsidRPr="00170EDA">
                        <w:rPr>
                          <w:rStyle w:val="field-content9"/>
                          <w:rFonts w:cs="Arial"/>
                          <w:sz w:val="20"/>
                          <w:szCs w:val="20"/>
                          <w:u w:val="single"/>
                          <w:lang w:val="en"/>
                        </w:rPr>
                        <w:t>EH-8.1</w:t>
                      </w:r>
                      <w:r w:rsidRPr="00170EDA">
                        <w:rPr>
                          <w:rStyle w:val="field-content9"/>
                          <w:rFonts w:cs="Arial"/>
                          <w:sz w:val="20"/>
                          <w:szCs w:val="20"/>
                          <w:lang w:val="en"/>
                        </w:rPr>
                        <w:t xml:space="preserve"> - Reduce blood lead level in children aged 1–5 years.</w:t>
                      </w:r>
                    </w:p>
                    <w:p w14:paraId="3B466611" w14:textId="68D78840" w:rsidR="00D271EF" w:rsidRPr="00170EDA" w:rsidRDefault="00D271EF" w:rsidP="00CE590C">
                      <w:pPr>
                        <w:pStyle w:val="ListParagraph"/>
                        <w:numPr>
                          <w:ilvl w:val="0"/>
                          <w:numId w:val="44"/>
                        </w:numPr>
                        <w:spacing w:line="240" w:lineRule="auto"/>
                        <w:contextualSpacing w:val="0"/>
                        <w:rPr>
                          <w:rStyle w:val="field-content9"/>
                          <w:rFonts w:cs="ITCFranklinGothicStd-Book"/>
                          <w:sz w:val="20"/>
                          <w:szCs w:val="20"/>
                          <w:u w:val="single"/>
                        </w:rPr>
                      </w:pPr>
                      <w:r w:rsidRPr="00170EDA">
                        <w:rPr>
                          <w:rStyle w:val="field-content9"/>
                          <w:rFonts w:cs="Arial"/>
                          <w:sz w:val="20"/>
                          <w:szCs w:val="20"/>
                          <w:u w:val="single"/>
                          <w:lang w:val="en"/>
                        </w:rPr>
                        <w:t>Objective EH-8.2</w:t>
                      </w:r>
                      <w:r w:rsidRPr="00170EDA">
                        <w:rPr>
                          <w:rStyle w:val="field-content9"/>
                          <w:rFonts w:cs="Arial"/>
                          <w:sz w:val="20"/>
                          <w:szCs w:val="20"/>
                          <w:lang w:val="en"/>
                        </w:rPr>
                        <w:t xml:space="preserve"> - Reduce the mean blood lead levels in children.</w:t>
                      </w:r>
                    </w:p>
                    <w:p w14:paraId="5C0ACBCB" w14:textId="77777777" w:rsidR="00D271EF" w:rsidRPr="00170EDA" w:rsidRDefault="00D271EF" w:rsidP="00CE590C">
                      <w:pPr>
                        <w:pStyle w:val="ListParagraph"/>
                        <w:numPr>
                          <w:ilvl w:val="0"/>
                          <w:numId w:val="44"/>
                        </w:numPr>
                        <w:spacing w:line="240" w:lineRule="auto"/>
                        <w:ind w:left="360"/>
                        <w:rPr>
                          <w:rStyle w:val="field-content9"/>
                          <w:rFonts w:cs="ITCFranklinGothicStd-Book"/>
                          <w:sz w:val="20"/>
                          <w:szCs w:val="20"/>
                        </w:rPr>
                      </w:pPr>
                      <w:r w:rsidRPr="00170EDA">
                        <w:rPr>
                          <w:rStyle w:val="field-content9"/>
                          <w:rFonts w:cs="Arial"/>
                          <w:sz w:val="20"/>
                          <w:szCs w:val="20"/>
                          <w:u w:val="single"/>
                          <w:lang w:val="en"/>
                        </w:rPr>
                        <w:t>Objective EH-20</w:t>
                      </w:r>
                      <w:r w:rsidRPr="00170EDA">
                        <w:rPr>
                          <w:rStyle w:val="field-content9"/>
                          <w:rFonts w:cs="Arial"/>
                          <w:sz w:val="20"/>
                          <w:szCs w:val="20"/>
                          <w:lang w:val="en"/>
                        </w:rPr>
                        <w:t xml:space="preserve"> - Reduce exposure to selected environmental chemicals in the population, as measured by blood and urine concentrations of the substances or their metabolites.</w:t>
                      </w:r>
                    </w:p>
                    <w:p w14:paraId="35945AC0" w14:textId="7524DC62" w:rsidR="00D271EF" w:rsidRPr="00170EDA" w:rsidRDefault="00D271EF" w:rsidP="00CE590C">
                      <w:pPr>
                        <w:pStyle w:val="ListParagraph"/>
                        <w:numPr>
                          <w:ilvl w:val="0"/>
                          <w:numId w:val="44"/>
                        </w:numPr>
                        <w:spacing w:line="240" w:lineRule="auto"/>
                        <w:rPr>
                          <w:rStyle w:val="field-content9"/>
                          <w:rFonts w:cs="ITCFranklinGothicStd-Book"/>
                          <w:sz w:val="20"/>
                          <w:szCs w:val="20"/>
                        </w:rPr>
                      </w:pPr>
                      <w:r w:rsidRPr="00170EDA">
                        <w:rPr>
                          <w:rStyle w:val="field-content9"/>
                          <w:rFonts w:cs="Arial"/>
                          <w:sz w:val="20"/>
                          <w:szCs w:val="20"/>
                          <w:u w:val="single"/>
                          <w:lang w:val="en"/>
                        </w:rPr>
                        <w:t>Objective EH-20.3</w:t>
                      </w:r>
                      <w:r w:rsidRPr="00170EDA">
                        <w:rPr>
                          <w:rStyle w:val="field-content9"/>
                          <w:rFonts w:cs="Arial"/>
                          <w:sz w:val="20"/>
                          <w:szCs w:val="20"/>
                          <w:lang w:val="en"/>
                        </w:rPr>
                        <w:t xml:space="preserve"> - Reduce exposure to lead in the population, as measured by blood and urine concentrations of the substance or its metabolites.</w:t>
                      </w:r>
                    </w:p>
                    <w:p w14:paraId="3396BC25" w14:textId="623626B5" w:rsidR="00D271EF" w:rsidRPr="00170EDA" w:rsidRDefault="00D271EF" w:rsidP="00CE590C">
                      <w:pPr>
                        <w:pStyle w:val="ListParagraph"/>
                        <w:numPr>
                          <w:ilvl w:val="0"/>
                          <w:numId w:val="44"/>
                        </w:numPr>
                        <w:spacing w:line="240" w:lineRule="auto"/>
                        <w:ind w:left="360"/>
                        <w:rPr>
                          <w:rStyle w:val="field-content9"/>
                          <w:rFonts w:cs="ITCFranklinGothicStd-Book"/>
                          <w:sz w:val="20"/>
                          <w:szCs w:val="20"/>
                        </w:rPr>
                      </w:pPr>
                      <w:r w:rsidRPr="00170EDA">
                        <w:rPr>
                          <w:rFonts w:cs="Arial"/>
                          <w:sz w:val="20"/>
                          <w:szCs w:val="20"/>
                          <w:u w:val="single"/>
                          <w:lang w:val="en"/>
                        </w:rPr>
                        <w:t xml:space="preserve">Objective </w:t>
                      </w:r>
                      <w:r w:rsidRPr="00170EDA">
                        <w:rPr>
                          <w:rStyle w:val="field-content9"/>
                          <w:rFonts w:cs="Arial"/>
                          <w:sz w:val="20"/>
                          <w:szCs w:val="20"/>
                          <w:u w:val="single"/>
                          <w:lang w:val="en"/>
                        </w:rPr>
                        <w:t>EH-22.1</w:t>
                      </w:r>
                      <w:r w:rsidRPr="00170EDA">
                        <w:rPr>
                          <w:rStyle w:val="field-content9"/>
                          <w:rFonts w:cs="Arial"/>
                          <w:sz w:val="20"/>
                          <w:szCs w:val="20"/>
                          <w:lang w:val="en"/>
                        </w:rPr>
                        <w:t xml:space="preserve"> - Increase the number of States, Territories, Tribes, and the District of Columbia that monitor diseases or conditions that can be caused by exposure to lead poisoning.</w:t>
                      </w:r>
                    </w:p>
                    <w:p w14:paraId="52A7BA5A" w14:textId="69F868BA" w:rsidR="00D271EF" w:rsidRPr="00170EDA" w:rsidRDefault="00D271EF" w:rsidP="00CE590C">
                      <w:pPr>
                        <w:spacing w:line="240" w:lineRule="auto"/>
                        <w:rPr>
                          <w:rFonts w:cs="ITCFranklinGothicStd-Book"/>
                          <w:sz w:val="20"/>
                          <w:szCs w:val="20"/>
                        </w:rPr>
                      </w:pPr>
                      <w:r w:rsidRPr="00170EDA">
                        <w:rPr>
                          <w:rFonts w:cs="ITCFranklinGothicStd-Book"/>
                          <w:b/>
                          <w:sz w:val="20"/>
                          <w:szCs w:val="20"/>
                        </w:rPr>
                        <w:t>Adult Blood Lead Epidemiology and Surveillance (ABLES)</w:t>
                      </w:r>
                    </w:p>
                    <w:p w14:paraId="07A4E22C" w14:textId="77777777" w:rsidR="00D271EF" w:rsidRPr="00170EDA" w:rsidRDefault="00D271EF" w:rsidP="00CE590C">
                      <w:pPr>
                        <w:spacing w:line="240" w:lineRule="auto"/>
                        <w:rPr>
                          <w:rFonts w:cs="ITCFranklinGothicStd-Book"/>
                          <w:sz w:val="20"/>
                          <w:szCs w:val="20"/>
                        </w:rPr>
                      </w:pPr>
                      <w:r w:rsidRPr="00170EDA">
                        <w:rPr>
                          <w:rFonts w:cs="Arial"/>
                          <w:sz w:val="20"/>
                          <w:szCs w:val="20"/>
                          <w:u w:val="single"/>
                          <w:lang w:val="en"/>
                        </w:rPr>
                        <w:t>Occupational Safety and Health Goal</w:t>
                      </w:r>
                      <w:r w:rsidRPr="00170EDA">
                        <w:rPr>
                          <w:rFonts w:cs="Arial"/>
                          <w:sz w:val="20"/>
                          <w:szCs w:val="20"/>
                          <w:lang w:val="en"/>
                        </w:rPr>
                        <w:t>: Promote the health and safety of people at work through prevention and early intervention.</w:t>
                      </w:r>
                    </w:p>
                    <w:p w14:paraId="5B856370" w14:textId="77777777" w:rsidR="00D271EF" w:rsidRPr="00170EDA" w:rsidRDefault="00D271EF" w:rsidP="00CE590C">
                      <w:pPr>
                        <w:pStyle w:val="ListParagraph"/>
                        <w:numPr>
                          <w:ilvl w:val="0"/>
                          <w:numId w:val="45"/>
                        </w:numPr>
                        <w:spacing w:line="240" w:lineRule="auto"/>
                        <w:ind w:left="360"/>
                        <w:rPr>
                          <w:rFonts w:cs="ITCFranklinGothicStd-Book"/>
                          <w:sz w:val="20"/>
                          <w:szCs w:val="20"/>
                        </w:rPr>
                      </w:pPr>
                      <w:r w:rsidRPr="00170EDA">
                        <w:rPr>
                          <w:rFonts w:cs="Arial"/>
                          <w:sz w:val="20"/>
                          <w:szCs w:val="20"/>
                          <w:u w:val="single"/>
                          <w:lang w:val="en"/>
                        </w:rPr>
                        <w:t xml:space="preserve">Objective </w:t>
                      </w:r>
                      <w:r w:rsidRPr="00170EDA">
                        <w:rPr>
                          <w:rStyle w:val="field-content9"/>
                          <w:rFonts w:cs="Arial"/>
                          <w:sz w:val="20"/>
                          <w:szCs w:val="20"/>
                          <w:u w:val="single"/>
                          <w:lang w:val="en"/>
                        </w:rPr>
                        <w:t>OSH-7</w:t>
                      </w:r>
                      <w:r w:rsidRPr="00170EDA">
                        <w:rPr>
                          <w:rStyle w:val="field-content9"/>
                          <w:rFonts w:cs="Arial"/>
                          <w:sz w:val="20"/>
                          <w:szCs w:val="20"/>
                          <w:lang w:val="en"/>
                        </w:rPr>
                        <w:t xml:space="preserve"> - Reduce the proportion of persons who have elevated blood lead concentrations from work exposures.</w:t>
                      </w:r>
                    </w:p>
                  </w:txbxContent>
                </v:textbox>
                <w10:wrap type="square" anchorx="margin"/>
              </v:shape>
            </w:pict>
          </mc:Fallback>
        </mc:AlternateContent>
      </w:r>
      <w:r w:rsidR="005A677D" w:rsidRPr="00D74E8E">
        <w:rPr>
          <w:rFonts w:cs="ITCFranklinGothicStd-Book"/>
          <w:sz w:val="24"/>
          <w:szCs w:val="24"/>
        </w:rPr>
        <w:t xml:space="preserve">Both NCEH and NIOSH collections are aligned with the Healthy People 2020 Initiative (see </w:t>
      </w:r>
      <w:hyperlink r:id="rId10" w:history="1">
        <w:r w:rsidR="005A677D" w:rsidRPr="00D74E8E">
          <w:rPr>
            <w:rStyle w:val="Hyperlink"/>
            <w:rFonts w:cs="ITCFranklinGothicStd-Book"/>
            <w:color w:val="auto"/>
            <w:sz w:val="24"/>
            <w:szCs w:val="24"/>
          </w:rPr>
          <w:t>https://www.healthypeople.gov/</w:t>
        </w:r>
      </w:hyperlink>
      <w:r w:rsidR="005A677D" w:rsidRPr="00D74E8E">
        <w:rPr>
          <w:rFonts w:cs="ITCFranklinGothicStd-Book"/>
          <w:sz w:val="24"/>
          <w:szCs w:val="24"/>
        </w:rPr>
        <w:t>)</w:t>
      </w:r>
      <w:r w:rsidR="00CA5B6B" w:rsidRPr="00D74E8E">
        <w:rPr>
          <w:rFonts w:cs="ITCFranklinGothicStd-Book"/>
          <w:sz w:val="24"/>
          <w:szCs w:val="24"/>
        </w:rPr>
        <w:t xml:space="preserve"> (</w:t>
      </w:r>
      <w:r w:rsidR="00CA5B6B" w:rsidRPr="00D74E8E">
        <w:rPr>
          <w:rFonts w:cs="ITCFranklinGothicStd-Book"/>
          <w:b/>
          <w:sz w:val="24"/>
          <w:szCs w:val="24"/>
        </w:rPr>
        <w:t>Table A.2.1</w:t>
      </w:r>
      <w:r w:rsidR="00CA5B6B" w:rsidRPr="00D74E8E">
        <w:rPr>
          <w:rFonts w:cs="ITCFranklinGothicStd-Book"/>
          <w:sz w:val="24"/>
          <w:szCs w:val="24"/>
        </w:rPr>
        <w:t>)</w:t>
      </w:r>
      <w:r w:rsidR="005A677D" w:rsidRPr="00D74E8E">
        <w:rPr>
          <w:rFonts w:cs="ITCFranklinGothicStd-Book"/>
          <w:sz w:val="24"/>
          <w:szCs w:val="24"/>
        </w:rPr>
        <w:t>.</w:t>
      </w:r>
    </w:p>
    <w:p w14:paraId="2B6B5DEA" w14:textId="77777777" w:rsidR="00250C44" w:rsidRPr="00D74E8E" w:rsidRDefault="00250C44" w:rsidP="000C66FE">
      <w:pPr>
        <w:spacing w:line="276" w:lineRule="auto"/>
        <w:rPr>
          <w:rFonts w:cs="ITCFranklinGothicStd-Book"/>
          <w:sz w:val="24"/>
          <w:szCs w:val="24"/>
          <w:u w:val="single"/>
        </w:rPr>
      </w:pPr>
    </w:p>
    <w:p w14:paraId="30772C63" w14:textId="0CC497AE" w:rsidR="008C4391" w:rsidRPr="00D74E8E" w:rsidRDefault="009E2249" w:rsidP="009C744D">
      <w:pPr>
        <w:spacing w:line="276" w:lineRule="auto"/>
        <w:rPr>
          <w:rFonts w:cs="Times New Roman"/>
          <w:iCs/>
          <w:sz w:val="24"/>
          <w:szCs w:val="24"/>
        </w:rPr>
      </w:pPr>
      <w:r w:rsidRPr="00D74E8E">
        <w:rPr>
          <w:rFonts w:cs="ITCFranklinGothicStd-Book"/>
          <w:sz w:val="24"/>
          <w:szCs w:val="24"/>
          <w:u w:val="single"/>
        </w:rPr>
        <w:t>CBLS</w:t>
      </w:r>
      <w:r w:rsidR="002B49B7" w:rsidRPr="00D74E8E">
        <w:rPr>
          <w:rFonts w:cs="ITCFranklinGothicStd-Book"/>
          <w:sz w:val="24"/>
          <w:szCs w:val="24"/>
          <w:u w:val="single"/>
        </w:rPr>
        <w:t xml:space="preserve"> Goals</w:t>
      </w:r>
      <w:r w:rsidR="00F60A90" w:rsidRPr="00D74E8E">
        <w:rPr>
          <w:rFonts w:cs="ITCFranklinGothicStd-Book"/>
          <w:sz w:val="24"/>
          <w:szCs w:val="24"/>
        </w:rPr>
        <w:t xml:space="preserve">: </w:t>
      </w:r>
      <w:r w:rsidR="000C66FE" w:rsidRPr="00D74E8E">
        <w:rPr>
          <w:rFonts w:cs="Times New Roman"/>
          <w:iCs/>
          <w:sz w:val="24"/>
          <w:szCs w:val="24"/>
        </w:rPr>
        <w:t xml:space="preserve">Between 2007 </w:t>
      </w:r>
      <w:r w:rsidR="009E2E75" w:rsidRPr="00D74E8E">
        <w:rPr>
          <w:rFonts w:cs="Times New Roman"/>
          <w:iCs/>
          <w:sz w:val="24"/>
          <w:szCs w:val="24"/>
        </w:rPr>
        <w:t>and</w:t>
      </w:r>
      <w:r w:rsidR="000C66FE" w:rsidRPr="00D74E8E">
        <w:rPr>
          <w:rFonts w:cs="Times New Roman"/>
          <w:iCs/>
          <w:sz w:val="24"/>
          <w:szCs w:val="24"/>
        </w:rPr>
        <w:t xml:space="preserve"> 2010, an estimated 535,000 children in the US had blood lead levels (BLLs) at or above the reference value for blood lead established </w:t>
      </w:r>
      <w:r w:rsidR="00BF2B80" w:rsidRPr="00D74E8E">
        <w:rPr>
          <w:rFonts w:cs="Times New Roman"/>
          <w:iCs/>
          <w:sz w:val="24"/>
          <w:szCs w:val="24"/>
        </w:rPr>
        <w:t xml:space="preserve">for children </w:t>
      </w:r>
      <w:r w:rsidR="000C66FE" w:rsidRPr="00D74E8E">
        <w:rPr>
          <w:rFonts w:cs="Times New Roman"/>
          <w:iCs/>
          <w:sz w:val="24"/>
          <w:szCs w:val="24"/>
        </w:rPr>
        <w:t xml:space="preserve">by CDC in 2012 (≥5 µg/dL) </w:t>
      </w:r>
      <w:r w:rsidR="00D149E4" w:rsidRPr="00D74E8E">
        <w:rPr>
          <w:rFonts w:cs="Times New Roman"/>
          <w:iCs/>
          <w:sz w:val="24"/>
          <w:szCs w:val="24"/>
        </w:rPr>
        <w:t>(Wheeler</w:t>
      </w:r>
      <w:r w:rsidR="000C66FE" w:rsidRPr="00D74E8E">
        <w:rPr>
          <w:rFonts w:cs="Times New Roman"/>
          <w:iCs/>
          <w:sz w:val="24"/>
          <w:szCs w:val="24"/>
        </w:rPr>
        <w:t>, 2013; AAP, 2016). These children are at risk for the intellectual, behavioral, and academic deficits caused by lead. The primary source of lead exposure for children is their homes; some 38 million homes in the U</w:t>
      </w:r>
      <w:r w:rsidR="0034652E">
        <w:rPr>
          <w:rFonts w:cs="Times New Roman"/>
          <w:iCs/>
          <w:sz w:val="24"/>
          <w:szCs w:val="24"/>
        </w:rPr>
        <w:t>.S.</w:t>
      </w:r>
      <w:r w:rsidR="000C66FE" w:rsidRPr="00D74E8E">
        <w:rPr>
          <w:rFonts w:cs="Times New Roman"/>
          <w:iCs/>
          <w:sz w:val="24"/>
          <w:szCs w:val="24"/>
        </w:rPr>
        <w:t xml:space="preserve"> have lead-based paint hazards that can</w:t>
      </w:r>
      <w:r w:rsidR="008A6670" w:rsidRPr="00D74E8E">
        <w:rPr>
          <w:rFonts w:cs="Times New Roman"/>
          <w:iCs/>
          <w:sz w:val="24"/>
          <w:szCs w:val="24"/>
        </w:rPr>
        <w:t xml:space="preserve"> </w:t>
      </w:r>
      <w:r w:rsidR="000C66FE" w:rsidRPr="00D74E8E">
        <w:rPr>
          <w:rFonts w:cs="Times New Roman"/>
          <w:iCs/>
          <w:sz w:val="24"/>
          <w:szCs w:val="24"/>
        </w:rPr>
        <w:t xml:space="preserve">result in childhood lead poisoning. Low-income and minority children bear a disproportionate burden of this condition caused by unhealthy housing. </w:t>
      </w:r>
      <w:r w:rsidR="008C4391" w:rsidRPr="00D74E8E">
        <w:rPr>
          <w:rFonts w:cs="Times New Roman"/>
          <w:iCs/>
          <w:sz w:val="24"/>
          <w:szCs w:val="24"/>
        </w:rPr>
        <w:t>In addition, some areas of the US report that as many as 35% of children identified with high BLLs are exposed to lead via sources other than lead-based paint in their homes, such as items decorated or made with lead, and drinking water.</w:t>
      </w:r>
    </w:p>
    <w:p w14:paraId="2814DC40" w14:textId="06CC323E" w:rsidR="00B51147" w:rsidRPr="00D74E8E" w:rsidRDefault="00B51147" w:rsidP="00B51147">
      <w:pPr>
        <w:spacing w:line="276" w:lineRule="auto"/>
        <w:rPr>
          <w:rFonts w:eastAsiaTheme="minorHAnsi" w:cs="Courier New"/>
          <w:sz w:val="24"/>
          <w:szCs w:val="24"/>
        </w:rPr>
      </w:pPr>
      <w:r w:rsidRPr="00D74E8E">
        <w:rPr>
          <w:rFonts w:eastAsiaTheme="minorHAnsi" w:cs="Courier New"/>
          <w:sz w:val="24"/>
          <w:szCs w:val="24"/>
        </w:rPr>
        <w:t xml:space="preserve">The goal of the NCEH CBLS Program is to promote primary prevention of exposure to lead in children, and, as a secondary </w:t>
      </w:r>
      <w:r w:rsidR="00C42887" w:rsidRPr="00D74E8E">
        <w:rPr>
          <w:rFonts w:eastAsiaTheme="minorHAnsi" w:cs="Courier New"/>
          <w:sz w:val="24"/>
          <w:szCs w:val="24"/>
        </w:rPr>
        <w:t>prevention strategy,</w:t>
      </w:r>
      <w:r w:rsidRPr="00D74E8E">
        <w:rPr>
          <w:rFonts w:eastAsiaTheme="minorHAnsi" w:cs="Courier New"/>
          <w:sz w:val="24"/>
          <w:szCs w:val="24"/>
        </w:rPr>
        <w:t xml:space="preserve"> to prevent adverse health effects when lead exposures occur in children, through improved program management and oversight in respondent jurisdictions for </w:t>
      </w:r>
      <w:r w:rsidRPr="00D74E8E">
        <w:rPr>
          <w:rFonts w:cs="Times New Roman"/>
          <w:iCs/>
          <w:sz w:val="24"/>
          <w:szCs w:val="24"/>
        </w:rPr>
        <w:t xml:space="preserve">blood lead testing, surveillance, and targeted population-based interventions </w:t>
      </w:r>
      <w:r w:rsidRPr="00D74E8E">
        <w:rPr>
          <w:rFonts w:eastAsiaTheme="minorHAnsi" w:cs="Courier New"/>
          <w:sz w:val="24"/>
          <w:szCs w:val="24"/>
        </w:rPr>
        <w:t>(</w:t>
      </w:r>
      <w:r w:rsidRPr="00D74E8E">
        <w:rPr>
          <w:rFonts w:eastAsiaTheme="minorHAnsi" w:cs="Courier New"/>
          <w:b/>
          <w:sz w:val="24"/>
          <w:szCs w:val="24"/>
        </w:rPr>
        <w:t>Attachment 3</w:t>
      </w:r>
      <w:r w:rsidR="00F00B71" w:rsidRPr="00D74E8E">
        <w:rPr>
          <w:rFonts w:eastAsiaTheme="minorHAnsi" w:cs="Courier New"/>
          <w:b/>
          <w:sz w:val="24"/>
          <w:szCs w:val="24"/>
        </w:rPr>
        <w:t>a</w:t>
      </w:r>
      <w:r w:rsidRPr="00D74E8E">
        <w:rPr>
          <w:rFonts w:eastAsiaTheme="minorHAnsi" w:cs="Courier New"/>
          <w:sz w:val="24"/>
          <w:szCs w:val="24"/>
        </w:rPr>
        <w:t>)</w:t>
      </w:r>
      <w:r w:rsidRPr="00D74E8E">
        <w:rPr>
          <w:rFonts w:cs="Times New Roman"/>
          <w:iCs/>
          <w:sz w:val="24"/>
          <w:szCs w:val="24"/>
        </w:rPr>
        <w:t xml:space="preserve">. </w:t>
      </w:r>
    </w:p>
    <w:p w14:paraId="040066FE" w14:textId="77777777" w:rsidR="0068040D" w:rsidRPr="00D74E8E" w:rsidRDefault="00137978" w:rsidP="00875AF2">
      <w:pPr>
        <w:spacing w:line="276" w:lineRule="auto"/>
        <w:rPr>
          <w:rFonts w:cs="Times New Roman"/>
          <w:sz w:val="24"/>
          <w:szCs w:val="24"/>
        </w:rPr>
      </w:pPr>
      <w:r w:rsidRPr="00D74E8E">
        <w:rPr>
          <w:rFonts w:cs="Times New Roman"/>
          <w:iCs/>
          <w:sz w:val="24"/>
          <w:szCs w:val="24"/>
        </w:rPr>
        <w:t>In addition</w:t>
      </w:r>
      <w:r w:rsidR="00B26758" w:rsidRPr="00D74E8E">
        <w:rPr>
          <w:rFonts w:cs="Times New Roman"/>
          <w:iCs/>
          <w:sz w:val="24"/>
          <w:szCs w:val="24"/>
        </w:rPr>
        <w:t xml:space="preserve">, awardees will be expected to demonstrate that policies and systems are in place to identify lead-exposed children and link them to recommended services.  More specifically, they will be expected to </w:t>
      </w:r>
      <w:r w:rsidR="00B26758" w:rsidRPr="00D74E8E">
        <w:rPr>
          <w:rFonts w:cs="Times New Roman"/>
          <w:sz w:val="24"/>
          <w:szCs w:val="24"/>
        </w:rPr>
        <w:t>work closely with other agencies, partners, stakeholders and others serving children to ensure that a comprehensive system of referral, case management, follow up</w:t>
      </w:r>
      <w:r w:rsidR="00FD1AD4" w:rsidRPr="00D74E8E">
        <w:rPr>
          <w:rFonts w:cs="Times New Roman"/>
          <w:sz w:val="24"/>
          <w:szCs w:val="24"/>
        </w:rPr>
        <w:t>,</w:t>
      </w:r>
      <w:r w:rsidR="00B26758" w:rsidRPr="00D74E8E">
        <w:rPr>
          <w:rFonts w:cs="Times New Roman"/>
          <w:sz w:val="24"/>
          <w:szCs w:val="24"/>
        </w:rPr>
        <w:t xml:space="preserve"> and evaluation is in place for lead-exposed children.  </w:t>
      </w:r>
    </w:p>
    <w:p w14:paraId="4C758479" w14:textId="4C254144" w:rsidR="00CE05DF" w:rsidRPr="00D74E8E" w:rsidRDefault="002B49B7" w:rsidP="00D74993">
      <w:pPr>
        <w:spacing w:line="276" w:lineRule="auto"/>
        <w:rPr>
          <w:rFonts w:cs="Tahoma"/>
          <w:sz w:val="24"/>
          <w:szCs w:val="24"/>
        </w:rPr>
      </w:pPr>
      <w:r w:rsidRPr="00D74E8E">
        <w:rPr>
          <w:rFonts w:cs="Times New Roman"/>
          <w:sz w:val="24"/>
          <w:szCs w:val="24"/>
          <w:u w:val="single"/>
        </w:rPr>
        <w:t>ABLES Goals</w:t>
      </w:r>
      <w:r w:rsidRPr="00D74E8E">
        <w:rPr>
          <w:rFonts w:cs="Times New Roman"/>
          <w:sz w:val="24"/>
          <w:szCs w:val="24"/>
        </w:rPr>
        <w:t xml:space="preserve">: </w:t>
      </w:r>
      <w:r w:rsidR="00A33561" w:rsidRPr="00D74E8E">
        <w:rPr>
          <w:rFonts w:cs="Times New Roman"/>
          <w:sz w:val="24"/>
          <w:szCs w:val="24"/>
        </w:rPr>
        <w:t>The Occupational Safety and Health Administration (</w:t>
      </w:r>
      <w:r w:rsidR="00CE05DF" w:rsidRPr="00D74E8E">
        <w:rPr>
          <w:rFonts w:cs="Tahoma"/>
          <w:sz w:val="24"/>
          <w:szCs w:val="24"/>
        </w:rPr>
        <w:t>OSHA</w:t>
      </w:r>
      <w:r w:rsidR="00517DE0" w:rsidRPr="00D74E8E">
        <w:rPr>
          <w:rFonts w:cs="Tahoma"/>
          <w:sz w:val="24"/>
          <w:szCs w:val="24"/>
        </w:rPr>
        <w:t>)</w:t>
      </w:r>
      <w:r w:rsidR="00CE05DF" w:rsidRPr="00D74E8E">
        <w:rPr>
          <w:rFonts w:cs="Tahoma"/>
          <w:sz w:val="24"/>
          <w:szCs w:val="24"/>
        </w:rPr>
        <w:t xml:space="preserve"> estimates that approximately 804,000 workers in general industry and an additional 838,000 workers in construction are potentially exposed to lead. Workers are exposed to lead as a result of the production, use, maintenance, recycling, and disposal of lead material and products. Lead exposure occurs in most industry sectors including construction, manufacturing, wholesale trade, transportation, remediation and even recreation</w:t>
      </w:r>
      <w:r w:rsidR="004779AA" w:rsidRPr="00D74E8E">
        <w:rPr>
          <w:rFonts w:cs="Tahoma"/>
          <w:sz w:val="24"/>
          <w:szCs w:val="24"/>
        </w:rPr>
        <w:t xml:space="preserve"> (OSHA, 2017)</w:t>
      </w:r>
      <w:r w:rsidR="00CE05DF" w:rsidRPr="00D74E8E">
        <w:rPr>
          <w:rFonts w:cs="Tahoma"/>
          <w:sz w:val="24"/>
          <w:szCs w:val="24"/>
        </w:rPr>
        <w:t>.</w:t>
      </w:r>
    </w:p>
    <w:p w14:paraId="3298DC0E" w14:textId="1C2C26D7" w:rsidR="005C6073" w:rsidRPr="00D74E8E" w:rsidRDefault="009F03FE" w:rsidP="00CA5B6B">
      <w:pPr>
        <w:spacing w:line="276" w:lineRule="auto"/>
        <w:rPr>
          <w:rFonts w:cs="Times New Roman"/>
          <w:sz w:val="24"/>
          <w:szCs w:val="24"/>
        </w:rPr>
      </w:pPr>
      <w:r w:rsidRPr="00D74E8E">
        <w:rPr>
          <w:sz w:val="24"/>
          <w:szCs w:val="24"/>
        </w:rPr>
        <w:t>The public health objective of the AB</w:t>
      </w:r>
      <w:r w:rsidR="00086390" w:rsidRPr="00D74E8E">
        <w:rPr>
          <w:sz w:val="24"/>
          <w:szCs w:val="24"/>
        </w:rPr>
        <w:t xml:space="preserve">LES </w:t>
      </w:r>
      <w:r w:rsidR="00F2176D">
        <w:rPr>
          <w:sz w:val="24"/>
          <w:szCs w:val="24"/>
        </w:rPr>
        <w:t>Program</w:t>
      </w:r>
      <w:r w:rsidRPr="00D74E8E">
        <w:rPr>
          <w:sz w:val="24"/>
          <w:szCs w:val="24"/>
        </w:rPr>
        <w:t xml:space="preserve"> is</w:t>
      </w:r>
      <w:r w:rsidR="005C6073" w:rsidRPr="00D74E8E">
        <w:rPr>
          <w:rFonts w:cs="Times New Roman"/>
          <w:sz w:val="24"/>
          <w:szCs w:val="24"/>
        </w:rPr>
        <w:t xml:space="preserve"> identical to the Occupational Safety and Health </w:t>
      </w:r>
      <w:r w:rsidR="00A203D1" w:rsidRPr="00D74E8E">
        <w:rPr>
          <w:rFonts w:cs="Times New Roman"/>
          <w:sz w:val="24"/>
          <w:szCs w:val="24"/>
        </w:rPr>
        <w:t>O</w:t>
      </w:r>
      <w:r w:rsidR="005C6073" w:rsidRPr="00D74E8E">
        <w:rPr>
          <w:rFonts w:cs="Times New Roman"/>
          <w:sz w:val="24"/>
          <w:szCs w:val="24"/>
        </w:rPr>
        <w:t xml:space="preserve">bjective 7 in </w:t>
      </w:r>
      <w:r w:rsidR="005C6073" w:rsidRPr="00D74E8E">
        <w:rPr>
          <w:rFonts w:cs="Times New Roman"/>
          <w:iCs/>
          <w:sz w:val="24"/>
          <w:szCs w:val="24"/>
        </w:rPr>
        <w:t>Healthy People 2020</w:t>
      </w:r>
      <w:r w:rsidR="005C6073" w:rsidRPr="00D74E8E">
        <w:rPr>
          <w:rFonts w:cs="Times New Roman"/>
          <w:sz w:val="24"/>
          <w:szCs w:val="24"/>
        </w:rPr>
        <w:t xml:space="preserve">, which is to reduce the number of persons with BLLs </w:t>
      </w:r>
      <w:r w:rsidR="005C6073" w:rsidRPr="00D74E8E">
        <w:rPr>
          <w:rFonts w:cs="Times New Roman"/>
          <w:sz w:val="24"/>
          <w:szCs w:val="24"/>
          <w:u w:val="single"/>
        </w:rPr>
        <w:t>&gt;</w:t>
      </w:r>
      <w:r w:rsidR="005C6073" w:rsidRPr="00D74E8E">
        <w:rPr>
          <w:rFonts w:cs="Times New Roman"/>
          <w:sz w:val="24"/>
          <w:szCs w:val="24"/>
        </w:rPr>
        <w:t xml:space="preserve">10 µg/dL from work exposures </w:t>
      </w:r>
      <w:r w:rsidR="001F46D2" w:rsidRPr="00D74E8E">
        <w:rPr>
          <w:rFonts w:cs="Times New Roman"/>
          <w:sz w:val="24"/>
          <w:szCs w:val="24"/>
        </w:rPr>
        <w:t xml:space="preserve">from 27.7 persons/100,000 in 2008 </w:t>
      </w:r>
      <w:r w:rsidR="005C6073" w:rsidRPr="00D74E8E">
        <w:rPr>
          <w:rFonts w:cs="Times New Roman"/>
          <w:sz w:val="24"/>
          <w:szCs w:val="24"/>
        </w:rPr>
        <w:t>to 2</w:t>
      </w:r>
      <w:r w:rsidR="001F46D2" w:rsidRPr="00D74E8E">
        <w:rPr>
          <w:rFonts w:cs="Times New Roman"/>
          <w:sz w:val="24"/>
          <w:szCs w:val="24"/>
        </w:rPr>
        <w:t>4.9</w:t>
      </w:r>
      <w:r w:rsidR="005C6073" w:rsidRPr="00D74E8E">
        <w:rPr>
          <w:rFonts w:cs="Times New Roman"/>
          <w:sz w:val="24"/>
          <w:szCs w:val="24"/>
        </w:rPr>
        <w:t xml:space="preserve"> persons/100,000 employed adults by 2020. </w:t>
      </w:r>
      <w:r w:rsidR="00BF2B80" w:rsidRPr="00D74E8E">
        <w:rPr>
          <w:rFonts w:cs="Times New Roman"/>
          <w:sz w:val="24"/>
          <w:szCs w:val="24"/>
        </w:rPr>
        <w:t>In 2015, t</w:t>
      </w:r>
      <w:r w:rsidR="003D6B0F" w:rsidRPr="00D74E8E">
        <w:rPr>
          <w:rFonts w:cs="Times New Roman"/>
          <w:sz w:val="24"/>
          <w:szCs w:val="24"/>
        </w:rPr>
        <w:t xml:space="preserve">he ABLES </w:t>
      </w:r>
      <w:r w:rsidR="00F2176D">
        <w:rPr>
          <w:rFonts w:cs="Times New Roman"/>
          <w:sz w:val="24"/>
          <w:szCs w:val="24"/>
        </w:rPr>
        <w:t>Program</w:t>
      </w:r>
      <w:r w:rsidR="003D6B0F" w:rsidRPr="00D74E8E">
        <w:rPr>
          <w:rFonts w:cs="Times New Roman"/>
          <w:sz w:val="24"/>
          <w:szCs w:val="24"/>
        </w:rPr>
        <w:t xml:space="preserve"> updated its case definition </w:t>
      </w:r>
      <w:r w:rsidR="005A7BCA">
        <w:rPr>
          <w:rFonts w:cs="Times New Roman"/>
          <w:sz w:val="24"/>
          <w:szCs w:val="24"/>
        </w:rPr>
        <w:t>of elevated</w:t>
      </w:r>
      <w:r w:rsidR="003D6B0F" w:rsidRPr="00D74E8E">
        <w:rPr>
          <w:rFonts w:cs="Times New Roman"/>
          <w:sz w:val="24"/>
          <w:szCs w:val="24"/>
        </w:rPr>
        <w:t xml:space="preserve"> BLL</w:t>
      </w:r>
      <w:r w:rsidR="005A7BCA">
        <w:rPr>
          <w:rFonts w:cs="Times New Roman"/>
          <w:sz w:val="24"/>
          <w:szCs w:val="24"/>
        </w:rPr>
        <w:t xml:space="preserve"> to</w:t>
      </w:r>
      <w:r w:rsidR="003D6B0F" w:rsidRPr="00D74E8E">
        <w:rPr>
          <w:rFonts w:cs="Times New Roman"/>
          <w:sz w:val="24"/>
          <w:szCs w:val="24"/>
        </w:rPr>
        <w:t xml:space="preserve"> ≥5 µg/dL</w:t>
      </w:r>
      <w:r w:rsidR="000D2E1B" w:rsidRPr="00D74E8E">
        <w:rPr>
          <w:rFonts w:cs="Times New Roman"/>
          <w:sz w:val="24"/>
          <w:szCs w:val="24"/>
        </w:rPr>
        <w:t xml:space="preserve"> (NIOSH, 2015a)</w:t>
      </w:r>
      <w:r w:rsidR="003D6B0F" w:rsidRPr="00D74E8E">
        <w:rPr>
          <w:rFonts w:cs="Times New Roman"/>
          <w:sz w:val="24"/>
          <w:szCs w:val="24"/>
        </w:rPr>
        <w:t>, years after the Healthy People 2020 objective’s case definition (BLL ≥10µg/dL)</w:t>
      </w:r>
      <w:r w:rsidR="00A5484E" w:rsidRPr="00D74E8E">
        <w:rPr>
          <w:rFonts w:cs="Times New Roman"/>
          <w:sz w:val="24"/>
          <w:szCs w:val="24"/>
        </w:rPr>
        <w:t xml:space="preserve"> was established</w:t>
      </w:r>
      <w:r w:rsidR="003D6B0F" w:rsidRPr="00D74E8E">
        <w:rPr>
          <w:rFonts w:cs="Times New Roman"/>
          <w:sz w:val="24"/>
          <w:szCs w:val="24"/>
        </w:rPr>
        <w:t xml:space="preserve">. </w:t>
      </w:r>
      <w:r w:rsidR="005C6073" w:rsidRPr="00D74E8E">
        <w:rPr>
          <w:rFonts w:cs="Times New Roman"/>
          <w:sz w:val="24"/>
          <w:szCs w:val="24"/>
        </w:rPr>
        <w:t xml:space="preserve">The ABLES </w:t>
      </w:r>
      <w:r w:rsidR="00F2176D">
        <w:rPr>
          <w:rFonts w:cs="Times New Roman"/>
          <w:sz w:val="24"/>
          <w:szCs w:val="24"/>
        </w:rPr>
        <w:t>Program</w:t>
      </w:r>
      <w:r w:rsidR="005C6073" w:rsidRPr="00D74E8E">
        <w:rPr>
          <w:rFonts w:cs="Times New Roman"/>
          <w:sz w:val="24"/>
          <w:szCs w:val="24"/>
        </w:rPr>
        <w:t xml:space="preserve"> seeks to accomplish the Healthy People 2020 objective by continuing to improve ABLES surveillance programs and </w:t>
      </w:r>
      <w:r w:rsidR="003D6B0F" w:rsidRPr="00D74E8E">
        <w:rPr>
          <w:rFonts w:cs="Times New Roman"/>
          <w:sz w:val="24"/>
          <w:szCs w:val="24"/>
        </w:rPr>
        <w:t xml:space="preserve">working with </w:t>
      </w:r>
      <w:r w:rsidR="005C6073" w:rsidRPr="00D74E8E">
        <w:rPr>
          <w:rFonts w:cs="Times New Roman"/>
          <w:sz w:val="24"/>
          <w:szCs w:val="24"/>
        </w:rPr>
        <w:t>state health and other agencies to effectively intervene and prevent further lead exposures. Intervention strategies implemented by ABLES-reporting states include conducting follow-up interviews with physicians, employers, and workers; investigating work sites; delivering technical assistance regarding exposure reduction or prevention; providing referrals for consultation and enforcement; and developing and disseminating educational materials and outreach programs</w:t>
      </w:r>
      <w:r w:rsidR="00BF7507" w:rsidRPr="00D74E8E">
        <w:rPr>
          <w:rFonts w:cs="Times New Roman"/>
          <w:sz w:val="24"/>
          <w:szCs w:val="24"/>
        </w:rPr>
        <w:t xml:space="preserve"> (NIOSH, 2015b)</w:t>
      </w:r>
      <w:r w:rsidR="005C6073" w:rsidRPr="00D74E8E">
        <w:rPr>
          <w:rFonts w:cs="Times New Roman"/>
          <w:sz w:val="24"/>
          <w:szCs w:val="24"/>
        </w:rPr>
        <w:t xml:space="preserve">.  </w:t>
      </w:r>
    </w:p>
    <w:p w14:paraId="4CD557BB" w14:textId="45AF12BE" w:rsidR="00E95798" w:rsidRPr="00D74E8E" w:rsidRDefault="00E95798" w:rsidP="00303C3B">
      <w:pPr>
        <w:pStyle w:val="Default"/>
        <w:spacing w:before="240" w:after="240" w:line="276" w:lineRule="auto"/>
        <w:rPr>
          <w:rFonts w:asciiTheme="minorHAnsi" w:eastAsiaTheme="minorEastAsia" w:hAnsiTheme="minorHAnsi" w:cs="ITCFranklinGothicStd-Book"/>
          <w:color w:val="auto"/>
          <w:u w:val="single"/>
        </w:rPr>
      </w:pPr>
      <w:r w:rsidRPr="00D74E8E">
        <w:rPr>
          <w:rFonts w:asciiTheme="minorHAnsi" w:eastAsiaTheme="minorEastAsia" w:hAnsiTheme="minorHAnsi" w:cs="ITCFranklinGothicStd-Book"/>
          <w:color w:val="auto"/>
          <w:u w:val="single"/>
        </w:rPr>
        <w:t xml:space="preserve">Primary </w:t>
      </w:r>
      <w:r w:rsidR="00FE435C" w:rsidRPr="00D74E8E">
        <w:rPr>
          <w:rFonts w:asciiTheme="minorHAnsi" w:eastAsiaTheme="minorEastAsia" w:hAnsiTheme="minorHAnsi" w:cs="ITCFranklinGothicStd-Book"/>
          <w:color w:val="auto"/>
          <w:u w:val="single"/>
        </w:rPr>
        <w:t xml:space="preserve">Lead Poisoning </w:t>
      </w:r>
      <w:r w:rsidRPr="00D74E8E">
        <w:rPr>
          <w:rFonts w:asciiTheme="minorHAnsi" w:eastAsiaTheme="minorEastAsia" w:hAnsiTheme="minorHAnsi" w:cs="ITCFranklinGothicStd-Book"/>
          <w:color w:val="auto"/>
          <w:u w:val="single"/>
        </w:rPr>
        <w:t>Prevention</w:t>
      </w:r>
      <w:r w:rsidR="00FE435C" w:rsidRPr="00D74E8E">
        <w:rPr>
          <w:rFonts w:asciiTheme="minorHAnsi" w:eastAsiaTheme="minorEastAsia" w:hAnsiTheme="minorHAnsi" w:cs="ITCFranklinGothicStd-Book"/>
          <w:color w:val="auto"/>
          <w:u w:val="single"/>
        </w:rPr>
        <w:t xml:space="preserve"> </w:t>
      </w:r>
      <w:r w:rsidR="00AF669D" w:rsidRPr="00D74E8E">
        <w:rPr>
          <w:rFonts w:asciiTheme="minorHAnsi" w:eastAsiaTheme="minorEastAsia" w:hAnsiTheme="minorHAnsi" w:cs="ITCFranklinGothicStd-Book"/>
          <w:color w:val="auto"/>
          <w:u w:val="single"/>
        </w:rPr>
        <w:t>Strategies</w:t>
      </w:r>
    </w:p>
    <w:p w14:paraId="5A50AE63" w14:textId="696ACBD2" w:rsidR="001659EB" w:rsidRPr="00D74E8E" w:rsidRDefault="00A203BB" w:rsidP="00B26758">
      <w:pPr>
        <w:spacing w:line="276" w:lineRule="auto"/>
        <w:rPr>
          <w:sz w:val="24"/>
          <w:szCs w:val="24"/>
        </w:rPr>
      </w:pPr>
      <w:r w:rsidRPr="00D74E8E">
        <w:rPr>
          <w:rFonts w:cs="Palatino-Roman"/>
          <w:sz w:val="24"/>
          <w:szCs w:val="24"/>
          <w:u w:val="single"/>
        </w:rPr>
        <w:t>Childhood Primary Prevention</w:t>
      </w:r>
      <w:r w:rsidRPr="00D74E8E">
        <w:rPr>
          <w:rFonts w:cs="Palatino-Roman"/>
          <w:sz w:val="24"/>
          <w:szCs w:val="24"/>
        </w:rPr>
        <w:t xml:space="preserve">: </w:t>
      </w:r>
      <w:r w:rsidR="00E95798" w:rsidRPr="00D74E8E">
        <w:rPr>
          <w:rFonts w:cs="Palatino-Roman"/>
          <w:sz w:val="24"/>
          <w:szCs w:val="24"/>
        </w:rPr>
        <w:t>No safe threshold for BLL has been identified</w:t>
      </w:r>
      <w:r w:rsidR="006A18C5" w:rsidRPr="00D74E8E">
        <w:rPr>
          <w:rFonts w:cs="Palatino-Roman"/>
          <w:sz w:val="24"/>
          <w:szCs w:val="24"/>
          <w:vertAlign w:val="superscript"/>
        </w:rPr>
        <w:t xml:space="preserve"> </w:t>
      </w:r>
      <w:r w:rsidR="000F3B1D" w:rsidRPr="00D74E8E">
        <w:rPr>
          <w:rStyle w:val="FootnoteReference"/>
          <w:rFonts w:cs="Palatino-Roman"/>
          <w:sz w:val="24"/>
          <w:szCs w:val="24"/>
        </w:rPr>
        <w:footnoteReference w:id="4"/>
      </w:r>
      <w:r w:rsidR="00E95798" w:rsidRPr="00D74E8E">
        <w:rPr>
          <w:rFonts w:cs="Palatino-Roman"/>
          <w:sz w:val="24"/>
          <w:szCs w:val="24"/>
        </w:rPr>
        <w:t xml:space="preserve"> </w:t>
      </w:r>
      <w:r w:rsidR="00571EE5" w:rsidRPr="00D74E8E">
        <w:rPr>
          <w:rFonts w:cs="Palatino-Roman"/>
          <w:sz w:val="24"/>
          <w:szCs w:val="24"/>
        </w:rPr>
        <w:t>(CDC, 2005; ATSDR, 2007).</w:t>
      </w:r>
      <w:r w:rsidR="00E95798" w:rsidRPr="00D74E8E">
        <w:rPr>
          <w:rFonts w:cs="Palatino-Roman"/>
          <w:sz w:val="24"/>
          <w:szCs w:val="24"/>
        </w:rPr>
        <w:t xml:space="preserve"> </w:t>
      </w:r>
      <w:r w:rsidR="000C66FE" w:rsidRPr="00D74E8E">
        <w:rPr>
          <w:rFonts w:eastAsiaTheme="minorHAnsi" w:cs="Courier New"/>
          <w:sz w:val="24"/>
          <w:szCs w:val="24"/>
        </w:rPr>
        <w:t>The American Academy of Pediatrics (AAP) Council on Environmental Health states that “</w:t>
      </w:r>
      <w:r w:rsidR="00CB417E" w:rsidRPr="00D74E8E">
        <w:rPr>
          <w:rFonts w:eastAsiaTheme="minorHAnsi" w:cs="Courier New"/>
          <w:sz w:val="24"/>
          <w:szCs w:val="24"/>
        </w:rPr>
        <w:t>[p]</w:t>
      </w:r>
      <w:r w:rsidR="000C66FE" w:rsidRPr="00D74E8E">
        <w:rPr>
          <w:rFonts w:eastAsiaTheme="minorHAnsi" w:cs="Courier New"/>
          <w:sz w:val="24"/>
          <w:szCs w:val="24"/>
        </w:rPr>
        <w:t xml:space="preserve">rimary prevention, reducing or eliminating the myriad sources of lead in the environment of children before exposure occurs, is the most reliable and cost-effective measure to protect children from lead toxicity” (AAP, 2016). </w:t>
      </w:r>
      <w:r w:rsidR="00B26758" w:rsidRPr="00D74E8E">
        <w:rPr>
          <w:sz w:val="24"/>
          <w:szCs w:val="24"/>
        </w:rPr>
        <w:t xml:space="preserve">The CDC Advisory Committee on </w:t>
      </w:r>
      <w:r w:rsidR="00737197" w:rsidRPr="00D74E8E">
        <w:rPr>
          <w:sz w:val="24"/>
          <w:szCs w:val="24"/>
        </w:rPr>
        <w:t xml:space="preserve">Childhood </w:t>
      </w:r>
      <w:r w:rsidR="00B26758" w:rsidRPr="00D74E8E">
        <w:rPr>
          <w:sz w:val="24"/>
          <w:szCs w:val="24"/>
        </w:rPr>
        <w:t>Lead Poisoning Prevention (AC</w:t>
      </w:r>
      <w:r w:rsidR="00737197" w:rsidRPr="00D74E8E">
        <w:rPr>
          <w:sz w:val="24"/>
          <w:szCs w:val="24"/>
        </w:rPr>
        <w:t>C</w:t>
      </w:r>
      <w:r w:rsidR="00B26758" w:rsidRPr="00D74E8E">
        <w:rPr>
          <w:sz w:val="24"/>
          <w:szCs w:val="24"/>
        </w:rPr>
        <w:t>LPP) underscore</w:t>
      </w:r>
      <w:r w:rsidR="00231773" w:rsidRPr="00D74E8E">
        <w:rPr>
          <w:sz w:val="24"/>
          <w:szCs w:val="24"/>
        </w:rPr>
        <w:t>s</w:t>
      </w:r>
      <w:r w:rsidR="00B26758" w:rsidRPr="00D74E8E">
        <w:rPr>
          <w:sz w:val="24"/>
          <w:szCs w:val="24"/>
        </w:rPr>
        <w:t xml:space="preserve"> this </w:t>
      </w:r>
      <w:r w:rsidR="00CB417E" w:rsidRPr="00D74E8E">
        <w:rPr>
          <w:sz w:val="24"/>
          <w:szCs w:val="24"/>
        </w:rPr>
        <w:t>position</w:t>
      </w:r>
      <w:r w:rsidR="00B26758" w:rsidRPr="00D74E8E">
        <w:rPr>
          <w:sz w:val="24"/>
          <w:szCs w:val="24"/>
        </w:rPr>
        <w:t xml:space="preserve"> by stating “[T]he absence of an identified BLL without deleterious effects combined with the evidence that these effects, in the absence of other interventions, appear to be irreversible, underscores the critical importance of primary prevent</w:t>
      </w:r>
      <w:r w:rsidR="001659EB" w:rsidRPr="00D74E8E">
        <w:rPr>
          <w:sz w:val="24"/>
          <w:szCs w:val="24"/>
        </w:rPr>
        <w:t>ion</w:t>
      </w:r>
      <w:r w:rsidR="00B26758" w:rsidRPr="00D74E8E">
        <w:rPr>
          <w:sz w:val="24"/>
          <w:szCs w:val="24"/>
        </w:rPr>
        <w:t xml:space="preserve">” </w:t>
      </w:r>
      <w:r w:rsidR="001659EB" w:rsidRPr="00D74E8E">
        <w:rPr>
          <w:sz w:val="24"/>
          <w:szCs w:val="24"/>
        </w:rPr>
        <w:t>(AC</w:t>
      </w:r>
      <w:r w:rsidR="00737197" w:rsidRPr="00D74E8E">
        <w:rPr>
          <w:sz w:val="24"/>
          <w:szCs w:val="24"/>
        </w:rPr>
        <w:t>C</w:t>
      </w:r>
      <w:r w:rsidR="001659EB" w:rsidRPr="00D74E8E">
        <w:rPr>
          <w:sz w:val="24"/>
          <w:szCs w:val="24"/>
        </w:rPr>
        <w:t>LPP, 2012).</w:t>
      </w:r>
    </w:p>
    <w:p w14:paraId="25FD0907" w14:textId="56A08994" w:rsidR="009F4282" w:rsidRPr="00D74E8E" w:rsidRDefault="00CB774F" w:rsidP="00B26758">
      <w:pPr>
        <w:spacing w:line="276" w:lineRule="auto"/>
        <w:rPr>
          <w:rFonts w:ascii="Calibri" w:hAnsi="Calibri" w:cs="Calibri"/>
          <w:sz w:val="24"/>
          <w:szCs w:val="24"/>
        </w:rPr>
      </w:pPr>
      <w:r w:rsidRPr="00D74E8E">
        <w:rPr>
          <w:rFonts w:ascii="Calibri" w:hAnsi="Calibri" w:cs="Calibri"/>
          <w:sz w:val="24"/>
          <w:szCs w:val="24"/>
        </w:rPr>
        <w:t xml:space="preserve">The </w:t>
      </w:r>
      <w:r w:rsidR="008177CB" w:rsidRPr="00D74E8E">
        <w:rPr>
          <w:rFonts w:ascii="Calibri" w:hAnsi="Calibri" w:cs="Calibri"/>
          <w:sz w:val="24"/>
          <w:szCs w:val="24"/>
        </w:rPr>
        <w:t>AC</w:t>
      </w:r>
      <w:r w:rsidR="00E47C0A" w:rsidRPr="00D74E8E">
        <w:rPr>
          <w:rFonts w:ascii="Calibri" w:hAnsi="Calibri" w:cs="Calibri"/>
          <w:sz w:val="24"/>
          <w:szCs w:val="24"/>
        </w:rPr>
        <w:t>C</w:t>
      </w:r>
      <w:r w:rsidR="008177CB" w:rsidRPr="00D74E8E">
        <w:rPr>
          <w:rFonts w:ascii="Calibri" w:hAnsi="Calibri" w:cs="Calibri"/>
          <w:sz w:val="24"/>
          <w:szCs w:val="24"/>
        </w:rPr>
        <w:t>LPP reiterated</w:t>
      </w:r>
      <w:r w:rsidR="00D160BA" w:rsidRPr="00D74E8E">
        <w:rPr>
          <w:rFonts w:ascii="Calibri" w:hAnsi="Calibri" w:cs="Calibri"/>
          <w:sz w:val="24"/>
          <w:szCs w:val="24"/>
        </w:rPr>
        <w:t xml:space="preserve"> that </w:t>
      </w:r>
      <w:r w:rsidR="00994771" w:rsidRPr="00D74E8E">
        <w:rPr>
          <w:rFonts w:ascii="Calibri" w:hAnsi="Calibri" w:cs="Calibri"/>
          <w:sz w:val="24"/>
          <w:szCs w:val="24"/>
        </w:rPr>
        <w:t>“</w:t>
      </w:r>
      <w:r w:rsidR="00B26758" w:rsidRPr="00D74E8E">
        <w:rPr>
          <w:rFonts w:ascii="Calibri" w:hAnsi="Calibri" w:cs="Calibri"/>
          <w:sz w:val="24"/>
          <w:szCs w:val="24"/>
        </w:rPr>
        <w:t>Primary prevention is a strategy that emphasizes the prevention of lead exposure, rather than a response to exposure after it has taken place. Primary prevention is necessary because the effects of lead appear to be irreversible. In the U.S., this strategy will largely require that children not live in older housing with lead-based paint hazards. Screening children for elevated BLLs and dealing with their housing only when their BLL is already elevated should no longer be acceptable practice</w:t>
      </w:r>
      <w:r w:rsidR="00994771" w:rsidRPr="00D74E8E">
        <w:rPr>
          <w:rFonts w:ascii="Calibri" w:hAnsi="Calibri" w:cs="Calibri"/>
          <w:sz w:val="24"/>
          <w:szCs w:val="24"/>
        </w:rPr>
        <w:t>” (AC</w:t>
      </w:r>
      <w:r w:rsidR="00E47C0A" w:rsidRPr="00D74E8E">
        <w:rPr>
          <w:rFonts w:ascii="Calibri" w:hAnsi="Calibri" w:cs="Calibri"/>
          <w:sz w:val="24"/>
          <w:szCs w:val="24"/>
        </w:rPr>
        <w:t>C</w:t>
      </w:r>
      <w:r w:rsidR="00994771" w:rsidRPr="00D74E8E">
        <w:rPr>
          <w:rFonts w:ascii="Calibri" w:hAnsi="Calibri" w:cs="Calibri"/>
          <w:sz w:val="24"/>
          <w:szCs w:val="24"/>
        </w:rPr>
        <w:t>L</w:t>
      </w:r>
      <w:r w:rsidR="00530524" w:rsidRPr="00D74E8E">
        <w:rPr>
          <w:rFonts w:ascii="Calibri" w:hAnsi="Calibri" w:cs="Calibri"/>
          <w:sz w:val="24"/>
          <w:szCs w:val="24"/>
        </w:rPr>
        <w:t>PP, 2012)</w:t>
      </w:r>
      <w:r w:rsidR="00B26758" w:rsidRPr="00D74E8E">
        <w:rPr>
          <w:rFonts w:ascii="Calibri" w:hAnsi="Calibri" w:cs="Calibri"/>
          <w:sz w:val="24"/>
          <w:szCs w:val="24"/>
        </w:rPr>
        <w:t xml:space="preserve">. </w:t>
      </w:r>
    </w:p>
    <w:p w14:paraId="493E3A65" w14:textId="7E994E2D" w:rsidR="00EC33C6" w:rsidRPr="00D74E8E" w:rsidRDefault="00A203BB" w:rsidP="00B26758">
      <w:pPr>
        <w:spacing w:line="276" w:lineRule="auto"/>
        <w:rPr>
          <w:rFonts w:ascii="Calibri" w:hAnsi="Calibri" w:cs="Calibri"/>
          <w:sz w:val="24"/>
          <w:szCs w:val="24"/>
          <w:u w:val="single"/>
        </w:rPr>
      </w:pPr>
      <w:r w:rsidRPr="00D74E8E">
        <w:rPr>
          <w:rFonts w:ascii="Calibri" w:hAnsi="Calibri" w:cs="Calibri"/>
          <w:sz w:val="24"/>
          <w:szCs w:val="24"/>
          <w:u w:val="single"/>
        </w:rPr>
        <w:t>Adult Worker Primary Prevention</w:t>
      </w:r>
      <w:r w:rsidRPr="00D74E8E">
        <w:rPr>
          <w:rFonts w:ascii="Calibri" w:hAnsi="Calibri" w:cs="Calibri"/>
          <w:sz w:val="24"/>
          <w:szCs w:val="24"/>
        </w:rPr>
        <w:t>:</w:t>
      </w:r>
      <w:r w:rsidR="009F0843" w:rsidRPr="00D74E8E">
        <w:rPr>
          <w:rFonts w:ascii="Calibri" w:hAnsi="Calibri" w:cs="Calibri"/>
          <w:sz w:val="24"/>
          <w:szCs w:val="24"/>
        </w:rPr>
        <w:t xml:space="preserve"> A</w:t>
      </w:r>
      <w:r w:rsidR="00EC6B64" w:rsidRPr="00D74E8E">
        <w:rPr>
          <w:rFonts w:ascii="Calibri" w:hAnsi="Calibri" w:cs="Calibri"/>
          <w:sz w:val="24"/>
          <w:szCs w:val="24"/>
        </w:rPr>
        <w:t>dult workers can be exposed to lead through inhalation, ingestion, and dermal absorption. Primary prevention of lead among workers can be achieved through engineering controls (e.g., local exhaust system), administrative controls (e.g., rotating workers’ schedule to minimize exposure time), safe work practices (e.g., showering and changing into clean clothes before leaving worksite), and use of personal protective equipment.</w:t>
      </w:r>
    </w:p>
    <w:p w14:paraId="67127E09" w14:textId="670E5B02" w:rsidR="009F4282" w:rsidRPr="00D74E8E" w:rsidRDefault="001C01C1" w:rsidP="00421877">
      <w:pPr>
        <w:spacing w:before="240" w:after="240" w:line="276" w:lineRule="auto"/>
        <w:rPr>
          <w:rFonts w:ascii="Calibri" w:hAnsi="Calibri" w:cs="Calibri"/>
          <w:sz w:val="24"/>
          <w:szCs w:val="24"/>
          <w:u w:val="single"/>
        </w:rPr>
      </w:pPr>
      <w:r w:rsidRPr="00D74E8E">
        <w:rPr>
          <w:rFonts w:ascii="Calibri" w:hAnsi="Calibri" w:cs="Calibri"/>
          <w:sz w:val="24"/>
          <w:szCs w:val="24"/>
          <w:u w:val="single"/>
        </w:rPr>
        <w:t xml:space="preserve">Secondary </w:t>
      </w:r>
      <w:r w:rsidR="00AF669D" w:rsidRPr="00D74E8E">
        <w:rPr>
          <w:rFonts w:ascii="Calibri" w:hAnsi="Calibri" w:cs="Calibri"/>
          <w:sz w:val="24"/>
          <w:szCs w:val="24"/>
          <w:u w:val="single"/>
        </w:rPr>
        <w:t xml:space="preserve">Lead Poisoning </w:t>
      </w:r>
      <w:r w:rsidRPr="00D74E8E">
        <w:rPr>
          <w:rFonts w:ascii="Calibri" w:hAnsi="Calibri" w:cs="Calibri"/>
          <w:sz w:val="24"/>
          <w:szCs w:val="24"/>
          <w:u w:val="single"/>
        </w:rPr>
        <w:t xml:space="preserve">Prevention Strategies - </w:t>
      </w:r>
      <w:r w:rsidR="009F4282" w:rsidRPr="00D74E8E">
        <w:rPr>
          <w:rFonts w:ascii="Calibri" w:hAnsi="Calibri" w:cs="Calibri"/>
          <w:sz w:val="24"/>
          <w:szCs w:val="24"/>
          <w:u w:val="single"/>
        </w:rPr>
        <w:t>Medical Management and Treatment Guidelines</w:t>
      </w:r>
    </w:p>
    <w:p w14:paraId="44426A48" w14:textId="4898E456" w:rsidR="00022750" w:rsidRPr="00D74E8E" w:rsidRDefault="00D74993" w:rsidP="003127FE">
      <w:pPr>
        <w:spacing w:line="276" w:lineRule="auto"/>
        <w:rPr>
          <w:rFonts w:ascii="Calibri" w:hAnsi="Calibri" w:cs="Calibri"/>
          <w:sz w:val="24"/>
          <w:szCs w:val="24"/>
        </w:rPr>
      </w:pPr>
      <w:r w:rsidRPr="00D74E8E">
        <w:rPr>
          <w:rFonts w:cs="Calibri"/>
          <w:sz w:val="24"/>
          <w:szCs w:val="24"/>
        </w:rPr>
        <w:t xml:space="preserve">Blood lead is the most widely available measure of exposure to lead for medical screening and treatment and for epidemiologic studies. It reflects the equilibrium between current and past lead exposure in bone and blood, and numerous studies have reported an association between BLLs and health outcomes (NTP, 2012). </w:t>
      </w:r>
      <w:r w:rsidRPr="00D74E8E">
        <w:rPr>
          <w:sz w:val="24"/>
          <w:szCs w:val="24"/>
        </w:rPr>
        <w:t>S</w:t>
      </w:r>
      <w:r w:rsidR="00364AAF" w:rsidRPr="00D74E8E">
        <w:rPr>
          <w:sz w:val="24"/>
          <w:szCs w:val="24"/>
        </w:rPr>
        <w:t>ince 1978,</w:t>
      </w:r>
      <w:r w:rsidR="00364AAF" w:rsidRPr="00D74E8E">
        <w:rPr>
          <w:rFonts w:eastAsia="Times New Roman" w:cs="Times New Roman"/>
          <w:sz w:val="24"/>
          <w:szCs w:val="24"/>
        </w:rPr>
        <w:t xml:space="preserve"> </w:t>
      </w:r>
      <w:r w:rsidR="00022750" w:rsidRPr="00D74E8E">
        <w:rPr>
          <w:rFonts w:eastAsia="Times New Roman" w:cs="Times New Roman"/>
          <w:sz w:val="24"/>
          <w:szCs w:val="24"/>
        </w:rPr>
        <w:t>the CDC has published medical management and treatment guidelines</w:t>
      </w:r>
      <w:r w:rsidR="00364AAF" w:rsidRPr="00D74E8E">
        <w:rPr>
          <w:rFonts w:eastAsia="Times New Roman" w:cs="Times New Roman"/>
          <w:sz w:val="24"/>
          <w:szCs w:val="24"/>
        </w:rPr>
        <w:t xml:space="preserve"> when</w:t>
      </w:r>
      <w:r w:rsidR="00022750" w:rsidRPr="00D74E8E">
        <w:rPr>
          <w:rFonts w:eastAsia="Times New Roman" w:cs="Times New Roman"/>
          <w:sz w:val="24"/>
          <w:szCs w:val="24"/>
        </w:rPr>
        <w:t xml:space="preserve"> children with elevated BLLs</w:t>
      </w:r>
      <w:r w:rsidR="00364AAF" w:rsidRPr="00D74E8E">
        <w:rPr>
          <w:rFonts w:eastAsia="Times New Roman" w:cs="Times New Roman"/>
          <w:sz w:val="24"/>
          <w:szCs w:val="24"/>
        </w:rPr>
        <w:t xml:space="preserve"> are identified</w:t>
      </w:r>
      <w:r w:rsidR="00022750" w:rsidRPr="00D74E8E">
        <w:rPr>
          <w:rFonts w:eastAsia="Times New Roman" w:cs="Times New Roman"/>
          <w:sz w:val="24"/>
          <w:szCs w:val="24"/>
        </w:rPr>
        <w:t xml:space="preserve"> (CDC, 2002)</w:t>
      </w:r>
      <w:r w:rsidR="00725E68" w:rsidRPr="00D74E8E">
        <w:rPr>
          <w:rFonts w:eastAsia="Times New Roman" w:cs="Times New Roman"/>
          <w:sz w:val="24"/>
          <w:szCs w:val="24"/>
        </w:rPr>
        <w:t xml:space="preserve"> and for </w:t>
      </w:r>
      <w:r w:rsidR="007C661B" w:rsidRPr="00D74E8E">
        <w:rPr>
          <w:rFonts w:eastAsia="Times New Roman" w:cs="Times New Roman"/>
          <w:sz w:val="24"/>
          <w:szCs w:val="24"/>
        </w:rPr>
        <w:t xml:space="preserve">clinical care of </w:t>
      </w:r>
      <w:r w:rsidR="00725E68" w:rsidRPr="00D74E8E">
        <w:rPr>
          <w:rFonts w:eastAsia="Times New Roman" w:cs="Times New Roman"/>
          <w:sz w:val="24"/>
          <w:szCs w:val="24"/>
        </w:rPr>
        <w:t>pregnant and lactating women (CDC, 2010)</w:t>
      </w:r>
      <w:r w:rsidR="00022750" w:rsidRPr="00D74E8E">
        <w:rPr>
          <w:rFonts w:eastAsia="Times New Roman" w:cs="Times New Roman"/>
          <w:sz w:val="24"/>
          <w:szCs w:val="24"/>
        </w:rPr>
        <w:t>.</w:t>
      </w:r>
      <w:r w:rsidR="00144970" w:rsidRPr="00D74E8E">
        <w:rPr>
          <w:rFonts w:eastAsia="Times New Roman" w:cs="Times New Roman"/>
          <w:sz w:val="24"/>
          <w:szCs w:val="24"/>
        </w:rPr>
        <w:t xml:space="preserve"> In 2016, the </w:t>
      </w:r>
      <w:r w:rsidR="004A2E37" w:rsidRPr="00D74E8E">
        <w:rPr>
          <w:rFonts w:cs="Times New Roman"/>
          <w:sz w:val="24"/>
          <w:szCs w:val="24"/>
        </w:rPr>
        <w:t xml:space="preserve">American Academy of Pediatrics </w:t>
      </w:r>
      <w:r w:rsidR="004A2E37">
        <w:rPr>
          <w:rFonts w:cs="Times New Roman"/>
          <w:sz w:val="24"/>
          <w:szCs w:val="24"/>
        </w:rPr>
        <w:t>(</w:t>
      </w:r>
      <w:r w:rsidR="00144970" w:rsidRPr="00D74E8E">
        <w:rPr>
          <w:rFonts w:eastAsia="Times New Roman" w:cs="Times New Roman"/>
          <w:sz w:val="24"/>
          <w:szCs w:val="24"/>
        </w:rPr>
        <w:t>AAP</w:t>
      </w:r>
      <w:r w:rsidR="004A2E37">
        <w:rPr>
          <w:rFonts w:eastAsia="Times New Roman" w:cs="Times New Roman"/>
          <w:sz w:val="24"/>
          <w:szCs w:val="24"/>
        </w:rPr>
        <w:t>)</w:t>
      </w:r>
      <w:r w:rsidR="00144970" w:rsidRPr="00D74E8E">
        <w:rPr>
          <w:rFonts w:eastAsia="Times New Roman" w:cs="Times New Roman"/>
          <w:sz w:val="24"/>
          <w:szCs w:val="24"/>
        </w:rPr>
        <w:t xml:space="preserve"> </w:t>
      </w:r>
      <w:r w:rsidR="0010380D" w:rsidRPr="00D74E8E">
        <w:rPr>
          <w:rFonts w:eastAsia="Times New Roman" w:cs="Times New Roman"/>
          <w:sz w:val="24"/>
          <w:szCs w:val="24"/>
        </w:rPr>
        <w:t>Council on Environmental Health</w:t>
      </w:r>
      <w:r w:rsidR="00144970" w:rsidRPr="00D74E8E">
        <w:rPr>
          <w:rFonts w:eastAsia="Times New Roman" w:cs="Times New Roman"/>
          <w:sz w:val="24"/>
          <w:szCs w:val="24"/>
        </w:rPr>
        <w:t>, likewise, published its policy statement titled “Prevention of Childhood Lead Toxicity”</w:t>
      </w:r>
      <w:r w:rsidR="00B34230" w:rsidRPr="00D74E8E">
        <w:rPr>
          <w:rFonts w:eastAsia="Times New Roman" w:cs="Times New Roman"/>
          <w:sz w:val="24"/>
          <w:szCs w:val="24"/>
        </w:rPr>
        <w:t xml:space="preserve"> with medical management treatment</w:t>
      </w:r>
      <w:r w:rsidR="00BE7DF2" w:rsidRPr="00D74E8E">
        <w:rPr>
          <w:rFonts w:eastAsia="Times New Roman" w:cs="Times New Roman"/>
          <w:sz w:val="24"/>
          <w:szCs w:val="24"/>
        </w:rPr>
        <w:t xml:space="preserve"> guidelines</w:t>
      </w:r>
      <w:r w:rsidR="00144970" w:rsidRPr="00D74E8E">
        <w:rPr>
          <w:rFonts w:eastAsia="Times New Roman" w:cs="Times New Roman"/>
          <w:sz w:val="24"/>
          <w:szCs w:val="24"/>
        </w:rPr>
        <w:t xml:space="preserve"> (AAP, 2016).</w:t>
      </w:r>
    </w:p>
    <w:p w14:paraId="716BA4D2" w14:textId="77777777" w:rsidR="00EF7D54" w:rsidRDefault="003F0A70" w:rsidP="000C21AE">
      <w:pPr>
        <w:spacing w:line="276" w:lineRule="auto"/>
        <w:rPr>
          <w:rFonts w:eastAsia="Times New Roman" w:cs="Times New Roman"/>
          <w:sz w:val="24"/>
          <w:szCs w:val="24"/>
        </w:rPr>
      </w:pPr>
      <w:r w:rsidRPr="00D74E8E">
        <w:rPr>
          <w:rFonts w:eastAsia="Times New Roman" w:cs="Times New Roman"/>
          <w:sz w:val="24"/>
          <w:szCs w:val="24"/>
        </w:rPr>
        <w:t>When</w:t>
      </w:r>
      <w:r w:rsidR="00463043" w:rsidRPr="00D74E8E">
        <w:rPr>
          <w:rFonts w:eastAsia="Times New Roman" w:cs="Times New Roman"/>
          <w:sz w:val="24"/>
          <w:szCs w:val="24"/>
        </w:rPr>
        <w:t xml:space="preserve"> p</w:t>
      </w:r>
      <w:r w:rsidR="009D0A82" w:rsidRPr="00D74E8E">
        <w:rPr>
          <w:rFonts w:eastAsia="Times New Roman" w:cs="Times New Roman"/>
          <w:sz w:val="24"/>
          <w:szCs w:val="24"/>
        </w:rPr>
        <w:t>rimary prevention efforts fail to</w:t>
      </w:r>
      <w:r w:rsidR="00ED1C62" w:rsidRPr="00D74E8E">
        <w:rPr>
          <w:rFonts w:eastAsia="Times New Roman" w:cs="Times New Roman"/>
          <w:sz w:val="24"/>
          <w:szCs w:val="24"/>
        </w:rPr>
        <w:t xml:space="preserve"> </w:t>
      </w:r>
      <w:r w:rsidR="0010380D" w:rsidRPr="00D74E8E">
        <w:rPr>
          <w:rFonts w:eastAsia="Times New Roman" w:cs="Times New Roman"/>
          <w:sz w:val="24"/>
          <w:szCs w:val="24"/>
        </w:rPr>
        <w:t xml:space="preserve">prevent and </w:t>
      </w:r>
      <w:r w:rsidR="00ED1C62" w:rsidRPr="00D74E8E">
        <w:rPr>
          <w:rFonts w:eastAsia="Times New Roman" w:cs="Times New Roman"/>
          <w:sz w:val="24"/>
          <w:szCs w:val="24"/>
        </w:rPr>
        <w:t>eliminate</w:t>
      </w:r>
      <w:r w:rsidRPr="00D74E8E">
        <w:rPr>
          <w:rFonts w:eastAsia="Times New Roman" w:cs="Times New Roman"/>
          <w:sz w:val="24"/>
          <w:szCs w:val="24"/>
        </w:rPr>
        <w:t xml:space="preserve"> </w:t>
      </w:r>
      <w:r w:rsidR="00921307" w:rsidRPr="00D74E8E">
        <w:rPr>
          <w:rFonts w:eastAsia="Times New Roman" w:cs="Times New Roman"/>
          <w:sz w:val="24"/>
          <w:szCs w:val="24"/>
        </w:rPr>
        <w:t xml:space="preserve">occupational </w:t>
      </w:r>
      <w:r w:rsidRPr="00D74E8E">
        <w:rPr>
          <w:rFonts w:eastAsia="Times New Roman" w:cs="Times New Roman"/>
          <w:sz w:val="24"/>
          <w:szCs w:val="24"/>
        </w:rPr>
        <w:t>cases</w:t>
      </w:r>
      <w:r w:rsidR="00463043" w:rsidRPr="00D74E8E">
        <w:rPr>
          <w:rFonts w:eastAsia="Times New Roman" w:cs="Times New Roman"/>
          <w:sz w:val="24"/>
          <w:szCs w:val="24"/>
        </w:rPr>
        <w:t xml:space="preserve"> of elevated BLLs</w:t>
      </w:r>
      <w:r w:rsidRPr="00D74E8E">
        <w:rPr>
          <w:rFonts w:eastAsia="Times New Roman" w:cs="Times New Roman"/>
          <w:sz w:val="24"/>
          <w:szCs w:val="24"/>
        </w:rPr>
        <w:t xml:space="preserve">, medical management </w:t>
      </w:r>
      <w:r w:rsidR="00CB28E8" w:rsidRPr="00D74E8E">
        <w:rPr>
          <w:rFonts w:eastAsia="Times New Roman" w:cs="Times New Roman"/>
          <w:sz w:val="24"/>
          <w:szCs w:val="24"/>
        </w:rPr>
        <w:t>practices are</w:t>
      </w:r>
      <w:r w:rsidR="004F79A4" w:rsidRPr="00D74E8E">
        <w:rPr>
          <w:rFonts w:eastAsia="Times New Roman" w:cs="Times New Roman"/>
          <w:sz w:val="24"/>
          <w:szCs w:val="24"/>
        </w:rPr>
        <w:t xml:space="preserve"> implemented</w:t>
      </w:r>
      <w:r w:rsidR="00463043" w:rsidRPr="00D74E8E">
        <w:rPr>
          <w:rFonts w:eastAsia="Times New Roman" w:cs="Times New Roman"/>
          <w:sz w:val="24"/>
          <w:szCs w:val="24"/>
        </w:rPr>
        <w:t xml:space="preserve"> to prevent harm to the extent possible</w:t>
      </w:r>
      <w:r w:rsidR="004F79A4" w:rsidRPr="00D74E8E">
        <w:rPr>
          <w:rFonts w:eastAsia="Times New Roman" w:cs="Times New Roman"/>
          <w:sz w:val="24"/>
          <w:szCs w:val="24"/>
        </w:rPr>
        <w:t xml:space="preserve">. </w:t>
      </w:r>
      <w:r w:rsidR="008511D8" w:rsidRPr="00D74E8E">
        <w:rPr>
          <w:rFonts w:eastAsia="Times New Roman" w:cs="Times New Roman"/>
          <w:sz w:val="24"/>
          <w:szCs w:val="24"/>
        </w:rPr>
        <w:t>For work</w:t>
      </w:r>
      <w:r w:rsidR="00336806" w:rsidRPr="00D74E8E">
        <w:rPr>
          <w:rFonts w:eastAsia="Times New Roman" w:cs="Times New Roman"/>
          <w:sz w:val="24"/>
          <w:szCs w:val="24"/>
        </w:rPr>
        <w:t>place</w:t>
      </w:r>
      <w:r w:rsidR="00C53ED1" w:rsidRPr="00D74E8E">
        <w:rPr>
          <w:rFonts w:eastAsia="Times New Roman" w:cs="Times New Roman"/>
          <w:sz w:val="24"/>
          <w:szCs w:val="24"/>
        </w:rPr>
        <w:t xml:space="preserve"> lead exposures</w:t>
      </w:r>
      <w:r w:rsidR="008511D8" w:rsidRPr="00D74E8E">
        <w:rPr>
          <w:rFonts w:eastAsia="Times New Roman" w:cs="Times New Roman"/>
          <w:sz w:val="24"/>
          <w:szCs w:val="24"/>
        </w:rPr>
        <w:t xml:space="preserve">, </w:t>
      </w:r>
      <w:r w:rsidR="00DB5DF4" w:rsidRPr="00D74E8E">
        <w:rPr>
          <w:rFonts w:eastAsia="Times New Roman" w:cs="Times New Roman"/>
          <w:sz w:val="24"/>
          <w:szCs w:val="24"/>
        </w:rPr>
        <w:t>the Occu</w:t>
      </w:r>
      <w:r w:rsidR="00E13583" w:rsidRPr="00D74E8E">
        <w:rPr>
          <w:rFonts w:eastAsia="Times New Roman" w:cs="Times New Roman"/>
          <w:sz w:val="24"/>
          <w:szCs w:val="24"/>
        </w:rPr>
        <w:t>pational Safety and Health Act</w:t>
      </w:r>
      <w:r w:rsidR="008B5A26" w:rsidRPr="00D74E8E">
        <w:rPr>
          <w:rFonts w:eastAsia="Times New Roman" w:cs="Times New Roman"/>
          <w:sz w:val="24"/>
          <w:szCs w:val="24"/>
        </w:rPr>
        <w:t xml:space="preserve"> Lead Standards give the examining physician broad flexibility to tailor special protective procedures to the needs of individual employees. </w:t>
      </w:r>
      <w:r w:rsidR="00C25D82" w:rsidRPr="00D74E8E">
        <w:rPr>
          <w:rFonts w:eastAsia="Times New Roman" w:cs="Times New Roman"/>
          <w:sz w:val="24"/>
          <w:szCs w:val="24"/>
        </w:rPr>
        <w:t>Occupational medical management guidelines for lead were developed to parallel those previously recommended</w:t>
      </w:r>
      <w:r w:rsidR="00BD5BFB" w:rsidRPr="00D74E8E">
        <w:rPr>
          <w:rFonts w:eastAsia="Times New Roman" w:cs="Times New Roman"/>
          <w:sz w:val="24"/>
          <w:szCs w:val="24"/>
        </w:rPr>
        <w:t xml:space="preserve"> by CDC</w:t>
      </w:r>
      <w:r w:rsidR="00C25D82" w:rsidRPr="00D74E8E">
        <w:rPr>
          <w:rFonts w:eastAsia="Times New Roman" w:cs="Times New Roman"/>
          <w:sz w:val="24"/>
          <w:szCs w:val="24"/>
        </w:rPr>
        <w:t xml:space="preserve"> for children </w:t>
      </w:r>
      <w:r w:rsidR="00E6772B" w:rsidRPr="00D74E8E">
        <w:rPr>
          <w:rFonts w:eastAsia="Times New Roman" w:cs="Times New Roman"/>
          <w:sz w:val="24"/>
          <w:szCs w:val="24"/>
        </w:rPr>
        <w:t xml:space="preserve">with elevated BLLs </w:t>
      </w:r>
      <w:r w:rsidR="00C25D82" w:rsidRPr="00D74E8E">
        <w:rPr>
          <w:rFonts w:eastAsia="Times New Roman" w:cs="Times New Roman"/>
          <w:sz w:val="24"/>
          <w:szCs w:val="24"/>
        </w:rPr>
        <w:t xml:space="preserve">(CDC, 2002). </w:t>
      </w:r>
      <w:r w:rsidR="008B5A26" w:rsidRPr="00D74E8E">
        <w:rPr>
          <w:rFonts w:eastAsia="Times New Roman" w:cs="Times New Roman"/>
          <w:sz w:val="24"/>
          <w:szCs w:val="24"/>
        </w:rPr>
        <w:t xml:space="preserve">Recommendations for medical management </w:t>
      </w:r>
      <w:r w:rsidR="005C50BA" w:rsidRPr="00D74E8E">
        <w:rPr>
          <w:rFonts w:eastAsia="Times New Roman" w:cs="Times New Roman"/>
          <w:sz w:val="24"/>
          <w:szCs w:val="24"/>
        </w:rPr>
        <w:t xml:space="preserve">for elevated BLLs in workers </w:t>
      </w:r>
      <w:r w:rsidR="008B5A26" w:rsidRPr="00D74E8E">
        <w:rPr>
          <w:rFonts w:eastAsia="Times New Roman" w:cs="Times New Roman"/>
          <w:sz w:val="24"/>
          <w:szCs w:val="24"/>
        </w:rPr>
        <w:t xml:space="preserve">are available from the </w:t>
      </w:r>
      <w:r w:rsidR="008030EB" w:rsidRPr="00D74E8E">
        <w:rPr>
          <w:rFonts w:eastAsia="Times New Roman" w:cs="Times New Roman"/>
          <w:sz w:val="24"/>
          <w:szCs w:val="24"/>
        </w:rPr>
        <w:t>Association of Occupational and Environmental Clinics</w:t>
      </w:r>
      <w:r w:rsidR="00202126" w:rsidRPr="00D74E8E">
        <w:rPr>
          <w:rFonts w:eastAsia="Times New Roman" w:cs="Times New Roman"/>
          <w:sz w:val="24"/>
          <w:szCs w:val="24"/>
        </w:rPr>
        <w:t xml:space="preserve"> (AOEC)</w:t>
      </w:r>
      <w:r w:rsidR="008030EB" w:rsidRPr="00D74E8E">
        <w:rPr>
          <w:rFonts w:eastAsia="Times New Roman" w:cs="Times New Roman"/>
          <w:sz w:val="24"/>
          <w:szCs w:val="24"/>
        </w:rPr>
        <w:t xml:space="preserve"> with the Council of State and Territorial Epidemiologists</w:t>
      </w:r>
      <w:r w:rsidR="00202126" w:rsidRPr="00D74E8E">
        <w:rPr>
          <w:rFonts w:eastAsia="Times New Roman" w:cs="Times New Roman"/>
          <w:sz w:val="24"/>
          <w:szCs w:val="24"/>
        </w:rPr>
        <w:t xml:space="preserve"> (CSTE)</w:t>
      </w:r>
      <w:r w:rsidR="003A1EBB" w:rsidRPr="00D74E8E">
        <w:rPr>
          <w:rFonts w:eastAsia="Times New Roman" w:cs="Times New Roman"/>
          <w:sz w:val="24"/>
          <w:szCs w:val="24"/>
        </w:rPr>
        <w:t xml:space="preserve"> (AO</w:t>
      </w:r>
      <w:r w:rsidR="00361F32" w:rsidRPr="00D74E8E">
        <w:rPr>
          <w:rFonts w:eastAsia="Times New Roman" w:cs="Times New Roman"/>
          <w:sz w:val="24"/>
          <w:szCs w:val="24"/>
        </w:rPr>
        <w:t>E</w:t>
      </w:r>
      <w:r w:rsidR="003A1EBB" w:rsidRPr="00D74E8E">
        <w:rPr>
          <w:rFonts w:eastAsia="Times New Roman" w:cs="Times New Roman"/>
          <w:sz w:val="24"/>
          <w:szCs w:val="24"/>
        </w:rPr>
        <w:t>C</w:t>
      </w:r>
      <w:r w:rsidR="008030EB" w:rsidRPr="00D74E8E">
        <w:rPr>
          <w:rFonts w:eastAsia="Times New Roman" w:cs="Times New Roman"/>
          <w:sz w:val="24"/>
          <w:szCs w:val="24"/>
        </w:rPr>
        <w:t>-CSTE, 2013</w:t>
      </w:r>
      <w:r w:rsidR="00361F32" w:rsidRPr="00D74E8E">
        <w:rPr>
          <w:rFonts w:eastAsia="Times New Roman" w:cs="Times New Roman"/>
          <w:sz w:val="24"/>
          <w:szCs w:val="24"/>
        </w:rPr>
        <w:t>)</w:t>
      </w:r>
      <w:r w:rsidR="008B5A26" w:rsidRPr="00D74E8E">
        <w:rPr>
          <w:rFonts w:eastAsia="Times New Roman" w:cs="Times New Roman"/>
          <w:sz w:val="24"/>
          <w:szCs w:val="24"/>
        </w:rPr>
        <w:t xml:space="preserve">, </w:t>
      </w:r>
      <w:r w:rsidR="0093697F" w:rsidRPr="00D74E8E">
        <w:rPr>
          <w:rFonts w:eastAsia="Times New Roman" w:cs="Times New Roman"/>
          <w:sz w:val="24"/>
          <w:szCs w:val="24"/>
        </w:rPr>
        <w:t>California Department of Public Health</w:t>
      </w:r>
      <w:r w:rsidR="00C14F0F" w:rsidRPr="00D74E8E">
        <w:rPr>
          <w:rFonts w:eastAsia="Times New Roman" w:cs="Times New Roman"/>
          <w:sz w:val="24"/>
          <w:szCs w:val="24"/>
        </w:rPr>
        <w:t xml:space="preserve"> (CDPH)</w:t>
      </w:r>
      <w:r w:rsidR="008030EB" w:rsidRPr="00D74E8E">
        <w:rPr>
          <w:rFonts w:eastAsia="Times New Roman" w:cs="Times New Roman"/>
          <w:sz w:val="24"/>
          <w:szCs w:val="24"/>
        </w:rPr>
        <w:t xml:space="preserve"> (CDPH, 2009</w:t>
      </w:r>
      <w:r w:rsidR="00361F32" w:rsidRPr="00D74E8E">
        <w:rPr>
          <w:rFonts w:eastAsia="Times New Roman" w:cs="Times New Roman"/>
          <w:sz w:val="24"/>
          <w:szCs w:val="24"/>
        </w:rPr>
        <w:t>)</w:t>
      </w:r>
      <w:r w:rsidR="008B5A26" w:rsidRPr="00D74E8E">
        <w:rPr>
          <w:rFonts w:eastAsia="Times New Roman" w:cs="Times New Roman"/>
          <w:sz w:val="24"/>
          <w:szCs w:val="24"/>
        </w:rPr>
        <w:t xml:space="preserve">, and the </w:t>
      </w:r>
      <w:r w:rsidR="00ED4628" w:rsidRPr="00D74E8E">
        <w:rPr>
          <w:rFonts w:eastAsia="Times New Roman" w:cs="Times New Roman"/>
          <w:sz w:val="24"/>
          <w:szCs w:val="24"/>
        </w:rPr>
        <w:t>CSTE Occupational Health Surveillance Subcommittee</w:t>
      </w:r>
      <w:r w:rsidR="0093697F" w:rsidRPr="00D74E8E">
        <w:rPr>
          <w:rFonts w:eastAsia="Times New Roman" w:cs="Times New Roman"/>
          <w:sz w:val="24"/>
          <w:szCs w:val="24"/>
        </w:rPr>
        <w:t xml:space="preserve"> (CSTE, 2013</w:t>
      </w:r>
      <w:r w:rsidR="00361F32" w:rsidRPr="00D74E8E">
        <w:rPr>
          <w:rFonts w:eastAsia="Times New Roman" w:cs="Times New Roman"/>
          <w:sz w:val="24"/>
          <w:szCs w:val="24"/>
        </w:rPr>
        <w:t>)</w:t>
      </w:r>
      <w:r w:rsidR="008B5A26" w:rsidRPr="00D74E8E">
        <w:rPr>
          <w:rFonts w:eastAsia="Times New Roman" w:cs="Times New Roman"/>
          <w:sz w:val="24"/>
          <w:szCs w:val="24"/>
        </w:rPr>
        <w:t>.</w:t>
      </w:r>
      <w:r w:rsidR="003A1EBB" w:rsidRPr="00D74E8E">
        <w:rPr>
          <w:rFonts w:eastAsia="Times New Roman" w:cs="Times New Roman"/>
          <w:sz w:val="24"/>
          <w:szCs w:val="24"/>
        </w:rPr>
        <w:t xml:space="preserve"> </w:t>
      </w:r>
    </w:p>
    <w:p w14:paraId="7E39A670" w14:textId="689635D3" w:rsidR="000A2470" w:rsidRPr="00D74E8E" w:rsidRDefault="00D21A13" w:rsidP="00611210">
      <w:pPr>
        <w:spacing w:before="240" w:after="240"/>
        <w:rPr>
          <w:sz w:val="24"/>
          <w:szCs w:val="24"/>
          <w:u w:val="single"/>
        </w:rPr>
      </w:pPr>
      <w:r w:rsidRPr="00D74E8E">
        <w:rPr>
          <w:sz w:val="24"/>
          <w:szCs w:val="24"/>
          <w:u w:val="single"/>
        </w:rPr>
        <w:t>Reference Level for Blood Lead</w:t>
      </w:r>
    </w:p>
    <w:p w14:paraId="0E33258C" w14:textId="2E26E1DA" w:rsidR="00762163" w:rsidRPr="00D74E8E" w:rsidRDefault="00762163" w:rsidP="00611210">
      <w:pPr>
        <w:spacing w:before="120" w:line="276" w:lineRule="auto"/>
        <w:rPr>
          <w:rFonts w:cs="Courier New"/>
          <w:sz w:val="24"/>
          <w:szCs w:val="24"/>
        </w:rPr>
      </w:pPr>
      <w:r w:rsidRPr="00D74E8E">
        <w:rPr>
          <w:rFonts w:eastAsiaTheme="minorHAnsi" w:cs="Courier New"/>
          <w:sz w:val="24"/>
          <w:szCs w:val="24"/>
        </w:rPr>
        <w:t xml:space="preserve">Over the past four </w:t>
      </w:r>
      <w:r w:rsidR="005E0A7B" w:rsidRPr="00D74E8E">
        <w:rPr>
          <w:rFonts w:eastAsiaTheme="minorHAnsi" w:cs="Courier New"/>
          <w:sz w:val="24"/>
          <w:szCs w:val="24"/>
        </w:rPr>
        <w:t>decades,</w:t>
      </w:r>
      <w:r w:rsidRPr="00D74E8E">
        <w:rPr>
          <w:rFonts w:eastAsiaTheme="minorHAnsi" w:cs="Courier New"/>
          <w:sz w:val="24"/>
          <w:szCs w:val="24"/>
        </w:rPr>
        <w:t xml:space="preserve"> there ha</w:t>
      </w:r>
      <w:r w:rsidR="004828B2" w:rsidRPr="00D74E8E">
        <w:rPr>
          <w:rFonts w:eastAsiaTheme="minorHAnsi" w:cs="Courier New"/>
          <w:sz w:val="24"/>
          <w:szCs w:val="24"/>
        </w:rPr>
        <w:t>ve</w:t>
      </w:r>
      <w:r w:rsidRPr="00D74E8E">
        <w:rPr>
          <w:rFonts w:eastAsiaTheme="minorHAnsi" w:cs="Courier New"/>
          <w:sz w:val="24"/>
          <w:szCs w:val="24"/>
        </w:rPr>
        <w:t xml:space="preserve"> been substantial efforts in environmental lead abatement, improved protection from occupational lead exposure, and a dramatic reduction in the prevalence of population BLLs over time. </w:t>
      </w:r>
      <w:r w:rsidRPr="00D74E8E">
        <w:rPr>
          <w:rFonts w:cs="Courier New"/>
          <w:sz w:val="24"/>
          <w:szCs w:val="24"/>
        </w:rPr>
        <w:t>The CDC has reported the 1976-1980 US BLL mean in chi</w:t>
      </w:r>
      <w:r w:rsidR="00AC6430" w:rsidRPr="00D74E8E">
        <w:rPr>
          <w:rFonts w:cs="Courier New"/>
          <w:sz w:val="24"/>
          <w:szCs w:val="24"/>
        </w:rPr>
        <w:t xml:space="preserve">ldren, </w:t>
      </w:r>
      <w:r w:rsidRPr="00D74E8E">
        <w:rPr>
          <w:rFonts w:cs="Courier New"/>
          <w:sz w:val="24"/>
          <w:szCs w:val="24"/>
        </w:rPr>
        <w:t>6 months to 5 years, as 16.</w:t>
      </w:r>
      <w:r w:rsidR="00AC6430" w:rsidRPr="00D74E8E">
        <w:rPr>
          <w:rFonts w:cs="Courier New"/>
          <w:sz w:val="24"/>
          <w:szCs w:val="24"/>
        </w:rPr>
        <w:t xml:space="preserve">0 </w:t>
      </w:r>
      <w:r w:rsidR="00E0075A" w:rsidRPr="00D74E8E">
        <w:rPr>
          <w:rFonts w:cs="Courier New"/>
          <w:sz w:val="24"/>
          <w:szCs w:val="24"/>
        </w:rPr>
        <w:t>microgram per deciliter (</w:t>
      </w:r>
      <w:r w:rsidR="00AC6430" w:rsidRPr="00D74E8E">
        <w:rPr>
          <w:rFonts w:cs="Courier New"/>
          <w:sz w:val="24"/>
          <w:szCs w:val="24"/>
        </w:rPr>
        <w:t>μg/dL</w:t>
      </w:r>
      <w:r w:rsidR="00E0075A" w:rsidRPr="00D74E8E">
        <w:rPr>
          <w:rFonts w:cs="Courier New"/>
          <w:sz w:val="24"/>
          <w:szCs w:val="24"/>
        </w:rPr>
        <w:t>)</w:t>
      </w:r>
      <w:r w:rsidR="00AC6430" w:rsidRPr="00D74E8E">
        <w:rPr>
          <w:rFonts w:cs="Courier New"/>
          <w:sz w:val="24"/>
          <w:szCs w:val="24"/>
        </w:rPr>
        <w:t xml:space="preserve">; and among adults, </w:t>
      </w:r>
      <w:r w:rsidRPr="00D74E8E">
        <w:rPr>
          <w:rFonts w:cs="Courier New"/>
          <w:sz w:val="24"/>
          <w:szCs w:val="24"/>
        </w:rPr>
        <w:t>18 to 74 years, 14.1 μg/dL (Annest, 1982). More recently, t</w:t>
      </w:r>
      <w:r w:rsidRPr="00D74E8E">
        <w:rPr>
          <w:rFonts w:eastAsiaTheme="minorHAnsi" w:cs="Courier New"/>
          <w:sz w:val="24"/>
          <w:szCs w:val="24"/>
        </w:rPr>
        <w:t>he CDC reported the 2009-2010 US BLL geome</w:t>
      </w:r>
      <w:r w:rsidR="00AC6430" w:rsidRPr="00D74E8E">
        <w:rPr>
          <w:rFonts w:eastAsiaTheme="minorHAnsi" w:cs="Courier New"/>
          <w:sz w:val="24"/>
          <w:szCs w:val="24"/>
        </w:rPr>
        <w:t xml:space="preserve">tric means among children, </w:t>
      </w:r>
      <w:r w:rsidRPr="00D74E8E">
        <w:rPr>
          <w:rFonts w:eastAsiaTheme="minorHAnsi" w:cs="Courier New"/>
          <w:sz w:val="24"/>
          <w:szCs w:val="24"/>
        </w:rPr>
        <w:t xml:space="preserve">1 to </w:t>
      </w:r>
      <w:r w:rsidR="00AC6430" w:rsidRPr="00D74E8E">
        <w:rPr>
          <w:rFonts w:eastAsiaTheme="minorHAnsi" w:cs="Courier New"/>
          <w:sz w:val="24"/>
          <w:szCs w:val="24"/>
        </w:rPr>
        <w:t xml:space="preserve">5 years, and among adults, </w:t>
      </w:r>
      <w:r w:rsidRPr="00D74E8E">
        <w:rPr>
          <w:rFonts w:eastAsiaTheme="minorHAnsi" w:cs="Courier New"/>
          <w:sz w:val="24"/>
          <w:szCs w:val="24"/>
        </w:rPr>
        <w:t>20 years and older, as 1.2 µg/dL</w:t>
      </w:r>
      <w:r w:rsidR="00785863" w:rsidRPr="00D74E8E">
        <w:rPr>
          <w:rFonts w:eastAsiaTheme="minorHAnsi" w:cs="Courier New"/>
          <w:sz w:val="24"/>
          <w:szCs w:val="24"/>
        </w:rPr>
        <w:t xml:space="preserve"> for bo</w:t>
      </w:r>
      <w:r w:rsidR="006D6AAA" w:rsidRPr="00D74E8E">
        <w:rPr>
          <w:rFonts w:eastAsiaTheme="minorHAnsi" w:cs="Courier New"/>
          <w:sz w:val="24"/>
          <w:szCs w:val="24"/>
        </w:rPr>
        <w:t>t</w:t>
      </w:r>
      <w:r w:rsidR="00785863" w:rsidRPr="00D74E8E">
        <w:rPr>
          <w:rFonts w:eastAsiaTheme="minorHAnsi" w:cs="Courier New"/>
          <w:sz w:val="24"/>
          <w:szCs w:val="24"/>
        </w:rPr>
        <w:t>h age groups</w:t>
      </w:r>
      <w:r w:rsidRPr="00D74E8E">
        <w:rPr>
          <w:rFonts w:eastAsiaTheme="minorHAnsi" w:cs="Courier New"/>
          <w:sz w:val="24"/>
          <w:szCs w:val="24"/>
        </w:rPr>
        <w:t xml:space="preserve"> (CDC, 2015).</w:t>
      </w:r>
    </w:p>
    <w:p w14:paraId="4C953545" w14:textId="492A0629" w:rsidR="00A9726B" w:rsidRPr="00D74E8E" w:rsidRDefault="004C733C" w:rsidP="002F6D3C">
      <w:pPr>
        <w:spacing w:line="276" w:lineRule="auto"/>
        <w:rPr>
          <w:rFonts w:cs="Calibri"/>
          <w:sz w:val="24"/>
          <w:szCs w:val="24"/>
        </w:rPr>
      </w:pPr>
      <w:r w:rsidRPr="00D74E8E">
        <w:rPr>
          <w:rFonts w:cs="Calibri"/>
          <w:sz w:val="24"/>
          <w:szCs w:val="24"/>
        </w:rPr>
        <w:t>The lack of a safe threshold for BLL is supported by t</w:t>
      </w:r>
      <w:r w:rsidR="00A9726B" w:rsidRPr="00D74E8E">
        <w:rPr>
          <w:rFonts w:cs="Calibri"/>
          <w:sz w:val="24"/>
          <w:szCs w:val="24"/>
        </w:rPr>
        <w:t>he</w:t>
      </w:r>
      <w:r w:rsidR="003B1B93" w:rsidRPr="00D74E8E">
        <w:rPr>
          <w:rFonts w:cs="Calibri"/>
          <w:sz w:val="24"/>
          <w:szCs w:val="24"/>
        </w:rPr>
        <w:t xml:space="preserve"> </w:t>
      </w:r>
      <w:r w:rsidR="0020210E" w:rsidRPr="00D74E8E">
        <w:rPr>
          <w:rFonts w:cs="Calibri"/>
          <w:sz w:val="24"/>
          <w:szCs w:val="24"/>
        </w:rPr>
        <w:t xml:space="preserve">2012 </w:t>
      </w:r>
      <w:r w:rsidRPr="00D74E8E">
        <w:rPr>
          <w:rFonts w:cs="Calibri"/>
          <w:sz w:val="24"/>
          <w:szCs w:val="24"/>
        </w:rPr>
        <w:t>National Toxicology Program (</w:t>
      </w:r>
      <w:r w:rsidR="00A9726B" w:rsidRPr="00D74E8E">
        <w:rPr>
          <w:rFonts w:cs="Calibri"/>
          <w:sz w:val="24"/>
          <w:szCs w:val="24"/>
        </w:rPr>
        <w:t>NTP</w:t>
      </w:r>
      <w:r w:rsidRPr="00D74E8E">
        <w:rPr>
          <w:rFonts w:cs="Calibri"/>
          <w:sz w:val="24"/>
          <w:szCs w:val="24"/>
        </w:rPr>
        <w:t>)</w:t>
      </w:r>
      <w:r w:rsidR="00A9726B" w:rsidRPr="00D74E8E">
        <w:rPr>
          <w:rFonts w:cs="Calibri"/>
          <w:sz w:val="24"/>
          <w:szCs w:val="24"/>
        </w:rPr>
        <w:t xml:space="preserve"> systematic review of </w:t>
      </w:r>
      <w:r w:rsidR="00D432B4" w:rsidRPr="00D74E8E">
        <w:rPr>
          <w:rFonts w:cs="Calibri"/>
          <w:sz w:val="24"/>
          <w:szCs w:val="24"/>
        </w:rPr>
        <w:t xml:space="preserve">studies of the </w:t>
      </w:r>
      <w:r w:rsidR="00A9726B" w:rsidRPr="00D74E8E">
        <w:rPr>
          <w:rFonts w:cs="Calibri"/>
          <w:sz w:val="24"/>
          <w:szCs w:val="24"/>
        </w:rPr>
        <w:t xml:space="preserve">relationship between health effects and </w:t>
      </w:r>
      <w:r w:rsidR="00FB7E6F" w:rsidRPr="00D74E8E">
        <w:rPr>
          <w:rFonts w:cs="Calibri"/>
          <w:sz w:val="24"/>
          <w:szCs w:val="24"/>
        </w:rPr>
        <w:t xml:space="preserve">low level </w:t>
      </w:r>
      <w:r w:rsidR="00A9726B" w:rsidRPr="00D74E8E">
        <w:rPr>
          <w:rFonts w:cs="Calibri"/>
          <w:sz w:val="24"/>
          <w:szCs w:val="24"/>
        </w:rPr>
        <w:t>BLLs</w:t>
      </w:r>
      <w:r w:rsidRPr="00D74E8E">
        <w:rPr>
          <w:rFonts w:cs="Calibri"/>
          <w:sz w:val="24"/>
          <w:szCs w:val="24"/>
        </w:rPr>
        <w:t>. The NTP</w:t>
      </w:r>
      <w:r w:rsidR="00535FCA" w:rsidRPr="00D74E8E">
        <w:rPr>
          <w:rFonts w:cs="Calibri"/>
          <w:sz w:val="24"/>
          <w:szCs w:val="24"/>
        </w:rPr>
        <w:t xml:space="preserve"> </w:t>
      </w:r>
      <w:r w:rsidR="00535FCA" w:rsidRPr="00D74E8E">
        <w:rPr>
          <w:sz w:val="24"/>
          <w:szCs w:val="24"/>
        </w:rPr>
        <w:t>concluded that</w:t>
      </w:r>
      <w:r w:rsidR="00A9726B" w:rsidRPr="00D74E8E">
        <w:rPr>
          <w:sz w:val="24"/>
          <w:szCs w:val="24"/>
        </w:rPr>
        <w:t xml:space="preserve"> sufficien</w:t>
      </w:r>
      <w:r w:rsidR="00D432B4" w:rsidRPr="00D74E8E">
        <w:rPr>
          <w:sz w:val="24"/>
          <w:szCs w:val="24"/>
        </w:rPr>
        <w:t xml:space="preserve">t </w:t>
      </w:r>
      <w:r w:rsidR="004650E9" w:rsidRPr="00D74E8E">
        <w:rPr>
          <w:sz w:val="24"/>
          <w:szCs w:val="24"/>
        </w:rPr>
        <w:t xml:space="preserve">weight of </w:t>
      </w:r>
      <w:r w:rsidR="00D432B4" w:rsidRPr="00D74E8E">
        <w:rPr>
          <w:sz w:val="24"/>
          <w:szCs w:val="24"/>
        </w:rPr>
        <w:t>evidence</w:t>
      </w:r>
      <w:r w:rsidR="00535FCA" w:rsidRPr="00D74E8E">
        <w:rPr>
          <w:sz w:val="24"/>
          <w:szCs w:val="24"/>
        </w:rPr>
        <w:t xml:space="preserve"> exists</w:t>
      </w:r>
      <w:r w:rsidR="00D432B4" w:rsidRPr="00D74E8E">
        <w:rPr>
          <w:sz w:val="24"/>
          <w:szCs w:val="24"/>
        </w:rPr>
        <w:t xml:space="preserve"> </w:t>
      </w:r>
      <w:r w:rsidR="00A9726B" w:rsidRPr="00D74E8E">
        <w:rPr>
          <w:sz w:val="24"/>
          <w:szCs w:val="24"/>
        </w:rPr>
        <w:t>to presume that low level BLLs</w:t>
      </w:r>
      <w:r w:rsidRPr="00D74E8E">
        <w:rPr>
          <w:sz w:val="24"/>
          <w:szCs w:val="24"/>
        </w:rPr>
        <w:t xml:space="preserve">, both &lt;10 </w:t>
      </w:r>
      <w:r w:rsidRPr="00D74E8E">
        <w:rPr>
          <w:rStyle w:val="A4"/>
          <w:color w:val="auto"/>
          <w:sz w:val="24"/>
          <w:szCs w:val="24"/>
        </w:rPr>
        <w:t xml:space="preserve">μg/dL </w:t>
      </w:r>
      <w:r w:rsidR="00920D4D" w:rsidRPr="00D74E8E">
        <w:rPr>
          <w:rStyle w:val="A4"/>
          <w:color w:val="auto"/>
          <w:sz w:val="24"/>
          <w:szCs w:val="24"/>
        </w:rPr>
        <w:t>and</w:t>
      </w:r>
      <w:r w:rsidR="00AE49CF" w:rsidRPr="00D74E8E">
        <w:rPr>
          <w:rStyle w:val="A4"/>
          <w:color w:val="auto"/>
          <w:sz w:val="24"/>
          <w:szCs w:val="24"/>
        </w:rPr>
        <w:t xml:space="preserve"> </w:t>
      </w:r>
      <w:r w:rsidRPr="00D74E8E">
        <w:rPr>
          <w:rStyle w:val="A4"/>
          <w:color w:val="auto"/>
          <w:sz w:val="24"/>
          <w:szCs w:val="24"/>
        </w:rPr>
        <w:t>&lt;</w:t>
      </w:r>
      <w:r w:rsidR="00837ECD" w:rsidRPr="00D74E8E">
        <w:rPr>
          <w:sz w:val="24"/>
          <w:szCs w:val="24"/>
        </w:rPr>
        <w:t>5</w:t>
      </w:r>
      <w:r w:rsidR="00A9726B" w:rsidRPr="00D74E8E">
        <w:rPr>
          <w:sz w:val="24"/>
          <w:szCs w:val="24"/>
        </w:rPr>
        <w:t xml:space="preserve"> </w:t>
      </w:r>
      <w:r w:rsidR="00837ECD" w:rsidRPr="00D74E8E">
        <w:rPr>
          <w:rStyle w:val="A4"/>
          <w:color w:val="auto"/>
          <w:sz w:val="24"/>
          <w:szCs w:val="24"/>
        </w:rPr>
        <w:t>μg/dL</w:t>
      </w:r>
      <w:r w:rsidR="00FD21AB" w:rsidRPr="00D74E8E">
        <w:rPr>
          <w:rStyle w:val="A4"/>
          <w:color w:val="auto"/>
          <w:sz w:val="24"/>
          <w:szCs w:val="24"/>
        </w:rPr>
        <w:t xml:space="preserve"> for children and adults</w:t>
      </w:r>
      <w:r w:rsidR="00837ECD" w:rsidRPr="00D74E8E">
        <w:rPr>
          <w:rStyle w:val="A4"/>
          <w:color w:val="auto"/>
          <w:sz w:val="24"/>
          <w:szCs w:val="24"/>
        </w:rPr>
        <w:t>,</w:t>
      </w:r>
      <w:r w:rsidR="00837ECD" w:rsidRPr="00D74E8E">
        <w:rPr>
          <w:sz w:val="24"/>
          <w:szCs w:val="24"/>
        </w:rPr>
        <w:t xml:space="preserve"> </w:t>
      </w:r>
      <w:r w:rsidR="00751B2C" w:rsidRPr="00D74E8E">
        <w:rPr>
          <w:sz w:val="24"/>
          <w:szCs w:val="24"/>
        </w:rPr>
        <w:t>are</w:t>
      </w:r>
      <w:r w:rsidR="00AE49CF" w:rsidRPr="00D74E8E">
        <w:rPr>
          <w:sz w:val="24"/>
          <w:szCs w:val="24"/>
        </w:rPr>
        <w:t xml:space="preserve"> associated with</w:t>
      </w:r>
      <w:r w:rsidR="00535FCA" w:rsidRPr="00D74E8E">
        <w:rPr>
          <w:sz w:val="24"/>
          <w:szCs w:val="24"/>
        </w:rPr>
        <w:t xml:space="preserve"> adverse health </w:t>
      </w:r>
      <w:r w:rsidR="00E2199F" w:rsidRPr="00D74E8E">
        <w:rPr>
          <w:sz w:val="24"/>
          <w:szCs w:val="24"/>
        </w:rPr>
        <w:t>outcomes (</w:t>
      </w:r>
      <w:r w:rsidR="00615F6B" w:rsidRPr="00D74E8E">
        <w:rPr>
          <w:sz w:val="24"/>
          <w:szCs w:val="24"/>
        </w:rPr>
        <w:t>NTP, 2012)</w:t>
      </w:r>
      <w:r w:rsidR="00A9726B" w:rsidRPr="00D74E8E">
        <w:rPr>
          <w:sz w:val="24"/>
          <w:szCs w:val="24"/>
        </w:rPr>
        <w:t>.</w:t>
      </w:r>
    </w:p>
    <w:p w14:paraId="13296A44" w14:textId="65A247A2" w:rsidR="00A9726B" w:rsidRPr="009646A9" w:rsidRDefault="00A9726B" w:rsidP="004B49F4">
      <w:r w:rsidRPr="004B49F4">
        <w:rPr>
          <w:sz w:val="24"/>
          <w:szCs w:val="24"/>
        </w:rPr>
        <w:t xml:space="preserve">Table A.2.1. </w:t>
      </w:r>
      <w:r w:rsidR="00671FA1" w:rsidRPr="004B49F4">
        <w:rPr>
          <w:sz w:val="24"/>
          <w:szCs w:val="24"/>
        </w:rPr>
        <w:t xml:space="preserve">Summary of </w:t>
      </w:r>
      <w:r w:rsidRPr="004B49F4">
        <w:rPr>
          <w:sz w:val="24"/>
          <w:szCs w:val="24"/>
        </w:rPr>
        <w:t xml:space="preserve">NTP conclusions </w:t>
      </w:r>
      <w:r w:rsidR="0037375F" w:rsidRPr="004B49F4">
        <w:rPr>
          <w:sz w:val="24"/>
          <w:szCs w:val="24"/>
        </w:rPr>
        <w:t>about</w:t>
      </w:r>
      <w:r w:rsidRPr="004B49F4">
        <w:rPr>
          <w:sz w:val="24"/>
          <w:szCs w:val="24"/>
        </w:rPr>
        <w:t xml:space="preserve"> health effects of low-level lead</w:t>
      </w:r>
      <w:r w:rsidR="00762163" w:rsidRPr="004B49F4">
        <w:rPr>
          <w:sz w:val="24"/>
          <w:szCs w:val="24"/>
        </w:rPr>
        <w:t xml:space="preserve"> exposures</w:t>
      </w:r>
    </w:p>
    <w:tbl>
      <w:tblPr>
        <w:tblStyle w:val="TableGrid"/>
        <w:tblW w:w="0" w:type="auto"/>
        <w:tblLook w:val="04A0" w:firstRow="1" w:lastRow="0" w:firstColumn="1" w:lastColumn="0" w:noHBand="0" w:noVBand="1"/>
      </w:tblPr>
      <w:tblGrid>
        <w:gridCol w:w="1345"/>
        <w:gridCol w:w="1440"/>
        <w:gridCol w:w="6565"/>
      </w:tblGrid>
      <w:tr w:rsidR="00912385" w14:paraId="602CAF5A" w14:textId="77777777" w:rsidTr="00912385">
        <w:trPr>
          <w:trHeight w:val="629"/>
        </w:trPr>
        <w:tc>
          <w:tcPr>
            <w:tcW w:w="1345" w:type="dxa"/>
            <w:tcBorders>
              <w:bottom w:val="single" w:sz="4" w:space="0" w:color="auto"/>
            </w:tcBorders>
          </w:tcPr>
          <w:p w14:paraId="560081CA" w14:textId="7872F932" w:rsidR="00912385" w:rsidRPr="00912385" w:rsidRDefault="00912385" w:rsidP="00912385">
            <w:pPr>
              <w:autoSpaceDE w:val="0"/>
              <w:autoSpaceDN w:val="0"/>
              <w:adjustRightInd w:val="0"/>
              <w:rPr>
                <w:rFonts w:cs="Calibri"/>
                <w:b/>
                <w:sz w:val="24"/>
                <w:szCs w:val="24"/>
              </w:rPr>
            </w:pPr>
            <w:r w:rsidRPr="00912385">
              <w:rPr>
                <w:b/>
              </w:rPr>
              <w:t>Life Stage</w:t>
            </w:r>
          </w:p>
        </w:tc>
        <w:tc>
          <w:tcPr>
            <w:tcW w:w="1440" w:type="dxa"/>
          </w:tcPr>
          <w:p w14:paraId="6C80147F" w14:textId="6DCEFB62" w:rsidR="00912385" w:rsidRPr="00912385" w:rsidRDefault="00912385" w:rsidP="00912385">
            <w:pPr>
              <w:autoSpaceDE w:val="0"/>
              <w:autoSpaceDN w:val="0"/>
              <w:adjustRightInd w:val="0"/>
              <w:rPr>
                <w:rFonts w:cs="Calibri"/>
                <w:b/>
                <w:sz w:val="24"/>
                <w:szCs w:val="24"/>
              </w:rPr>
            </w:pPr>
            <w:r w:rsidRPr="00912385">
              <w:rPr>
                <w:b/>
              </w:rPr>
              <w:t>Blood Lead Levels (BLLs)</w:t>
            </w:r>
          </w:p>
        </w:tc>
        <w:tc>
          <w:tcPr>
            <w:tcW w:w="6565" w:type="dxa"/>
          </w:tcPr>
          <w:p w14:paraId="089F3E7B" w14:textId="388EC122" w:rsidR="00912385" w:rsidRPr="00912385" w:rsidRDefault="00912385" w:rsidP="00912385">
            <w:pPr>
              <w:autoSpaceDE w:val="0"/>
              <w:autoSpaceDN w:val="0"/>
              <w:adjustRightInd w:val="0"/>
              <w:rPr>
                <w:rFonts w:cs="Calibri"/>
                <w:b/>
                <w:sz w:val="24"/>
                <w:szCs w:val="24"/>
              </w:rPr>
            </w:pPr>
            <w:r w:rsidRPr="00912385">
              <w:rPr>
                <w:b/>
              </w:rPr>
              <w:t>Health Effects</w:t>
            </w:r>
          </w:p>
        </w:tc>
      </w:tr>
      <w:tr w:rsidR="00912385" w14:paraId="0A62DA99" w14:textId="77777777" w:rsidTr="00912385">
        <w:tc>
          <w:tcPr>
            <w:tcW w:w="1345" w:type="dxa"/>
            <w:tcBorders>
              <w:top w:val="single" w:sz="4" w:space="0" w:color="auto"/>
              <w:left w:val="single" w:sz="4" w:space="0" w:color="auto"/>
              <w:bottom w:val="nil"/>
              <w:right w:val="single" w:sz="4" w:space="0" w:color="auto"/>
            </w:tcBorders>
          </w:tcPr>
          <w:p w14:paraId="2D4FF227" w14:textId="579409CB" w:rsidR="00912385" w:rsidRDefault="00912385" w:rsidP="00912385">
            <w:pPr>
              <w:autoSpaceDE w:val="0"/>
              <w:autoSpaceDN w:val="0"/>
              <w:adjustRightInd w:val="0"/>
              <w:rPr>
                <w:rFonts w:cs="Calibri"/>
                <w:sz w:val="24"/>
                <w:szCs w:val="24"/>
              </w:rPr>
            </w:pPr>
            <w:r w:rsidRPr="00A368B8">
              <w:t>Children</w:t>
            </w:r>
          </w:p>
        </w:tc>
        <w:tc>
          <w:tcPr>
            <w:tcW w:w="1440" w:type="dxa"/>
            <w:tcBorders>
              <w:left w:val="single" w:sz="4" w:space="0" w:color="auto"/>
            </w:tcBorders>
          </w:tcPr>
          <w:p w14:paraId="6F098F91" w14:textId="6548A5C8" w:rsidR="00912385" w:rsidRDefault="00912385" w:rsidP="00912385">
            <w:pPr>
              <w:autoSpaceDE w:val="0"/>
              <w:autoSpaceDN w:val="0"/>
              <w:adjustRightInd w:val="0"/>
              <w:rPr>
                <w:rFonts w:cs="Calibri"/>
                <w:sz w:val="24"/>
                <w:szCs w:val="24"/>
              </w:rPr>
            </w:pPr>
            <w:r w:rsidRPr="00A368B8">
              <w:t>&lt;5 μg/dL</w:t>
            </w:r>
          </w:p>
        </w:tc>
        <w:tc>
          <w:tcPr>
            <w:tcW w:w="6565" w:type="dxa"/>
          </w:tcPr>
          <w:p w14:paraId="5CD59FDD" w14:textId="1EACE4EE" w:rsidR="00912385" w:rsidRDefault="00912385" w:rsidP="00912385">
            <w:pPr>
              <w:autoSpaceDE w:val="0"/>
              <w:autoSpaceDN w:val="0"/>
              <w:adjustRightInd w:val="0"/>
              <w:rPr>
                <w:rFonts w:cs="Calibri"/>
                <w:sz w:val="24"/>
                <w:szCs w:val="24"/>
              </w:rPr>
            </w:pPr>
            <w:r w:rsidRPr="00A368B8">
              <w:t xml:space="preserve">Decreased academic achievement, IQ, and specific </w:t>
            </w:r>
            <w:r w:rsidR="005E0A7B" w:rsidRPr="00A368B8">
              <w:t>cognitive</w:t>
            </w:r>
            <w:r w:rsidRPr="00A368B8">
              <w:t xml:space="preserve"> measures; increased incidence of attention-related behaviors and problem behaviors</w:t>
            </w:r>
          </w:p>
        </w:tc>
      </w:tr>
      <w:tr w:rsidR="00912385" w14:paraId="281A4ACE" w14:textId="77777777" w:rsidTr="00912385">
        <w:tc>
          <w:tcPr>
            <w:tcW w:w="1345" w:type="dxa"/>
            <w:tcBorders>
              <w:top w:val="nil"/>
              <w:left w:val="single" w:sz="4" w:space="0" w:color="auto"/>
              <w:bottom w:val="single" w:sz="4" w:space="0" w:color="auto"/>
              <w:right w:val="single" w:sz="4" w:space="0" w:color="auto"/>
            </w:tcBorders>
          </w:tcPr>
          <w:p w14:paraId="0D68D5FC" w14:textId="77777777" w:rsidR="00912385" w:rsidRDefault="00912385" w:rsidP="00912385">
            <w:pPr>
              <w:autoSpaceDE w:val="0"/>
              <w:autoSpaceDN w:val="0"/>
              <w:adjustRightInd w:val="0"/>
              <w:rPr>
                <w:rFonts w:cs="Calibri"/>
                <w:sz w:val="24"/>
                <w:szCs w:val="24"/>
              </w:rPr>
            </w:pPr>
          </w:p>
        </w:tc>
        <w:tc>
          <w:tcPr>
            <w:tcW w:w="1440" w:type="dxa"/>
            <w:tcBorders>
              <w:left w:val="single" w:sz="4" w:space="0" w:color="auto"/>
            </w:tcBorders>
          </w:tcPr>
          <w:p w14:paraId="09E5D315" w14:textId="1BDC40F6" w:rsidR="00912385" w:rsidRDefault="00912385" w:rsidP="00912385">
            <w:pPr>
              <w:autoSpaceDE w:val="0"/>
              <w:autoSpaceDN w:val="0"/>
              <w:adjustRightInd w:val="0"/>
              <w:rPr>
                <w:rFonts w:cs="Calibri"/>
                <w:sz w:val="24"/>
                <w:szCs w:val="24"/>
              </w:rPr>
            </w:pPr>
            <w:r w:rsidRPr="00A368B8">
              <w:t>&lt;10 μg/dL</w:t>
            </w:r>
          </w:p>
        </w:tc>
        <w:tc>
          <w:tcPr>
            <w:tcW w:w="6565" w:type="dxa"/>
          </w:tcPr>
          <w:p w14:paraId="50DF7863" w14:textId="6BB4DA22" w:rsidR="00912385" w:rsidRDefault="00912385" w:rsidP="00912385">
            <w:pPr>
              <w:autoSpaceDE w:val="0"/>
              <w:autoSpaceDN w:val="0"/>
              <w:adjustRightInd w:val="0"/>
              <w:rPr>
                <w:rFonts w:cs="Calibri"/>
                <w:sz w:val="24"/>
                <w:szCs w:val="24"/>
              </w:rPr>
            </w:pPr>
            <w:r w:rsidRPr="00A368B8">
              <w:t>Delayed puberty, reduced postnatal growth, decreased IQ, and decreased hearing</w:t>
            </w:r>
          </w:p>
        </w:tc>
      </w:tr>
      <w:tr w:rsidR="00912385" w14:paraId="2A8E76A4" w14:textId="77777777" w:rsidTr="00912385">
        <w:tc>
          <w:tcPr>
            <w:tcW w:w="1345" w:type="dxa"/>
            <w:tcBorders>
              <w:top w:val="single" w:sz="4" w:space="0" w:color="auto"/>
              <w:left w:val="single" w:sz="4" w:space="0" w:color="auto"/>
              <w:bottom w:val="nil"/>
              <w:right w:val="single" w:sz="4" w:space="0" w:color="auto"/>
            </w:tcBorders>
          </w:tcPr>
          <w:p w14:paraId="13B47656" w14:textId="1421301B" w:rsidR="00912385" w:rsidRDefault="00912385" w:rsidP="00912385">
            <w:pPr>
              <w:autoSpaceDE w:val="0"/>
              <w:autoSpaceDN w:val="0"/>
              <w:adjustRightInd w:val="0"/>
              <w:rPr>
                <w:rFonts w:cs="Calibri"/>
                <w:sz w:val="24"/>
                <w:szCs w:val="24"/>
              </w:rPr>
            </w:pPr>
            <w:r w:rsidRPr="00A368B8">
              <w:t>Adults</w:t>
            </w:r>
          </w:p>
        </w:tc>
        <w:tc>
          <w:tcPr>
            <w:tcW w:w="1440" w:type="dxa"/>
            <w:tcBorders>
              <w:left w:val="single" w:sz="4" w:space="0" w:color="auto"/>
            </w:tcBorders>
          </w:tcPr>
          <w:p w14:paraId="0D2C8F3F" w14:textId="583F490F" w:rsidR="00912385" w:rsidRDefault="00912385" w:rsidP="00912385">
            <w:pPr>
              <w:autoSpaceDE w:val="0"/>
              <w:autoSpaceDN w:val="0"/>
              <w:adjustRightInd w:val="0"/>
              <w:rPr>
                <w:rFonts w:cs="Calibri"/>
                <w:sz w:val="24"/>
                <w:szCs w:val="24"/>
              </w:rPr>
            </w:pPr>
            <w:r w:rsidRPr="00A368B8">
              <w:t>&lt;5 μg/dL</w:t>
            </w:r>
          </w:p>
        </w:tc>
        <w:tc>
          <w:tcPr>
            <w:tcW w:w="6565" w:type="dxa"/>
          </w:tcPr>
          <w:p w14:paraId="01801ABD" w14:textId="0EE2A8B5" w:rsidR="00912385" w:rsidRDefault="00912385" w:rsidP="00912385">
            <w:pPr>
              <w:autoSpaceDE w:val="0"/>
              <w:autoSpaceDN w:val="0"/>
              <w:adjustRightInd w:val="0"/>
              <w:rPr>
                <w:rFonts w:cs="Calibri"/>
                <w:sz w:val="24"/>
                <w:szCs w:val="24"/>
              </w:rPr>
            </w:pPr>
            <w:r w:rsidRPr="00A368B8">
              <w:t>Decreased glomerular filtration rate; maternal blood lead associated with reduced fetal growth</w:t>
            </w:r>
          </w:p>
        </w:tc>
      </w:tr>
      <w:tr w:rsidR="00912385" w14:paraId="2983930C" w14:textId="77777777" w:rsidTr="00912385">
        <w:tc>
          <w:tcPr>
            <w:tcW w:w="1345" w:type="dxa"/>
            <w:tcBorders>
              <w:top w:val="nil"/>
              <w:left w:val="single" w:sz="4" w:space="0" w:color="auto"/>
              <w:bottom w:val="single" w:sz="4" w:space="0" w:color="auto"/>
              <w:right w:val="single" w:sz="4" w:space="0" w:color="auto"/>
            </w:tcBorders>
          </w:tcPr>
          <w:p w14:paraId="366A2AFA" w14:textId="77777777" w:rsidR="00912385" w:rsidRDefault="00912385" w:rsidP="00912385">
            <w:pPr>
              <w:autoSpaceDE w:val="0"/>
              <w:autoSpaceDN w:val="0"/>
              <w:adjustRightInd w:val="0"/>
              <w:rPr>
                <w:rFonts w:cs="Calibri"/>
                <w:sz w:val="24"/>
                <w:szCs w:val="24"/>
              </w:rPr>
            </w:pPr>
          </w:p>
        </w:tc>
        <w:tc>
          <w:tcPr>
            <w:tcW w:w="1440" w:type="dxa"/>
            <w:tcBorders>
              <w:left w:val="single" w:sz="4" w:space="0" w:color="auto"/>
            </w:tcBorders>
          </w:tcPr>
          <w:p w14:paraId="21FF7D0B" w14:textId="286EDC95" w:rsidR="00912385" w:rsidRDefault="00912385" w:rsidP="00912385">
            <w:pPr>
              <w:autoSpaceDE w:val="0"/>
              <w:autoSpaceDN w:val="0"/>
              <w:adjustRightInd w:val="0"/>
              <w:rPr>
                <w:rFonts w:cs="Calibri"/>
                <w:sz w:val="24"/>
                <w:szCs w:val="24"/>
              </w:rPr>
            </w:pPr>
            <w:r w:rsidRPr="00A368B8">
              <w:t>&lt;10 μg/dL</w:t>
            </w:r>
          </w:p>
        </w:tc>
        <w:tc>
          <w:tcPr>
            <w:tcW w:w="6565" w:type="dxa"/>
          </w:tcPr>
          <w:p w14:paraId="616CE46A" w14:textId="4010F5C7" w:rsidR="00912385" w:rsidRDefault="00912385" w:rsidP="00912385">
            <w:pPr>
              <w:autoSpaceDE w:val="0"/>
              <w:autoSpaceDN w:val="0"/>
              <w:adjustRightInd w:val="0"/>
              <w:rPr>
                <w:rFonts w:cs="Calibri"/>
                <w:sz w:val="24"/>
                <w:szCs w:val="24"/>
              </w:rPr>
            </w:pPr>
            <w:r w:rsidRPr="00A368B8">
              <w:t>Increased blood pressure, increased risk of hypertension, and increased incidence of essential tremor</w:t>
            </w:r>
          </w:p>
        </w:tc>
      </w:tr>
    </w:tbl>
    <w:p w14:paraId="20168435" w14:textId="794828B7" w:rsidR="002313B3" w:rsidRPr="00D74E8E" w:rsidRDefault="000541D2" w:rsidP="0087426A">
      <w:pPr>
        <w:autoSpaceDE w:val="0"/>
        <w:autoSpaceDN w:val="0"/>
        <w:adjustRightInd w:val="0"/>
        <w:spacing w:before="360" w:line="276" w:lineRule="auto"/>
        <w:rPr>
          <w:rFonts w:cs="Palatino-Roman"/>
          <w:sz w:val="24"/>
          <w:szCs w:val="24"/>
        </w:rPr>
      </w:pPr>
      <w:r w:rsidRPr="00D74E8E">
        <w:rPr>
          <w:rFonts w:cs="Calibri"/>
          <w:sz w:val="24"/>
          <w:szCs w:val="24"/>
        </w:rPr>
        <w:t>L</w:t>
      </w:r>
      <w:r w:rsidR="00AD17E3" w:rsidRPr="00D74E8E">
        <w:rPr>
          <w:rFonts w:cs="Calibri"/>
          <w:sz w:val="24"/>
          <w:szCs w:val="24"/>
        </w:rPr>
        <w:t>a</w:t>
      </w:r>
      <w:r w:rsidRPr="00D74E8E">
        <w:rPr>
          <w:rFonts w:cs="Calibri"/>
          <w:sz w:val="24"/>
          <w:szCs w:val="24"/>
        </w:rPr>
        <w:t>cking</w:t>
      </w:r>
      <w:r w:rsidR="00FE7E63" w:rsidRPr="00D74E8E">
        <w:rPr>
          <w:rFonts w:cs="Calibri"/>
          <w:sz w:val="24"/>
          <w:szCs w:val="24"/>
        </w:rPr>
        <w:t xml:space="preserve"> a</w:t>
      </w:r>
      <w:r w:rsidR="00AD17E3" w:rsidRPr="00D74E8E">
        <w:rPr>
          <w:rFonts w:cs="Calibri"/>
          <w:sz w:val="24"/>
          <w:szCs w:val="24"/>
        </w:rPr>
        <w:t xml:space="preserve"> safe threshold for BLL</w:t>
      </w:r>
      <w:r w:rsidR="00AD17E3" w:rsidRPr="00D74E8E">
        <w:rPr>
          <w:rFonts w:cs="Palatino-Roman"/>
          <w:sz w:val="24"/>
          <w:szCs w:val="24"/>
        </w:rPr>
        <w:t>,</w:t>
      </w:r>
      <w:r w:rsidR="003B1817" w:rsidRPr="00D74E8E">
        <w:rPr>
          <w:rFonts w:cs="Palatino-Roman"/>
          <w:sz w:val="24"/>
          <w:szCs w:val="24"/>
        </w:rPr>
        <w:t xml:space="preserve"> </w:t>
      </w:r>
      <w:r w:rsidR="009C4BD6" w:rsidRPr="00D74E8E">
        <w:rPr>
          <w:rFonts w:cs="Palatino-Roman"/>
          <w:sz w:val="24"/>
          <w:szCs w:val="24"/>
        </w:rPr>
        <w:t>and account</w:t>
      </w:r>
      <w:r w:rsidR="00FD5761" w:rsidRPr="00D74E8E">
        <w:rPr>
          <w:rFonts w:cs="Palatino-Roman"/>
          <w:sz w:val="24"/>
          <w:szCs w:val="24"/>
        </w:rPr>
        <w:t>ing for</w:t>
      </w:r>
      <w:r w:rsidR="009C4BD6" w:rsidRPr="00D74E8E">
        <w:rPr>
          <w:rFonts w:cs="Palatino-Roman"/>
          <w:sz w:val="24"/>
          <w:szCs w:val="24"/>
        </w:rPr>
        <w:t xml:space="preserve"> the </w:t>
      </w:r>
      <w:r w:rsidR="005712DB" w:rsidRPr="00D74E8E">
        <w:rPr>
          <w:rFonts w:cs="Palatino-Roman"/>
          <w:sz w:val="24"/>
          <w:szCs w:val="24"/>
        </w:rPr>
        <w:t xml:space="preserve">steady </w:t>
      </w:r>
      <w:r w:rsidR="009C4BD6" w:rsidRPr="00D74E8E">
        <w:rPr>
          <w:rFonts w:cs="Palatino-Roman"/>
          <w:sz w:val="24"/>
          <w:szCs w:val="24"/>
        </w:rPr>
        <w:t>decline in population BLLs</w:t>
      </w:r>
      <w:r w:rsidR="007A6021" w:rsidRPr="00D74E8E">
        <w:rPr>
          <w:rFonts w:cs="Palatino-Roman"/>
          <w:sz w:val="24"/>
          <w:szCs w:val="24"/>
        </w:rPr>
        <w:t xml:space="preserve"> over time</w:t>
      </w:r>
      <w:r w:rsidR="009C4BD6" w:rsidRPr="00D74E8E">
        <w:rPr>
          <w:rFonts w:cs="Palatino-Roman"/>
          <w:sz w:val="24"/>
          <w:szCs w:val="24"/>
        </w:rPr>
        <w:t xml:space="preserve">, </w:t>
      </w:r>
      <w:r w:rsidR="003B1817" w:rsidRPr="00D74E8E">
        <w:rPr>
          <w:rFonts w:cs="Palatino-Roman"/>
          <w:sz w:val="24"/>
          <w:szCs w:val="24"/>
        </w:rPr>
        <w:t>the ACLPP</w:t>
      </w:r>
      <w:r w:rsidR="00336698" w:rsidRPr="00D74E8E">
        <w:rPr>
          <w:rFonts w:cs="Palatino-Roman"/>
          <w:sz w:val="24"/>
          <w:szCs w:val="24"/>
        </w:rPr>
        <w:t xml:space="preserve"> recommended</w:t>
      </w:r>
      <w:r w:rsidR="00302C86" w:rsidRPr="00D74E8E">
        <w:rPr>
          <w:rFonts w:cs="Palatino-Roman"/>
          <w:sz w:val="24"/>
          <w:szCs w:val="24"/>
        </w:rPr>
        <w:t xml:space="preserve"> a reference </w:t>
      </w:r>
      <w:r w:rsidR="00336698" w:rsidRPr="00D74E8E">
        <w:rPr>
          <w:rFonts w:cs="Palatino-Roman"/>
          <w:sz w:val="24"/>
          <w:szCs w:val="24"/>
        </w:rPr>
        <w:t xml:space="preserve">value </w:t>
      </w:r>
      <w:r w:rsidR="00DC2286" w:rsidRPr="00D74E8E">
        <w:rPr>
          <w:rFonts w:cs="Palatino-Roman"/>
          <w:sz w:val="24"/>
          <w:szCs w:val="24"/>
        </w:rPr>
        <w:t>based on the population distribut</w:t>
      </w:r>
      <w:r w:rsidR="00253182" w:rsidRPr="00D74E8E">
        <w:rPr>
          <w:rFonts w:cs="Palatino-Roman"/>
          <w:sz w:val="24"/>
          <w:szCs w:val="24"/>
        </w:rPr>
        <w:t>ion</w:t>
      </w:r>
      <w:r w:rsidR="00DC2286" w:rsidRPr="00D74E8E">
        <w:rPr>
          <w:rFonts w:cs="Palatino-Roman"/>
          <w:sz w:val="24"/>
          <w:szCs w:val="24"/>
        </w:rPr>
        <w:t xml:space="preserve"> </w:t>
      </w:r>
      <w:r w:rsidR="00913487" w:rsidRPr="00D74E8E">
        <w:rPr>
          <w:rFonts w:cs="Palatino-Roman"/>
          <w:sz w:val="24"/>
          <w:szCs w:val="24"/>
        </w:rPr>
        <w:t>of blood lead amon</w:t>
      </w:r>
      <w:r w:rsidR="0064122F" w:rsidRPr="00D74E8E">
        <w:rPr>
          <w:rFonts w:cs="Palatino-Roman"/>
          <w:sz w:val="24"/>
          <w:szCs w:val="24"/>
        </w:rPr>
        <w:t>g US children</w:t>
      </w:r>
      <w:r w:rsidR="00913487" w:rsidRPr="00D74E8E">
        <w:rPr>
          <w:rFonts w:cs="Palatino-Roman"/>
          <w:sz w:val="24"/>
          <w:szCs w:val="24"/>
        </w:rPr>
        <w:t>. The ACLPP</w:t>
      </w:r>
      <w:r w:rsidR="00302C86" w:rsidRPr="00D74E8E">
        <w:rPr>
          <w:rFonts w:cs="Palatino-Roman"/>
          <w:sz w:val="24"/>
          <w:szCs w:val="24"/>
        </w:rPr>
        <w:t xml:space="preserve"> </w:t>
      </w:r>
      <w:r w:rsidR="00913487" w:rsidRPr="00D74E8E">
        <w:rPr>
          <w:rFonts w:cs="Palatino-Roman"/>
          <w:sz w:val="24"/>
          <w:szCs w:val="24"/>
        </w:rPr>
        <w:t xml:space="preserve">recommended defining an </w:t>
      </w:r>
      <w:r w:rsidR="00302C86" w:rsidRPr="00D74E8E">
        <w:rPr>
          <w:rFonts w:cs="Palatino-Roman"/>
          <w:sz w:val="24"/>
          <w:szCs w:val="24"/>
        </w:rPr>
        <w:t>elevated BLL</w:t>
      </w:r>
      <w:r w:rsidR="00336698" w:rsidRPr="00D74E8E">
        <w:rPr>
          <w:rFonts w:cs="Palatino-Roman"/>
          <w:sz w:val="24"/>
          <w:szCs w:val="24"/>
        </w:rPr>
        <w:t xml:space="preserve"> as</w:t>
      </w:r>
      <w:r w:rsidR="00913487" w:rsidRPr="00D74E8E">
        <w:rPr>
          <w:rFonts w:cs="Palatino-Roman"/>
          <w:sz w:val="24"/>
          <w:szCs w:val="24"/>
        </w:rPr>
        <w:t xml:space="preserve"> greater than or equal to</w:t>
      </w:r>
      <w:r w:rsidR="00336698" w:rsidRPr="00D74E8E">
        <w:rPr>
          <w:rFonts w:cs="Palatino-Roman"/>
          <w:sz w:val="24"/>
          <w:szCs w:val="24"/>
        </w:rPr>
        <w:t xml:space="preserve"> </w:t>
      </w:r>
      <w:r w:rsidR="0042325A" w:rsidRPr="00D74E8E">
        <w:rPr>
          <w:rFonts w:cs="Palatino-Roman"/>
          <w:sz w:val="24"/>
          <w:szCs w:val="24"/>
        </w:rPr>
        <w:t>the 97.5</w:t>
      </w:r>
      <w:r w:rsidR="0042325A" w:rsidRPr="00D74E8E">
        <w:rPr>
          <w:rFonts w:cs="Palatino-Roman"/>
          <w:sz w:val="24"/>
          <w:szCs w:val="24"/>
          <w:vertAlign w:val="superscript"/>
        </w:rPr>
        <w:t>th</w:t>
      </w:r>
      <w:r w:rsidR="0042325A" w:rsidRPr="00D74E8E">
        <w:rPr>
          <w:rFonts w:cs="Palatino-Roman"/>
          <w:sz w:val="24"/>
          <w:szCs w:val="24"/>
        </w:rPr>
        <w:t xml:space="preserve"> </w:t>
      </w:r>
      <w:r w:rsidR="00336698" w:rsidRPr="00D74E8E">
        <w:rPr>
          <w:rFonts w:cs="Palatino-Roman"/>
          <w:sz w:val="24"/>
          <w:szCs w:val="24"/>
        </w:rPr>
        <w:t xml:space="preserve">percentile from </w:t>
      </w:r>
      <w:r w:rsidR="00E5597D" w:rsidRPr="00D74E8E">
        <w:rPr>
          <w:rFonts w:cs="Palatino-Roman"/>
          <w:sz w:val="24"/>
          <w:szCs w:val="24"/>
        </w:rPr>
        <w:t>two</w:t>
      </w:r>
      <w:r w:rsidR="00336698" w:rsidRPr="00D74E8E">
        <w:rPr>
          <w:rFonts w:cs="Palatino-Roman"/>
          <w:sz w:val="24"/>
          <w:szCs w:val="24"/>
        </w:rPr>
        <w:t xml:space="preserve"> consecu</w:t>
      </w:r>
      <w:r w:rsidR="00302C86" w:rsidRPr="00D74E8E">
        <w:rPr>
          <w:rFonts w:cs="Palatino-Roman"/>
          <w:sz w:val="24"/>
          <w:szCs w:val="24"/>
        </w:rPr>
        <w:t xml:space="preserve">tive cycles of </w:t>
      </w:r>
      <w:r w:rsidR="003B1817" w:rsidRPr="00D74E8E">
        <w:rPr>
          <w:rFonts w:cs="Palatino-Roman"/>
          <w:sz w:val="24"/>
          <w:szCs w:val="24"/>
        </w:rPr>
        <w:t xml:space="preserve">National </w:t>
      </w:r>
      <w:r w:rsidR="00336698" w:rsidRPr="00D74E8E">
        <w:rPr>
          <w:rFonts w:cs="Palatino-Roman"/>
          <w:sz w:val="24"/>
          <w:szCs w:val="24"/>
        </w:rPr>
        <w:t>Health and Nutrition Examination Survey</w:t>
      </w:r>
      <w:r w:rsidR="00302C86" w:rsidRPr="00D74E8E">
        <w:rPr>
          <w:rFonts w:cs="Palatino-Roman"/>
          <w:sz w:val="24"/>
          <w:szCs w:val="24"/>
        </w:rPr>
        <w:t xml:space="preserve"> (NHANES</w:t>
      </w:r>
      <w:r w:rsidR="00336698" w:rsidRPr="00D74E8E">
        <w:rPr>
          <w:rFonts w:cs="Palatino-Roman"/>
          <w:sz w:val="24"/>
          <w:szCs w:val="24"/>
        </w:rPr>
        <w:t>)</w:t>
      </w:r>
      <w:r w:rsidR="008868CC" w:rsidRPr="00D74E8E">
        <w:rPr>
          <w:rFonts w:cs="Palatino-Roman"/>
          <w:sz w:val="24"/>
          <w:szCs w:val="24"/>
        </w:rPr>
        <w:t xml:space="preserve"> (ACLPP, 2012)</w:t>
      </w:r>
      <w:r w:rsidR="00CC2C7D" w:rsidRPr="00D74E8E">
        <w:rPr>
          <w:rFonts w:cs="Palatino-Roman"/>
          <w:sz w:val="24"/>
          <w:szCs w:val="24"/>
        </w:rPr>
        <w:t xml:space="preserve">. </w:t>
      </w:r>
      <w:r w:rsidR="00C74AE9" w:rsidRPr="00D74E8E">
        <w:rPr>
          <w:rFonts w:cs="Palatino-Roman"/>
          <w:sz w:val="24"/>
          <w:szCs w:val="24"/>
        </w:rPr>
        <w:t>Ado</w:t>
      </w:r>
      <w:r w:rsidR="00026584" w:rsidRPr="00D74E8E">
        <w:rPr>
          <w:rFonts w:cs="Palatino-Roman"/>
          <w:sz w:val="24"/>
          <w:szCs w:val="24"/>
        </w:rPr>
        <w:t>pting</w:t>
      </w:r>
      <w:r w:rsidR="00CC2C7D" w:rsidRPr="00D74E8E">
        <w:rPr>
          <w:rFonts w:cs="Palatino-Roman"/>
          <w:sz w:val="24"/>
          <w:szCs w:val="24"/>
        </w:rPr>
        <w:t xml:space="preserve"> the ACLPP recommendation</w:t>
      </w:r>
      <w:r w:rsidR="00DC2286" w:rsidRPr="00D74E8E">
        <w:rPr>
          <w:rFonts w:cs="Palatino-Roman"/>
          <w:sz w:val="24"/>
          <w:szCs w:val="24"/>
        </w:rPr>
        <w:t xml:space="preserve">, </w:t>
      </w:r>
      <w:r w:rsidR="00CC2C7D" w:rsidRPr="00D74E8E">
        <w:rPr>
          <w:rFonts w:cs="Palatino-Roman"/>
          <w:sz w:val="24"/>
          <w:szCs w:val="24"/>
        </w:rPr>
        <w:t xml:space="preserve">CDC defined elevated BLL for children, </w:t>
      </w:r>
      <w:r w:rsidR="00DC2286" w:rsidRPr="00D74E8E">
        <w:rPr>
          <w:rFonts w:cs="Palatino-Roman"/>
          <w:sz w:val="24"/>
          <w:szCs w:val="24"/>
        </w:rPr>
        <w:t xml:space="preserve">aged 1 to 5 years, </w:t>
      </w:r>
      <w:r w:rsidR="00644209" w:rsidRPr="00D74E8E">
        <w:rPr>
          <w:rFonts w:cs="Palatino-Roman"/>
          <w:sz w:val="24"/>
          <w:szCs w:val="24"/>
        </w:rPr>
        <w:t>as ≥</w:t>
      </w:r>
      <w:r w:rsidR="00644209" w:rsidRPr="00D74E8E">
        <w:rPr>
          <w:rFonts w:cs="Calibri"/>
          <w:sz w:val="24"/>
          <w:szCs w:val="24"/>
        </w:rPr>
        <w:t>5 μg/dL</w:t>
      </w:r>
      <w:r w:rsidR="00B34F24" w:rsidRPr="00D74E8E">
        <w:rPr>
          <w:rFonts w:cs="Calibri"/>
          <w:sz w:val="24"/>
          <w:szCs w:val="24"/>
        </w:rPr>
        <w:t>, in 2012</w:t>
      </w:r>
      <w:r w:rsidR="00336698" w:rsidRPr="00D74E8E">
        <w:rPr>
          <w:rFonts w:cs="Palatino-Roman"/>
          <w:sz w:val="24"/>
          <w:szCs w:val="24"/>
        </w:rPr>
        <w:t xml:space="preserve"> (CDC, 2012).</w:t>
      </w:r>
      <w:r w:rsidR="00B87E09" w:rsidRPr="00D74E8E">
        <w:rPr>
          <w:rFonts w:cs="Palatino-Roman"/>
          <w:sz w:val="24"/>
          <w:szCs w:val="24"/>
        </w:rPr>
        <w:t xml:space="preserve"> This reference value will undergo periodic</w:t>
      </w:r>
      <w:r w:rsidR="0063696C" w:rsidRPr="00D74E8E">
        <w:rPr>
          <w:rFonts w:cs="Palatino-Roman"/>
          <w:sz w:val="24"/>
          <w:szCs w:val="24"/>
        </w:rPr>
        <w:t xml:space="preserve"> reassessment by the CDC HHLPPP and its advisors.</w:t>
      </w:r>
    </w:p>
    <w:p w14:paraId="0920A66C" w14:textId="62CBEF32" w:rsidR="00682267" w:rsidRPr="00D74E8E" w:rsidRDefault="00C87E07" w:rsidP="002841FE">
      <w:pPr>
        <w:autoSpaceDE w:val="0"/>
        <w:autoSpaceDN w:val="0"/>
        <w:adjustRightInd w:val="0"/>
        <w:spacing w:line="276" w:lineRule="auto"/>
        <w:rPr>
          <w:rFonts w:eastAsia="Times New Roman" w:cs="Times New Roman"/>
          <w:sz w:val="24"/>
          <w:szCs w:val="24"/>
        </w:rPr>
      </w:pPr>
      <w:r w:rsidRPr="00D74E8E">
        <w:rPr>
          <w:rFonts w:eastAsia="Times New Roman" w:cs="Times New Roman"/>
          <w:sz w:val="24"/>
          <w:szCs w:val="24"/>
        </w:rPr>
        <w:t xml:space="preserve">In 2015, </w:t>
      </w:r>
      <w:r w:rsidR="00E0075A" w:rsidRPr="00D74E8E">
        <w:rPr>
          <w:rFonts w:eastAsia="Times New Roman" w:cs="Times New Roman"/>
          <w:sz w:val="24"/>
          <w:szCs w:val="24"/>
        </w:rPr>
        <w:t xml:space="preserve">NIOSH updated the ABLES Program case definition for an elevated BLL among adults (16 years and older) to be a BLL </w:t>
      </w:r>
      <w:r w:rsidR="00E0075A" w:rsidRPr="00D74E8E">
        <w:rPr>
          <w:rFonts w:cs="Palatino-Roman"/>
          <w:sz w:val="24"/>
          <w:szCs w:val="24"/>
        </w:rPr>
        <w:t>≥</w:t>
      </w:r>
      <w:r w:rsidR="00E0075A" w:rsidRPr="00D74E8E">
        <w:rPr>
          <w:rFonts w:cs="Calibri"/>
          <w:sz w:val="24"/>
          <w:szCs w:val="24"/>
        </w:rPr>
        <w:t>5 μg/dL</w:t>
      </w:r>
      <w:r w:rsidR="00E0075A" w:rsidRPr="00D74E8E">
        <w:rPr>
          <w:rFonts w:cs="Palatino-Roman"/>
          <w:sz w:val="24"/>
          <w:szCs w:val="24"/>
        </w:rPr>
        <w:t xml:space="preserve"> </w:t>
      </w:r>
      <w:r w:rsidR="00E0075A" w:rsidRPr="00D74E8E">
        <w:rPr>
          <w:rFonts w:eastAsia="Times New Roman" w:cs="Times New Roman"/>
          <w:sz w:val="24"/>
          <w:szCs w:val="24"/>
        </w:rPr>
        <w:t xml:space="preserve">of whole blood, in a venous blood specimen. </w:t>
      </w:r>
      <w:r w:rsidR="00E0075A" w:rsidRPr="00D74E8E">
        <w:rPr>
          <w:sz w:val="24"/>
          <w:szCs w:val="24"/>
        </w:rPr>
        <w:t xml:space="preserve">The case definition was </w:t>
      </w:r>
      <w:r w:rsidR="00232416" w:rsidRPr="00D74E8E">
        <w:rPr>
          <w:sz w:val="24"/>
          <w:szCs w:val="24"/>
        </w:rPr>
        <w:t xml:space="preserve">updated </w:t>
      </w:r>
      <w:r w:rsidR="00E0075A" w:rsidRPr="00D74E8E">
        <w:rPr>
          <w:sz w:val="24"/>
          <w:szCs w:val="24"/>
        </w:rPr>
        <w:t xml:space="preserve">by NIOSH </w:t>
      </w:r>
      <w:r w:rsidR="002A6BEF" w:rsidRPr="00D74E8E">
        <w:rPr>
          <w:sz w:val="24"/>
          <w:szCs w:val="24"/>
        </w:rPr>
        <w:t>in response</w:t>
      </w:r>
      <w:r w:rsidR="00E0075A" w:rsidRPr="00D74E8E">
        <w:rPr>
          <w:sz w:val="24"/>
          <w:szCs w:val="24"/>
        </w:rPr>
        <w:t xml:space="preserve"> to CSTE’s recommendation</w:t>
      </w:r>
      <w:r w:rsidR="002A6BEF" w:rsidRPr="00D74E8E">
        <w:rPr>
          <w:sz w:val="24"/>
          <w:szCs w:val="24"/>
        </w:rPr>
        <w:t xml:space="preserve"> (NIOSH, 2015</w:t>
      </w:r>
      <w:r w:rsidR="004718F2" w:rsidRPr="00D74E8E">
        <w:rPr>
          <w:sz w:val="24"/>
          <w:szCs w:val="24"/>
        </w:rPr>
        <w:t>a</w:t>
      </w:r>
      <w:r w:rsidR="002A6BEF" w:rsidRPr="00D74E8E">
        <w:rPr>
          <w:sz w:val="24"/>
          <w:szCs w:val="24"/>
        </w:rPr>
        <w:t>)</w:t>
      </w:r>
      <w:r w:rsidR="00E0075A" w:rsidRPr="00D74E8E">
        <w:rPr>
          <w:sz w:val="24"/>
          <w:szCs w:val="24"/>
        </w:rPr>
        <w:t>.</w:t>
      </w:r>
      <w:r w:rsidR="00E0075A" w:rsidRPr="00D74E8E">
        <w:rPr>
          <w:rFonts w:eastAsia="Times New Roman" w:cs="Times New Roman"/>
          <w:sz w:val="24"/>
          <w:szCs w:val="24"/>
        </w:rPr>
        <w:t xml:space="preserve"> </w:t>
      </w:r>
      <w:r w:rsidR="00C55E0E" w:rsidRPr="00D74E8E">
        <w:rPr>
          <w:rFonts w:eastAsia="Times New Roman" w:cs="Times New Roman"/>
          <w:sz w:val="24"/>
          <w:szCs w:val="24"/>
        </w:rPr>
        <w:t xml:space="preserve">This </w:t>
      </w:r>
      <w:r w:rsidR="00032501" w:rsidRPr="00D74E8E">
        <w:rPr>
          <w:rFonts w:eastAsia="Times New Roman" w:cs="Times New Roman"/>
          <w:sz w:val="24"/>
          <w:szCs w:val="24"/>
        </w:rPr>
        <w:t xml:space="preserve">new </w:t>
      </w:r>
      <w:r w:rsidR="00C55E0E" w:rsidRPr="00D74E8E">
        <w:rPr>
          <w:rFonts w:eastAsia="Times New Roman" w:cs="Times New Roman"/>
          <w:sz w:val="24"/>
          <w:szCs w:val="24"/>
        </w:rPr>
        <w:t xml:space="preserve">case definition is </w:t>
      </w:r>
      <w:r w:rsidR="00032501" w:rsidRPr="00D74E8E">
        <w:rPr>
          <w:rFonts w:eastAsia="Times New Roman" w:cs="Times New Roman"/>
          <w:sz w:val="24"/>
          <w:szCs w:val="24"/>
        </w:rPr>
        <w:t xml:space="preserve">used by </w:t>
      </w:r>
      <w:hyperlink r:id="rId11" w:tgtFrame="_blank" w:history="1">
        <w:r w:rsidR="00C55E0E" w:rsidRPr="00D74E8E">
          <w:rPr>
            <w:rFonts w:eastAsia="Times New Roman" w:cs="Times New Roman"/>
            <w:sz w:val="24"/>
            <w:szCs w:val="24"/>
          </w:rPr>
          <w:t>C</w:t>
        </w:r>
        <w:r w:rsidR="002A4F58" w:rsidRPr="00D74E8E">
          <w:rPr>
            <w:rFonts w:eastAsia="Times New Roman" w:cs="Times New Roman"/>
            <w:sz w:val="24"/>
            <w:szCs w:val="24"/>
          </w:rPr>
          <w:t>STE</w:t>
        </w:r>
        <w:r w:rsidR="00C55E0E" w:rsidRPr="00D74E8E">
          <w:rPr>
            <w:rFonts w:eastAsia="Times New Roman" w:cs="Times New Roman"/>
            <w:sz w:val="24"/>
            <w:szCs w:val="24"/>
          </w:rPr>
          <w:t xml:space="preserve"> (CSTE</w:t>
        </w:r>
        <w:r w:rsidR="002A4F58" w:rsidRPr="00D74E8E">
          <w:rPr>
            <w:rFonts w:eastAsia="Times New Roman" w:cs="Times New Roman"/>
            <w:sz w:val="24"/>
            <w:szCs w:val="24"/>
          </w:rPr>
          <w:t>, 2015</w:t>
        </w:r>
        <w:r w:rsidR="00C55E0E" w:rsidRPr="00D74E8E">
          <w:rPr>
            <w:rFonts w:eastAsia="Times New Roman" w:cs="Times New Roman"/>
            <w:sz w:val="24"/>
            <w:szCs w:val="24"/>
          </w:rPr>
          <w:t>)</w:t>
        </w:r>
      </w:hyperlink>
      <w:r w:rsidR="00C55E0E" w:rsidRPr="00D74E8E">
        <w:rPr>
          <w:rFonts w:eastAsia="Times New Roman" w:cs="Times New Roman"/>
          <w:sz w:val="24"/>
          <w:szCs w:val="24"/>
        </w:rPr>
        <w:t xml:space="preserve">, and CDC’s </w:t>
      </w:r>
      <w:hyperlink r:id="rId12" w:history="1">
        <w:r w:rsidR="00C55E0E" w:rsidRPr="00D74E8E">
          <w:rPr>
            <w:rFonts w:eastAsia="Times New Roman" w:cs="Times New Roman"/>
            <w:sz w:val="24"/>
            <w:szCs w:val="24"/>
          </w:rPr>
          <w:t>National Notifiable Diseases Surveillance System</w:t>
        </w:r>
        <w:r w:rsidR="003F6033" w:rsidRPr="00D74E8E">
          <w:rPr>
            <w:rFonts w:eastAsia="Times New Roman" w:cs="Times New Roman"/>
            <w:sz w:val="24"/>
            <w:szCs w:val="24"/>
          </w:rPr>
          <w:t xml:space="preserve"> (NNDSS, OMB Control No. </w:t>
        </w:r>
        <w:r w:rsidR="003F6033" w:rsidRPr="00D74E8E">
          <w:rPr>
            <w:rFonts w:cs="Arial"/>
            <w:sz w:val="24"/>
            <w:szCs w:val="24"/>
          </w:rPr>
          <w:t>0920-0728, expiration date 01/31/2019)</w:t>
        </w:r>
        <w:r w:rsidR="00C55E0E" w:rsidRPr="00D74E8E">
          <w:rPr>
            <w:rFonts w:eastAsia="Times New Roman" w:cs="Times New Roman"/>
            <w:sz w:val="24"/>
            <w:szCs w:val="24"/>
          </w:rPr>
          <w:t xml:space="preserve"> (NNDSS</w:t>
        </w:r>
        <w:r w:rsidR="002A4F58" w:rsidRPr="00D74E8E">
          <w:rPr>
            <w:rFonts w:eastAsia="Times New Roman" w:cs="Times New Roman"/>
            <w:sz w:val="24"/>
            <w:szCs w:val="24"/>
          </w:rPr>
          <w:t>, 2017</w:t>
        </w:r>
        <w:r w:rsidR="00C55E0E" w:rsidRPr="00D74E8E">
          <w:rPr>
            <w:rFonts w:eastAsia="Times New Roman" w:cs="Times New Roman"/>
            <w:sz w:val="24"/>
            <w:szCs w:val="24"/>
          </w:rPr>
          <w:t>)</w:t>
        </w:r>
      </w:hyperlink>
      <w:r w:rsidR="008B5A26" w:rsidRPr="00D74E8E">
        <w:rPr>
          <w:rFonts w:eastAsia="Times New Roman" w:cs="Times New Roman"/>
          <w:sz w:val="24"/>
          <w:szCs w:val="24"/>
        </w:rPr>
        <w:t xml:space="preserve">. </w:t>
      </w:r>
      <w:r w:rsidR="0078419F" w:rsidRPr="00D74E8E">
        <w:rPr>
          <w:rFonts w:eastAsia="Times New Roman" w:cs="Times New Roman"/>
          <w:sz w:val="24"/>
          <w:szCs w:val="24"/>
        </w:rPr>
        <w:t xml:space="preserve">NIOSH recommends that </w:t>
      </w:r>
      <w:r w:rsidR="00BA4FEA" w:rsidRPr="00D74E8E">
        <w:rPr>
          <w:rFonts w:eastAsia="Times New Roman" w:cs="Times New Roman"/>
          <w:sz w:val="24"/>
          <w:szCs w:val="24"/>
        </w:rPr>
        <w:t xml:space="preserve">the most current guidelines for management of lead-exposed adults be implemented by the medical community at the </w:t>
      </w:r>
      <w:r w:rsidR="008A588F" w:rsidRPr="00D74E8E">
        <w:rPr>
          <w:rFonts w:eastAsia="Times New Roman" w:cs="Times New Roman"/>
          <w:sz w:val="24"/>
          <w:szCs w:val="24"/>
        </w:rPr>
        <w:t xml:space="preserve">current </w:t>
      </w:r>
      <w:r w:rsidR="00BA4FEA" w:rsidRPr="00D74E8E">
        <w:rPr>
          <w:rFonts w:eastAsia="Times New Roman" w:cs="Times New Roman"/>
          <w:sz w:val="24"/>
          <w:szCs w:val="24"/>
        </w:rPr>
        <w:t>NIOSH reference</w:t>
      </w:r>
      <w:r w:rsidR="00D546D4" w:rsidRPr="00D74E8E">
        <w:rPr>
          <w:rFonts w:eastAsia="Times New Roman" w:cs="Times New Roman"/>
          <w:sz w:val="24"/>
          <w:szCs w:val="24"/>
        </w:rPr>
        <w:t xml:space="preserve"> value</w:t>
      </w:r>
      <w:r w:rsidR="00BA4FEA" w:rsidRPr="00D74E8E">
        <w:rPr>
          <w:rFonts w:eastAsia="Times New Roman" w:cs="Times New Roman"/>
          <w:sz w:val="24"/>
          <w:szCs w:val="24"/>
        </w:rPr>
        <w:t xml:space="preserve"> of 5 µg/dL</w:t>
      </w:r>
      <w:r w:rsidR="00C8484B" w:rsidRPr="00D74E8E">
        <w:rPr>
          <w:rFonts w:eastAsia="Times New Roman" w:cs="Times New Roman"/>
          <w:sz w:val="24"/>
          <w:szCs w:val="24"/>
        </w:rPr>
        <w:t>, for adults</w:t>
      </w:r>
      <w:r w:rsidR="00220F04" w:rsidRPr="00D74E8E">
        <w:rPr>
          <w:rFonts w:eastAsia="Times New Roman" w:cs="Times New Roman"/>
          <w:sz w:val="24"/>
          <w:szCs w:val="24"/>
        </w:rPr>
        <w:t>, including pregnant women</w:t>
      </w:r>
      <w:r w:rsidR="00CB7D9A" w:rsidRPr="00D74E8E">
        <w:rPr>
          <w:rFonts w:eastAsia="Times New Roman" w:cs="Times New Roman"/>
          <w:sz w:val="24"/>
          <w:szCs w:val="24"/>
        </w:rPr>
        <w:t xml:space="preserve"> (NIOSH, 201</w:t>
      </w:r>
      <w:r w:rsidR="008F6CA2" w:rsidRPr="00D74E8E">
        <w:rPr>
          <w:rFonts w:eastAsia="Times New Roman" w:cs="Times New Roman"/>
          <w:sz w:val="24"/>
          <w:szCs w:val="24"/>
        </w:rPr>
        <w:t>5</w:t>
      </w:r>
      <w:r w:rsidR="004718F2" w:rsidRPr="00D74E8E">
        <w:rPr>
          <w:rFonts w:eastAsia="Times New Roman" w:cs="Times New Roman"/>
          <w:sz w:val="24"/>
          <w:szCs w:val="24"/>
        </w:rPr>
        <w:t>a</w:t>
      </w:r>
      <w:r w:rsidR="00032501" w:rsidRPr="00D74E8E">
        <w:rPr>
          <w:rFonts w:eastAsia="Times New Roman" w:cs="Times New Roman"/>
          <w:sz w:val="24"/>
          <w:szCs w:val="24"/>
        </w:rPr>
        <w:t>; CDC, 2010</w:t>
      </w:r>
      <w:r w:rsidR="000914A1" w:rsidRPr="00D74E8E">
        <w:rPr>
          <w:rFonts w:eastAsia="Times New Roman" w:cs="Times New Roman"/>
          <w:sz w:val="24"/>
          <w:szCs w:val="24"/>
        </w:rPr>
        <w:t>)</w:t>
      </w:r>
      <w:r w:rsidR="00BA4FEA" w:rsidRPr="00D74E8E">
        <w:rPr>
          <w:rFonts w:eastAsia="Times New Roman" w:cs="Times New Roman"/>
          <w:sz w:val="24"/>
          <w:szCs w:val="24"/>
        </w:rPr>
        <w:t>.</w:t>
      </w:r>
      <w:r w:rsidR="00055253" w:rsidRPr="00D74E8E">
        <w:rPr>
          <w:rFonts w:eastAsia="Times New Roman" w:cs="Times New Roman"/>
          <w:sz w:val="24"/>
          <w:szCs w:val="24"/>
        </w:rPr>
        <w:t xml:space="preserve"> </w:t>
      </w:r>
    </w:p>
    <w:p w14:paraId="65E37EA3" w14:textId="77777777" w:rsidR="00682267" w:rsidRPr="00D74E8E" w:rsidRDefault="00682267" w:rsidP="00682267">
      <w:pPr>
        <w:pStyle w:val="ListParagraph"/>
        <w:numPr>
          <w:ilvl w:val="0"/>
          <w:numId w:val="7"/>
        </w:numPr>
        <w:autoSpaceDE w:val="0"/>
        <w:autoSpaceDN w:val="0"/>
        <w:adjustRightInd w:val="0"/>
        <w:spacing w:line="276" w:lineRule="auto"/>
        <w:contextualSpacing w:val="0"/>
        <w:rPr>
          <w:rFonts w:eastAsia="Times New Roman" w:cs="Times New Roman"/>
          <w:sz w:val="24"/>
          <w:szCs w:val="24"/>
          <w:u w:val="single"/>
        </w:rPr>
      </w:pPr>
      <w:r w:rsidRPr="00D74E8E">
        <w:rPr>
          <w:rFonts w:eastAsia="Times New Roman" w:cs="Times New Roman"/>
          <w:sz w:val="24"/>
          <w:szCs w:val="24"/>
        </w:rPr>
        <w:t xml:space="preserve">From 2009 to November 2015, the NIOSH case definition for an elevated BLL was a BLL ≥10 µg/dL. </w:t>
      </w:r>
    </w:p>
    <w:p w14:paraId="637E1F7C" w14:textId="5E9814B6" w:rsidR="00682267" w:rsidRPr="00D74E8E" w:rsidRDefault="00682267" w:rsidP="00682267">
      <w:pPr>
        <w:pStyle w:val="ListParagraph"/>
        <w:numPr>
          <w:ilvl w:val="0"/>
          <w:numId w:val="7"/>
        </w:numPr>
        <w:autoSpaceDE w:val="0"/>
        <w:autoSpaceDN w:val="0"/>
        <w:adjustRightInd w:val="0"/>
        <w:spacing w:line="276" w:lineRule="auto"/>
        <w:contextualSpacing w:val="0"/>
        <w:rPr>
          <w:rFonts w:eastAsia="Times New Roman" w:cs="Times New Roman"/>
          <w:sz w:val="24"/>
          <w:szCs w:val="24"/>
          <w:u w:val="single"/>
        </w:rPr>
      </w:pPr>
      <w:r w:rsidRPr="00D74E8E">
        <w:rPr>
          <w:rFonts w:eastAsia="Times New Roman" w:cs="Times New Roman"/>
          <w:sz w:val="24"/>
          <w:szCs w:val="24"/>
        </w:rPr>
        <w:t xml:space="preserve">The HP2020 goal is to reduce the number of persons with BLLs </w:t>
      </w:r>
      <w:r w:rsidR="008C5197" w:rsidRPr="00D74E8E">
        <w:rPr>
          <w:rFonts w:eastAsia="Times New Roman" w:cs="Times New Roman"/>
          <w:sz w:val="24"/>
          <w:szCs w:val="24"/>
        </w:rPr>
        <w:t>≥</w:t>
      </w:r>
      <w:r w:rsidRPr="00D74E8E">
        <w:rPr>
          <w:rFonts w:cs="Times New Roman"/>
          <w:sz w:val="24"/>
          <w:szCs w:val="24"/>
        </w:rPr>
        <w:t>10 µg/dL from work exposures</w:t>
      </w:r>
      <w:r w:rsidR="00D148CE" w:rsidRPr="00D74E8E">
        <w:rPr>
          <w:rFonts w:cs="Times New Roman"/>
          <w:sz w:val="24"/>
          <w:szCs w:val="24"/>
        </w:rPr>
        <w:t>.</w:t>
      </w:r>
    </w:p>
    <w:p w14:paraId="5FB58D04" w14:textId="22CC4CDA" w:rsidR="00682267" w:rsidRPr="00D74E8E" w:rsidRDefault="00682267" w:rsidP="006D6AAA">
      <w:pPr>
        <w:pStyle w:val="ListParagraph"/>
        <w:numPr>
          <w:ilvl w:val="0"/>
          <w:numId w:val="7"/>
        </w:numPr>
        <w:autoSpaceDE w:val="0"/>
        <w:autoSpaceDN w:val="0"/>
        <w:adjustRightInd w:val="0"/>
        <w:spacing w:line="276" w:lineRule="auto"/>
        <w:contextualSpacing w:val="0"/>
        <w:rPr>
          <w:rFonts w:eastAsia="Times New Roman" w:cs="Times New Roman"/>
          <w:sz w:val="24"/>
          <w:szCs w:val="24"/>
          <w:u w:val="single"/>
        </w:rPr>
      </w:pPr>
      <w:r w:rsidRPr="00D74E8E">
        <w:rPr>
          <w:rFonts w:eastAsia="Times New Roman" w:cs="Times New Roman"/>
          <w:sz w:val="24"/>
          <w:szCs w:val="24"/>
        </w:rPr>
        <w:t>The Occupational Safety and Health A</w:t>
      </w:r>
      <w:r w:rsidR="00151922" w:rsidRPr="00D74E8E">
        <w:rPr>
          <w:rFonts w:eastAsia="Times New Roman" w:cs="Times New Roman"/>
          <w:sz w:val="24"/>
          <w:szCs w:val="24"/>
        </w:rPr>
        <w:t>ct</w:t>
      </w:r>
      <w:r w:rsidRPr="00D74E8E">
        <w:rPr>
          <w:rFonts w:eastAsia="Times New Roman" w:cs="Times New Roman"/>
          <w:sz w:val="24"/>
          <w:szCs w:val="24"/>
        </w:rPr>
        <w:t xml:space="preserve"> Lead Standards require workers to be removed from lead exposure </w:t>
      </w:r>
      <w:r w:rsidR="00082CB3" w:rsidRPr="00D74E8E">
        <w:rPr>
          <w:rFonts w:eastAsia="Times New Roman" w:cs="Times New Roman"/>
          <w:sz w:val="24"/>
          <w:szCs w:val="24"/>
        </w:rPr>
        <w:t>for</w:t>
      </w:r>
      <w:r w:rsidRPr="00D74E8E">
        <w:rPr>
          <w:rFonts w:eastAsia="Times New Roman" w:cs="Times New Roman"/>
          <w:sz w:val="24"/>
          <w:szCs w:val="24"/>
        </w:rPr>
        <w:t xml:space="preserve"> BLLs </w:t>
      </w:r>
      <w:r w:rsidR="00082CB3" w:rsidRPr="00D74E8E">
        <w:rPr>
          <w:rFonts w:eastAsia="Times New Roman" w:cs="Times New Roman"/>
          <w:sz w:val="24"/>
          <w:szCs w:val="24"/>
        </w:rPr>
        <w:t>≥</w:t>
      </w:r>
      <w:r w:rsidRPr="00D74E8E">
        <w:rPr>
          <w:rFonts w:eastAsia="Times New Roman" w:cs="Times New Roman"/>
          <w:sz w:val="24"/>
          <w:szCs w:val="24"/>
        </w:rPr>
        <w:t xml:space="preserve">50 µg/dL (construction industry) or 60 µg/dL (general industry) and allow workers to return to work when the BLL is </w:t>
      </w:r>
      <w:r w:rsidR="00082CB3" w:rsidRPr="00D74E8E">
        <w:rPr>
          <w:rFonts w:eastAsia="Times New Roman" w:cs="Times New Roman"/>
          <w:sz w:val="24"/>
          <w:szCs w:val="24"/>
        </w:rPr>
        <w:t>&lt;</w:t>
      </w:r>
      <w:r w:rsidRPr="00D74E8E">
        <w:rPr>
          <w:rFonts w:eastAsia="Times New Roman" w:cs="Times New Roman"/>
          <w:sz w:val="24"/>
          <w:szCs w:val="24"/>
        </w:rPr>
        <w:t xml:space="preserve">40 µg/dL. </w:t>
      </w:r>
    </w:p>
    <w:p w14:paraId="12763BC4" w14:textId="4AB37B02" w:rsidR="00DC5149" w:rsidRPr="00D74E8E" w:rsidRDefault="00055253" w:rsidP="003127FE">
      <w:pPr>
        <w:autoSpaceDE w:val="0"/>
        <w:autoSpaceDN w:val="0"/>
        <w:adjustRightInd w:val="0"/>
        <w:spacing w:after="240" w:line="276" w:lineRule="auto"/>
        <w:rPr>
          <w:rFonts w:cs="Palatino-Roman"/>
          <w:sz w:val="24"/>
          <w:szCs w:val="24"/>
          <w:u w:val="single"/>
        </w:rPr>
      </w:pPr>
      <w:r w:rsidRPr="00D74E8E">
        <w:rPr>
          <w:rFonts w:eastAsia="Times New Roman" w:cs="Times New Roman"/>
          <w:sz w:val="24"/>
          <w:szCs w:val="24"/>
        </w:rPr>
        <w:t>Further discussion of federal ag</w:t>
      </w:r>
      <w:r w:rsidR="007F76A4" w:rsidRPr="00D74E8E">
        <w:rPr>
          <w:rFonts w:eastAsia="Times New Roman" w:cs="Times New Roman"/>
          <w:sz w:val="24"/>
          <w:szCs w:val="24"/>
        </w:rPr>
        <w:t>encies following the CDC recommendations for blood lead reference value</w:t>
      </w:r>
      <w:r w:rsidRPr="00D74E8E">
        <w:rPr>
          <w:rFonts w:eastAsia="Times New Roman" w:cs="Times New Roman"/>
          <w:sz w:val="24"/>
          <w:szCs w:val="24"/>
        </w:rPr>
        <w:t>s is found in Section A.4.</w:t>
      </w:r>
    </w:p>
    <w:p w14:paraId="76F2630B" w14:textId="77777777" w:rsidR="007A7EB7" w:rsidRDefault="007A7EB7" w:rsidP="004B49F4">
      <w:pPr>
        <w:rPr>
          <w:rFonts w:cs="Palatino-Roman"/>
          <w:sz w:val="24"/>
          <w:szCs w:val="24"/>
          <w:u w:val="single"/>
        </w:rPr>
      </w:pPr>
    </w:p>
    <w:p w14:paraId="6DF21C12" w14:textId="76A66A0F" w:rsidR="00903BD2" w:rsidRPr="00D74E8E" w:rsidRDefault="00C663CF" w:rsidP="004B49F4">
      <w:pPr>
        <w:rPr>
          <w:sz w:val="24"/>
        </w:rPr>
      </w:pPr>
      <w:r w:rsidRPr="00D74E8E">
        <w:rPr>
          <w:rFonts w:cs="Palatino-Roman"/>
          <w:sz w:val="24"/>
          <w:szCs w:val="24"/>
          <w:u w:val="single"/>
        </w:rPr>
        <w:t>Program Accomplishments</w:t>
      </w:r>
    </w:p>
    <w:p w14:paraId="5C6A494C" w14:textId="54380292" w:rsidR="00BB0332" w:rsidRPr="00D74E8E" w:rsidRDefault="008E5BEB" w:rsidP="00903BD2">
      <w:pPr>
        <w:autoSpaceDE w:val="0"/>
        <w:autoSpaceDN w:val="0"/>
        <w:adjustRightInd w:val="0"/>
        <w:spacing w:before="240" w:line="276" w:lineRule="auto"/>
        <w:rPr>
          <w:rFonts w:eastAsiaTheme="minorHAnsi" w:cs="Courier New"/>
          <w:sz w:val="24"/>
          <w:szCs w:val="24"/>
        </w:rPr>
      </w:pPr>
      <w:r w:rsidRPr="00D74E8E">
        <w:rPr>
          <w:rFonts w:eastAsiaTheme="minorHAnsi" w:cs="Courier New"/>
          <w:noProof/>
          <w:sz w:val="24"/>
          <w:szCs w:val="24"/>
        </w:rPr>
        <mc:AlternateContent>
          <mc:Choice Requires="wps">
            <w:drawing>
              <wp:anchor distT="45720" distB="45720" distL="114300" distR="114300" simplePos="0" relativeHeight="251673600" behindDoc="0" locked="0" layoutInCell="1" allowOverlap="1" wp14:anchorId="00E5A142" wp14:editId="6F89D8B5">
                <wp:simplePos x="0" y="0"/>
                <wp:positionH relativeFrom="margin">
                  <wp:align>left</wp:align>
                </wp:positionH>
                <wp:positionV relativeFrom="page">
                  <wp:posOffset>5056059</wp:posOffset>
                </wp:positionV>
                <wp:extent cx="6025515" cy="2716530"/>
                <wp:effectExtent l="0" t="0" r="13335"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15" cy="2716530"/>
                        </a:xfrm>
                        <a:prstGeom prst="rect">
                          <a:avLst/>
                        </a:prstGeom>
                        <a:solidFill>
                          <a:srgbClr val="FFFFFF"/>
                        </a:solidFill>
                        <a:ln w="9525">
                          <a:solidFill>
                            <a:srgbClr val="000000"/>
                          </a:solidFill>
                          <a:miter lim="800000"/>
                          <a:headEnd/>
                          <a:tailEnd/>
                        </a:ln>
                      </wps:spPr>
                      <wps:txbx>
                        <w:txbxContent>
                          <w:p w14:paraId="748AC37F" w14:textId="77777777" w:rsidR="00D271EF" w:rsidRPr="00DF7F65" w:rsidRDefault="00D271EF" w:rsidP="00BB0332">
                            <w:pPr>
                              <w:autoSpaceDE w:val="0"/>
                              <w:autoSpaceDN w:val="0"/>
                              <w:adjustRightInd w:val="0"/>
                              <w:spacing w:after="0" w:line="240" w:lineRule="auto"/>
                              <w:rPr>
                                <w:rFonts w:eastAsiaTheme="minorHAnsi" w:cs="Courier New"/>
                                <w:b/>
                                <w:i/>
                                <w:sz w:val="20"/>
                                <w:szCs w:val="20"/>
                              </w:rPr>
                            </w:pPr>
                            <w:r w:rsidRPr="00170EDA">
                              <w:rPr>
                                <w:b/>
                                <w:i/>
                                <w:sz w:val="20"/>
                                <w:szCs w:val="20"/>
                              </w:rPr>
                              <w:t xml:space="preserve">HHLPSS ICR </w:t>
                            </w:r>
                            <w:r w:rsidRPr="00170EDA">
                              <w:rPr>
                                <w:rFonts w:eastAsiaTheme="minorHAnsi" w:cs="Courier New"/>
                                <w:b/>
                                <w:i/>
                                <w:sz w:val="20"/>
                                <w:szCs w:val="20"/>
                              </w:rPr>
                              <w:t xml:space="preserve">(OMB Control No. 0920-0931, expiration date 05/31/2018) </w:t>
                            </w:r>
                          </w:p>
                          <w:p w14:paraId="0A7AD11B" w14:textId="77777777" w:rsidR="00D271EF" w:rsidRPr="00170EDA" w:rsidRDefault="00D271EF" w:rsidP="00BB0332">
                            <w:pPr>
                              <w:autoSpaceDE w:val="0"/>
                              <w:autoSpaceDN w:val="0"/>
                              <w:adjustRightInd w:val="0"/>
                              <w:spacing w:after="0" w:line="240" w:lineRule="auto"/>
                              <w:rPr>
                                <w:rFonts w:cs="ArialMT"/>
                                <w:b/>
                                <w:i/>
                                <w:sz w:val="20"/>
                                <w:szCs w:val="20"/>
                              </w:rPr>
                            </w:pPr>
                            <w:r w:rsidRPr="003621A6">
                              <w:rPr>
                                <w:rFonts w:cs="ArialMT"/>
                                <w:b/>
                                <w:i/>
                                <w:sz w:val="20"/>
                                <w:szCs w:val="20"/>
                                <w:u w:val="single"/>
                              </w:rPr>
                              <w:t>2015 Terms of Clearance</w:t>
                            </w:r>
                            <w:r w:rsidRPr="00170EDA">
                              <w:rPr>
                                <w:rFonts w:cs="ArialMT"/>
                                <w:b/>
                                <w:i/>
                                <w:sz w:val="20"/>
                                <w:szCs w:val="20"/>
                              </w:rPr>
                              <w:t xml:space="preserve">: </w:t>
                            </w:r>
                          </w:p>
                          <w:p w14:paraId="24B4B6ED" w14:textId="77777777" w:rsidR="00D271EF" w:rsidRPr="00170EDA" w:rsidRDefault="00D271EF" w:rsidP="00BB0332">
                            <w:pPr>
                              <w:autoSpaceDE w:val="0"/>
                              <w:autoSpaceDN w:val="0"/>
                              <w:adjustRightInd w:val="0"/>
                              <w:spacing w:after="0" w:line="240" w:lineRule="auto"/>
                              <w:rPr>
                                <w:rFonts w:cs="ArialMT"/>
                                <w:b/>
                                <w:i/>
                                <w:sz w:val="20"/>
                                <w:szCs w:val="20"/>
                              </w:rPr>
                            </w:pPr>
                          </w:p>
                          <w:p w14:paraId="43DA6BD4" w14:textId="77777777" w:rsidR="00D271EF" w:rsidRPr="00170EDA" w:rsidRDefault="00D271EF" w:rsidP="00BB0332">
                            <w:pPr>
                              <w:autoSpaceDE w:val="0"/>
                              <w:autoSpaceDN w:val="0"/>
                              <w:adjustRightInd w:val="0"/>
                              <w:spacing w:line="240" w:lineRule="auto"/>
                              <w:rPr>
                                <w:rFonts w:cs="ArialMT"/>
                                <w:sz w:val="20"/>
                                <w:szCs w:val="20"/>
                              </w:rPr>
                            </w:pPr>
                            <w:r w:rsidRPr="00170EDA">
                              <w:rPr>
                                <w:rFonts w:cs="ArialMT"/>
                                <w:sz w:val="20"/>
                                <w:szCs w:val="20"/>
                              </w:rPr>
                              <w:t xml:space="preserve">Clearance is provided contingent on CDC advising its grantees/contractors of the change in wording of the race/ethnicity and asthma questions that were made during clearance. </w:t>
                            </w:r>
                          </w:p>
                          <w:p w14:paraId="2D6773AA" w14:textId="77777777" w:rsidR="00D271EF" w:rsidRPr="00170EDA" w:rsidRDefault="00D271EF" w:rsidP="00BB0332">
                            <w:pPr>
                              <w:autoSpaceDE w:val="0"/>
                              <w:autoSpaceDN w:val="0"/>
                              <w:adjustRightInd w:val="0"/>
                              <w:spacing w:line="240" w:lineRule="auto"/>
                              <w:rPr>
                                <w:rFonts w:cs="ArialMT"/>
                                <w:i/>
                                <w:sz w:val="20"/>
                                <w:szCs w:val="20"/>
                              </w:rPr>
                            </w:pPr>
                            <w:r w:rsidRPr="00170EDA">
                              <w:rPr>
                                <w:rFonts w:cs="ArialMT"/>
                                <w:sz w:val="20"/>
                                <w:szCs w:val="20"/>
                              </w:rPr>
                              <w:t>Dissemination of the aggregate data set and statistics generated from the aggregate data set will always be accompanied by the following caveats:</w:t>
                            </w:r>
                            <w:r w:rsidRPr="00170EDA">
                              <w:rPr>
                                <w:rFonts w:cs="ArialMT"/>
                                <w:i/>
                                <w:sz w:val="20"/>
                                <w:szCs w:val="20"/>
                              </w:rPr>
                              <w:t xml:space="preserve"> </w:t>
                            </w:r>
                          </w:p>
                          <w:p w14:paraId="74CD1DD1" w14:textId="77777777" w:rsidR="00D271EF" w:rsidRPr="00170EDA" w:rsidRDefault="00D271EF" w:rsidP="00BB0332">
                            <w:pPr>
                              <w:autoSpaceDE w:val="0"/>
                              <w:autoSpaceDN w:val="0"/>
                              <w:adjustRightInd w:val="0"/>
                              <w:spacing w:line="240" w:lineRule="auto"/>
                              <w:rPr>
                                <w:rFonts w:cs="ArialMT"/>
                                <w:i/>
                                <w:sz w:val="20"/>
                                <w:szCs w:val="20"/>
                              </w:rPr>
                            </w:pPr>
                            <w:r w:rsidRPr="00170EDA">
                              <w:rPr>
                                <w:rFonts w:cs="ArialMT"/>
                                <w:i/>
                                <w:sz w:val="20"/>
                                <w:szCs w:val="20"/>
                              </w:rPr>
                              <w:t>“These data were collected for program management purposes. The data are not generalizable at the national, state, or local level. Furthermore, because inclusion criteria vary across grantees, comparisons of aggregate statistics across programs can be misleading (i.e., state policies and practices for blood lead testing vary and local priorities drive decisions regarding which homes receive assessments for other housing hazards). However, descriptive statistics can be used to compare changes overtime in a given area when the method by which housing units are chosen for inclusion remains the same. With a thoughtful understanding of the approach used to include housing units in a given location, HHLPPS can be used to make associations between the number of individuals in a given area and a specific housing hazard or health condition and geographic descriptors such as poverty, age of housing, tenancy, and health conditions.”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398.1pt;width:474.45pt;height:213.9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">
                <v:textbox style="mso-fit-shape-to-text:t">
                  <w:txbxContent>
                    <w:p w14:paraId="748AC37F" w14:textId="77777777" w:rsidR="00D271EF" w:rsidRPr="00DF7F65" w:rsidRDefault="00D271EF" w:rsidP="00BB0332">
                      <w:pPr>
                        <w:autoSpaceDE w:val="0"/>
                        <w:autoSpaceDN w:val="0"/>
                        <w:adjustRightInd w:val="0"/>
                        <w:spacing w:after="0" w:line="240" w:lineRule="auto"/>
                        <w:rPr>
                          <w:rFonts w:eastAsiaTheme="minorHAnsi" w:cs="Courier New"/>
                          <w:b/>
                          <w:i/>
                          <w:sz w:val="20"/>
                          <w:szCs w:val="20"/>
                        </w:rPr>
                      </w:pPr>
                      <w:r w:rsidRPr="00170EDA">
                        <w:rPr>
                          <w:b/>
                          <w:i/>
                          <w:sz w:val="20"/>
                          <w:szCs w:val="20"/>
                        </w:rPr>
                        <w:t xml:space="preserve">HHLPSS ICR </w:t>
                      </w:r>
                      <w:r w:rsidRPr="00170EDA">
                        <w:rPr>
                          <w:rFonts w:eastAsiaTheme="minorHAnsi" w:cs="Courier New"/>
                          <w:b/>
                          <w:i/>
                          <w:sz w:val="20"/>
                          <w:szCs w:val="20"/>
                        </w:rPr>
                        <w:t xml:space="preserve">(OMB Control No. 0920-0931, expiration date 05/31/2018) </w:t>
                      </w:r>
                    </w:p>
                    <w:p w14:paraId="0A7AD11B" w14:textId="77777777" w:rsidR="00D271EF" w:rsidRPr="00170EDA" w:rsidRDefault="00D271EF" w:rsidP="00BB0332">
                      <w:pPr>
                        <w:autoSpaceDE w:val="0"/>
                        <w:autoSpaceDN w:val="0"/>
                        <w:adjustRightInd w:val="0"/>
                        <w:spacing w:after="0" w:line="240" w:lineRule="auto"/>
                        <w:rPr>
                          <w:rFonts w:cs="ArialMT"/>
                          <w:b/>
                          <w:i/>
                          <w:sz w:val="20"/>
                          <w:szCs w:val="20"/>
                        </w:rPr>
                      </w:pPr>
                      <w:r w:rsidRPr="003621A6">
                        <w:rPr>
                          <w:rFonts w:cs="ArialMT"/>
                          <w:b/>
                          <w:i/>
                          <w:sz w:val="20"/>
                          <w:szCs w:val="20"/>
                          <w:u w:val="single"/>
                        </w:rPr>
                        <w:t>2015 Terms of Clearance</w:t>
                      </w:r>
                      <w:r w:rsidRPr="00170EDA">
                        <w:rPr>
                          <w:rFonts w:cs="ArialMT"/>
                          <w:b/>
                          <w:i/>
                          <w:sz w:val="20"/>
                          <w:szCs w:val="20"/>
                        </w:rPr>
                        <w:t xml:space="preserve">: </w:t>
                      </w:r>
                    </w:p>
                    <w:p w14:paraId="24B4B6ED" w14:textId="77777777" w:rsidR="00D271EF" w:rsidRPr="00170EDA" w:rsidRDefault="00D271EF" w:rsidP="00BB0332">
                      <w:pPr>
                        <w:autoSpaceDE w:val="0"/>
                        <w:autoSpaceDN w:val="0"/>
                        <w:adjustRightInd w:val="0"/>
                        <w:spacing w:after="0" w:line="240" w:lineRule="auto"/>
                        <w:rPr>
                          <w:rFonts w:cs="ArialMT"/>
                          <w:b/>
                          <w:i/>
                          <w:sz w:val="20"/>
                          <w:szCs w:val="20"/>
                        </w:rPr>
                      </w:pPr>
                    </w:p>
                    <w:p w14:paraId="43DA6BD4" w14:textId="77777777" w:rsidR="00D271EF" w:rsidRPr="00170EDA" w:rsidRDefault="00D271EF" w:rsidP="00BB0332">
                      <w:pPr>
                        <w:autoSpaceDE w:val="0"/>
                        <w:autoSpaceDN w:val="0"/>
                        <w:adjustRightInd w:val="0"/>
                        <w:spacing w:line="240" w:lineRule="auto"/>
                        <w:rPr>
                          <w:rFonts w:cs="ArialMT"/>
                          <w:sz w:val="20"/>
                          <w:szCs w:val="20"/>
                        </w:rPr>
                      </w:pPr>
                      <w:r w:rsidRPr="00170EDA">
                        <w:rPr>
                          <w:rFonts w:cs="ArialMT"/>
                          <w:sz w:val="20"/>
                          <w:szCs w:val="20"/>
                        </w:rPr>
                        <w:t xml:space="preserve">Clearance is provided contingent on CDC advising its grantees/contractors of the change in wording of the race/ethnicity and asthma questions that were made during clearance. </w:t>
                      </w:r>
                    </w:p>
                    <w:p w14:paraId="2D6773AA" w14:textId="77777777" w:rsidR="00D271EF" w:rsidRPr="00170EDA" w:rsidRDefault="00D271EF" w:rsidP="00BB0332">
                      <w:pPr>
                        <w:autoSpaceDE w:val="0"/>
                        <w:autoSpaceDN w:val="0"/>
                        <w:adjustRightInd w:val="0"/>
                        <w:spacing w:line="240" w:lineRule="auto"/>
                        <w:rPr>
                          <w:rFonts w:cs="ArialMT"/>
                          <w:i/>
                          <w:sz w:val="20"/>
                          <w:szCs w:val="20"/>
                        </w:rPr>
                      </w:pPr>
                      <w:r w:rsidRPr="00170EDA">
                        <w:rPr>
                          <w:rFonts w:cs="ArialMT"/>
                          <w:sz w:val="20"/>
                          <w:szCs w:val="20"/>
                        </w:rPr>
                        <w:t>Dissemination of the aggregate data set and statistics generated from the aggregate data set will always be accompanied by the following caveats:</w:t>
                      </w:r>
                      <w:r w:rsidRPr="00170EDA">
                        <w:rPr>
                          <w:rFonts w:cs="ArialMT"/>
                          <w:i/>
                          <w:sz w:val="20"/>
                          <w:szCs w:val="20"/>
                        </w:rPr>
                        <w:t xml:space="preserve"> </w:t>
                      </w:r>
                    </w:p>
                    <w:p w14:paraId="74CD1DD1" w14:textId="77777777" w:rsidR="00D271EF" w:rsidRPr="00170EDA" w:rsidRDefault="00D271EF" w:rsidP="00BB0332">
                      <w:pPr>
                        <w:autoSpaceDE w:val="0"/>
                        <w:autoSpaceDN w:val="0"/>
                        <w:adjustRightInd w:val="0"/>
                        <w:spacing w:line="240" w:lineRule="auto"/>
                        <w:rPr>
                          <w:rFonts w:cs="ArialMT"/>
                          <w:i/>
                          <w:sz w:val="20"/>
                          <w:szCs w:val="20"/>
                        </w:rPr>
                      </w:pPr>
                      <w:r w:rsidRPr="00170EDA">
                        <w:rPr>
                          <w:rFonts w:cs="ArialMT"/>
                          <w:i/>
                          <w:sz w:val="20"/>
                          <w:szCs w:val="20"/>
                        </w:rPr>
                        <w:t>“These data were collected for program management purposes. The data are not generalizable at the national, state, or local level. Furthermore, because inclusion criteria vary across grantees, comparisons of aggregate statistics across programs can be misleading (i.e., state policies and practices for blood lead testing vary and local priorities drive decisions regarding which homes receive assessments for other housing hazards). However, descriptive statistics can be used to compare changes overtime in a given area when the method by which housing units are chosen for inclusion remains the same. With a thoughtful understanding of the approach used to include housing units in a given location, HHLPPS can be used to make associations between the number of individuals in a given area and a specific housing hazard or health condition and geographic descriptors such as poverty, age of housing, tenancy, and health conditions.”</w:t>
                      </w:r>
                    </w:p>
                  </w:txbxContent>
                </v:textbox>
                <w10:wrap type="square" anchorx="margin" anchory="page"/>
              </v:shape>
            </w:pict>
          </mc:Fallback>
        </mc:AlternateContent>
      </w:r>
      <w:r w:rsidR="00C75A8F" w:rsidRPr="00D74E8E">
        <w:rPr>
          <w:sz w:val="24"/>
        </w:rPr>
        <w:t>In the 2015, PRA clearance was contingent on the following Terms of Clearance for</w:t>
      </w:r>
      <w:r w:rsidR="00F57133" w:rsidRPr="00D74E8E">
        <w:rPr>
          <w:sz w:val="24"/>
        </w:rPr>
        <w:t xml:space="preserve"> </w:t>
      </w:r>
      <w:r w:rsidR="00007A31" w:rsidRPr="00D74E8E">
        <w:rPr>
          <w:sz w:val="24"/>
        </w:rPr>
        <w:t xml:space="preserve">the </w:t>
      </w:r>
      <w:r w:rsidR="00F57133" w:rsidRPr="00D74E8E">
        <w:rPr>
          <w:sz w:val="24"/>
        </w:rPr>
        <w:t>HHLPSS</w:t>
      </w:r>
      <w:r w:rsidR="000015E0" w:rsidRPr="00D74E8E">
        <w:rPr>
          <w:sz w:val="24"/>
        </w:rPr>
        <w:t xml:space="preserve"> ICR</w:t>
      </w:r>
      <w:r w:rsidR="00F57133" w:rsidRPr="00D74E8E">
        <w:rPr>
          <w:sz w:val="24"/>
        </w:rPr>
        <w:t xml:space="preserve"> </w:t>
      </w:r>
      <w:r w:rsidR="00F57133" w:rsidRPr="00D74E8E">
        <w:rPr>
          <w:rFonts w:eastAsiaTheme="minorHAnsi" w:cs="Courier New"/>
          <w:sz w:val="24"/>
          <w:szCs w:val="24"/>
        </w:rPr>
        <w:t>(OMB Control No. 0920-0931, expiration date 05/31/2018) (</w:t>
      </w:r>
      <w:r w:rsidR="00F57133" w:rsidRPr="00D74E8E">
        <w:rPr>
          <w:rFonts w:eastAsiaTheme="minorHAnsi" w:cs="Courier New"/>
          <w:b/>
          <w:sz w:val="24"/>
          <w:szCs w:val="24"/>
        </w:rPr>
        <w:t>Attachment 3</w:t>
      </w:r>
      <w:r w:rsidR="00CC0505" w:rsidRPr="00D74E8E">
        <w:rPr>
          <w:rFonts w:eastAsiaTheme="minorHAnsi" w:cs="Courier New"/>
          <w:b/>
          <w:sz w:val="24"/>
          <w:szCs w:val="24"/>
        </w:rPr>
        <w:t>c</w:t>
      </w:r>
      <w:r w:rsidR="00F57133" w:rsidRPr="00D74E8E">
        <w:rPr>
          <w:rFonts w:eastAsiaTheme="minorHAnsi" w:cs="Courier New"/>
          <w:sz w:val="24"/>
          <w:szCs w:val="24"/>
        </w:rPr>
        <w:t>)</w:t>
      </w:r>
      <w:r w:rsidR="002D164E" w:rsidRPr="00D74E8E">
        <w:rPr>
          <w:rFonts w:eastAsiaTheme="minorHAnsi" w:cs="Courier New"/>
          <w:sz w:val="24"/>
          <w:szCs w:val="24"/>
        </w:rPr>
        <w:t xml:space="preserve">. </w:t>
      </w:r>
    </w:p>
    <w:p w14:paraId="572A0219" w14:textId="4A11FDF9" w:rsidR="00BB0332" w:rsidRPr="00D74E8E" w:rsidRDefault="002D164E" w:rsidP="00F035F5">
      <w:pPr>
        <w:autoSpaceDE w:val="0"/>
        <w:autoSpaceDN w:val="0"/>
        <w:adjustRightInd w:val="0"/>
        <w:spacing w:before="240" w:line="276" w:lineRule="auto"/>
        <w:rPr>
          <w:rFonts w:ascii="Calibri" w:eastAsiaTheme="minorHAnsi" w:hAnsi="Calibri" w:cs="Courier New"/>
          <w:sz w:val="24"/>
          <w:szCs w:val="24"/>
        </w:rPr>
      </w:pPr>
      <w:r w:rsidRPr="00D74E8E">
        <w:rPr>
          <w:rFonts w:eastAsiaTheme="minorHAnsi" w:cs="Courier New"/>
          <w:sz w:val="24"/>
          <w:szCs w:val="24"/>
        </w:rPr>
        <w:t xml:space="preserve">The HHLPPP anticipates the Terms of Clearance for this </w:t>
      </w:r>
      <w:r w:rsidR="008B686F" w:rsidRPr="00D74E8E">
        <w:rPr>
          <w:rFonts w:eastAsiaTheme="minorHAnsi" w:cs="Courier New"/>
          <w:sz w:val="24"/>
          <w:szCs w:val="24"/>
        </w:rPr>
        <w:t>FY</w:t>
      </w:r>
      <w:r w:rsidRPr="00D74E8E">
        <w:rPr>
          <w:rFonts w:eastAsiaTheme="minorHAnsi" w:cs="Courier New"/>
          <w:sz w:val="24"/>
          <w:szCs w:val="24"/>
        </w:rPr>
        <w:t>17 program will be the same</w:t>
      </w:r>
      <w:r w:rsidR="008F42A2" w:rsidRPr="00D74E8E">
        <w:rPr>
          <w:rFonts w:eastAsiaTheme="minorHAnsi" w:cs="Courier New"/>
          <w:sz w:val="24"/>
          <w:szCs w:val="24"/>
        </w:rPr>
        <w:t xml:space="preserve"> as for </w:t>
      </w:r>
      <w:r w:rsidR="008F42A2" w:rsidRPr="00D74E8E">
        <w:rPr>
          <w:rFonts w:ascii="Calibri" w:eastAsiaTheme="minorHAnsi" w:hAnsi="Calibri" w:cs="Courier New"/>
          <w:sz w:val="24"/>
          <w:szCs w:val="24"/>
        </w:rPr>
        <w:t xml:space="preserve">the </w:t>
      </w:r>
      <w:r w:rsidR="008B686F" w:rsidRPr="00D74E8E">
        <w:rPr>
          <w:rFonts w:ascii="Calibri" w:eastAsiaTheme="minorHAnsi" w:hAnsi="Calibri" w:cs="Courier New"/>
          <w:sz w:val="24"/>
          <w:szCs w:val="24"/>
        </w:rPr>
        <w:t>FY</w:t>
      </w:r>
      <w:r w:rsidR="008F42A2" w:rsidRPr="00D74E8E">
        <w:rPr>
          <w:rFonts w:ascii="Calibri" w:eastAsiaTheme="minorHAnsi" w:hAnsi="Calibri" w:cs="Courier New"/>
          <w:sz w:val="24"/>
          <w:szCs w:val="24"/>
        </w:rPr>
        <w:t>14 program</w:t>
      </w:r>
      <w:r w:rsidRPr="00D74E8E">
        <w:rPr>
          <w:rFonts w:ascii="Calibri" w:eastAsiaTheme="minorHAnsi" w:hAnsi="Calibri" w:cs="Courier New"/>
          <w:sz w:val="24"/>
          <w:szCs w:val="24"/>
        </w:rPr>
        <w:t>, except for the requirement for advising awardees about the change in wording of race and ethnicity and asthma questions, which has been accomplished to date</w:t>
      </w:r>
      <w:r w:rsidR="00FC780F" w:rsidRPr="00D74E8E">
        <w:rPr>
          <w:rFonts w:ascii="Calibri" w:eastAsiaTheme="minorHAnsi" w:hAnsi="Calibri" w:cs="Courier New"/>
          <w:sz w:val="24"/>
          <w:szCs w:val="24"/>
        </w:rPr>
        <w:t xml:space="preserve">. The </w:t>
      </w:r>
      <w:r w:rsidR="009E2249" w:rsidRPr="00D74E8E">
        <w:rPr>
          <w:rFonts w:ascii="Calibri" w:eastAsiaTheme="minorHAnsi" w:hAnsi="Calibri" w:cs="Courier New"/>
          <w:sz w:val="24"/>
          <w:szCs w:val="24"/>
        </w:rPr>
        <w:t>CBLS</w:t>
      </w:r>
      <w:r w:rsidR="00FC780F" w:rsidRPr="00D74E8E">
        <w:rPr>
          <w:rFonts w:ascii="Calibri" w:eastAsiaTheme="minorHAnsi" w:hAnsi="Calibri" w:cs="Courier New"/>
          <w:sz w:val="24"/>
          <w:szCs w:val="24"/>
        </w:rPr>
        <w:t xml:space="preserve"> data will continue to be collected for program management purposes</w:t>
      </w:r>
      <w:r w:rsidR="00E515C8" w:rsidRPr="00D74E8E">
        <w:rPr>
          <w:rFonts w:ascii="Calibri" w:eastAsiaTheme="minorHAnsi" w:hAnsi="Calibri" w:cs="Courier New"/>
          <w:sz w:val="24"/>
          <w:szCs w:val="24"/>
        </w:rPr>
        <w:t xml:space="preserve"> as described</w:t>
      </w:r>
      <w:r w:rsidR="000E4D7B" w:rsidRPr="00D74E8E">
        <w:rPr>
          <w:rFonts w:ascii="Calibri" w:eastAsiaTheme="minorHAnsi" w:hAnsi="Calibri" w:cs="Courier New"/>
          <w:sz w:val="24"/>
          <w:szCs w:val="24"/>
        </w:rPr>
        <w:t xml:space="preserve"> in the 2015 Terms of Clearance.</w:t>
      </w:r>
    </w:p>
    <w:p w14:paraId="341721E7" w14:textId="78D81EB9" w:rsidR="00D90C83" w:rsidRPr="00D74E8E" w:rsidRDefault="00D33E20" w:rsidP="00F035F5">
      <w:pPr>
        <w:autoSpaceDE w:val="0"/>
        <w:autoSpaceDN w:val="0"/>
        <w:adjustRightInd w:val="0"/>
        <w:spacing w:before="240" w:line="276" w:lineRule="auto"/>
        <w:rPr>
          <w:rFonts w:ascii="Calibri" w:hAnsi="Calibri"/>
          <w:sz w:val="24"/>
          <w:szCs w:val="24"/>
        </w:rPr>
      </w:pPr>
      <w:r w:rsidRPr="00D74E8E">
        <w:rPr>
          <w:rFonts w:ascii="Calibri" w:hAnsi="Calibri"/>
          <w:sz w:val="24"/>
          <w:szCs w:val="24"/>
          <w:u w:val="single"/>
        </w:rPr>
        <w:t>HHLPPP Accomplishments</w:t>
      </w:r>
      <w:r w:rsidRPr="00D74E8E">
        <w:rPr>
          <w:rFonts w:ascii="Calibri" w:hAnsi="Calibri"/>
          <w:sz w:val="24"/>
          <w:szCs w:val="24"/>
        </w:rPr>
        <w:t xml:space="preserve">: </w:t>
      </w:r>
      <w:r w:rsidR="004333BE" w:rsidRPr="00D74E8E">
        <w:rPr>
          <w:rFonts w:ascii="Calibri" w:hAnsi="Calibri"/>
          <w:sz w:val="24"/>
          <w:szCs w:val="24"/>
        </w:rPr>
        <w:t>In</w:t>
      </w:r>
      <w:r w:rsidR="00D90C83" w:rsidRPr="00D74E8E">
        <w:rPr>
          <w:rFonts w:ascii="Calibri" w:hAnsi="Calibri"/>
          <w:sz w:val="24"/>
          <w:szCs w:val="24"/>
        </w:rPr>
        <w:t xml:space="preserve"> </w:t>
      </w:r>
      <w:r w:rsidR="008B686F" w:rsidRPr="00D74E8E">
        <w:rPr>
          <w:rFonts w:ascii="Calibri" w:hAnsi="Calibri"/>
          <w:sz w:val="24"/>
          <w:szCs w:val="24"/>
        </w:rPr>
        <w:t>FY</w:t>
      </w:r>
      <w:r w:rsidR="00D90C83" w:rsidRPr="00D74E8E">
        <w:rPr>
          <w:rFonts w:ascii="Calibri" w:hAnsi="Calibri"/>
          <w:sz w:val="24"/>
          <w:szCs w:val="24"/>
        </w:rPr>
        <w:t>17, t</w:t>
      </w:r>
      <w:r w:rsidR="001A69A7" w:rsidRPr="00D74E8E">
        <w:rPr>
          <w:rFonts w:ascii="Calibri" w:hAnsi="Calibri"/>
          <w:sz w:val="24"/>
          <w:szCs w:val="24"/>
        </w:rPr>
        <w:t xml:space="preserve">he HHLPPP </w:t>
      </w:r>
      <w:r w:rsidR="00D90C83" w:rsidRPr="00D74E8E">
        <w:rPr>
          <w:rFonts w:ascii="Calibri" w:hAnsi="Calibri"/>
          <w:sz w:val="24"/>
          <w:szCs w:val="24"/>
        </w:rPr>
        <w:t>will</w:t>
      </w:r>
      <w:r w:rsidR="001A69A7" w:rsidRPr="00D74E8E">
        <w:rPr>
          <w:rFonts w:ascii="Calibri" w:hAnsi="Calibri"/>
          <w:sz w:val="24"/>
          <w:szCs w:val="24"/>
        </w:rPr>
        <w:t xml:space="preserve"> under</w:t>
      </w:r>
      <w:r w:rsidR="00D90C83" w:rsidRPr="00D74E8E">
        <w:rPr>
          <w:rFonts w:ascii="Calibri" w:hAnsi="Calibri"/>
          <w:sz w:val="24"/>
          <w:szCs w:val="24"/>
        </w:rPr>
        <w:t>go</w:t>
      </w:r>
      <w:r w:rsidR="001A69A7" w:rsidRPr="00D74E8E">
        <w:rPr>
          <w:rFonts w:ascii="Calibri" w:hAnsi="Calibri"/>
          <w:sz w:val="24"/>
          <w:szCs w:val="24"/>
        </w:rPr>
        <w:t xml:space="preserve"> its </w:t>
      </w:r>
      <w:r w:rsidR="00D90C83" w:rsidRPr="00D74E8E">
        <w:rPr>
          <w:rFonts w:ascii="Calibri" w:hAnsi="Calibri"/>
          <w:sz w:val="24"/>
          <w:szCs w:val="24"/>
        </w:rPr>
        <w:t>fourth</w:t>
      </w:r>
      <w:r w:rsidR="001A69A7" w:rsidRPr="00D74E8E">
        <w:rPr>
          <w:rFonts w:ascii="Calibri" w:hAnsi="Calibri"/>
          <w:sz w:val="24"/>
          <w:szCs w:val="24"/>
        </w:rPr>
        <w:t xml:space="preserve"> and final year of the current </w:t>
      </w:r>
      <w:r w:rsidR="008B686F" w:rsidRPr="00D74E8E">
        <w:rPr>
          <w:rFonts w:ascii="Calibri" w:hAnsi="Calibri"/>
          <w:sz w:val="24"/>
          <w:szCs w:val="24"/>
        </w:rPr>
        <w:t>FY</w:t>
      </w:r>
      <w:r w:rsidR="001A69A7" w:rsidRPr="00D74E8E">
        <w:rPr>
          <w:rFonts w:ascii="Calibri" w:hAnsi="Calibri"/>
          <w:sz w:val="24"/>
          <w:szCs w:val="24"/>
        </w:rPr>
        <w:t>14 cooperative agreement</w:t>
      </w:r>
      <w:r w:rsidR="009B0122" w:rsidRPr="00D74E8E">
        <w:rPr>
          <w:rFonts w:ascii="Calibri" w:hAnsi="Calibri"/>
          <w:sz w:val="24"/>
          <w:szCs w:val="24"/>
        </w:rPr>
        <w:t xml:space="preserve"> </w:t>
      </w:r>
      <w:r w:rsidR="001A69A7" w:rsidRPr="00D74E8E">
        <w:rPr>
          <w:rFonts w:ascii="Calibri" w:hAnsi="Calibri"/>
          <w:sz w:val="24"/>
          <w:szCs w:val="24"/>
        </w:rPr>
        <w:t>(FOA No. CDC-RFA-EH14-1408</w:t>
      </w:r>
      <w:r w:rsidR="00632386" w:rsidRPr="00D74E8E">
        <w:rPr>
          <w:rFonts w:ascii="Calibri" w:hAnsi="Calibri"/>
          <w:sz w:val="24"/>
          <w:szCs w:val="24"/>
        </w:rPr>
        <w:t>PPHF14</w:t>
      </w:r>
      <w:r w:rsidR="001A69A7" w:rsidRPr="00D74E8E">
        <w:rPr>
          <w:rFonts w:ascii="Calibri" w:hAnsi="Calibri"/>
          <w:sz w:val="24"/>
          <w:szCs w:val="24"/>
        </w:rPr>
        <w:t>)</w:t>
      </w:r>
      <w:r w:rsidR="004333BE" w:rsidRPr="00D74E8E">
        <w:rPr>
          <w:rFonts w:ascii="Calibri" w:hAnsi="Calibri"/>
          <w:sz w:val="24"/>
          <w:szCs w:val="24"/>
        </w:rPr>
        <w:t>. This final year</w:t>
      </w:r>
      <w:r w:rsidR="0090286A" w:rsidRPr="00D74E8E">
        <w:rPr>
          <w:rFonts w:ascii="Calibri" w:hAnsi="Calibri"/>
          <w:sz w:val="24"/>
          <w:szCs w:val="24"/>
        </w:rPr>
        <w:t xml:space="preserve"> </w:t>
      </w:r>
      <w:r w:rsidR="00D90C83" w:rsidRPr="00D74E8E">
        <w:rPr>
          <w:rFonts w:ascii="Calibri" w:hAnsi="Calibri"/>
          <w:sz w:val="24"/>
          <w:szCs w:val="24"/>
        </w:rPr>
        <w:t xml:space="preserve">will coincide with the first year of the new </w:t>
      </w:r>
      <w:r w:rsidR="008B686F" w:rsidRPr="00D74E8E">
        <w:rPr>
          <w:rFonts w:ascii="Calibri" w:hAnsi="Calibri"/>
          <w:sz w:val="24"/>
          <w:szCs w:val="24"/>
        </w:rPr>
        <w:t>FY</w:t>
      </w:r>
      <w:r w:rsidR="00D90C83" w:rsidRPr="00D74E8E">
        <w:rPr>
          <w:rFonts w:ascii="Calibri" w:hAnsi="Calibri"/>
          <w:sz w:val="24"/>
          <w:szCs w:val="24"/>
        </w:rPr>
        <w:t>17 cooperative agreement</w:t>
      </w:r>
      <w:r w:rsidR="009B0122" w:rsidRPr="00D74E8E">
        <w:rPr>
          <w:rFonts w:ascii="Calibri" w:hAnsi="Calibri"/>
          <w:sz w:val="24"/>
          <w:szCs w:val="24"/>
        </w:rPr>
        <w:t xml:space="preserve"> (FOA No. CDC-RFA-</w:t>
      </w:r>
      <w:r w:rsidR="008649BA" w:rsidRPr="00D74E8E">
        <w:rPr>
          <w:rFonts w:ascii="Calibri" w:hAnsi="Calibri"/>
          <w:sz w:val="24"/>
          <w:szCs w:val="24"/>
        </w:rPr>
        <w:t>EH17-1701PPHF</w:t>
      </w:r>
      <w:r w:rsidR="00E5114F" w:rsidRPr="00D74E8E">
        <w:rPr>
          <w:rFonts w:ascii="Calibri" w:hAnsi="Calibri"/>
          <w:sz w:val="24"/>
          <w:szCs w:val="24"/>
        </w:rPr>
        <w:t>17</w:t>
      </w:r>
      <w:r w:rsidR="00F215FC" w:rsidRPr="00D74E8E">
        <w:rPr>
          <w:rFonts w:ascii="Calibri" w:hAnsi="Calibri"/>
          <w:sz w:val="24"/>
          <w:szCs w:val="24"/>
        </w:rPr>
        <w:t>)</w:t>
      </w:r>
      <w:r w:rsidR="00D90C83" w:rsidRPr="00D74E8E">
        <w:rPr>
          <w:rFonts w:ascii="Calibri" w:hAnsi="Calibri"/>
          <w:sz w:val="24"/>
          <w:szCs w:val="24"/>
        </w:rPr>
        <w:t>.</w:t>
      </w:r>
    </w:p>
    <w:p w14:paraId="64107AC6" w14:textId="161F911A" w:rsidR="00C54414" w:rsidRPr="00D74E8E" w:rsidRDefault="006D0D84" w:rsidP="00F035F5">
      <w:pPr>
        <w:autoSpaceDE w:val="0"/>
        <w:autoSpaceDN w:val="0"/>
        <w:adjustRightInd w:val="0"/>
        <w:spacing w:line="276" w:lineRule="auto"/>
        <w:rPr>
          <w:rFonts w:ascii="Calibri" w:hAnsi="Calibri"/>
          <w:sz w:val="24"/>
          <w:szCs w:val="24"/>
        </w:rPr>
      </w:pPr>
      <w:r w:rsidRPr="00D74E8E">
        <w:rPr>
          <w:rFonts w:ascii="Calibri" w:hAnsi="Calibri" w:cs="Calibri"/>
          <w:sz w:val="24"/>
          <w:szCs w:val="24"/>
        </w:rPr>
        <w:t>During the past three</w:t>
      </w:r>
      <w:r w:rsidR="003330E5" w:rsidRPr="00D74E8E">
        <w:rPr>
          <w:rFonts w:ascii="Calibri" w:hAnsi="Calibri" w:cs="Calibri"/>
          <w:sz w:val="24"/>
          <w:szCs w:val="24"/>
        </w:rPr>
        <w:t xml:space="preserve"> years, the HHLPPP </w:t>
      </w:r>
      <w:r w:rsidR="00431F03" w:rsidRPr="00D74E8E">
        <w:rPr>
          <w:rFonts w:ascii="Calibri" w:hAnsi="Calibri" w:cs="Calibri"/>
          <w:sz w:val="24"/>
          <w:szCs w:val="24"/>
        </w:rPr>
        <w:t xml:space="preserve">met annually </w:t>
      </w:r>
      <w:r w:rsidR="004333BE" w:rsidRPr="00D74E8E">
        <w:rPr>
          <w:rFonts w:ascii="Calibri" w:hAnsi="Calibri" w:cs="Calibri"/>
          <w:sz w:val="24"/>
          <w:szCs w:val="24"/>
        </w:rPr>
        <w:t xml:space="preserve">with </w:t>
      </w:r>
      <w:r w:rsidR="008B686F" w:rsidRPr="00D74E8E">
        <w:rPr>
          <w:rFonts w:ascii="Calibri" w:hAnsi="Calibri" w:cs="Calibri"/>
          <w:sz w:val="24"/>
          <w:szCs w:val="24"/>
        </w:rPr>
        <w:t>FY</w:t>
      </w:r>
      <w:r w:rsidR="004333BE" w:rsidRPr="00D74E8E">
        <w:rPr>
          <w:rFonts w:ascii="Calibri" w:hAnsi="Calibri" w:cs="Calibri"/>
          <w:sz w:val="24"/>
          <w:szCs w:val="24"/>
        </w:rPr>
        <w:t>14</w:t>
      </w:r>
      <w:r w:rsidR="00431F03" w:rsidRPr="00D74E8E">
        <w:rPr>
          <w:rFonts w:ascii="Calibri" w:hAnsi="Calibri" w:cs="Calibri"/>
          <w:sz w:val="24"/>
          <w:szCs w:val="24"/>
        </w:rPr>
        <w:t xml:space="preserve"> program managers and worked</w:t>
      </w:r>
      <w:r w:rsidR="003330E5" w:rsidRPr="00D74E8E">
        <w:rPr>
          <w:rFonts w:ascii="Calibri" w:hAnsi="Calibri" w:cs="Calibri"/>
          <w:sz w:val="24"/>
          <w:szCs w:val="24"/>
        </w:rPr>
        <w:t xml:space="preserve"> </w:t>
      </w:r>
      <w:r w:rsidR="00FC287A" w:rsidRPr="00D74E8E">
        <w:rPr>
          <w:rFonts w:ascii="Calibri" w:hAnsi="Calibri" w:cs="Calibri"/>
          <w:sz w:val="24"/>
          <w:szCs w:val="24"/>
        </w:rPr>
        <w:t xml:space="preserve">with them </w:t>
      </w:r>
      <w:r w:rsidR="003330E5" w:rsidRPr="00D74E8E">
        <w:rPr>
          <w:rFonts w:ascii="Calibri" w:hAnsi="Calibri" w:cs="Calibri"/>
          <w:sz w:val="24"/>
          <w:szCs w:val="24"/>
        </w:rPr>
        <w:t>to identify children at highest risk for lead exposure and targeted prevention activities to eliminate childhood lead poisoning</w:t>
      </w:r>
      <w:r w:rsidR="00431F03" w:rsidRPr="00D74E8E">
        <w:rPr>
          <w:rFonts w:ascii="Calibri" w:hAnsi="Calibri" w:cs="Calibri"/>
          <w:sz w:val="24"/>
          <w:szCs w:val="24"/>
        </w:rPr>
        <w:t xml:space="preserve"> in awardee jurisdictions</w:t>
      </w:r>
      <w:r w:rsidR="003330E5" w:rsidRPr="00D74E8E">
        <w:rPr>
          <w:rFonts w:ascii="Calibri" w:hAnsi="Calibri" w:cs="Calibri"/>
          <w:sz w:val="24"/>
          <w:szCs w:val="24"/>
        </w:rPr>
        <w:t xml:space="preserve">. </w:t>
      </w:r>
    </w:p>
    <w:p w14:paraId="242E8961" w14:textId="6CBCCFBF" w:rsidR="009B0122" w:rsidRPr="00D74E8E" w:rsidRDefault="007F37F9" w:rsidP="00F035F5">
      <w:pPr>
        <w:autoSpaceDE w:val="0"/>
        <w:autoSpaceDN w:val="0"/>
        <w:adjustRightInd w:val="0"/>
        <w:spacing w:line="276" w:lineRule="auto"/>
        <w:rPr>
          <w:rFonts w:ascii="Calibri" w:hAnsi="Calibri" w:cs="Calibri"/>
          <w:sz w:val="24"/>
          <w:szCs w:val="24"/>
        </w:rPr>
      </w:pPr>
      <w:r>
        <w:rPr>
          <w:rFonts w:ascii="Calibri" w:hAnsi="Calibri" w:cs="Calibri"/>
          <w:sz w:val="24"/>
          <w:szCs w:val="24"/>
        </w:rPr>
        <w:t>During 2014-2017, the HHLPPP produced 17</w:t>
      </w:r>
      <w:r w:rsidR="000A5C86" w:rsidRPr="00D74E8E">
        <w:rPr>
          <w:rFonts w:ascii="Calibri" w:hAnsi="Calibri" w:cs="Calibri"/>
          <w:sz w:val="24"/>
          <w:szCs w:val="24"/>
        </w:rPr>
        <w:t xml:space="preserve"> publications (s</w:t>
      </w:r>
      <w:r w:rsidR="00F42841" w:rsidRPr="00D74E8E">
        <w:rPr>
          <w:rFonts w:ascii="Calibri" w:hAnsi="Calibri" w:cs="Calibri"/>
          <w:sz w:val="24"/>
          <w:szCs w:val="24"/>
        </w:rPr>
        <w:t xml:space="preserve">ee list in </w:t>
      </w:r>
      <w:r w:rsidR="00F42841" w:rsidRPr="00D74E8E">
        <w:rPr>
          <w:rFonts w:ascii="Calibri" w:hAnsi="Calibri" w:cs="Calibri"/>
          <w:b/>
          <w:sz w:val="24"/>
          <w:szCs w:val="24"/>
        </w:rPr>
        <w:t>References</w:t>
      </w:r>
      <w:r w:rsidR="006F6D1E" w:rsidRPr="00D74E8E">
        <w:rPr>
          <w:rFonts w:ascii="Calibri" w:hAnsi="Calibri" w:cs="Calibri"/>
          <w:sz w:val="24"/>
          <w:szCs w:val="24"/>
        </w:rPr>
        <w:t>)</w:t>
      </w:r>
      <w:r w:rsidR="00F42841" w:rsidRPr="00D74E8E">
        <w:rPr>
          <w:rFonts w:ascii="Calibri" w:hAnsi="Calibri" w:cs="Calibri"/>
          <w:sz w:val="24"/>
          <w:szCs w:val="24"/>
        </w:rPr>
        <w:t xml:space="preserve">. </w:t>
      </w:r>
      <w:r w:rsidR="00C54414" w:rsidRPr="00D74E8E">
        <w:rPr>
          <w:rFonts w:ascii="Calibri" w:hAnsi="Calibri" w:cs="Calibri"/>
          <w:sz w:val="24"/>
          <w:szCs w:val="24"/>
        </w:rPr>
        <w:t>Additional e</w:t>
      </w:r>
      <w:r w:rsidR="00F42841" w:rsidRPr="00D74E8E">
        <w:rPr>
          <w:rFonts w:ascii="Calibri" w:hAnsi="Calibri" w:cs="Calibri"/>
          <w:sz w:val="24"/>
          <w:szCs w:val="24"/>
        </w:rPr>
        <w:t>xamples of t</w:t>
      </w:r>
      <w:r w:rsidR="00CA0E13" w:rsidRPr="00D74E8E">
        <w:rPr>
          <w:rFonts w:ascii="Calibri" w:hAnsi="Calibri"/>
          <w:sz w:val="24"/>
          <w:szCs w:val="24"/>
        </w:rPr>
        <w:t xml:space="preserve">he </w:t>
      </w:r>
      <w:r w:rsidR="008B686F" w:rsidRPr="00D74E8E">
        <w:rPr>
          <w:rFonts w:ascii="Calibri" w:hAnsi="Calibri"/>
          <w:sz w:val="24"/>
          <w:szCs w:val="24"/>
        </w:rPr>
        <w:t>FY</w:t>
      </w:r>
      <w:r w:rsidR="00EC5B26" w:rsidRPr="00D74E8E">
        <w:rPr>
          <w:rFonts w:ascii="Calibri" w:hAnsi="Calibri"/>
          <w:sz w:val="24"/>
          <w:szCs w:val="24"/>
        </w:rPr>
        <w:t>14</w:t>
      </w:r>
      <w:r w:rsidR="00CA0E13" w:rsidRPr="00D74E8E">
        <w:rPr>
          <w:rFonts w:ascii="Calibri" w:hAnsi="Calibri"/>
          <w:sz w:val="24"/>
          <w:szCs w:val="24"/>
        </w:rPr>
        <w:t xml:space="preserve"> program accomplishments </w:t>
      </w:r>
      <w:r w:rsidR="00F42841" w:rsidRPr="00D74E8E">
        <w:rPr>
          <w:rFonts w:ascii="Calibri" w:hAnsi="Calibri"/>
          <w:sz w:val="24"/>
          <w:szCs w:val="24"/>
        </w:rPr>
        <w:t>are below</w:t>
      </w:r>
      <w:r w:rsidR="00CA0E13" w:rsidRPr="00D74E8E">
        <w:rPr>
          <w:rFonts w:ascii="Calibri" w:hAnsi="Calibri"/>
          <w:sz w:val="24"/>
          <w:szCs w:val="24"/>
        </w:rPr>
        <w:t>:</w:t>
      </w:r>
    </w:p>
    <w:p w14:paraId="3D0CB32F" w14:textId="647B2A65" w:rsidR="000861F0" w:rsidRPr="00D74E8E" w:rsidRDefault="00624815" w:rsidP="004B49F4">
      <w:pPr>
        <w:rPr>
          <w:rFonts w:ascii="Calibri" w:hAnsi="Calibri"/>
          <w:sz w:val="24"/>
          <w:szCs w:val="24"/>
          <w:u w:val="single"/>
        </w:rPr>
      </w:pPr>
      <w:r w:rsidRPr="00D74E8E">
        <w:rPr>
          <w:rFonts w:ascii="Calibri" w:hAnsi="Calibri"/>
          <w:sz w:val="24"/>
          <w:szCs w:val="24"/>
          <w:u w:val="single"/>
        </w:rPr>
        <w:t>2014</w:t>
      </w:r>
      <w:r w:rsidR="00B610E2" w:rsidRPr="00D74E8E">
        <w:rPr>
          <w:rFonts w:ascii="Calibri" w:hAnsi="Calibri"/>
          <w:sz w:val="24"/>
          <w:szCs w:val="24"/>
          <w:u w:val="single"/>
        </w:rPr>
        <w:t xml:space="preserve"> (Year 1)</w:t>
      </w:r>
      <w:r w:rsidRPr="00D74E8E">
        <w:rPr>
          <w:rFonts w:ascii="Calibri" w:hAnsi="Calibri"/>
          <w:sz w:val="24"/>
          <w:szCs w:val="24"/>
          <w:u w:val="single"/>
        </w:rPr>
        <w:t>:</w:t>
      </w:r>
    </w:p>
    <w:p w14:paraId="1FEEB8A6" w14:textId="0F8BB693" w:rsidR="009B0122" w:rsidRPr="00D74E8E" w:rsidRDefault="0086645D" w:rsidP="00F035F5">
      <w:pPr>
        <w:pStyle w:val="ListParagraph"/>
        <w:numPr>
          <w:ilvl w:val="0"/>
          <w:numId w:val="22"/>
        </w:numPr>
        <w:autoSpaceDE w:val="0"/>
        <w:autoSpaceDN w:val="0"/>
        <w:adjustRightInd w:val="0"/>
        <w:spacing w:line="276" w:lineRule="auto"/>
        <w:contextualSpacing w:val="0"/>
        <w:rPr>
          <w:rFonts w:ascii="Calibri" w:hAnsi="Calibri" w:cs="Calibri"/>
          <w:sz w:val="24"/>
          <w:szCs w:val="24"/>
        </w:rPr>
      </w:pPr>
      <w:r w:rsidRPr="00D74E8E">
        <w:rPr>
          <w:rFonts w:ascii="Calibri" w:hAnsi="Calibri"/>
          <w:sz w:val="24"/>
          <w:szCs w:val="24"/>
        </w:rPr>
        <w:t>JT Lewis Site Investigation/Epi-Aid with ATSDR, EPA, and Philadelphia Department of Health</w:t>
      </w:r>
      <w:r w:rsidR="001B3EC2" w:rsidRPr="00D74E8E">
        <w:rPr>
          <w:rFonts w:ascii="Calibri" w:hAnsi="Calibri"/>
          <w:sz w:val="24"/>
          <w:szCs w:val="24"/>
        </w:rPr>
        <w:t xml:space="preserve"> </w:t>
      </w:r>
      <w:r w:rsidRPr="00D74E8E">
        <w:rPr>
          <w:rFonts w:ascii="Calibri" w:hAnsi="Calibri"/>
          <w:sz w:val="24"/>
          <w:szCs w:val="24"/>
        </w:rPr>
        <w:t>(</w:t>
      </w:r>
      <w:r w:rsidRPr="00D74E8E">
        <w:rPr>
          <w:rFonts w:ascii="Calibri" w:hAnsi="Calibri" w:cs="Arial"/>
          <w:sz w:val="24"/>
          <w:szCs w:val="24"/>
        </w:rPr>
        <w:t xml:space="preserve">Emergency Epidemic Investigations; </w:t>
      </w:r>
      <w:r w:rsidRPr="00D74E8E">
        <w:rPr>
          <w:rFonts w:ascii="Calibri" w:hAnsi="Calibri"/>
          <w:sz w:val="24"/>
          <w:szCs w:val="24"/>
        </w:rPr>
        <w:t>OMB Control No. 0920-0008; expiration date 07/31/2014)</w:t>
      </w:r>
      <w:r w:rsidR="00F80125" w:rsidRPr="00D74E8E">
        <w:rPr>
          <w:rFonts w:ascii="Calibri" w:hAnsi="Calibri"/>
          <w:sz w:val="24"/>
          <w:szCs w:val="24"/>
        </w:rPr>
        <w:t>.</w:t>
      </w:r>
    </w:p>
    <w:p w14:paraId="289DDA96" w14:textId="77777777" w:rsidR="00060DB4" w:rsidRPr="00D74E8E" w:rsidRDefault="00060DB4" w:rsidP="00F035F5">
      <w:pPr>
        <w:autoSpaceDE w:val="0"/>
        <w:autoSpaceDN w:val="0"/>
        <w:adjustRightInd w:val="0"/>
        <w:spacing w:before="240" w:line="276" w:lineRule="auto"/>
        <w:rPr>
          <w:rFonts w:ascii="Calibri" w:hAnsi="Calibri" w:cs="Calibri"/>
          <w:sz w:val="24"/>
          <w:szCs w:val="24"/>
        </w:rPr>
      </w:pPr>
      <w:r w:rsidRPr="00D74E8E">
        <w:rPr>
          <w:rFonts w:ascii="Calibri" w:hAnsi="Calibri" w:cs="Calibri"/>
          <w:sz w:val="24"/>
          <w:szCs w:val="24"/>
        </w:rPr>
        <w:t>Awardee Activities:</w:t>
      </w:r>
    </w:p>
    <w:p w14:paraId="606F5D10" w14:textId="1A98E26E" w:rsidR="000B61CD" w:rsidRPr="00D74E8E" w:rsidRDefault="00060DB4" w:rsidP="00F035F5">
      <w:pPr>
        <w:pStyle w:val="ListParagraph"/>
        <w:numPr>
          <w:ilvl w:val="0"/>
          <w:numId w:val="23"/>
        </w:numPr>
        <w:autoSpaceDE w:val="0"/>
        <w:autoSpaceDN w:val="0"/>
        <w:adjustRightInd w:val="0"/>
        <w:spacing w:before="240" w:line="276" w:lineRule="auto"/>
        <w:contextualSpacing w:val="0"/>
        <w:rPr>
          <w:rFonts w:ascii="Calibri" w:hAnsi="Calibri"/>
          <w:sz w:val="24"/>
          <w:szCs w:val="24"/>
          <w:u w:val="single"/>
        </w:rPr>
      </w:pPr>
      <w:r w:rsidRPr="00D74E8E">
        <w:rPr>
          <w:rFonts w:ascii="Calibri" w:hAnsi="Calibri" w:cs="Calibri"/>
          <w:sz w:val="24"/>
          <w:szCs w:val="24"/>
        </w:rPr>
        <w:t>New York City identified lead hazards related to Bo Ying Compound, which is marketed for treatment of ailments in infants and children. The City reported its finding to the Foo</w:t>
      </w:r>
      <w:r w:rsidR="00966BF6" w:rsidRPr="00D74E8E">
        <w:rPr>
          <w:rFonts w:ascii="Calibri" w:hAnsi="Calibri" w:cs="Calibri"/>
          <w:sz w:val="24"/>
          <w:szCs w:val="24"/>
        </w:rPr>
        <w:t xml:space="preserve">d and Drug Administration (FDA). See </w:t>
      </w:r>
      <w:r w:rsidR="00F069B0" w:rsidRPr="00D74E8E">
        <w:rPr>
          <w:rFonts w:ascii="Calibri" w:hAnsi="Calibri" w:cs="Calibri"/>
          <w:sz w:val="24"/>
          <w:szCs w:val="24"/>
        </w:rPr>
        <w:t xml:space="preserve">Public Safety Alert at </w:t>
      </w:r>
      <w:hyperlink r:id="rId13" w:history="1">
        <w:r w:rsidR="000B61CD" w:rsidRPr="00D74E8E">
          <w:rPr>
            <w:rStyle w:val="Hyperlink"/>
            <w:rFonts w:ascii="Calibri" w:hAnsi="Calibri"/>
            <w:color w:val="auto"/>
            <w:sz w:val="24"/>
            <w:szCs w:val="24"/>
          </w:rPr>
          <w:t>http://www.fda.gov/Safety/MedWatch/SafetyInformation/SafetyAlertsforHumanMedicalProducts/ucm416441.htm</w:t>
        </w:r>
      </w:hyperlink>
    </w:p>
    <w:p w14:paraId="38D47CA1" w14:textId="29E9EAFD" w:rsidR="000861F0" w:rsidRPr="00D74E8E" w:rsidRDefault="000861F0" w:rsidP="00F035F5">
      <w:pPr>
        <w:autoSpaceDE w:val="0"/>
        <w:autoSpaceDN w:val="0"/>
        <w:adjustRightInd w:val="0"/>
        <w:spacing w:before="360" w:line="276" w:lineRule="auto"/>
        <w:rPr>
          <w:rFonts w:ascii="Calibri" w:hAnsi="Calibri" w:cs="Calibri"/>
          <w:sz w:val="24"/>
          <w:szCs w:val="24"/>
        </w:rPr>
      </w:pPr>
      <w:r w:rsidRPr="00D74E8E">
        <w:rPr>
          <w:rFonts w:ascii="Calibri" w:hAnsi="Calibri"/>
          <w:sz w:val="24"/>
          <w:szCs w:val="24"/>
          <w:u w:val="single"/>
        </w:rPr>
        <w:t>2015 (Year 2):</w:t>
      </w:r>
    </w:p>
    <w:p w14:paraId="734F4501" w14:textId="210743B4" w:rsidR="000861F0" w:rsidRPr="00D74E8E" w:rsidRDefault="000861F0" w:rsidP="00F035F5">
      <w:pPr>
        <w:pStyle w:val="ListParagraph"/>
        <w:numPr>
          <w:ilvl w:val="0"/>
          <w:numId w:val="23"/>
        </w:numPr>
        <w:autoSpaceDE w:val="0"/>
        <w:autoSpaceDN w:val="0"/>
        <w:adjustRightInd w:val="0"/>
        <w:spacing w:line="276" w:lineRule="auto"/>
        <w:ind w:right="667"/>
        <w:contextualSpacing w:val="0"/>
        <w:rPr>
          <w:rFonts w:ascii="Calibri" w:hAnsi="Calibri" w:cs="Calibri"/>
          <w:sz w:val="24"/>
          <w:szCs w:val="24"/>
        </w:rPr>
      </w:pPr>
      <w:r w:rsidRPr="00D74E8E">
        <w:rPr>
          <w:rFonts w:ascii="Calibri" w:hAnsi="Calibri" w:cs="Calibri"/>
          <w:sz w:val="24"/>
          <w:szCs w:val="24"/>
        </w:rPr>
        <w:t xml:space="preserve">HHLPPP completed </w:t>
      </w:r>
      <w:r w:rsidR="00C93E5A" w:rsidRPr="00D74E8E">
        <w:rPr>
          <w:rFonts w:ascii="Calibri" w:hAnsi="Calibri" w:cs="Calibri"/>
          <w:sz w:val="24"/>
          <w:szCs w:val="24"/>
        </w:rPr>
        <w:t xml:space="preserve">data analysis for </w:t>
      </w:r>
      <w:r w:rsidRPr="00D74E8E">
        <w:rPr>
          <w:rFonts w:ascii="Calibri" w:hAnsi="Calibri" w:cs="Calibri"/>
          <w:sz w:val="24"/>
          <w:szCs w:val="24"/>
        </w:rPr>
        <w:t xml:space="preserve">the JT Lewis </w:t>
      </w:r>
      <w:r w:rsidR="004112B1" w:rsidRPr="00D74E8E">
        <w:rPr>
          <w:rFonts w:ascii="Calibri" w:hAnsi="Calibri" w:cs="Calibri"/>
          <w:sz w:val="24"/>
          <w:szCs w:val="24"/>
        </w:rPr>
        <w:t xml:space="preserve">Site Investigation/Epi-Aid </w:t>
      </w:r>
      <w:r w:rsidRPr="00D74E8E">
        <w:rPr>
          <w:rFonts w:ascii="Calibri" w:hAnsi="Calibri" w:cs="Calibri"/>
          <w:sz w:val="24"/>
          <w:szCs w:val="24"/>
        </w:rPr>
        <w:t xml:space="preserve">in conjunction with </w:t>
      </w:r>
      <w:r w:rsidR="000944F8" w:rsidRPr="00D74E8E">
        <w:rPr>
          <w:rFonts w:ascii="Calibri" w:hAnsi="Calibri" w:cs="Calibri"/>
          <w:sz w:val="24"/>
          <w:szCs w:val="24"/>
        </w:rPr>
        <w:t>the US Environmental Protection Agency (</w:t>
      </w:r>
      <w:r w:rsidRPr="00D74E8E">
        <w:rPr>
          <w:rFonts w:ascii="Calibri" w:hAnsi="Calibri" w:cs="Calibri"/>
          <w:sz w:val="24"/>
          <w:szCs w:val="24"/>
        </w:rPr>
        <w:t>EPA</w:t>
      </w:r>
      <w:r w:rsidR="000944F8" w:rsidRPr="00D74E8E">
        <w:rPr>
          <w:rFonts w:ascii="Calibri" w:hAnsi="Calibri" w:cs="Calibri"/>
          <w:sz w:val="24"/>
          <w:szCs w:val="24"/>
        </w:rPr>
        <w:t>)</w:t>
      </w:r>
      <w:r w:rsidRPr="00D74E8E">
        <w:rPr>
          <w:rFonts w:ascii="Calibri" w:hAnsi="Calibri" w:cs="Calibri"/>
          <w:sz w:val="24"/>
          <w:szCs w:val="24"/>
        </w:rPr>
        <w:t xml:space="preserve"> and the Philadelphia Health Department. The final report is in development.</w:t>
      </w:r>
    </w:p>
    <w:p w14:paraId="7D82A5C1" w14:textId="12388EAB" w:rsidR="000861F0" w:rsidRPr="00D74E8E" w:rsidRDefault="000861F0" w:rsidP="00F035F5">
      <w:pPr>
        <w:autoSpaceDE w:val="0"/>
        <w:autoSpaceDN w:val="0"/>
        <w:adjustRightInd w:val="0"/>
        <w:spacing w:line="276" w:lineRule="auto"/>
        <w:rPr>
          <w:rFonts w:ascii="Calibri" w:hAnsi="Calibri" w:cs="Calibri"/>
          <w:sz w:val="24"/>
          <w:szCs w:val="24"/>
        </w:rPr>
      </w:pPr>
      <w:r w:rsidRPr="00D74E8E">
        <w:rPr>
          <w:rFonts w:ascii="Calibri" w:hAnsi="Calibri" w:cs="Calibri"/>
          <w:sz w:val="24"/>
          <w:szCs w:val="24"/>
        </w:rPr>
        <w:t>Awardee Activities:</w:t>
      </w:r>
    </w:p>
    <w:p w14:paraId="7C82DE49" w14:textId="1BA7C6FC" w:rsidR="000861F0" w:rsidRPr="00D74E8E" w:rsidRDefault="00B73002" w:rsidP="00F035F5">
      <w:pPr>
        <w:pStyle w:val="ListParagraph"/>
        <w:numPr>
          <w:ilvl w:val="0"/>
          <w:numId w:val="20"/>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Rhode Island</w:t>
      </w:r>
      <w:r w:rsidR="00090D69" w:rsidRPr="00D74E8E">
        <w:rPr>
          <w:rFonts w:ascii="Calibri" w:hAnsi="Calibri" w:cs="Calibri"/>
          <w:sz w:val="24"/>
          <w:szCs w:val="24"/>
        </w:rPr>
        <w:t>:</w:t>
      </w:r>
      <w:r w:rsidRPr="00D74E8E">
        <w:rPr>
          <w:rFonts w:ascii="Calibri" w:hAnsi="Calibri" w:cs="Calibri"/>
          <w:sz w:val="24"/>
          <w:szCs w:val="24"/>
        </w:rPr>
        <w:t xml:space="preserve"> used the cooperative agreement to create reports for all schools in the state showing screening rates in all schools.</w:t>
      </w:r>
    </w:p>
    <w:p w14:paraId="46C79A33" w14:textId="1CB0E6CC" w:rsidR="00B2234C" w:rsidRPr="00D74E8E" w:rsidRDefault="00B73002" w:rsidP="00F035F5">
      <w:pPr>
        <w:pStyle w:val="ListParagraph"/>
        <w:numPr>
          <w:ilvl w:val="0"/>
          <w:numId w:val="20"/>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New York City</w:t>
      </w:r>
      <w:r w:rsidR="00090D69" w:rsidRPr="00D74E8E">
        <w:rPr>
          <w:rFonts w:ascii="Calibri" w:hAnsi="Calibri" w:cs="Calibri"/>
          <w:sz w:val="24"/>
          <w:szCs w:val="24"/>
        </w:rPr>
        <w:t>:</w:t>
      </w:r>
      <w:r w:rsidRPr="00D74E8E">
        <w:rPr>
          <w:rFonts w:ascii="Calibri" w:hAnsi="Calibri" w:cs="Calibri"/>
          <w:sz w:val="24"/>
          <w:szCs w:val="24"/>
        </w:rPr>
        <w:t xml:space="preserve"> created and shared a poster for the Chinese community on Bo Ying Compound. The compound, marketed for treatment of ailments in infants and children, may contain excessive levels of lead. The poster has been distributed throughout the Chinese communities in New York City and Washington State, supporting lead poisoning prevention efforts and showing collaborative effort from the cooperative agreement. </w:t>
      </w:r>
    </w:p>
    <w:p w14:paraId="283921E8" w14:textId="40B921E1" w:rsidR="00090D69" w:rsidRPr="00D74E8E" w:rsidRDefault="00090D69" w:rsidP="00F035F5">
      <w:pPr>
        <w:pStyle w:val="ListParagraph"/>
        <w:numPr>
          <w:ilvl w:val="0"/>
          <w:numId w:val="20"/>
        </w:numPr>
        <w:spacing w:line="276" w:lineRule="auto"/>
        <w:contextualSpacing w:val="0"/>
        <w:rPr>
          <w:rFonts w:ascii="Calibri" w:hAnsi="Calibri" w:cs="Calibri"/>
          <w:sz w:val="24"/>
          <w:szCs w:val="24"/>
        </w:rPr>
      </w:pPr>
      <w:r w:rsidRPr="00D74E8E">
        <w:rPr>
          <w:rFonts w:ascii="Calibri" w:hAnsi="Calibri" w:cs="Calibri"/>
          <w:sz w:val="24"/>
          <w:szCs w:val="24"/>
        </w:rPr>
        <w:t>New Jersey: The program identified the need for a recovery project that increased residents’ knowledge of the connections between health and housing; ensured a competent health, social services, and housing professional workforce that is knowledgeable on the health impacts of housing conditions; and increased access to blood lead screenings for high-risk residents. The NJ Healthy Homes Training Center (HHTC), a public/private partnership between NJ DOH and Isles, Inc</w:t>
      </w:r>
      <w:r w:rsidR="006C40A7">
        <w:rPr>
          <w:rFonts w:ascii="Calibri" w:hAnsi="Calibri" w:cs="Calibri"/>
          <w:sz w:val="24"/>
          <w:szCs w:val="24"/>
        </w:rPr>
        <w:t>.</w:t>
      </w:r>
      <w:r w:rsidRPr="00D74E8E">
        <w:rPr>
          <w:rFonts w:ascii="Calibri" w:hAnsi="Calibri" w:cs="Calibri"/>
          <w:sz w:val="24"/>
          <w:szCs w:val="24"/>
        </w:rPr>
        <w:t xml:space="preserve">, a Trenton-based non-profit community development agency, developed a one-hour public education presentation “Creating a Healthy Home after a Hurricane or Flood” Local health departments conducted targeted screening using the LeadCare II blood lead analyzer. Statewide, in SFY2014, 2.9% of children less than 17 years of age had a blood lead level 5 µg/dL or greater. The recovery project identified a rate of 7.2% (95% confidence interval). </w:t>
      </w:r>
    </w:p>
    <w:p w14:paraId="180C277A" w14:textId="225C6BB8" w:rsidR="00090D69" w:rsidRPr="00D74E8E" w:rsidRDefault="00090D69" w:rsidP="00F035F5">
      <w:pPr>
        <w:pStyle w:val="ListParagraph"/>
        <w:numPr>
          <w:ilvl w:val="0"/>
          <w:numId w:val="20"/>
        </w:numPr>
        <w:spacing w:line="276" w:lineRule="auto"/>
        <w:contextualSpacing w:val="0"/>
        <w:rPr>
          <w:rFonts w:ascii="Calibri" w:hAnsi="Calibri" w:cs="Calibri"/>
          <w:sz w:val="24"/>
          <w:szCs w:val="24"/>
        </w:rPr>
      </w:pPr>
      <w:r w:rsidRPr="00D74E8E">
        <w:rPr>
          <w:rFonts w:ascii="Calibri" w:hAnsi="Calibri" w:cs="Calibri"/>
          <w:sz w:val="24"/>
          <w:szCs w:val="24"/>
        </w:rPr>
        <w:t xml:space="preserve">Oklahoma: </w:t>
      </w:r>
      <w:r w:rsidR="00DE1C08">
        <w:rPr>
          <w:rFonts w:ascii="Calibri" w:hAnsi="Calibri" w:cs="Calibri"/>
          <w:sz w:val="24"/>
          <w:szCs w:val="24"/>
        </w:rPr>
        <w:t xml:space="preserve">The </w:t>
      </w:r>
      <w:r w:rsidR="009F0E31">
        <w:rPr>
          <w:rFonts w:ascii="Calibri" w:hAnsi="Calibri" w:cs="Calibri"/>
          <w:sz w:val="24"/>
          <w:szCs w:val="24"/>
        </w:rPr>
        <w:t>Oklahoma Childhood Lead Poisoning Prevention Program (</w:t>
      </w:r>
      <w:r w:rsidRPr="00D74E8E">
        <w:rPr>
          <w:rFonts w:ascii="Calibri" w:hAnsi="Calibri" w:cs="Calibri"/>
          <w:sz w:val="24"/>
          <w:szCs w:val="24"/>
        </w:rPr>
        <w:t>OCLPPP</w:t>
      </w:r>
      <w:r w:rsidR="009F0E31">
        <w:rPr>
          <w:rFonts w:ascii="Calibri" w:hAnsi="Calibri" w:cs="Calibri"/>
          <w:sz w:val="24"/>
          <w:szCs w:val="24"/>
        </w:rPr>
        <w:t>)</w:t>
      </w:r>
      <w:r w:rsidRPr="00D74E8E">
        <w:rPr>
          <w:rFonts w:ascii="Calibri" w:hAnsi="Calibri" w:cs="Calibri"/>
          <w:sz w:val="24"/>
          <w:szCs w:val="24"/>
        </w:rPr>
        <w:t xml:space="preserve"> has had two meetings with the Oklahoma Health Care Authority (OHCA) to discuss a data sharing agreement to obtain a waiver of universal lead screening of all Medicaid children and focus on targeted screening for children who live in </w:t>
      </w:r>
      <w:r w:rsidR="005E0A7B" w:rsidRPr="00D74E8E">
        <w:rPr>
          <w:rFonts w:ascii="Calibri" w:hAnsi="Calibri" w:cs="Calibri"/>
          <w:sz w:val="24"/>
          <w:szCs w:val="24"/>
        </w:rPr>
        <w:t>high-risk</w:t>
      </w:r>
      <w:r w:rsidRPr="00D74E8E">
        <w:rPr>
          <w:rFonts w:ascii="Calibri" w:hAnsi="Calibri" w:cs="Calibri"/>
          <w:sz w:val="24"/>
          <w:szCs w:val="24"/>
        </w:rPr>
        <w:t xml:space="preserve"> areas.  The purpose is to compare the rates of children being screened on Medicaid versus those not on Medicaid. This can be compared to national screening levels of children on Medicaid and also to determine if there are areas in the state that have very low screening rates.  These areas can be targeted to increase screening and ensure that decisions made on low risk and </w:t>
      </w:r>
      <w:r w:rsidR="005E0A7B" w:rsidRPr="00D74E8E">
        <w:rPr>
          <w:rFonts w:ascii="Calibri" w:hAnsi="Calibri" w:cs="Calibri"/>
          <w:sz w:val="24"/>
          <w:szCs w:val="24"/>
        </w:rPr>
        <w:t>high-risk</w:t>
      </w:r>
      <w:r w:rsidRPr="00D74E8E">
        <w:rPr>
          <w:rFonts w:ascii="Calibri" w:hAnsi="Calibri" w:cs="Calibri"/>
          <w:sz w:val="24"/>
          <w:szCs w:val="24"/>
        </w:rPr>
        <w:t xml:space="preserve"> areas are data-driven.  This will also allow OCLPPP to explore option for billing for services such as environmental investigations for children covered by Medicaid. </w:t>
      </w:r>
    </w:p>
    <w:p w14:paraId="2553297F" w14:textId="6ACC5551" w:rsidR="00090D69" w:rsidRPr="00D74E8E" w:rsidRDefault="00F035F5" w:rsidP="00F035F5">
      <w:pPr>
        <w:pStyle w:val="ListParagraph"/>
        <w:numPr>
          <w:ilvl w:val="0"/>
          <w:numId w:val="20"/>
        </w:numPr>
        <w:spacing w:line="276" w:lineRule="auto"/>
        <w:contextualSpacing w:val="0"/>
        <w:rPr>
          <w:rFonts w:ascii="Calibri" w:hAnsi="Calibri" w:cs="Calibri"/>
          <w:sz w:val="24"/>
          <w:szCs w:val="24"/>
        </w:rPr>
      </w:pPr>
      <w:r w:rsidRPr="00D74E8E">
        <w:rPr>
          <w:rFonts w:ascii="Calibri" w:hAnsi="Calibri" w:cs="Calibri"/>
          <w:sz w:val="24"/>
          <w:szCs w:val="24"/>
        </w:rPr>
        <w:t>Wisconsin-Minnesota</w:t>
      </w:r>
      <w:r w:rsidR="00090D69" w:rsidRPr="00D74E8E">
        <w:rPr>
          <w:rFonts w:ascii="Calibri" w:hAnsi="Calibri" w:cs="Calibri"/>
          <w:sz w:val="24"/>
          <w:szCs w:val="24"/>
        </w:rPr>
        <w:t>: Fraser Shipyard Lead Investigation Plan</w:t>
      </w:r>
    </w:p>
    <w:p w14:paraId="66B4544D" w14:textId="730BA97E" w:rsidR="00090D69" w:rsidRPr="00D74E8E" w:rsidRDefault="00090D69" w:rsidP="00F035F5">
      <w:pPr>
        <w:spacing w:line="276" w:lineRule="auto"/>
        <w:ind w:left="720"/>
        <w:rPr>
          <w:rFonts w:ascii="Calibri" w:hAnsi="Calibri" w:cs="Calibri"/>
          <w:sz w:val="24"/>
          <w:szCs w:val="24"/>
        </w:rPr>
      </w:pPr>
      <w:r w:rsidRPr="00D74E8E">
        <w:rPr>
          <w:rFonts w:ascii="Calibri" w:hAnsi="Calibri" w:cs="Calibri"/>
          <w:sz w:val="24"/>
          <w:szCs w:val="24"/>
        </w:rPr>
        <w:t xml:space="preserve">Renovations in early 2015 at the Fraser Shipyard on the Wisconsin-Minnesota border resulted in elevated blood lead levels (EBLLs) in three employees working on the project. The investigation and response resulted in a large-scale collaboration between the Minnesota Department of Health (MDH), the Wisconsin Department of Health Services (WI DHS), OSHA, and Wisconsin Local Public Health Agencies (LPHAs). The collaboration took a three-pronged approach to the situation: a survey to assess the worksite and take home risk of lead exposure and lead exposure related symptoms; blood-lead sampling by health departments in both states to track blood lead levels of workers and their families; and environmental sampling by a certified professional for residences and vehicles from confirmed cases. Of the 357 workers who were potentially exposed to lead hazards at the shipyard, 233 had at least one blood lead screening. Worker protection and medical monitoring has increased due to this incident, and policies and procedures have also been reevaluated in light of the challenges faced throughout this event. </w:t>
      </w:r>
    </w:p>
    <w:p w14:paraId="4B312151" w14:textId="258632B2" w:rsidR="00213C41" w:rsidRPr="00D74E8E" w:rsidRDefault="00213C41" w:rsidP="00F035F5">
      <w:pPr>
        <w:autoSpaceDE w:val="0"/>
        <w:autoSpaceDN w:val="0"/>
        <w:adjustRightInd w:val="0"/>
        <w:spacing w:before="360" w:line="276" w:lineRule="auto"/>
        <w:rPr>
          <w:rFonts w:ascii="Calibri" w:hAnsi="Calibri"/>
          <w:sz w:val="24"/>
          <w:szCs w:val="24"/>
          <w:u w:val="single"/>
        </w:rPr>
      </w:pPr>
      <w:r w:rsidRPr="00D74E8E">
        <w:rPr>
          <w:rFonts w:ascii="Calibri" w:hAnsi="Calibri"/>
          <w:sz w:val="24"/>
          <w:szCs w:val="24"/>
          <w:u w:val="single"/>
        </w:rPr>
        <w:t>2016 (Year 3):</w:t>
      </w:r>
    </w:p>
    <w:p w14:paraId="32BB8D93" w14:textId="0D55CBD4" w:rsidR="002E5B21" w:rsidRPr="00D74E8E" w:rsidRDefault="007D1977" w:rsidP="00F035F5">
      <w:pPr>
        <w:pStyle w:val="ListParagraph"/>
        <w:numPr>
          <w:ilvl w:val="0"/>
          <w:numId w:val="25"/>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The HHLPPP s</w:t>
      </w:r>
      <w:r w:rsidR="00FD07A6" w:rsidRPr="00D74E8E">
        <w:rPr>
          <w:rFonts w:ascii="Calibri" w:hAnsi="Calibri" w:cs="Calibri"/>
          <w:sz w:val="24"/>
          <w:szCs w:val="24"/>
        </w:rPr>
        <w:t xml:space="preserve">upported CDC’s response to the lead contamination of drinking water in Flint, Michigan, including </w:t>
      </w:r>
      <w:r w:rsidR="002E5B21" w:rsidRPr="00D74E8E">
        <w:rPr>
          <w:rFonts w:ascii="Calibri" w:hAnsi="Calibri" w:cs="Calibri"/>
          <w:sz w:val="24"/>
          <w:szCs w:val="24"/>
        </w:rPr>
        <w:t>Emergency Operations Center (</w:t>
      </w:r>
      <w:r w:rsidR="00FD07A6" w:rsidRPr="00D74E8E">
        <w:rPr>
          <w:rFonts w:ascii="Calibri" w:hAnsi="Calibri" w:cs="Calibri"/>
          <w:sz w:val="24"/>
          <w:szCs w:val="24"/>
        </w:rPr>
        <w:t>EOC</w:t>
      </w:r>
      <w:r w:rsidR="002E5B21" w:rsidRPr="00D74E8E">
        <w:rPr>
          <w:rFonts w:ascii="Calibri" w:hAnsi="Calibri" w:cs="Calibri"/>
          <w:sz w:val="24"/>
          <w:szCs w:val="24"/>
        </w:rPr>
        <w:t>)</w:t>
      </w:r>
      <w:r w:rsidR="00FD07A6" w:rsidRPr="00D74E8E">
        <w:rPr>
          <w:rFonts w:ascii="Calibri" w:hAnsi="Calibri" w:cs="Calibri"/>
          <w:sz w:val="24"/>
          <w:szCs w:val="24"/>
        </w:rPr>
        <w:t xml:space="preserve"> activation,</w:t>
      </w:r>
      <w:r w:rsidR="002E5B21" w:rsidRPr="00D74E8E">
        <w:rPr>
          <w:rFonts w:ascii="Calibri" w:hAnsi="Calibri" w:cs="Calibri"/>
          <w:sz w:val="24"/>
          <w:szCs w:val="24"/>
        </w:rPr>
        <w:t xml:space="preserve"> data management, and community outreach.</w:t>
      </w:r>
    </w:p>
    <w:p w14:paraId="131FAB11" w14:textId="6A4D34B0" w:rsidR="002E5B21" w:rsidRPr="00D74E8E" w:rsidRDefault="00FD07A6" w:rsidP="00F035F5">
      <w:pPr>
        <w:pStyle w:val="ListParagraph"/>
        <w:numPr>
          <w:ilvl w:val="1"/>
          <w:numId w:val="25"/>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 xml:space="preserve">Assisted Flint in response to the water contamination crisis with monitoring </w:t>
      </w:r>
      <w:r w:rsidR="00775B05" w:rsidRPr="00D74E8E">
        <w:rPr>
          <w:rFonts w:ascii="Calibri" w:hAnsi="Calibri" w:cs="Calibri"/>
          <w:sz w:val="24"/>
          <w:szCs w:val="24"/>
        </w:rPr>
        <w:t>BLL</w:t>
      </w:r>
      <w:r w:rsidRPr="00D74E8E">
        <w:rPr>
          <w:rFonts w:ascii="Calibri" w:hAnsi="Calibri" w:cs="Calibri"/>
          <w:sz w:val="24"/>
          <w:szCs w:val="24"/>
        </w:rPr>
        <w:t xml:space="preserve">s in more than 50% of the community’s children under 6 years of age, connecting more than 90% of children with elevated </w:t>
      </w:r>
      <w:r w:rsidR="00775B05" w:rsidRPr="00D74E8E">
        <w:rPr>
          <w:rFonts w:ascii="Calibri" w:hAnsi="Calibri" w:cs="Calibri"/>
          <w:sz w:val="24"/>
          <w:szCs w:val="24"/>
        </w:rPr>
        <w:t>BLL</w:t>
      </w:r>
      <w:r w:rsidRPr="00D74E8E">
        <w:rPr>
          <w:rFonts w:ascii="Calibri" w:hAnsi="Calibri" w:cs="Calibri"/>
          <w:sz w:val="24"/>
          <w:szCs w:val="24"/>
        </w:rPr>
        <w:t>s to case management.</w:t>
      </w:r>
    </w:p>
    <w:p w14:paraId="26C17EAA" w14:textId="08BBEB75" w:rsidR="002E5B21" w:rsidRPr="00D74E8E" w:rsidRDefault="00FD07A6" w:rsidP="00F035F5">
      <w:pPr>
        <w:pStyle w:val="ListParagraph"/>
        <w:numPr>
          <w:ilvl w:val="1"/>
          <w:numId w:val="25"/>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 xml:space="preserve">Created an activity book to offer parents an interactive way to talk to their kids about lead in water. </w:t>
      </w:r>
    </w:p>
    <w:p w14:paraId="48FC5539" w14:textId="77777777" w:rsidR="002E5B21" w:rsidRPr="00D74E8E" w:rsidRDefault="00FD07A6" w:rsidP="00F035F5">
      <w:pPr>
        <w:pStyle w:val="ListParagraph"/>
        <w:numPr>
          <w:ilvl w:val="0"/>
          <w:numId w:val="25"/>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 xml:space="preserve">Collaborated with leadership from the NCEH Communications team for an innovation project related to a CDC lead poisoning prevention program redesign (as part of the HHS Ignite Accelerator program). </w:t>
      </w:r>
    </w:p>
    <w:p w14:paraId="5E5855BD" w14:textId="135E4639" w:rsidR="00FD07A6" w:rsidRPr="00D74E8E" w:rsidRDefault="00FD07A6" w:rsidP="00F035F5">
      <w:pPr>
        <w:pStyle w:val="ListParagraph"/>
        <w:numPr>
          <w:ilvl w:val="0"/>
          <w:numId w:val="25"/>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 xml:space="preserve">Provided data that supported the U.S. Department of Housing and Urban Development’s plan to ban smoking in public housing. </w:t>
      </w:r>
    </w:p>
    <w:p w14:paraId="1DC0A824" w14:textId="2DCE1717" w:rsidR="00F42841" w:rsidRPr="00D74E8E" w:rsidRDefault="00F42841" w:rsidP="00F035F5">
      <w:pPr>
        <w:pStyle w:val="ListParagraph"/>
        <w:numPr>
          <w:ilvl w:val="0"/>
          <w:numId w:val="25"/>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Raised awareness about lead poisoning during October’s National Lead Poisoning Prevention Week via the tri</w:t>
      </w:r>
      <w:r w:rsidR="007327B6" w:rsidRPr="00D74E8E">
        <w:rPr>
          <w:rFonts w:ascii="Calibri" w:hAnsi="Calibri" w:cs="Calibri"/>
          <w:sz w:val="24"/>
          <w:szCs w:val="24"/>
        </w:rPr>
        <w:t>-</w:t>
      </w:r>
      <w:r w:rsidRPr="00D74E8E">
        <w:rPr>
          <w:rFonts w:ascii="Calibri" w:hAnsi="Calibri" w:cs="Calibri"/>
          <w:sz w:val="24"/>
          <w:szCs w:val="24"/>
        </w:rPr>
        <w:t xml:space="preserve">agency toolkit with customizable resources for state and local governments and organizations to develop their own campaigns. </w:t>
      </w:r>
    </w:p>
    <w:p w14:paraId="47E9033F" w14:textId="5D641960" w:rsidR="004E2FD3" w:rsidRPr="00D74E8E" w:rsidRDefault="00F42841" w:rsidP="00F035F5">
      <w:pPr>
        <w:autoSpaceDE w:val="0"/>
        <w:autoSpaceDN w:val="0"/>
        <w:adjustRightInd w:val="0"/>
        <w:spacing w:line="276" w:lineRule="auto"/>
        <w:rPr>
          <w:rFonts w:ascii="Calibri" w:hAnsi="Calibri" w:cs="Calibri"/>
          <w:sz w:val="24"/>
          <w:szCs w:val="24"/>
        </w:rPr>
      </w:pPr>
      <w:r w:rsidRPr="00D74E8E">
        <w:rPr>
          <w:rFonts w:ascii="Calibri" w:hAnsi="Calibri" w:cs="Calibri"/>
          <w:sz w:val="24"/>
          <w:szCs w:val="24"/>
        </w:rPr>
        <w:t>Awardee Activities:</w:t>
      </w:r>
    </w:p>
    <w:p w14:paraId="64BE4E16" w14:textId="0E0FF9F6" w:rsidR="00FD07A6" w:rsidRPr="00D74E8E" w:rsidRDefault="003B3FD9" w:rsidP="003C77AA">
      <w:pPr>
        <w:pStyle w:val="ListParagraph"/>
        <w:numPr>
          <w:ilvl w:val="0"/>
          <w:numId w:val="26"/>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 xml:space="preserve">The </w:t>
      </w:r>
      <w:r w:rsidR="00FD07A6" w:rsidRPr="00D74E8E">
        <w:rPr>
          <w:rFonts w:ascii="Calibri" w:hAnsi="Calibri" w:cs="Calibri"/>
          <w:sz w:val="24"/>
          <w:szCs w:val="24"/>
        </w:rPr>
        <w:t>Distri</w:t>
      </w:r>
      <w:r w:rsidR="009C684B" w:rsidRPr="00D74E8E">
        <w:rPr>
          <w:rFonts w:ascii="Calibri" w:hAnsi="Calibri" w:cs="Calibri"/>
          <w:sz w:val="24"/>
          <w:szCs w:val="24"/>
        </w:rPr>
        <w:t>ct of Columbia program worked</w:t>
      </w:r>
      <w:r w:rsidR="00FD07A6" w:rsidRPr="00D74E8E">
        <w:rPr>
          <w:rFonts w:ascii="Calibri" w:hAnsi="Calibri" w:cs="Calibri"/>
          <w:sz w:val="24"/>
          <w:szCs w:val="24"/>
        </w:rPr>
        <w:t xml:space="preserve"> with the Centers for Medicaid and Medicare Services </w:t>
      </w:r>
      <w:r w:rsidR="00F42841" w:rsidRPr="00D74E8E">
        <w:rPr>
          <w:rFonts w:ascii="Calibri" w:hAnsi="Calibri" w:cs="Calibri"/>
          <w:sz w:val="24"/>
          <w:szCs w:val="24"/>
        </w:rPr>
        <w:t xml:space="preserve">(CMS) </w:t>
      </w:r>
      <w:r w:rsidR="00FD07A6" w:rsidRPr="00D74E8E">
        <w:rPr>
          <w:rFonts w:ascii="Calibri" w:hAnsi="Calibri" w:cs="Calibri"/>
          <w:sz w:val="24"/>
          <w:szCs w:val="24"/>
        </w:rPr>
        <w:t xml:space="preserve">and the College of American Pathologists </w:t>
      </w:r>
      <w:r w:rsidR="00F42841" w:rsidRPr="00D74E8E">
        <w:rPr>
          <w:rFonts w:ascii="Calibri" w:hAnsi="Calibri" w:cs="Calibri"/>
          <w:sz w:val="24"/>
          <w:szCs w:val="24"/>
        </w:rPr>
        <w:t xml:space="preserve">(CAP) </w:t>
      </w:r>
      <w:r w:rsidR="00FD07A6" w:rsidRPr="00D74E8E">
        <w:rPr>
          <w:rFonts w:ascii="Calibri" w:hAnsi="Calibri" w:cs="Calibri"/>
          <w:sz w:val="24"/>
          <w:szCs w:val="24"/>
        </w:rPr>
        <w:t xml:space="preserve">to have labs report blood sample type as a requirement for maintaining accreditation—this success contributes to more-accurate surveillance of pediatric </w:t>
      </w:r>
      <w:r w:rsidR="00775B05" w:rsidRPr="00D74E8E">
        <w:rPr>
          <w:rFonts w:ascii="Calibri" w:hAnsi="Calibri" w:cs="Calibri"/>
          <w:sz w:val="24"/>
          <w:szCs w:val="24"/>
        </w:rPr>
        <w:t>BLL</w:t>
      </w:r>
      <w:r w:rsidR="00FD07A6" w:rsidRPr="00D74E8E">
        <w:rPr>
          <w:rFonts w:ascii="Calibri" w:hAnsi="Calibri" w:cs="Calibri"/>
          <w:sz w:val="24"/>
          <w:szCs w:val="24"/>
        </w:rPr>
        <w:t xml:space="preserve">s nationwide, improving the knowledge of the true burden of lead poisoning. </w:t>
      </w:r>
    </w:p>
    <w:p w14:paraId="1B44ABA5" w14:textId="04ACE40A" w:rsidR="00090D69" w:rsidRPr="00D74E8E" w:rsidRDefault="00090D69" w:rsidP="003C77AA">
      <w:pPr>
        <w:pStyle w:val="ListParagraph"/>
        <w:widowControl w:val="0"/>
        <w:numPr>
          <w:ilvl w:val="0"/>
          <w:numId w:val="26"/>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New York City: In New York City, over 300,000 children under 6 years of age are tested annually.  Since 2010, the number of children with blood lead levels at or above the 5 micrograms per deciliter (µg/dL) has decreased from 13,000 children in 2010 to 6,000 children in 2014. The lead surveillance program used small-area analyses to identify neighborhoods with higher blood lead levels. Within one neighborhood with a high rate of lead poisoning, the vast majority of children with the highest blood lead levels resided in an area home to a large Hasidic Jewish community. The lead program collaborated with local political and religious leaders and worked with trusted community based organizations to increase awareness about childhood lead poisoning prevention and all information was translated into Yiddish.</w:t>
      </w:r>
    </w:p>
    <w:p w14:paraId="3AC1205B" w14:textId="2AFC92CC" w:rsidR="00090D69" w:rsidRPr="00D74E8E" w:rsidRDefault="00090D69" w:rsidP="003C77AA">
      <w:pPr>
        <w:pStyle w:val="ListParagraph"/>
        <w:widowControl w:val="0"/>
        <w:numPr>
          <w:ilvl w:val="0"/>
          <w:numId w:val="26"/>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 xml:space="preserve">Rhode Island: In 2011, four core cities in Rhode Island reported having three times the number of children with elevated blood lead levels ≥10 µg/dL compared to other Rhode Island cities and towns. An estimated 80% of Rhode Island homes were built before 1978 and likely contain lead-based paint </w:t>
      </w:r>
      <w:r w:rsidR="005E0A7B" w:rsidRPr="00D74E8E">
        <w:rPr>
          <w:rFonts w:ascii="Calibri" w:hAnsi="Calibri" w:cs="Calibri"/>
          <w:sz w:val="24"/>
          <w:szCs w:val="24"/>
        </w:rPr>
        <w:t>hazards, which</w:t>
      </w:r>
      <w:r w:rsidRPr="00D74E8E">
        <w:rPr>
          <w:rFonts w:ascii="Calibri" w:hAnsi="Calibri" w:cs="Calibri"/>
          <w:sz w:val="24"/>
          <w:szCs w:val="24"/>
        </w:rPr>
        <w:t xml:space="preserve"> can create lead dust hazards during renovations to these homes. Rhode Island implemented the US EPA’s 2010 Lead-Based Paint Renovation, Repair and Painting (RRP) Rule that requires workers to be certified and trained in the use of lead-safe work practices, and requires renovation, repair, and painting firms to be licensed by the department of health.  Following the first full year of the program, there were 225 fewer children in Rhode Island with elevated blood levels and 180 cases of RRP violations were prosecuted for failure to obtain lead-safe certificates for rental units.</w:t>
      </w:r>
    </w:p>
    <w:p w14:paraId="7858D6A5" w14:textId="382695FB" w:rsidR="00090D69" w:rsidRPr="00D74E8E" w:rsidRDefault="00090D69" w:rsidP="003C77AA">
      <w:pPr>
        <w:pStyle w:val="ListParagraph"/>
        <w:widowControl w:val="0"/>
        <w:numPr>
          <w:ilvl w:val="0"/>
          <w:numId w:val="26"/>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Louisiana: Louisiana state data demonstrated that some children attending Women and Infants Special Nutrition Projects (WIC clinics) do not receive routine health prevention services, and therefore are unlikely to receive blood lead testing at a medical clinic. The Louisiana lead program partnered with a New Orleans area WIC clinic to increase lead testing rates of children in Louisiana and to determine the percent of children tested during WIC clinic visits who had blood lead levels ≥5 µg/dL. By matching WIC client lists with surveillance data, the program demonstrated that WIC clinics are an efficient way to screen high-risk children who would not otherwise be tested. The program ensured blood lead testing for 1,395 children, 81% of whom had never had a previous test and has expanded to include WIC clinics in oth</w:t>
      </w:r>
      <w:r w:rsidR="00F035F5" w:rsidRPr="00D74E8E">
        <w:rPr>
          <w:rFonts w:ascii="Calibri" w:hAnsi="Calibri" w:cs="Calibri"/>
          <w:sz w:val="24"/>
          <w:szCs w:val="24"/>
        </w:rPr>
        <w:t>er high-risk areas of the state.</w:t>
      </w:r>
    </w:p>
    <w:p w14:paraId="501B0A03" w14:textId="56F73A51" w:rsidR="00090D69" w:rsidRPr="00D74E8E" w:rsidRDefault="00090D69" w:rsidP="003C77AA">
      <w:pPr>
        <w:pStyle w:val="ListParagraph"/>
        <w:widowControl w:val="0"/>
        <w:numPr>
          <w:ilvl w:val="0"/>
          <w:numId w:val="26"/>
        </w:numPr>
        <w:autoSpaceDE w:val="0"/>
        <w:autoSpaceDN w:val="0"/>
        <w:adjustRightInd w:val="0"/>
        <w:spacing w:line="276" w:lineRule="auto"/>
        <w:contextualSpacing w:val="0"/>
        <w:rPr>
          <w:rFonts w:ascii="Calibri" w:hAnsi="Calibri" w:cs="Calibri"/>
          <w:sz w:val="24"/>
          <w:szCs w:val="24"/>
        </w:rPr>
      </w:pPr>
      <w:r w:rsidRPr="00D74E8E">
        <w:rPr>
          <w:rFonts w:ascii="Calibri" w:hAnsi="Calibri" w:cs="Calibri"/>
          <w:sz w:val="24"/>
          <w:szCs w:val="24"/>
        </w:rPr>
        <w:t>Washington: The Washington State Lead Poisoning Prevention Program convened an expert panel to develop risk-based childhood lead screening recommendations for use by clinicians in the state.  The Program partnered with the Refugee Health Program to screen all refugee children between 6 months and 16 years of age as part of the refugee resettlement program. Over a three-year period from 2013 to 2016, they screened 3,275 children. Fourteen percent of the refugee children screened had elevated blood lead levels and 3% with blood lead levels greater than 10 µg/dL. These children were then able to be linked to appropriate follow-up services.</w:t>
      </w:r>
    </w:p>
    <w:p w14:paraId="39F2A8C0" w14:textId="2DCF329F" w:rsidR="00090D69" w:rsidRPr="00D74E8E" w:rsidRDefault="00090D69" w:rsidP="003C77AA">
      <w:pPr>
        <w:pStyle w:val="ListParagraph"/>
        <w:numPr>
          <w:ilvl w:val="0"/>
          <w:numId w:val="26"/>
        </w:numPr>
        <w:spacing w:line="276" w:lineRule="auto"/>
        <w:contextualSpacing w:val="0"/>
        <w:rPr>
          <w:rFonts w:ascii="Calibri" w:hAnsi="Calibri" w:cs="Calibri"/>
          <w:sz w:val="24"/>
          <w:szCs w:val="24"/>
        </w:rPr>
      </w:pPr>
      <w:r w:rsidRPr="00D74E8E">
        <w:rPr>
          <w:rFonts w:ascii="Calibri" w:hAnsi="Calibri" w:cs="Calibri"/>
          <w:sz w:val="24"/>
          <w:szCs w:val="24"/>
        </w:rPr>
        <w:t>Mississippi: The Mississippi Lead Poisoning Prevention and Healthy Homes Program used CDC cooperative agreement funds to partner with six communities identified as high-risk areas for lead poisoning: the City of Meridian, the City of Jackson, the City of Hattiesburg, the City of West Point, the City of Moss Point, and the City of Yazoo City. Between July 1 and December 31, 2015, city partners facilitated lead poisoning prevention and health homes trainings, planned and conducted healthy homes community planning meetings featuring focused discussion on childhood lead poisoning prevention, and distributed health education materials to residents. Through focused campaigns, the communities distributed 2,000 lead poisoning prevention educational materials featuring details about lead testing and identifying lead sources. The communities also distributed 900 lead poisoning prevention toolkits to resident families. Since 2010, Mississippi has experienced an 18% increase in children tested for lead.</w:t>
      </w:r>
    </w:p>
    <w:p w14:paraId="798813DE" w14:textId="24081A02" w:rsidR="00090D69" w:rsidRPr="00D74E8E" w:rsidRDefault="00090D69" w:rsidP="003C77AA">
      <w:pPr>
        <w:pStyle w:val="ListParagraph"/>
        <w:numPr>
          <w:ilvl w:val="0"/>
          <w:numId w:val="26"/>
        </w:numPr>
        <w:spacing w:line="276" w:lineRule="auto"/>
        <w:contextualSpacing w:val="0"/>
        <w:rPr>
          <w:rFonts w:ascii="Calibri" w:hAnsi="Calibri" w:cs="Calibri"/>
          <w:sz w:val="24"/>
          <w:szCs w:val="24"/>
        </w:rPr>
      </w:pPr>
      <w:r w:rsidRPr="00D74E8E">
        <w:rPr>
          <w:rFonts w:ascii="Calibri" w:hAnsi="Calibri" w:cs="Calibri"/>
          <w:sz w:val="24"/>
          <w:szCs w:val="24"/>
        </w:rPr>
        <w:t>Ohio: In Marion County, Ohio staff at the local health department have worked with the OHHLPPP epidemiologist to create customized maps for their area depicting the high risk census tracts. These maps are being used to create posters to display to the public at organized events.</w:t>
      </w:r>
    </w:p>
    <w:p w14:paraId="70BA2AB6" w14:textId="0B77CADF" w:rsidR="00090D69" w:rsidRPr="00D74E8E" w:rsidRDefault="00090D69" w:rsidP="00F035F5">
      <w:pPr>
        <w:spacing w:before="360" w:line="276" w:lineRule="auto"/>
        <w:rPr>
          <w:rFonts w:ascii="Calibri" w:hAnsi="Calibri" w:cs="Calibri"/>
          <w:sz w:val="24"/>
          <w:szCs w:val="24"/>
        </w:rPr>
      </w:pPr>
      <w:r w:rsidRPr="00D74E8E">
        <w:rPr>
          <w:rFonts w:ascii="Calibri" w:hAnsi="Calibri" w:cs="Calibri"/>
          <w:sz w:val="24"/>
          <w:szCs w:val="24"/>
        </w:rPr>
        <w:t>2017 (Year 3 Supplement):</w:t>
      </w:r>
    </w:p>
    <w:p w14:paraId="5C37E097" w14:textId="77777777" w:rsidR="00F035F5" w:rsidRPr="00D74E8E" w:rsidRDefault="00F035F5" w:rsidP="00F035F5">
      <w:pPr>
        <w:autoSpaceDE w:val="0"/>
        <w:autoSpaceDN w:val="0"/>
        <w:adjustRightInd w:val="0"/>
        <w:spacing w:line="276" w:lineRule="auto"/>
        <w:rPr>
          <w:rFonts w:ascii="Calibri" w:hAnsi="Calibri" w:cs="Calibri"/>
          <w:sz w:val="24"/>
          <w:szCs w:val="24"/>
        </w:rPr>
      </w:pPr>
      <w:r w:rsidRPr="00D74E8E">
        <w:rPr>
          <w:rFonts w:ascii="Calibri" w:hAnsi="Calibri" w:cs="Calibri"/>
          <w:sz w:val="24"/>
          <w:szCs w:val="24"/>
        </w:rPr>
        <w:t>Awardee Activities:</w:t>
      </w:r>
    </w:p>
    <w:p w14:paraId="23CA83DE" w14:textId="137D148A" w:rsidR="00B73002" w:rsidRPr="000C21AE" w:rsidRDefault="00090D69" w:rsidP="000C21AE">
      <w:pPr>
        <w:pStyle w:val="ListParagraph"/>
        <w:numPr>
          <w:ilvl w:val="0"/>
          <w:numId w:val="48"/>
        </w:numPr>
        <w:spacing w:line="276" w:lineRule="auto"/>
        <w:rPr>
          <w:rFonts w:ascii="Calibri" w:hAnsi="Calibri" w:cs="Calibri"/>
          <w:sz w:val="24"/>
          <w:szCs w:val="24"/>
        </w:rPr>
      </w:pPr>
      <w:r w:rsidRPr="00D74E8E">
        <w:rPr>
          <w:rFonts w:ascii="Calibri" w:hAnsi="Calibri" w:cs="Calibri"/>
          <w:sz w:val="24"/>
          <w:szCs w:val="24"/>
        </w:rPr>
        <w:t>Illinois: Over the course of three years, the CLEAR-Win project assisted in lead-safe replacement of almost 8,000 windows at 379 properties containing 466 housing units. The 466 housing units included 251 children under the age of 6, the population most vulnerable to lead poisoning. In conjunction with Illinois’ study, HUD analyzed a sample of nearly 100 homes remediated in the CLEAR-Win program, comparing lead dust sampling performed at baseline and at one year. Lead dust wipe samples were collected by HUD before CLEAR-Win commenced, immediately after (clearance sampling), and nominally one year after CLEAR-Win’s work was completed. Between baseline and 1 year post intervention, geometric mean lead dust for interior floors, interior sills, and exterior troughs declined by 44%, 88% and 98% respectively. HUD’s results of CLEAR-Win’s pilot program in Illinois show that a state health department can successfully implement a window replacement program that dramatically reduces childhood lead exposure</w:t>
      </w:r>
      <w:r w:rsidR="00A545A9">
        <w:rPr>
          <w:rFonts w:ascii="Calibri" w:hAnsi="Calibri" w:cs="Calibri"/>
          <w:sz w:val="24"/>
          <w:szCs w:val="24"/>
        </w:rPr>
        <w:t xml:space="preserve"> (</w:t>
      </w:r>
      <w:r w:rsidR="00875A76">
        <w:rPr>
          <w:rFonts w:ascii="Calibri" w:hAnsi="Calibri" w:cs="Calibri"/>
          <w:sz w:val="24"/>
          <w:szCs w:val="24"/>
        </w:rPr>
        <w:t>Jacobs et al.</w:t>
      </w:r>
      <w:r w:rsidR="00A545A9">
        <w:rPr>
          <w:rFonts w:ascii="Calibri" w:hAnsi="Calibri" w:cs="Calibri"/>
          <w:sz w:val="24"/>
          <w:szCs w:val="24"/>
        </w:rPr>
        <w:t>, 201</w:t>
      </w:r>
      <w:r w:rsidR="000C21AE">
        <w:rPr>
          <w:rFonts w:ascii="Calibri" w:hAnsi="Calibri" w:cs="Calibri"/>
          <w:sz w:val="24"/>
          <w:szCs w:val="24"/>
        </w:rPr>
        <w:t>6</w:t>
      </w:r>
      <w:r w:rsidR="00A545A9">
        <w:rPr>
          <w:rFonts w:ascii="Calibri" w:hAnsi="Calibri" w:cs="Calibri"/>
          <w:sz w:val="24"/>
          <w:szCs w:val="24"/>
        </w:rPr>
        <w:t>)</w:t>
      </w:r>
      <w:r w:rsidRPr="00D74E8E">
        <w:rPr>
          <w:rFonts w:ascii="Calibri" w:hAnsi="Calibri" w:cs="Calibri"/>
          <w:sz w:val="24"/>
          <w:szCs w:val="24"/>
        </w:rPr>
        <w:t>.</w:t>
      </w:r>
    </w:p>
    <w:p w14:paraId="7F1BCA2C" w14:textId="77777777" w:rsidR="007D6B55" w:rsidRPr="00D74E8E" w:rsidRDefault="00B77605" w:rsidP="000C21AE">
      <w:pPr>
        <w:autoSpaceDE w:val="0"/>
        <w:autoSpaceDN w:val="0"/>
        <w:adjustRightInd w:val="0"/>
        <w:spacing w:before="360" w:line="276" w:lineRule="auto"/>
        <w:rPr>
          <w:rFonts w:ascii="Calibri" w:hAnsi="Calibri"/>
          <w:sz w:val="24"/>
          <w:szCs w:val="24"/>
        </w:rPr>
      </w:pPr>
      <w:r w:rsidRPr="00D74E8E">
        <w:rPr>
          <w:rFonts w:ascii="Calibri" w:hAnsi="Calibri"/>
          <w:sz w:val="24"/>
          <w:szCs w:val="24"/>
          <w:u w:val="single"/>
        </w:rPr>
        <w:t>ABLES Accomplishments</w:t>
      </w:r>
      <w:r w:rsidRPr="00D74E8E">
        <w:rPr>
          <w:rFonts w:ascii="Calibri" w:hAnsi="Calibri"/>
          <w:sz w:val="24"/>
          <w:szCs w:val="24"/>
        </w:rPr>
        <w:t>:</w:t>
      </w:r>
      <w:r w:rsidRPr="00D74E8E">
        <w:rPr>
          <w:rFonts w:ascii="Calibri" w:eastAsiaTheme="minorHAnsi" w:hAnsi="Calibri" w:cs="Courier New"/>
          <w:sz w:val="24"/>
          <w:szCs w:val="24"/>
        </w:rPr>
        <w:t xml:space="preserve"> I</w:t>
      </w:r>
      <w:r w:rsidR="00332CB8" w:rsidRPr="00D74E8E">
        <w:rPr>
          <w:rFonts w:ascii="Calibri" w:hAnsi="Calibri"/>
          <w:sz w:val="24"/>
          <w:szCs w:val="24"/>
        </w:rPr>
        <w:t>n the past three years, the following program accomplishments were achieved:</w:t>
      </w:r>
      <w:r w:rsidR="00C970D2" w:rsidRPr="00D74E8E">
        <w:rPr>
          <w:rFonts w:ascii="Calibri" w:hAnsi="Calibri"/>
          <w:sz w:val="24"/>
          <w:szCs w:val="24"/>
        </w:rPr>
        <w:t xml:space="preserve"> </w:t>
      </w:r>
    </w:p>
    <w:p w14:paraId="4F5B7003" w14:textId="24D94C60" w:rsidR="007D6B55" w:rsidRPr="00D74E8E" w:rsidRDefault="007D6B55" w:rsidP="00F035F5">
      <w:pPr>
        <w:pStyle w:val="ListParagraph"/>
        <w:numPr>
          <w:ilvl w:val="0"/>
          <w:numId w:val="26"/>
        </w:numPr>
        <w:autoSpaceDE w:val="0"/>
        <w:autoSpaceDN w:val="0"/>
        <w:adjustRightInd w:val="0"/>
        <w:spacing w:line="276" w:lineRule="auto"/>
        <w:contextualSpacing w:val="0"/>
        <w:rPr>
          <w:rFonts w:ascii="Calibri" w:hAnsi="Calibri" w:cs="Times New Roman"/>
          <w:sz w:val="24"/>
          <w:szCs w:val="24"/>
        </w:rPr>
      </w:pPr>
      <w:r w:rsidRPr="00D74E8E">
        <w:rPr>
          <w:rFonts w:ascii="Calibri" w:hAnsi="Calibri" w:cs="Times New Roman"/>
          <w:sz w:val="24"/>
          <w:szCs w:val="24"/>
        </w:rPr>
        <w:t xml:space="preserve">In 2015, NIOSH updated the NIOSH ABLES </w:t>
      </w:r>
      <w:r w:rsidR="00F2176D">
        <w:rPr>
          <w:rFonts w:ascii="Calibri" w:hAnsi="Calibri" w:cs="Times New Roman"/>
          <w:sz w:val="24"/>
          <w:szCs w:val="24"/>
        </w:rPr>
        <w:t>Program</w:t>
      </w:r>
      <w:r w:rsidRPr="00D74E8E">
        <w:rPr>
          <w:rFonts w:ascii="Calibri" w:hAnsi="Calibri" w:cs="Times New Roman"/>
          <w:sz w:val="24"/>
          <w:szCs w:val="24"/>
        </w:rPr>
        <w:t xml:space="preserve">’s case definition for an elevated BLL among adults (16 years and older) to be a BLL ≥5 μg/dL of whole blood, in response to CSTE’s recommendation. </w:t>
      </w:r>
    </w:p>
    <w:p w14:paraId="754C7F3E" w14:textId="4FFC5D34" w:rsidR="00A30A76" w:rsidRPr="00D74E8E" w:rsidRDefault="007D6B55" w:rsidP="00F035F5">
      <w:pPr>
        <w:pStyle w:val="ListParagraph"/>
        <w:numPr>
          <w:ilvl w:val="0"/>
          <w:numId w:val="26"/>
        </w:numPr>
        <w:autoSpaceDE w:val="0"/>
        <w:autoSpaceDN w:val="0"/>
        <w:adjustRightInd w:val="0"/>
        <w:spacing w:line="276" w:lineRule="auto"/>
        <w:contextualSpacing w:val="0"/>
        <w:rPr>
          <w:rFonts w:cs="Times New Roman"/>
          <w:sz w:val="24"/>
          <w:szCs w:val="24"/>
        </w:rPr>
      </w:pPr>
      <w:r w:rsidRPr="00D74E8E">
        <w:rPr>
          <w:rFonts w:ascii="Calibri" w:hAnsi="Calibri" w:cs="Times New Roman"/>
          <w:sz w:val="24"/>
          <w:szCs w:val="24"/>
        </w:rPr>
        <w:t xml:space="preserve">Additionally, the ABLES </w:t>
      </w:r>
      <w:r w:rsidR="00F2176D">
        <w:rPr>
          <w:rFonts w:ascii="Calibri" w:hAnsi="Calibri" w:cs="Times New Roman"/>
          <w:sz w:val="24"/>
          <w:szCs w:val="24"/>
        </w:rPr>
        <w:t>Program</w:t>
      </w:r>
      <w:r w:rsidRPr="00D74E8E">
        <w:rPr>
          <w:rFonts w:ascii="Calibri" w:hAnsi="Calibri" w:cs="Times New Roman"/>
          <w:sz w:val="24"/>
          <w:szCs w:val="24"/>
        </w:rPr>
        <w:t xml:space="preserve"> secured continuing participation of state ABLES </w:t>
      </w:r>
      <w:r w:rsidR="00F2176D">
        <w:rPr>
          <w:rFonts w:ascii="Calibri" w:hAnsi="Calibri" w:cs="Times New Roman"/>
          <w:sz w:val="24"/>
          <w:szCs w:val="24"/>
        </w:rPr>
        <w:t>Program</w:t>
      </w:r>
      <w:r w:rsidRPr="00D74E8E">
        <w:rPr>
          <w:rFonts w:ascii="Calibri" w:hAnsi="Calibri" w:cs="Times New Roman"/>
          <w:sz w:val="24"/>
          <w:szCs w:val="24"/>
        </w:rPr>
        <w:t>s</w:t>
      </w:r>
      <w:r w:rsidR="00870177" w:rsidRPr="00D74E8E">
        <w:rPr>
          <w:rFonts w:ascii="Calibri" w:hAnsi="Calibri" w:cs="Times New Roman"/>
          <w:sz w:val="24"/>
          <w:szCs w:val="24"/>
        </w:rPr>
        <w:t xml:space="preserve"> through mutual partnership data sharing agreements</w:t>
      </w:r>
      <w:r w:rsidRPr="00D74E8E">
        <w:rPr>
          <w:rFonts w:ascii="Calibri" w:hAnsi="Calibri" w:cs="Times New Roman"/>
          <w:sz w:val="24"/>
          <w:szCs w:val="24"/>
        </w:rPr>
        <w:t>, and continued to monitor the national and state burden</w:t>
      </w:r>
      <w:r w:rsidRPr="00D74E8E">
        <w:rPr>
          <w:rFonts w:cs="Times New Roman"/>
          <w:sz w:val="24"/>
          <w:szCs w:val="24"/>
        </w:rPr>
        <w:t xml:space="preserve"> of lead exposure using prevalence rates of elevated </w:t>
      </w:r>
      <w:r w:rsidR="00775B05" w:rsidRPr="00D74E8E">
        <w:rPr>
          <w:rFonts w:cs="Times New Roman"/>
          <w:sz w:val="24"/>
          <w:szCs w:val="24"/>
        </w:rPr>
        <w:t>BLL</w:t>
      </w:r>
      <w:r w:rsidRPr="00D74E8E">
        <w:rPr>
          <w:rFonts w:cs="Times New Roman"/>
          <w:sz w:val="24"/>
          <w:szCs w:val="24"/>
        </w:rPr>
        <w:t xml:space="preserve">s. </w:t>
      </w:r>
    </w:p>
    <w:p w14:paraId="38699469" w14:textId="1C3BECE5" w:rsidR="00332CB8" w:rsidRPr="00D74E8E" w:rsidRDefault="007D6B55" w:rsidP="002841FE">
      <w:pPr>
        <w:pStyle w:val="ListParagraph"/>
        <w:numPr>
          <w:ilvl w:val="0"/>
          <w:numId w:val="26"/>
        </w:numPr>
        <w:autoSpaceDE w:val="0"/>
        <w:autoSpaceDN w:val="0"/>
        <w:adjustRightInd w:val="0"/>
        <w:spacing w:line="276" w:lineRule="auto"/>
        <w:contextualSpacing w:val="0"/>
        <w:rPr>
          <w:rFonts w:cs="Times New Roman"/>
          <w:sz w:val="24"/>
          <w:szCs w:val="24"/>
        </w:rPr>
      </w:pPr>
      <w:r w:rsidRPr="00D74E8E">
        <w:rPr>
          <w:rFonts w:cs="Times New Roman"/>
          <w:sz w:val="24"/>
          <w:szCs w:val="24"/>
        </w:rPr>
        <w:t xml:space="preserve">Nationwide data and findings from the ABLES </w:t>
      </w:r>
      <w:r w:rsidR="00F2176D">
        <w:rPr>
          <w:rFonts w:cs="Times New Roman"/>
          <w:sz w:val="24"/>
          <w:szCs w:val="24"/>
        </w:rPr>
        <w:t>Program</w:t>
      </w:r>
      <w:r w:rsidRPr="00D74E8E">
        <w:rPr>
          <w:rFonts w:cs="Times New Roman"/>
          <w:sz w:val="24"/>
          <w:szCs w:val="24"/>
        </w:rPr>
        <w:t xml:space="preserve"> are periodically published in the CDC’s </w:t>
      </w:r>
      <w:r w:rsidRPr="00D74E8E">
        <w:rPr>
          <w:rFonts w:cs="Times New Roman"/>
          <w:i/>
          <w:sz w:val="24"/>
          <w:szCs w:val="24"/>
        </w:rPr>
        <w:t>Morbidity and Mortality Weekly Report</w:t>
      </w:r>
      <w:r w:rsidRPr="00D74E8E">
        <w:rPr>
          <w:rFonts w:cs="Times New Roman"/>
          <w:sz w:val="24"/>
          <w:szCs w:val="24"/>
        </w:rPr>
        <w:t xml:space="preserve"> and elsewhere. ABLES publications and data are available from the ABLES publications and data website</w:t>
      </w:r>
      <w:r w:rsidR="00A30A76" w:rsidRPr="00D74E8E">
        <w:rPr>
          <w:rFonts w:cs="Times New Roman"/>
          <w:sz w:val="24"/>
          <w:szCs w:val="24"/>
        </w:rPr>
        <w:t>.</w:t>
      </w:r>
      <w:r w:rsidR="00A30A76" w:rsidRPr="00D74E8E">
        <w:rPr>
          <w:rStyle w:val="FootnoteReference"/>
          <w:rFonts w:cs="Times New Roman"/>
          <w:sz w:val="24"/>
          <w:szCs w:val="24"/>
        </w:rPr>
        <w:footnoteReference w:id="5"/>
      </w:r>
    </w:p>
    <w:p w14:paraId="31BA5F3D" w14:textId="1C31BBDF" w:rsidR="004976CC" w:rsidRPr="00D74E8E" w:rsidRDefault="00601F1A" w:rsidP="00E05DA7">
      <w:pPr>
        <w:pStyle w:val="Heading1"/>
        <w:pBdr>
          <w:bottom w:val="none" w:sz="0" w:space="0" w:color="auto"/>
        </w:pBdr>
        <w:rPr>
          <w:color w:val="auto"/>
        </w:rPr>
      </w:pPr>
      <w:bookmarkStart w:id="6" w:name="_Toc494815280"/>
      <w:r w:rsidRPr="00D74E8E">
        <w:rPr>
          <w:color w:val="auto"/>
        </w:rPr>
        <w:t>A.</w:t>
      </w:r>
      <w:r w:rsidR="004D21C9" w:rsidRPr="00D74E8E">
        <w:rPr>
          <w:color w:val="auto"/>
        </w:rPr>
        <w:t xml:space="preserve">3.  </w:t>
      </w:r>
      <w:r w:rsidR="00B45002" w:rsidRPr="00D74E8E">
        <w:rPr>
          <w:color w:val="auto"/>
        </w:rPr>
        <w:t>Use of Improved Information Technology and Burden Reduction</w:t>
      </w:r>
      <w:bookmarkEnd w:id="6"/>
    </w:p>
    <w:p w14:paraId="056227DC" w14:textId="1309D1E1" w:rsidR="00176B24" w:rsidRPr="00D74E8E" w:rsidRDefault="00F1350F" w:rsidP="00D46E96">
      <w:pPr>
        <w:pStyle w:val="BodyTextIndent3"/>
        <w:widowControl/>
        <w:tabs>
          <w:tab w:val="left" w:pos="1926"/>
        </w:tabs>
        <w:spacing w:line="276" w:lineRule="auto"/>
        <w:ind w:left="0"/>
        <w:rPr>
          <w:rFonts w:asciiTheme="minorHAnsi" w:hAnsiTheme="minorHAnsi"/>
          <w:szCs w:val="24"/>
        </w:rPr>
      </w:pPr>
      <w:r w:rsidRPr="00D74E8E">
        <w:rPr>
          <w:rFonts w:asciiTheme="minorHAnsi" w:hAnsiTheme="minorHAnsi"/>
          <w:szCs w:val="24"/>
        </w:rPr>
        <w:t xml:space="preserve"> </w:t>
      </w:r>
      <w:r w:rsidR="00D46E96" w:rsidRPr="00D74E8E">
        <w:rPr>
          <w:rFonts w:asciiTheme="minorHAnsi" w:hAnsiTheme="minorHAnsi"/>
          <w:szCs w:val="24"/>
        </w:rPr>
        <w:tab/>
      </w:r>
    </w:p>
    <w:p w14:paraId="225C7149" w14:textId="1BBAB910" w:rsidR="00845F98" w:rsidRPr="00D74E8E" w:rsidRDefault="008A74EC" w:rsidP="00176B24">
      <w:pPr>
        <w:pStyle w:val="BodyTextIndent3"/>
        <w:widowControl/>
        <w:spacing w:after="240" w:line="276" w:lineRule="auto"/>
        <w:ind w:left="0"/>
        <w:rPr>
          <w:rFonts w:asciiTheme="minorHAnsi" w:hAnsiTheme="minorHAnsi"/>
          <w:szCs w:val="24"/>
        </w:rPr>
      </w:pPr>
      <w:r w:rsidRPr="00D74E8E">
        <w:rPr>
          <w:rFonts w:asciiTheme="minorHAnsi" w:hAnsiTheme="minorHAnsi"/>
          <w:szCs w:val="24"/>
          <w:u w:val="single"/>
        </w:rPr>
        <w:t xml:space="preserve">Reporting to the NCEH </w:t>
      </w:r>
      <w:r w:rsidR="00D32E55" w:rsidRPr="00D74E8E">
        <w:rPr>
          <w:rFonts w:asciiTheme="minorHAnsi" w:hAnsiTheme="minorHAnsi"/>
          <w:szCs w:val="24"/>
          <w:u w:val="single"/>
        </w:rPr>
        <w:t>CBLS System</w:t>
      </w:r>
      <w:r w:rsidR="00D32E55" w:rsidRPr="00D74E8E">
        <w:rPr>
          <w:rFonts w:asciiTheme="minorHAnsi" w:hAnsiTheme="minorHAnsi"/>
          <w:szCs w:val="24"/>
        </w:rPr>
        <w:t xml:space="preserve">: </w:t>
      </w:r>
      <w:r w:rsidR="0013777E" w:rsidRPr="00D74E8E">
        <w:rPr>
          <w:rFonts w:asciiTheme="minorHAnsi" w:hAnsiTheme="minorHAnsi"/>
          <w:szCs w:val="24"/>
        </w:rPr>
        <w:t>All CBLS reportin</w:t>
      </w:r>
      <w:r w:rsidR="0023771C" w:rsidRPr="00D74E8E">
        <w:rPr>
          <w:rFonts w:asciiTheme="minorHAnsi" w:hAnsiTheme="minorHAnsi"/>
          <w:szCs w:val="24"/>
        </w:rPr>
        <w:t xml:space="preserve">g is done by electronic means. </w:t>
      </w:r>
      <w:r w:rsidR="00BF3886" w:rsidRPr="00D74E8E">
        <w:rPr>
          <w:rFonts w:asciiTheme="minorHAnsi" w:hAnsiTheme="minorHAnsi"/>
          <w:szCs w:val="24"/>
        </w:rPr>
        <w:t>Up to 4</w:t>
      </w:r>
      <w:r w:rsidR="00155D0B">
        <w:rPr>
          <w:rFonts w:asciiTheme="minorHAnsi" w:hAnsiTheme="minorHAnsi"/>
          <w:szCs w:val="24"/>
        </w:rPr>
        <w:t>7</w:t>
      </w:r>
      <w:r w:rsidR="00BF3886" w:rsidRPr="00D74E8E">
        <w:rPr>
          <w:rFonts w:asciiTheme="minorHAnsi" w:hAnsiTheme="minorHAnsi"/>
          <w:szCs w:val="24"/>
        </w:rPr>
        <w:t xml:space="preserve"> </w:t>
      </w:r>
      <w:r w:rsidR="0023771C" w:rsidRPr="00D74E8E">
        <w:rPr>
          <w:rFonts w:asciiTheme="minorHAnsi" w:hAnsiTheme="minorHAnsi"/>
          <w:szCs w:val="24"/>
        </w:rPr>
        <w:t>NCEH r</w:t>
      </w:r>
      <w:r w:rsidR="0013777E" w:rsidRPr="00D74E8E">
        <w:rPr>
          <w:rFonts w:asciiTheme="minorHAnsi" w:hAnsiTheme="minorHAnsi"/>
          <w:szCs w:val="24"/>
        </w:rPr>
        <w:t>espondents will upload their “CBLS Variables</w:t>
      </w:r>
      <w:r w:rsidR="00DE5A21" w:rsidRPr="00D74E8E">
        <w:rPr>
          <w:rFonts w:asciiTheme="minorHAnsi" w:hAnsiTheme="minorHAnsi"/>
          <w:szCs w:val="24"/>
        </w:rPr>
        <w:t xml:space="preserve"> – Text Files</w:t>
      </w:r>
      <w:r w:rsidR="0013777E" w:rsidRPr="00D74E8E">
        <w:rPr>
          <w:rFonts w:asciiTheme="minorHAnsi" w:hAnsiTheme="minorHAnsi"/>
          <w:szCs w:val="24"/>
        </w:rPr>
        <w:t xml:space="preserve">” </w:t>
      </w:r>
      <w:r w:rsidR="00AD14BB" w:rsidRPr="00D74E8E">
        <w:rPr>
          <w:rFonts w:asciiTheme="minorHAnsi" w:hAnsiTheme="minorHAnsi"/>
          <w:szCs w:val="24"/>
        </w:rPr>
        <w:t>(</w:t>
      </w:r>
      <w:r w:rsidR="00874697" w:rsidRPr="00D74E8E">
        <w:rPr>
          <w:rFonts w:asciiTheme="minorHAnsi" w:hAnsiTheme="minorHAnsi"/>
          <w:b/>
          <w:szCs w:val="24"/>
        </w:rPr>
        <w:t>Attach</w:t>
      </w:r>
      <w:r w:rsidR="00AD14BB" w:rsidRPr="00D74E8E">
        <w:rPr>
          <w:rFonts w:asciiTheme="minorHAnsi" w:hAnsiTheme="minorHAnsi"/>
          <w:b/>
          <w:szCs w:val="24"/>
        </w:rPr>
        <w:t>ment 5a</w:t>
      </w:r>
      <w:r w:rsidR="00AD14BB" w:rsidRPr="00D74E8E">
        <w:rPr>
          <w:rFonts w:asciiTheme="minorHAnsi" w:hAnsiTheme="minorHAnsi"/>
          <w:szCs w:val="24"/>
        </w:rPr>
        <w:t>)</w:t>
      </w:r>
      <w:r w:rsidR="0013777E" w:rsidRPr="00D74E8E">
        <w:rPr>
          <w:rFonts w:asciiTheme="minorHAnsi" w:hAnsiTheme="minorHAnsi"/>
          <w:szCs w:val="24"/>
        </w:rPr>
        <w:t xml:space="preserve"> to the</w:t>
      </w:r>
      <w:r w:rsidR="000C1D86" w:rsidRPr="00D74E8E">
        <w:rPr>
          <w:rFonts w:asciiTheme="minorHAnsi" w:hAnsiTheme="minorHAnsi"/>
          <w:szCs w:val="24"/>
        </w:rPr>
        <w:t xml:space="preserve"> NCEH secure encrypted FTP site, on a quarterly basis</w:t>
      </w:r>
      <w:r w:rsidR="00423B5A" w:rsidRPr="00D74E8E">
        <w:rPr>
          <w:rFonts w:asciiTheme="minorHAnsi" w:hAnsiTheme="minorHAnsi"/>
          <w:szCs w:val="24"/>
        </w:rPr>
        <w:t xml:space="preserve"> with a one quarter lag</w:t>
      </w:r>
      <w:r w:rsidR="00854171" w:rsidRPr="00D74E8E">
        <w:rPr>
          <w:rFonts w:asciiTheme="minorHAnsi" w:hAnsiTheme="minorHAnsi"/>
          <w:bCs/>
          <w:szCs w:val="24"/>
        </w:rPr>
        <w:t>.</w:t>
      </w:r>
      <w:r w:rsidR="00BF3886" w:rsidRPr="00D74E8E">
        <w:rPr>
          <w:rFonts w:asciiTheme="minorHAnsi" w:hAnsiTheme="minorHAnsi"/>
          <w:bCs/>
          <w:szCs w:val="24"/>
        </w:rPr>
        <w:t xml:space="preserve"> Based on past </w:t>
      </w:r>
      <w:r w:rsidR="00014A15" w:rsidRPr="00D74E8E">
        <w:rPr>
          <w:rFonts w:asciiTheme="minorHAnsi" w:hAnsiTheme="minorHAnsi"/>
          <w:bCs/>
          <w:szCs w:val="24"/>
        </w:rPr>
        <w:t>FY</w:t>
      </w:r>
      <w:r w:rsidR="00DE5A21" w:rsidRPr="00D74E8E">
        <w:rPr>
          <w:rFonts w:asciiTheme="minorHAnsi" w:hAnsiTheme="minorHAnsi"/>
          <w:bCs/>
          <w:szCs w:val="24"/>
        </w:rPr>
        <w:t xml:space="preserve"> </w:t>
      </w:r>
      <w:r w:rsidR="00014A15" w:rsidRPr="00D74E8E">
        <w:rPr>
          <w:rFonts w:asciiTheme="minorHAnsi" w:hAnsiTheme="minorHAnsi"/>
          <w:bCs/>
          <w:szCs w:val="24"/>
        </w:rPr>
        <w:t xml:space="preserve">14 </w:t>
      </w:r>
      <w:r w:rsidR="00BF3886" w:rsidRPr="00D74E8E">
        <w:rPr>
          <w:rFonts w:asciiTheme="minorHAnsi" w:hAnsiTheme="minorHAnsi"/>
          <w:bCs/>
          <w:szCs w:val="24"/>
        </w:rPr>
        <w:t>experience</w:t>
      </w:r>
      <w:r w:rsidR="00DC2253" w:rsidRPr="00D74E8E">
        <w:rPr>
          <w:rFonts w:asciiTheme="minorHAnsi" w:hAnsiTheme="minorHAnsi"/>
          <w:bCs/>
          <w:szCs w:val="24"/>
        </w:rPr>
        <w:t xml:space="preserve"> with a single awardee</w:t>
      </w:r>
      <w:r w:rsidR="00BF3886" w:rsidRPr="00D74E8E">
        <w:rPr>
          <w:rFonts w:asciiTheme="minorHAnsi" w:hAnsiTheme="minorHAnsi"/>
          <w:bCs/>
          <w:szCs w:val="24"/>
        </w:rPr>
        <w:t xml:space="preserve">, NCEH </w:t>
      </w:r>
      <w:r w:rsidR="00DC2253" w:rsidRPr="00D74E8E">
        <w:rPr>
          <w:rFonts w:asciiTheme="minorHAnsi" w:hAnsiTheme="minorHAnsi"/>
          <w:bCs/>
          <w:szCs w:val="24"/>
        </w:rPr>
        <w:t xml:space="preserve">also </w:t>
      </w:r>
      <w:r w:rsidR="00BF3886" w:rsidRPr="00D74E8E">
        <w:rPr>
          <w:rFonts w:asciiTheme="minorHAnsi" w:hAnsiTheme="minorHAnsi"/>
          <w:bCs/>
          <w:szCs w:val="24"/>
        </w:rPr>
        <w:t>anticipates that one respondent will report “CBLS Aggregate Records” in spreadsheet format</w:t>
      </w:r>
      <w:r w:rsidR="00945D3C" w:rsidRPr="00D74E8E">
        <w:rPr>
          <w:rFonts w:asciiTheme="minorHAnsi" w:hAnsiTheme="minorHAnsi"/>
          <w:bCs/>
          <w:szCs w:val="24"/>
        </w:rPr>
        <w:t xml:space="preserve"> for the FY</w:t>
      </w:r>
      <w:r w:rsidR="00C26C0A" w:rsidRPr="00D74E8E">
        <w:rPr>
          <w:rFonts w:asciiTheme="minorHAnsi" w:hAnsiTheme="minorHAnsi"/>
          <w:bCs/>
          <w:szCs w:val="24"/>
        </w:rPr>
        <w:t xml:space="preserve"> </w:t>
      </w:r>
      <w:r w:rsidR="00945D3C" w:rsidRPr="00D74E8E">
        <w:rPr>
          <w:rFonts w:asciiTheme="minorHAnsi" w:hAnsiTheme="minorHAnsi"/>
          <w:bCs/>
          <w:szCs w:val="24"/>
        </w:rPr>
        <w:t>17 program</w:t>
      </w:r>
      <w:r w:rsidR="00BF3886" w:rsidRPr="00D74E8E">
        <w:rPr>
          <w:rFonts w:asciiTheme="minorHAnsi" w:hAnsiTheme="minorHAnsi"/>
          <w:bCs/>
          <w:szCs w:val="24"/>
        </w:rPr>
        <w:t xml:space="preserve"> (</w:t>
      </w:r>
      <w:r w:rsidR="00BF3886" w:rsidRPr="00D74E8E">
        <w:rPr>
          <w:rFonts w:asciiTheme="minorHAnsi" w:hAnsiTheme="minorHAnsi"/>
          <w:b/>
          <w:bCs/>
          <w:szCs w:val="24"/>
        </w:rPr>
        <w:t>Attachment 5b</w:t>
      </w:r>
      <w:r w:rsidR="00BF3886" w:rsidRPr="00D74E8E">
        <w:rPr>
          <w:rFonts w:asciiTheme="minorHAnsi" w:hAnsiTheme="minorHAnsi"/>
          <w:bCs/>
          <w:szCs w:val="24"/>
        </w:rPr>
        <w:t>).</w:t>
      </w:r>
    </w:p>
    <w:p w14:paraId="0C64DECB" w14:textId="0A54B189" w:rsidR="008022DE" w:rsidRPr="00D74E8E" w:rsidRDefault="00502C49" w:rsidP="00A72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76" w:lineRule="auto"/>
        <w:rPr>
          <w:rFonts w:cs="Times New Roman"/>
          <w:sz w:val="24"/>
          <w:szCs w:val="24"/>
        </w:rPr>
      </w:pPr>
      <w:r w:rsidRPr="00D74E8E">
        <w:rPr>
          <w:sz w:val="24"/>
          <w:szCs w:val="24"/>
          <w:u w:val="single"/>
        </w:rPr>
        <w:t xml:space="preserve">Reporting to the </w:t>
      </w:r>
      <w:r w:rsidR="00282798" w:rsidRPr="00D74E8E">
        <w:rPr>
          <w:sz w:val="24"/>
          <w:szCs w:val="24"/>
          <w:u w:val="single"/>
        </w:rPr>
        <w:t>ABLES System</w:t>
      </w:r>
      <w:r w:rsidR="00282798" w:rsidRPr="00D74E8E">
        <w:rPr>
          <w:sz w:val="24"/>
          <w:szCs w:val="24"/>
        </w:rPr>
        <w:t xml:space="preserve">: </w:t>
      </w:r>
      <w:r w:rsidR="008022DE" w:rsidRPr="00D74E8E">
        <w:rPr>
          <w:sz w:val="24"/>
          <w:szCs w:val="24"/>
        </w:rPr>
        <w:t xml:space="preserve">All </w:t>
      </w:r>
      <w:r w:rsidR="0023771C" w:rsidRPr="00D74E8E">
        <w:rPr>
          <w:sz w:val="24"/>
          <w:szCs w:val="24"/>
        </w:rPr>
        <w:t>ABLES reporting is done by electronic means.</w:t>
      </w:r>
      <w:r w:rsidR="001104E2" w:rsidRPr="00D74E8E">
        <w:rPr>
          <w:sz w:val="24"/>
          <w:szCs w:val="24"/>
        </w:rPr>
        <w:t xml:space="preserve"> State ABLES </w:t>
      </w:r>
      <w:r w:rsidR="00F2176D">
        <w:rPr>
          <w:sz w:val="24"/>
          <w:szCs w:val="24"/>
        </w:rPr>
        <w:t>Program</w:t>
      </w:r>
      <w:r w:rsidR="001104E2" w:rsidRPr="00D74E8E">
        <w:rPr>
          <w:sz w:val="24"/>
          <w:szCs w:val="24"/>
        </w:rPr>
        <w:t xml:space="preserve">s </w:t>
      </w:r>
      <w:r w:rsidR="008022DE" w:rsidRPr="00D74E8E">
        <w:rPr>
          <w:sz w:val="24"/>
          <w:szCs w:val="24"/>
        </w:rPr>
        <w:t>su</w:t>
      </w:r>
      <w:r w:rsidR="00D540DF" w:rsidRPr="00D74E8E">
        <w:rPr>
          <w:sz w:val="24"/>
          <w:szCs w:val="24"/>
        </w:rPr>
        <w:t xml:space="preserve">bmit </w:t>
      </w:r>
      <w:r w:rsidR="00F1350F" w:rsidRPr="00D74E8E">
        <w:rPr>
          <w:sz w:val="24"/>
          <w:szCs w:val="24"/>
        </w:rPr>
        <w:t>an</w:t>
      </w:r>
      <w:r w:rsidR="000C1D86" w:rsidRPr="00D74E8E">
        <w:rPr>
          <w:sz w:val="24"/>
          <w:szCs w:val="24"/>
        </w:rPr>
        <w:t xml:space="preserve"> </w:t>
      </w:r>
      <w:r w:rsidR="00F97335" w:rsidRPr="00D74E8E">
        <w:rPr>
          <w:sz w:val="24"/>
          <w:szCs w:val="24"/>
        </w:rPr>
        <w:t>electronic</w:t>
      </w:r>
      <w:r w:rsidR="000C1D86" w:rsidRPr="00D74E8E">
        <w:rPr>
          <w:sz w:val="24"/>
          <w:szCs w:val="24"/>
        </w:rPr>
        <w:t xml:space="preserve"> </w:t>
      </w:r>
      <w:r w:rsidR="00F1350F" w:rsidRPr="00D74E8E">
        <w:rPr>
          <w:sz w:val="24"/>
          <w:szCs w:val="24"/>
        </w:rPr>
        <w:t xml:space="preserve">data file </w:t>
      </w:r>
      <w:r w:rsidR="00F97335" w:rsidRPr="00D74E8E">
        <w:rPr>
          <w:sz w:val="24"/>
          <w:szCs w:val="24"/>
        </w:rPr>
        <w:t>(e.g., SAS,</w:t>
      </w:r>
      <w:r w:rsidR="00F1350F" w:rsidRPr="00D74E8E">
        <w:rPr>
          <w:sz w:val="24"/>
          <w:szCs w:val="24"/>
        </w:rPr>
        <w:t xml:space="preserve"> Access, CSV,</w:t>
      </w:r>
      <w:r w:rsidR="00F97335" w:rsidRPr="00D74E8E">
        <w:rPr>
          <w:sz w:val="24"/>
          <w:szCs w:val="24"/>
        </w:rPr>
        <w:t xml:space="preserve"> Excel)</w:t>
      </w:r>
      <w:r w:rsidR="00D540DF" w:rsidRPr="00D74E8E">
        <w:rPr>
          <w:sz w:val="24"/>
          <w:szCs w:val="24"/>
        </w:rPr>
        <w:t xml:space="preserve"> to CDC </w:t>
      </w:r>
      <w:r w:rsidR="00C0734D" w:rsidRPr="00D74E8E">
        <w:rPr>
          <w:sz w:val="24"/>
          <w:szCs w:val="24"/>
        </w:rPr>
        <w:t>on an annual basis</w:t>
      </w:r>
      <w:r w:rsidR="00F1350F" w:rsidRPr="00D74E8E">
        <w:rPr>
          <w:sz w:val="24"/>
          <w:szCs w:val="24"/>
        </w:rPr>
        <w:t xml:space="preserve">. </w:t>
      </w:r>
      <w:r w:rsidR="00BF3886" w:rsidRPr="00D74E8E">
        <w:rPr>
          <w:sz w:val="24"/>
          <w:szCs w:val="24"/>
        </w:rPr>
        <w:t xml:space="preserve">In addition to a “Brief Narrative Report,” ABLES respondents submit either </w:t>
      </w:r>
      <w:r w:rsidR="00F1350F" w:rsidRPr="00D74E8E">
        <w:rPr>
          <w:sz w:val="24"/>
          <w:szCs w:val="24"/>
        </w:rPr>
        <w:t xml:space="preserve">“ABLES </w:t>
      </w:r>
      <w:r w:rsidR="00BF3886" w:rsidRPr="00D74E8E">
        <w:rPr>
          <w:sz w:val="24"/>
          <w:szCs w:val="24"/>
        </w:rPr>
        <w:t>Case Records</w:t>
      </w:r>
      <w:r w:rsidR="005B332D" w:rsidRPr="00D74E8E">
        <w:rPr>
          <w:sz w:val="24"/>
          <w:szCs w:val="24"/>
        </w:rPr>
        <w:t xml:space="preserve"> Form</w:t>
      </w:r>
      <w:r w:rsidR="00F1350F" w:rsidRPr="00D74E8E">
        <w:rPr>
          <w:sz w:val="24"/>
          <w:szCs w:val="24"/>
        </w:rPr>
        <w:t>”</w:t>
      </w:r>
      <w:r w:rsidR="00BF3886" w:rsidRPr="00D74E8E">
        <w:rPr>
          <w:sz w:val="24"/>
          <w:szCs w:val="24"/>
        </w:rPr>
        <w:t xml:space="preserve"> or “ABLES Aggregate Records</w:t>
      </w:r>
      <w:r w:rsidR="005B332D" w:rsidRPr="00D74E8E">
        <w:rPr>
          <w:sz w:val="24"/>
          <w:szCs w:val="24"/>
        </w:rPr>
        <w:t xml:space="preserve"> Form</w:t>
      </w:r>
      <w:r w:rsidR="00BF3886" w:rsidRPr="00D74E8E">
        <w:rPr>
          <w:sz w:val="24"/>
          <w:szCs w:val="24"/>
        </w:rPr>
        <w:t>”</w:t>
      </w:r>
      <w:r w:rsidR="0007565E" w:rsidRPr="00D74E8E">
        <w:rPr>
          <w:sz w:val="24"/>
          <w:szCs w:val="24"/>
        </w:rPr>
        <w:t xml:space="preserve"> </w:t>
      </w:r>
      <w:r w:rsidR="00BF3886" w:rsidRPr="00D74E8E">
        <w:rPr>
          <w:sz w:val="24"/>
          <w:szCs w:val="24"/>
        </w:rPr>
        <w:t xml:space="preserve">annually </w:t>
      </w:r>
      <w:r w:rsidR="0007565E" w:rsidRPr="00D74E8E">
        <w:rPr>
          <w:sz w:val="24"/>
          <w:szCs w:val="24"/>
        </w:rPr>
        <w:t>(</w:t>
      </w:r>
      <w:r w:rsidR="0007565E" w:rsidRPr="00D74E8E">
        <w:rPr>
          <w:b/>
          <w:sz w:val="24"/>
          <w:szCs w:val="24"/>
        </w:rPr>
        <w:t>Attachment</w:t>
      </w:r>
      <w:r w:rsidR="00336C33" w:rsidRPr="00D74E8E">
        <w:rPr>
          <w:b/>
          <w:sz w:val="24"/>
          <w:szCs w:val="24"/>
        </w:rPr>
        <w:t>s</w:t>
      </w:r>
      <w:r w:rsidR="0007565E" w:rsidRPr="00D74E8E">
        <w:rPr>
          <w:b/>
          <w:sz w:val="24"/>
          <w:szCs w:val="24"/>
        </w:rPr>
        <w:t xml:space="preserve"> 5</w:t>
      </w:r>
      <w:r w:rsidR="00BF3886" w:rsidRPr="00D74E8E">
        <w:rPr>
          <w:b/>
          <w:sz w:val="24"/>
          <w:szCs w:val="24"/>
        </w:rPr>
        <w:t>c &amp; 5d</w:t>
      </w:r>
      <w:r w:rsidR="00A215EB" w:rsidRPr="00E070B2">
        <w:rPr>
          <w:sz w:val="24"/>
          <w:szCs w:val="24"/>
        </w:rPr>
        <w:t>, respectively</w:t>
      </w:r>
      <w:r w:rsidR="0007565E" w:rsidRPr="00D74E8E">
        <w:rPr>
          <w:sz w:val="24"/>
          <w:szCs w:val="24"/>
        </w:rPr>
        <w:t>)</w:t>
      </w:r>
      <w:r w:rsidR="00C0734D" w:rsidRPr="00D74E8E">
        <w:rPr>
          <w:sz w:val="24"/>
          <w:szCs w:val="24"/>
        </w:rPr>
        <w:t>.</w:t>
      </w:r>
      <w:r w:rsidR="00F97335" w:rsidRPr="00D74E8E">
        <w:rPr>
          <w:sz w:val="24"/>
          <w:szCs w:val="24"/>
        </w:rPr>
        <w:t xml:space="preserve"> </w:t>
      </w:r>
      <w:r w:rsidR="00E55110" w:rsidRPr="00D74E8E">
        <w:rPr>
          <w:bCs/>
          <w:sz w:val="24"/>
          <w:szCs w:val="24"/>
        </w:rPr>
        <w:t>The format for electronic ABLES Case Records are attached (</w:t>
      </w:r>
      <w:r w:rsidR="00E55110" w:rsidRPr="00D74E8E">
        <w:rPr>
          <w:b/>
          <w:sz w:val="24"/>
          <w:szCs w:val="24"/>
        </w:rPr>
        <w:t>Attachment 5c1</w:t>
      </w:r>
      <w:r w:rsidR="00E55110" w:rsidRPr="00D74E8E">
        <w:rPr>
          <w:bCs/>
          <w:sz w:val="24"/>
          <w:szCs w:val="24"/>
        </w:rPr>
        <w:t xml:space="preserve">). </w:t>
      </w:r>
      <w:r w:rsidR="00F97335" w:rsidRPr="00D74E8E">
        <w:rPr>
          <w:sz w:val="24"/>
          <w:szCs w:val="24"/>
        </w:rPr>
        <w:t xml:space="preserve">Electronic reporting must be completed </w:t>
      </w:r>
      <w:r w:rsidR="00F97335" w:rsidRPr="00D74E8E">
        <w:rPr>
          <w:rFonts w:cs="Times New Roman"/>
          <w:sz w:val="24"/>
          <w:szCs w:val="24"/>
        </w:rPr>
        <w:t xml:space="preserve">by the second quarter of the subsequent calendar year. The electronic file may be </w:t>
      </w:r>
      <w:r w:rsidR="00F97335" w:rsidRPr="00A72CBC">
        <w:rPr>
          <w:rFonts w:cs="Times New Roman"/>
          <w:sz w:val="24"/>
          <w:szCs w:val="24"/>
        </w:rPr>
        <w:t>submitted through secure email, secure web login, or through encrypted secure FTP sites.</w:t>
      </w:r>
      <w:r w:rsidR="00A72CBC" w:rsidRPr="00A72CBC">
        <w:rPr>
          <w:rFonts w:cs="Times New Roman"/>
          <w:sz w:val="24"/>
          <w:szCs w:val="24"/>
        </w:rPr>
        <w:t xml:space="preserve"> </w:t>
      </w:r>
      <w:r w:rsidR="00A72CBC" w:rsidRPr="000C21AE">
        <w:rPr>
          <w:sz w:val="24"/>
          <w:szCs w:val="24"/>
        </w:rPr>
        <w:t>Eventually, all ABLES partners will submit data through secure encrypted FTP sites.</w:t>
      </w:r>
    </w:p>
    <w:p w14:paraId="46CAB766" w14:textId="77777777" w:rsidR="000C21AE" w:rsidRDefault="000C21AE">
      <w:pPr>
        <w:rPr>
          <w:rFonts w:asciiTheme="majorHAnsi" w:eastAsiaTheme="majorEastAsia" w:hAnsiTheme="majorHAnsi" w:cstheme="majorBidi"/>
          <w:sz w:val="36"/>
          <w:szCs w:val="36"/>
        </w:rPr>
      </w:pPr>
      <w:bookmarkStart w:id="7" w:name="_Toc494815281"/>
      <w:r>
        <w:br w:type="page"/>
      </w:r>
    </w:p>
    <w:p w14:paraId="32CBF19C" w14:textId="2A03E946" w:rsidR="00B45002" w:rsidRPr="00D74E8E" w:rsidRDefault="00601F1A" w:rsidP="004D7237">
      <w:pPr>
        <w:pStyle w:val="Heading1"/>
        <w:pBdr>
          <w:bottom w:val="none" w:sz="0" w:space="0" w:color="auto"/>
        </w:pBdr>
        <w:rPr>
          <w:color w:val="auto"/>
        </w:rPr>
      </w:pPr>
      <w:r w:rsidRPr="00D74E8E">
        <w:rPr>
          <w:color w:val="auto"/>
        </w:rPr>
        <w:t>A.</w:t>
      </w:r>
      <w:r w:rsidR="004D21C9" w:rsidRPr="00D74E8E">
        <w:rPr>
          <w:color w:val="auto"/>
        </w:rPr>
        <w:t>4</w:t>
      </w:r>
      <w:r w:rsidR="005E0A7B" w:rsidRPr="00D74E8E">
        <w:rPr>
          <w:color w:val="auto"/>
        </w:rPr>
        <w:t>. Efforts</w:t>
      </w:r>
      <w:r w:rsidR="00B45002" w:rsidRPr="00D74E8E">
        <w:rPr>
          <w:color w:val="auto"/>
        </w:rPr>
        <w:t xml:space="preserve"> to Identify Duplication and Use of Similar Information</w:t>
      </w:r>
      <w:bookmarkEnd w:id="7"/>
    </w:p>
    <w:p w14:paraId="01366548" w14:textId="77777777" w:rsidR="00495632" w:rsidRPr="00D74E8E" w:rsidRDefault="00495632" w:rsidP="00495632"/>
    <w:p w14:paraId="2FD66966" w14:textId="6E507411" w:rsidR="00DC4F77" w:rsidRDefault="00DC4F77" w:rsidP="00DC4F77">
      <w:pPr>
        <w:spacing w:before="120" w:line="276" w:lineRule="auto"/>
        <w:rPr>
          <w:sz w:val="24"/>
          <w:szCs w:val="24"/>
        </w:rPr>
      </w:pPr>
      <w:r>
        <w:rPr>
          <w:sz w:val="24"/>
          <w:szCs w:val="24"/>
        </w:rPr>
        <w:t>In February 1991, the “Strategic Plan for the Elimination of Childhood Lead Poisoning” (HHS, 1991), recommended four immediately essential elements of th</w:t>
      </w:r>
      <w:r w:rsidR="00EF7D54">
        <w:rPr>
          <w:sz w:val="24"/>
          <w:szCs w:val="24"/>
        </w:rPr>
        <w:t>e</w:t>
      </w:r>
      <w:r>
        <w:rPr>
          <w:sz w:val="24"/>
          <w:szCs w:val="24"/>
        </w:rPr>
        <w:t xml:space="preserve"> effort</w:t>
      </w:r>
      <w:r w:rsidR="00EF7D54">
        <w:rPr>
          <w:sz w:val="24"/>
          <w:szCs w:val="24"/>
        </w:rPr>
        <w:t xml:space="preserve"> to </w:t>
      </w:r>
      <w:r w:rsidR="00EF7D54" w:rsidRPr="00DC4F77">
        <w:rPr>
          <w:sz w:val="24"/>
          <w:szCs w:val="24"/>
        </w:rPr>
        <w:t xml:space="preserve">eliminate childhood lead poisoning in the </w:t>
      </w:r>
      <w:r w:rsidR="006D1DD1">
        <w:rPr>
          <w:sz w:val="24"/>
          <w:szCs w:val="24"/>
        </w:rPr>
        <w:t>U.S.</w:t>
      </w:r>
      <w:r>
        <w:rPr>
          <w:sz w:val="24"/>
          <w:szCs w:val="24"/>
        </w:rPr>
        <w:t xml:space="preserve">, including establishment of national surveillance for children with elevated blood lead levels.  </w:t>
      </w:r>
      <w:r w:rsidRPr="00270DBC">
        <w:rPr>
          <w:sz w:val="24"/>
          <w:szCs w:val="24"/>
        </w:rPr>
        <w:t xml:space="preserve">CDC’s </w:t>
      </w:r>
      <w:r w:rsidR="00863480">
        <w:rPr>
          <w:sz w:val="24"/>
          <w:szCs w:val="24"/>
        </w:rPr>
        <w:t>Childhood Lead Poisoning Prevention Program (</w:t>
      </w:r>
      <w:r>
        <w:rPr>
          <w:sz w:val="24"/>
          <w:szCs w:val="24"/>
        </w:rPr>
        <w:t>CLPPP</w:t>
      </w:r>
      <w:r w:rsidR="00863480">
        <w:rPr>
          <w:sz w:val="24"/>
          <w:szCs w:val="24"/>
        </w:rPr>
        <w:t>)</w:t>
      </w:r>
      <w:r w:rsidRPr="00270DBC">
        <w:rPr>
          <w:sz w:val="24"/>
          <w:szCs w:val="24"/>
        </w:rPr>
        <w:t xml:space="preserve"> began collecting surveillance data on blood lead levels in children less than 16 years of age in 1995 (Pertowski, 1994). </w:t>
      </w:r>
      <w:r w:rsidR="008C4F12" w:rsidRPr="00DC4F77">
        <w:rPr>
          <w:sz w:val="24"/>
          <w:szCs w:val="24"/>
        </w:rPr>
        <w:t xml:space="preserve">Surveillance of </w:t>
      </w:r>
      <w:r w:rsidR="00EF7D54">
        <w:rPr>
          <w:sz w:val="24"/>
          <w:szCs w:val="24"/>
        </w:rPr>
        <w:t xml:space="preserve">individual </w:t>
      </w:r>
      <w:r w:rsidR="008C4F12" w:rsidRPr="00DC4F77">
        <w:rPr>
          <w:sz w:val="24"/>
          <w:szCs w:val="24"/>
        </w:rPr>
        <w:t xml:space="preserve">children’s blood lead levels provides information on how well we are protecting </w:t>
      </w:r>
      <w:r w:rsidR="00EF7D54">
        <w:rPr>
          <w:sz w:val="24"/>
          <w:szCs w:val="24"/>
        </w:rPr>
        <w:t xml:space="preserve">all </w:t>
      </w:r>
      <w:r w:rsidR="008C4F12" w:rsidRPr="00DC4F77">
        <w:rPr>
          <w:sz w:val="24"/>
          <w:szCs w:val="24"/>
        </w:rPr>
        <w:t xml:space="preserve">children from exposure to lead and also provides critical information needed to identify and care for those </w:t>
      </w:r>
      <w:r w:rsidR="00EF7D54">
        <w:rPr>
          <w:sz w:val="24"/>
          <w:szCs w:val="24"/>
        </w:rPr>
        <w:t xml:space="preserve">individual </w:t>
      </w:r>
      <w:r w:rsidR="008C4F12" w:rsidRPr="00DC4F77">
        <w:rPr>
          <w:sz w:val="24"/>
          <w:szCs w:val="24"/>
        </w:rPr>
        <w:t>children who are already exposed.  Blood lead screening and surveillance data provide the foundation for targeting prevention activities to high risk areas.</w:t>
      </w:r>
      <w:r w:rsidR="00EF7D54">
        <w:rPr>
          <w:sz w:val="24"/>
          <w:szCs w:val="24"/>
        </w:rPr>
        <w:t xml:space="preserve">  </w:t>
      </w:r>
      <w:r w:rsidRPr="00270DBC">
        <w:rPr>
          <w:sz w:val="24"/>
          <w:szCs w:val="24"/>
        </w:rPr>
        <w:t>Also in 1995, the Council of State and Territorial Epidemiologists (CSTE) designated elevated blood lead levels as the first noninfectious condition to be notifiable at the national level. Notifiable diseases and conditions are reportable to CDC on a voluntary basis for nationwide aggregation and monitoring</w:t>
      </w:r>
      <w:r w:rsidR="00A81E38">
        <w:rPr>
          <w:sz w:val="24"/>
          <w:szCs w:val="24"/>
        </w:rPr>
        <w:t xml:space="preserve"> (CDC, 201</w:t>
      </w:r>
      <w:r w:rsidR="00DB7EE0">
        <w:rPr>
          <w:sz w:val="24"/>
          <w:szCs w:val="24"/>
        </w:rPr>
        <w:t>7</w:t>
      </w:r>
      <w:r w:rsidR="00A81E38">
        <w:rPr>
          <w:sz w:val="24"/>
          <w:szCs w:val="24"/>
        </w:rPr>
        <w:t>)</w:t>
      </w:r>
      <w:r w:rsidRPr="00270DBC">
        <w:rPr>
          <w:sz w:val="24"/>
          <w:szCs w:val="24"/>
        </w:rPr>
        <w:t xml:space="preserve">.  </w:t>
      </w:r>
    </w:p>
    <w:p w14:paraId="38460E62" w14:textId="3700AD65" w:rsidR="00696847" w:rsidRPr="00D74E8E" w:rsidRDefault="00A6114C" w:rsidP="00495B0B">
      <w:pPr>
        <w:spacing w:before="120" w:line="276" w:lineRule="auto"/>
        <w:rPr>
          <w:sz w:val="24"/>
          <w:szCs w:val="24"/>
        </w:rPr>
      </w:pPr>
      <w:r w:rsidRPr="00D74E8E">
        <w:rPr>
          <w:sz w:val="24"/>
          <w:szCs w:val="24"/>
        </w:rPr>
        <w:t xml:space="preserve">The </w:t>
      </w:r>
      <w:r w:rsidR="008B686F" w:rsidRPr="00D74E8E">
        <w:rPr>
          <w:sz w:val="24"/>
          <w:szCs w:val="24"/>
        </w:rPr>
        <w:t>FY</w:t>
      </w:r>
      <w:r w:rsidRPr="00D74E8E">
        <w:rPr>
          <w:sz w:val="24"/>
          <w:szCs w:val="24"/>
        </w:rPr>
        <w:t xml:space="preserve">14 HHLPSS </w:t>
      </w:r>
      <w:r w:rsidR="006A184D" w:rsidRPr="00D74E8E">
        <w:rPr>
          <w:sz w:val="24"/>
          <w:szCs w:val="24"/>
        </w:rPr>
        <w:t xml:space="preserve">collects, </w:t>
      </w:r>
      <w:r w:rsidRPr="00D74E8E">
        <w:rPr>
          <w:sz w:val="24"/>
          <w:szCs w:val="24"/>
        </w:rPr>
        <w:t xml:space="preserve">and the </w:t>
      </w:r>
      <w:r w:rsidR="008B686F" w:rsidRPr="00D74E8E">
        <w:rPr>
          <w:sz w:val="24"/>
          <w:szCs w:val="24"/>
        </w:rPr>
        <w:t>FY</w:t>
      </w:r>
      <w:r w:rsidRPr="00D74E8E">
        <w:rPr>
          <w:sz w:val="24"/>
          <w:szCs w:val="24"/>
        </w:rPr>
        <w:t xml:space="preserve">17 </w:t>
      </w:r>
      <w:r w:rsidR="009E2249" w:rsidRPr="00D74E8E">
        <w:rPr>
          <w:sz w:val="24"/>
          <w:szCs w:val="24"/>
        </w:rPr>
        <w:t>CBLS</w:t>
      </w:r>
      <w:r w:rsidRPr="00D74E8E">
        <w:rPr>
          <w:sz w:val="24"/>
          <w:szCs w:val="24"/>
        </w:rPr>
        <w:t xml:space="preserve"> will collect</w:t>
      </w:r>
      <w:r w:rsidR="00FF5438" w:rsidRPr="00D74E8E">
        <w:rPr>
          <w:sz w:val="24"/>
          <w:szCs w:val="24"/>
        </w:rPr>
        <w:t xml:space="preserve"> </w:t>
      </w:r>
      <w:r w:rsidRPr="00D74E8E">
        <w:rPr>
          <w:sz w:val="24"/>
          <w:szCs w:val="24"/>
        </w:rPr>
        <w:t>laboratory and clinician-reported</w:t>
      </w:r>
      <w:r w:rsidR="00FF5438" w:rsidRPr="00D74E8E">
        <w:rPr>
          <w:sz w:val="24"/>
          <w:szCs w:val="24"/>
        </w:rPr>
        <w:t xml:space="preserve"> BLL test results </w:t>
      </w:r>
      <w:r w:rsidR="00EF7D54">
        <w:rPr>
          <w:sz w:val="24"/>
          <w:szCs w:val="24"/>
        </w:rPr>
        <w:t xml:space="preserve">on individual children </w:t>
      </w:r>
      <w:r w:rsidR="00FF5438" w:rsidRPr="00D74E8E">
        <w:rPr>
          <w:sz w:val="24"/>
          <w:szCs w:val="24"/>
        </w:rPr>
        <w:t>reported to participating state</w:t>
      </w:r>
      <w:r w:rsidR="008743BC">
        <w:rPr>
          <w:sz w:val="24"/>
          <w:szCs w:val="24"/>
        </w:rPr>
        <w:t xml:space="preserve"> or </w:t>
      </w:r>
      <w:r w:rsidR="00FF5438" w:rsidRPr="00D74E8E">
        <w:rPr>
          <w:sz w:val="24"/>
          <w:szCs w:val="24"/>
        </w:rPr>
        <w:t xml:space="preserve">local </w:t>
      </w:r>
      <w:r w:rsidR="000272AD" w:rsidRPr="00D74E8E">
        <w:rPr>
          <w:sz w:val="24"/>
          <w:szCs w:val="24"/>
        </w:rPr>
        <w:t>CLPPP</w:t>
      </w:r>
      <w:r w:rsidR="00863480">
        <w:rPr>
          <w:sz w:val="24"/>
          <w:szCs w:val="24"/>
        </w:rPr>
        <w:t>s</w:t>
      </w:r>
      <w:r w:rsidR="006A6435" w:rsidRPr="00D74E8E">
        <w:rPr>
          <w:sz w:val="24"/>
          <w:szCs w:val="24"/>
        </w:rPr>
        <w:t>, with the exception of one respondent reporting</w:t>
      </w:r>
      <w:r w:rsidR="00EF7D54">
        <w:rPr>
          <w:sz w:val="24"/>
          <w:szCs w:val="24"/>
        </w:rPr>
        <w:t xml:space="preserve"> test results</w:t>
      </w:r>
      <w:r w:rsidR="006A6435" w:rsidRPr="00D74E8E">
        <w:rPr>
          <w:sz w:val="24"/>
          <w:szCs w:val="24"/>
        </w:rPr>
        <w:t xml:space="preserve"> in aggregate</w:t>
      </w:r>
      <w:r w:rsidR="00FF5438" w:rsidRPr="00D74E8E">
        <w:rPr>
          <w:sz w:val="24"/>
          <w:szCs w:val="24"/>
        </w:rPr>
        <w:t>.</w:t>
      </w:r>
      <w:r w:rsidR="00B31740" w:rsidRPr="00D74E8E">
        <w:rPr>
          <w:sz w:val="24"/>
          <w:szCs w:val="24"/>
        </w:rPr>
        <w:t xml:space="preserve"> </w:t>
      </w:r>
    </w:p>
    <w:p w14:paraId="793F4C2F" w14:textId="77777777" w:rsidR="00EF7D54" w:rsidRDefault="00EF7D54" w:rsidP="00EF7D54">
      <w:pPr>
        <w:rPr>
          <w:sz w:val="24"/>
          <w:szCs w:val="24"/>
        </w:rPr>
      </w:pPr>
      <w:r w:rsidRPr="00E238AA">
        <w:rPr>
          <w:sz w:val="24"/>
          <w:szCs w:val="24"/>
          <w:u w:val="single"/>
        </w:rPr>
        <w:t xml:space="preserve">ABLES is a long-standing state-based surveillance program of laboratory-reported adult blood lead levels (BLLs). The program objective is to build state capacity to initiate, expand, or improve adult blood lead surveillance programs which can accurately measure trends in adult blood lead levels and which can effectively intervene to prevent lead over-exposures. </w:t>
      </w:r>
      <w:r w:rsidRPr="001957F2">
        <w:rPr>
          <w:sz w:val="24"/>
          <w:szCs w:val="24"/>
        </w:rPr>
        <w:t xml:space="preserve">Occupational exposures </w:t>
      </w:r>
      <w:r>
        <w:rPr>
          <w:sz w:val="24"/>
          <w:szCs w:val="24"/>
        </w:rPr>
        <w:t xml:space="preserve">to adults </w:t>
      </w:r>
      <w:r w:rsidRPr="001957F2">
        <w:rPr>
          <w:sz w:val="24"/>
          <w:szCs w:val="24"/>
        </w:rPr>
        <w:t>may affect child lead exposure in several ways including: take-home (e.g., dust or residual) exposures from parents employed in lead-related industries; pregnant and breastfeeding women who are employed in lead-related industries may pass exposure to unborn baby or breastfeeding infant; and older children employed on a part-time or full-time basis in work that may involve lead (e.g., construction, commercial fishing).</w:t>
      </w:r>
      <w:r>
        <w:rPr>
          <w:sz w:val="24"/>
          <w:szCs w:val="24"/>
        </w:rPr>
        <w:t xml:space="preserve">  Hence, b</w:t>
      </w:r>
      <w:r w:rsidRPr="00072789">
        <w:rPr>
          <w:sz w:val="24"/>
          <w:szCs w:val="24"/>
        </w:rPr>
        <w:t>y combining the data collected from these two programs, CDC will be better able to identify and intervene for both childhood and adult lead exposure.</w:t>
      </w:r>
    </w:p>
    <w:p w14:paraId="2D648CD8" w14:textId="58BC4984" w:rsidR="00D46E96" w:rsidRPr="00D74E8E" w:rsidRDefault="00D46E96" w:rsidP="00EF7D54">
      <w:pPr>
        <w:rPr>
          <w:rFonts w:cs="Times New Roman"/>
          <w:sz w:val="24"/>
          <w:szCs w:val="24"/>
        </w:rPr>
      </w:pPr>
      <w:r w:rsidRPr="00D74E8E">
        <w:rPr>
          <w:rFonts w:cs="Times New Roman"/>
          <w:sz w:val="24"/>
          <w:szCs w:val="24"/>
        </w:rPr>
        <w:t xml:space="preserve">To coordinate their reporting and intervention activities for maximum efficiency, State ABLES </w:t>
      </w:r>
      <w:r w:rsidR="00D844E5">
        <w:rPr>
          <w:rFonts w:cs="Times New Roman"/>
          <w:sz w:val="24"/>
          <w:szCs w:val="24"/>
        </w:rPr>
        <w:t>Program</w:t>
      </w:r>
      <w:r w:rsidRPr="00D74E8E">
        <w:rPr>
          <w:rFonts w:cs="Times New Roman"/>
          <w:sz w:val="24"/>
          <w:szCs w:val="24"/>
        </w:rPr>
        <w:t xml:space="preserve">s are strongly encouraged to develop effective working relationships with </w:t>
      </w:r>
      <w:r w:rsidR="00863480">
        <w:rPr>
          <w:rFonts w:cs="Times New Roman"/>
          <w:sz w:val="24"/>
          <w:szCs w:val="24"/>
        </w:rPr>
        <w:t>CLPPP</w:t>
      </w:r>
      <w:r w:rsidRPr="00D74E8E">
        <w:rPr>
          <w:rFonts w:cs="Times New Roman"/>
          <w:sz w:val="24"/>
          <w:szCs w:val="24"/>
        </w:rPr>
        <w:t>s in their states</w:t>
      </w:r>
      <w:r w:rsidRPr="00D74E8E">
        <w:rPr>
          <w:sz w:val="24"/>
          <w:szCs w:val="24"/>
        </w:rPr>
        <w:t>. NIOSH encourages this collaboration to assist states better manage their software and IT resources.</w:t>
      </w:r>
      <w:r w:rsidR="00EF7D54" w:rsidRPr="00EF7D54">
        <w:rPr>
          <w:sz w:val="24"/>
          <w:szCs w:val="24"/>
        </w:rPr>
        <w:t xml:space="preserve"> </w:t>
      </w:r>
      <w:r w:rsidR="00EF7D54">
        <w:rPr>
          <w:sz w:val="24"/>
          <w:szCs w:val="24"/>
        </w:rPr>
        <w:t xml:space="preserve">For the first time with this ICR, </w:t>
      </w:r>
      <w:r w:rsidR="00EF7D54" w:rsidRPr="00D74E8E">
        <w:rPr>
          <w:sz w:val="24"/>
          <w:szCs w:val="24"/>
        </w:rPr>
        <w:t>NIOSH and NCEH HHLPPP are working together to incorporate adult blood lead information with childhood lead data</w:t>
      </w:r>
      <w:r w:rsidR="00EF7D54">
        <w:rPr>
          <w:sz w:val="24"/>
          <w:szCs w:val="24"/>
        </w:rPr>
        <w:t xml:space="preserve"> at the national level</w:t>
      </w:r>
      <w:r w:rsidR="00EF7D54" w:rsidRPr="00D74E8E">
        <w:rPr>
          <w:sz w:val="24"/>
          <w:szCs w:val="24"/>
        </w:rPr>
        <w:t>.</w:t>
      </w:r>
    </w:p>
    <w:p w14:paraId="0CBDF36C" w14:textId="5B04ED23" w:rsidR="00761A1E" w:rsidRPr="00D74E8E" w:rsidRDefault="00761A1E" w:rsidP="004B49F4">
      <w:pPr>
        <w:spacing w:before="120" w:after="240"/>
        <w:rPr>
          <w:sz w:val="24"/>
          <w:szCs w:val="24"/>
        </w:rPr>
      </w:pPr>
      <w:r>
        <w:rPr>
          <w:sz w:val="24"/>
          <w:szCs w:val="24"/>
        </w:rPr>
        <w:t>Other</w:t>
      </w:r>
      <w:r w:rsidR="00F14E1D" w:rsidRPr="00D74E8E">
        <w:rPr>
          <w:sz w:val="24"/>
          <w:szCs w:val="24"/>
        </w:rPr>
        <w:t xml:space="preserve"> agencies, organizations, and</w:t>
      </w:r>
      <w:r w:rsidR="00F14E1D">
        <w:rPr>
          <w:sz w:val="24"/>
          <w:szCs w:val="24"/>
        </w:rPr>
        <w:t>/or</w:t>
      </w:r>
      <w:r w:rsidR="00F14E1D" w:rsidRPr="00D74E8E">
        <w:rPr>
          <w:sz w:val="24"/>
          <w:szCs w:val="24"/>
        </w:rPr>
        <w:t xml:space="preserve"> CDC programs collect, or promote the collection of, blood lead data consistently with or following CDC’s CBLS and ABLES Program recommendations</w:t>
      </w:r>
      <w:r>
        <w:rPr>
          <w:sz w:val="24"/>
          <w:szCs w:val="24"/>
        </w:rPr>
        <w:t>.  However, with the exception of NHANES, all of the following data collections provide only aggregate summaries of the individual blood lead test results that are generated by State and local health departments through their support from CBLS and ABLES.  NHANES is fundamentally different from these other collections as it produces nationally-representative estimates of the distribution of blood lead levels in the U.S. population based on blood lead testing in small, stratified, randomly-selected sample of adults and children.</w:t>
      </w:r>
    </w:p>
    <w:p w14:paraId="6A0D19A4" w14:textId="3E648A37" w:rsidR="00811FCD" w:rsidRPr="00D74E8E" w:rsidRDefault="006A40D4" w:rsidP="004B49F4">
      <w:pPr>
        <w:spacing w:before="120" w:after="240" w:line="276" w:lineRule="auto"/>
        <w:rPr>
          <w:rFonts w:eastAsia="Times New Roman" w:cs="Times New Roman"/>
          <w:sz w:val="24"/>
          <w:szCs w:val="24"/>
        </w:rPr>
      </w:pPr>
      <w:r w:rsidRPr="004B49F4">
        <w:rPr>
          <w:b/>
          <w:sz w:val="24"/>
          <w:szCs w:val="24"/>
          <w:u w:val="single"/>
        </w:rPr>
        <w:t>CDC National Notifiable Disease</w:t>
      </w:r>
      <w:r w:rsidR="00FD35B0" w:rsidRPr="004B49F4">
        <w:rPr>
          <w:b/>
          <w:sz w:val="24"/>
          <w:szCs w:val="24"/>
          <w:u w:val="single"/>
        </w:rPr>
        <w:t>s</w:t>
      </w:r>
      <w:r w:rsidRPr="004B49F4">
        <w:rPr>
          <w:b/>
          <w:sz w:val="24"/>
          <w:szCs w:val="24"/>
          <w:u w:val="single"/>
        </w:rPr>
        <w:t xml:space="preserve"> Surveillance System (NNDSS)</w:t>
      </w:r>
      <w:r w:rsidRPr="00D74E8E">
        <w:rPr>
          <w:sz w:val="24"/>
          <w:szCs w:val="24"/>
        </w:rPr>
        <w:t xml:space="preserve">: </w:t>
      </w:r>
      <w:r w:rsidR="00F14E1D">
        <w:rPr>
          <w:sz w:val="24"/>
          <w:szCs w:val="24"/>
        </w:rPr>
        <w:t xml:space="preserve">CBLS </w:t>
      </w:r>
      <w:r w:rsidR="00494EE0" w:rsidRPr="00D74E8E">
        <w:rPr>
          <w:sz w:val="24"/>
          <w:szCs w:val="24"/>
        </w:rPr>
        <w:t>and ABLES</w:t>
      </w:r>
      <w:r w:rsidR="00380F01" w:rsidRPr="00D74E8E">
        <w:rPr>
          <w:sz w:val="24"/>
          <w:szCs w:val="24"/>
        </w:rPr>
        <w:t xml:space="preserve">, with input from CSTE, </w:t>
      </w:r>
      <w:r w:rsidR="00F14E1D">
        <w:rPr>
          <w:sz w:val="24"/>
          <w:szCs w:val="24"/>
        </w:rPr>
        <w:t xml:space="preserve">both </w:t>
      </w:r>
      <w:r w:rsidR="00380F01" w:rsidRPr="00D74E8E">
        <w:rPr>
          <w:sz w:val="24"/>
          <w:szCs w:val="24"/>
        </w:rPr>
        <w:t>have consistent case definition</w:t>
      </w:r>
      <w:r w:rsidR="00F14E1D">
        <w:rPr>
          <w:sz w:val="24"/>
          <w:szCs w:val="24"/>
        </w:rPr>
        <w:t>s</w:t>
      </w:r>
      <w:r w:rsidR="00380F01" w:rsidRPr="00D74E8E">
        <w:rPr>
          <w:sz w:val="24"/>
          <w:szCs w:val="24"/>
        </w:rPr>
        <w:t xml:space="preserve"> </w:t>
      </w:r>
      <w:r w:rsidR="00F14E1D">
        <w:rPr>
          <w:sz w:val="24"/>
          <w:szCs w:val="24"/>
        </w:rPr>
        <w:t>for</w:t>
      </w:r>
      <w:r w:rsidR="00F14E1D" w:rsidRPr="00D74E8E">
        <w:rPr>
          <w:sz w:val="24"/>
          <w:szCs w:val="24"/>
        </w:rPr>
        <w:t xml:space="preserve"> </w:t>
      </w:r>
      <w:r w:rsidR="00380F01" w:rsidRPr="00D74E8E">
        <w:rPr>
          <w:sz w:val="24"/>
          <w:szCs w:val="24"/>
        </w:rPr>
        <w:t>elevated BLL</w:t>
      </w:r>
      <w:r w:rsidR="00F14E1D">
        <w:rPr>
          <w:sz w:val="24"/>
          <w:szCs w:val="24"/>
        </w:rPr>
        <w:t>s</w:t>
      </w:r>
      <w:r w:rsidR="00380F01" w:rsidRPr="00D74E8E">
        <w:rPr>
          <w:sz w:val="24"/>
          <w:szCs w:val="24"/>
        </w:rPr>
        <w:t xml:space="preserve"> among </w:t>
      </w:r>
      <w:r w:rsidR="00F14E1D">
        <w:rPr>
          <w:sz w:val="24"/>
          <w:szCs w:val="24"/>
        </w:rPr>
        <w:t xml:space="preserve">children, less than 16 years of age, and </w:t>
      </w:r>
      <w:r w:rsidR="00380F01" w:rsidRPr="00D74E8E">
        <w:rPr>
          <w:sz w:val="24"/>
          <w:szCs w:val="24"/>
        </w:rPr>
        <w:t>adults, aged 16 years and over</w:t>
      </w:r>
      <w:r w:rsidR="00FD35B0" w:rsidRPr="00D74E8E">
        <w:rPr>
          <w:sz w:val="24"/>
          <w:szCs w:val="24"/>
        </w:rPr>
        <w:t xml:space="preserve"> </w:t>
      </w:r>
      <w:r w:rsidR="00FD35B0" w:rsidRPr="00D74E8E">
        <w:rPr>
          <w:rFonts w:eastAsia="Times New Roman" w:cs="Times New Roman"/>
          <w:sz w:val="24"/>
          <w:szCs w:val="24"/>
        </w:rPr>
        <w:t>(NNDSS, 2017; NIOSH, 2015</w:t>
      </w:r>
      <w:r w:rsidR="004718F2" w:rsidRPr="00D74E8E">
        <w:rPr>
          <w:rFonts w:eastAsia="Times New Roman" w:cs="Times New Roman"/>
          <w:sz w:val="24"/>
          <w:szCs w:val="24"/>
        </w:rPr>
        <w:t>a</w:t>
      </w:r>
      <w:r w:rsidR="00FD35B0" w:rsidRPr="00D74E8E">
        <w:rPr>
          <w:rFonts w:eastAsia="Times New Roman" w:cs="Times New Roman"/>
          <w:sz w:val="24"/>
          <w:szCs w:val="24"/>
        </w:rPr>
        <w:t>; CSTE</w:t>
      </w:r>
      <w:r w:rsidR="00EF0F12" w:rsidRPr="00D74E8E">
        <w:rPr>
          <w:rFonts w:eastAsia="Times New Roman" w:cs="Times New Roman"/>
          <w:sz w:val="24"/>
          <w:szCs w:val="24"/>
        </w:rPr>
        <w:t>, 2015</w:t>
      </w:r>
      <w:r w:rsidR="00FD35B0" w:rsidRPr="00D74E8E">
        <w:rPr>
          <w:rFonts w:eastAsia="Times New Roman" w:cs="Times New Roman"/>
          <w:sz w:val="24"/>
          <w:szCs w:val="24"/>
        </w:rPr>
        <w:t>).</w:t>
      </w:r>
      <w:r w:rsidR="00F14E1D">
        <w:rPr>
          <w:rFonts w:eastAsia="Times New Roman" w:cs="Times New Roman"/>
          <w:sz w:val="24"/>
          <w:szCs w:val="24"/>
        </w:rPr>
        <w:t xml:space="preserve"> </w:t>
      </w:r>
      <w:r w:rsidR="00F14E1D" w:rsidRPr="00D74E8E">
        <w:rPr>
          <w:sz w:val="24"/>
          <w:szCs w:val="24"/>
        </w:rPr>
        <w:t xml:space="preserve">The NIOSH ABLES Program is working to align adult blood lead surveillance with the NNDSS (OMB Control No. 0920-0728, expiration date 01/31/2019). </w:t>
      </w:r>
      <w:r w:rsidR="00494EE0" w:rsidRPr="00D74E8E">
        <w:rPr>
          <w:rFonts w:eastAsia="Times New Roman" w:cs="Times New Roman"/>
          <w:sz w:val="24"/>
          <w:szCs w:val="24"/>
        </w:rPr>
        <w:t xml:space="preserve">Currently, NIOSH ABLES </w:t>
      </w:r>
      <w:r w:rsidR="00F14E1D">
        <w:rPr>
          <w:rFonts w:eastAsia="Times New Roman" w:cs="Times New Roman"/>
          <w:sz w:val="24"/>
          <w:szCs w:val="24"/>
        </w:rPr>
        <w:t xml:space="preserve">AND NCEH CBLS </w:t>
      </w:r>
      <w:r w:rsidR="00494EE0" w:rsidRPr="00D74E8E">
        <w:rPr>
          <w:rFonts w:eastAsia="Times New Roman" w:cs="Times New Roman"/>
          <w:sz w:val="24"/>
          <w:szCs w:val="24"/>
        </w:rPr>
        <w:t>contribute</w:t>
      </w:r>
      <w:r w:rsidR="00F14E1D">
        <w:rPr>
          <w:rFonts w:eastAsia="Times New Roman" w:cs="Times New Roman"/>
          <w:sz w:val="24"/>
          <w:szCs w:val="24"/>
        </w:rPr>
        <w:t xml:space="preserve"> </w:t>
      </w:r>
      <w:r w:rsidR="008560A0" w:rsidRPr="00D74E8E">
        <w:rPr>
          <w:rFonts w:eastAsia="Times New Roman" w:cs="Times New Roman"/>
          <w:sz w:val="24"/>
          <w:szCs w:val="24"/>
        </w:rPr>
        <w:t xml:space="preserve">annual reporting </w:t>
      </w:r>
      <w:r w:rsidR="00494EE0" w:rsidRPr="00D74E8E">
        <w:rPr>
          <w:rFonts w:eastAsia="Times New Roman" w:cs="Times New Roman"/>
          <w:sz w:val="24"/>
          <w:szCs w:val="24"/>
        </w:rPr>
        <w:t xml:space="preserve">outside of direct </w:t>
      </w:r>
      <w:r w:rsidR="00172910" w:rsidRPr="00D74E8E">
        <w:rPr>
          <w:rFonts w:eastAsia="Times New Roman" w:cs="Times New Roman"/>
          <w:sz w:val="24"/>
          <w:szCs w:val="24"/>
        </w:rPr>
        <w:t>electronic reporting</w:t>
      </w:r>
      <w:r w:rsidR="008560A0" w:rsidRPr="00D74E8E">
        <w:rPr>
          <w:rFonts w:eastAsia="Times New Roman" w:cs="Times New Roman"/>
          <w:sz w:val="24"/>
          <w:szCs w:val="24"/>
        </w:rPr>
        <w:t xml:space="preserve"> to NNDSS</w:t>
      </w:r>
      <w:r w:rsidR="00AE4BC7" w:rsidRPr="00D74E8E">
        <w:rPr>
          <w:rFonts w:eastAsia="Times New Roman" w:cs="Times New Roman"/>
          <w:sz w:val="24"/>
          <w:szCs w:val="24"/>
        </w:rPr>
        <w:t>, which uses</w:t>
      </w:r>
      <w:r w:rsidR="00172910" w:rsidRPr="00D74E8E">
        <w:rPr>
          <w:rFonts w:eastAsia="Times New Roman" w:cs="Times New Roman"/>
          <w:sz w:val="24"/>
          <w:szCs w:val="24"/>
        </w:rPr>
        <w:t xml:space="preserve"> the</w:t>
      </w:r>
      <w:r w:rsidR="00494EE0" w:rsidRPr="00D74E8E">
        <w:rPr>
          <w:rFonts w:eastAsia="Times New Roman" w:cs="Times New Roman"/>
          <w:sz w:val="24"/>
          <w:szCs w:val="24"/>
        </w:rPr>
        <w:t xml:space="preserve"> </w:t>
      </w:r>
      <w:r w:rsidR="00494EE0" w:rsidRPr="00D74E8E">
        <w:rPr>
          <w:sz w:val="24"/>
          <w:szCs w:val="24"/>
          <w:lang w:val="en"/>
        </w:rPr>
        <w:t>National Electronic Disease Surveillance System (NEDSS) Base System (NBS)</w:t>
      </w:r>
      <w:r w:rsidR="00991F5B" w:rsidRPr="00D74E8E">
        <w:rPr>
          <w:sz w:val="24"/>
          <w:szCs w:val="24"/>
          <w:lang w:val="en"/>
        </w:rPr>
        <w:t xml:space="preserve"> architecture</w:t>
      </w:r>
      <w:r w:rsidR="009F6F00">
        <w:rPr>
          <w:sz w:val="24"/>
          <w:szCs w:val="24"/>
          <w:lang w:val="en"/>
        </w:rPr>
        <w:t xml:space="preserve"> (CDC, 2016)</w:t>
      </w:r>
      <w:r w:rsidR="00494EE0" w:rsidRPr="00D74E8E">
        <w:rPr>
          <w:sz w:val="24"/>
          <w:szCs w:val="24"/>
          <w:lang w:val="en"/>
        </w:rPr>
        <w:t>.</w:t>
      </w:r>
      <w:r w:rsidR="00991F5B" w:rsidRPr="00D74E8E">
        <w:rPr>
          <w:rStyle w:val="FootnoteReference"/>
          <w:sz w:val="24"/>
          <w:szCs w:val="24"/>
          <w:lang w:val="en"/>
        </w:rPr>
        <w:footnoteReference w:id="6"/>
      </w:r>
      <w:r w:rsidR="00494EE0" w:rsidRPr="00D74E8E">
        <w:rPr>
          <w:sz w:val="24"/>
          <w:szCs w:val="24"/>
          <w:lang w:val="en"/>
        </w:rPr>
        <w:t xml:space="preserve"> </w:t>
      </w:r>
    </w:p>
    <w:p w14:paraId="1769F14F" w14:textId="77777777" w:rsidR="00F14E1D" w:rsidRPr="00D74E8E" w:rsidRDefault="00F14E1D" w:rsidP="00D271EF">
      <w:pPr>
        <w:pStyle w:val="NormalWeb"/>
        <w:spacing w:after="120" w:afterAutospacing="0" w:line="276" w:lineRule="auto"/>
        <w:rPr>
          <w:rFonts w:cs="Palatino-Roman"/>
        </w:rPr>
      </w:pPr>
      <w:r w:rsidRPr="004B49F4">
        <w:rPr>
          <w:rFonts w:asciiTheme="minorHAnsi" w:hAnsiTheme="minorHAnsi"/>
          <w:b/>
          <w:u w:val="single"/>
        </w:rPr>
        <w:t>CDC National Health and Nutrition Examination Survey (NHANES)</w:t>
      </w:r>
      <w:r w:rsidRPr="00D74E8E">
        <w:rPr>
          <w:rFonts w:asciiTheme="minorHAnsi" w:hAnsiTheme="minorHAnsi"/>
        </w:rPr>
        <w:t>: CDC</w:t>
      </w:r>
      <w:r>
        <w:rPr>
          <w:rFonts w:asciiTheme="minorHAnsi" w:hAnsiTheme="minorHAnsi"/>
        </w:rPr>
        <w:t>’s NHANES</w:t>
      </w:r>
      <w:r w:rsidRPr="00D74E8E">
        <w:rPr>
          <w:rFonts w:asciiTheme="minorHAnsi" w:hAnsiTheme="minorHAnsi"/>
        </w:rPr>
        <w:t xml:space="preserve"> </w:t>
      </w:r>
      <w:r>
        <w:rPr>
          <w:rFonts w:asciiTheme="minorHAnsi" w:hAnsiTheme="minorHAnsi"/>
        </w:rPr>
        <w:t xml:space="preserve">collects population-based data through a series of surveys administered since the early 1960’s on stratified, random samples of non-institutionalized adults and children in the U.S.  These data are used to produce nationally-representative information on the health and nutritional status of the U.S. population.   Since 1976, blood lead levels have been collected on a subset of NHANES participants </w:t>
      </w:r>
      <w:r>
        <w:rPr>
          <w:rStyle w:val="A1"/>
          <w:rFonts w:asciiTheme="minorHAnsi" w:hAnsiTheme="minorHAnsi"/>
          <w:color w:val="auto"/>
        </w:rPr>
        <w:t>and these data have been</w:t>
      </w:r>
      <w:r w:rsidRPr="00D74E8E">
        <w:rPr>
          <w:rStyle w:val="A1"/>
          <w:rFonts w:asciiTheme="minorHAnsi" w:hAnsiTheme="minorHAnsi"/>
          <w:color w:val="auto"/>
        </w:rPr>
        <w:t xml:space="preserve"> instrumental in developing policies to eliminate lead from gasoline and </w:t>
      </w:r>
      <w:r>
        <w:rPr>
          <w:rStyle w:val="A1"/>
          <w:rFonts w:asciiTheme="minorHAnsi" w:hAnsiTheme="minorHAnsi"/>
          <w:color w:val="auto"/>
        </w:rPr>
        <w:t>other consumer products</w:t>
      </w:r>
      <w:r w:rsidRPr="00D74E8E">
        <w:rPr>
          <w:rStyle w:val="A1"/>
          <w:rFonts w:asciiTheme="minorHAnsi" w:hAnsiTheme="minorHAnsi"/>
          <w:color w:val="auto"/>
        </w:rPr>
        <w:t xml:space="preserve">. Recent survey data indicate the policy has been even more effective than originally envisioned, with a decline in elevated BLLs of more than 70% since the 1970s (CDC, 2014). </w:t>
      </w:r>
      <w:r>
        <w:rPr>
          <w:rStyle w:val="A1"/>
          <w:rFonts w:asciiTheme="minorHAnsi" w:hAnsiTheme="minorHAnsi"/>
          <w:color w:val="auto"/>
        </w:rPr>
        <w:t xml:space="preserve">Additionally, </w:t>
      </w:r>
      <w:r w:rsidRPr="00D74E8E">
        <w:rPr>
          <w:rStyle w:val="A1"/>
          <w:rFonts w:asciiTheme="minorHAnsi" w:hAnsiTheme="minorHAnsi"/>
          <w:color w:val="auto"/>
        </w:rPr>
        <w:t>NHANES is a vital part of the CDC’s lead poisoning prevention policies</w:t>
      </w:r>
      <w:r>
        <w:rPr>
          <w:rStyle w:val="A1"/>
          <w:rFonts w:asciiTheme="minorHAnsi" w:hAnsiTheme="minorHAnsi"/>
          <w:color w:val="auto"/>
        </w:rPr>
        <w:t xml:space="preserve"> to define a population-based blood lead reference values in </w:t>
      </w:r>
      <w:r w:rsidRPr="00D74E8E">
        <w:rPr>
          <w:rFonts w:asciiTheme="minorHAnsi" w:hAnsiTheme="minorHAnsi" w:cs="Palatino-Roman"/>
        </w:rPr>
        <w:t>children aged 1 to 5 years, as greater than or equal to the 97.5</w:t>
      </w:r>
      <w:r w:rsidRPr="00D74E8E">
        <w:rPr>
          <w:rFonts w:asciiTheme="minorHAnsi" w:hAnsiTheme="minorHAnsi" w:cs="Palatino-Roman"/>
          <w:vertAlign w:val="superscript"/>
        </w:rPr>
        <w:t>th</w:t>
      </w:r>
      <w:r w:rsidRPr="00D74E8E">
        <w:rPr>
          <w:rFonts w:asciiTheme="minorHAnsi" w:hAnsiTheme="minorHAnsi" w:cs="Palatino-Roman"/>
        </w:rPr>
        <w:t xml:space="preserve"> percentile using two consecutive cycles of NHANES (ACCLPP, 2012</w:t>
      </w:r>
      <w:r>
        <w:rPr>
          <w:rFonts w:asciiTheme="minorHAnsi" w:hAnsiTheme="minorHAnsi" w:cs="Palatino-Roman"/>
        </w:rPr>
        <w:t>; CDC, 2012</w:t>
      </w:r>
      <w:r w:rsidRPr="00D74E8E">
        <w:rPr>
          <w:rFonts w:asciiTheme="minorHAnsi" w:hAnsiTheme="minorHAnsi" w:cs="Palatino-Roman"/>
        </w:rPr>
        <w:t xml:space="preserve">). </w:t>
      </w:r>
    </w:p>
    <w:p w14:paraId="565B293B" w14:textId="77777777" w:rsidR="00F14E1D" w:rsidRPr="00D271EF" w:rsidRDefault="00F14E1D" w:rsidP="00F14E1D">
      <w:pPr>
        <w:pStyle w:val="NormalWeb"/>
        <w:spacing w:after="240" w:afterAutospacing="0" w:line="276" w:lineRule="auto"/>
      </w:pPr>
      <w:r w:rsidRPr="00D271EF">
        <w:rPr>
          <w:rFonts w:asciiTheme="minorHAnsi" w:hAnsiTheme="minorHAnsi"/>
        </w:rPr>
        <w:t xml:space="preserve">The FY14 HHLPSS and the FY17 CBLS data, collected according to state and local policies, fundamentally differ from the NHANES estimates which are based on stratified random sampling designs. To reiterate the 2015 HHLPSS Terms of Clearance: </w:t>
      </w:r>
      <w:r w:rsidRPr="00D271EF">
        <w:rPr>
          <w:rFonts w:asciiTheme="minorHAnsi" w:hAnsiTheme="minorHAnsi" w:cs="ArialMT"/>
          <w:i/>
        </w:rPr>
        <w:t>“These (CBLS) data were collected for program management purposes. The data are not generalizable at the national, state, or local level.”</w:t>
      </w:r>
    </w:p>
    <w:p w14:paraId="3CF08A74" w14:textId="77777777" w:rsidR="00106019" w:rsidRPr="004B49F4" w:rsidRDefault="00F14E1D" w:rsidP="004B49F4">
      <w:pPr>
        <w:spacing w:before="120" w:line="276" w:lineRule="auto"/>
        <w:rPr>
          <w:rFonts w:cs="Arial"/>
          <w:sz w:val="24"/>
          <w:szCs w:val="24"/>
        </w:rPr>
      </w:pPr>
      <w:r w:rsidRPr="004B49F4">
        <w:rPr>
          <w:b/>
          <w:sz w:val="24"/>
          <w:szCs w:val="24"/>
          <w:u w:val="single"/>
        </w:rPr>
        <w:t>NCEH Tracking Program</w:t>
      </w:r>
      <w:r w:rsidRPr="004B49F4">
        <w:rPr>
          <w:sz w:val="24"/>
          <w:szCs w:val="24"/>
        </w:rPr>
        <w:t>: The Tracking ICR is titled, “</w:t>
      </w:r>
      <w:r w:rsidRPr="004B49F4">
        <w:rPr>
          <w:rFonts w:cs="Arial"/>
          <w:sz w:val="24"/>
          <w:szCs w:val="24"/>
        </w:rPr>
        <w:t>Environmental Public Health Tracking Network (Tracking Network)” (OMB Control No. 0920-1175, expiration date 04/30/2020)</w:t>
      </w:r>
      <w:r w:rsidR="00106019" w:rsidRPr="004B49F4">
        <w:rPr>
          <w:rFonts w:cs="Arial"/>
          <w:sz w:val="24"/>
          <w:szCs w:val="24"/>
        </w:rPr>
        <w:t>.</w:t>
      </w:r>
      <w:r w:rsidRPr="00D271EF">
        <w:rPr>
          <w:rStyle w:val="FootnoteReference"/>
          <w:rFonts w:cs="Arial"/>
          <w:sz w:val="24"/>
          <w:szCs w:val="24"/>
        </w:rPr>
        <w:footnoteReference w:id="7"/>
      </w:r>
      <w:r w:rsidRPr="004B49F4">
        <w:rPr>
          <w:rFonts w:cs="Arial"/>
          <w:sz w:val="24"/>
          <w:szCs w:val="24"/>
        </w:rPr>
        <w:t xml:space="preserve"> </w:t>
      </w:r>
      <w:r w:rsidR="00106019" w:rsidRPr="004B49F4">
        <w:rPr>
          <w:rFonts w:cs="Arial"/>
          <w:sz w:val="24"/>
          <w:szCs w:val="24"/>
        </w:rPr>
        <w:t xml:space="preserve"> </w:t>
      </w:r>
      <w:r w:rsidRPr="004B49F4">
        <w:rPr>
          <w:sz w:val="24"/>
          <w:szCs w:val="24"/>
        </w:rPr>
        <w:t>Aggregate childhood BLL data are currently submitted annually to the Tracking Program from its awardees under program announcements, CDC-RFA-EH14-1403 and CDC-RFA-EH14-1405, and for FY17, under CDC-RFA-EH17-1702</w:t>
      </w:r>
      <w:r w:rsidR="00106019" w:rsidRPr="004B49F4">
        <w:rPr>
          <w:sz w:val="24"/>
          <w:szCs w:val="24"/>
        </w:rPr>
        <w:t>. The</w:t>
      </w:r>
      <w:r w:rsidRPr="004B49F4">
        <w:rPr>
          <w:rFonts w:cs="Arial"/>
          <w:sz w:val="24"/>
          <w:szCs w:val="24"/>
        </w:rPr>
        <w:t xml:space="preserve"> Tracking BLL reporting is in the form of annual aggregate counts for children, in age categories from 0 to &lt;72 months, and with BLL categories ranging from &lt;5 to ≥70 µg/dL. </w:t>
      </w:r>
      <w:r w:rsidR="00106019" w:rsidRPr="004B49F4">
        <w:rPr>
          <w:rFonts w:cs="Arial"/>
          <w:sz w:val="24"/>
          <w:szCs w:val="24"/>
        </w:rPr>
        <w:t>The Tracking Program also asks whether the childhood BLLs are confirmed or not confirmed as defined</w:t>
      </w:r>
      <w:r w:rsidR="00106019" w:rsidRPr="004B49F4">
        <w:rPr>
          <w:rFonts w:eastAsia="Times New Roman" w:cs="Times New Roman"/>
          <w:sz w:val="24"/>
          <w:szCs w:val="24"/>
        </w:rPr>
        <w:t xml:space="preserve"> by the </w:t>
      </w:r>
      <w:hyperlink r:id="rId14" w:tgtFrame="_blank" w:history="1">
        <w:r w:rsidR="00106019" w:rsidRPr="004B49F4">
          <w:rPr>
            <w:rFonts w:eastAsia="Times New Roman" w:cs="Times New Roman"/>
            <w:sz w:val="24"/>
            <w:szCs w:val="24"/>
          </w:rPr>
          <w:t>CSTE (CSTE, 2015)</w:t>
        </w:r>
      </w:hyperlink>
      <w:r w:rsidR="00106019" w:rsidRPr="004B49F4">
        <w:rPr>
          <w:rFonts w:eastAsia="Times New Roman" w:cs="Times New Roman"/>
          <w:sz w:val="24"/>
          <w:szCs w:val="24"/>
        </w:rPr>
        <w:t xml:space="preserve">, and CDC’s </w:t>
      </w:r>
      <w:hyperlink r:id="rId15" w:history="1">
        <w:r w:rsidR="00106019" w:rsidRPr="004B49F4">
          <w:rPr>
            <w:rFonts w:eastAsia="Times New Roman" w:cs="Times New Roman"/>
            <w:sz w:val="24"/>
            <w:szCs w:val="24"/>
          </w:rPr>
          <w:t xml:space="preserve">NNDSS (OMB Control No. </w:t>
        </w:r>
        <w:r w:rsidR="00106019" w:rsidRPr="004B49F4">
          <w:rPr>
            <w:rFonts w:cs="Arial"/>
            <w:sz w:val="24"/>
            <w:szCs w:val="24"/>
          </w:rPr>
          <w:t>0920-0728, expiration date 01/31/2019)</w:t>
        </w:r>
        <w:r w:rsidR="00106019" w:rsidRPr="004B49F4">
          <w:rPr>
            <w:rFonts w:eastAsia="Times New Roman" w:cs="Times New Roman"/>
            <w:sz w:val="24"/>
            <w:szCs w:val="24"/>
          </w:rPr>
          <w:t xml:space="preserve"> (NNDSS, 2017)</w:t>
        </w:r>
      </w:hyperlink>
      <w:r w:rsidR="00106019" w:rsidRPr="004B49F4">
        <w:rPr>
          <w:rFonts w:eastAsia="Times New Roman" w:cs="Times New Roman"/>
          <w:sz w:val="24"/>
          <w:szCs w:val="24"/>
        </w:rPr>
        <w:t>.</w:t>
      </w:r>
    </w:p>
    <w:p w14:paraId="1371C858" w14:textId="32172537" w:rsidR="00EF7D54" w:rsidRPr="00D271EF" w:rsidRDefault="00106019" w:rsidP="004B49F4">
      <w:pPr>
        <w:spacing w:before="120" w:after="240" w:line="276" w:lineRule="auto"/>
        <w:rPr>
          <w:sz w:val="24"/>
          <w:szCs w:val="24"/>
        </w:rPr>
      </w:pPr>
      <w:r w:rsidRPr="00D271EF">
        <w:rPr>
          <w:rFonts w:cs="Arial"/>
          <w:sz w:val="24"/>
          <w:szCs w:val="24"/>
        </w:rPr>
        <w:t xml:space="preserve">The FY14 HHLPSS and the FY17 CBLS data fundamentally differ from the Tracking Program annual aggregate counts because HHLPSS and CBLS involve individual-level data (that is de-identified) used for program management. The Tracking Program emphasizes </w:t>
      </w:r>
      <w:r w:rsidR="00A15153" w:rsidRPr="00D271EF">
        <w:rPr>
          <w:rFonts w:cs="Arial"/>
          <w:sz w:val="24"/>
          <w:szCs w:val="24"/>
        </w:rPr>
        <w:t xml:space="preserve">web-based </w:t>
      </w:r>
      <w:r w:rsidRPr="00D271EF">
        <w:rPr>
          <w:rFonts w:cs="Arial"/>
          <w:sz w:val="24"/>
          <w:szCs w:val="24"/>
        </w:rPr>
        <w:t>dissemination of a large number of various environmental health indicators</w:t>
      </w:r>
      <w:r w:rsidR="00A15153" w:rsidRPr="00D271EF">
        <w:rPr>
          <w:rFonts w:cs="Arial"/>
          <w:sz w:val="24"/>
          <w:szCs w:val="24"/>
        </w:rPr>
        <w:t xml:space="preserve"> on environmental hazards, exposures, and health outcomes</w:t>
      </w:r>
      <w:r w:rsidRPr="00D271EF">
        <w:rPr>
          <w:rFonts w:cs="Arial"/>
          <w:sz w:val="24"/>
          <w:szCs w:val="24"/>
        </w:rPr>
        <w:t xml:space="preserve"> in aggregate form.  There is some </w:t>
      </w:r>
      <w:r w:rsidR="00F14E1D" w:rsidRPr="004B49F4">
        <w:rPr>
          <w:rFonts w:cs="Arial"/>
          <w:sz w:val="24"/>
          <w:szCs w:val="24"/>
        </w:rPr>
        <w:t>duplication of effort with CBLS</w:t>
      </w:r>
      <w:r w:rsidRPr="00D271EF">
        <w:rPr>
          <w:rFonts w:cs="Arial"/>
          <w:sz w:val="24"/>
          <w:szCs w:val="24"/>
        </w:rPr>
        <w:t xml:space="preserve"> since there are some states that participate in both CDC Programs; however, the duplication is minimal as the data required by the Tracking Program is readily available among CLPPP awardees</w:t>
      </w:r>
      <w:r w:rsidR="00F14E1D" w:rsidRPr="004B49F4">
        <w:rPr>
          <w:rFonts w:cs="Arial"/>
          <w:sz w:val="24"/>
          <w:szCs w:val="24"/>
        </w:rPr>
        <w:t>. Th</w:t>
      </w:r>
      <w:r w:rsidRPr="00D271EF">
        <w:rPr>
          <w:rFonts w:cs="Arial"/>
          <w:sz w:val="24"/>
          <w:szCs w:val="24"/>
        </w:rPr>
        <w:t>us, th</w:t>
      </w:r>
      <w:r w:rsidR="00F14E1D" w:rsidRPr="004B49F4">
        <w:rPr>
          <w:rFonts w:cs="Arial"/>
          <w:sz w:val="24"/>
          <w:szCs w:val="24"/>
        </w:rPr>
        <w:t xml:space="preserve">e Tracking annual aggregates come from </w:t>
      </w:r>
      <w:r w:rsidR="00F14E1D" w:rsidRPr="00D271EF">
        <w:rPr>
          <w:rFonts w:cs="Arial"/>
          <w:sz w:val="24"/>
          <w:szCs w:val="24"/>
        </w:rPr>
        <w:t>Tracking awardees and volunteer programs, which are not H</w:t>
      </w:r>
      <w:r w:rsidR="00A15153" w:rsidRPr="00D271EF">
        <w:rPr>
          <w:rFonts w:cs="Arial"/>
          <w:sz w:val="24"/>
          <w:szCs w:val="24"/>
        </w:rPr>
        <w:t xml:space="preserve">HLPPP awardees as well as Tracking awardees who are also CBLS awardees. </w:t>
      </w:r>
      <w:r w:rsidRPr="00D271EF">
        <w:rPr>
          <w:rFonts w:cs="Arial"/>
          <w:sz w:val="24"/>
          <w:szCs w:val="24"/>
        </w:rPr>
        <w:t xml:space="preserve">  </w:t>
      </w:r>
    </w:p>
    <w:p w14:paraId="3537DA69" w14:textId="55A7E58C" w:rsidR="00495B0B" w:rsidRPr="00D271EF" w:rsidRDefault="00495B0B" w:rsidP="004B49F4">
      <w:pPr>
        <w:spacing w:line="276" w:lineRule="auto"/>
        <w:rPr>
          <w:rFonts w:cs="Times New Roman"/>
          <w:sz w:val="24"/>
          <w:szCs w:val="24"/>
        </w:rPr>
      </w:pPr>
      <w:r w:rsidRPr="004B49F4">
        <w:rPr>
          <w:rFonts w:ascii="Calibri" w:hAnsi="Calibri" w:cs="Calibri"/>
          <w:b/>
          <w:sz w:val="24"/>
          <w:szCs w:val="24"/>
          <w:u w:val="single"/>
        </w:rPr>
        <w:t>Centers for Medicare &amp; Medicaid Services (CMS)</w:t>
      </w:r>
      <w:r w:rsidRPr="004B49F4">
        <w:rPr>
          <w:rFonts w:ascii="Calibri" w:hAnsi="Calibri" w:cs="Calibri"/>
          <w:b/>
          <w:sz w:val="24"/>
          <w:szCs w:val="24"/>
          <w:vertAlign w:val="superscript"/>
        </w:rPr>
        <w:t xml:space="preserve"> </w:t>
      </w:r>
      <w:r w:rsidRPr="00D271EF">
        <w:rPr>
          <w:rStyle w:val="FootnoteReference"/>
          <w:rFonts w:ascii="Calibri" w:hAnsi="Calibri" w:cs="Calibri"/>
          <w:sz w:val="24"/>
          <w:szCs w:val="24"/>
        </w:rPr>
        <w:footnoteReference w:id="8"/>
      </w:r>
      <w:r w:rsidRPr="00D271EF">
        <w:rPr>
          <w:rFonts w:ascii="Calibri" w:hAnsi="Calibri" w:cs="Calibri"/>
          <w:sz w:val="24"/>
          <w:szCs w:val="24"/>
          <w:vertAlign w:val="superscript"/>
        </w:rPr>
        <w:t>,</w:t>
      </w:r>
      <w:r w:rsidRPr="00D271EF">
        <w:rPr>
          <w:rStyle w:val="FootnoteReference"/>
          <w:sz w:val="24"/>
          <w:szCs w:val="24"/>
        </w:rPr>
        <w:footnoteReference w:id="9"/>
      </w:r>
      <w:r w:rsidRPr="00D271EF">
        <w:rPr>
          <w:rFonts w:ascii="Calibri" w:hAnsi="Calibri" w:cs="Calibri"/>
          <w:sz w:val="24"/>
          <w:szCs w:val="24"/>
          <w:vertAlign w:val="superscript"/>
        </w:rPr>
        <w:t>,</w:t>
      </w:r>
      <w:r w:rsidRPr="00D271EF">
        <w:rPr>
          <w:rStyle w:val="FootnoteReference"/>
          <w:rFonts w:ascii="Calibri" w:hAnsi="Calibri" w:cs="Calibri"/>
          <w:sz w:val="24"/>
          <w:szCs w:val="24"/>
        </w:rPr>
        <w:footnoteReference w:id="10"/>
      </w:r>
      <w:r w:rsidRPr="00D271EF">
        <w:rPr>
          <w:rFonts w:ascii="Calibri" w:hAnsi="Calibri" w:cs="Calibri"/>
          <w:sz w:val="24"/>
          <w:szCs w:val="24"/>
        </w:rPr>
        <w:t>:</w:t>
      </w:r>
      <w:r w:rsidRPr="00D271EF">
        <w:rPr>
          <w:sz w:val="24"/>
          <w:szCs w:val="24"/>
        </w:rPr>
        <w:t xml:space="preserve"> All children enrolled in Medicaid are required to receive blood lead screening tests at ages 12 months and 24 months. In addition, any child between ages 24 and 72 months with no record of a previous blood lead screening test must receive one. Completion of a risk assessment questionnaire does not meet the Medicaid requirement. The Medicaid requirement is met only when the two blood lead screening tests identified above (or a catch-up blood lead screening test) are conducted.</w:t>
      </w:r>
      <w:r w:rsidR="00A15153" w:rsidRPr="00D271EF">
        <w:rPr>
          <w:sz w:val="24"/>
          <w:szCs w:val="24"/>
        </w:rPr>
        <w:t xml:space="preserve">  These test results are captured by State-based CLPPPs, where these programs exist and as blood lead reporting laws require.  </w:t>
      </w:r>
    </w:p>
    <w:p w14:paraId="75625D33" w14:textId="32760DE1" w:rsidR="00A15153" w:rsidRPr="004B49F4" w:rsidRDefault="00A15153" w:rsidP="004B49F4">
      <w:pPr>
        <w:rPr>
          <w:sz w:val="24"/>
          <w:szCs w:val="24"/>
        </w:rPr>
      </w:pPr>
      <w:r w:rsidRPr="004B49F4">
        <w:rPr>
          <w:sz w:val="24"/>
          <w:szCs w:val="24"/>
        </w:rPr>
        <w:t xml:space="preserve">In addition, State </w:t>
      </w:r>
      <w:r w:rsidR="00495B0B" w:rsidRPr="004B49F4">
        <w:rPr>
          <w:sz w:val="24"/>
          <w:szCs w:val="24"/>
        </w:rPr>
        <w:t>Medicaid agencies are required to submit E</w:t>
      </w:r>
      <w:r w:rsidRPr="004B49F4">
        <w:rPr>
          <w:sz w:val="24"/>
          <w:szCs w:val="24"/>
        </w:rPr>
        <w:t xml:space="preserve">arly </w:t>
      </w:r>
      <w:r w:rsidR="00495B0B" w:rsidRPr="004B49F4">
        <w:rPr>
          <w:sz w:val="24"/>
          <w:szCs w:val="24"/>
        </w:rPr>
        <w:t>P</w:t>
      </w:r>
      <w:r w:rsidRPr="004B49F4">
        <w:rPr>
          <w:sz w:val="24"/>
          <w:szCs w:val="24"/>
        </w:rPr>
        <w:t xml:space="preserve">eriodic </w:t>
      </w:r>
      <w:r w:rsidR="00495B0B" w:rsidRPr="004B49F4">
        <w:rPr>
          <w:sz w:val="24"/>
          <w:szCs w:val="24"/>
        </w:rPr>
        <w:t>S</w:t>
      </w:r>
      <w:r w:rsidRPr="004B49F4">
        <w:rPr>
          <w:sz w:val="24"/>
          <w:szCs w:val="24"/>
        </w:rPr>
        <w:t xml:space="preserve">creening, </w:t>
      </w:r>
      <w:r w:rsidR="00495B0B" w:rsidRPr="004B49F4">
        <w:rPr>
          <w:sz w:val="24"/>
          <w:szCs w:val="24"/>
        </w:rPr>
        <w:t>D</w:t>
      </w:r>
      <w:r w:rsidRPr="004B49F4">
        <w:rPr>
          <w:sz w:val="24"/>
          <w:szCs w:val="24"/>
        </w:rPr>
        <w:t xml:space="preserve">iagnosis, and </w:t>
      </w:r>
      <w:r w:rsidR="00495B0B" w:rsidRPr="004B49F4">
        <w:rPr>
          <w:sz w:val="24"/>
          <w:szCs w:val="24"/>
        </w:rPr>
        <w:t>T</w:t>
      </w:r>
      <w:r w:rsidRPr="004B49F4">
        <w:rPr>
          <w:sz w:val="24"/>
          <w:szCs w:val="24"/>
        </w:rPr>
        <w:t>reatment (EPSDT)</w:t>
      </w:r>
      <w:r w:rsidR="00495B0B" w:rsidRPr="004B49F4">
        <w:rPr>
          <w:sz w:val="24"/>
          <w:szCs w:val="24"/>
        </w:rPr>
        <w:t xml:space="preserve"> data annually using the Form CMS-416</w:t>
      </w:r>
      <w:r w:rsidRPr="004B49F4">
        <w:rPr>
          <w:sz w:val="24"/>
          <w:szCs w:val="24"/>
        </w:rPr>
        <w:t>, line 14, total number of screening blood lead tests</w:t>
      </w:r>
      <w:r w:rsidR="00495B0B" w:rsidRPr="004B49F4">
        <w:rPr>
          <w:sz w:val="24"/>
          <w:szCs w:val="24"/>
        </w:rPr>
        <w:t xml:space="preserve"> (</w:t>
      </w:r>
      <w:r w:rsidR="00495B0B" w:rsidRPr="004B49F4">
        <w:rPr>
          <w:rFonts w:cs="Helvetica-Bold"/>
          <w:bCs/>
          <w:sz w:val="24"/>
          <w:szCs w:val="24"/>
        </w:rPr>
        <w:t>Annual EPSDT Participation Report</w:t>
      </w:r>
      <w:r w:rsidR="00495B0B" w:rsidRPr="004B49F4">
        <w:rPr>
          <w:rFonts w:cs="Helvetica"/>
          <w:sz w:val="24"/>
          <w:szCs w:val="24"/>
        </w:rPr>
        <w:t>; OMB Control No. 0938-0354; expiration date 06/30/2020)</w:t>
      </w:r>
      <w:r w:rsidR="00495B0B" w:rsidRPr="004B49F4">
        <w:rPr>
          <w:sz w:val="24"/>
          <w:szCs w:val="24"/>
        </w:rPr>
        <w:t>, including the aggregate number of blood lead screening tests for children enrolled in Medicaid, from birth to age 6 years.</w:t>
      </w:r>
      <w:r w:rsidR="002901BA" w:rsidRPr="004B49F4">
        <w:rPr>
          <w:sz w:val="24"/>
          <w:szCs w:val="24"/>
        </w:rPr>
        <w:t xml:space="preserve"> </w:t>
      </w:r>
      <w:r w:rsidRPr="004B49F4">
        <w:rPr>
          <w:sz w:val="24"/>
          <w:szCs w:val="24"/>
        </w:rPr>
        <w:t xml:space="preserve"> The number of blood lead screenings provided is calculated using CPT code 83655 (“lead”) for a blood lead test. Follow-up blood tests performed on individuals who have been diagnosed with or are being treated for lead poisoning should not be counted. Alternatively, States may opt to include data collected from use of the HEDIS® measure developed by the National Committee for Quality Assurance to report blood lead screenings if </w:t>
      </w:r>
      <w:r w:rsidR="008F1466" w:rsidRPr="004B49F4">
        <w:rPr>
          <w:sz w:val="24"/>
          <w:szCs w:val="24"/>
        </w:rPr>
        <w:t>their</w:t>
      </w:r>
      <w:r w:rsidRPr="004B49F4">
        <w:rPr>
          <w:sz w:val="24"/>
          <w:szCs w:val="24"/>
        </w:rPr>
        <w:t xml:space="preserve"> state has elected to use this performance measure</w:t>
      </w:r>
      <w:r w:rsidR="00D271EF">
        <w:rPr>
          <w:sz w:val="24"/>
          <w:szCs w:val="24"/>
        </w:rPr>
        <w:t xml:space="preserve"> (CMS, 2017)</w:t>
      </w:r>
      <w:r w:rsidRPr="004B49F4">
        <w:rPr>
          <w:sz w:val="24"/>
          <w:szCs w:val="24"/>
        </w:rPr>
        <w:t>.</w:t>
      </w:r>
    </w:p>
    <w:p w14:paraId="77D2E146" w14:textId="707122C7" w:rsidR="008F1466" w:rsidRPr="004B49F4" w:rsidRDefault="008F1466" w:rsidP="004B49F4">
      <w:pPr>
        <w:spacing w:after="240" w:line="276" w:lineRule="auto"/>
        <w:rPr>
          <w:sz w:val="24"/>
          <w:szCs w:val="24"/>
        </w:rPr>
      </w:pPr>
      <w:r w:rsidRPr="004B49F4">
        <w:rPr>
          <w:rFonts w:cs="Arial"/>
          <w:sz w:val="24"/>
          <w:szCs w:val="24"/>
        </w:rPr>
        <w:t>The FY14 HHLPSS and the FY17 CBLS data fundamentally differ from the CMS data in that CBLS data is more complete since it does not restrict test results to those on children of a certain age or socioeconomic status.  In addition, as stated previously, CBLS data represent individual-child data that is de-identified prior to submission as opposed to aggregate counts of tests or children tested.</w:t>
      </w:r>
    </w:p>
    <w:p w14:paraId="5BCA126D" w14:textId="4A6333AF" w:rsidR="00355B32" w:rsidRPr="00D74E8E" w:rsidRDefault="004A5C65" w:rsidP="00CC5AE3">
      <w:pPr>
        <w:spacing w:after="240"/>
        <w:rPr>
          <w:sz w:val="24"/>
          <w:szCs w:val="24"/>
        </w:rPr>
      </w:pPr>
      <w:r w:rsidRPr="00D74E8E">
        <w:rPr>
          <w:sz w:val="24"/>
          <w:szCs w:val="24"/>
          <w:u w:val="single"/>
        </w:rPr>
        <w:t xml:space="preserve">CDC </w:t>
      </w:r>
      <w:r w:rsidR="00355B32" w:rsidRPr="00D74E8E">
        <w:rPr>
          <w:sz w:val="24"/>
          <w:szCs w:val="24"/>
          <w:u w:val="single"/>
        </w:rPr>
        <w:t>Reference Level</w:t>
      </w:r>
      <w:r w:rsidR="006538B0" w:rsidRPr="00D74E8E">
        <w:rPr>
          <w:sz w:val="24"/>
          <w:szCs w:val="24"/>
          <w:u w:val="single"/>
        </w:rPr>
        <w:t xml:space="preserve"> Adoption</w:t>
      </w:r>
    </w:p>
    <w:p w14:paraId="6AB87AB2" w14:textId="559D742B" w:rsidR="009C684B" w:rsidRPr="00D74E8E" w:rsidRDefault="009C684B" w:rsidP="00CC5AE3">
      <w:pPr>
        <w:spacing w:before="120"/>
        <w:rPr>
          <w:sz w:val="24"/>
          <w:szCs w:val="24"/>
        </w:rPr>
      </w:pPr>
      <w:r w:rsidRPr="00D74E8E">
        <w:rPr>
          <w:sz w:val="24"/>
          <w:szCs w:val="24"/>
        </w:rPr>
        <w:t>The following agencies and organizations have adopted the CDC recommended reference value for BLLs</w:t>
      </w:r>
      <w:r w:rsidR="00EF703F" w:rsidRPr="00D74E8E">
        <w:rPr>
          <w:sz w:val="24"/>
          <w:szCs w:val="24"/>
        </w:rPr>
        <w:t xml:space="preserve"> for children and for adults</w:t>
      </w:r>
      <w:r w:rsidR="002E57FB" w:rsidRPr="00D74E8E">
        <w:rPr>
          <w:sz w:val="24"/>
          <w:szCs w:val="24"/>
        </w:rPr>
        <w:t xml:space="preserve"> (</w:t>
      </w:r>
      <w:r w:rsidR="00AB0136" w:rsidRPr="00D74E8E">
        <w:rPr>
          <w:sz w:val="24"/>
          <w:szCs w:val="24"/>
        </w:rPr>
        <w:t xml:space="preserve">currently </w:t>
      </w:r>
      <w:r w:rsidR="002E57FB" w:rsidRPr="00D74E8E">
        <w:rPr>
          <w:sz w:val="24"/>
          <w:szCs w:val="24"/>
        </w:rPr>
        <w:t>≥5 µg/dL)</w:t>
      </w:r>
      <w:r w:rsidR="00305CE1" w:rsidRPr="00D74E8E">
        <w:rPr>
          <w:sz w:val="24"/>
          <w:szCs w:val="24"/>
        </w:rPr>
        <w:t xml:space="preserve"> (</w:t>
      </w:r>
      <w:r w:rsidR="00305CE1" w:rsidRPr="00D74E8E">
        <w:rPr>
          <w:rFonts w:cs="Palatino-Roman"/>
          <w:sz w:val="24"/>
          <w:szCs w:val="24"/>
        </w:rPr>
        <w:t>CDC, 2012</w:t>
      </w:r>
      <w:r w:rsidR="009D78F2" w:rsidRPr="00D74E8E">
        <w:rPr>
          <w:rFonts w:cs="Palatino-Roman"/>
          <w:sz w:val="24"/>
          <w:szCs w:val="24"/>
        </w:rPr>
        <w:t>; NIOSH, 2015</w:t>
      </w:r>
      <w:r w:rsidR="004718F2" w:rsidRPr="00D74E8E">
        <w:rPr>
          <w:rFonts w:cs="Palatino-Roman"/>
          <w:sz w:val="24"/>
          <w:szCs w:val="24"/>
        </w:rPr>
        <w:t>a</w:t>
      </w:r>
      <w:r w:rsidR="00305CE1" w:rsidRPr="00D74E8E">
        <w:rPr>
          <w:rFonts w:cs="Palatino-Roman"/>
          <w:sz w:val="24"/>
          <w:szCs w:val="24"/>
        </w:rPr>
        <w:t>)</w:t>
      </w:r>
      <w:r w:rsidRPr="00D74E8E">
        <w:rPr>
          <w:sz w:val="24"/>
          <w:szCs w:val="24"/>
        </w:rPr>
        <w:t>:</w:t>
      </w:r>
    </w:p>
    <w:p w14:paraId="430C5A87" w14:textId="4D7A5F49" w:rsidR="009C684B" w:rsidRPr="00D74E8E" w:rsidRDefault="002E57FB" w:rsidP="002D6386">
      <w:pPr>
        <w:pStyle w:val="ListParagraph"/>
        <w:numPr>
          <w:ilvl w:val="0"/>
          <w:numId w:val="26"/>
        </w:numPr>
        <w:spacing w:after="0" w:line="360" w:lineRule="auto"/>
        <w:rPr>
          <w:sz w:val="24"/>
          <w:szCs w:val="24"/>
        </w:rPr>
      </w:pPr>
      <w:r w:rsidRPr="00D74E8E">
        <w:rPr>
          <w:sz w:val="24"/>
          <w:szCs w:val="24"/>
        </w:rPr>
        <w:t>American Academy of Pediatrics (</w:t>
      </w:r>
      <w:r w:rsidR="009C684B" w:rsidRPr="00D74E8E">
        <w:rPr>
          <w:sz w:val="24"/>
          <w:szCs w:val="24"/>
        </w:rPr>
        <w:t>AAP</w:t>
      </w:r>
      <w:r w:rsidRPr="00D74E8E">
        <w:rPr>
          <w:sz w:val="24"/>
          <w:szCs w:val="24"/>
        </w:rPr>
        <w:t xml:space="preserve">, </w:t>
      </w:r>
      <w:r w:rsidR="009C684B" w:rsidRPr="00D74E8E">
        <w:rPr>
          <w:sz w:val="24"/>
          <w:szCs w:val="24"/>
        </w:rPr>
        <w:t>2016)</w:t>
      </w:r>
    </w:p>
    <w:p w14:paraId="7BA7D99A" w14:textId="054CD47B" w:rsidR="009C684B" w:rsidRPr="00D74E8E" w:rsidRDefault="009C684B" w:rsidP="002D6386">
      <w:pPr>
        <w:pStyle w:val="ListParagraph"/>
        <w:numPr>
          <w:ilvl w:val="0"/>
          <w:numId w:val="26"/>
        </w:numPr>
        <w:spacing w:after="0" w:line="360" w:lineRule="auto"/>
        <w:rPr>
          <w:sz w:val="24"/>
          <w:szCs w:val="24"/>
        </w:rPr>
      </w:pPr>
      <w:r w:rsidRPr="00D74E8E">
        <w:rPr>
          <w:sz w:val="24"/>
          <w:szCs w:val="24"/>
        </w:rPr>
        <w:t xml:space="preserve">American College of </w:t>
      </w:r>
      <w:r w:rsidR="002E57FB" w:rsidRPr="00D74E8E">
        <w:rPr>
          <w:sz w:val="24"/>
          <w:szCs w:val="24"/>
        </w:rPr>
        <w:t>Obstetricians</w:t>
      </w:r>
      <w:r w:rsidRPr="00D74E8E">
        <w:rPr>
          <w:sz w:val="24"/>
          <w:szCs w:val="24"/>
        </w:rPr>
        <w:t xml:space="preserve"> </w:t>
      </w:r>
      <w:r w:rsidR="002E57FB" w:rsidRPr="00D74E8E">
        <w:rPr>
          <w:sz w:val="24"/>
          <w:szCs w:val="24"/>
        </w:rPr>
        <w:t>and Gynecologists</w:t>
      </w:r>
      <w:r w:rsidRPr="00D74E8E">
        <w:rPr>
          <w:sz w:val="24"/>
          <w:szCs w:val="24"/>
        </w:rPr>
        <w:t xml:space="preserve"> (</w:t>
      </w:r>
      <w:r w:rsidR="002E57FB" w:rsidRPr="00D74E8E">
        <w:rPr>
          <w:sz w:val="24"/>
          <w:szCs w:val="24"/>
        </w:rPr>
        <w:t xml:space="preserve">ACOG, </w:t>
      </w:r>
      <w:r w:rsidRPr="00D74E8E">
        <w:rPr>
          <w:sz w:val="24"/>
          <w:szCs w:val="24"/>
        </w:rPr>
        <w:t>201</w:t>
      </w:r>
      <w:r w:rsidR="002E57FB" w:rsidRPr="00D74E8E">
        <w:rPr>
          <w:sz w:val="24"/>
          <w:szCs w:val="24"/>
        </w:rPr>
        <w:t>2)</w:t>
      </w:r>
      <w:r w:rsidR="00A86BED" w:rsidRPr="00D74E8E">
        <w:rPr>
          <w:sz w:val="24"/>
          <w:szCs w:val="24"/>
        </w:rPr>
        <w:t xml:space="preserve"> </w:t>
      </w:r>
    </w:p>
    <w:p w14:paraId="29C22AF8" w14:textId="779A09C4" w:rsidR="00A86BED" w:rsidRPr="00D74E8E" w:rsidRDefault="00A86BED" w:rsidP="002D6386">
      <w:pPr>
        <w:pStyle w:val="ListParagraph"/>
        <w:numPr>
          <w:ilvl w:val="0"/>
          <w:numId w:val="26"/>
        </w:numPr>
        <w:spacing w:after="0" w:line="360" w:lineRule="auto"/>
        <w:rPr>
          <w:sz w:val="24"/>
          <w:szCs w:val="24"/>
        </w:rPr>
      </w:pPr>
      <w:r w:rsidRPr="00D74E8E">
        <w:rPr>
          <w:sz w:val="24"/>
          <w:szCs w:val="24"/>
        </w:rPr>
        <w:t xml:space="preserve">Centers for Medicaid and Medicare Services </w:t>
      </w:r>
      <w:r w:rsidR="008117CB" w:rsidRPr="00D74E8E">
        <w:rPr>
          <w:sz w:val="24"/>
          <w:szCs w:val="24"/>
        </w:rPr>
        <w:t>(CMS, 2016)</w:t>
      </w:r>
    </w:p>
    <w:p w14:paraId="5B78284B" w14:textId="6EA11CE8" w:rsidR="0022603D" w:rsidRPr="00D74E8E" w:rsidRDefault="0022603D" w:rsidP="002D6386">
      <w:pPr>
        <w:pStyle w:val="ListParagraph"/>
        <w:numPr>
          <w:ilvl w:val="0"/>
          <w:numId w:val="26"/>
        </w:numPr>
        <w:spacing w:after="0" w:line="360" w:lineRule="auto"/>
        <w:contextualSpacing w:val="0"/>
        <w:rPr>
          <w:sz w:val="24"/>
          <w:szCs w:val="24"/>
        </w:rPr>
      </w:pPr>
      <w:r w:rsidRPr="00D74E8E">
        <w:rPr>
          <w:sz w:val="24"/>
          <w:szCs w:val="24"/>
        </w:rPr>
        <w:t>U</w:t>
      </w:r>
      <w:r w:rsidR="0034652E">
        <w:rPr>
          <w:sz w:val="24"/>
          <w:szCs w:val="24"/>
        </w:rPr>
        <w:t>.</w:t>
      </w:r>
      <w:r w:rsidRPr="00D74E8E">
        <w:rPr>
          <w:sz w:val="24"/>
          <w:szCs w:val="24"/>
        </w:rPr>
        <w:t>S</w:t>
      </w:r>
      <w:r w:rsidR="0034652E">
        <w:rPr>
          <w:sz w:val="24"/>
          <w:szCs w:val="24"/>
        </w:rPr>
        <w:t>.</w:t>
      </w:r>
      <w:r w:rsidRPr="00D74E8E">
        <w:rPr>
          <w:sz w:val="24"/>
          <w:szCs w:val="24"/>
        </w:rPr>
        <w:t xml:space="preserve"> </w:t>
      </w:r>
      <w:r w:rsidR="00C73971" w:rsidRPr="00D74E8E">
        <w:rPr>
          <w:sz w:val="24"/>
          <w:szCs w:val="24"/>
        </w:rPr>
        <w:t xml:space="preserve">Department of </w:t>
      </w:r>
      <w:r w:rsidRPr="00D74E8E">
        <w:rPr>
          <w:sz w:val="24"/>
          <w:szCs w:val="24"/>
        </w:rPr>
        <w:t xml:space="preserve">Housing </w:t>
      </w:r>
      <w:r w:rsidR="0071780C" w:rsidRPr="00D74E8E">
        <w:rPr>
          <w:sz w:val="24"/>
          <w:szCs w:val="24"/>
        </w:rPr>
        <w:t>and Urban Development (HUD, 2017</w:t>
      </w:r>
      <w:r w:rsidRPr="00D74E8E">
        <w:rPr>
          <w:sz w:val="24"/>
          <w:szCs w:val="24"/>
        </w:rPr>
        <w:t>)</w:t>
      </w:r>
      <w:r w:rsidR="000243F6" w:rsidRPr="00D74E8E">
        <w:rPr>
          <w:rStyle w:val="FootnoteReference"/>
          <w:sz w:val="24"/>
          <w:szCs w:val="24"/>
        </w:rPr>
        <w:footnoteReference w:id="11"/>
      </w:r>
    </w:p>
    <w:p w14:paraId="736ACE20" w14:textId="0314514A" w:rsidR="00972CD3" w:rsidRDefault="00972CD3">
      <w:pPr>
        <w:rPr>
          <w:rFonts w:asciiTheme="majorHAnsi" w:eastAsiaTheme="majorEastAsia" w:hAnsiTheme="majorHAnsi" w:cstheme="majorBidi"/>
          <w:sz w:val="36"/>
          <w:szCs w:val="36"/>
        </w:rPr>
      </w:pPr>
      <w:bookmarkStart w:id="8" w:name="_Toc494815282"/>
    </w:p>
    <w:p w14:paraId="5500B6CD" w14:textId="3C3C613A" w:rsidR="00B45002" w:rsidRPr="00D74E8E" w:rsidRDefault="00601F1A" w:rsidP="00845081">
      <w:pPr>
        <w:pStyle w:val="Heading1"/>
        <w:pBdr>
          <w:bottom w:val="none" w:sz="0" w:space="0" w:color="auto"/>
        </w:pBdr>
        <w:spacing w:before="240" w:after="0"/>
        <w:rPr>
          <w:color w:val="auto"/>
        </w:rPr>
      </w:pPr>
      <w:r w:rsidRPr="00D74E8E">
        <w:rPr>
          <w:color w:val="auto"/>
        </w:rPr>
        <w:t>A.</w:t>
      </w:r>
      <w:r w:rsidR="004D21C9" w:rsidRPr="00D74E8E">
        <w:rPr>
          <w:color w:val="auto"/>
        </w:rPr>
        <w:t>5</w:t>
      </w:r>
      <w:r w:rsidR="005E0A7B" w:rsidRPr="00D74E8E">
        <w:rPr>
          <w:color w:val="auto"/>
        </w:rPr>
        <w:t>. Impact</w:t>
      </w:r>
      <w:r w:rsidR="00B45002" w:rsidRPr="00D74E8E">
        <w:rPr>
          <w:color w:val="auto"/>
        </w:rPr>
        <w:t xml:space="preserve"> on Small Businesses or Other Small Entities</w:t>
      </w:r>
      <w:bookmarkEnd w:id="8"/>
    </w:p>
    <w:p w14:paraId="0CCAAA5D" w14:textId="77777777" w:rsidR="00F16DA0" w:rsidRPr="00D74E8E" w:rsidRDefault="00F16DA0" w:rsidP="00F16DA0">
      <w:pPr>
        <w:autoSpaceDE w:val="0"/>
        <w:autoSpaceDN w:val="0"/>
        <w:adjustRightInd w:val="0"/>
        <w:spacing w:after="0" w:line="240" w:lineRule="auto"/>
        <w:rPr>
          <w:rFonts w:cs="ITCFranklinGothicStd-Book"/>
          <w:sz w:val="24"/>
          <w:szCs w:val="24"/>
        </w:rPr>
      </w:pPr>
    </w:p>
    <w:p w14:paraId="237586D1" w14:textId="639D616E" w:rsidR="003850B2" w:rsidRPr="00D74E8E" w:rsidRDefault="003850B2" w:rsidP="00864E6C">
      <w:pPr>
        <w:autoSpaceDE w:val="0"/>
        <w:autoSpaceDN w:val="0"/>
        <w:adjustRightInd w:val="0"/>
        <w:spacing w:line="276" w:lineRule="auto"/>
        <w:rPr>
          <w:rFonts w:cs="ITCFranklinGothicStd-Book"/>
          <w:sz w:val="24"/>
          <w:szCs w:val="24"/>
        </w:rPr>
      </w:pPr>
      <w:r w:rsidRPr="00D74E8E">
        <w:rPr>
          <w:rFonts w:cs="ITCFranklinGothicStd-Book"/>
          <w:sz w:val="24"/>
          <w:szCs w:val="24"/>
        </w:rPr>
        <w:t xml:space="preserve">Both NCEH and NIOSH are committed to collect only the minimum data necessary to carry out the goals for </w:t>
      </w:r>
      <w:r w:rsidR="009E2249" w:rsidRPr="00D74E8E">
        <w:rPr>
          <w:rFonts w:cs="ITCFranklinGothicStd-Book"/>
          <w:sz w:val="24"/>
          <w:szCs w:val="24"/>
        </w:rPr>
        <w:t>CBLS</w:t>
      </w:r>
      <w:r w:rsidRPr="00D74E8E">
        <w:rPr>
          <w:rFonts w:cs="ITCFranklinGothicStd-Book"/>
          <w:sz w:val="24"/>
          <w:szCs w:val="24"/>
        </w:rPr>
        <w:t xml:space="preserve"> and ABLES.</w:t>
      </w:r>
    </w:p>
    <w:p w14:paraId="18F10220" w14:textId="29A9470C" w:rsidR="00C56058" w:rsidRPr="00D74E8E" w:rsidRDefault="00C56058" w:rsidP="00C56058">
      <w:pPr>
        <w:pStyle w:val="ListParagraph"/>
        <w:numPr>
          <w:ilvl w:val="0"/>
          <w:numId w:val="9"/>
        </w:numPr>
        <w:autoSpaceDE w:val="0"/>
        <w:autoSpaceDN w:val="0"/>
        <w:spacing w:before="40" w:after="40" w:line="276" w:lineRule="auto"/>
        <w:rPr>
          <w:rFonts w:cs="ITCFranklinGothicStd-Book"/>
          <w:sz w:val="24"/>
          <w:szCs w:val="24"/>
        </w:rPr>
      </w:pPr>
      <w:r w:rsidRPr="00D74E8E">
        <w:rPr>
          <w:rFonts w:cs="Segoe UI"/>
          <w:sz w:val="24"/>
          <w:szCs w:val="24"/>
        </w:rPr>
        <w:t>The HHLPPP will only collect chi</w:t>
      </w:r>
      <w:r w:rsidR="00BB6B8E">
        <w:rPr>
          <w:rFonts w:cs="Segoe UI"/>
          <w:sz w:val="24"/>
          <w:szCs w:val="24"/>
        </w:rPr>
        <w:t>ldhood BLLs directly from State and</w:t>
      </w:r>
      <w:r w:rsidRPr="00D74E8E">
        <w:rPr>
          <w:rFonts w:cs="Segoe UI"/>
          <w:sz w:val="24"/>
          <w:szCs w:val="24"/>
        </w:rPr>
        <w:t xml:space="preserve"> local health departments </w:t>
      </w:r>
      <w:r w:rsidR="00BB6B8E">
        <w:rPr>
          <w:rFonts w:cs="Segoe UI"/>
          <w:sz w:val="24"/>
          <w:szCs w:val="24"/>
        </w:rPr>
        <w:t xml:space="preserve">or their Bona Fide agents, </w:t>
      </w:r>
      <w:r w:rsidRPr="00D74E8E">
        <w:rPr>
          <w:rFonts w:cs="Segoe UI"/>
          <w:sz w:val="24"/>
          <w:szCs w:val="24"/>
        </w:rPr>
        <w:t>not small businesses.</w:t>
      </w:r>
    </w:p>
    <w:p w14:paraId="59CEFC44" w14:textId="0C575B24" w:rsidR="004D6EAE" w:rsidRPr="00D74E8E" w:rsidRDefault="004D6EAE" w:rsidP="00316DEE">
      <w:pPr>
        <w:pStyle w:val="ListParagraph"/>
        <w:numPr>
          <w:ilvl w:val="0"/>
          <w:numId w:val="9"/>
        </w:numPr>
        <w:autoSpaceDE w:val="0"/>
        <w:autoSpaceDN w:val="0"/>
        <w:spacing w:before="40" w:after="40" w:line="276" w:lineRule="auto"/>
        <w:rPr>
          <w:rFonts w:cs="ITCFranklinGothicStd-Book"/>
          <w:sz w:val="24"/>
          <w:szCs w:val="24"/>
        </w:rPr>
      </w:pPr>
      <w:r w:rsidRPr="00D74E8E">
        <w:rPr>
          <w:rFonts w:cs="Segoe UI"/>
          <w:sz w:val="24"/>
          <w:szCs w:val="24"/>
        </w:rPr>
        <w:t xml:space="preserve">The ABLES </w:t>
      </w:r>
      <w:r w:rsidR="00316DEE" w:rsidRPr="00D74E8E">
        <w:rPr>
          <w:rFonts w:cs="Segoe UI"/>
          <w:sz w:val="24"/>
          <w:szCs w:val="24"/>
        </w:rPr>
        <w:t>Program</w:t>
      </w:r>
      <w:r w:rsidRPr="00D74E8E">
        <w:rPr>
          <w:rFonts w:cs="Segoe UI"/>
          <w:sz w:val="24"/>
          <w:szCs w:val="24"/>
        </w:rPr>
        <w:t xml:space="preserve"> will only collect </w:t>
      </w:r>
      <w:r w:rsidR="00C56058" w:rsidRPr="00D74E8E">
        <w:rPr>
          <w:rFonts w:cs="Segoe UI"/>
          <w:sz w:val="24"/>
          <w:szCs w:val="24"/>
        </w:rPr>
        <w:t xml:space="preserve">adult BLLs </w:t>
      </w:r>
      <w:r w:rsidRPr="00D74E8E">
        <w:rPr>
          <w:rFonts w:cs="Segoe UI"/>
          <w:sz w:val="24"/>
          <w:szCs w:val="24"/>
        </w:rPr>
        <w:t xml:space="preserve">directly from </w:t>
      </w:r>
      <w:r w:rsidR="00C56058" w:rsidRPr="00D74E8E">
        <w:rPr>
          <w:rFonts w:cs="Segoe UI"/>
          <w:sz w:val="24"/>
          <w:szCs w:val="24"/>
        </w:rPr>
        <w:t>s</w:t>
      </w:r>
      <w:r w:rsidRPr="00D74E8E">
        <w:rPr>
          <w:rFonts w:cs="Segoe UI"/>
          <w:sz w:val="24"/>
          <w:szCs w:val="24"/>
        </w:rPr>
        <w:t xml:space="preserve">tate </w:t>
      </w:r>
      <w:r w:rsidR="00C56058" w:rsidRPr="00D74E8E">
        <w:rPr>
          <w:rFonts w:cs="Segoe UI"/>
          <w:sz w:val="24"/>
          <w:szCs w:val="24"/>
        </w:rPr>
        <w:t>d</w:t>
      </w:r>
      <w:r w:rsidRPr="00D74E8E">
        <w:rPr>
          <w:rFonts w:cs="Segoe UI"/>
          <w:sz w:val="24"/>
          <w:szCs w:val="24"/>
        </w:rPr>
        <w:t xml:space="preserve">epartments of </w:t>
      </w:r>
      <w:r w:rsidR="00C56058" w:rsidRPr="00D74E8E">
        <w:rPr>
          <w:rFonts w:cs="Segoe UI"/>
          <w:sz w:val="24"/>
          <w:szCs w:val="24"/>
        </w:rPr>
        <w:t>h</w:t>
      </w:r>
      <w:r w:rsidRPr="00D74E8E">
        <w:rPr>
          <w:rFonts w:cs="Segoe UI"/>
          <w:sz w:val="24"/>
          <w:szCs w:val="24"/>
        </w:rPr>
        <w:t>ealth, not small businesses.</w:t>
      </w:r>
    </w:p>
    <w:p w14:paraId="59B27844" w14:textId="4855518D" w:rsidR="00330EE6" w:rsidRPr="00D74E8E" w:rsidRDefault="00601F1A" w:rsidP="0066071A">
      <w:pPr>
        <w:pStyle w:val="Heading1"/>
        <w:pBdr>
          <w:bottom w:val="none" w:sz="0" w:space="0" w:color="auto"/>
        </w:pBdr>
        <w:rPr>
          <w:color w:val="auto"/>
        </w:rPr>
      </w:pPr>
      <w:bookmarkStart w:id="9" w:name="_Toc494815283"/>
      <w:r w:rsidRPr="00D74E8E">
        <w:rPr>
          <w:color w:val="auto"/>
        </w:rPr>
        <w:t>A.</w:t>
      </w:r>
      <w:r w:rsidR="004D21C9" w:rsidRPr="00D74E8E">
        <w:rPr>
          <w:color w:val="auto"/>
        </w:rPr>
        <w:t>6</w:t>
      </w:r>
      <w:r w:rsidR="005E0A7B" w:rsidRPr="00D74E8E">
        <w:rPr>
          <w:color w:val="auto"/>
        </w:rPr>
        <w:t>. Consequences</w:t>
      </w:r>
      <w:r w:rsidR="00B45002" w:rsidRPr="00D74E8E">
        <w:rPr>
          <w:color w:val="auto"/>
        </w:rPr>
        <w:t xml:space="preserve"> of Collecting the Information Less Frequently</w:t>
      </w:r>
      <w:bookmarkEnd w:id="9"/>
    </w:p>
    <w:p w14:paraId="49E1145F" w14:textId="77777777" w:rsidR="0066071A" w:rsidRPr="00D74E8E" w:rsidRDefault="0066071A" w:rsidP="0066071A"/>
    <w:p w14:paraId="7D4DB12D" w14:textId="77777777" w:rsidR="0066071A" w:rsidRPr="00D74E8E" w:rsidRDefault="0066071A" w:rsidP="009E2CE3">
      <w:pPr>
        <w:autoSpaceDE w:val="0"/>
        <w:autoSpaceDN w:val="0"/>
        <w:adjustRightInd w:val="0"/>
        <w:spacing w:line="276" w:lineRule="auto"/>
        <w:rPr>
          <w:sz w:val="24"/>
          <w:szCs w:val="24"/>
        </w:rPr>
      </w:pPr>
      <w:r w:rsidRPr="00D74E8E">
        <w:rPr>
          <w:sz w:val="24"/>
          <w:szCs w:val="24"/>
        </w:rPr>
        <w:t>There are no technical or legal obstacles to reducing burden.</w:t>
      </w:r>
    </w:p>
    <w:p w14:paraId="6C35729A" w14:textId="28DC645F" w:rsidR="00330EE6" w:rsidRPr="00D74E8E" w:rsidRDefault="00330EE6" w:rsidP="0066071A">
      <w:pPr>
        <w:pStyle w:val="ListParagraph"/>
        <w:numPr>
          <w:ilvl w:val="0"/>
          <w:numId w:val="10"/>
        </w:numPr>
        <w:autoSpaceDE w:val="0"/>
        <w:autoSpaceDN w:val="0"/>
        <w:adjustRightInd w:val="0"/>
        <w:spacing w:line="276" w:lineRule="auto"/>
        <w:rPr>
          <w:rFonts w:cs="ITCFranklinGothicStd-Book"/>
          <w:sz w:val="24"/>
          <w:szCs w:val="24"/>
        </w:rPr>
      </w:pPr>
      <w:r w:rsidRPr="00D74E8E">
        <w:rPr>
          <w:sz w:val="24"/>
          <w:szCs w:val="24"/>
        </w:rPr>
        <w:t>NCEH respondents</w:t>
      </w:r>
      <w:r w:rsidR="00495632" w:rsidRPr="00D74E8E">
        <w:rPr>
          <w:rFonts w:cs="ITCFranklinGothicStd-Book"/>
          <w:sz w:val="24"/>
          <w:szCs w:val="24"/>
        </w:rPr>
        <w:t xml:space="preserve"> </w:t>
      </w:r>
      <w:r w:rsidR="000E57D4" w:rsidRPr="00D74E8E">
        <w:rPr>
          <w:rFonts w:cs="ITCFranklinGothicStd-Book"/>
          <w:sz w:val="24"/>
          <w:szCs w:val="24"/>
        </w:rPr>
        <w:t xml:space="preserve">will </w:t>
      </w:r>
      <w:r w:rsidR="00495632" w:rsidRPr="00D74E8E">
        <w:rPr>
          <w:rFonts w:cs="ITCFranklinGothicStd-Book"/>
          <w:sz w:val="24"/>
          <w:szCs w:val="24"/>
        </w:rPr>
        <w:t>submit their data</w:t>
      </w:r>
      <w:r w:rsidR="001A2D1F" w:rsidRPr="00D74E8E">
        <w:rPr>
          <w:rFonts w:cs="ITCFranklinGothicStd-Book"/>
          <w:sz w:val="24"/>
          <w:szCs w:val="24"/>
        </w:rPr>
        <w:t xml:space="preserve"> </w:t>
      </w:r>
      <w:r w:rsidR="00495632" w:rsidRPr="00D74E8E">
        <w:rPr>
          <w:rFonts w:cs="ITCFranklinGothicStd-Book"/>
          <w:sz w:val="24"/>
          <w:szCs w:val="24"/>
        </w:rPr>
        <w:t>quarterly</w:t>
      </w:r>
      <w:r w:rsidR="001A2D1F" w:rsidRPr="00D74E8E">
        <w:rPr>
          <w:rFonts w:cs="ITCFranklinGothicStd-Book"/>
          <w:sz w:val="24"/>
          <w:szCs w:val="24"/>
        </w:rPr>
        <w:t xml:space="preserve"> </w:t>
      </w:r>
      <w:r w:rsidRPr="00D74E8E">
        <w:rPr>
          <w:rFonts w:cs="ITCFranklinGothicStd-Book"/>
          <w:sz w:val="24"/>
          <w:szCs w:val="24"/>
        </w:rPr>
        <w:t>to CBLS</w:t>
      </w:r>
      <w:r w:rsidR="001B519A" w:rsidRPr="00D74E8E">
        <w:rPr>
          <w:rFonts w:cs="ITCFranklinGothicStd-Book"/>
          <w:sz w:val="24"/>
          <w:szCs w:val="24"/>
        </w:rPr>
        <w:t xml:space="preserve"> as</w:t>
      </w:r>
      <w:r w:rsidR="000E57D4" w:rsidRPr="00D74E8E">
        <w:rPr>
          <w:rFonts w:cs="ITCFranklinGothicStd-Book"/>
          <w:sz w:val="24"/>
          <w:szCs w:val="24"/>
        </w:rPr>
        <w:t xml:space="preserve"> program requirements</w:t>
      </w:r>
      <w:r w:rsidR="003B1E29" w:rsidRPr="00D74E8E">
        <w:rPr>
          <w:rFonts w:cs="ITCFranklinGothicStd-Book"/>
          <w:sz w:val="24"/>
          <w:szCs w:val="24"/>
        </w:rPr>
        <w:t xml:space="preserve">. </w:t>
      </w:r>
    </w:p>
    <w:p w14:paraId="6A88E89A" w14:textId="2A035AEB" w:rsidR="00D9512F" w:rsidRPr="00D74E8E" w:rsidRDefault="00330EE6" w:rsidP="0066071A">
      <w:pPr>
        <w:pStyle w:val="ListParagraph"/>
        <w:numPr>
          <w:ilvl w:val="0"/>
          <w:numId w:val="10"/>
        </w:numPr>
        <w:autoSpaceDE w:val="0"/>
        <w:autoSpaceDN w:val="0"/>
        <w:adjustRightInd w:val="0"/>
        <w:spacing w:line="276" w:lineRule="auto"/>
        <w:rPr>
          <w:rFonts w:cs="ITCFranklinGothicStd-Book"/>
          <w:sz w:val="24"/>
          <w:szCs w:val="24"/>
        </w:rPr>
      </w:pPr>
      <w:r w:rsidRPr="00D74E8E">
        <w:rPr>
          <w:rFonts w:cs="ITCFranklinGothicStd-Book"/>
          <w:sz w:val="24"/>
          <w:szCs w:val="24"/>
        </w:rPr>
        <w:t xml:space="preserve">NIOSH respondents </w:t>
      </w:r>
      <w:r w:rsidR="002C5FB6" w:rsidRPr="00D74E8E">
        <w:rPr>
          <w:rFonts w:cs="ITCFranklinGothicStd-Book"/>
          <w:sz w:val="24"/>
          <w:szCs w:val="24"/>
        </w:rPr>
        <w:t>are re</w:t>
      </w:r>
      <w:r w:rsidR="000E57D4" w:rsidRPr="00D74E8E">
        <w:rPr>
          <w:rFonts w:cs="ITCFranklinGothicStd-Book"/>
          <w:sz w:val="24"/>
          <w:szCs w:val="24"/>
        </w:rPr>
        <w:t>quest</w:t>
      </w:r>
      <w:r w:rsidR="002C5FB6" w:rsidRPr="00D74E8E">
        <w:rPr>
          <w:rFonts w:cs="ITCFranklinGothicStd-Book"/>
          <w:sz w:val="24"/>
          <w:szCs w:val="24"/>
        </w:rPr>
        <w:t>ed to</w:t>
      </w:r>
      <w:r w:rsidRPr="00D74E8E">
        <w:rPr>
          <w:rFonts w:cs="ITCFranklinGothicStd-Book"/>
          <w:sz w:val="24"/>
          <w:szCs w:val="24"/>
        </w:rPr>
        <w:t xml:space="preserve"> submit their ABLES data once per year</w:t>
      </w:r>
      <w:r w:rsidR="00E16047" w:rsidRPr="00D74E8E">
        <w:rPr>
          <w:rFonts w:cs="ITCFranklinGothicStd-Book"/>
          <w:sz w:val="24"/>
          <w:szCs w:val="24"/>
        </w:rPr>
        <w:t xml:space="preserve"> through data sharing</w:t>
      </w:r>
      <w:r w:rsidR="000E57D4" w:rsidRPr="00D74E8E">
        <w:rPr>
          <w:rFonts w:cs="ITCFranklinGothicStd-Book"/>
          <w:sz w:val="24"/>
          <w:szCs w:val="24"/>
        </w:rPr>
        <w:t xml:space="preserve"> agreements</w:t>
      </w:r>
      <w:r w:rsidR="0066071A" w:rsidRPr="00D74E8E">
        <w:rPr>
          <w:rFonts w:cs="ITCFranklinGothicStd-Book"/>
          <w:sz w:val="24"/>
          <w:szCs w:val="24"/>
        </w:rPr>
        <w:t>.</w:t>
      </w:r>
    </w:p>
    <w:p w14:paraId="3BC690C1" w14:textId="77777777" w:rsidR="00420451" w:rsidRPr="00D74E8E" w:rsidRDefault="00420451" w:rsidP="00883874">
      <w:pPr>
        <w:pStyle w:val="ListParagraph"/>
        <w:autoSpaceDE w:val="0"/>
        <w:autoSpaceDN w:val="0"/>
        <w:adjustRightInd w:val="0"/>
        <w:spacing w:line="276" w:lineRule="auto"/>
        <w:rPr>
          <w:rFonts w:cs="ITCFranklinGothicStd-Book"/>
          <w:sz w:val="24"/>
          <w:szCs w:val="24"/>
        </w:rPr>
      </w:pPr>
    </w:p>
    <w:p w14:paraId="190C4FCC" w14:textId="4A98B963" w:rsidR="00B540F6" w:rsidRPr="00D74E8E" w:rsidRDefault="00601F1A" w:rsidP="00BE13BC">
      <w:pPr>
        <w:pStyle w:val="Heading1"/>
        <w:pBdr>
          <w:bottom w:val="none" w:sz="0" w:space="0" w:color="auto"/>
        </w:pBdr>
        <w:spacing w:before="0"/>
        <w:rPr>
          <w:color w:val="auto"/>
        </w:rPr>
      </w:pPr>
      <w:bookmarkStart w:id="10" w:name="_Toc494815284"/>
      <w:r w:rsidRPr="00D74E8E">
        <w:rPr>
          <w:color w:val="auto"/>
        </w:rPr>
        <w:t>A.</w:t>
      </w:r>
      <w:r w:rsidR="00B45002" w:rsidRPr="00D74E8E">
        <w:rPr>
          <w:color w:val="auto"/>
        </w:rPr>
        <w:t>7</w:t>
      </w:r>
      <w:r w:rsidR="005E0A7B" w:rsidRPr="00D74E8E">
        <w:rPr>
          <w:color w:val="auto"/>
        </w:rPr>
        <w:t>. Special</w:t>
      </w:r>
      <w:r w:rsidR="00B45002" w:rsidRPr="00D74E8E">
        <w:rPr>
          <w:color w:val="auto"/>
        </w:rPr>
        <w:t xml:space="preserve"> Circumstances Relating to the Guidelines of 5 CFR 1320.5</w:t>
      </w:r>
      <w:bookmarkEnd w:id="10"/>
    </w:p>
    <w:p w14:paraId="1A218CA1" w14:textId="77777777" w:rsidR="00B540F6" w:rsidRPr="00D74E8E" w:rsidRDefault="00B540F6" w:rsidP="00B540F6"/>
    <w:p w14:paraId="358B1A7B" w14:textId="2390D0D9" w:rsidR="00FB3333" w:rsidRPr="00D74E8E" w:rsidRDefault="00B540F6" w:rsidP="00D46D4F">
      <w:pPr>
        <w:autoSpaceDE w:val="0"/>
        <w:autoSpaceDN w:val="0"/>
        <w:adjustRightInd w:val="0"/>
        <w:spacing w:line="276" w:lineRule="auto"/>
        <w:rPr>
          <w:rFonts w:cs="ITCFranklinGothicStd-Book"/>
          <w:sz w:val="24"/>
          <w:szCs w:val="24"/>
        </w:rPr>
      </w:pPr>
      <w:r w:rsidRPr="00D74E8E">
        <w:rPr>
          <w:rFonts w:cs="ITCFranklinGothicStd-Book"/>
          <w:sz w:val="24"/>
          <w:szCs w:val="24"/>
        </w:rPr>
        <w:t xml:space="preserve">There are no special circumstances related to this information collection. </w:t>
      </w:r>
      <w:r w:rsidR="00FB3333" w:rsidRPr="00D74E8E">
        <w:rPr>
          <w:rFonts w:cs="ITCFranklinGothicStd-Book"/>
          <w:sz w:val="24"/>
          <w:szCs w:val="24"/>
        </w:rPr>
        <w:t>This request fully complies with the regulation 5 CFR</w:t>
      </w:r>
      <w:r w:rsidR="002605A1" w:rsidRPr="00D74E8E">
        <w:rPr>
          <w:rFonts w:cs="ITCFranklinGothicStd-Book"/>
          <w:sz w:val="24"/>
          <w:szCs w:val="24"/>
        </w:rPr>
        <w:t xml:space="preserve"> </w:t>
      </w:r>
      <w:r w:rsidRPr="00D74E8E">
        <w:rPr>
          <w:rFonts w:cs="ITCFranklinGothicStd-Book"/>
          <w:sz w:val="24"/>
          <w:szCs w:val="24"/>
        </w:rPr>
        <w:t>1320.5.</w:t>
      </w:r>
    </w:p>
    <w:p w14:paraId="508E9BF1" w14:textId="5FE72D92" w:rsidR="00B45002" w:rsidRPr="00D74E8E" w:rsidRDefault="00601F1A" w:rsidP="00601F1A">
      <w:pPr>
        <w:pStyle w:val="Heading1"/>
        <w:pBdr>
          <w:bottom w:val="none" w:sz="0" w:space="0" w:color="auto"/>
        </w:pBdr>
        <w:rPr>
          <w:color w:val="auto"/>
        </w:rPr>
      </w:pPr>
      <w:bookmarkStart w:id="11" w:name="_Toc494815285"/>
      <w:r w:rsidRPr="00D74E8E">
        <w:rPr>
          <w:color w:val="auto"/>
        </w:rPr>
        <w:t>A.</w:t>
      </w:r>
      <w:r w:rsidR="004D21C9" w:rsidRPr="00D74E8E">
        <w:rPr>
          <w:color w:val="auto"/>
        </w:rPr>
        <w:t>8</w:t>
      </w:r>
      <w:r w:rsidR="005E0A7B" w:rsidRPr="00D74E8E">
        <w:rPr>
          <w:color w:val="auto"/>
        </w:rPr>
        <w:t>. Comments</w:t>
      </w:r>
      <w:r w:rsidR="00B45002" w:rsidRPr="00D74E8E">
        <w:rPr>
          <w:color w:val="auto"/>
        </w:rPr>
        <w:t xml:space="preserve"> in Response to the Federal Register Notice and Efforts to Consult Outside the Agency</w:t>
      </w:r>
      <w:bookmarkEnd w:id="11"/>
    </w:p>
    <w:p w14:paraId="3780CBB7" w14:textId="77777777" w:rsidR="00B540F6" w:rsidRPr="00D74E8E" w:rsidRDefault="00B540F6" w:rsidP="00B540F6">
      <w:pPr>
        <w:autoSpaceDE w:val="0"/>
        <w:autoSpaceDN w:val="0"/>
        <w:adjustRightInd w:val="0"/>
        <w:spacing w:line="240" w:lineRule="auto"/>
        <w:rPr>
          <w:rFonts w:cs="ITCFranklinGothicStd-Demi"/>
          <w:sz w:val="24"/>
          <w:szCs w:val="24"/>
        </w:rPr>
      </w:pPr>
    </w:p>
    <w:p w14:paraId="56594099" w14:textId="5BBB24CB" w:rsidR="00B64A2A" w:rsidRPr="00D74E8E" w:rsidRDefault="00D62EE3" w:rsidP="00F00661">
      <w:pPr>
        <w:pStyle w:val="ListParagraph"/>
        <w:numPr>
          <w:ilvl w:val="0"/>
          <w:numId w:val="12"/>
        </w:numPr>
        <w:autoSpaceDE w:val="0"/>
        <w:autoSpaceDN w:val="0"/>
        <w:adjustRightInd w:val="0"/>
        <w:spacing w:line="276" w:lineRule="auto"/>
        <w:rPr>
          <w:sz w:val="24"/>
          <w:szCs w:val="24"/>
        </w:rPr>
      </w:pPr>
      <w:r w:rsidRPr="00D74E8E">
        <w:rPr>
          <w:rFonts w:cs="ITCFranklinGothicStd-Book"/>
          <w:sz w:val="24"/>
          <w:szCs w:val="24"/>
        </w:rPr>
        <w:t xml:space="preserve">A 60-day Federal Register Notice was published in the </w:t>
      </w:r>
      <w:r w:rsidRPr="00D74E8E">
        <w:rPr>
          <w:rFonts w:cs="ITCFranklinGothicStd-BookIt"/>
          <w:i/>
          <w:iCs/>
          <w:sz w:val="24"/>
          <w:szCs w:val="24"/>
        </w:rPr>
        <w:t xml:space="preserve">Federal Register </w:t>
      </w:r>
      <w:r w:rsidRPr="00D74E8E">
        <w:rPr>
          <w:rFonts w:cs="ITCFranklinGothicStd-Book"/>
          <w:sz w:val="24"/>
          <w:szCs w:val="24"/>
        </w:rPr>
        <w:t xml:space="preserve">on </w:t>
      </w:r>
      <w:r w:rsidR="00723B68" w:rsidRPr="00D74E8E">
        <w:rPr>
          <w:rFonts w:cs="ITCFranklinGothicStd-Book"/>
          <w:sz w:val="24"/>
          <w:szCs w:val="24"/>
        </w:rPr>
        <w:t>April 6, 2017</w:t>
      </w:r>
      <w:r w:rsidRPr="00D74E8E">
        <w:rPr>
          <w:rFonts w:cs="ITCFranklinGothicStd-Book"/>
          <w:sz w:val="24"/>
          <w:szCs w:val="24"/>
        </w:rPr>
        <w:t xml:space="preserve">, </w:t>
      </w:r>
      <w:r w:rsidR="00723B68" w:rsidRPr="00D74E8E">
        <w:rPr>
          <w:rFonts w:cs="ITCFranklinGothicStd-Book"/>
          <w:sz w:val="24"/>
          <w:szCs w:val="24"/>
        </w:rPr>
        <w:t>V</w:t>
      </w:r>
      <w:r w:rsidR="00B540F6" w:rsidRPr="00D74E8E">
        <w:rPr>
          <w:rFonts w:cs="ITCFranklinGothicStd-Book"/>
          <w:sz w:val="24"/>
          <w:szCs w:val="24"/>
        </w:rPr>
        <w:t xml:space="preserve">ol. </w:t>
      </w:r>
      <w:r w:rsidR="00723B68" w:rsidRPr="00D74E8E">
        <w:rPr>
          <w:rFonts w:cs="ITCFranklinGothicStd-Book"/>
          <w:sz w:val="24"/>
          <w:szCs w:val="24"/>
        </w:rPr>
        <w:t>82</w:t>
      </w:r>
      <w:r w:rsidR="00B540F6" w:rsidRPr="00D74E8E">
        <w:rPr>
          <w:rFonts w:cs="ITCFranklinGothicStd-Book"/>
          <w:sz w:val="24"/>
          <w:szCs w:val="24"/>
        </w:rPr>
        <w:t xml:space="preserve">, No. </w:t>
      </w:r>
      <w:r w:rsidR="00723B68" w:rsidRPr="00D74E8E">
        <w:rPr>
          <w:rFonts w:cs="ITCFranklinGothicStd-Book"/>
          <w:sz w:val="24"/>
          <w:szCs w:val="24"/>
        </w:rPr>
        <w:t>65</w:t>
      </w:r>
      <w:r w:rsidR="00A6012F" w:rsidRPr="00D74E8E">
        <w:rPr>
          <w:rFonts w:cs="ITCFranklinGothicStd-Book"/>
          <w:sz w:val="24"/>
          <w:szCs w:val="24"/>
        </w:rPr>
        <w:t xml:space="preserve">, pp. </w:t>
      </w:r>
      <w:r w:rsidR="00723B68" w:rsidRPr="00D74E8E">
        <w:rPr>
          <w:rFonts w:cs="ITCFranklinGothicStd-Book"/>
          <w:sz w:val="24"/>
          <w:szCs w:val="24"/>
        </w:rPr>
        <w:t>16839-41</w:t>
      </w:r>
      <w:r w:rsidR="00A6012F" w:rsidRPr="00D74E8E">
        <w:rPr>
          <w:rFonts w:cs="ITCFranklinGothicStd-Book"/>
          <w:sz w:val="24"/>
          <w:szCs w:val="24"/>
        </w:rPr>
        <w:t xml:space="preserve"> (</w:t>
      </w:r>
      <w:r w:rsidRPr="00D74E8E">
        <w:rPr>
          <w:rFonts w:cs="ITCFranklinGothicStd-Book"/>
          <w:b/>
          <w:sz w:val="24"/>
          <w:szCs w:val="24"/>
        </w:rPr>
        <w:t>Att</w:t>
      </w:r>
      <w:r w:rsidR="00A6012F" w:rsidRPr="00D74E8E">
        <w:rPr>
          <w:rFonts w:cs="ITCFranklinGothicStd-Book"/>
          <w:b/>
          <w:sz w:val="24"/>
          <w:szCs w:val="24"/>
        </w:rPr>
        <w:t>achment 2</w:t>
      </w:r>
      <w:r w:rsidRPr="00D74E8E">
        <w:rPr>
          <w:rFonts w:cs="ITCFranklinGothicStd-Book"/>
          <w:sz w:val="24"/>
          <w:szCs w:val="24"/>
        </w:rPr>
        <w:t xml:space="preserve">). </w:t>
      </w:r>
      <w:r w:rsidR="00B540F6" w:rsidRPr="00D74E8E">
        <w:rPr>
          <w:sz w:val="24"/>
          <w:szCs w:val="24"/>
        </w:rPr>
        <w:t>CDC</w:t>
      </w:r>
      <w:r w:rsidR="00D20D9F">
        <w:rPr>
          <w:sz w:val="24"/>
          <w:szCs w:val="24"/>
        </w:rPr>
        <w:t xml:space="preserve"> did not</w:t>
      </w:r>
      <w:r w:rsidR="00B540F6" w:rsidRPr="00D74E8E">
        <w:rPr>
          <w:sz w:val="24"/>
          <w:szCs w:val="24"/>
        </w:rPr>
        <w:t xml:space="preserve"> receive public comments related to this notice</w:t>
      </w:r>
      <w:r w:rsidR="003E57FF" w:rsidRPr="00D74E8E">
        <w:rPr>
          <w:sz w:val="24"/>
          <w:szCs w:val="24"/>
        </w:rPr>
        <w:t>.</w:t>
      </w:r>
    </w:p>
    <w:p w14:paraId="1C23530E" w14:textId="27472621" w:rsidR="00286BB0" w:rsidRPr="00D74E8E" w:rsidRDefault="00A203BB" w:rsidP="00864E6C">
      <w:pPr>
        <w:pStyle w:val="ListParagraph"/>
        <w:numPr>
          <w:ilvl w:val="0"/>
          <w:numId w:val="12"/>
        </w:numPr>
        <w:spacing w:before="240"/>
        <w:contextualSpacing w:val="0"/>
        <w:rPr>
          <w:sz w:val="24"/>
          <w:szCs w:val="24"/>
        </w:rPr>
      </w:pPr>
      <w:r w:rsidRPr="00D74E8E">
        <w:rPr>
          <w:sz w:val="24"/>
          <w:szCs w:val="24"/>
        </w:rPr>
        <w:t>Within the past three years, the follo</w:t>
      </w:r>
      <w:r w:rsidR="00E3080F" w:rsidRPr="00D74E8E">
        <w:rPr>
          <w:sz w:val="24"/>
          <w:szCs w:val="24"/>
        </w:rPr>
        <w:t>wing consultations</w:t>
      </w:r>
      <w:r w:rsidRPr="00D74E8E">
        <w:rPr>
          <w:sz w:val="24"/>
          <w:szCs w:val="24"/>
        </w:rPr>
        <w:t xml:space="preserve"> and meetings took place</w:t>
      </w:r>
      <w:r w:rsidR="005E1648" w:rsidRPr="00D74E8E">
        <w:rPr>
          <w:sz w:val="24"/>
          <w:szCs w:val="24"/>
        </w:rPr>
        <w:t>, among others not listed here</w:t>
      </w:r>
      <w:r w:rsidRPr="00D74E8E">
        <w:rPr>
          <w:sz w:val="24"/>
          <w:szCs w:val="24"/>
        </w:rPr>
        <w:t>.</w:t>
      </w:r>
    </w:p>
    <w:p w14:paraId="03EAC1B9" w14:textId="1A794EFA" w:rsidR="002E5203" w:rsidRPr="00D74E8E" w:rsidRDefault="00286BB0" w:rsidP="00864E6C">
      <w:pPr>
        <w:pStyle w:val="ListParagraph"/>
        <w:rPr>
          <w:sz w:val="24"/>
          <w:szCs w:val="24"/>
        </w:rPr>
      </w:pPr>
      <w:r w:rsidRPr="00D74E8E">
        <w:rPr>
          <w:sz w:val="24"/>
          <w:szCs w:val="24"/>
          <w:u w:val="single"/>
        </w:rPr>
        <w:t>2014</w:t>
      </w:r>
      <w:r w:rsidR="0042509E">
        <w:rPr>
          <w:sz w:val="24"/>
          <w:szCs w:val="24"/>
          <w:u w:val="single"/>
        </w:rPr>
        <w:t>-2017</w:t>
      </w:r>
      <w:r w:rsidR="002E5203" w:rsidRPr="00D74E8E">
        <w:rPr>
          <w:sz w:val="24"/>
          <w:szCs w:val="24"/>
        </w:rPr>
        <w:t xml:space="preserve">: </w:t>
      </w:r>
    </w:p>
    <w:p w14:paraId="70F48C05" w14:textId="51FEB052" w:rsidR="00382FF5" w:rsidRPr="00D74E8E" w:rsidRDefault="00DB3391" w:rsidP="00864E6C">
      <w:pPr>
        <w:pStyle w:val="ListParagraph"/>
        <w:numPr>
          <w:ilvl w:val="0"/>
          <w:numId w:val="28"/>
        </w:numPr>
        <w:rPr>
          <w:sz w:val="24"/>
          <w:szCs w:val="24"/>
        </w:rPr>
      </w:pPr>
      <w:r w:rsidRPr="00D74E8E">
        <w:rPr>
          <w:sz w:val="24"/>
          <w:szCs w:val="24"/>
        </w:rPr>
        <w:t xml:space="preserve">Biannual </w:t>
      </w:r>
      <w:r w:rsidR="00382FF5" w:rsidRPr="00D74E8E">
        <w:rPr>
          <w:sz w:val="24"/>
          <w:szCs w:val="24"/>
        </w:rPr>
        <w:t>NCEH/ATSDR Board of Scientific Counselors</w:t>
      </w:r>
    </w:p>
    <w:p w14:paraId="0850BDB6" w14:textId="505368E5" w:rsidR="00CA49C3" w:rsidRPr="00D74E8E" w:rsidRDefault="00CA49C3" w:rsidP="00BE13BC">
      <w:pPr>
        <w:pStyle w:val="ListParagraph"/>
        <w:numPr>
          <w:ilvl w:val="1"/>
          <w:numId w:val="28"/>
        </w:numPr>
        <w:spacing w:after="0"/>
        <w:rPr>
          <w:sz w:val="24"/>
          <w:szCs w:val="24"/>
        </w:rPr>
      </w:pPr>
      <w:r w:rsidRPr="00D74E8E">
        <w:rPr>
          <w:sz w:val="24"/>
          <w:szCs w:val="24"/>
        </w:rPr>
        <w:t>Jan 2017 – BSC Special Guest</w:t>
      </w:r>
    </w:p>
    <w:p w14:paraId="2AEC0504" w14:textId="187E8BEB" w:rsidR="00CA49C3" w:rsidRPr="00D74E8E" w:rsidRDefault="00CA49C3" w:rsidP="00BE13BC">
      <w:pPr>
        <w:spacing w:after="0" w:line="276" w:lineRule="auto"/>
        <w:ind w:left="1440" w:firstLine="720"/>
        <w:rPr>
          <w:i/>
          <w:sz w:val="24"/>
          <w:szCs w:val="24"/>
        </w:rPr>
      </w:pPr>
      <w:r w:rsidRPr="00D74E8E">
        <w:rPr>
          <w:i/>
          <w:sz w:val="24"/>
          <w:szCs w:val="24"/>
        </w:rPr>
        <w:t>Warren Friedman, PhD, CIH, SAIHA</w:t>
      </w:r>
    </w:p>
    <w:p w14:paraId="3B892C8A" w14:textId="7587D8C9" w:rsidR="00CA49C3" w:rsidRPr="00D74E8E" w:rsidRDefault="00CA49C3" w:rsidP="00BE13BC">
      <w:pPr>
        <w:spacing w:after="0" w:line="276" w:lineRule="auto"/>
        <w:ind w:left="1440" w:firstLine="720"/>
        <w:rPr>
          <w:i/>
          <w:sz w:val="24"/>
          <w:szCs w:val="24"/>
        </w:rPr>
      </w:pPr>
      <w:r w:rsidRPr="00D74E8E">
        <w:rPr>
          <w:i/>
          <w:sz w:val="24"/>
          <w:szCs w:val="24"/>
        </w:rPr>
        <w:t>Senior Advisor to the Director</w:t>
      </w:r>
    </w:p>
    <w:p w14:paraId="49CA6B6C" w14:textId="77948CF4" w:rsidR="00CA49C3" w:rsidRPr="00D74E8E" w:rsidRDefault="00CA49C3" w:rsidP="009932A3">
      <w:pPr>
        <w:spacing w:after="0" w:line="276" w:lineRule="auto"/>
        <w:ind w:left="1440" w:firstLine="720"/>
        <w:rPr>
          <w:i/>
          <w:sz w:val="24"/>
          <w:szCs w:val="24"/>
        </w:rPr>
      </w:pPr>
      <w:r w:rsidRPr="00D74E8E">
        <w:rPr>
          <w:i/>
          <w:sz w:val="24"/>
          <w:szCs w:val="24"/>
        </w:rPr>
        <w:t>HUD Office of Lead Hazard Control and Healthy Homes</w:t>
      </w:r>
    </w:p>
    <w:p w14:paraId="398B031C" w14:textId="04D5817C" w:rsidR="008974C9" w:rsidRPr="00D74E8E" w:rsidRDefault="008974C9" w:rsidP="009932A3">
      <w:pPr>
        <w:pStyle w:val="ListParagraph"/>
        <w:numPr>
          <w:ilvl w:val="2"/>
          <w:numId w:val="28"/>
        </w:numPr>
        <w:rPr>
          <w:sz w:val="24"/>
          <w:szCs w:val="24"/>
        </w:rPr>
      </w:pPr>
      <w:r w:rsidRPr="00D74E8E">
        <w:rPr>
          <w:rFonts w:cs="Melior"/>
          <w:sz w:val="24"/>
          <w:szCs w:val="24"/>
        </w:rPr>
        <w:t>Presented HUD’s 2017 final rule revising the agency’s criteria under the Lead Safe Housing Rule (LSHR)</w:t>
      </w:r>
      <w:r w:rsidR="00621864" w:rsidRPr="00D74E8E">
        <w:rPr>
          <w:rFonts w:cs="Melior"/>
          <w:sz w:val="24"/>
          <w:szCs w:val="24"/>
        </w:rPr>
        <w:t xml:space="preserve"> for</w:t>
      </w:r>
      <w:r w:rsidRPr="00D74E8E">
        <w:rPr>
          <w:rFonts w:cs="Melior"/>
          <w:sz w:val="24"/>
          <w:szCs w:val="24"/>
        </w:rPr>
        <w:t xml:space="preserve"> the identification of children, under age six with elevated BLLs</w:t>
      </w:r>
      <w:r w:rsidR="00621864" w:rsidRPr="00D74E8E">
        <w:rPr>
          <w:rFonts w:cs="Melior"/>
          <w:sz w:val="24"/>
          <w:szCs w:val="24"/>
        </w:rPr>
        <w:t>, in</w:t>
      </w:r>
      <w:r w:rsidRPr="00D74E8E">
        <w:rPr>
          <w:rFonts w:cs="Melior"/>
          <w:sz w:val="24"/>
          <w:szCs w:val="24"/>
        </w:rPr>
        <w:t xml:space="preserve"> align</w:t>
      </w:r>
      <w:r w:rsidR="00621864" w:rsidRPr="00D74E8E">
        <w:rPr>
          <w:rFonts w:cs="Melior"/>
          <w:sz w:val="24"/>
          <w:szCs w:val="24"/>
        </w:rPr>
        <w:t>ment</w:t>
      </w:r>
      <w:r w:rsidRPr="00D74E8E">
        <w:rPr>
          <w:rFonts w:cs="Melior"/>
          <w:sz w:val="24"/>
          <w:szCs w:val="24"/>
        </w:rPr>
        <w:t xml:space="preserve"> with </w:t>
      </w:r>
      <w:r w:rsidR="00621864" w:rsidRPr="00D74E8E">
        <w:rPr>
          <w:rFonts w:cs="Melior"/>
          <w:sz w:val="24"/>
          <w:szCs w:val="24"/>
        </w:rPr>
        <w:t xml:space="preserve">2012 </w:t>
      </w:r>
      <w:r w:rsidRPr="00D74E8E">
        <w:rPr>
          <w:rFonts w:cs="Melior"/>
          <w:sz w:val="24"/>
          <w:szCs w:val="24"/>
        </w:rPr>
        <w:t>CDC reference value</w:t>
      </w:r>
      <w:r w:rsidR="00C4631C" w:rsidRPr="00D74E8E">
        <w:rPr>
          <w:rFonts w:cs="Melior"/>
          <w:sz w:val="24"/>
          <w:szCs w:val="24"/>
        </w:rPr>
        <w:t xml:space="preserve"> for elevated BLLs</w:t>
      </w:r>
      <w:r w:rsidRPr="00D74E8E">
        <w:rPr>
          <w:rFonts w:cs="Melior"/>
          <w:sz w:val="24"/>
          <w:szCs w:val="24"/>
        </w:rPr>
        <w:t>.</w:t>
      </w:r>
    </w:p>
    <w:p w14:paraId="04896DA3" w14:textId="4D3FF854" w:rsidR="00382FF5" w:rsidRPr="00D74E8E" w:rsidRDefault="00382FF5" w:rsidP="00864E6C">
      <w:pPr>
        <w:pStyle w:val="ListParagraph"/>
        <w:numPr>
          <w:ilvl w:val="1"/>
          <w:numId w:val="28"/>
        </w:numPr>
        <w:rPr>
          <w:sz w:val="24"/>
          <w:szCs w:val="24"/>
        </w:rPr>
      </w:pPr>
      <w:r w:rsidRPr="00D74E8E">
        <w:rPr>
          <w:sz w:val="24"/>
          <w:szCs w:val="24"/>
        </w:rPr>
        <w:t>BSC Lead Poisoning Prevention Subcommittee</w:t>
      </w:r>
      <w:r w:rsidR="009D0EA7" w:rsidRPr="00D74E8E">
        <w:rPr>
          <w:sz w:val="24"/>
          <w:szCs w:val="24"/>
        </w:rPr>
        <w:t>, beginning March 2015</w:t>
      </w:r>
    </w:p>
    <w:p w14:paraId="60FCE04F" w14:textId="77777777" w:rsidR="003D2DF7" w:rsidRPr="00D74E8E" w:rsidRDefault="002E5203" w:rsidP="00864E6C">
      <w:pPr>
        <w:pStyle w:val="ListParagraph"/>
        <w:numPr>
          <w:ilvl w:val="0"/>
          <w:numId w:val="28"/>
        </w:numPr>
        <w:rPr>
          <w:sz w:val="24"/>
          <w:szCs w:val="24"/>
        </w:rPr>
      </w:pPr>
      <w:r w:rsidRPr="00D74E8E">
        <w:rPr>
          <w:sz w:val="24"/>
          <w:szCs w:val="24"/>
        </w:rPr>
        <w:t>Annual Partners’ Meetings</w:t>
      </w:r>
    </w:p>
    <w:p w14:paraId="11A84801" w14:textId="3ECAA4EF" w:rsidR="003D2DF7" w:rsidRPr="00D74E8E" w:rsidRDefault="004477C1" w:rsidP="00864E6C">
      <w:pPr>
        <w:pStyle w:val="ListParagraph"/>
        <w:numPr>
          <w:ilvl w:val="0"/>
          <w:numId w:val="28"/>
        </w:numPr>
        <w:rPr>
          <w:sz w:val="24"/>
          <w:szCs w:val="24"/>
        </w:rPr>
      </w:pPr>
      <w:r w:rsidRPr="00D74E8E">
        <w:rPr>
          <w:sz w:val="24"/>
          <w:szCs w:val="24"/>
        </w:rPr>
        <w:t xml:space="preserve">Oct </w:t>
      </w:r>
      <w:r w:rsidR="00947B3D" w:rsidRPr="00D74E8E">
        <w:rPr>
          <w:sz w:val="24"/>
          <w:szCs w:val="24"/>
        </w:rPr>
        <w:t xml:space="preserve">2015 </w:t>
      </w:r>
      <w:r w:rsidR="003D2DF7" w:rsidRPr="00D74E8E">
        <w:rPr>
          <w:rFonts w:ascii="Calibri" w:hAnsi="Calibri" w:cs="Calibri"/>
          <w:bCs/>
          <w:sz w:val="24"/>
          <w:szCs w:val="24"/>
        </w:rPr>
        <w:t xml:space="preserve">Meeting Regarding CSTE Position Statement on Elevated BLLs </w:t>
      </w:r>
    </w:p>
    <w:p w14:paraId="4D40851F" w14:textId="32BF22D7" w:rsidR="00463116" w:rsidRPr="00D74E8E" w:rsidRDefault="003D2DF7" w:rsidP="00947B3D">
      <w:pPr>
        <w:pStyle w:val="ListParagraph"/>
        <w:numPr>
          <w:ilvl w:val="1"/>
          <w:numId w:val="28"/>
        </w:numPr>
        <w:spacing w:after="0"/>
        <w:contextualSpacing w:val="0"/>
        <w:rPr>
          <w:sz w:val="24"/>
          <w:szCs w:val="24"/>
        </w:rPr>
      </w:pPr>
      <w:r w:rsidRPr="00D74E8E">
        <w:rPr>
          <w:rFonts w:ascii="Calibri" w:hAnsi="Calibri" w:cs="Calibri"/>
          <w:sz w:val="24"/>
          <w:szCs w:val="24"/>
        </w:rPr>
        <w:t>The CSELS Surveillance Data Branch’s Surveillance Operations Team hosted a meeting with representatives from NIOSH and NCEH about CSTE position statement “15-EH-01: Public Health Reporting and National Notification for Eleva</w:t>
      </w:r>
      <w:r w:rsidR="00665528" w:rsidRPr="00D74E8E">
        <w:rPr>
          <w:rFonts w:ascii="Calibri" w:hAnsi="Calibri" w:cs="Calibri"/>
          <w:sz w:val="24"/>
          <w:szCs w:val="24"/>
        </w:rPr>
        <w:t>ted Blood Lead Levels.” NCEH</w:t>
      </w:r>
      <w:r w:rsidRPr="00D74E8E">
        <w:rPr>
          <w:rFonts w:ascii="Calibri" w:hAnsi="Calibri" w:cs="Calibri"/>
          <w:sz w:val="24"/>
          <w:szCs w:val="24"/>
        </w:rPr>
        <w:t xml:space="preserve"> approved the </w:t>
      </w:r>
      <w:r w:rsidRPr="00D74E8E">
        <w:rPr>
          <w:sz w:val="24"/>
          <w:szCs w:val="24"/>
        </w:rPr>
        <w:t>elevated childhood lead c</w:t>
      </w:r>
      <w:r w:rsidR="00665528" w:rsidRPr="00D74E8E">
        <w:rPr>
          <w:sz w:val="24"/>
          <w:szCs w:val="24"/>
        </w:rPr>
        <w:t xml:space="preserve">ase definition; the group was </w:t>
      </w:r>
      <w:r w:rsidR="00F235E6" w:rsidRPr="00D74E8E">
        <w:rPr>
          <w:sz w:val="24"/>
          <w:szCs w:val="24"/>
        </w:rPr>
        <w:t>a</w:t>
      </w:r>
      <w:r w:rsidR="00665528" w:rsidRPr="00D74E8E">
        <w:rPr>
          <w:sz w:val="24"/>
          <w:szCs w:val="24"/>
        </w:rPr>
        <w:t>waiting</w:t>
      </w:r>
      <w:r w:rsidRPr="00D74E8E">
        <w:rPr>
          <w:sz w:val="24"/>
          <w:szCs w:val="24"/>
        </w:rPr>
        <w:t xml:space="preserve"> final approval from NIOSH regarding the elevated adult blood lea</w:t>
      </w:r>
      <w:r w:rsidR="00811FCD" w:rsidRPr="00D74E8E">
        <w:rPr>
          <w:sz w:val="24"/>
          <w:szCs w:val="24"/>
        </w:rPr>
        <w:t>d surveillance case definition</w:t>
      </w:r>
      <w:r w:rsidR="00827D14" w:rsidRPr="00D74E8E">
        <w:rPr>
          <w:sz w:val="24"/>
          <w:szCs w:val="24"/>
        </w:rPr>
        <w:t xml:space="preserve"> (CSTE, 2015)</w:t>
      </w:r>
      <w:r w:rsidR="00811FCD" w:rsidRPr="00D74E8E">
        <w:rPr>
          <w:sz w:val="24"/>
          <w:szCs w:val="24"/>
        </w:rPr>
        <w:t>.</w:t>
      </w:r>
    </w:p>
    <w:p w14:paraId="5CFC3770" w14:textId="60183B40" w:rsidR="00FD1A73" w:rsidRPr="00D74E8E" w:rsidRDefault="00665528" w:rsidP="00864E6C">
      <w:pPr>
        <w:pStyle w:val="ListParagraph"/>
        <w:numPr>
          <w:ilvl w:val="1"/>
          <w:numId w:val="28"/>
        </w:numPr>
        <w:spacing w:after="240"/>
        <w:contextualSpacing w:val="0"/>
        <w:rPr>
          <w:sz w:val="24"/>
          <w:szCs w:val="24"/>
        </w:rPr>
      </w:pPr>
      <w:r w:rsidRPr="00D74E8E">
        <w:rPr>
          <w:sz w:val="24"/>
          <w:szCs w:val="24"/>
        </w:rPr>
        <w:t>NIOSH approval was obtained November 2015</w:t>
      </w:r>
      <w:r w:rsidR="00AE6F8D" w:rsidRPr="00D74E8E">
        <w:rPr>
          <w:sz w:val="24"/>
          <w:szCs w:val="24"/>
        </w:rPr>
        <w:t>, with a confirmed venous BLL for adults</w:t>
      </w:r>
      <w:r w:rsidR="004173D3" w:rsidRPr="00D74E8E">
        <w:rPr>
          <w:sz w:val="24"/>
          <w:szCs w:val="24"/>
        </w:rPr>
        <w:t xml:space="preserve"> (CDC, 2016).</w:t>
      </w:r>
    </w:p>
    <w:tbl>
      <w:tblPr>
        <w:tblStyle w:val="TableGrid"/>
        <w:tblW w:w="0" w:type="auto"/>
        <w:tblLook w:val="04A0" w:firstRow="1" w:lastRow="0" w:firstColumn="1" w:lastColumn="0" w:noHBand="0" w:noVBand="1"/>
      </w:tblPr>
      <w:tblGrid>
        <w:gridCol w:w="4675"/>
        <w:gridCol w:w="4675"/>
      </w:tblGrid>
      <w:tr w:rsidR="00D74E8E" w:rsidRPr="00D74E8E" w14:paraId="03C4B848" w14:textId="77777777" w:rsidTr="002A1225">
        <w:tc>
          <w:tcPr>
            <w:tcW w:w="9350" w:type="dxa"/>
            <w:gridSpan w:val="2"/>
          </w:tcPr>
          <w:p w14:paraId="7B4DCB16" w14:textId="13F05B39" w:rsidR="00DB3391" w:rsidRPr="00D74E8E" w:rsidRDefault="00DB3391" w:rsidP="002A1225">
            <w:pPr>
              <w:rPr>
                <w:b/>
              </w:rPr>
            </w:pPr>
            <w:r w:rsidRPr="00D74E8E">
              <w:rPr>
                <w:b/>
              </w:rPr>
              <w:t>Table A.8.1. NCEH/ATSDR Board of Scientific Counselors</w:t>
            </w:r>
            <w:r w:rsidR="001736DA" w:rsidRPr="00D74E8E">
              <w:rPr>
                <w:b/>
              </w:rPr>
              <w:t xml:space="preserve"> (as </w:t>
            </w:r>
            <w:r w:rsidR="00F235E6" w:rsidRPr="00D74E8E">
              <w:rPr>
                <w:b/>
              </w:rPr>
              <w:t>of</w:t>
            </w:r>
            <w:r w:rsidR="001736DA" w:rsidRPr="00D74E8E">
              <w:rPr>
                <w:b/>
              </w:rPr>
              <w:t xml:space="preserve"> 01/30/2017)</w:t>
            </w:r>
          </w:p>
          <w:p w14:paraId="436E9130" w14:textId="6C619F5E" w:rsidR="00F235E6" w:rsidRPr="00D74E8E" w:rsidRDefault="005D4F7E" w:rsidP="002A1225">
            <w:pPr>
              <w:rPr>
                <w:rFonts w:eastAsia="Times New Roman" w:cs="Times New Roman"/>
                <w:b/>
                <w:bCs/>
                <w:sz w:val="20"/>
                <w:szCs w:val="20"/>
              </w:rPr>
            </w:pPr>
            <w:hyperlink r:id="rId16" w:history="1">
              <w:r w:rsidR="00F235E6" w:rsidRPr="00D74E8E">
                <w:rPr>
                  <w:rStyle w:val="Hyperlink"/>
                  <w:rFonts w:eastAsia="Times New Roman" w:cs="Times New Roman"/>
                  <w:b/>
                  <w:bCs/>
                  <w:color w:val="auto"/>
                  <w:sz w:val="24"/>
                  <w:szCs w:val="24"/>
                </w:rPr>
                <w:t>https://www.atsdr.cdc.gov/science/members.html</w:t>
              </w:r>
            </w:hyperlink>
          </w:p>
        </w:tc>
      </w:tr>
      <w:tr w:rsidR="00D74E8E" w:rsidRPr="00D74E8E" w14:paraId="1AD7869F" w14:textId="77777777" w:rsidTr="002A1225">
        <w:tc>
          <w:tcPr>
            <w:tcW w:w="4675" w:type="dxa"/>
          </w:tcPr>
          <w:p w14:paraId="7CFC72E3" w14:textId="77777777" w:rsidR="00AC4D0A" w:rsidRPr="00D74E8E" w:rsidRDefault="00AC4D0A" w:rsidP="002A1225">
            <w:pPr>
              <w:rPr>
                <w:rFonts w:eastAsia="Times New Roman"/>
                <w:b/>
              </w:rPr>
            </w:pPr>
            <w:r w:rsidRPr="00D74E8E">
              <w:rPr>
                <w:rFonts w:eastAsia="Times New Roman"/>
                <w:b/>
              </w:rPr>
              <w:t>CHAIR</w:t>
            </w:r>
          </w:p>
          <w:p w14:paraId="24196003" w14:textId="05B3ED90" w:rsidR="00AE345C" w:rsidRPr="00D74E8E" w:rsidRDefault="00AC4D0A" w:rsidP="002A1225">
            <w:pPr>
              <w:rPr>
                <w:rFonts w:eastAsia="Times New Roman" w:cs="Times New Roman"/>
                <w:sz w:val="20"/>
                <w:szCs w:val="20"/>
              </w:rPr>
            </w:pPr>
            <w:r w:rsidRPr="00D74E8E">
              <w:rPr>
                <w:rFonts w:eastAsia="Times New Roman" w:cs="Times New Roman"/>
                <w:b/>
                <w:bCs/>
                <w:sz w:val="20"/>
                <w:szCs w:val="20"/>
              </w:rPr>
              <w:t>Melissa J. Perry ScD, MHS</w:t>
            </w:r>
            <w:r w:rsidRPr="00D74E8E">
              <w:rPr>
                <w:rFonts w:eastAsia="Times New Roman" w:cs="Times New Roman"/>
                <w:sz w:val="20"/>
                <w:szCs w:val="20"/>
              </w:rPr>
              <w:br/>
              <w:t>Fellow of the American College of Epidemiology</w:t>
            </w:r>
            <w:r w:rsidRPr="00D74E8E">
              <w:rPr>
                <w:rFonts w:eastAsia="Times New Roman" w:cs="Times New Roman"/>
                <w:sz w:val="20"/>
                <w:szCs w:val="20"/>
              </w:rPr>
              <w:br/>
              <w:t>Professor and Chair of Environmental and Occupational Health, and</w:t>
            </w:r>
            <w:r w:rsidRPr="00D74E8E">
              <w:rPr>
                <w:rFonts w:eastAsia="Times New Roman" w:cs="Times New Roman"/>
                <w:sz w:val="20"/>
                <w:szCs w:val="20"/>
              </w:rPr>
              <w:br/>
              <w:t>Professor of Epidemiology</w:t>
            </w:r>
            <w:r w:rsidRPr="00D74E8E">
              <w:rPr>
                <w:rFonts w:eastAsia="Times New Roman" w:cs="Times New Roman"/>
                <w:sz w:val="20"/>
                <w:szCs w:val="20"/>
              </w:rPr>
              <w:br/>
              <w:t>Milken Institute School of Public Health</w:t>
            </w:r>
            <w:r w:rsidRPr="00D74E8E">
              <w:rPr>
                <w:rFonts w:eastAsia="Times New Roman" w:cs="Times New Roman"/>
                <w:sz w:val="20"/>
                <w:szCs w:val="20"/>
              </w:rPr>
              <w:br/>
              <w:t>Professor of Biochemistry and Molecular Biology</w:t>
            </w:r>
            <w:r w:rsidRPr="00D74E8E">
              <w:rPr>
                <w:rFonts w:eastAsia="Times New Roman" w:cs="Times New Roman"/>
                <w:sz w:val="20"/>
                <w:szCs w:val="20"/>
              </w:rPr>
              <w:br/>
              <w:t>School of Medicine and Health Sciences</w:t>
            </w:r>
            <w:r w:rsidRPr="00D74E8E">
              <w:rPr>
                <w:rFonts w:eastAsia="Times New Roman" w:cs="Times New Roman"/>
                <w:sz w:val="20"/>
                <w:szCs w:val="20"/>
              </w:rPr>
              <w:br/>
              <w:t>The George Washington University</w:t>
            </w:r>
            <w:r w:rsidRPr="00D74E8E">
              <w:rPr>
                <w:rFonts w:eastAsia="Times New Roman" w:cs="Times New Roman"/>
                <w:sz w:val="20"/>
                <w:szCs w:val="20"/>
              </w:rPr>
              <w:br/>
              <w:t>Term: 2/3/14 - 6/02/17</w:t>
            </w:r>
          </w:p>
        </w:tc>
        <w:tc>
          <w:tcPr>
            <w:tcW w:w="4675" w:type="dxa"/>
          </w:tcPr>
          <w:p w14:paraId="12D32B2A" w14:textId="487D89F1" w:rsidR="00AC4D0A" w:rsidRPr="00D74E8E" w:rsidRDefault="0065200B" w:rsidP="002A1225">
            <w:pPr>
              <w:rPr>
                <w:rFonts w:eastAsia="Times New Roman"/>
                <w:b/>
              </w:rPr>
            </w:pPr>
            <w:r w:rsidRPr="00D74E8E">
              <w:rPr>
                <w:rFonts w:eastAsia="Times New Roman"/>
                <w:b/>
              </w:rPr>
              <w:t>DESIGNATED FEDERAL OFFICER</w:t>
            </w:r>
          </w:p>
          <w:p w14:paraId="7C852489" w14:textId="0765DA6E" w:rsidR="00AE345C" w:rsidRPr="00D74E8E" w:rsidRDefault="00AC4D0A" w:rsidP="002A1225">
            <w:pPr>
              <w:rPr>
                <w:rFonts w:eastAsia="Times New Roman" w:cs="Times New Roman"/>
                <w:sz w:val="20"/>
                <w:szCs w:val="20"/>
              </w:rPr>
            </w:pPr>
            <w:r w:rsidRPr="00D74E8E">
              <w:rPr>
                <w:rFonts w:eastAsia="Times New Roman" w:cs="Times New Roman"/>
                <w:b/>
                <w:bCs/>
                <w:sz w:val="20"/>
                <w:szCs w:val="20"/>
              </w:rPr>
              <w:t>William Cibulas, PhD, MS</w:t>
            </w:r>
            <w:r w:rsidRPr="00D74E8E">
              <w:rPr>
                <w:rFonts w:eastAsia="Times New Roman" w:cs="Times New Roman"/>
                <w:sz w:val="20"/>
                <w:szCs w:val="20"/>
              </w:rPr>
              <w:br/>
              <w:t>Deputy Associate Director for Science, National Center for Environmental Health/Agency for Toxic Substances and Disease Registry</w:t>
            </w:r>
          </w:p>
        </w:tc>
      </w:tr>
      <w:tr w:rsidR="00D74E8E" w:rsidRPr="00D74E8E" w14:paraId="39105975" w14:textId="77777777" w:rsidTr="002A1225">
        <w:tc>
          <w:tcPr>
            <w:tcW w:w="9350" w:type="dxa"/>
            <w:gridSpan w:val="2"/>
          </w:tcPr>
          <w:p w14:paraId="42977EFA" w14:textId="77777777" w:rsidR="002A1225" w:rsidRPr="00D74E8E" w:rsidRDefault="002A1225" w:rsidP="002A1225">
            <w:pPr>
              <w:rPr>
                <w:b/>
              </w:rPr>
            </w:pPr>
          </w:p>
          <w:p w14:paraId="0EADB549" w14:textId="2F632CFF" w:rsidR="00AC4D0A" w:rsidRPr="00D74E8E" w:rsidRDefault="00AC4D0A" w:rsidP="002A1225">
            <w:pPr>
              <w:rPr>
                <w:b/>
              </w:rPr>
            </w:pPr>
            <w:r w:rsidRPr="00D74E8E">
              <w:rPr>
                <w:b/>
              </w:rPr>
              <w:t>M</w:t>
            </w:r>
            <w:r w:rsidR="002A1225" w:rsidRPr="00D74E8E">
              <w:rPr>
                <w:b/>
              </w:rPr>
              <w:t>EMBERS</w:t>
            </w:r>
          </w:p>
        </w:tc>
      </w:tr>
      <w:tr w:rsidR="00D74E8E" w:rsidRPr="00D74E8E" w14:paraId="78AB2D5A" w14:textId="77777777" w:rsidTr="002A1225">
        <w:tc>
          <w:tcPr>
            <w:tcW w:w="4675" w:type="dxa"/>
          </w:tcPr>
          <w:p w14:paraId="4344B03A" w14:textId="2467F3D0" w:rsidR="00AE345C" w:rsidRPr="00D74E8E" w:rsidRDefault="00AC4D0A" w:rsidP="002A1225">
            <w:pPr>
              <w:rPr>
                <w:rFonts w:eastAsia="Times New Roman" w:cs="Times New Roman"/>
                <w:sz w:val="20"/>
                <w:szCs w:val="20"/>
              </w:rPr>
            </w:pPr>
            <w:r w:rsidRPr="00D74E8E">
              <w:rPr>
                <w:rFonts w:eastAsia="Times New Roman" w:cs="Times New Roman"/>
                <w:b/>
                <w:bCs/>
                <w:sz w:val="20"/>
                <w:szCs w:val="20"/>
              </w:rPr>
              <w:t>Kenneth Aldous, PhD</w:t>
            </w:r>
            <w:r w:rsidRPr="00D74E8E">
              <w:rPr>
                <w:rFonts w:eastAsia="Times New Roman" w:cs="Times New Roman"/>
                <w:sz w:val="20"/>
                <w:szCs w:val="20"/>
              </w:rPr>
              <w:br/>
              <w:t>Wadsworth School of Laboratory Sciences</w:t>
            </w:r>
            <w:r w:rsidRPr="00D74E8E">
              <w:rPr>
                <w:rFonts w:eastAsia="Times New Roman" w:cs="Times New Roman"/>
                <w:sz w:val="20"/>
                <w:szCs w:val="20"/>
              </w:rPr>
              <w:br/>
              <w:t>Term: 6/3/2016- 6/2/2020</w:t>
            </w:r>
          </w:p>
        </w:tc>
        <w:tc>
          <w:tcPr>
            <w:tcW w:w="4675" w:type="dxa"/>
          </w:tcPr>
          <w:p w14:paraId="3D2968ED" w14:textId="3B044875" w:rsidR="00AE345C" w:rsidRPr="00D74E8E" w:rsidRDefault="00AC4D0A" w:rsidP="002A1225">
            <w:pPr>
              <w:rPr>
                <w:rFonts w:eastAsia="Times New Roman" w:cs="Times New Roman"/>
                <w:sz w:val="20"/>
                <w:szCs w:val="20"/>
              </w:rPr>
            </w:pPr>
            <w:r w:rsidRPr="00D74E8E">
              <w:rPr>
                <w:rFonts w:eastAsia="Times New Roman" w:cs="Times New Roman"/>
                <w:b/>
                <w:bCs/>
                <w:sz w:val="20"/>
                <w:szCs w:val="20"/>
              </w:rPr>
              <w:t>Aaron Bernstein, MD MPH</w:t>
            </w:r>
            <w:r w:rsidRPr="00D74E8E">
              <w:rPr>
                <w:rFonts w:eastAsia="Times New Roman" w:cs="Times New Roman"/>
                <w:sz w:val="20"/>
                <w:szCs w:val="20"/>
              </w:rPr>
              <w:br/>
              <w:t>Harvard School of Public Health</w:t>
            </w:r>
            <w:r w:rsidRPr="00D74E8E">
              <w:rPr>
                <w:rFonts w:eastAsia="Times New Roman" w:cs="Times New Roman"/>
                <w:sz w:val="20"/>
                <w:szCs w:val="20"/>
              </w:rPr>
              <w:br/>
              <w:t>Term: 6/3/2016- 6/2/2020</w:t>
            </w:r>
          </w:p>
        </w:tc>
      </w:tr>
      <w:tr w:rsidR="00D74E8E" w:rsidRPr="00D74E8E" w14:paraId="327E5D3C" w14:textId="77777777" w:rsidTr="002A1225">
        <w:tc>
          <w:tcPr>
            <w:tcW w:w="4675" w:type="dxa"/>
          </w:tcPr>
          <w:p w14:paraId="59F7CD0E" w14:textId="3B2F93A9" w:rsidR="00AE345C" w:rsidRPr="00D74E8E" w:rsidRDefault="00AC4D0A" w:rsidP="002A1225">
            <w:pPr>
              <w:rPr>
                <w:rFonts w:eastAsia="Times New Roman" w:cs="Times New Roman"/>
                <w:sz w:val="20"/>
                <w:szCs w:val="20"/>
              </w:rPr>
            </w:pPr>
            <w:r w:rsidRPr="00D74E8E">
              <w:rPr>
                <w:rFonts w:eastAsia="Times New Roman" w:cs="Times New Roman"/>
                <w:b/>
                <w:bCs/>
                <w:sz w:val="20"/>
                <w:szCs w:val="20"/>
              </w:rPr>
              <w:t>Darryl Brown, PhD MPA</w:t>
            </w:r>
            <w:r w:rsidRPr="00D74E8E">
              <w:rPr>
                <w:rFonts w:eastAsia="Times New Roman" w:cs="Times New Roman"/>
                <w:sz w:val="20"/>
                <w:szCs w:val="20"/>
              </w:rPr>
              <w:br/>
              <w:t>Drexel University School of Public Health</w:t>
            </w:r>
            <w:r w:rsidRPr="00D74E8E">
              <w:rPr>
                <w:rFonts w:eastAsia="Times New Roman" w:cs="Times New Roman"/>
                <w:sz w:val="20"/>
                <w:szCs w:val="20"/>
              </w:rPr>
              <w:br/>
              <w:t>Term: 6/2/2015 - 6/2/2019</w:t>
            </w:r>
          </w:p>
        </w:tc>
        <w:tc>
          <w:tcPr>
            <w:tcW w:w="4675" w:type="dxa"/>
          </w:tcPr>
          <w:p w14:paraId="12827991" w14:textId="1CCC855E" w:rsidR="00AE345C" w:rsidRPr="00D74E8E" w:rsidRDefault="00AC4D0A" w:rsidP="002A1225">
            <w:pPr>
              <w:rPr>
                <w:rFonts w:eastAsia="Times New Roman" w:cs="Times New Roman"/>
                <w:sz w:val="20"/>
                <w:szCs w:val="20"/>
              </w:rPr>
            </w:pPr>
            <w:r w:rsidRPr="00D74E8E">
              <w:rPr>
                <w:rFonts w:eastAsia="Times New Roman" w:cs="Times New Roman"/>
                <w:b/>
                <w:bCs/>
                <w:sz w:val="20"/>
                <w:szCs w:val="20"/>
              </w:rPr>
              <w:t>Suzanne Condon, MSM</w:t>
            </w:r>
            <w:r w:rsidRPr="00D74E8E">
              <w:rPr>
                <w:rFonts w:eastAsia="Times New Roman" w:cs="Times New Roman"/>
                <w:sz w:val="20"/>
                <w:szCs w:val="20"/>
              </w:rPr>
              <w:br/>
              <w:t>Massachusetts Department of Health</w:t>
            </w:r>
            <w:r w:rsidRPr="00D74E8E">
              <w:rPr>
                <w:rFonts w:eastAsia="Times New Roman" w:cs="Times New Roman"/>
                <w:sz w:val="20"/>
                <w:szCs w:val="20"/>
              </w:rPr>
              <w:br/>
              <w:t>Term: 6/2/2015 - 6/2/2019</w:t>
            </w:r>
          </w:p>
        </w:tc>
      </w:tr>
      <w:tr w:rsidR="00D74E8E" w:rsidRPr="00D74E8E" w14:paraId="18B3E359" w14:textId="77777777" w:rsidTr="002A1225">
        <w:tc>
          <w:tcPr>
            <w:tcW w:w="4675" w:type="dxa"/>
          </w:tcPr>
          <w:p w14:paraId="34CB8B0F" w14:textId="27243E68" w:rsidR="00AE345C" w:rsidRPr="00D74E8E" w:rsidRDefault="00AC4D0A" w:rsidP="002A1225">
            <w:pPr>
              <w:rPr>
                <w:rFonts w:eastAsia="Times New Roman" w:cs="Times New Roman"/>
                <w:sz w:val="20"/>
                <w:szCs w:val="20"/>
              </w:rPr>
            </w:pPr>
            <w:r w:rsidRPr="00D74E8E">
              <w:rPr>
                <w:rFonts w:eastAsia="Times New Roman" w:cs="Times New Roman"/>
                <w:b/>
                <w:bCs/>
                <w:sz w:val="20"/>
                <w:szCs w:val="20"/>
              </w:rPr>
              <w:t>Deborah A. Cory-Slechta, Ph.D.</w:t>
            </w:r>
            <w:r w:rsidRPr="00D74E8E">
              <w:rPr>
                <w:rFonts w:eastAsia="Times New Roman" w:cs="Times New Roman"/>
                <w:sz w:val="20"/>
                <w:szCs w:val="20"/>
              </w:rPr>
              <w:br/>
              <w:t>Professor, Department of Environmental Medicines and Pediatrics, University of Rochester School of Medicine</w:t>
            </w:r>
            <w:r w:rsidRPr="00D74E8E">
              <w:rPr>
                <w:rFonts w:eastAsia="Times New Roman" w:cs="Times New Roman"/>
                <w:sz w:val="20"/>
                <w:szCs w:val="20"/>
              </w:rPr>
              <w:br/>
              <w:t>Term: 5/2/15 – 6/2/18</w:t>
            </w:r>
          </w:p>
        </w:tc>
        <w:tc>
          <w:tcPr>
            <w:tcW w:w="4675" w:type="dxa"/>
          </w:tcPr>
          <w:p w14:paraId="7FA28421" w14:textId="1B70FE2F" w:rsidR="00AE345C" w:rsidRPr="00D74E8E" w:rsidRDefault="00AC4D0A" w:rsidP="002A1225">
            <w:pPr>
              <w:rPr>
                <w:rFonts w:eastAsia="Times New Roman" w:cs="Times New Roman"/>
                <w:sz w:val="20"/>
                <w:szCs w:val="20"/>
              </w:rPr>
            </w:pPr>
            <w:r w:rsidRPr="00D74E8E">
              <w:rPr>
                <w:rFonts w:eastAsia="Times New Roman" w:cs="Times New Roman"/>
                <w:b/>
                <w:bCs/>
                <w:sz w:val="20"/>
                <w:szCs w:val="20"/>
              </w:rPr>
              <w:t>Kim N. Dietrich, Ph.D.</w:t>
            </w:r>
            <w:r w:rsidRPr="00D74E8E">
              <w:rPr>
                <w:rFonts w:eastAsia="Times New Roman" w:cs="Times New Roman"/>
                <w:sz w:val="20"/>
                <w:szCs w:val="20"/>
              </w:rPr>
              <w:br/>
              <w:t>Professor of Environmental Health, University of Cincinnati College of Medicine, Department of Environmental Health</w:t>
            </w:r>
            <w:r w:rsidRPr="00D74E8E">
              <w:rPr>
                <w:rFonts w:eastAsia="Times New Roman" w:cs="Times New Roman"/>
                <w:sz w:val="20"/>
                <w:szCs w:val="20"/>
              </w:rPr>
              <w:br/>
              <w:t>Term: 4/30/15 – 6/2/18</w:t>
            </w:r>
          </w:p>
        </w:tc>
      </w:tr>
      <w:tr w:rsidR="00D74E8E" w:rsidRPr="00D74E8E" w14:paraId="54DC84BE" w14:textId="77777777" w:rsidTr="002A1225">
        <w:tc>
          <w:tcPr>
            <w:tcW w:w="4675" w:type="dxa"/>
          </w:tcPr>
          <w:p w14:paraId="48257C76" w14:textId="5EDF09F7" w:rsidR="00AE345C" w:rsidRPr="00D74E8E" w:rsidRDefault="00AC4D0A" w:rsidP="002A1225">
            <w:pPr>
              <w:rPr>
                <w:rFonts w:eastAsia="Times New Roman" w:cs="Times New Roman"/>
                <w:sz w:val="20"/>
                <w:szCs w:val="20"/>
              </w:rPr>
            </w:pPr>
            <w:r w:rsidRPr="00D74E8E">
              <w:rPr>
                <w:rFonts w:eastAsia="Times New Roman" w:cs="Times New Roman"/>
                <w:b/>
                <w:bCs/>
                <w:sz w:val="20"/>
                <w:szCs w:val="20"/>
              </w:rPr>
              <w:t>Roberta Grant, PhD</w:t>
            </w:r>
            <w:r w:rsidRPr="00D74E8E">
              <w:rPr>
                <w:rFonts w:eastAsia="Times New Roman" w:cs="Times New Roman"/>
                <w:sz w:val="20"/>
                <w:szCs w:val="20"/>
              </w:rPr>
              <w:br/>
              <w:t>TCEQ</w:t>
            </w:r>
            <w:r w:rsidRPr="00D74E8E">
              <w:rPr>
                <w:rFonts w:eastAsia="Times New Roman" w:cs="Times New Roman"/>
                <w:sz w:val="20"/>
                <w:szCs w:val="20"/>
              </w:rPr>
              <w:br/>
              <w:t>Term: 6/2/2015 - 6/2/2019</w:t>
            </w:r>
          </w:p>
        </w:tc>
        <w:tc>
          <w:tcPr>
            <w:tcW w:w="4675" w:type="dxa"/>
          </w:tcPr>
          <w:p w14:paraId="61249E5F" w14:textId="298EEAA4" w:rsidR="00AE345C" w:rsidRPr="00D74E8E" w:rsidRDefault="00AC4D0A" w:rsidP="002A1225">
            <w:pPr>
              <w:rPr>
                <w:rFonts w:eastAsia="Times New Roman" w:cs="Times New Roman"/>
                <w:sz w:val="20"/>
                <w:szCs w:val="20"/>
              </w:rPr>
            </w:pPr>
            <w:r w:rsidRPr="00D74E8E">
              <w:rPr>
                <w:rFonts w:eastAsia="Times New Roman" w:cs="Times New Roman"/>
                <w:b/>
                <w:bCs/>
                <w:sz w:val="20"/>
                <w:szCs w:val="20"/>
              </w:rPr>
              <w:t>Sharron E. LaFollette, PhD</w:t>
            </w:r>
            <w:r w:rsidRPr="00D74E8E">
              <w:rPr>
                <w:rFonts w:eastAsia="Times New Roman" w:cs="Times New Roman"/>
                <w:sz w:val="20"/>
                <w:szCs w:val="20"/>
              </w:rPr>
              <w:br/>
              <w:t>Emeriti Professor and Chair, Department of Public Health, University of Illinois at Springfield</w:t>
            </w:r>
            <w:r w:rsidRPr="00D74E8E">
              <w:rPr>
                <w:rFonts w:eastAsia="Times New Roman" w:cs="Times New Roman"/>
                <w:sz w:val="20"/>
                <w:szCs w:val="20"/>
              </w:rPr>
              <w:br/>
              <w:t>Term: 4/29/15 – 6/2/18</w:t>
            </w:r>
          </w:p>
        </w:tc>
      </w:tr>
      <w:tr w:rsidR="00D74E8E" w:rsidRPr="00D74E8E" w14:paraId="67331011" w14:textId="77777777" w:rsidTr="002A1225">
        <w:tc>
          <w:tcPr>
            <w:tcW w:w="4675" w:type="dxa"/>
          </w:tcPr>
          <w:p w14:paraId="2ADD4BE2" w14:textId="33ECFE61" w:rsidR="00AE345C" w:rsidRPr="00D74E8E" w:rsidRDefault="00E54CE2" w:rsidP="002A1225">
            <w:pPr>
              <w:rPr>
                <w:rFonts w:eastAsia="Times New Roman" w:cs="Times New Roman"/>
                <w:sz w:val="20"/>
                <w:szCs w:val="20"/>
              </w:rPr>
            </w:pPr>
            <w:r w:rsidRPr="00D74E8E">
              <w:rPr>
                <w:rFonts w:eastAsia="Times New Roman" w:cs="Times New Roman"/>
                <w:b/>
                <w:bCs/>
                <w:sz w:val="20"/>
                <w:szCs w:val="20"/>
              </w:rPr>
              <w:t>Joyce M. Martin, MA JD</w:t>
            </w:r>
            <w:r w:rsidRPr="00D74E8E">
              <w:rPr>
                <w:rFonts w:eastAsia="Times New Roman" w:cs="Times New Roman"/>
                <w:sz w:val="20"/>
                <w:szCs w:val="20"/>
              </w:rPr>
              <w:br/>
              <w:t>JM Environmental Health Consulting</w:t>
            </w:r>
            <w:r w:rsidRPr="00D74E8E">
              <w:rPr>
                <w:rFonts w:eastAsia="Times New Roman" w:cs="Times New Roman"/>
                <w:sz w:val="20"/>
                <w:szCs w:val="20"/>
              </w:rPr>
              <w:br/>
              <w:t>Term: 6/3/2016- 6/2/2020</w:t>
            </w:r>
          </w:p>
        </w:tc>
        <w:tc>
          <w:tcPr>
            <w:tcW w:w="4675" w:type="dxa"/>
          </w:tcPr>
          <w:p w14:paraId="06B4F54C" w14:textId="63EF1075" w:rsidR="00AE345C" w:rsidRPr="00D74E8E" w:rsidRDefault="00E54CE2" w:rsidP="002A1225">
            <w:pPr>
              <w:rPr>
                <w:rFonts w:eastAsia="Times New Roman" w:cs="Times New Roman"/>
                <w:sz w:val="20"/>
                <w:szCs w:val="20"/>
              </w:rPr>
            </w:pPr>
            <w:r w:rsidRPr="00D74E8E">
              <w:rPr>
                <w:rFonts w:eastAsia="Times New Roman" w:cs="Times New Roman"/>
                <w:b/>
                <w:bCs/>
                <w:sz w:val="20"/>
                <w:szCs w:val="20"/>
              </w:rPr>
              <w:t>Ralph McCullers, MPA</w:t>
            </w:r>
            <w:r w:rsidRPr="00D74E8E">
              <w:rPr>
                <w:rFonts w:eastAsia="Times New Roman" w:cs="Times New Roman"/>
                <w:sz w:val="20"/>
                <w:szCs w:val="20"/>
              </w:rPr>
              <w:br/>
              <w:t>Compliance and Enforcement Division Clark County Department of Air Quality</w:t>
            </w:r>
            <w:r w:rsidRPr="00D74E8E">
              <w:rPr>
                <w:rFonts w:eastAsia="Times New Roman" w:cs="Times New Roman"/>
                <w:sz w:val="20"/>
                <w:szCs w:val="20"/>
              </w:rPr>
              <w:br/>
              <w:t>Term: 6/3/2016- 6/2/2020</w:t>
            </w:r>
          </w:p>
        </w:tc>
      </w:tr>
      <w:tr w:rsidR="00D74E8E" w:rsidRPr="00D74E8E" w14:paraId="463A5E55" w14:textId="77777777" w:rsidTr="002A1225">
        <w:tc>
          <w:tcPr>
            <w:tcW w:w="4675" w:type="dxa"/>
          </w:tcPr>
          <w:p w14:paraId="2CFC4381" w14:textId="104A4165" w:rsidR="00AE345C" w:rsidRPr="00D74E8E" w:rsidRDefault="00E54CE2" w:rsidP="002A1225">
            <w:pPr>
              <w:rPr>
                <w:rFonts w:eastAsia="Times New Roman" w:cs="Times New Roman"/>
                <w:sz w:val="20"/>
                <w:szCs w:val="20"/>
              </w:rPr>
            </w:pPr>
            <w:r w:rsidRPr="00D74E8E">
              <w:rPr>
                <w:rFonts w:eastAsia="Times New Roman" w:cs="Times New Roman"/>
                <w:b/>
                <w:bCs/>
                <w:sz w:val="20"/>
                <w:szCs w:val="20"/>
              </w:rPr>
              <w:t>John Meeker, ScD, CIH</w:t>
            </w:r>
            <w:r w:rsidRPr="00D74E8E">
              <w:rPr>
                <w:rFonts w:eastAsia="Times New Roman" w:cs="Times New Roman"/>
                <w:sz w:val="20"/>
                <w:szCs w:val="20"/>
              </w:rPr>
              <w:br/>
              <w:t>University of Michigan</w:t>
            </w:r>
            <w:r w:rsidRPr="00D74E8E">
              <w:rPr>
                <w:rFonts w:eastAsia="Times New Roman" w:cs="Times New Roman"/>
                <w:sz w:val="20"/>
                <w:szCs w:val="20"/>
              </w:rPr>
              <w:br/>
              <w:t>Term: 6/2/2015 – 6/2/2017</w:t>
            </w:r>
          </w:p>
        </w:tc>
        <w:tc>
          <w:tcPr>
            <w:tcW w:w="4675" w:type="dxa"/>
          </w:tcPr>
          <w:p w14:paraId="64B671D8" w14:textId="0A166E8B" w:rsidR="00AE345C" w:rsidRPr="00D74E8E" w:rsidRDefault="00E54CE2" w:rsidP="002A1225">
            <w:pPr>
              <w:rPr>
                <w:rFonts w:eastAsia="Times New Roman" w:cs="Times New Roman"/>
                <w:sz w:val="20"/>
                <w:szCs w:val="20"/>
              </w:rPr>
            </w:pPr>
            <w:r w:rsidRPr="00D74E8E">
              <w:rPr>
                <w:rFonts w:eastAsia="Times New Roman" w:cs="Times New Roman"/>
                <w:b/>
                <w:bCs/>
                <w:sz w:val="20"/>
                <w:szCs w:val="20"/>
              </w:rPr>
              <w:t>Devon Payne-Sturges, DrPH MPH</w:t>
            </w:r>
            <w:r w:rsidRPr="00D74E8E">
              <w:rPr>
                <w:rFonts w:eastAsia="Times New Roman" w:cs="Times New Roman"/>
                <w:sz w:val="20"/>
                <w:szCs w:val="20"/>
              </w:rPr>
              <w:br/>
              <w:t>Un</w:t>
            </w:r>
            <w:r w:rsidR="007D23EE">
              <w:rPr>
                <w:rFonts w:eastAsia="Times New Roman" w:cs="Times New Roman"/>
                <w:sz w:val="20"/>
                <w:szCs w:val="20"/>
              </w:rPr>
              <w:t>i</w:t>
            </w:r>
            <w:r w:rsidRPr="00D74E8E">
              <w:rPr>
                <w:rFonts w:eastAsia="Times New Roman" w:cs="Times New Roman"/>
                <w:sz w:val="20"/>
                <w:szCs w:val="20"/>
              </w:rPr>
              <w:t>versity of Maryland</w:t>
            </w:r>
            <w:r w:rsidRPr="00D74E8E">
              <w:rPr>
                <w:rFonts w:eastAsia="Times New Roman" w:cs="Times New Roman"/>
                <w:sz w:val="20"/>
                <w:szCs w:val="20"/>
              </w:rPr>
              <w:br/>
              <w:t>Term: 6/2/2015 - 6/2/2019</w:t>
            </w:r>
          </w:p>
        </w:tc>
      </w:tr>
      <w:tr w:rsidR="00D74E8E" w:rsidRPr="00D74E8E" w14:paraId="18DB70CE" w14:textId="77777777" w:rsidTr="002A1225">
        <w:tc>
          <w:tcPr>
            <w:tcW w:w="4675" w:type="dxa"/>
          </w:tcPr>
          <w:p w14:paraId="528E19D9" w14:textId="6F8A13A5" w:rsidR="00E54CE2" w:rsidRPr="00D74E8E" w:rsidRDefault="00E54CE2" w:rsidP="002A1225">
            <w:pPr>
              <w:rPr>
                <w:rFonts w:eastAsia="Times New Roman" w:cs="Times New Roman"/>
                <w:sz w:val="20"/>
                <w:szCs w:val="20"/>
              </w:rPr>
            </w:pPr>
            <w:r w:rsidRPr="00D74E8E">
              <w:rPr>
                <w:rFonts w:eastAsia="Times New Roman" w:cs="Times New Roman"/>
                <w:b/>
                <w:bCs/>
                <w:sz w:val="20"/>
                <w:szCs w:val="20"/>
              </w:rPr>
              <w:t>Matthew J Strickland, PhD MPH</w:t>
            </w:r>
            <w:r w:rsidRPr="00D74E8E">
              <w:rPr>
                <w:rFonts w:eastAsia="Times New Roman" w:cs="Times New Roman"/>
                <w:sz w:val="20"/>
                <w:szCs w:val="20"/>
              </w:rPr>
              <w:br/>
              <w:t>School of Community Health Sciences, University of Nevada, Reno</w:t>
            </w:r>
            <w:r w:rsidRPr="00D74E8E">
              <w:rPr>
                <w:rFonts w:eastAsia="Times New Roman" w:cs="Times New Roman"/>
                <w:sz w:val="20"/>
                <w:szCs w:val="20"/>
              </w:rPr>
              <w:br/>
              <w:t>Term: 2/3/14 - 6/02/17</w:t>
            </w:r>
          </w:p>
        </w:tc>
        <w:tc>
          <w:tcPr>
            <w:tcW w:w="4675" w:type="dxa"/>
          </w:tcPr>
          <w:p w14:paraId="30827BFD" w14:textId="0303CF89" w:rsidR="00E54CE2" w:rsidRPr="00D74E8E" w:rsidRDefault="00E54CE2" w:rsidP="002A1225">
            <w:pPr>
              <w:rPr>
                <w:rFonts w:eastAsia="Times New Roman" w:cs="Times New Roman"/>
                <w:sz w:val="20"/>
                <w:szCs w:val="20"/>
              </w:rPr>
            </w:pPr>
            <w:r w:rsidRPr="00D74E8E">
              <w:rPr>
                <w:rFonts w:eastAsia="Times New Roman" w:cs="Times New Roman"/>
                <w:b/>
                <w:bCs/>
                <w:sz w:val="20"/>
                <w:szCs w:val="20"/>
              </w:rPr>
              <w:t>Phillip L. Williams, PhD</w:t>
            </w:r>
            <w:r w:rsidRPr="00D74E8E">
              <w:rPr>
                <w:rFonts w:eastAsia="Times New Roman" w:cs="Times New Roman"/>
                <w:sz w:val="20"/>
                <w:szCs w:val="20"/>
              </w:rPr>
              <w:br/>
              <w:t>Dean, College of Public Health, University of Georgia, Coverdell Center</w:t>
            </w:r>
            <w:r w:rsidRPr="00D74E8E">
              <w:rPr>
                <w:rFonts w:eastAsia="Times New Roman" w:cs="Times New Roman"/>
                <w:sz w:val="20"/>
                <w:szCs w:val="20"/>
              </w:rPr>
              <w:br/>
              <w:t>Term: 2/6/14 - 6/02/17</w:t>
            </w:r>
          </w:p>
        </w:tc>
      </w:tr>
      <w:tr w:rsidR="00D74E8E" w:rsidRPr="00D74E8E" w14:paraId="029C5415" w14:textId="77777777" w:rsidTr="002A1225">
        <w:tc>
          <w:tcPr>
            <w:tcW w:w="4675" w:type="dxa"/>
          </w:tcPr>
          <w:p w14:paraId="358344C9" w14:textId="77E6B40D" w:rsidR="00E54CE2" w:rsidRPr="00D74E8E" w:rsidRDefault="00E54CE2" w:rsidP="002A1225">
            <w:pPr>
              <w:rPr>
                <w:rFonts w:eastAsia="Times New Roman" w:cs="Times New Roman"/>
                <w:sz w:val="20"/>
                <w:szCs w:val="20"/>
              </w:rPr>
            </w:pPr>
            <w:r w:rsidRPr="00D74E8E">
              <w:rPr>
                <w:rFonts w:eastAsia="Times New Roman" w:cs="Times New Roman"/>
                <w:b/>
                <w:bCs/>
                <w:sz w:val="20"/>
                <w:szCs w:val="20"/>
              </w:rPr>
              <w:t>Nsedu Obot Witherspoon, MPH</w:t>
            </w:r>
            <w:r w:rsidRPr="00D74E8E">
              <w:rPr>
                <w:rFonts w:eastAsia="Times New Roman" w:cs="Times New Roman"/>
                <w:sz w:val="20"/>
                <w:szCs w:val="20"/>
              </w:rPr>
              <w:br/>
              <w:t>Executive Director, Children’s Environmental Health Network</w:t>
            </w:r>
            <w:r w:rsidRPr="00D74E8E">
              <w:rPr>
                <w:rFonts w:eastAsia="Times New Roman" w:cs="Times New Roman"/>
                <w:sz w:val="20"/>
                <w:szCs w:val="20"/>
              </w:rPr>
              <w:br/>
              <w:t>Term: 4/27/2015 – 6/2/2018</w:t>
            </w:r>
          </w:p>
        </w:tc>
        <w:tc>
          <w:tcPr>
            <w:tcW w:w="4675" w:type="dxa"/>
          </w:tcPr>
          <w:p w14:paraId="07F2A478" w14:textId="77777777" w:rsidR="00E54CE2" w:rsidRPr="00D74E8E" w:rsidRDefault="00E54CE2" w:rsidP="002A1225">
            <w:pPr>
              <w:rPr>
                <w:sz w:val="24"/>
                <w:szCs w:val="24"/>
              </w:rPr>
            </w:pPr>
          </w:p>
        </w:tc>
      </w:tr>
      <w:tr w:rsidR="00D74E8E" w:rsidRPr="00D74E8E" w14:paraId="0421CFFD" w14:textId="77777777" w:rsidTr="002A1225">
        <w:tc>
          <w:tcPr>
            <w:tcW w:w="9350" w:type="dxa"/>
            <w:gridSpan w:val="2"/>
          </w:tcPr>
          <w:p w14:paraId="2247BEAD" w14:textId="77777777" w:rsidR="002A1225" w:rsidRPr="00D74E8E" w:rsidRDefault="002A1225" w:rsidP="002A1225">
            <w:pPr>
              <w:rPr>
                <w:rFonts w:eastAsia="Times New Roman"/>
                <w:b/>
              </w:rPr>
            </w:pPr>
          </w:p>
          <w:p w14:paraId="6CE76530" w14:textId="5E7DFC5F" w:rsidR="00E54CE2" w:rsidRPr="00D74E8E" w:rsidRDefault="0065200B" w:rsidP="002A1225">
            <w:pPr>
              <w:rPr>
                <w:rFonts w:eastAsia="Times New Roman"/>
                <w:b/>
              </w:rPr>
            </w:pPr>
            <w:r w:rsidRPr="00D74E8E">
              <w:rPr>
                <w:rFonts w:eastAsia="Times New Roman"/>
                <w:b/>
              </w:rPr>
              <w:t>FEDERAL EXPERTS</w:t>
            </w:r>
          </w:p>
        </w:tc>
      </w:tr>
      <w:tr w:rsidR="00D74E8E" w:rsidRPr="00D74E8E" w14:paraId="08659A19" w14:textId="77777777" w:rsidTr="002A1225">
        <w:tc>
          <w:tcPr>
            <w:tcW w:w="4675" w:type="dxa"/>
          </w:tcPr>
          <w:p w14:paraId="2034BF9B" w14:textId="646A3B2E" w:rsidR="00E54CE2" w:rsidRPr="00D74E8E" w:rsidRDefault="009423A9" w:rsidP="002A1225">
            <w:pPr>
              <w:rPr>
                <w:rFonts w:eastAsia="Times New Roman" w:cs="Times New Roman"/>
                <w:sz w:val="20"/>
                <w:szCs w:val="20"/>
              </w:rPr>
            </w:pPr>
            <w:r w:rsidRPr="00D74E8E">
              <w:rPr>
                <w:rFonts w:eastAsia="Times New Roman" w:cs="Times New Roman"/>
                <w:b/>
                <w:bCs/>
                <w:sz w:val="20"/>
                <w:szCs w:val="20"/>
              </w:rPr>
              <w:t>Wayne E. Cascio, MD, FACC, FAHA</w:t>
            </w:r>
            <w:r w:rsidRPr="00D74E8E">
              <w:rPr>
                <w:rFonts w:eastAsia="Times New Roman" w:cs="Times New Roman"/>
                <w:sz w:val="20"/>
                <w:szCs w:val="20"/>
              </w:rPr>
              <w:br/>
              <w:t>Director, Environmental Public Health Division</w:t>
            </w:r>
            <w:r w:rsidRPr="00D74E8E">
              <w:rPr>
                <w:rFonts w:eastAsia="Times New Roman" w:cs="Times New Roman"/>
                <w:sz w:val="20"/>
                <w:szCs w:val="20"/>
              </w:rPr>
              <w:br/>
              <w:t>National Health and Environmental Effects Research Laboratory</w:t>
            </w:r>
            <w:r w:rsidRPr="00D74E8E">
              <w:rPr>
                <w:rFonts w:eastAsia="Times New Roman" w:cs="Times New Roman"/>
                <w:sz w:val="20"/>
                <w:szCs w:val="20"/>
              </w:rPr>
              <w:br/>
              <w:t>Office of Research and Development, U</w:t>
            </w:r>
            <w:r w:rsidR="0034652E">
              <w:rPr>
                <w:rFonts w:eastAsia="Times New Roman" w:cs="Times New Roman"/>
                <w:sz w:val="20"/>
                <w:szCs w:val="20"/>
              </w:rPr>
              <w:t>.</w:t>
            </w:r>
            <w:r w:rsidRPr="00D74E8E">
              <w:rPr>
                <w:rFonts w:eastAsia="Times New Roman" w:cs="Times New Roman"/>
                <w:sz w:val="20"/>
                <w:szCs w:val="20"/>
              </w:rPr>
              <w:t>S</w:t>
            </w:r>
            <w:r w:rsidR="0034652E">
              <w:rPr>
                <w:rFonts w:eastAsia="Times New Roman" w:cs="Times New Roman"/>
                <w:sz w:val="20"/>
                <w:szCs w:val="20"/>
              </w:rPr>
              <w:t>.</w:t>
            </w:r>
            <w:r w:rsidRPr="00D74E8E">
              <w:rPr>
                <w:rFonts w:eastAsia="Times New Roman" w:cs="Times New Roman"/>
                <w:sz w:val="20"/>
                <w:szCs w:val="20"/>
              </w:rPr>
              <w:t xml:space="preserve"> EPA</w:t>
            </w:r>
            <w:r w:rsidRPr="00D74E8E">
              <w:rPr>
                <w:rFonts w:eastAsia="Times New Roman" w:cs="Times New Roman"/>
                <w:sz w:val="20"/>
                <w:szCs w:val="20"/>
              </w:rPr>
              <w:br/>
              <w:t>EPA Human Studies Facility</w:t>
            </w:r>
          </w:p>
        </w:tc>
        <w:tc>
          <w:tcPr>
            <w:tcW w:w="4675" w:type="dxa"/>
          </w:tcPr>
          <w:p w14:paraId="22A7549C" w14:textId="422D6CB3" w:rsidR="00E54CE2" w:rsidRPr="00D74E8E" w:rsidRDefault="009423A9" w:rsidP="002A1225">
            <w:pPr>
              <w:rPr>
                <w:rFonts w:eastAsia="Times New Roman" w:cs="Times New Roman"/>
                <w:sz w:val="20"/>
                <w:szCs w:val="20"/>
              </w:rPr>
            </w:pPr>
            <w:r w:rsidRPr="00D74E8E">
              <w:rPr>
                <w:rFonts w:eastAsia="Times New Roman" w:cs="Times New Roman"/>
                <w:b/>
                <w:bCs/>
                <w:sz w:val="20"/>
                <w:szCs w:val="20"/>
              </w:rPr>
              <w:t>Bonnie S. Richter, MPH, PhD</w:t>
            </w:r>
            <w:r w:rsidRPr="00D74E8E">
              <w:rPr>
                <w:rFonts w:eastAsia="Times New Roman" w:cs="Times New Roman"/>
                <w:sz w:val="20"/>
                <w:szCs w:val="20"/>
              </w:rPr>
              <w:br/>
              <w:t>Senior Epidemiologist, Office of Health and Safety. HS-13, U</w:t>
            </w:r>
            <w:r w:rsidR="0034652E">
              <w:rPr>
                <w:rFonts w:eastAsia="Times New Roman" w:cs="Times New Roman"/>
                <w:sz w:val="20"/>
                <w:szCs w:val="20"/>
              </w:rPr>
              <w:t>.</w:t>
            </w:r>
            <w:r w:rsidRPr="00D74E8E">
              <w:rPr>
                <w:rFonts w:eastAsia="Times New Roman" w:cs="Times New Roman"/>
                <w:sz w:val="20"/>
                <w:szCs w:val="20"/>
              </w:rPr>
              <w:t>S</w:t>
            </w:r>
            <w:r w:rsidR="0034652E">
              <w:rPr>
                <w:rFonts w:eastAsia="Times New Roman" w:cs="Times New Roman"/>
                <w:sz w:val="20"/>
                <w:szCs w:val="20"/>
              </w:rPr>
              <w:t>.</w:t>
            </w:r>
            <w:r w:rsidRPr="00D74E8E">
              <w:rPr>
                <w:rFonts w:eastAsia="Times New Roman" w:cs="Times New Roman"/>
                <w:sz w:val="20"/>
                <w:szCs w:val="20"/>
              </w:rPr>
              <w:t xml:space="preserve"> Department of Energy</w:t>
            </w:r>
          </w:p>
        </w:tc>
      </w:tr>
      <w:tr w:rsidR="00D74E8E" w:rsidRPr="00D74E8E" w14:paraId="6419099D" w14:textId="77777777" w:rsidTr="002A1225">
        <w:tc>
          <w:tcPr>
            <w:tcW w:w="4675" w:type="dxa"/>
          </w:tcPr>
          <w:p w14:paraId="3CD5781D" w14:textId="7D5A3283" w:rsidR="00E54CE2" w:rsidRPr="00D74E8E" w:rsidRDefault="00CA49C3" w:rsidP="002A1225">
            <w:pPr>
              <w:rPr>
                <w:rFonts w:eastAsia="Times New Roman" w:cs="Times New Roman"/>
                <w:sz w:val="20"/>
                <w:szCs w:val="20"/>
              </w:rPr>
            </w:pPr>
            <w:r w:rsidRPr="00D74E8E">
              <w:rPr>
                <w:rFonts w:eastAsia="Times New Roman" w:cs="Times New Roman"/>
                <w:b/>
                <w:bCs/>
                <w:sz w:val="20"/>
                <w:szCs w:val="20"/>
              </w:rPr>
              <w:t>Kristina Thayer, PhD</w:t>
            </w:r>
            <w:r w:rsidR="009423A9" w:rsidRPr="00D74E8E">
              <w:rPr>
                <w:rFonts w:eastAsia="Times New Roman" w:cs="Times New Roman"/>
                <w:sz w:val="20"/>
                <w:szCs w:val="20"/>
              </w:rPr>
              <w:br/>
              <w:t>Director, NTP Center for the Evaluation of Risks to Human Reproduction (CERHR), NIEHS/NTP</w:t>
            </w:r>
          </w:p>
        </w:tc>
        <w:tc>
          <w:tcPr>
            <w:tcW w:w="4675" w:type="dxa"/>
          </w:tcPr>
          <w:p w14:paraId="646DD1DD" w14:textId="016A4218" w:rsidR="00E54CE2" w:rsidRPr="00D74E8E" w:rsidRDefault="009423A9" w:rsidP="002A1225">
            <w:pPr>
              <w:rPr>
                <w:rFonts w:eastAsia="Times New Roman" w:cs="Times New Roman"/>
                <w:sz w:val="20"/>
                <w:szCs w:val="20"/>
              </w:rPr>
            </w:pPr>
            <w:r w:rsidRPr="00D74E8E">
              <w:rPr>
                <w:rFonts w:eastAsia="Times New Roman" w:cs="Times New Roman"/>
                <w:b/>
                <w:bCs/>
                <w:sz w:val="20"/>
                <w:szCs w:val="20"/>
              </w:rPr>
              <w:t>Douglas Trout, MD</w:t>
            </w:r>
            <w:r w:rsidRPr="00D74E8E">
              <w:rPr>
                <w:rFonts w:eastAsia="Times New Roman" w:cs="Times New Roman"/>
                <w:sz w:val="20"/>
                <w:szCs w:val="20"/>
              </w:rPr>
              <w:br/>
              <w:t>Associate Director for Science, Division of Surveillance, Hazard Evaluations &amp; Field Studies, National Institute for Occupational Safety and Health, Centers for Disease Control and Prevention</w:t>
            </w:r>
          </w:p>
        </w:tc>
      </w:tr>
    </w:tbl>
    <w:p w14:paraId="4F59F615" w14:textId="77777777" w:rsidR="008A7870" w:rsidRPr="00D74E8E" w:rsidRDefault="008A7870" w:rsidP="008A7870">
      <w:pPr>
        <w:autoSpaceDE w:val="0"/>
        <w:autoSpaceDN w:val="0"/>
        <w:adjustRightInd w:val="0"/>
        <w:spacing w:after="0" w:line="240" w:lineRule="auto"/>
        <w:jc w:val="both"/>
        <w:rPr>
          <w:rFonts w:cstheme="minorHAnsi"/>
          <w:sz w:val="24"/>
          <w:szCs w:val="24"/>
        </w:rPr>
      </w:pPr>
    </w:p>
    <w:p w14:paraId="3A4002C6" w14:textId="77777777" w:rsidR="00F27E9E" w:rsidRPr="00D74E8E" w:rsidRDefault="00F27E9E" w:rsidP="008A7870">
      <w:pPr>
        <w:autoSpaceDE w:val="0"/>
        <w:autoSpaceDN w:val="0"/>
        <w:adjustRightInd w:val="0"/>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D74E8E" w:rsidRPr="00D74E8E" w14:paraId="654C0052" w14:textId="77777777" w:rsidTr="002A1225">
        <w:tc>
          <w:tcPr>
            <w:tcW w:w="9350" w:type="dxa"/>
            <w:gridSpan w:val="2"/>
          </w:tcPr>
          <w:p w14:paraId="452883E2" w14:textId="06E863BD" w:rsidR="00DB3391" w:rsidRPr="00D74E8E" w:rsidRDefault="00DB3391" w:rsidP="002A1225">
            <w:pPr>
              <w:rPr>
                <w:b/>
              </w:rPr>
            </w:pPr>
            <w:r w:rsidRPr="00D74E8E">
              <w:rPr>
                <w:rFonts w:cstheme="minorHAnsi"/>
                <w:b/>
              </w:rPr>
              <w:t xml:space="preserve">Table A.8.2. NCEH/ATSDR </w:t>
            </w:r>
            <w:r w:rsidRPr="00D74E8E">
              <w:rPr>
                <w:b/>
              </w:rPr>
              <w:t>BSC Lead Poisoning Prevention Subcommittee</w:t>
            </w:r>
            <w:r w:rsidR="001736DA" w:rsidRPr="00D74E8E">
              <w:rPr>
                <w:b/>
              </w:rPr>
              <w:t xml:space="preserve"> (as </w:t>
            </w:r>
            <w:r w:rsidR="00F235E6" w:rsidRPr="00D74E8E">
              <w:rPr>
                <w:b/>
              </w:rPr>
              <w:t>of</w:t>
            </w:r>
            <w:r w:rsidR="001736DA" w:rsidRPr="00D74E8E">
              <w:rPr>
                <w:b/>
              </w:rPr>
              <w:t xml:space="preserve"> 01/30/2017)</w:t>
            </w:r>
          </w:p>
          <w:p w14:paraId="31DF79AF" w14:textId="63780B42" w:rsidR="00F235E6" w:rsidRPr="00D74E8E" w:rsidRDefault="00F235E6" w:rsidP="002A1225">
            <w:r w:rsidRPr="00D74E8E">
              <w:rPr>
                <w:b/>
              </w:rPr>
              <w:t>https://www.atsdr.cdc.gov/science/lpp/lppmembership.html</w:t>
            </w:r>
          </w:p>
        </w:tc>
      </w:tr>
      <w:tr w:rsidR="00D74E8E" w:rsidRPr="00D74E8E" w14:paraId="6CDB73FA" w14:textId="77777777" w:rsidTr="002A1225">
        <w:tc>
          <w:tcPr>
            <w:tcW w:w="4675" w:type="dxa"/>
          </w:tcPr>
          <w:p w14:paraId="38AA4E3C" w14:textId="77777777" w:rsidR="0065200B" w:rsidRPr="00D74E8E" w:rsidRDefault="0065200B" w:rsidP="002A1225">
            <w:pPr>
              <w:outlineLvl w:val="3"/>
              <w:rPr>
                <w:rFonts w:eastAsia="Times New Roman" w:cs="Times New Roman"/>
                <w:b/>
                <w:bCs/>
                <w:sz w:val="20"/>
                <w:szCs w:val="20"/>
              </w:rPr>
            </w:pPr>
            <w:r w:rsidRPr="00D74E8E">
              <w:rPr>
                <w:rFonts w:eastAsia="Times New Roman" w:cs="Times New Roman"/>
                <w:b/>
                <w:bCs/>
                <w:sz w:val="20"/>
                <w:szCs w:val="20"/>
              </w:rPr>
              <w:t>CHAIR</w:t>
            </w:r>
          </w:p>
          <w:p w14:paraId="53AA849D" w14:textId="177D23BB" w:rsidR="0065200B" w:rsidRPr="00D74E8E" w:rsidRDefault="0065200B" w:rsidP="002A1225">
            <w:pPr>
              <w:rPr>
                <w:rFonts w:eastAsia="Times New Roman" w:cs="Times New Roman"/>
                <w:sz w:val="20"/>
                <w:szCs w:val="20"/>
              </w:rPr>
            </w:pPr>
            <w:r w:rsidRPr="00D74E8E">
              <w:rPr>
                <w:rFonts w:eastAsia="Times New Roman" w:cs="Times New Roman"/>
                <w:b/>
                <w:bCs/>
                <w:sz w:val="20"/>
                <w:szCs w:val="20"/>
              </w:rPr>
              <w:t>Matthew Strickland, BA, MA, MPH, PhD.</w:t>
            </w:r>
            <w:r w:rsidRPr="00D74E8E">
              <w:rPr>
                <w:rFonts w:eastAsia="Times New Roman" w:cs="Times New Roman"/>
                <w:sz w:val="20"/>
                <w:szCs w:val="20"/>
              </w:rPr>
              <w:br/>
              <w:t>School of Community Health Sciences</w:t>
            </w:r>
            <w:r w:rsidRPr="00D74E8E">
              <w:rPr>
                <w:rFonts w:eastAsia="Times New Roman" w:cs="Times New Roman"/>
                <w:sz w:val="20"/>
                <w:szCs w:val="20"/>
              </w:rPr>
              <w:br/>
              <w:t>University of Nevada - Reno</w:t>
            </w:r>
          </w:p>
        </w:tc>
        <w:tc>
          <w:tcPr>
            <w:tcW w:w="4675" w:type="dxa"/>
          </w:tcPr>
          <w:p w14:paraId="47075D93" w14:textId="77777777" w:rsidR="0065200B" w:rsidRPr="00D74E8E" w:rsidRDefault="0065200B" w:rsidP="002A1225">
            <w:pPr>
              <w:outlineLvl w:val="3"/>
              <w:rPr>
                <w:rFonts w:eastAsia="Times New Roman" w:cs="Times New Roman"/>
                <w:b/>
                <w:bCs/>
                <w:sz w:val="20"/>
                <w:szCs w:val="20"/>
              </w:rPr>
            </w:pPr>
            <w:r w:rsidRPr="00D74E8E">
              <w:rPr>
                <w:rFonts w:eastAsia="Times New Roman" w:cs="Times New Roman"/>
                <w:b/>
                <w:bCs/>
                <w:sz w:val="20"/>
                <w:szCs w:val="20"/>
              </w:rPr>
              <w:t>DESIGNATED FEDERAL OFFICER</w:t>
            </w:r>
          </w:p>
          <w:p w14:paraId="4FAE4D61" w14:textId="3A0C300B" w:rsidR="0065200B" w:rsidRPr="00D74E8E" w:rsidRDefault="0065200B" w:rsidP="002A1225">
            <w:pPr>
              <w:rPr>
                <w:rFonts w:eastAsia="Times New Roman" w:cs="Times New Roman"/>
                <w:sz w:val="20"/>
                <w:szCs w:val="20"/>
              </w:rPr>
            </w:pPr>
            <w:r w:rsidRPr="00D74E8E">
              <w:rPr>
                <w:rFonts w:eastAsia="Times New Roman" w:cs="Times New Roman"/>
                <w:b/>
                <w:bCs/>
                <w:sz w:val="20"/>
                <w:szCs w:val="20"/>
              </w:rPr>
              <w:t>William Cibulas, PhD, MS, CAPT</w:t>
            </w:r>
            <w:r w:rsidRPr="00D74E8E">
              <w:rPr>
                <w:rFonts w:eastAsia="Times New Roman" w:cs="Times New Roman"/>
                <w:sz w:val="20"/>
                <w:szCs w:val="20"/>
              </w:rPr>
              <w:br/>
              <w:t>Deputy Associate Director for Science</w:t>
            </w:r>
            <w:r w:rsidRPr="00D74E8E">
              <w:rPr>
                <w:rFonts w:eastAsia="Times New Roman" w:cs="Times New Roman"/>
                <w:sz w:val="20"/>
                <w:szCs w:val="20"/>
              </w:rPr>
              <w:br/>
              <w:t>National Center for Environmental Health / Agency for Toxic Substances and Disease Registry</w:t>
            </w:r>
          </w:p>
        </w:tc>
      </w:tr>
      <w:tr w:rsidR="00D74E8E" w:rsidRPr="00D74E8E" w14:paraId="46FC788B" w14:textId="77777777" w:rsidTr="002A1225">
        <w:tc>
          <w:tcPr>
            <w:tcW w:w="9350" w:type="dxa"/>
            <w:gridSpan w:val="2"/>
          </w:tcPr>
          <w:p w14:paraId="2D090273" w14:textId="77777777" w:rsidR="002A1225" w:rsidRPr="00D74E8E" w:rsidRDefault="002A1225" w:rsidP="002A1225">
            <w:pPr>
              <w:outlineLvl w:val="3"/>
              <w:rPr>
                <w:rFonts w:eastAsia="Times New Roman" w:cs="Times New Roman"/>
                <w:b/>
                <w:bCs/>
                <w:sz w:val="20"/>
                <w:szCs w:val="20"/>
              </w:rPr>
            </w:pPr>
          </w:p>
          <w:p w14:paraId="41B48FC6" w14:textId="69DBB704" w:rsidR="0065200B" w:rsidRPr="00D74E8E" w:rsidRDefault="0065200B" w:rsidP="002A1225">
            <w:pPr>
              <w:outlineLvl w:val="3"/>
              <w:rPr>
                <w:rFonts w:eastAsia="Times New Roman" w:cs="Times New Roman"/>
                <w:b/>
                <w:bCs/>
                <w:sz w:val="20"/>
                <w:szCs w:val="20"/>
              </w:rPr>
            </w:pPr>
            <w:r w:rsidRPr="00D74E8E">
              <w:rPr>
                <w:rFonts w:eastAsia="Times New Roman" w:cs="Times New Roman"/>
                <w:b/>
                <w:bCs/>
                <w:sz w:val="20"/>
                <w:szCs w:val="20"/>
              </w:rPr>
              <w:t>MEMBERS</w:t>
            </w:r>
          </w:p>
        </w:tc>
      </w:tr>
      <w:tr w:rsidR="00D74E8E" w:rsidRPr="00D74E8E" w14:paraId="33EF8ED7" w14:textId="77777777" w:rsidTr="002A1225">
        <w:tc>
          <w:tcPr>
            <w:tcW w:w="4675" w:type="dxa"/>
          </w:tcPr>
          <w:p w14:paraId="5EA94FA0" w14:textId="0CEFC163" w:rsidR="0065200B" w:rsidRPr="00D74E8E" w:rsidRDefault="0065200B" w:rsidP="002A1225">
            <w:pPr>
              <w:rPr>
                <w:rFonts w:eastAsia="Times New Roman" w:cs="Times New Roman"/>
                <w:sz w:val="20"/>
                <w:szCs w:val="20"/>
              </w:rPr>
            </w:pPr>
            <w:r w:rsidRPr="00D74E8E">
              <w:rPr>
                <w:rFonts w:eastAsia="Times New Roman" w:cs="Times New Roman"/>
                <w:b/>
                <w:bCs/>
                <w:sz w:val="20"/>
                <w:szCs w:val="20"/>
              </w:rPr>
              <w:t>John G. Belt, MS</w:t>
            </w:r>
            <w:r w:rsidRPr="00D74E8E">
              <w:rPr>
                <w:rFonts w:eastAsia="Times New Roman" w:cs="Times New Roman"/>
                <w:sz w:val="20"/>
                <w:szCs w:val="20"/>
              </w:rPr>
              <w:br/>
              <w:t>Chief, Field Services Section</w:t>
            </w:r>
            <w:r w:rsidRPr="00D74E8E">
              <w:rPr>
                <w:rFonts w:eastAsia="Times New Roman" w:cs="Times New Roman"/>
                <w:sz w:val="20"/>
                <w:szCs w:val="20"/>
              </w:rPr>
              <w:br/>
              <w:t>Childhood Lead Poisoning Prevention</w:t>
            </w:r>
            <w:r w:rsidRPr="00D74E8E">
              <w:rPr>
                <w:rFonts w:eastAsia="Times New Roman" w:cs="Times New Roman"/>
                <w:sz w:val="20"/>
                <w:szCs w:val="20"/>
              </w:rPr>
              <w:br/>
              <w:t>Ohio Department of Health</w:t>
            </w:r>
          </w:p>
        </w:tc>
        <w:tc>
          <w:tcPr>
            <w:tcW w:w="4675" w:type="dxa"/>
          </w:tcPr>
          <w:p w14:paraId="206092E1" w14:textId="3D09A426" w:rsidR="0065200B" w:rsidRPr="00D74E8E" w:rsidRDefault="0065200B" w:rsidP="002A1225">
            <w:pPr>
              <w:rPr>
                <w:rFonts w:eastAsia="Times New Roman" w:cs="Times New Roman"/>
                <w:sz w:val="20"/>
                <w:szCs w:val="20"/>
              </w:rPr>
            </w:pPr>
            <w:r w:rsidRPr="00D74E8E">
              <w:rPr>
                <w:rFonts w:eastAsia="Times New Roman" w:cs="Times New Roman"/>
                <w:b/>
                <w:bCs/>
                <w:sz w:val="20"/>
                <w:szCs w:val="20"/>
              </w:rPr>
              <w:t>Elizabeth A. Colón</w:t>
            </w:r>
            <w:r w:rsidRPr="00D74E8E">
              <w:rPr>
                <w:rFonts w:eastAsia="Times New Roman" w:cs="Times New Roman"/>
                <w:sz w:val="20"/>
                <w:szCs w:val="20"/>
              </w:rPr>
              <w:br/>
              <w:t>Childhood Lead Action Project</w:t>
            </w:r>
            <w:r w:rsidRPr="00D74E8E">
              <w:rPr>
                <w:rFonts w:eastAsia="Times New Roman" w:cs="Times New Roman"/>
                <w:sz w:val="20"/>
                <w:szCs w:val="20"/>
              </w:rPr>
              <w:br/>
              <w:t>Parent Educator</w:t>
            </w:r>
          </w:p>
        </w:tc>
      </w:tr>
      <w:tr w:rsidR="00D74E8E" w:rsidRPr="00D74E8E" w14:paraId="05B5A306" w14:textId="77777777" w:rsidTr="002A1225">
        <w:tc>
          <w:tcPr>
            <w:tcW w:w="4675" w:type="dxa"/>
          </w:tcPr>
          <w:p w14:paraId="0847A46D" w14:textId="22CE033D" w:rsidR="0065200B" w:rsidRPr="00D74E8E" w:rsidRDefault="0065200B" w:rsidP="002A1225">
            <w:pPr>
              <w:rPr>
                <w:rFonts w:eastAsia="Times New Roman" w:cs="Times New Roman"/>
                <w:sz w:val="20"/>
                <w:szCs w:val="20"/>
              </w:rPr>
            </w:pPr>
            <w:r w:rsidRPr="00D74E8E">
              <w:rPr>
                <w:rFonts w:eastAsia="Times New Roman" w:cs="Times New Roman"/>
                <w:b/>
                <w:bCs/>
                <w:sz w:val="20"/>
                <w:szCs w:val="20"/>
              </w:rPr>
              <w:t>Kim N. Dietrich, Ph.D.</w:t>
            </w:r>
            <w:r w:rsidRPr="00D74E8E">
              <w:rPr>
                <w:rFonts w:eastAsia="Times New Roman" w:cs="Times New Roman"/>
                <w:sz w:val="20"/>
                <w:szCs w:val="20"/>
              </w:rPr>
              <w:br/>
              <w:t>Professor of Environmental Health</w:t>
            </w:r>
            <w:r w:rsidRPr="00D74E8E">
              <w:rPr>
                <w:rFonts w:eastAsia="Times New Roman" w:cs="Times New Roman"/>
                <w:sz w:val="20"/>
                <w:szCs w:val="20"/>
              </w:rPr>
              <w:br/>
              <w:t>University of Cincinnati College of Medicine</w:t>
            </w:r>
            <w:r w:rsidRPr="00D74E8E">
              <w:rPr>
                <w:rFonts w:eastAsia="Times New Roman" w:cs="Times New Roman"/>
                <w:sz w:val="20"/>
                <w:szCs w:val="20"/>
              </w:rPr>
              <w:br/>
              <w:t>Department of Environmental Health</w:t>
            </w:r>
          </w:p>
        </w:tc>
        <w:tc>
          <w:tcPr>
            <w:tcW w:w="4675" w:type="dxa"/>
          </w:tcPr>
          <w:p w14:paraId="3F7BA6AA" w14:textId="68D7ECDF" w:rsidR="0065200B" w:rsidRPr="00D74E8E" w:rsidRDefault="0065200B" w:rsidP="002A1225">
            <w:pPr>
              <w:rPr>
                <w:rFonts w:eastAsia="Times New Roman" w:cs="Times New Roman"/>
                <w:sz w:val="20"/>
                <w:szCs w:val="20"/>
              </w:rPr>
            </w:pPr>
            <w:r w:rsidRPr="00D74E8E">
              <w:rPr>
                <w:rFonts w:eastAsia="Times New Roman" w:cs="Times New Roman"/>
                <w:b/>
                <w:bCs/>
                <w:sz w:val="20"/>
                <w:szCs w:val="20"/>
              </w:rPr>
              <w:t>Nathan M. Graber, MD, MPH, FAAP</w:t>
            </w:r>
            <w:r w:rsidRPr="00D74E8E">
              <w:rPr>
                <w:rFonts w:eastAsia="Times New Roman" w:cs="Times New Roman"/>
                <w:sz w:val="20"/>
                <w:szCs w:val="20"/>
              </w:rPr>
              <w:br/>
              <w:t>Director, Center for Environmental Health</w:t>
            </w:r>
            <w:r w:rsidRPr="00D74E8E">
              <w:rPr>
                <w:rFonts w:eastAsia="Times New Roman" w:cs="Times New Roman"/>
                <w:sz w:val="20"/>
                <w:szCs w:val="20"/>
              </w:rPr>
              <w:br/>
              <w:t>New York State Department of Health</w:t>
            </w:r>
          </w:p>
        </w:tc>
      </w:tr>
      <w:tr w:rsidR="00D74E8E" w:rsidRPr="00D74E8E" w14:paraId="74BDDF70" w14:textId="77777777" w:rsidTr="002A1225">
        <w:tc>
          <w:tcPr>
            <w:tcW w:w="4675" w:type="dxa"/>
          </w:tcPr>
          <w:p w14:paraId="243BD9CC" w14:textId="05026418" w:rsidR="0065200B" w:rsidRPr="00D74E8E" w:rsidRDefault="0065200B" w:rsidP="002A1225">
            <w:pPr>
              <w:rPr>
                <w:rFonts w:eastAsia="Times New Roman" w:cs="Times New Roman"/>
                <w:sz w:val="20"/>
                <w:szCs w:val="20"/>
              </w:rPr>
            </w:pPr>
            <w:r w:rsidRPr="00D74E8E">
              <w:rPr>
                <w:rFonts w:eastAsia="Times New Roman" w:cs="Times New Roman"/>
                <w:b/>
                <w:bCs/>
                <w:sz w:val="20"/>
                <w:szCs w:val="20"/>
              </w:rPr>
              <w:t>Michael J. Kosnett, MD, MPH</w:t>
            </w:r>
            <w:r w:rsidRPr="00D74E8E">
              <w:rPr>
                <w:rFonts w:eastAsia="Times New Roman" w:cs="Times New Roman"/>
                <w:sz w:val="20"/>
                <w:szCs w:val="20"/>
              </w:rPr>
              <w:br/>
              <w:t>Associate Clinical Professor</w:t>
            </w:r>
            <w:r w:rsidRPr="00D74E8E">
              <w:rPr>
                <w:rFonts w:eastAsia="Times New Roman" w:cs="Times New Roman"/>
                <w:sz w:val="20"/>
                <w:szCs w:val="20"/>
              </w:rPr>
              <w:br/>
              <w:t>Division of Clinical Pharmacology &amp; Toxicology, Department of Medicine</w:t>
            </w:r>
            <w:r w:rsidRPr="00D74E8E">
              <w:rPr>
                <w:rFonts w:eastAsia="Times New Roman" w:cs="Times New Roman"/>
                <w:sz w:val="20"/>
                <w:szCs w:val="20"/>
              </w:rPr>
              <w:br/>
              <w:t>University of Colorado School of Medicine, and Department of Environmental and Occupational Health</w:t>
            </w:r>
            <w:r w:rsidRPr="00D74E8E">
              <w:rPr>
                <w:rFonts w:eastAsia="Times New Roman" w:cs="Times New Roman"/>
                <w:sz w:val="20"/>
                <w:szCs w:val="20"/>
              </w:rPr>
              <w:br/>
              <w:t>Colorado School of Public Health</w:t>
            </w:r>
          </w:p>
        </w:tc>
        <w:tc>
          <w:tcPr>
            <w:tcW w:w="4675" w:type="dxa"/>
          </w:tcPr>
          <w:p w14:paraId="271F3EED" w14:textId="547A5B3D" w:rsidR="0065200B" w:rsidRPr="00D74E8E" w:rsidRDefault="0065200B" w:rsidP="002A1225">
            <w:pPr>
              <w:rPr>
                <w:rFonts w:eastAsia="Times New Roman" w:cs="Times New Roman"/>
                <w:sz w:val="20"/>
                <w:szCs w:val="20"/>
              </w:rPr>
            </w:pPr>
            <w:r w:rsidRPr="00D74E8E">
              <w:rPr>
                <w:rFonts w:eastAsia="Times New Roman" w:cs="Times New Roman"/>
                <w:b/>
                <w:bCs/>
                <w:sz w:val="20"/>
                <w:szCs w:val="20"/>
              </w:rPr>
              <w:t>Jennifer A. Lowry, MD</w:t>
            </w:r>
            <w:r w:rsidRPr="00D74E8E">
              <w:rPr>
                <w:rFonts w:eastAsia="Times New Roman" w:cs="Times New Roman"/>
                <w:sz w:val="20"/>
                <w:szCs w:val="20"/>
              </w:rPr>
              <w:br/>
              <w:t>Children’s Mercy Hospital</w:t>
            </w:r>
            <w:r w:rsidRPr="00D74E8E">
              <w:rPr>
                <w:rFonts w:eastAsia="Times New Roman" w:cs="Times New Roman"/>
                <w:sz w:val="20"/>
                <w:szCs w:val="20"/>
              </w:rPr>
              <w:br/>
              <w:t>Division of Clinical Pharmacology and</w:t>
            </w:r>
            <w:r w:rsidRPr="00D74E8E">
              <w:rPr>
                <w:rFonts w:eastAsia="Times New Roman" w:cs="Times New Roman"/>
                <w:sz w:val="20"/>
                <w:szCs w:val="20"/>
              </w:rPr>
              <w:br/>
              <w:t>Medical Toxicology</w:t>
            </w:r>
          </w:p>
        </w:tc>
      </w:tr>
      <w:tr w:rsidR="00D74E8E" w:rsidRPr="00D74E8E" w14:paraId="50E922DD" w14:textId="77777777" w:rsidTr="002A1225">
        <w:tc>
          <w:tcPr>
            <w:tcW w:w="4675" w:type="dxa"/>
          </w:tcPr>
          <w:p w14:paraId="3331C79F" w14:textId="3F83FB6B" w:rsidR="0065200B" w:rsidRPr="00D74E8E" w:rsidRDefault="0065200B" w:rsidP="002A1225">
            <w:pPr>
              <w:rPr>
                <w:rFonts w:eastAsia="Times New Roman" w:cs="Times New Roman"/>
                <w:sz w:val="20"/>
                <w:szCs w:val="20"/>
              </w:rPr>
            </w:pPr>
            <w:r w:rsidRPr="00D74E8E">
              <w:rPr>
                <w:rFonts w:eastAsia="Times New Roman" w:cs="Times New Roman"/>
                <w:b/>
                <w:bCs/>
                <w:sz w:val="20"/>
                <w:szCs w:val="20"/>
              </w:rPr>
              <w:t>Patrick J. Parsons, PhD, Chem., FRSC</w:t>
            </w:r>
            <w:r w:rsidRPr="00D74E8E">
              <w:rPr>
                <w:rFonts w:eastAsia="Times New Roman" w:cs="Times New Roman"/>
                <w:sz w:val="20"/>
                <w:szCs w:val="20"/>
              </w:rPr>
              <w:br/>
              <w:t>Chief, Laboratory of Inorganic and Nuclear Chemistry,</w:t>
            </w:r>
            <w:r w:rsidRPr="00D74E8E">
              <w:rPr>
                <w:rFonts w:eastAsia="Times New Roman" w:cs="Times New Roman"/>
                <w:sz w:val="20"/>
                <w:szCs w:val="20"/>
              </w:rPr>
              <w:br/>
              <w:t>Deputy Director, Division of Environmental Health Sciences</w:t>
            </w:r>
            <w:r w:rsidRPr="00D74E8E">
              <w:rPr>
                <w:rFonts w:eastAsia="Times New Roman" w:cs="Times New Roman"/>
                <w:sz w:val="20"/>
                <w:szCs w:val="20"/>
              </w:rPr>
              <w:br/>
              <w:t>Wadsworth Center</w:t>
            </w:r>
            <w:r w:rsidRPr="00D74E8E">
              <w:rPr>
                <w:rFonts w:eastAsia="Times New Roman" w:cs="Times New Roman"/>
                <w:sz w:val="20"/>
                <w:szCs w:val="20"/>
              </w:rPr>
              <w:br/>
              <w:t>New York State Department of Health</w:t>
            </w:r>
          </w:p>
        </w:tc>
        <w:tc>
          <w:tcPr>
            <w:tcW w:w="4675" w:type="dxa"/>
          </w:tcPr>
          <w:p w14:paraId="17C3E306" w14:textId="77777777" w:rsidR="0065200B" w:rsidRPr="00D74E8E" w:rsidRDefault="0065200B" w:rsidP="002A1225">
            <w:pPr>
              <w:autoSpaceDE w:val="0"/>
              <w:autoSpaceDN w:val="0"/>
              <w:adjustRightInd w:val="0"/>
              <w:rPr>
                <w:rFonts w:cs="ITCFranklinGothicStd-Book"/>
                <w:sz w:val="24"/>
                <w:szCs w:val="24"/>
              </w:rPr>
            </w:pPr>
          </w:p>
        </w:tc>
      </w:tr>
      <w:tr w:rsidR="00D74E8E" w:rsidRPr="00D74E8E" w14:paraId="3BA5F027" w14:textId="77777777" w:rsidTr="002A1225">
        <w:tc>
          <w:tcPr>
            <w:tcW w:w="9350" w:type="dxa"/>
            <w:gridSpan w:val="2"/>
          </w:tcPr>
          <w:p w14:paraId="02DCE591" w14:textId="77777777" w:rsidR="002A1225" w:rsidRPr="00D74E8E" w:rsidRDefault="002A1225" w:rsidP="002A1225">
            <w:pPr>
              <w:autoSpaceDE w:val="0"/>
              <w:autoSpaceDN w:val="0"/>
              <w:adjustRightInd w:val="0"/>
              <w:rPr>
                <w:rFonts w:eastAsia="Times New Roman" w:cs="Times New Roman"/>
                <w:b/>
                <w:bCs/>
                <w:sz w:val="20"/>
                <w:szCs w:val="20"/>
              </w:rPr>
            </w:pPr>
          </w:p>
          <w:p w14:paraId="504D2C36" w14:textId="0326CEEC" w:rsidR="0065200B" w:rsidRPr="00D74E8E" w:rsidRDefault="0065200B" w:rsidP="002A1225">
            <w:pPr>
              <w:autoSpaceDE w:val="0"/>
              <w:autoSpaceDN w:val="0"/>
              <w:adjustRightInd w:val="0"/>
              <w:rPr>
                <w:rFonts w:cs="ITCFranklinGothicStd-Book"/>
                <w:sz w:val="24"/>
                <w:szCs w:val="24"/>
              </w:rPr>
            </w:pPr>
            <w:r w:rsidRPr="00D74E8E">
              <w:rPr>
                <w:rFonts w:eastAsia="Times New Roman" w:cs="Times New Roman"/>
                <w:b/>
                <w:bCs/>
                <w:sz w:val="20"/>
                <w:szCs w:val="20"/>
              </w:rPr>
              <w:t>FEDERAL EXPERTS</w:t>
            </w:r>
          </w:p>
        </w:tc>
      </w:tr>
      <w:tr w:rsidR="00D74E8E" w:rsidRPr="00D74E8E" w14:paraId="4C188E2F" w14:textId="77777777" w:rsidTr="002A1225">
        <w:tc>
          <w:tcPr>
            <w:tcW w:w="4675" w:type="dxa"/>
          </w:tcPr>
          <w:p w14:paraId="67FAEE85" w14:textId="2ECA9590" w:rsidR="0065200B" w:rsidRPr="00D74E8E" w:rsidRDefault="0065200B" w:rsidP="002A1225">
            <w:pPr>
              <w:rPr>
                <w:rFonts w:eastAsia="Times New Roman" w:cs="Times New Roman"/>
                <w:sz w:val="20"/>
                <w:szCs w:val="20"/>
              </w:rPr>
            </w:pPr>
            <w:r w:rsidRPr="00D74E8E">
              <w:rPr>
                <w:rFonts w:eastAsia="Times New Roman" w:cs="Times New Roman"/>
                <w:b/>
                <w:bCs/>
                <w:sz w:val="20"/>
                <w:szCs w:val="20"/>
              </w:rPr>
              <w:t>Mark A. Maddaloni, MS, DrPH</w:t>
            </w:r>
            <w:r w:rsidRPr="00D74E8E">
              <w:rPr>
                <w:rFonts w:eastAsia="Times New Roman" w:cs="Times New Roman"/>
                <w:sz w:val="20"/>
                <w:szCs w:val="20"/>
              </w:rPr>
              <w:br/>
              <w:t>Senior Toxicologist</w:t>
            </w:r>
            <w:r w:rsidRPr="00D74E8E">
              <w:rPr>
                <w:rFonts w:eastAsia="Times New Roman" w:cs="Times New Roman"/>
                <w:sz w:val="20"/>
                <w:szCs w:val="20"/>
              </w:rPr>
              <w:br/>
              <w:t>U</w:t>
            </w:r>
            <w:r w:rsidR="0034652E">
              <w:rPr>
                <w:rFonts w:eastAsia="Times New Roman" w:cs="Times New Roman"/>
                <w:sz w:val="20"/>
                <w:szCs w:val="20"/>
              </w:rPr>
              <w:t>.</w:t>
            </w:r>
            <w:r w:rsidRPr="00D74E8E">
              <w:rPr>
                <w:rFonts w:eastAsia="Times New Roman" w:cs="Times New Roman"/>
                <w:sz w:val="20"/>
                <w:szCs w:val="20"/>
              </w:rPr>
              <w:t>S</w:t>
            </w:r>
            <w:r w:rsidR="0034652E">
              <w:rPr>
                <w:rFonts w:eastAsia="Times New Roman" w:cs="Times New Roman"/>
                <w:sz w:val="20"/>
                <w:szCs w:val="20"/>
              </w:rPr>
              <w:t>.</w:t>
            </w:r>
            <w:r w:rsidRPr="00D74E8E">
              <w:rPr>
                <w:rFonts w:eastAsia="Times New Roman" w:cs="Times New Roman"/>
                <w:sz w:val="20"/>
                <w:szCs w:val="20"/>
              </w:rPr>
              <w:t xml:space="preserve"> Environmental Protection Agency</w:t>
            </w:r>
          </w:p>
        </w:tc>
        <w:tc>
          <w:tcPr>
            <w:tcW w:w="4675" w:type="dxa"/>
          </w:tcPr>
          <w:p w14:paraId="209D42CE" w14:textId="03E502CA" w:rsidR="0065200B" w:rsidRPr="00D74E8E" w:rsidRDefault="0065200B" w:rsidP="002A1225">
            <w:pPr>
              <w:autoSpaceDE w:val="0"/>
              <w:autoSpaceDN w:val="0"/>
              <w:adjustRightInd w:val="0"/>
              <w:rPr>
                <w:rFonts w:cs="ITCFranklinGothicStd-Book"/>
                <w:sz w:val="24"/>
                <w:szCs w:val="24"/>
              </w:rPr>
            </w:pPr>
          </w:p>
        </w:tc>
      </w:tr>
    </w:tbl>
    <w:p w14:paraId="2D8F73D5" w14:textId="50B74C91" w:rsidR="00D8365F" w:rsidRPr="00D74E8E" w:rsidRDefault="00D8365F" w:rsidP="00B540F6">
      <w:pPr>
        <w:autoSpaceDE w:val="0"/>
        <w:autoSpaceDN w:val="0"/>
        <w:adjustRightInd w:val="0"/>
        <w:spacing w:line="240" w:lineRule="auto"/>
        <w:rPr>
          <w:rFonts w:cs="ITCFranklinGothicStd-Book"/>
          <w:sz w:val="24"/>
          <w:szCs w:val="24"/>
        </w:rPr>
      </w:pPr>
    </w:p>
    <w:p w14:paraId="0A014A5E" w14:textId="723DD503" w:rsidR="00B45002" w:rsidRPr="00D74E8E" w:rsidRDefault="00601F1A" w:rsidP="00601F1A">
      <w:pPr>
        <w:pStyle w:val="Heading1"/>
        <w:pBdr>
          <w:bottom w:val="none" w:sz="0" w:space="0" w:color="auto"/>
        </w:pBdr>
        <w:rPr>
          <w:color w:val="auto"/>
        </w:rPr>
      </w:pPr>
      <w:bookmarkStart w:id="12" w:name="_Toc494815286"/>
      <w:r w:rsidRPr="00D74E8E">
        <w:rPr>
          <w:color w:val="auto"/>
        </w:rPr>
        <w:t>A.</w:t>
      </w:r>
      <w:r w:rsidR="004D21C9" w:rsidRPr="00D74E8E">
        <w:rPr>
          <w:color w:val="auto"/>
        </w:rPr>
        <w:t>9</w:t>
      </w:r>
      <w:r w:rsidR="005E0A7B" w:rsidRPr="00D74E8E">
        <w:rPr>
          <w:color w:val="auto"/>
        </w:rPr>
        <w:t>. Explanation</w:t>
      </w:r>
      <w:r w:rsidR="00B45002" w:rsidRPr="00D74E8E">
        <w:rPr>
          <w:color w:val="auto"/>
        </w:rPr>
        <w:t xml:space="preserve"> of Any Payment or Gift to Respondents</w:t>
      </w:r>
      <w:bookmarkEnd w:id="12"/>
    </w:p>
    <w:p w14:paraId="043F830F" w14:textId="77777777" w:rsidR="00100D0E" w:rsidRPr="00D74E8E" w:rsidRDefault="00100D0E" w:rsidP="00524D01">
      <w:pPr>
        <w:autoSpaceDE w:val="0"/>
        <w:autoSpaceDN w:val="0"/>
        <w:adjustRightInd w:val="0"/>
        <w:spacing w:after="0" w:line="240" w:lineRule="auto"/>
        <w:rPr>
          <w:sz w:val="24"/>
          <w:szCs w:val="24"/>
        </w:rPr>
      </w:pPr>
    </w:p>
    <w:p w14:paraId="4D794472" w14:textId="6E824E75" w:rsidR="00A83944" w:rsidRPr="00D74E8E" w:rsidRDefault="00A83944" w:rsidP="00014AE0">
      <w:pPr>
        <w:autoSpaceDE w:val="0"/>
        <w:autoSpaceDN w:val="0"/>
        <w:adjustRightInd w:val="0"/>
        <w:spacing w:line="276" w:lineRule="auto"/>
        <w:rPr>
          <w:sz w:val="24"/>
          <w:szCs w:val="24"/>
        </w:rPr>
      </w:pPr>
      <w:r w:rsidRPr="00D74E8E">
        <w:rPr>
          <w:sz w:val="24"/>
          <w:szCs w:val="24"/>
        </w:rPr>
        <w:t>Respondents that submit data to CBLS or to ABLES are not provided payment for their data.</w:t>
      </w:r>
    </w:p>
    <w:p w14:paraId="0F43B000" w14:textId="1808C143" w:rsidR="00986D05" w:rsidRPr="00D74E8E" w:rsidRDefault="00A83944" w:rsidP="002138F5">
      <w:pPr>
        <w:pStyle w:val="ListParagraph"/>
        <w:numPr>
          <w:ilvl w:val="0"/>
          <w:numId w:val="42"/>
        </w:numPr>
        <w:autoSpaceDE w:val="0"/>
        <w:autoSpaceDN w:val="0"/>
        <w:adjustRightInd w:val="0"/>
        <w:spacing w:line="276" w:lineRule="auto"/>
        <w:ind w:left="720"/>
        <w:rPr>
          <w:sz w:val="24"/>
          <w:szCs w:val="24"/>
        </w:rPr>
      </w:pPr>
      <w:r w:rsidRPr="00D74E8E">
        <w:rPr>
          <w:sz w:val="24"/>
          <w:szCs w:val="24"/>
          <w:u w:val="single"/>
        </w:rPr>
        <w:t>CBLS</w:t>
      </w:r>
      <w:r w:rsidRPr="00D74E8E">
        <w:rPr>
          <w:sz w:val="24"/>
          <w:szCs w:val="24"/>
        </w:rPr>
        <w:t xml:space="preserve">: </w:t>
      </w:r>
      <w:r w:rsidR="00B540F6" w:rsidRPr="00D74E8E">
        <w:rPr>
          <w:sz w:val="24"/>
          <w:szCs w:val="24"/>
        </w:rPr>
        <w:t xml:space="preserve">Respondents will not receive payments or gifts for providing information. Data submission is required by </w:t>
      </w:r>
      <w:r w:rsidR="00374412" w:rsidRPr="00D74E8E">
        <w:rPr>
          <w:sz w:val="24"/>
          <w:szCs w:val="24"/>
        </w:rPr>
        <w:t>NCEH</w:t>
      </w:r>
      <w:r w:rsidR="00DC2DB7" w:rsidRPr="00D74E8E">
        <w:rPr>
          <w:sz w:val="24"/>
          <w:szCs w:val="24"/>
        </w:rPr>
        <w:t xml:space="preserve"> under cooperative agreement</w:t>
      </w:r>
      <w:r w:rsidR="00374412" w:rsidRPr="00D74E8E">
        <w:rPr>
          <w:sz w:val="24"/>
          <w:szCs w:val="24"/>
        </w:rPr>
        <w:t xml:space="preserve"> (</w:t>
      </w:r>
      <w:r w:rsidR="00374412" w:rsidRPr="00D74E8E">
        <w:rPr>
          <w:b/>
          <w:sz w:val="24"/>
          <w:szCs w:val="24"/>
        </w:rPr>
        <w:t>Attachment 3</w:t>
      </w:r>
      <w:r w:rsidR="00F43028" w:rsidRPr="00D74E8E">
        <w:rPr>
          <w:b/>
          <w:sz w:val="24"/>
          <w:szCs w:val="24"/>
        </w:rPr>
        <w:t>a</w:t>
      </w:r>
      <w:r w:rsidR="00374412" w:rsidRPr="00D74E8E">
        <w:rPr>
          <w:sz w:val="24"/>
          <w:szCs w:val="24"/>
        </w:rPr>
        <w:t>)</w:t>
      </w:r>
      <w:r w:rsidR="00B540F6" w:rsidRPr="00D74E8E">
        <w:rPr>
          <w:sz w:val="24"/>
          <w:szCs w:val="24"/>
        </w:rPr>
        <w:t>.</w:t>
      </w:r>
      <w:r w:rsidR="00374412" w:rsidRPr="00D74E8E">
        <w:rPr>
          <w:sz w:val="24"/>
          <w:szCs w:val="24"/>
        </w:rPr>
        <w:t xml:space="preserve"> </w:t>
      </w:r>
    </w:p>
    <w:p w14:paraId="32C3ABDE" w14:textId="5042BA3A" w:rsidR="00986D05" w:rsidRPr="00D74E8E" w:rsidRDefault="00B91A9F" w:rsidP="002138F5">
      <w:pPr>
        <w:pStyle w:val="ListParagraph"/>
        <w:numPr>
          <w:ilvl w:val="0"/>
          <w:numId w:val="42"/>
        </w:numPr>
        <w:autoSpaceDE w:val="0"/>
        <w:autoSpaceDN w:val="0"/>
        <w:adjustRightInd w:val="0"/>
        <w:spacing w:line="276" w:lineRule="auto"/>
        <w:ind w:left="720"/>
        <w:rPr>
          <w:sz w:val="24"/>
          <w:szCs w:val="24"/>
        </w:rPr>
      </w:pPr>
      <w:r w:rsidRPr="00D74E8E">
        <w:rPr>
          <w:sz w:val="24"/>
          <w:szCs w:val="24"/>
          <w:u w:val="single"/>
        </w:rPr>
        <w:t>ABLES</w:t>
      </w:r>
      <w:r w:rsidR="00A83944" w:rsidRPr="00D74E8E">
        <w:rPr>
          <w:sz w:val="24"/>
          <w:szCs w:val="24"/>
        </w:rPr>
        <w:t xml:space="preserve">: </w:t>
      </w:r>
      <w:r w:rsidR="005A6769" w:rsidRPr="00D74E8E">
        <w:rPr>
          <w:sz w:val="24"/>
          <w:szCs w:val="24"/>
        </w:rPr>
        <w:t xml:space="preserve">Respondents will not receive payments or gifts for providing information. </w:t>
      </w:r>
      <w:r w:rsidR="004B3399" w:rsidRPr="00D74E8E">
        <w:rPr>
          <w:sz w:val="24"/>
          <w:szCs w:val="24"/>
        </w:rPr>
        <w:t xml:space="preserve">Data submission to the NIOSH ABLES Program is </w:t>
      </w:r>
      <w:r w:rsidR="004D643F">
        <w:rPr>
          <w:sz w:val="24"/>
          <w:szCs w:val="24"/>
        </w:rPr>
        <w:t>completed</w:t>
      </w:r>
      <w:r w:rsidR="004B3399" w:rsidRPr="00D74E8E">
        <w:rPr>
          <w:sz w:val="24"/>
          <w:szCs w:val="24"/>
        </w:rPr>
        <w:t xml:space="preserve"> through data </w:t>
      </w:r>
      <w:r w:rsidR="00E16047" w:rsidRPr="00D74E8E">
        <w:rPr>
          <w:sz w:val="24"/>
          <w:szCs w:val="24"/>
        </w:rPr>
        <w:t>sharing</w:t>
      </w:r>
      <w:r w:rsidR="004B3399" w:rsidRPr="00D74E8E">
        <w:rPr>
          <w:sz w:val="24"/>
          <w:szCs w:val="24"/>
        </w:rPr>
        <w:t xml:space="preserve"> agreements on a voluntary basis.  </w:t>
      </w:r>
    </w:p>
    <w:p w14:paraId="6E8EA09B" w14:textId="2D230B95" w:rsidR="00B45002" w:rsidRPr="00D74E8E" w:rsidRDefault="00601F1A" w:rsidP="00D3620D">
      <w:pPr>
        <w:pStyle w:val="Heading1"/>
        <w:pBdr>
          <w:bottom w:val="none" w:sz="0" w:space="0" w:color="auto"/>
        </w:pBdr>
        <w:rPr>
          <w:color w:val="auto"/>
        </w:rPr>
      </w:pPr>
      <w:bookmarkStart w:id="13" w:name="_Toc494815287"/>
      <w:r w:rsidRPr="00D74E8E">
        <w:rPr>
          <w:color w:val="auto"/>
        </w:rPr>
        <w:t>A.</w:t>
      </w:r>
      <w:r w:rsidR="004D21C9" w:rsidRPr="00D74E8E">
        <w:rPr>
          <w:color w:val="auto"/>
        </w:rPr>
        <w:t>10</w:t>
      </w:r>
      <w:r w:rsidR="005E0A7B" w:rsidRPr="00D74E8E">
        <w:rPr>
          <w:color w:val="auto"/>
        </w:rPr>
        <w:t>. Protection</w:t>
      </w:r>
      <w:r w:rsidR="00B45002" w:rsidRPr="00D74E8E">
        <w:rPr>
          <w:color w:val="auto"/>
        </w:rPr>
        <w:t xml:space="preserve"> of the Privacy and Confidentiality of Information Provided by Respondents</w:t>
      </w:r>
      <w:bookmarkEnd w:id="13"/>
    </w:p>
    <w:p w14:paraId="24BF9EC4" w14:textId="2A0266CD" w:rsidR="00CF7455" w:rsidRPr="00D74E8E" w:rsidRDefault="00CF7455" w:rsidP="00CF7455">
      <w:pPr>
        <w:autoSpaceDE w:val="0"/>
        <w:autoSpaceDN w:val="0"/>
        <w:adjustRightInd w:val="0"/>
        <w:spacing w:line="240" w:lineRule="auto"/>
        <w:rPr>
          <w:rFonts w:cs="ITCFranklinGothicStd-Book"/>
          <w:sz w:val="24"/>
          <w:szCs w:val="24"/>
          <w:u w:val="single"/>
        </w:rPr>
      </w:pPr>
    </w:p>
    <w:p w14:paraId="5D91A088" w14:textId="2A0C7349" w:rsidR="00FE1FD9" w:rsidRPr="00D74E8E" w:rsidRDefault="00FE1FD9" w:rsidP="00FE1FD9">
      <w:pPr>
        <w:rPr>
          <w:sz w:val="24"/>
          <w:szCs w:val="24"/>
          <w:u w:val="single"/>
        </w:rPr>
      </w:pPr>
      <w:r w:rsidRPr="00D74E8E">
        <w:rPr>
          <w:sz w:val="24"/>
          <w:szCs w:val="24"/>
          <w:u w:val="single"/>
        </w:rPr>
        <w:t xml:space="preserve">Overview of the </w:t>
      </w:r>
      <w:r w:rsidR="009E2249" w:rsidRPr="00D74E8E">
        <w:rPr>
          <w:sz w:val="24"/>
          <w:szCs w:val="24"/>
          <w:u w:val="single"/>
        </w:rPr>
        <w:t>CBLS</w:t>
      </w:r>
      <w:r w:rsidR="00554325" w:rsidRPr="00D74E8E">
        <w:rPr>
          <w:sz w:val="24"/>
          <w:szCs w:val="24"/>
          <w:u w:val="single"/>
        </w:rPr>
        <w:t xml:space="preserve"> Data Collection S</w:t>
      </w:r>
      <w:r w:rsidRPr="00D74E8E">
        <w:rPr>
          <w:sz w:val="24"/>
          <w:szCs w:val="24"/>
          <w:u w:val="single"/>
        </w:rPr>
        <w:t>ystem</w:t>
      </w:r>
    </w:p>
    <w:p w14:paraId="5C3DC129" w14:textId="180104D9" w:rsidR="00D25E2A" w:rsidRPr="00D74E8E" w:rsidRDefault="00B95682" w:rsidP="00B91A9F">
      <w:pPr>
        <w:autoSpaceDE w:val="0"/>
        <w:autoSpaceDN w:val="0"/>
        <w:adjustRightInd w:val="0"/>
        <w:spacing w:before="240" w:line="276" w:lineRule="auto"/>
        <w:rPr>
          <w:sz w:val="24"/>
          <w:szCs w:val="24"/>
        </w:rPr>
      </w:pPr>
      <w:r w:rsidRPr="00D74E8E">
        <w:rPr>
          <w:sz w:val="24"/>
          <w:szCs w:val="24"/>
        </w:rPr>
        <w:t>The NCEH/ATSDR PRA Contact has reviewed this submission and has determined that the Privacy Act does apply. The ap</w:t>
      </w:r>
      <w:r w:rsidR="00A63882" w:rsidRPr="00D74E8E">
        <w:rPr>
          <w:sz w:val="24"/>
          <w:szCs w:val="24"/>
        </w:rPr>
        <w:t>plicable Privacy Act System of R</w:t>
      </w:r>
      <w:r w:rsidRPr="00D74E8E">
        <w:rPr>
          <w:sz w:val="24"/>
          <w:szCs w:val="24"/>
        </w:rPr>
        <w:t>ecords</w:t>
      </w:r>
      <w:r w:rsidR="00A63882" w:rsidRPr="00D74E8E">
        <w:rPr>
          <w:sz w:val="24"/>
          <w:szCs w:val="24"/>
        </w:rPr>
        <w:t xml:space="preserve"> Notice</w:t>
      </w:r>
      <w:r w:rsidRPr="00D74E8E">
        <w:rPr>
          <w:sz w:val="24"/>
          <w:szCs w:val="24"/>
        </w:rPr>
        <w:t xml:space="preserve"> is </w:t>
      </w:r>
      <w:hyperlink r:id="rId17" w:history="1">
        <w:r w:rsidRPr="00D74E8E">
          <w:rPr>
            <w:rStyle w:val="Hyperlink"/>
            <w:rFonts w:cs="ITCFranklinGothicStd-Book"/>
            <w:color w:val="auto"/>
            <w:sz w:val="24"/>
            <w:szCs w:val="24"/>
            <w:u w:val="none"/>
          </w:rPr>
          <w:t>SORN 09-20-0136</w:t>
        </w:r>
      </w:hyperlink>
      <w:r w:rsidRPr="00D74E8E">
        <w:rPr>
          <w:rFonts w:cs="ITCFranklinGothicStd-Book"/>
          <w:sz w:val="24"/>
          <w:szCs w:val="24"/>
        </w:rPr>
        <w:t xml:space="preserve"> “Epidemiologic Studies and Surveillance of Disease Problems” (retrievable by name and ID number)</w:t>
      </w:r>
      <w:r w:rsidR="00D74B1E" w:rsidRPr="00D74E8E">
        <w:rPr>
          <w:rFonts w:cs="ITCFranklinGothicStd-Book"/>
          <w:sz w:val="24"/>
          <w:szCs w:val="24"/>
        </w:rPr>
        <w:t>.</w:t>
      </w:r>
      <w:r w:rsidRPr="00D74E8E">
        <w:rPr>
          <w:rStyle w:val="FootnoteReference"/>
          <w:rFonts w:cs="ITCFranklinGothicStd-Book"/>
          <w:sz w:val="24"/>
          <w:szCs w:val="24"/>
        </w:rPr>
        <w:footnoteReference w:id="12"/>
      </w:r>
      <w:r w:rsidR="00BA78FF" w:rsidRPr="00D74E8E">
        <w:rPr>
          <w:rFonts w:cs="ITCFranklinGothicStd-Book"/>
          <w:sz w:val="24"/>
          <w:szCs w:val="24"/>
          <w:vertAlign w:val="superscript"/>
        </w:rPr>
        <w:t xml:space="preserve"> </w:t>
      </w:r>
      <w:r w:rsidR="004D643F">
        <w:rPr>
          <w:rFonts w:cs="ITCFranklinGothicStd-Book"/>
          <w:sz w:val="24"/>
          <w:szCs w:val="24"/>
          <w:vertAlign w:val="superscript"/>
        </w:rPr>
        <w:t xml:space="preserve">  </w:t>
      </w:r>
      <w:r w:rsidR="004D643F" w:rsidRPr="004D643F">
        <w:rPr>
          <w:rFonts w:cs="ITCFranklinGothicStd-Book"/>
          <w:sz w:val="24"/>
          <w:szCs w:val="24"/>
        </w:rPr>
        <w:t>On O</w:t>
      </w:r>
      <w:r w:rsidR="004D643F">
        <w:rPr>
          <w:rFonts w:cs="ITCFranklinGothicStd-Book"/>
          <w:sz w:val="24"/>
          <w:szCs w:val="24"/>
        </w:rPr>
        <w:t>c</w:t>
      </w:r>
      <w:r w:rsidR="004D643F" w:rsidRPr="004D643F">
        <w:rPr>
          <w:rFonts w:cs="ITCFranklinGothicStd-Book"/>
          <w:sz w:val="24"/>
          <w:szCs w:val="24"/>
        </w:rPr>
        <w:t xml:space="preserve">tober 4, </w:t>
      </w:r>
      <w:r w:rsidR="004D643F" w:rsidRPr="004D643F">
        <w:rPr>
          <w:sz w:val="24"/>
          <w:szCs w:val="24"/>
        </w:rPr>
        <w:t>2017</w:t>
      </w:r>
      <w:r w:rsidR="004D643F">
        <w:rPr>
          <w:sz w:val="24"/>
          <w:szCs w:val="24"/>
        </w:rPr>
        <w:t>, t</w:t>
      </w:r>
      <w:r w:rsidR="00BA78FF" w:rsidRPr="00D74E8E">
        <w:rPr>
          <w:sz w:val="24"/>
          <w:szCs w:val="24"/>
        </w:rPr>
        <w:t>he NCEH/ATSDR Information Systems Security Officer (ISSO) conducted an annual review of the CBLS</w:t>
      </w:r>
      <w:r w:rsidR="00F96506">
        <w:rPr>
          <w:sz w:val="24"/>
          <w:szCs w:val="24"/>
        </w:rPr>
        <w:t xml:space="preserve"> and has determined that </w:t>
      </w:r>
      <w:r w:rsidR="004D643F">
        <w:rPr>
          <w:sz w:val="24"/>
          <w:szCs w:val="24"/>
        </w:rPr>
        <w:t xml:space="preserve">a </w:t>
      </w:r>
      <w:r w:rsidR="008033BD">
        <w:rPr>
          <w:sz w:val="24"/>
          <w:szCs w:val="24"/>
        </w:rPr>
        <w:t xml:space="preserve">new </w:t>
      </w:r>
      <w:r w:rsidR="004D643F">
        <w:rPr>
          <w:sz w:val="24"/>
          <w:szCs w:val="24"/>
        </w:rPr>
        <w:t xml:space="preserve">CDC Security Assessment and Authorizations (SA&amp;A) is required. The </w:t>
      </w:r>
      <w:r w:rsidR="008033BD">
        <w:rPr>
          <w:sz w:val="24"/>
          <w:szCs w:val="24"/>
        </w:rPr>
        <w:t xml:space="preserve">FY17 </w:t>
      </w:r>
      <w:r w:rsidR="004D643F">
        <w:rPr>
          <w:sz w:val="24"/>
          <w:szCs w:val="24"/>
        </w:rPr>
        <w:t>CBLS data collection will not begin until the Authority to Operate (ATO) is granted</w:t>
      </w:r>
      <w:r w:rsidR="00DF7F65">
        <w:rPr>
          <w:sz w:val="24"/>
          <w:szCs w:val="24"/>
        </w:rPr>
        <w:t xml:space="preserve"> (</w:t>
      </w:r>
      <w:r w:rsidR="00DF7F65">
        <w:rPr>
          <w:b/>
          <w:sz w:val="24"/>
          <w:szCs w:val="24"/>
        </w:rPr>
        <w:t>Attachment 6a</w:t>
      </w:r>
      <w:r w:rsidR="00DF7F65">
        <w:rPr>
          <w:sz w:val="24"/>
          <w:szCs w:val="24"/>
        </w:rPr>
        <w:t>)</w:t>
      </w:r>
      <w:r w:rsidR="00BA78FF" w:rsidRPr="00D74E8E">
        <w:rPr>
          <w:sz w:val="24"/>
          <w:szCs w:val="24"/>
        </w:rPr>
        <w:t>.</w:t>
      </w:r>
    </w:p>
    <w:p w14:paraId="22A79F45" w14:textId="77777777" w:rsidR="00EC19FA" w:rsidRPr="00D74E8E" w:rsidRDefault="003C5F84" w:rsidP="00EC19FA">
      <w:pPr>
        <w:keepNext/>
        <w:jc w:val="center"/>
      </w:pPr>
      <w:r w:rsidRPr="00D74E8E">
        <w:rPr>
          <w:noProof/>
        </w:rPr>
        <w:drawing>
          <wp:inline distT="0" distB="0" distL="0" distR="0" wp14:anchorId="6E6E19D8" wp14:editId="4760FCA8">
            <wp:extent cx="5572125" cy="5760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4247" cy="5794083"/>
                    </a:xfrm>
                    <a:prstGeom prst="rect">
                      <a:avLst/>
                    </a:prstGeom>
                    <a:noFill/>
                    <a:ln>
                      <a:noFill/>
                    </a:ln>
                  </pic:spPr>
                </pic:pic>
              </a:graphicData>
            </a:graphic>
          </wp:inline>
        </w:drawing>
      </w:r>
    </w:p>
    <w:p w14:paraId="1395CF58" w14:textId="480372AE" w:rsidR="00EC19FA" w:rsidRPr="00D74E8E" w:rsidRDefault="00EC19FA" w:rsidP="00EC19FA">
      <w:pPr>
        <w:pStyle w:val="Caption"/>
        <w:jc w:val="center"/>
        <w:rPr>
          <w:color w:val="auto"/>
        </w:rPr>
      </w:pPr>
      <w:r w:rsidRPr="00D74E8E">
        <w:rPr>
          <w:color w:val="auto"/>
        </w:rPr>
        <w:t xml:space="preserve">Figure </w:t>
      </w:r>
      <w:r w:rsidR="006D6B84" w:rsidRPr="00D74E8E">
        <w:rPr>
          <w:color w:val="auto"/>
        </w:rPr>
        <w:fldChar w:fldCharType="begin"/>
      </w:r>
      <w:r w:rsidR="006D6B84" w:rsidRPr="00D74E8E">
        <w:rPr>
          <w:color w:val="auto"/>
        </w:rPr>
        <w:instrText xml:space="preserve"> SEQ Figure \* ARABIC </w:instrText>
      </w:r>
      <w:r w:rsidR="006D6B84" w:rsidRPr="00D74E8E">
        <w:rPr>
          <w:color w:val="auto"/>
        </w:rPr>
        <w:fldChar w:fldCharType="separate"/>
      </w:r>
      <w:r w:rsidR="00F33FA2">
        <w:rPr>
          <w:noProof/>
          <w:color w:val="auto"/>
        </w:rPr>
        <w:t>1</w:t>
      </w:r>
      <w:r w:rsidR="006D6B84" w:rsidRPr="00D74E8E">
        <w:rPr>
          <w:noProof/>
          <w:color w:val="auto"/>
        </w:rPr>
        <w:fldChar w:fldCharType="end"/>
      </w:r>
      <w:r w:rsidRPr="00D74E8E">
        <w:rPr>
          <w:color w:val="auto"/>
        </w:rPr>
        <w:t>. Overview of the Current Childhood Blood Lead Surveillance System</w:t>
      </w:r>
    </w:p>
    <w:p w14:paraId="1E9B90C9" w14:textId="50960A07" w:rsidR="00EC19FA" w:rsidRPr="00D74E8E" w:rsidRDefault="00EC19FA" w:rsidP="00EC19FA">
      <w:pPr>
        <w:autoSpaceDE w:val="0"/>
        <w:autoSpaceDN w:val="0"/>
        <w:adjustRightInd w:val="0"/>
        <w:spacing w:before="240" w:line="240" w:lineRule="auto"/>
        <w:rPr>
          <w:rFonts w:cs="ITCFranklinGothicStd-Book"/>
          <w:sz w:val="24"/>
          <w:szCs w:val="24"/>
        </w:rPr>
      </w:pPr>
      <w:r w:rsidRPr="00D74E8E">
        <w:rPr>
          <w:rFonts w:cs="ITCFranklinGothicStd-Book"/>
          <w:b/>
          <w:sz w:val="24"/>
          <w:szCs w:val="24"/>
        </w:rPr>
        <w:t>Figure 1</w:t>
      </w:r>
      <w:r w:rsidRPr="00D74E8E">
        <w:rPr>
          <w:rFonts w:cs="ITCFranklinGothicStd-Book"/>
          <w:sz w:val="24"/>
          <w:szCs w:val="24"/>
        </w:rPr>
        <w:t xml:space="preserve"> provides a graphical overview of the </w:t>
      </w:r>
      <w:r w:rsidR="00C152F8" w:rsidRPr="00D74E8E">
        <w:rPr>
          <w:rFonts w:cs="ITCFranklinGothicStd-Book"/>
          <w:sz w:val="24"/>
          <w:szCs w:val="24"/>
        </w:rPr>
        <w:t xml:space="preserve">current </w:t>
      </w:r>
      <w:r w:rsidRPr="00D74E8E">
        <w:rPr>
          <w:rFonts w:cs="ITCFranklinGothicStd-Book"/>
          <w:sz w:val="24"/>
          <w:szCs w:val="24"/>
        </w:rPr>
        <w:t>CBLS data collection system.</w:t>
      </w:r>
    </w:p>
    <w:p w14:paraId="3247604A" w14:textId="0425367A" w:rsidR="00066A78" w:rsidRPr="00D74E8E" w:rsidRDefault="003C5F84" w:rsidP="00EC19FA">
      <w:pPr>
        <w:rPr>
          <w:sz w:val="24"/>
          <w:szCs w:val="24"/>
          <w:u w:val="single"/>
        </w:rPr>
      </w:pPr>
      <w:r w:rsidRPr="00D74E8E">
        <w:rPr>
          <w:sz w:val="24"/>
          <w:szCs w:val="24"/>
          <w:u w:val="single"/>
        </w:rPr>
        <w:t xml:space="preserve">   </w:t>
      </w:r>
    </w:p>
    <w:p w14:paraId="65F96258" w14:textId="77777777" w:rsidR="00EC19FA" w:rsidRPr="00D74E8E" w:rsidRDefault="00EC19FA" w:rsidP="00EC19FA">
      <w:pPr>
        <w:keepNext/>
        <w:jc w:val="center"/>
      </w:pPr>
      <w:r w:rsidRPr="00D74E8E">
        <w:rPr>
          <w:noProof/>
          <w:sz w:val="24"/>
          <w:szCs w:val="24"/>
          <w:u w:val="single"/>
        </w:rPr>
        <w:drawing>
          <wp:inline distT="0" distB="0" distL="0" distR="0" wp14:anchorId="34DF2DE8" wp14:editId="2C4E3C7C">
            <wp:extent cx="5353050" cy="60035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35057" cy="6095537"/>
                    </a:xfrm>
                    <a:prstGeom prst="rect">
                      <a:avLst/>
                    </a:prstGeom>
                    <a:noFill/>
                    <a:ln>
                      <a:noFill/>
                    </a:ln>
                  </pic:spPr>
                </pic:pic>
              </a:graphicData>
            </a:graphic>
          </wp:inline>
        </w:drawing>
      </w:r>
    </w:p>
    <w:p w14:paraId="540A025D" w14:textId="7548CB7A" w:rsidR="00FC1352" w:rsidRPr="00D74E8E" w:rsidRDefault="00EC19FA" w:rsidP="00EC19FA">
      <w:pPr>
        <w:pStyle w:val="Caption"/>
        <w:spacing w:after="240"/>
        <w:jc w:val="center"/>
        <w:rPr>
          <w:color w:val="auto"/>
          <w:sz w:val="24"/>
          <w:szCs w:val="24"/>
          <w:u w:val="single"/>
        </w:rPr>
      </w:pPr>
      <w:r w:rsidRPr="00D74E8E">
        <w:rPr>
          <w:color w:val="auto"/>
        </w:rPr>
        <w:t xml:space="preserve">Figure </w:t>
      </w:r>
      <w:r w:rsidR="006D6B84" w:rsidRPr="00D74E8E">
        <w:rPr>
          <w:color w:val="auto"/>
        </w:rPr>
        <w:fldChar w:fldCharType="begin"/>
      </w:r>
      <w:r w:rsidR="006D6B84" w:rsidRPr="00D74E8E">
        <w:rPr>
          <w:color w:val="auto"/>
        </w:rPr>
        <w:instrText xml:space="preserve"> SEQ Figure \* ARABIC </w:instrText>
      </w:r>
      <w:r w:rsidR="006D6B84" w:rsidRPr="00D74E8E">
        <w:rPr>
          <w:color w:val="auto"/>
        </w:rPr>
        <w:fldChar w:fldCharType="separate"/>
      </w:r>
      <w:r w:rsidR="00F33FA2">
        <w:rPr>
          <w:noProof/>
          <w:color w:val="auto"/>
        </w:rPr>
        <w:t>2</w:t>
      </w:r>
      <w:r w:rsidR="006D6B84" w:rsidRPr="00D74E8E">
        <w:rPr>
          <w:noProof/>
          <w:color w:val="auto"/>
        </w:rPr>
        <w:fldChar w:fldCharType="end"/>
      </w:r>
      <w:r w:rsidRPr="00D74E8E">
        <w:rPr>
          <w:color w:val="auto"/>
        </w:rPr>
        <w:t>. Overview of the Next Generation Childhood Blood Lead Surveillance System</w:t>
      </w:r>
    </w:p>
    <w:p w14:paraId="2E2A894D" w14:textId="10897A35" w:rsidR="00EC19FA" w:rsidRPr="00D74E8E" w:rsidRDefault="00EC19FA" w:rsidP="00EC19FA">
      <w:pPr>
        <w:spacing w:after="240"/>
        <w:rPr>
          <w:rFonts w:cs="ITCFranklinGothicStd-Book"/>
          <w:sz w:val="24"/>
          <w:szCs w:val="24"/>
        </w:rPr>
      </w:pPr>
      <w:r w:rsidRPr="00D74E8E">
        <w:rPr>
          <w:rFonts w:cs="ITCFranklinGothicStd-Book"/>
          <w:sz w:val="24"/>
          <w:szCs w:val="24"/>
        </w:rPr>
        <w:t>The next generation CBLS will be a web-based system which is anticipated to go into production in Fall 2017 (</w:t>
      </w:r>
      <w:r w:rsidRPr="00D74E8E">
        <w:rPr>
          <w:rFonts w:cs="ITCFranklinGothicStd-Book"/>
          <w:b/>
          <w:sz w:val="24"/>
          <w:szCs w:val="24"/>
        </w:rPr>
        <w:t>Figure 2</w:t>
      </w:r>
      <w:r w:rsidRPr="00D74E8E">
        <w:rPr>
          <w:rFonts w:cs="ITCFranklinGothicStd-Book"/>
          <w:sz w:val="24"/>
          <w:szCs w:val="24"/>
        </w:rPr>
        <w:t>).</w:t>
      </w:r>
    </w:p>
    <w:p w14:paraId="7CE033E6" w14:textId="77777777" w:rsidR="00717B36" w:rsidRPr="00D74E8E" w:rsidRDefault="00717B36">
      <w:pPr>
        <w:rPr>
          <w:sz w:val="24"/>
          <w:szCs w:val="24"/>
          <w:u w:val="single"/>
        </w:rPr>
      </w:pPr>
      <w:r w:rsidRPr="00D74E8E">
        <w:rPr>
          <w:sz w:val="24"/>
          <w:szCs w:val="24"/>
          <w:u w:val="single"/>
        </w:rPr>
        <w:br w:type="page"/>
      </w:r>
    </w:p>
    <w:p w14:paraId="69711FBF" w14:textId="14C24BBC" w:rsidR="00E113DD" w:rsidRPr="00D74E8E" w:rsidRDefault="00941359" w:rsidP="00864E6C">
      <w:pPr>
        <w:spacing w:before="240"/>
        <w:rPr>
          <w:sz w:val="24"/>
          <w:szCs w:val="24"/>
        </w:rPr>
      </w:pPr>
      <w:r w:rsidRPr="00D74E8E">
        <w:rPr>
          <w:sz w:val="24"/>
          <w:szCs w:val="24"/>
          <w:u w:val="single"/>
        </w:rPr>
        <w:t>R</w:t>
      </w:r>
      <w:r w:rsidR="00AE0682" w:rsidRPr="00D74E8E">
        <w:rPr>
          <w:sz w:val="24"/>
          <w:szCs w:val="24"/>
          <w:u w:val="single"/>
        </w:rPr>
        <w:t>eporting</w:t>
      </w:r>
      <w:r w:rsidR="00554325" w:rsidRPr="00D74E8E">
        <w:rPr>
          <w:sz w:val="24"/>
          <w:szCs w:val="24"/>
          <w:u w:val="single"/>
        </w:rPr>
        <w:t xml:space="preserve"> </w:t>
      </w:r>
      <w:r w:rsidRPr="00D74E8E">
        <w:rPr>
          <w:sz w:val="24"/>
          <w:szCs w:val="24"/>
          <w:u w:val="single"/>
        </w:rPr>
        <w:t xml:space="preserve">within </w:t>
      </w:r>
      <w:r w:rsidR="00554325" w:rsidRPr="00D74E8E">
        <w:rPr>
          <w:sz w:val="24"/>
          <w:szCs w:val="24"/>
          <w:u w:val="single"/>
        </w:rPr>
        <w:t>Jurisdictions</w:t>
      </w:r>
    </w:p>
    <w:p w14:paraId="67520AD8" w14:textId="1D9CF079" w:rsidR="00DD30EF" w:rsidRPr="00D74E8E" w:rsidRDefault="00554325" w:rsidP="00864E6C">
      <w:pPr>
        <w:spacing w:before="240"/>
        <w:rPr>
          <w:sz w:val="24"/>
          <w:szCs w:val="24"/>
        </w:rPr>
      </w:pPr>
      <w:r w:rsidRPr="00D74E8E">
        <w:rPr>
          <w:sz w:val="24"/>
          <w:szCs w:val="24"/>
        </w:rPr>
        <w:t>T</w:t>
      </w:r>
      <w:r w:rsidR="00DB73F4">
        <w:rPr>
          <w:sz w:val="24"/>
          <w:szCs w:val="24"/>
        </w:rPr>
        <w:t>he State or</w:t>
      </w:r>
      <w:r w:rsidRPr="00D74E8E">
        <w:rPr>
          <w:sz w:val="24"/>
          <w:szCs w:val="24"/>
        </w:rPr>
        <w:t xml:space="preserve"> local health departments</w:t>
      </w:r>
      <w:r w:rsidR="00FE1FD9" w:rsidRPr="00D74E8E">
        <w:rPr>
          <w:sz w:val="24"/>
          <w:szCs w:val="24"/>
        </w:rPr>
        <w:t xml:space="preserve"> receive data from health care providers, laboratories, hospitals, or other facilities that analyze blood samples for lead and store those data on servers housed on their premises</w:t>
      </w:r>
      <w:r w:rsidR="00116CEB" w:rsidRPr="00D74E8E">
        <w:rPr>
          <w:sz w:val="24"/>
          <w:szCs w:val="24"/>
        </w:rPr>
        <w:t>.</w:t>
      </w:r>
      <w:r w:rsidR="00DD30EF" w:rsidRPr="00D74E8E">
        <w:rPr>
          <w:sz w:val="24"/>
          <w:szCs w:val="24"/>
        </w:rPr>
        <w:t xml:space="preserve"> Reporting is done through a variety of modes</w:t>
      </w:r>
      <w:r w:rsidR="00ED37C0" w:rsidRPr="00D74E8E">
        <w:rPr>
          <w:sz w:val="24"/>
          <w:szCs w:val="24"/>
        </w:rPr>
        <w:t xml:space="preserve"> following the jurisdiction’s system design</w:t>
      </w:r>
      <w:r w:rsidR="00DD30EF" w:rsidRPr="00D74E8E">
        <w:rPr>
          <w:sz w:val="24"/>
          <w:szCs w:val="24"/>
        </w:rPr>
        <w:t xml:space="preserve">: 1) </w:t>
      </w:r>
      <w:r w:rsidR="00ED37C0" w:rsidRPr="00D74E8E">
        <w:rPr>
          <w:sz w:val="24"/>
          <w:szCs w:val="24"/>
        </w:rPr>
        <w:t>Health Level 7 (</w:t>
      </w:r>
      <w:r w:rsidR="000B363E" w:rsidRPr="00D74E8E">
        <w:rPr>
          <w:sz w:val="24"/>
          <w:szCs w:val="24"/>
        </w:rPr>
        <w:t>HL7</w:t>
      </w:r>
      <w:r w:rsidR="00ED37C0" w:rsidRPr="00D74E8E">
        <w:rPr>
          <w:sz w:val="24"/>
          <w:szCs w:val="24"/>
        </w:rPr>
        <w:t>)</w:t>
      </w:r>
      <w:r w:rsidR="00474275" w:rsidRPr="00D74E8E">
        <w:rPr>
          <w:sz w:val="24"/>
          <w:szCs w:val="24"/>
        </w:rPr>
        <w:t xml:space="preserve"> data format via secure, encrypted transfer</w:t>
      </w:r>
      <w:r w:rsidR="00DD30EF" w:rsidRPr="00D74E8E">
        <w:rPr>
          <w:sz w:val="24"/>
          <w:szCs w:val="24"/>
        </w:rPr>
        <w:t xml:space="preserve">; 2) </w:t>
      </w:r>
      <w:r w:rsidR="000B363E" w:rsidRPr="00D74E8E">
        <w:rPr>
          <w:sz w:val="24"/>
          <w:szCs w:val="24"/>
        </w:rPr>
        <w:t xml:space="preserve">Excel sheets via </w:t>
      </w:r>
      <w:r w:rsidR="00DD30EF" w:rsidRPr="00D74E8E">
        <w:rPr>
          <w:sz w:val="24"/>
          <w:szCs w:val="24"/>
        </w:rPr>
        <w:t>secure, encrypted FTP</w:t>
      </w:r>
      <w:r w:rsidR="00ED37C0" w:rsidRPr="00D74E8E">
        <w:rPr>
          <w:sz w:val="24"/>
          <w:szCs w:val="24"/>
        </w:rPr>
        <w:t>; or 3) secure delivery of paper records</w:t>
      </w:r>
      <w:r w:rsidR="00834348" w:rsidRPr="00D74E8E">
        <w:rPr>
          <w:sz w:val="24"/>
          <w:szCs w:val="24"/>
        </w:rPr>
        <w:t>, such as via secure fax</w:t>
      </w:r>
      <w:r w:rsidR="00ED37C0" w:rsidRPr="00D74E8E">
        <w:rPr>
          <w:sz w:val="24"/>
          <w:szCs w:val="24"/>
        </w:rPr>
        <w:t>.</w:t>
      </w:r>
      <w:r w:rsidR="00B30A29" w:rsidRPr="00D74E8E">
        <w:rPr>
          <w:sz w:val="24"/>
          <w:szCs w:val="24"/>
        </w:rPr>
        <w:t xml:space="preserve"> The health departments are responsible for following all local or state p</w:t>
      </w:r>
      <w:r w:rsidR="00303067" w:rsidRPr="00D74E8E">
        <w:rPr>
          <w:sz w:val="24"/>
          <w:szCs w:val="24"/>
        </w:rPr>
        <w:t>ersonal privacy protection laws</w:t>
      </w:r>
      <w:r w:rsidR="009361F5" w:rsidRPr="00D74E8E">
        <w:rPr>
          <w:sz w:val="24"/>
          <w:szCs w:val="24"/>
        </w:rPr>
        <w:t xml:space="preserve"> and state IT security protocols and processes</w:t>
      </w:r>
      <w:r w:rsidR="00303067" w:rsidRPr="00D74E8E">
        <w:rPr>
          <w:sz w:val="24"/>
          <w:szCs w:val="24"/>
        </w:rPr>
        <w:t xml:space="preserve">, such as </w:t>
      </w:r>
      <w:r w:rsidR="00EC3B78" w:rsidRPr="00D74E8E">
        <w:rPr>
          <w:sz w:val="24"/>
          <w:szCs w:val="24"/>
        </w:rPr>
        <w:t>security options to enter data</w:t>
      </w:r>
      <w:r w:rsidR="00303067" w:rsidRPr="00D74E8E">
        <w:rPr>
          <w:sz w:val="24"/>
          <w:szCs w:val="24"/>
        </w:rPr>
        <w:t xml:space="preserve"> into password-protected </w:t>
      </w:r>
      <w:r w:rsidR="009361F5" w:rsidRPr="00D74E8E">
        <w:rPr>
          <w:sz w:val="24"/>
          <w:szCs w:val="24"/>
        </w:rPr>
        <w:t>Microsoft SQL databases</w:t>
      </w:r>
      <w:r w:rsidR="00697FC7" w:rsidRPr="00D74E8E">
        <w:rPr>
          <w:sz w:val="24"/>
          <w:szCs w:val="24"/>
        </w:rPr>
        <w:t>.</w:t>
      </w:r>
    </w:p>
    <w:p w14:paraId="770BE2AF" w14:textId="3153FF07" w:rsidR="00906C3C" w:rsidRPr="00D74E8E" w:rsidRDefault="003452A1" w:rsidP="004413B6">
      <w:pPr>
        <w:pStyle w:val="ListParagraph"/>
        <w:numPr>
          <w:ilvl w:val="0"/>
          <w:numId w:val="37"/>
        </w:numPr>
        <w:spacing w:after="240"/>
        <w:contextualSpacing w:val="0"/>
        <w:rPr>
          <w:sz w:val="24"/>
          <w:szCs w:val="24"/>
        </w:rPr>
      </w:pPr>
      <w:r w:rsidRPr="00D74E8E">
        <w:rPr>
          <w:sz w:val="24"/>
          <w:szCs w:val="24"/>
        </w:rPr>
        <w:t xml:space="preserve">This reporting </w:t>
      </w:r>
      <w:r w:rsidR="00116CEB" w:rsidRPr="00D74E8E">
        <w:rPr>
          <w:sz w:val="24"/>
          <w:szCs w:val="24"/>
        </w:rPr>
        <w:t>from providers and laboratories</w:t>
      </w:r>
      <w:r w:rsidRPr="00D74E8E">
        <w:rPr>
          <w:sz w:val="24"/>
          <w:szCs w:val="24"/>
        </w:rPr>
        <w:t xml:space="preserve"> to </w:t>
      </w:r>
      <w:r w:rsidR="00F24E21">
        <w:rPr>
          <w:sz w:val="24"/>
          <w:szCs w:val="24"/>
        </w:rPr>
        <w:t>S</w:t>
      </w:r>
      <w:r w:rsidRPr="00D74E8E">
        <w:rPr>
          <w:sz w:val="24"/>
          <w:szCs w:val="24"/>
        </w:rPr>
        <w:t>tate</w:t>
      </w:r>
      <w:r w:rsidR="00F24E21">
        <w:rPr>
          <w:sz w:val="24"/>
          <w:szCs w:val="24"/>
        </w:rPr>
        <w:t xml:space="preserve"> or</w:t>
      </w:r>
      <w:r w:rsidRPr="00D74E8E">
        <w:rPr>
          <w:sz w:val="24"/>
          <w:szCs w:val="24"/>
        </w:rPr>
        <w:t xml:space="preserve"> local CLPPPs </w:t>
      </w:r>
      <w:r w:rsidR="00EC19FA" w:rsidRPr="00D74E8E">
        <w:rPr>
          <w:sz w:val="24"/>
          <w:szCs w:val="24"/>
        </w:rPr>
        <w:t>is</w:t>
      </w:r>
      <w:r w:rsidRPr="00D74E8E">
        <w:rPr>
          <w:sz w:val="24"/>
          <w:szCs w:val="24"/>
        </w:rPr>
        <w:t xml:space="preserve"> ex</w:t>
      </w:r>
      <w:r w:rsidR="00025910" w:rsidRPr="00D74E8E">
        <w:rPr>
          <w:sz w:val="24"/>
          <w:szCs w:val="24"/>
        </w:rPr>
        <w:t>cluded from PRA</w:t>
      </w:r>
      <w:r w:rsidR="000F284F" w:rsidRPr="00D74E8E">
        <w:rPr>
          <w:sz w:val="24"/>
          <w:szCs w:val="24"/>
        </w:rPr>
        <w:t xml:space="preserve"> burden</w:t>
      </w:r>
      <w:r w:rsidRPr="00D74E8E">
        <w:rPr>
          <w:sz w:val="24"/>
          <w:szCs w:val="24"/>
        </w:rPr>
        <w:t xml:space="preserve"> under 5 CFR </w:t>
      </w:r>
      <w:r w:rsidR="00013896" w:rsidRPr="00D74E8E">
        <w:rPr>
          <w:rStyle w:val="sectno"/>
          <w:rFonts w:cs="Arial"/>
          <w:sz w:val="24"/>
          <w:szCs w:val="24"/>
        </w:rPr>
        <w:t>§</w:t>
      </w:r>
      <w:r w:rsidRPr="00D74E8E">
        <w:rPr>
          <w:rStyle w:val="sectno"/>
          <w:rFonts w:cs="Arial"/>
          <w:sz w:val="24"/>
          <w:szCs w:val="24"/>
        </w:rPr>
        <w:t>1320.3(b)(2) and (b)(3)</w:t>
      </w:r>
      <w:r w:rsidR="008A6723" w:rsidRPr="00D74E8E">
        <w:rPr>
          <w:rStyle w:val="sectno"/>
          <w:rFonts w:cs="Arial"/>
          <w:sz w:val="24"/>
          <w:szCs w:val="24"/>
        </w:rPr>
        <w:t>,</w:t>
      </w:r>
      <w:r w:rsidRPr="00D74E8E">
        <w:rPr>
          <w:rStyle w:val="FootnoteReference"/>
          <w:rFonts w:cs="Arial"/>
          <w:sz w:val="24"/>
          <w:szCs w:val="24"/>
        </w:rPr>
        <w:footnoteReference w:id="13"/>
      </w:r>
      <w:r w:rsidR="008A6723" w:rsidRPr="00D74E8E">
        <w:rPr>
          <w:rStyle w:val="sectno"/>
          <w:rFonts w:cs="Arial"/>
          <w:sz w:val="24"/>
          <w:szCs w:val="24"/>
        </w:rPr>
        <w:t xml:space="preserve"> </w:t>
      </w:r>
      <w:r w:rsidR="00A37AB3" w:rsidRPr="00D74E8E">
        <w:rPr>
          <w:rStyle w:val="sectno"/>
          <w:rFonts w:cs="Arial"/>
          <w:sz w:val="24"/>
          <w:szCs w:val="24"/>
        </w:rPr>
        <w:t>because public health law, statutes, or</w:t>
      </w:r>
      <w:r w:rsidR="008A6723" w:rsidRPr="00D74E8E">
        <w:rPr>
          <w:rStyle w:val="sectno"/>
          <w:rFonts w:cs="Arial"/>
          <w:sz w:val="24"/>
          <w:szCs w:val="24"/>
        </w:rPr>
        <w:t xml:space="preserve"> regulations require blood lead testing and reporting</w:t>
      </w:r>
      <w:r w:rsidR="00A37AB3" w:rsidRPr="00D74E8E">
        <w:rPr>
          <w:rStyle w:val="sectno"/>
          <w:rFonts w:cs="Arial"/>
          <w:sz w:val="24"/>
          <w:szCs w:val="24"/>
        </w:rPr>
        <w:t xml:space="preserve"> within</w:t>
      </w:r>
      <w:r w:rsidR="008A6723" w:rsidRPr="00D74E8E">
        <w:rPr>
          <w:rStyle w:val="sectno"/>
          <w:rFonts w:cs="Arial"/>
          <w:sz w:val="24"/>
          <w:szCs w:val="24"/>
        </w:rPr>
        <w:t xml:space="preserve"> state</w:t>
      </w:r>
      <w:r w:rsidR="00F24E21">
        <w:rPr>
          <w:rStyle w:val="sectno"/>
          <w:rFonts w:cs="Arial"/>
          <w:sz w:val="24"/>
          <w:szCs w:val="24"/>
        </w:rPr>
        <w:t xml:space="preserve"> or local</w:t>
      </w:r>
      <w:r w:rsidR="008A6723" w:rsidRPr="00D74E8E">
        <w:rPr>
          <w:rStyle w:val="sectno"/>
          <w:rFonts w:cs="Arial"/>
          <w:sz w:val="24"/>
          <w:szCs w:val="24"/>
        </w:rPr>
        <w:t xml:space="preserve"> jurisdictions</w:t>
      </w:r>
      <w:r w:rsidR="0002311A" w:rsidRPr="00D74E8E">
        <w:rPr>
          <w:rStyle w:val="sectno"/>
          <w:rFonts w:cs="Arial"/>
          <w:sz w:val="24"/>
          <w:szCs w:val="24"/>
        </w:rPr>
        <w:t xml:space="preserve"> (NCSL, 2010)</w:t>
      </w:r>
      <w:r w:rsidR="008A6723" w:rsidRPr="00D74E8E">
        <w:rPr>
          <w:rStyle w:val="sectno"/>
          <w:rFonts w:cs="Arial"/>
          <w:sz w:val="24"/>
          <w:szCs w:val="24"/>
        </w:rPr>
        <w:t>.</w:t>
      </w:r>
      <w:r w:rsidR="002B7B48" w:rsidRPr="00D74E8E">
        <w:rPr>
          <w:rStyle w:val="sectno"/>
          <w:rFonts w:cs="Arial"/>
          <w:sz w:val="24"/>
          <w:szCs w:val="24"/>
        </w:rPr>
        <w:t xml:space="preserve"> The </w:t>
      </w:r>
      <w:r w:rsidR="002B7B48" w:rsidRPr="00D74E8E">
        <w:rPr>
          <w:rStyle w:val="p1"/>
          <w:rFonts w:cs="Arial"/>
          <w:sz w:val="24"/>
          <w:szCs w:val="24"/>
          <w:specVanish w:val="0"/>
        </w:rPr>
        <w:t xml:space="preserve">reporting, recordkeeping, or disclosure activities needed to comply </w:t>
      </w:r>
      <w:r w:rsidR="00025910" w:rsidRPr="00D74E8E">
        <w:rPr>
          <w:rStyle w:val="p1"/>
          <w:rFonts w:cs="Arial"/>
          <w:sz w:val="24"/>
          <w:szCs w:val="24"/>
          <w:specVanish w:val="0"/>
        </w:rPr>
        <w:t xml:space="preserve">within jurisdictions </w:t>
      </w:r>
      <w:r w:rsidR="002B7B48" w:rsidRPr="00D74E8E">
        <w:rPr>
          <w:rStyle w:val="p1"/>
          <w:rFonts w:cs="Arial"/>
          <w:sz w:val="24"/>
          <w:szCs w:val="24"/>
          <w:specVanish w:val="0"/>
        </w:rPr>
        <w:t>are usual and customary</w:t>
      </w:r>
      <w:r w:rsidR="00AF096C" w:rsidRPr="00D74E8E">
        <w:rPr>
          <w:rStyle w:val="p1"/>
          <w:rFonts w:cs="Arial"/>
          <w:sz w:val="24"/>
          <w:szCs w:val="24"/>
          <w:specVanish w:val="0"/>
        </w:rPr>
        <w:t xml:space="preserve">, and would be required </w:t>
      </w:r>
      <w:r w:rsidR="00157CDE" w:rsidRPr="00D74E8E">
        <w:rPr>
          <w:rStyle w:val="p1"/>
          <w:rFonts w:cs="Arial"/>
          <w:sz w:val="24"/>
          <w:szCs w:val="24"/>
          <w:specVanish w:val="0"/>
        </w:rPr>
        <w:t xml:space="preserve">by law </w:t>
      </w:r>
      <w:r w:rsidR="00AF096C" w:rsidRPr="00D74E8E">
        <w:rPr>
          <w:rStyle w:val="p1"/>
          <w:rFonts w:cs="Arial"/>
          <w:sz w:val="24"/>
          <w:szCs w:val="24"/>
          <w:specVanish w:val="0"/>
        </w:rPr>
        <w:t>even in the absence of the federal requirement.</w:t>
      </w:r>
    </w:p>
    <w:p w14:paraId="44B7D0E0" w14:textId="77777777" w:rsidR="00E113DD" w:rsidRPr="00D74E8E" w:rsidRDefault="00906C3C" w:rsidP="00C27925">
      <w:pPr>
        <w:spacing w:before="120"/>
        <w:rPr>
          <w:sz w:val="24"/>
          <w:szCs w:val="24"/>
        </w:rPr>
      </w:pPr>
      <w:r w:rsidRPr="00D74E8E">
        <w:rPr>
          <w:sz w:val="24"/>
          <w:szCs w:val="24"/>
          <w:u w:val="single"/>
        </w:rPr>
        <w:t xml:space="preserve">Required </w:t>
      </w:r>
      <w:r w:rsidR="009717B4" w:rsidRPr="00D74E8E">
        <w:rPr>
          <w:sz w:val="24"/>
          <w:szCs w:val="24"/>
          <w:u w:val="single"/>
        </w:rPr>
        <w:t xml:space="preserve">Quarterly </w:t>
      </w:r>
      <w:r w:rsidRPr="00D74E8E">
        <w:rPr>
          <w:sz w:val="24"/>
          <w:szCs w:val="24"/>
          <w:u w:val="single"/>
        </w:rPr>
        <w:t>Reporting to CBLS</w:t>
      </w:r>
    </w:p>
    <w:p w14:paraId="13889530" w14:textId="53FAF3DB" w:rsidR="00375A7F" w:rsidRPr="00D74E8E" w:rsidRDefault="00BC5214" w:rsidP="00C27925">
      <w:pPr>
        <w:spacing w:before="120"/>
        <w:rPr>
          <w:sz w:val="24"/>
          <w:szCs w:val="24"/>
        </w:rPr>
      </w:pPr>
      <w:r w:rsidRPr="00D74E8E">
        <w:rPr>
          <w:sz w:val="24"/>
          <w:szCs w:val="24"/>
        </w:rPr>
        <w:t>As part of the</w:t>
      </w:r>
      <w:r w:rsidR="000B51F8" w:rsidRPr="00D74E8E">
        <w:rPr>
          <w:sz w:val="24"/>
          <w:szCs w:val="24"/>
        </w:rPr>
        <w:t xml:space="preserve"> </w:t>
      </w:r>
      <w:r w:rsidR="008B686F" w:rsidRPr="00D74E8E">
        <w:rPr>
          <w:sz w:val="24"/>
          <w:szCs w:val="24"/>
        </w:rPr>
        <w:t>FY</w:t>
      </w:r>
      <w:r w:rsidR="000B51F8" w:rsidRPr="00D74E8E">
        <w:rPr>
          <w:sz w:val="24"/>
          <w:szCs w:val="24"/>
        </w:rPr>
        <w:t xml:space="preserve">14 </w:t>
      </w:r>
      <w:r w:rsidR="00013896" w:rsidRPr="00D74E8E">
        <w:rPr>
          <w:sz w:val="24"/>
          <w:szCs w:val="24"/>
        </w:rPr>
        <w:t>and</w:t>
      </w:r>
      <w:r w:rsidRPr="00D74E8E">
        <w:rPr>
          <w:sz w:val="24"/>
          <w:szCs w:val="24"/>
        </w:rPr>
        <w:t xml:space="preserve"> </w:t>
      </w:r>
      <w:r w:rsidR="008B686F" w:rsidRPr="00D74E8E">
        <w:rPr>
          <w:sz w:val="24"/>
          <w:szCs w:val="24"/>
        </w:rPr>
        <w:t>FY</w:t>
      </w:r>
      <w:r w:rsidRPr="00D74E8E">
        <w:rPr>
          <w:sz w:val="24"/>
          <w:szCs w:val="24"/>
        </w:rPr>
        <w:t>17 FOA</w:t>
      </w:r>
      <w:r w:rsidR="000B51F8" w:rsidRPr="00D74E8E">
        <w:rPr>
          <w:sz w:val="24"/>
          <w:szCs w:val="24"/>
        </w:rPr>
        <w:t>s</w:t>
      </w:r>
      <w:r w:rsidRPr="00D74E8E">
        <w:rPr>
          <w:sz w:val="24"/>
          <w:szCs w:val="24"/>
        </w:rPr>
        <w:t>, the awardee</w:t>
      </w:r>
      <w:r w:rsidR="00FE1FD9" w:rsidRPr="00D74E8E">
        <w:rPr>
          <w:sz w:val="24"/>
          <w:szCs w:val="24"/>
        </w:rPr>
        <w:t xml:space="preserve">s are required to submit </w:t>
      </w:r>
      <w:r w:rsidR="00035C15" w:rsidRPr="00D74E8E">
        <w:rPr>
          <w:sz w:val="24"/>
          <w:szCs w:val="24"/>
        </w:rPr>
        <w:t>quarterly data</w:t>
      </w:r>
      <w:r w:rsidR="00FE1FD9" w:rsidRPr="00D74E8E">
        <w:rPr>
          <w:sz w:val="24"/>
          <w:szCs w:val="24"/>
        </w:rPr>
        <w:t xml:space="preserve"> to CDC by the final business day of the following quarter (e.g. data collected during the first quarter, is due on the final business day of the second quarter). All </w:t>
      </w:r>
      <w:r w:rsidR="00697FC7" w:rsidRPr="00D74E8E">
        <w:rPr>
          <w:sz w:val="24"/>
          <w:szCs w:val="24"/>
        </w:rPr>
        <w:t xml:space="preserve">required </w:t>
      </w:r>
      <w:r w:rsidR="00FE1FD9" w:rsidRPr="00D74E8E">
        <w:rPr>
          <w:sz w:val="24"/>
          <w:szCs w:val="24"/>
        </w:rPr>
        <w:t xml:space="preserve">data are </w:t>
      </w:r>
      <w:r w:rsidR="00697FC7" w:rsidRPr="00D74E8E">
        <w:rPr>
          <w:sz w:val="24"/>
          <w:szCs w:val="24"/>
        </w:rPr>
        <w:t xml:space="preserve">extracted from their secure servers and </w:t>
      </w:r>
      <w:r w:rsidR="00FE1FD9" w:rsidRPr="00D74E8E">
        <w:rPr>
          <w:sz w:val="24"/>
          <w:szCs w:val="24"/>
        </w:rPr>
        <w:t>transmitted to CDC via a secure FTP site. Data submitted</w:t>
      </w:r>
      <w:r w:rsidR="002E3FD8" w:rsidRPr="00D74E8E">
        <w:rPr>
          <w:sz w:val="24"/>
          <w:szCs w:val="24"/>
        </w:rPr>
        <w:t xml:space="preserve"> in text files</w:t>
      </w:r>
      <w:r w:rsidR="00FE1FD9" w:rsidRPr="00D74E8E">
        <w:rPr>
          <w:sz w:val="24"/>
          <w:szCs w:val="24"/>
        </w:rPr>
        <w:t xml:space="preserve"> to CDC are processed and maintained </w:t>
      </w:r>
      <w:r w:rsidR="00375A7F" w:rsidRPr="00D74E8E">
        <w:rPr>
          <w:sz w:val="24"/>
          <w:szCs w:val="24"/>
        </w:rPr>
        <w:t xml:space="preserve">in the </w:t>
      </w:r>
      <w:r w:rsidR="00FE1FD9" w:rsidRPr="00D74E8E">
        <w:rPr>
          <w:sz w:val="24"/>
          <w:szCs w:val="24"/>
        </w:rPr>
        <w:t>CBL</w:t>
      </w:r>
      <w:r w:rsidR="00375A7F" w:rsidRPr="00D74E8E">
        <w:rPr>
          <w:sz w:val="24"/>
          <w:szCs w:val="24"/>
        </w:rPr>
        <w:t>S</w:t>
      </w:r>
      <w:r w:rsidR="00906C3C" w:rsidRPr="00D74E8E">
        <w:rPr>
          <w:sz w:val="24"/>
          <w:szCs w:val="24"/>
        </w:rPr>
        <w:t xml:space="preserve"> database</w:t>
      </w:r>
      <w:r w:rsidR="00375A7F" w:rsidRPr="00D74E8E">
        <w:rPr>
          <w:sz w:val="24"/>
          <w:szCs w:val="24"/>
        </w:rPr>
        <w:t>.</w:t>
      </w:r>
    </w:p>
    <w:p w14:paraId="4005D19E" w14:textId="5B123A58" w:rsidR="00A57E74" w:rsidRDefault="00FE1FD9" w:rsidP="00864E6C">
      <w:pPr>
        <w:spacing w:after="240"/>
        <w:rPr>
          <w:bCs/>
          <w:sz w:val="24"/>
          <w:szCs w:val="24"/>
        </w:rPr>
      </w:pPr>
      <w:r w:rsidRPr="00D74E8E">
        <w:rPr>
          <w:b/>
          <w:bCs/>
          <w:sz w:val="24"/>
          <w:szCs w:val="24"/>
        </w:rPr>
        <w:t>Attachment</w:t>
      </w:r>
      <w:r w:rsidR="00906C3C" w:rsidRPr="00D74E8E">
        <w:rPr>
          <w:b/>
          <w:bCs/>
          <w:sz w:val="24"/>
          <w:szCs w:val="24"/>
        </w:rPr>
        <w:t xml:space="preserve"> </w:t>
      </w:r>
      <w:r w:rsidR="00453FF6" w:rsidRPr="00D74E8E">
        <w:rPr>
          <w:b/>
          <w:bCs/>
          <w:sz w:val="24"/>
          <w:szCs w:val="24"/>
        </w:rPr>
        <w:t>5</w:t>
      </w:r>
      <w:r w:rsidR="00906C3C" w:rsidRPr="00D74E8E">
        <w:rPr>
          <w:b/>
          <w:bCs/>
          <w:sz w:val="24"/>
          <w:szCs w:val="24"/>
        </w:rPr>
        <w:t>a</w:t>
      </w:r>
      <w:r w:rsidR="00171356" w:rsidRPr="00D74E8E">
        <w:rPr>
          <w:b/>
          <w:bCs/>
          <w:sz w:val="24"/>
          <w:szCs w:val="24"/>
        </w:rPr>
        <w:t xml:space="preserve"> </w:t>
      </w:r>
      <w:r w:rsidR="00171356" w:rsidRPr="00D74E8E">
        <w:rPr>
          <w:bCs/>
          <w:sz w:val="24"/>
          <w:szCs w:val="24"/>
        </w:rPr>
        <w:t>(“CBLS Variables</w:t>
      </w:r>
      <w:r w:rsidR="004D64B7" w:rsidRPr="00D74E8E">
        <w:rPr>
          <w:bCs/>
          <w:sz w:val="24"/>
          <w:szCs w:val="24"/>
        </w:rPr>
        <w:t xml:space="preserve"> – Text Files</w:t>
      </w:r>
      <w:r w:rsidR="00171356" w:rsidRPr="00D74E8E">
        <w:rPr>
          <w:bCs/>
          <w:sz w:val="24"/>
          <w:szCs w:val="24"/>
        </w:rPr>
        <w:t>”)</w:t>
      </w:r>
      <w:r w:rsidRPr="00D74E8E">
        <w:rPr>
          <w:bCs/>
          <w:sz w:val="24"/>
          <w:szCs w:val="24"/>
        </w:rPr>
        <w:t xml:space="preserve"> provides a compre</w:t>
      </w:r>
      <w:r w:rsidR="00906C3C" w:rsidRPr="00D74E8E">
        <w:rPr>
          <w:bCs/>
          <w:sz w:val="24"/>
          <w:szCs w:val="24"/>
        </w:rPr>
        <w:t>hensive list of all</w:t>
      </w:r>
      <w:r w:rsidRPr="00D74E8E">
        <w:rPr>
          <w:bCs/>
          <w:sz w:val="24"/>
          <w:szCs w:val="24"/>
        </w:rPr>
        <w:t xml:space="preserve"> lead poisoning surveillance variables that will be submitted to C</w:t>
      </w:r>
      <w:r w:rsidR="000101AC" w:rsidRPr="00D74E8E">
        <w:rPr>
          <w:bCs/>
          <w:sz w:val="24"/>
          <w:szCs w:val="24"/>
        </w:rPr>
        <w:t>BLS</w:t>
      </w:r>
      <w:r w:rsidR="004D64B7" w:rsidRPr="00D74E8E">
        <w:rPr>
          <w:bCs/>
          <w:sz w:val="24"/>
          <w:szCs w:val="24"/>
        </w:rPr>
        <w:t xml:space="preserve"> as ASCII fixed field length</w:t>
      </w:r>
      <w:r w:rsidR="004A76BE" w:rsidRPr="00D74E8E">
        <w:rPr>
          <w:bCs/>
          <w:sz w:val="24"/>
          <w:szCs w:val="24"/>
        </w:rPr>
        <w:t xml:space="preserve"> </w:t>
      </w:r>
      <w:r w:rsidR="006567F5" w:rsidRPr="00D74E8E">
        <w:rPr>
          <w:bCs/>
          <w:sz w:val="24"/>
          <w:szCs w:val="24"/>
        </w:rPr>
        <w:t>(non-delimited)</w:t>
      </w:r>
      <w:r w:rsidR="004D64B7" w:rsidRPr="00D74E8E">
        <w:rPr>
          <w:bCs/>
          <w:sz w:val="24"/>
          <w:szCs w:val="24"/>
        </w:rPr>
        <w:t xml:space="preserve"> variable record</w:t>
      </w:r>
      <w:r w:rsidR="006567F5" w:rsidRPr="00D74E8E">
        <w:rPr>
          <w:bCs/>
          <w:sz w:val="24"/>
          <w:szCs w:val="24"/>
        </w:rPr>
        <w:t>s</w:t>
      </w:r>
      <w:r w:rsidRPr="00D74E8E">
        <w:rPr>
          <w:bCs/>
          <w:sz w:val="24"/>
          <w:szCs w:val="24"/>
        </w:rPr>
        <w:t>.</w:t>
      </w:r>
      <w:r w:rsidR="00375A7F" w:rsidRPr="00D74E8E">
        <w:rPr>
          <w:bCs/>
          <w:sz w:val="24"/>
          <w:szCs w:val="24"/>
        </w:rPr>
        <w:t xml:space="preserve"> </w:t>
      </w:r>
      <w:r w:rsidR="00EB293D" w:rsidRPr="00D74E8E">
        <w:rPr>
          <w:bCs/>
          <w:sz w:val="24"/>
          <w:szCs w:val="24"/>
        </w:rPr>
        <w:t xml:space="preserve">NCEH </w:t>
      </w:r>
      <w:r w:rsidR="00571E96" w:rsidRPr="00D74E8E">
        <w:rPr>
          <w:bCs/>
          <w:sz w:val="24"/>
          <w:szCs w:val="24"/>
        </w:rPr>
        <w:t>provide</w:t>
      </w:r>
      <w:r w:rsidR="00571278" w:rsidRPr="00D74E8E">
        <w:rPr>
          <w:bCs/>
          <w:sz w:val="24"/>
          <w:szCs w:val="24"/>
        </w:rPr>
        <w:t>s</w:t>
      </w:r>
      <w:r w:rsidR="00EB293D" w:rsidRPr="00D74E8E">
        <w:rPr>
          <w:bCs/>
          <w:sz w:val="24"/>
          <w:szCs w:val="24"/>
        </w:rPr>
        <w:t xml:space="preserve"> </w:t>
      </w:r>
      <w:r w:rsidR="009E7DC8" w:rsidRPr="00D74E8E">
        <w:rPr>
          <w:bCs/>
          <w:sz w:val="24"/>
          <w:szCs w:val="24"/>
        </w:rPr>
        <w:t xml:space="preserve">awardees with </w:t>
      </w:r>
      <w:r w:rsidR="00EB293D" w:rsidRPr="00D74E8E">
        <w:rPr>
          <w:bCs/>
          <w:sz w:val="24"/>
          <w:szCs w:val="24"/>
        </w:rPr>
        <w:t>a protocol f</w:t>
      </w:r>
      <w:r w:rsidR="00AB6154" w:rsidRPr="00D74E8E">
        <w:rPr>
          <w:bCs/>
          <w:sz w:val="24"/>
          <w:szCs w:val="24"/>
        </w:rPr>
        <w:t>or quarterly data submission</w:t>
      </w:r>
      <w:r w:rsidR="00EB293D" w:rsidRPr="00D74E8E">
        <w:rPr>
          <w:bCs/>
          <w:sz w:val="24"/>
          <w:szCs w:val="24"/>
        </w:rPr>
        <w:t xml:space="preserve">. </w:t>
      </w:r>
      <w:r w:rsidR="002E3FD8" w:rsidRPr="00D74E8E">
        <w:rPr>
          <w:bCs/>
          <w:sz w:val="24"/>
          <w:szCs w:val="24"/>
        </w:rPr>
        <w:t xml:space="preserve">The data are delivered in </w:t>
      </w:r>
      <w:r w:rsidR="00D55837" w:rsidRPr="00D74E8E">
        <w:rPr>
          <w:bCs/>
          <w:sz w:val="24"/>
          <w:szCs w:val="24"/>
        </w:rPr>
        <w:t>separate</w:t>
      </w:r>
      <w:r w:rsidR="00D31E44" w:rsidRPr="00D74E8E">
        <w:rPr>
          <w:bCs/>
          <w:sz w:val="24"/>
          <w:szCs w:val="24"/>
        </w:rPr>
        <w:t xml:space="preserve"> text files </w:t>
      </w:r>
      <w:r w:rsidR="00586A8F" w:rsidRPr="00D74E8E">
        <w:rPr>
          <w:bCs/>
          <w:sz w:val="24"/>
          <w:szCs w:val="24"/>
        </w:rPr>
        <w:t xml:space="preserve">following format requirements </w:t>
      </w:r>
      <w:r w:rsidR="00D31E44" w:rsidRPr="00D74E8E">
        <w:rPr>
          <w:bCs/>
          <w:sz w:val="24"/>
          <w:szCs w:val="24"/>
        </w:rPr>
        <w:t xml:space="preserve">that are processed into </w:t>
      </w:r>
      <w:r w:rsidR="002E3FD8" w:rsidRPr="00D74E8E">
        <w:rPr>
          <w:bCs/>
          <w:sz w:val="24"/>
          <w:szCs w:val="24"/>
        </w:rPr>
        <w:t>linkable tables</w:t>
      </w:r>
      <w:r w:rsidR="00D31E44" w:rsidRPr="00D74E8E">
        <w:rPr>
          <w:bCs/>
          <w:sz w:val="24"/>
          <w:szCs w:val="24"/>
        </w:rPr>
        <w:t xml:space="preserve"> using CBLS Central software</w:t>
      </w:r>
      <w:r w:rsidR="002A39D4" w:rsidRPr="00D74E8E">
        <w:rPr>
          <w:bCs/>
          <w:sz w:val="24"/>
          <w:szCs w:val="24"/>
        </w:rPr>
        <w:t>.</w:t>
      </w:r>
      <w:r w:rsidR="002E3FD8" w:rsidRPr="00D74E8E">
        <w:rPr>
          <w:bCs/>
          <w:sz w:val="24"/>
          <w:szCs w:val="24"/>
        </w:rPr>
        <w:t xml:space="preserve"> </w:t>
      </w:r>
      <w:r w:rsidR="002A39D4" w:rsidRPr="00D74E8E">
        <w:rPr>
          <w:bCs/>
          <w:sz w:val="24"/>
          <w:szCs w:val="24"/>
        </w:rPr>
        <w:t>The Basic Format Table</w:t>
      </w:r>
      <w:r w:rsidR="008A0B18" w:rsidRPr="00D74E8E">
        <w:rPr>
          <w:bCs/>
          <w:sz w:val="24"/>
          <w:szCs w:val="24"/>
        </w:rPr>
        <w:t xml:space="preserve"> (Table 1)</w:t>
      </w:r>
      <w:r w:rsidR="002A39D4" w:rsidRPr="00D74E8E">
        <w:rPr>
          <w:bCs/>
          <w:sz w:val="24"/>
          <w:szCs w:val="24"/>
        </w:rPr>
        <w:t xml:space="preserve"> denotes the content for positions 1-12 that is included in each of the remaining tables:</w:t>
      </w:r>
      <w:r w:rsidR="008A0B18" w:rsidRPr="00D74E8E">
        <w:rPr>
          <w:bCs/>
          <w:sz w:val="24"/>
          <w:szCs w:val="24"/>
        </w:rPr>
        <w:t xml:space="preserve"> 2</w:t>
      </w:r>
      <w:r w:rsidR="00515062" w:rsidRPr="00D74E8E">
        <w:rPr>
          <w:bCs/>
          <w:sz w:val="24"/>
          <w:szCs w:val="24"/>
        </w:rPr>
        <w:t xml:space="preserve">) </w:t>
      </w:r>
      <w:r w:rsidR="00FA6DA2" w:rsidRPr="00D74E8E">
        <w:rPr>
          <w:bCs/>
          <w:sz w:val="24"/>
          <w:szCs w:val="24"/>
        </w:rPr>
        <w:t xml:space="preserve">Address Table; </w:t>
      </w:r>
      <w:r w:rsidR="00D35FF9" w:rsidRPr="00D74E8E">
        <w:rPr>
          <w:bCs/>
          <w:sz w:val="24"/>
          <w:szCs w:val="24"/>
        </w:rPr>
        <w:t xml:space="preserve">3) </w:t>
      </w:r>
      <w:r w:rsidR="00FA6DA2" w:rsidRPr="00D74E8E">
        <w:rPr>
          <w:bCs/>
          <w:sz w:val="24"/>
          <w:szCs w:val="24"/>
        </w:rPr>
        <w:t>Child</w:t>
      </w:r>
      <w:r w:rsidR="002E3FD8" w:rsidRPr="00D74E8E">
        <w:rPr>
          <w:bCs/>
          <w:sz w:val="24"/>
          <w:szCs w:val="24"/>
        </w:rPr>
        <w:t xml:space="preserve"> Table</w:t>
      </w:r>
      <w:r w:rsidR="007A4066" w:rsidRPr="00D74E8E">
        <w:rPr>
          <w:bCs/>
          <w:sz w:val="24"/>
          <w:szCs w:val="24"/>
        </w:rPr>
        <w:t xml:space="preserve"> (one record per patient)</w:t>
      </w:r>
      <w:r w:rsidR="002E3FD8" w:rsidRPr="00D74E8E">
        <w:rPr>
          <w:bCs/>
          <w:sz w:val="24"/>
          <w:szCs w:val="24"/>
        </w:rPr>
        <w:t xml:space="preserve">; </w:t>
      </w:r>
      <w:r w:rsidR="008A0B18" w:rsidRPr="00D74E8E">
        <w:rPr>
          <w:bCs/>
          <w:sz w:val="24"/>
          <w:szCs w:val="24"/>
        </w:rPr>
        <w:t>4</w:t>
      </w:r>
      <w:r w:rsidR="002E3FD8" w:rsidRPr="00D74E8E">
        <w:rPr>
          <w:bCs/>
          <w:sz w:val="24"/>
          <w:szCs w:val="24"/>
        </w:rPr>
        <w:t>)</w:t>
      </w:r>
      <w:r w:rsidR="00C029FF" w:rsidRPr="00D74E8E">
        <w:rPr>
          <w:bCs/>
          <w:sz w:val="24"/>
          <w:szCs w:val="24"/>
        </w:rPr>
        <w:t xml:space="preserve"> </w:t>
      </w:r>
      <w:r w:rsidR="002E3FD8" w:rsidRPr="00D74E8E">
        <w:rPr>
          <w:bCs/>
          <w:sz w:val="24"/>
          <w:szCs w:val="24"/>
        </w:rPr>
        <w:t>Environmental Investigation Table</w:t>
      </w:r>
      <w:r w:rsidR="00287AF4" w:rsidRPr="00D74E8E">
        <w:rPr>
          <w:bCs/>
          <w:sz w:val="24"/>
          <w:szCs w:val="24"/>
        </w:rPr>
        <w:t xml:space="preserve"> (not systematically reported by all CLPPPs, due to </w:t>
      </w:r>
      <w:r w:rsidR="00A173C1" w:rsidRPr="00D74E8E">
        <w:rPr>
          <w:bCs/>
          <w:sz w:val="24"/>
          <w:szCs w:val="24"/>
        </w:rPr>
        <w:t>differences in</w:t>
      </w:r>
      <w:r w:rsidR="00CC3F59" w:rsidRPr="00D74E8E">
        <w:rPr>
          <w:bCs/>
          <w:sz w:val="24"/>
          <w:szCs w:val="24"/>
        </w:rPr>
        <w:t xml:space="preserve"> </w:t>
      </w:r>
      <w:r w:rsidR="00325EAE" w:rsidRPr="00D74E8E">
        <w:rPr>
          <w:bCs/>
          <w:sz w:val="24"/>
          <w:szCs w:val="24"/>
        </w:rPr>
        <w:t xml:space="preserve">program and </w:t>
      </w:r>
      <w:r w:rsidR="00CC3F59" w:rsidRPr="00D74E8E">
        <w:rPr>
          <w:bCs/>
          <w:sz w:val="24"/>
          <w:szCs w:val="24"/>
        </w:rPr>
        <w:t>system design</w:t>
      </w:r>
      <w:r w:rsidR="00A173C1" w:rsidRPr="00D74E8E">
        <w:rPr>
          <w:bCs/>
          <w:sz w:val="24"/>
          <w:szCs w:val="24"/>
        </w:rPr>
        <w:t xml:space="preserve"> across jurisdictions</w:t>
      </w:r>
      <w:r w:rsidR="00287AF4" w:rsidRPr="00D74E8E">
        <w:rPr>
          <w:bCs/>
          <w:sz w:val="24"/>
          <w:szCs w:val="24"/>
        </w:rPr>
        <w:t>)</w:t>
      </w:r>
      <w:r w:rsidR="002E3FD8" w:rsidRPr="00D74E8E">
        <w:rPr>
          <w:bCs/>
          <w:sz w:val="24"/>
          <w:szCs w:val="24"/>
        </w:rPr>
        <w:t xml:space="preserve">; </w:t>
      </w:r>
      <w:r w:rsidR="00C029FF" w:rsidRPr="00D74E8E">
        <w:rPr>
          <w:bCs/>
          <w:sz w:val="24"/>
          <w:szCs w:val="24"/>
        </w:rPr>
        <w:t>5) Blood Lead Test R</w:t>
      </w:r>
      <w:r w:rsidR="00571278" w:rsidRPr="00D74E8E">
        <w:rPr>
          <w:bCs/>
          <w:sz w:val="24"/>
          <w:szCs w:val="24"/>
        </w:rPr>
        <w:t>esult Table (can have</w:t>
      </w:r>
      <w:r w:rsidR="00C029FF" w:rsidRPr="00D74E8E">
        <w:rPr>
          <w:bCs/>
          <w:sz w:val="24"/>
          <w:szCs w:val="24"/>
        </w:rPr>
        <w:t xml:space="preserve"> more than one record per patient with multiple tests); </w:t>
      </w:r>
      <w:r w:rsidR="002E3FD8" w:rsidRPr="00D74E8E">
        <w:rPr>
          <w:bCs/>
          <w:sz w:val="24"/>
          <w:szCs w:val="24"/>
        </w:rPr>
        <w:t xml:space="preserve">and </w:t>
      </w:r>
      <w:r w:rsidR="008A0B18" w:rsidRPr="00D74E8E">
        <w:rPr>
          <w:bCs/>
          <w:sz w:val="24"/>
          <w:szCs w:val="24"/>
        </w:rPr>
        <w:t>6</w:t>
      </w:r>
      <w:r w:rsidR="002E3FD8" w:rsidRPr="00D74E8E">
        <w:rPr>
          <w:bCs/>
          <w:sz w:val="24"/>
          <w:szCs w:val="24"/>
        </w:rPr>
        <w:t xml:space="preserve">) </w:t>
      </w:r>
      <w:r w:rsidR="00C6511F" w:rsidRPr="00D74E8E">
        <w:rPr>
          <w:bCs/>
          <w:sz w:val="24"/>
          <w:szCs w:val="24"/>
        </w:rPr>
        <w:t>Child</w:t>
      </w:r>
      <w:r w:rsidR="00FD6178" w:rsidRPr="00D74E8E">
        <w:rPr>
          <w:bCs/>
          <w:sz w:val="24"/>
          <w:szCs w:val="24"/>
        </w:rPr>
        <w:t xml:space="preserve">-to-Address </w:t>
      </w:r>
      <w:r w:rsidR="002E3FD8" w:rsidRPr="00D74E8E">
        <w:rPr>
          <w:bCs/>
          <w:sz w:val="24"/>
          <w:szCs w:val="24"/>
        </w:rPr>
        <w:t>Link</w:t>
      </w:r>
      <w:r w:rsidR="00AB4915" w:rsidRPr="00D74E8E">
        <w:rPr>
          <w:bCs/>
          <w:sz w:val="24"/>
          <w:szCs w:val="24"/>
        </w:rPr>
        <w:t>ing</w:t>
      </w:r>
      <w:r w:rsidR="002E3FD8" w:rsidRPr="00D74E8E">
        <w:rPr>
          <w:bCs/>
          <w:sz w:val="24"/>
          <w:szCs w:val="24"/>
        </w:rPr>
        <w:t xml:space="preserve"> Table</w:t>
      </w:r>
      <w:r w:rsidR="00801258" w:rsidRPr="00D74E8E">
        <w:rPr>
          <w:bCs/>
          <w:sz w:val="24"/>
          <w:szCs w:val="24"/>
        </w:rPr>
        <w:t xml:space="preserve"> (optional)</w:t>
      </w:r>
      <w:r w:rsidR="007A4066" w:rsidRPr="00D74E8E">
        <w:rPr>
          <w:bCs/>
          <w:sz w:val="24"/>
          <w:szCs w:val="24"/>
        </w:rPr>
        <w:t>.</w:t>
      </w:r>
      <w:r w:rsidR="00DD30EF" w:rsidRPr="00D74E8E">
        <w:rPr>
          <w:bCs/>
          <w:sz w:val="24"/>
          <w:szCs w:val="24"/>
        </w:rPr>
        <w:t xml:space="preserve"> </w:t>
      </w:r>
      <w:r w:rsidR="000B363E" w:rsidRPr="00D74E8E">
        <w:rPr>
          <w:bCs/>
          <w:sz w:val="24"/>
          <w:szCs w:val="24"/>
        </w:rPr>
        <w:t>Each table has one or more key variables that can be used to join/merge the data between multiple tables</w:t>
      </w:r>
      <w:r w:rsidR="00DD30EF" w:rsidRPr="00D74E8E">
        <w:rPr>
          <w:bCs/>
          <w:sz w:val="24"/>
          <w:szCs w:val="24"/>
        </w:rPr>
        <w:t xml:space="preserve">. Three important linking variables are: 1) </w:t>
      </w:r>
      <w:r w:rsidR="000B363E" w:rsidRPr="00D74E8E">
        <w:rPr>
          <w:bCs/>
          <w:sz w:val="24"/>
          <w:szCs w:val="24"/>
        </w:rPr>
        <w:t>Program ID</w:t>
      </w:r>
      <w:r w:rsidR="00DD30EF" w:rsidRPr="00D74E8E">
        <w:rPr>
          <w:bCs/>
          <w:sz w:val="24"/>
          <w:szCs w:val="24"/>
        </w:rPr>
        <w:t xml:space="preserve"> – identifies the awardee jurisdiction; 2) </w:t>
      </w:r>
      <w:r w:rsidR="007C7A53" w:rsidRPr="00D74E8E">
        <w:rPr>
          <w:bCs/>
          <w:sz w:val="24"/>
          <w:szCs w:val="24"/>
        </w:rPr>
        <w:t>Child</w:t>
      </w:r>
      <w:r w:rsidR="000B363E" w:rsidRPr="00D74E8E">
        <w:rPr>
          <w:bCs/>
          <w:sz w:val="24"/>
          <w:szCs w:val="24"/>
        </w:rPr>
        <w:t xml:space="preserve"> ID</w:t>
      </w:r>
      <w:r w:rsidR="00DD30EF" w:rsidRPr="00D74E8E">
        <w:rPr>
          <w:bCs/>
          <w:sz w:val="24"/>
          <w:szCs w:val="24"/>
        </w:rPr>
        <w:t xml:space="preserve">; and 3) </w:t>
      </w:r>
      <w:r w:rsidR="000B363E" w:rsidRPr="00D74E8E">
        <w:rPr>
          <w:bCs/>
          <w:sz w:val="24"/>
          <w:szCs w:val="24"/>
        </w:rPr>
        <w:t>Address ID</w:t>
      </w:r>
      <w:r w:rsidR="00DD30EF" w:rsidRPr="00D74E8E">
        <w:rPr>
          <w:bCs/>
          <w:sz w:val="24"/>
          <w:szCs w:val="24"/>
        </w:rPr>
        <w:t>, which may be used to create a unique ID per patient or per address.</w:t>
      </w:r>
      <w:r w:rsidR="000101AC" w:rsidRPr="00D74E8E">
        <w:rPr>
          <w:bCs/>
          <w:sz w:val="24"/>
          <w:szCs w:val="24"/>
        </w:rPr>
        <w:t xml:space="preserve"> </w:t>
      </w:r>
      <w:r w:rsidR="000101AC" w:rsidRPr="00D74E8E">
        <w:rPr>
          <w:b/>
          <w:bCs/>
          <w:sz w:val="24"/>
          <w:szCs w:val="24"/>
        </w:rPr>
        <w:t xml:space="preserve">Attachment 5a </w:t>
      </w:r>
      <w:r w:rsidR="000101AC" w:rsidRPr="00D74E8E">
        <w:rPr>
          <w:bCs/>
          <w:sz w:val="24"/>
          <w:szCs w:val="24"/>
        </w:rPr>
        <w:t>provides the required data format for CBLS reporting.</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D5A61" w14:paraId="2A3A03F7" w14:textId="77777777" w:rsidTr="00E20628">
        <w:tc>
          <w:tcPr>
            <w:tcW w:w="9350" w:type="dxa"/>
            <w:gridSpan w:val="6"/>
          </w:tcPr>
          <w:p w14:paraId="0E533C39" w14:textId="753A27A5" w:rsidR="006D5A61" w:rsidRDefault="006D5A61" w:rsidP="006D5A61">
            <w:pPr>
              <w:spacing w:after="240"/>
              <w:rPr>
                <w:bCs/>
                <w:sz w:val="24"/>
                <w:szCs w:val="24"/>
              </w:rPr>
            </w:pPr>
            <w:r w:rsidRPr="00D74E8E">
              <w:rPr>
                <w:rFonts w:cstheme="minorHAnsi"/>
                <w:b/>
                <w:sz w:val="24"/>
                <w:szCs w:val="24"/>
              </w:rPr>
              <w:t>Table A.10.1. Sample of Quarterly Text File Information Received by Table</w:t>
            </w:r>
          </w:p>
        </w:tc>
      </w:tr>
      <w:tr w:rsidR="006D5A61" w14:paraId="024273CC" w14:textId="77777777" w:rsidTr="00291CBC">
        <w:tc>
          <w:tcPr>
            <w:tcW w:w="1558" w:type="dxa"/>
            <w:tcBorders>
              <w:top w:val="single" w:sz="4" w:space="0" w:color="auto"/>
              <w:left w:val="single" w:sz="4" w:space="0" w:color="auto"/>
              <w:bottom w:val="nil"/>
              <w:right w:val="single" w:sz="4" w:space="0" w:color="auto"/>
            </w:tcBorders>
          </w:tcPr>
          <w:p w14:paraId="0EB6E97C" w14:textId="77777777" w:rsidR="006D5A61" w:rsidRDefault="006D5A61" w:rsidP="006D5A61">
            <w:pPr>
              <w:spacing w:after="240"/>
              <w:rPr>
                <w:bCs/>
                <w:sz w:val="24"/>
                <w:szCs w:val="24"/>
              </w:rPr>
            </w:pPr>
          </w:p>
        </w:tc>
        <w:tc>
          <w:tcPr>
            <w:tcW w:w="7792" w:type="dxa"/>
            <w:gridSpan w:val="5"/>
            <w:tcBorders>
              <w:left w:val="single" w:sz="4" w:space="0" w:color="auto"/>
            </w:tcBorders>
            <w:vAlign w:val="center"/>
          </w:tcPr>
          <w:p w14:paraId="4A74EA04" w14:textId="57EFC994" w:rsidR="006D5A61" w:rsidRDefault="006D5A61" w:rsidP="00291CBC">
            <w:pPr>
              <w:spacing w:after="240"/>
              <w:jc w:val="center"/>
              <w:rPr>
                <w:bCs/>
                <w:sz w:val="24"/>
                <w:szCs w:val="24"/>
              </w:rPr>
            </w:pPr>
            <w:r w:rsidRPr="00D74E8E">
              <w:rPr>
                <w:b/>
                <w:bCs/>
                <w:sz w:val="20"/>
                <w:szCs w:val="20"/>
              </w:rPr>
              <w:t>Positions 1-20 Table Links and All Else in Positions 21-109</w:t>
            </w:r>
          </w:p>
        </w:tc>
      </w:tr>
      <w:tr w:rsidR="006D5A61" w14:paraId="49BEB561" w14:textId="77777777" w:rsidTr="00291CBC">
        <w:tc>
          <w:tcPr>
            <w:tcW w:w="1558" w:type="dxa"/>
            <w:tcBorders>
              <w:top w:val="nil"/>
              <w:left w:val="single" w:sz="4" w:space="0" w:color="auto"/>
              <w:bottom w:val="single" w:sz="4" w:space="0" w:color="auto"/>
              <w:right w:val="single" w:sz="4" w:space="0" w:color="auto"/>
            </w:tcBorders>
          </w:tcPr>
          <w:p w14:paraId="4A611281" w14:textId="68011134" w:rsidR="00291CBC" w:rsidRPr="00291CBC" w:rsidRDefault="006D5A61" w:rsidP="006D5A61">
            <w:pPr>
              <w:spacing w:after="240"/>
              <w:rPr>
                <w:b/>
                <w:bCs/>
                <w:sz w:val="20"/>
                <w:szCs w:val="20"/>
              </w:rPr>
            </w:pPr>
            <w:r w:rsidRPr="00291CBC">
              <w:rPr>
                <w:b/>
                <w:bCs/>
                <w:sz w:val="20"/>
                <w:szCs w:val="20"/>
              </w:rPr>
              <w:t>Basic Format</w:t>
            </w:r>
          </w:p>
          <w:p w14:paraId="0BFDF1F4" w14:textId="77777777" w:rsidR="006D5A61" w:rsidRPr="00291CBC" w:rsidRDefault="006D5A61" w:rsidP="00291CBC">
            <w:pPr>
              <w:jc w:val="center"/>
              <w:rPr>
                <w:b/>
                <w:sz w:val="20"/>
                <w:szCs w:val="20"/>
              </w:rPr>
            </w:pPr>
          </w:p>
        </w:tc>
        <w:tc>
          <w:tcPr>
            <w:tcW w:w="1558" w:type="dxa"/>
            <w:tcBorders>
              <w:left w:val="single" w:sz="4" w:space="0" w:color="auto"/>
            </w:tcBorders>
            <w:vAlign w:val="center"/>
          </w:tcPr>
          <w:p w14:paraId="296ABE24" w14:textId="77777777" w:rsidR="006D5A61" w:rsidRPr="00291CBC" w:rsidRDefault="006D5A61" w:rsidP="00291CBC">
            <w:pPr>
              <w:jc w:val="center"/>
              <w:rPr>
                <w:b/>
                <w:bCs/>
                <w:sz w:val="20"/>
                <w:szCs w:val="20"/>
              </w:rPr>
            </w:pPr>
            <w:r w:rsidRPr="00291CBC">
              <w:rPr>
                <w:b/>
                <w:bCs/>
                <w:sz w:val="20"/>
                <w:szCs w:val="20"/>
              </w:rPr>
              <w:t>(Table 1)</w:t>
            </w:r>
          </w:p>
          <w:p w14:paraId="7F0D23B8" w14:textId="77777777" w:rsidR="006D5A61" w:rsidRPr="00291CBC" w:rsidRDefault="006D5A61" w:rsidP="00291CBC">
            <w:pPr>
              <w:jc w:val="center"/>
              <w:rPr>
                <w:b/>
                <w:bCs/>
                <w:sz w:val="20"/>
                <w:szCs w:val="20"/>
              </w:rPr>
            </w:pPr>
            <w:r w:rsidRPr="00291CBC">
              <w:rPr>
                <w:b/>
                <w:bCs/>
                <w:sz w:val="20"/>
                <w:szCs w:val="20"/>
              </w:rPr>
              <w:t>Child</w:t>
            </w:r>
          </w:p>
          <w:p w14:paraId="090FBDF4" w14:textId="36205656" w:rsidR="006D5A61" w:rsidRPr="00291CBC" w:rsidRDefault="006D5A61" w:rsidP="00291CBC">
            <w:pPr>
              <w:spacing w:after="240"/>
              <w:jc w:val="center"/>
              <w:rPr>
                <w:bCs/>
                <w:sz w:val="20"/>
                <w:szCs w:val="20"/>
              </w:rPr>
            </w:pPr>
            <w:r w:rsidRPr="00291CBC">
              <w:rPr>
                <w:b/>
                <w:bCs/>
                <w:sz w:val="20"/>
                <w:szCs w:val="20"/>
              </w:rPr>
              <w:t>(File ID - CHI)</w:t>
            </w:r>
          </w:p>
        </w:tc>
        <w:tc>
          <w:tcPr>
            <w:tcW w:w="1558" w:type="dxa"/>
            <w:vAlign w:val="center"/>
          </w:tcPr>
          <w:p w14:paraId="119CEAE6" w14:textId="77777777" w:rsidR="006D5A61" w:rsidRPr="00291CBC" w:rsidRDefault="006D5A61" w:rsidP="00291CBC">
            <w:pPr>
              <w:jc w:val="center"/>
              <w:rPr>
                <w:b/>
                <w:bCs/>
                <w:sz w:val="20"/>
                <w:szCs w:val="20"/>
              </w:rPr>
            </w:pPr>
            <w:r w:rsidRPr="00291CBC">
              <w:rPr>
                <w:b/>
                <w:bCs/>
                <w:sz w:val="20"/>
                <w:szCs w:val="20"/>
              </w:rPr>
              <w:t>(Table 2)</w:t>
            </w:r>
          </w:p>
          <w:p w14:paraId="4BEC423C" w14:textId="77777777" w:rsidR="006D5A61" w:rsidRPr="00291CBC" w:rsidRDefault="006D5A61" w:rsidP="00291CBC">
            <w:pPr>
              <w:jc w:val="center"/>
              <w:rPr>
                <w:b/>
                <w:bCs/>
                <w:sz w:val="20"/>
                <w:szCs w:val="20"/>
              </w:rPr>
            </w:pPr>
            <w:r w:rsidRPr="00291CBC">
              <w:rPr>
                <w:b/>
                <w:bCs/>
                <w:sz w:val="20"/>
                <w:szCs w:val="20"/>
              </w:rPr>
              <w:t>Address</w:t>
            </w:r>
          </w:p>
          <w:p w14:paraId="3BF6F103" w14:textId="41B5D8FB" w:rsidR="006D5A61" w:rsidRPr="00291CBC" w:rsidRDefault="006D5A61" w:rsidP="00291CBC">
            <w:pPr>
              <w:spacing w:after="240"/>
              <w:jc w:val="center"/>
              <w:rPr>
                <w:bCs/>
                <w:sz w:val="20"/>
                <w:szCs w:val="20"/>
              </w:rPr>
            </w:pPr>
            <w:r w:rsidRPr="00291CBC">
              <w:rPr>
                <w:b/>
                <w:bCs/>
                <w:sz w:val="20"/>
                <w:szCs w:val="20"/>
              </w:rPr>
              <w:t>(File ID – ADD)</w:t>
            </w:r>
          </w:p>
        </w:tc>
        <w:tc>
          <w:tcPr>
            <w:tcW w:w="1558" w:type="dxa"/>
            <w:vAlign w:val="center"/>
          </w:tcPr>
          <w:p w14:paraId="7851DF36" w14:textId="77777777" w:rsidR="006D5A61" w:rsidRPr="00291CBC" w:rsidRDefault="006D5A61" w:rsidP="00291CBC">
            <w:pPr>
              <w:jc w:val="center"/>
              <w:rPr>
                <w:b/>
                <w:bCs/>
                <w:sz w:val="20"/>
                <w:szCs w:val="20"/>
              </w:rPr>
            </w:pPr>
            <w:r w:rsidRPr="00291CBC">
              <w:rPr>
                <w:b/>
                <w:bCs/>
                <w:sz w:val="20"/>
                <w:szCs w:val="20"/>
              </w:rPr>
              <w:t>(Table 3)</w:t>
            </w:r>
          </w:p>
          <w:p w14:paraId="77ED0623" w14:textId="77777777" w:rsidR="006D5A61" w:rsidRPr="00291CBC" w:rsidRDefault="006D5A61" w:rsidP="00291CBC">
            <w:pPr>
              <w:jc w:val="center"/>
              <w:rPr>
                <w:b/>
                <w:bCs/>
                <w:sz w:val="20"/>
                <w:szCs w:val="20"/>
              </w:rPr>
            </w:pPr>
            <w:r w:rsidRPr="00291CBC">
              <w:rPr>
                <w:b/>
                <w:bCs/>
                <w:sz w:val="20"/>
                <w:szCs w:val="20"/>
              </w:rPr>
              <w:t>Lab Results</w:t>
            </w:r>
          </w:p>
          <w:p w14:paraId="0B88E2D9" w14:textId="5B115FBA" w:rsidR="006D5A61" w:rsidRPr="00291CBC" w:rsidRDefault="006D5A61" w:rsidP="00291CBC">
            <w:pPr>
              <w:spacing w:after="240"/>
              <w:jc w:val="center"/>
              <w:rPr>
                <w:bCs/>
                <w:sz w:val="20"/>
                <w:szCs w:val="20"/>
              </w:rPr>
            </w:pPr>
            <w:r w:rsidRPr="00291CBC">
              <w:rPr>
                <w:b/>
                <w:bCs/>
                <w:sz w:val="20"/>
                <w:szCs w:val="20"/>
              </w:rPr>
              <w:t>(File ID – LAB)</w:t>
            </w:r>
          </w:p>
        </w:tc>
        <w:tc>
          <w:tcPr>
            <w:tcW w:w="1559" w:type="dxa"/>
            <w:vAlign w:val="center"/>
          </w:tcPr>
          <w:p w14:paraId="44925BE1" w14:textId="77777777" w:rsidR="006D5A61" w:rsidRPr="00291CBC" w:rsidRDefault="006D5A61" w:rsidP="00291CBC">
            <w:pPr>
              <w:jc w:val="center"/>
              <w:rPr>
                <w:b/>
                <w:bCs/>
                <w:sz w:val="20"/>
                <w:szCs w:val="20"/>
              </w:rPr>
            </w:pPr>
            <w:r w:rsidRPr="00291CBC">
              <w:rPr>
                <w:b/>
                <w:bCs/>
                <w:sz w:val="20"/>
                <w:szCs w:val="20"/>
              </w:rPr>
              <w:t>(Table 4)</w:t>
            </w:r>
          </w:p>
          <w:p w14:paraId="3DDBA380" w14:textId="77777777" w:rsidR="006D5A61" w:rsidRPr="00291CBC" w:rsidRDefault="006D5A61" w:rsidP="00291CBC">
            <w:pPr>
              <w:jc w:val="center"/>
              <w:rPr>
                <w:b/>
                <w:bCs/>
                <w:sz w:val="20"/>
                <w:szCs w:val="20"/>
              </w:rPr>
            </w:pPr>
            <w:r w:rsidRPr="00291CBC">
              <w:rPr>
                <w:b/>
                <w:bCs/>
                <w:sz w:val="20"/>
                <w:szCs w:val="20"/>
              </w:rPr>
              <w:t>Investigation</w:t>
            </w:r>
          </w:p>
          <w:p w14:paraId="1D7361BF" w14:textId="2E1C3A65" w:rsidR="006D5A61" w:rsidRPr="00291CBC" w:rsidRDefault="006D5A61" w:rsidP="00291CBC">
            <w:pPr>
              <w:spacing w:after="240"/>
              <w:jc w:val="center"/>
              <w:rPr>
                <w:bCs/>
                <w:sz w:val="20"/>
                <w:szCs w:val="20"/>
              </w:rPr>
            </w:pPr>
            <w:r w:rsidRPr="00291CBC">
              <w:rPr>
                <w:b/>
                <w:bCs/>
                <w:sz w:val="20"/>
                <w:szCs w:val="20"/>
              </w:rPr>
              <w:t>(File ID - INV)</w:t>
            </w:r>
          </w:p>
        </w:tc>
        <w:tc>
          <w:tcPr>
            <w:tcW w:w="1559" w:type="dxa"/>
            <w:vAlign w:val="center"/>
          </w:tcPr>
          <w:p w14:paraId="0BF906D1" w14:textId="77777777" w:rsidR="006D5A61" w:rsidRPr="00291CBC" w:rsidRDefault="006D5A61" w:rsidP="00291CBC">
            <w:pPr>
              <w:jc w:val="center"/>
              <w:rPr>
                <w:b/>
                <w:bCs/>
                <w:sz w:val="20"/>
                <w:szCs w:val="20"/>
              </w:rPr>
            </w:pPr>
            <w:r w:rsidRPr="00291CBC">
              <w:rPr>
                <w:b/>
                <w:bCs/>
                <w:sz w:val="20"/>
                <w:szCs w:val="20"/>
              </w:rPr>
              <w:t>(Table 5)</w:t>
            </w:r>
          </w:p>
          <w:p w14:paraId="6B873665" w14:textId="77777777" w:rsidR="006D5A61" w:rsidRPr="00291CBC" w:rsidRDefault="006D5A61" w:rsidP="00291CBC">
            <w:pPr>
              <w:jc w:val="center"/>
              <w:rPr>
                <w:b/>
                <w:bCs/>
                <w:sz w:val="20"/>
                <w:szCs w:val="20"/>
              </w:rPr>
            </w:pPr>
            <w:r w:rsidRPr="00291CBC">
              <w:rPr>
                <w:b/>
                <w:bCs/>
                <w:sz w:val="20"/>
                <w:szCs w:val="20"/>
              </w:rPr>
              <w:t>Child-to-Address Link (optional)</w:t>
            </w:r>
          </w:p>
          <w:p w14:paraId="6E7997BA" w14:textId="3D3EC2EB" w:rsidR="006D5A61" w:rsidRPr="00291CBC" w:rsidRDefault="006D5A61" w:rsidP="00291CBC">
            <w:pPr>
              <w:spacing w:after="240"/>
              <w:jc w:val="center"/>
              <w:rPr>
                <w:bCs/>
                <w:sz w:val="20"/>
                <w:szCs w:val="20"/>
              </w:rPr>
            </w:pPr>
            <w:r w:rsidRPr="00291CBC">
              <w:rPr>
                <w:b/>
                <w:bCs/>
                <w:sz w:val="20"/>
                <w:szCs w:val="20"/>
              </w:rPr>
              <w:t>(File ID – LNK)</w:t>
            </w:r>
          </w:p>
        </w:tc>
      </w:tr>
      <w:tr w:rsidR="006D5A61" w14:paraId="3D56D3A9" w14:textId="77777777" w:rsidTr="006D5A61">
        <w:tc>
          <w:tcPr>
            <w:tcW w:w="1558" w:type="dxa"/>
            <w:tcBorders>
              <w:top w:val="single" w:sz="4" w:space="0" w:color="auto"/>
            </w:tcBorders>
          </w:tcPr>
          <w:p w14:paraId="2CE33A8A" w14:textId="77777777" w:rsidR="006D5A61" w:rsidRPr="00291CBC" w:rsidRDefault="006D5A61" w:rsidP="006D5A61">
            <w:pPr>
              <w:spacing w:after="60"/>
              <w:rPr>
                <w:bCs/>
                <w:sz w:val="20"/>
                <w:szCs w:val="20"/>
                <w:u w:val="single"/>
              </w:rPr>
            </w:pPr>
            <w:r w:rsidRPr="00291CBC">
              <w:rPr>
                <w:bCs/>
                <w:sz w:val="20"/>
                <w:szCs w:val="20"/>
                <w:u w:val="single"/>
              </w:rPr>
              <w:t>Positions 1-12*</w:t>
            </w:r>
          </w:p>
          <w:p w14:paraId="24498D89" w14:textId="77777777" w:rsidR="006D5A61" w:rsidRPr="00291CBC" w:rsidRDefault="006D5A61" w:rsidP="006D5A61">
            <w:pPr>
              <w:spacing w:after="60"/>
              <w:rPr>
                <w:bCs/>
                <w:sz w:val="20"/>
                <w:szCs w:val="20"/>
              </w:rPr>
            </w:pPr>
            <w:r w:rsidRPr="00291CBC">
              <w:rPr>
                <w:bCs/>
                <w:sz w:val="20"/>
                <w:szCs w:val="20"/>
              </w:rPr>
              <w:t>File ID*</w:t>
            </w:r>
          </w:p>
          <w:p w14:paraId="34C78C99" w14:textId="77777777" w:rsidR="006D5A61" w:rsidRPr="00291CBC" w:rsidRDefault="006D5A61" w:rsidP="006D5A61">
            <w:pPr>
              <w:spacing w:after="60"/>
              <w:rPr>
                <w:bCs/>
                <w:sz w:val="20"/>
                <w:szCs w:val="20"/>
              </w:rPr>
            </w:pPr>
            <w:r w:rsidRPr="00291CBC">
              <w:rPr>
                <w:bCs/>
                <w:sz w:val="20"/>
                <w:szCs w:val="20"/>
              </w:rPr>
              <w:t>Reporting Quarter*</w:t>
            </w:r>
          </w:p>
          <w:p w14:paraId="66699C87" w14:textId="77777777" w:rsidR="006D5A61" w:rsidRPr="00291CBC" w:rsidRDefault="006D5A61" w:rsidP="006D5A61">
            <w:pPr>
              <w:spacing w:after="60"/>
              <w:rPr>
                <w:bCs/>
                <w:sz w:val="20"/>
                <w:szCs w:val="20"/>
              </w:rPr>
            </w:pPr>
            <w:r w:rsidRPr="00291CBC">
              <w:rPr>
                <w:bCs/>
                <w:sz w:val="20"/>
                <w:szCs w:val="20"/>
              </w:rPr>
              <w:t>Reporting Year*</w:t>
            </w:r>
          </w:p>
          <w:p w14:paraId="7CA6C3CD" w14:textId="77777777" w:rsidR="006D5A61" w:rsidRPr="00291CBC" w:rsidRDefault="006D5A61" w:rsidP="006D5A61">
            <w:pPr>
              <w:spacing w:after="60"/>
              <w:rPr>
                <w:bCs/>
                <w:sz w:val="20"/>
                <w:szCs w:val="20"/>
              </w:rPr>
            </w:pPr>
            <w:r w:rsidRPr="00291CBC">
              <w:rPr>
                <w:bCs/>
                <w:sz w:val="20"/>
                <w:szCs w:val="20"/>
              </w:rPr>
              <w:t>Program ID*</w:t>
            </w:r>
          </w:p>
          <w:p w14:paraId="24B28ABB" w14:textId="77777777" w:rsidR="006D5A61" w:rsidRPr="00291CBC" w:rsidRDefault="006D5A61" w:rsidP="006D5A61">
            <w:pPr>
              <w:spacing w:after="60"/>
              <w:rPr>
                <w:bCs/>
                <w:sz w:val="20"/>
                <w:szCs w:val="20"/>
              </w:rPr>
            </w:pPr>
          </w:p>
          <w:p w14:paraId="7080FA21" w14:textId="77777777" w:rsidR="006D5A61" w:rsidRPr="00291CBC" w:rsidRDefault="006D5A61" w:rsidP="006D5A61">
            <w:pPr>
              <w:spacing w:after="60"/>
              <w:rPr>
                <w:bCs/>
                <w:sz w:val="20"/>
                <w:szCs w:val="20"/>
                <w:u w:val="single"/>
                <w:vertAlign w:val="superscript"/>
              </w:rPr>
            </w:pPr>
            <w:r w:rsidRPr="00291CBC">
              <w:rPr>
                <w:bCs/>
                <w:sz w:val="20"/>
                <w:szCs w:val="20"/>
                <w:u w:val="single"/>
              </w:rPr>
              <w:t>Positions 13-20</w:t>
            </w:r>
            <w:r w:rsidRPr="00291CBC">
              <w:rPr>
                <w:bCs/>
                <w:sz w:val="20"/>
                <w:szCs w:val="20"/>
                <w:u w:val="single"/>
                <w:vertAlign w:val="superscript"/>
              </w:rPr>
              <w:t>†</w:t>
            </w:r>
          </w:p>
          <w:p w14:paraId="1F08A7CC" w14:textId="77777777" w:rsidR="006D5A61" w:rsidRPr="00291CBC" w:rsidRDefault="006D5A61" w:rsidP="006D5A61">
            <w:pPr>
              <w:spacing w:after="60"/>
              <w:rPr>
                <w:bCs/>
                <w:sz w:val="20"/>
                <w:szCs w:val="20"/>
              </w:rPr>
            </w:pPr>
            <w:r w:rsidRPr="00291CBC">
              <w:rPr>
                <w:bCs/>
                <w:sz w:val="20"/>
                <w:szCs w:val="20"/>
              </w:rPr>
              <w:t>Child ID*</w:t>
            </w:r>
          </w:p>
          <w:p w14:paraId="2A19EE7D" w14:textId="77777777" w:rsidR="006D5A61" w:rsidRPr="00291CBC" w:rsidRDefault="006D5A61" w:rsidP="006D5A61">
            <w:pPr>
              <w:spacing w:after="60"/>
              <w:rPr>
                <w:bCs/>
                <w:sz w:val="20"/>
                <w:szCs w:val="20"/>
              </w:rPr>
            </w:pPr>
            <w:r w:rsidRPr="00291CBC">
              <w:rPr>
                <w:bCs/>
                <w:sz w:val="20"/>
                <w:szCs w:val="20"/>
              </w:rPr>
              <w:t>or</w:t>
            </w:r>
          </w:p>
          <w:p w14:paraId="3FDEFFC9" w14:textId="77777777" w:rsidR="006D5A61" w:rsidRPr="00291CBC" w:rsidRDefault="006D5A61" w:rsidP="006D5A61">
            <w:pPr>
              <w:spacing w:after="60"/>
              <w:rPr>
                <w:bCs/>
                <w:sz w:val="20"/>
                <w:szCs w:val="20"/>
              </w:rPr>
            </w:pPr>
            <w:r w:rsidRPr="00291CBC">
              <w:rPr>
                <w:bCs/>
                <w:sz w:val="20"/>
                <w:szCs w:val="20"/>
              </w:rPr>
              <w:t>Address ID*</w:t>
            </w:r>
          </w:p>
          <w:p w14:paraId="344118FD" w14:textId="77777777" w:rsidR="006D5A61" w:rsidRPr="00291CBC" w:rsidRDefault="006D5A61" w:rsidP="006D5A61">
            <w:pPr>
              <w:spacing w:after="240"/>
              <w:rPr>
                <w:bCs/>
                <w:sz w:val="20"/>
                <w:szCs w:val="20"/>
              </w:rPr>
            </w:pPr>
          </w:p>
        </w:tc>
        <w:tc>
          <w:tcPr>
            <w:tcW w:w="1558" w:type="dxa"/>
          </w:tcPr>
          <w:p w14:paraId="69079BB5" w14:textId="77777777" w:rsidR="006D5A61" w:rsidRPr="00291CBC" w:rsidRDefault="006D5A61" w:rsidP="006D5A61">
            <w:pPr>
              <w:spacing w:after="60"/>
              <w:rPr>
                <w:bCs/>
                <w:sz w:val="20"/>
                <w:szCs w:val="20"/>
                <w:u w:val="single"/>
              </w:rPr>
            </w:pPr>
            <w:r w:rsidRPr="00291CBC">
              <w:rPr>
                <w:bCs/>
                <w:sz w:val="20"/>
                <w:szCs w:val="20"/>
                <w:u w:val="single"/>
              </w:rPr>
              <w:t>Positions 1-12*</w:t>
            </w:r>
          </w:p>
          <w:p w14:paraId="63ED58DA" w14:textId="77777777" w:rsidR="006D5A61" w:rsidRPr="00291CBC" w:rsidRDefault="006D5A61" w:rsidP="006D5A61">
            <w:pPr>
              <w:spacing w:after="60"/>
              <w:rPr>
                <w:bCs/>
                <w:sz w:val="20"/>
                <w:szCs w:val="20"/>
              </w:rPr>
            </w:pPr>
            <w:r w:rsidRPr="00291CBC">
              <w:rPr>
                <w:bCs/>
                <w:sz w:val="20"/>
                <w:szCs w:val="20"/>
              </w:rPr>
              <w:t>Child ID*</w:t>
            </w:r>
          </w:p>
          <w:p w14:paraId="237684D4" w14:textId="77777777" w:rsidR="006D5A61" w:rsidRPr="00291CBC" w:rsidRDefault="006D5A61" w:rsidP="006D5A61">
            <w:pPr>
              <w:spacing w:after="60"/>
              <w:rPr>
                <w:bCs/>
                <w:sz w:val="20"/>
                <w:szCs w:val="20"/>
              </w:rPr>
            </w:pPr>
            <w:r w:rsidRPr="00291CBC">
              <w:rPr>
                <w:bCs/>
                <w:sz w:val="20"/>
                <w:szCs w:val="20"/>
              </w:rPr>
              <w:t>Date of Birth*</w:t>
            </w:r>
          </w:p>
          <w:p w14:paraId="14D2867F" w14:textId="77777777" w:rsidR="006D5A61" w:rsidRPr="00291CBC" w:rsidRDefault="006D5A61" w:rsidP="006D5A61">
            <w:pPr>
              <w:spacing w:after="60"/>
              <w:rPr>
                <w:bCs/>
                <w:sz w:val="20"/>
                <w:szCs w:val="20"/>
              </w:rPr>
            </w:pPr>
            <w:r w:rsidRPr="00291CBC">
              <w:rPr>
                <w:bCs/>
                <w:sz w:val="20"/>
                <w:szCs w:val="20"/>
              </w:rPr>
              <w:t>Sex*</w:t>
            </w:r>
          </w:p>
          <w:p w14:paraId="6B7E6291" w14:textId="77777777" w:rsidR="006D5A61" w:rsidRPr="00291CBC" w:rsidRDefault="006D5A61" w:rsidP="006D5A61">
            <w:pPr>
              <w:spacing w:after="60"/>
              <w:rPr>
                <w:bCs/>
                <w:sz w:val="20"/>
                <w:szCs w:val="20"/>
              </w:rPr>
            </w:pPr>
            <w:r w:rsidRPr="00291CBC">
              <w:rPr>
                <w:bCs/>
                <w:sz w:val="20"/>
                <w:szCs w:val="20"/>
              </w:rPr>
              <w:t>Ethnicity*</w:t>
            </w:r>
          </w:p>
          <w:p w14:paraId="6A9849DD" w14:textId="77777777" w:rsidR="006D5A61" w:rsidRPr="00291CBC" w:rsidRDefault="006D5A61" w:rsidP="006D5A61">
            <w:pPr>
              <w:spacing w:after="60"/>
              <w:rPr>
                <w:bCs/>
                <w:sz w:val="20"/>
                <w:szCs w:val="20"/>
              </w:rPr>
            </w:pPr>
            <w:r w:rsidRPr="00291CBC">
              <w:rPr>
                <w:bCs/>
                <w:sz w:val="20"/>
                <w:szCs w:val="20"/>
              </w:rPr>
              <w:t>Race*</w:t>
            </w:r>
          </w:p>
          <w:p w14:paraId="6F56806B" w14:textId="77777777" w:rsidR="006D5A61" w:rsidRPr="00291CBC" w:rsidRDefault="006D5A61" w:rsidP="006D5A61">
            <w:pPr>
              <w:spacing w:after="60"/>
              <w:rPr>
                <w:bCs/>
                <w:sz w:val="20"/>
                <w:szCs w:val="20"/>
              </w:rPr>
            </w:pPr>
            <w:r w:rsidRPr="00291CBC">
              <w:rPr>
                <w:bCs/>
                <w:sz w:val="20"/>
                <w:szCs w:val="20"/>
              </w:rPr>
              <w:t>Chelated*</w:t>
            </w:r>
          </w:p>
          <w:p w14:paraId="6489809B" w14:textId="77777777" w:rsidR="006D5A61" w:rsidRPr="00291CBC" w:rsidRDefault="006D5A61" w:rsidP="006D5A61">
            <w:pPr>
              <w:spacing w:after="60"/>
              <w:rPr>
                <w:bCs/>
                <w:sz w:val="20"/>
                <w:szCs w:val="20"/>
              </w:rPr>
            </w:pPr>
            <w:r w:rsidRPr="00291CBC">
              <w:rPr>
                <w:bCs/>
                <w:sz w:val="20"/>
                <w:szCs w:val="20"/>
              </w:rPr>
              <w:t>Chelation Type*</w:t>
            </w:r>
          </w:p>
          <w:p w14:paraId="0A179E57" w14:textId="77777777" w:rsidR="006D5A61" w:rsidRPr="00291CBC" w:rsidRDefault="006D5A61" w:rsidP="006D5A61">
            <w:pPr>
              <w:spacing w:after="60"/>
              <w:rPr>
                <w:bCs/>
                <w:sz w:val="20"/>
                <w:szCs w:val="20"/>
              </w:rPr>
            </w:pPr>
            <w:r w:rsidRPr="00291CBC">
              <w:rPr>
                <w:bCs/>
                <w:sz w:val="20"/>
                <w:szCs w:val="20"/>
              </w:rPr>
              <w:t>Funding Source*</w:t>
            </w:r>
          </w:p>
          <w:p w14:paraId="40687814" w14:textId="472235E3" w:rsidR="006D5A61" w:rsidRPr="00291CBC" w:rsidRDefault="006D5A61" w:rsidP="006D5A61">
            <w:pPr>
              <w:spacing w:after="240"/>
              <w:rPr>
                <w:bCs/>
                <w:sz w:val="20"/>
                <w:szCs w:val="20"/>
              </w:rPr>
            </w:pPr>
            <w:r w:rsidRPr="00291CBC">
              <w:rPr>
                <w:bCs/>
                <w:sz w:val="20"/>
                <w:szCs w:val="20"/>
              </w:rPr>
              <w:t>Lead source indicators*</w:t>
            </w:r>
          </w:p>
        </w:tc>
        <w:tc>
          <w:tcPr>
            <w:tcW w:w="1558" w:type="dxa"/>
          </w:tcPr>
          <w:p w14:paraId="067A2DD8" w14:textId="77777777" w:rsidR="006D5A61" w:rsidRPr="00291CBC" w:rsidRDefault="006D5A61" w:rsidP="006D5A61">
            <w:pPr>
              <w:spacing w:after="60"/>
              <w:rPr>
                <w:bCs/>
                <w:sz w:val="20"/>
                <w:szCs w:val="20"/>
                <w:u w:val="single"/>
              </w:rPr>
            </w:pPr>
            <w:r w:rsidRPr="00291CBC">
              <w:rPr>
                <w:bCs/>
                <w:sz w:val="20"/>
                <w:szCs w:val="20"/>
                <w:u w:val="single"/>
              </w:rPr>
              <w:t>Positions 1-12*</w:t>
            </w:r>
          </w:p>
          <w:p w14:paraId="183D6BEC" w14:textId="77777777" w:rsidR="006D5A61" w:rsidRPr="00291CBC" w:rsidRDefault="006D5A61" w:rsidP="006D5A61">
            <w:pPr>
              <w:spacing w:after="60"/>
              <w:rPr>
                <w:bCs/>
                <w:sz w:val="20"/>
                <w:szCs w:val="20"/>
              </w:rPr>
            </w:pPr>
            <w:r w:rsidRPr="00291CBC">
              <w:rPr>
                <w:bCs/>
                <w:sz w:val="20"/>
                <w:szCs w:val="20"/>
              </w:rPr>
              <w:t>Address ID*</w:t>
            </w:r>
          </w:p>
          <w:p w14:paraId="0761F5E9" w14:textId="77777777" w:rsidR="006D5A61" w:rsidRPr="00291CBC" w:rsidRDefault="006D5A61" w:rsidP="006D5A61">
            <w:pPr>
              <w:spacing w:after="60"/>
              <w:rPr>
                <w:bCs/>
                <w:sz w:val="20"/>
                <w:szCs w:val="20"/>
              </w:rPr>
            </w:pPr>
            <w:r w:rsidRPr="00291CBC">
              <w:rPr>
                <w:bCs/>
                <w:sz w:val="20"/>
                <w:szCs w:val="20"/>
              </w:rPr>
              <w:t>City</w:t>
            </w:r>
          </w:p>
          <w:p w14:paraId="54238F76" w14:textId="77777777" w:rsidR="006D5A61" w:rsidRPr="00291CBC" w:rsidRDefault="006D5A61" w:rsidP="006D5A61">
            <w:pPr>
              <w:spacing w:after="60"/>
              <w:rPr>
                <w:bCs/>
                <w:sz w:val="20"/>
                <w:szCs w:val="20"/>
              </w:rPr>
            </w:pPr>
            <w:r w:rsidRPr="00291CBC">
              <w:rPr>
                <w:bCs/>
                <w:sz w:val="20"/>
                <w:szCs w:val="20"/>
              </w:rPr>
              <w:t>County FIPS Code*</w:t>
            </w:r>
          </w:p>
          <w:p w14:paraId="734374F6" w14:textId="77777777" w:rsidR="006D5A61" w:rsidRPr="00291CBC" w:rsidRDefault="006D5A61" w:rsidP="006D5A61">
            <w:pPr>
              <w:spacing w:after="60"/>
              <w:rPr>
                <w:bCs/>
                <w:sz w:val="20"/>
                <w:szCs w:val="20"/>
              </w:rPr>
            </w:pPr>
            <w:r w:rsidRPr="00291CBC">
              <w:rPr>
                <w:bCs/>
                <w:sz w:val="20"/>
                <w:szCs w:val="20"/>
              </w:rPr>
              <w:t>Zip Code</w:t>
            </w:r>
          </w:p>
          <w:p w14:paraId="7DEAEC10" w14:textId="77777777" w:rsidR="006D5A61" w:rsidRPr="00291CBC" w:rsidRDefault="006D5A61" w:rsidP="006D5A61">
            <w:pPr>
              <w:spacing w:after="60"/>
              <w:rPr>
                <w:bCs/>
                <w:sz w:val="20"/>
                <w:szCs w:val="20"/>
              </w:rPr>
            </w:pPr>
            <w:r w:rsidRPr="00291CBC">
              <w:rPr>
                <w:bCs/>
                <w:sz w:val="20"/>
                <w:szCs w:val="20"/>
              </w:rPr>
              <w:t>State</w:t>
            </w:r>
          </w:p>
          <w:p w14:paraId="386F14D4" w14:textId="77777777" w:rsidR="006D5A61" w:rsidRPr="00291CBC" w:rsidRDefault="006D5A61" w:rsidP="006D5A61">
            <w:pPr>
              <w:spacing w:after="60"/>
              <w:rPr>
                <w:bCs/>
                <w:sz w:val="20"/>
                <w:szCs w:val="20"/>
              </w:rPr>
            </w:pPr>
            <w:r w:rsidRPr="00291CBC">
              <w:rPr>
                <w:bCs/>
                <w:sz w:val="20"/>
                <w:szCs w:val="20"/>
              </w:rPr>
              <w:t>Census Tract</w:t>
            </w:r>
          </w:p>
          <w:p w14:paraId="02D36CC3" w14:textId="187EDBF7" w:rsidR="006D5A61" w:rsidRPr="00291CBC" w:rsidRDefault="006D5A61" w:rsidP="006D5A61">
            <w:pPr>
              <w:spacing w:after="240"/>
              <w:rPr>
                <w:bCs/>
                <w:sz w:val="20"/>
                <w:szCs w:val="20"/>
              </w:rPr>
            </w:pPr>
            <w:r w:rsidRPr="00291CBC">
              <w:rPr>
                <w:bCs/>
                <w:sz w:val="20"/>
                <w:szCs w:val="20"/>
              </w:rPr>
              <w:t>History of Residential Renovation*</w:t>
            </w:r>
          </w:p>
        </w:tc>
        <w:tc>
          <w:tcPr>
            <w:tcW w:w="1558" w:type="dxa"/>
          </w:tcPr>
          <w:p w14:paraId="55C94921" w14:textId="77777777" w:rsidR="006D5A61" w:rsidRPr="00291CBC" w:rsidRDefault="006D5A61" w:rsidP="006D5A61">
            <w:pPr>
              <w:spacing w:after="60"/>
              <w:rPr>
                <w:bCs/>
                <w:sz w:val="20"/>
                <w:szCs w:val="20"/>
                <w:u w:val="single"/>
              </w:rPr>
            </w:pPr>
            <w:r w:rsidRPr="00291CBC">
              <w:rPr>
                <w:bCs/>
                <w:sz w:val="20"/>
                <w:szCs w:val="20"/>
                <w:u w:val="single"/>
              </w:rPr>
              <w:t>Positions 1-12*</w:t>
            </w:r>
          </w:p>
          <w:p w14:paraId="26074BE2" w14:textId="77777777" w:rsidR="006D5A61" w:rsidRPr="00291CBC" w:rsidRDefault="006D5A61" w:rsidP="006D5A61">
            <w:pPr>
              <w:spacing w:after="60"/>
              <w:rPr>
                <w:bCs/>
                <w:sz w:val="20"/>
                <w:szCs w:val="20"/>
              </w:rPr>
            </w:pPr>
            <w:r w:rsidRPr="00291CBC">
              <w:rPr>
                <w:bCs/>
                <w:sz w:val="20"/>
                <w:szCs w:val="20"/>
              </w:rPr>
              <w:t>Child ID*</w:t>
            </w:r>
          </w:p>
          <w:p w14:paraId="00F6EF3A" w14:textId="77777777" w:rsidR="006D5A61" w:rsidRPr="00291CBC" w:rsidRDefault="006D5A61" w:rsidP="006D5A61">
            <w:pPr>
              <w:spacing w:after="60"/>
              <w:rPr>
                <w:bCs/>
                <w:sz w:val="20"/>
                <w:szCs w:val="20"/>
              </w:rPr>
            </w:pPr>
            <w:r w:rsidRPr="00291CBC">
              <w:rPr>
                <w:bCs/>
                <w:sz w:val="20"/>
                <w:szCs w:val="20"/>
              </w:rPr>
              <w:t>Address ID 21-28</w:t>
            </w:r>
          </w:p>
          <w:p w14:paraId="1C443A8C" w14:textId="77777777" w:rsidR="006D5A61" w:rsidRPr="00291CBC" w:rsidRDefault="006D5A61" w:rsidP="006D5A61">
            <w:pPr>
              <w:spacing w:after="60"/>
              <w:rPr>
                <w:bCs/>
                <w:sz w:val="20"/>
                <w:szCs w:val="20"/>
              </w:rPr>
            </w:pPr>
            <w:r w:rsidRPr="00291CBC">
              <w:rPr>
                <w:bCs/>
                <w:sz w:val="20"/>
                <w:szCs w:val="20"/>
              </w:rPr>
              <w:t>Provider Type*</w:t>
            </w:r>
          </w:p>
          <w:p w14:paraId="0086C25D" w14:textId="77777777" w:rsidR="006D5A61" w:rsidRPr="00291CBC" w:rsidRDefault="006D5A61" w:rsidP="006D5A61">
            <w:pPr>
              <w:spacing w:after="60"/>
              <w:rPr>
                <w:bCs/>
                <w:sz w:val="20"/>
                <w:szCs w:val="20"/>
              </w:rPr>
            </w:pPr>
            <w:r w:rsidRPr="00291CBC">
              <w:rPr>
                <w:bCs/>
                <w:sz w:val="20"/>
                <w:szCs w:val="20"/>
              </w:rPr>
              <w:t>Funding Source*</w:t>
            </w:r>
          </w:p>
          <w:p w14:paraId="4CDB1CEC" w14:textId="77777777" w:rsidR="006D5A61" w:rsidRPr="00291CBC" w:rsidRDefault="006D5A61" w:rsidP="006D5A61">
            <w:pPr>
              <w:spacing w:after="60"/>
              <w:rPr>
                <w:bCs/>
                <w:sz w:val="20"/>
                <w:szCs w:val="20"/>
              </w:rPr>
            </w:pPr>
            <w:r w:rsidRPr="00291CBC">
              <w:rPr>
                <w:bCs/>
                <w:sz w:val="20"/>
                <w:szCs w:val="20"/>
              </w:rPr>
              <w:t>Medicaid* (Y/N)</w:t>
            </w:r>
          </w:p>
          <w:p w14:paraId="0CF17599" w14:textId="77777777" w:rsidR="006D5A61" w:rsidRPr="00291CBC" w:rsidRDefault="006D5A61" w:rsidP="006D5A61">
            <w:pPr>
              <w:spacing w:after="60"/>
              <w:rPr>
                <w:bCs/>
                <w:sz w:val="20"/>
                <w:szCs w:val="20"/>
              </w:rPr>
            </w:pPr>
            <w:r w:rsidRPr="00291CBC">
              <w:rPr>
                <w:bCs/>
                <w:sz w:val="20"/>
                <w:szCs w:val="20"/>
              </w:rPr>
              <w:t>Sample Date*</w:t>
            </w:r>
          </w:p>
          <w:p w14:paraId="26392C7A" w14:textId="77777777" w:rsidR="006D5A61" w:rsidRPr="00291CBC" w:rsidRDefault="006D5A61" w:rsidP="006D5A61">
            <w:pPr>
              <w:spacing w:after="60"/>
              <w:rPr>
                <w:bCs/>
                <w:sz w:val="20"/>
                <w:szCs w:val="20"/>
              </w:rPr>
            </w:pPr>
            <w:r w:rsidRPr="00291CBC">
              <w:rPr>
                <w:bCs/>
                <w:sz w:val="20"/>
                <w:szCs w:val="20"/>
              </w:rPr>
              <w:t>Sample Analysis Date</w:t>
            </w:r>
          </w:p>
          <w:p w14:paraId="7A6BF924" w14:textId="77777777" w:rsidR="006D5A61" w:rsidRPr="00291CBC" w:rsidRDefault="006D5A61" w:rsidP="006D5A61">
            <w:pPr>
              <w:spacing w:after="60"/>
              <w:rPr>
                <w:bCs/>
                <w:sz w:val="20"/>
                <w:szCs w:val="20"/>
              </w:rPr>
            </w:pPr>
            <w:r w:rsidRPr="00291CBC">
              <w:rPr>
                <w:bCs/>
                <w:sz w:val="20"/>
                <w:szCs w:val="20"/>
              </w:rPr>
              <w:t>Sample Type*</w:t>
            </w:r>
          </w:p>
          <w:p w14:paraId="1B41DC75" w14:textId="77777777" w:rsidR="006D5A61" w:rsidRPr="00291CBC" w:rsidRDefault="006D5A61" w:rsidP="006D5A61">
            <w:pPr>
              <w:spacing w:after="60"/>
              <w:rPr>
                <w:bCs/>
                <w:sz w:val="20"/>
                <w:szCs w:val="20"/>
              </w:rPr>
            </w:pPr>
            <w:r w:rsidRPr="00291CBC">
              <w:rPr>
                <w:bCs/>
                <w:sz w:val="20"/>
                <w:szCs w:val="20"/>
              </w:rPr>
              <w:t>(capillary or venous)</w:t>
            </w:r>
          </w:p>
          <w:p w14:paraId="48B32A14" w14:textId="77777777" w:rsidR="006D5A61" w:rsidRPr="00291CBC" w:rsidRDefault="006D5A61" w:rsidP="006D5A61">
            <w:pPr>
              <w:spacing w:after="60"/>
              <w:rPr>
                <w:bCs/>
                <w:sz w:val="20"/>
                <w:szCs w:val="20"/>
              </w:rPr>
            </w:pPr>
            <w:r w:rsidRPr="00291CBC">
              <w:rPr>
                <w:bCs/>
                <w:sz w:val="20"/>
                <w:szCs w:val="20"/>
              </w:rPr>
              <w:t>Test Result*</w:t>
            </w:r>
          </w:p>
          <w:p w14:paraId="1C62163D" w14:textId="77777777" w:rsidR="006D5A61" w:rsidRPr="00291CBC" w:rsidRDefault="006D5A61" w:rsidP="006D5A61">
            <w:pPr>
              <w:spacing w:after="60"/>
              <w:rPr>
                <w:bCs/>
                <w:sz w:val="20"/>
                <w:szCs w:val="20"/>
              </w:rPr>
            </w:pPr>
            <w:r w:rsidRPr="00291CBC">
              <w:rPr>
                <w:bCs/>
                <w:sz w:val="20"/>
                <w:szCs w:val="20"/>
              </w:rPr>
              <w:t>(whole number)</w:t>
            </w:r>
          </w:p>
          <w:p w14:paraId="79FBD4E2" w14:textId="77777777" w:rsidR="006D5A61" w:rsidRPr="00291CBC" w:rsidRDefault="006D5A61" w:rsidP="006D5A61">
            <w:pPr>
              <w:spacing w:after="60"/>
              <w:rPr>
                <w:bCs/>
                <w:sz w:val="20"/>
                <w:szCs w:val="20"/>
              </w:rPr>
            </w:pPr>
            <w:r w:rsidRPr="00291CBC">
              <w:rPr>
                <w:bCs/>
                <w:sz w:val="20"/>
                <w:szCs w:val="20"/>
              </w:rPr>
              <w:t>Reason for Test*</w:t>
            </w:r>
          </w:p>
          <w:p w14:paraId="4D22E12E" w14:textId="77777777" w:rsidR="006D5A61" w:rsidRPr="00291CBC" w:rsidRDefault="006D5A61" w:rsidP="006D5A61">
            <w:pPr>
              <w:spacing w:after="60"/>
              <w:rPr>
                <w:bCs/>
                <w:sz w:val="20"/>
                <w:szCs w:val="20"/>
              </w:rPr>
            </w:pPr>
            <w:r w:rsidRPr="00291CBC">
              <w:rPr>
                <w:bCs/>
                <w:sz w:val="20"/>
                <w:szCs w:val="20"/>
              </w:rPr>
              <w:t>Laboratory Type*</w:t>
            </w:r>
          </w:p>
          <w:p w14:paraId="4E257DF2" w14:textId="77777777" w:rsidR="006D5A61" w:rsidRPr="00291CBC" w:rsidRDefault="006D5A61" w:rsidP="006D5A61">
            <w:pPr>
              <w:spacing w:after="60"/>
              <w:rPr>
                <w:bCs/>
                <w:sz w:val="20"/>
                <w:szCs w:val="20"/>
              </w:rPr>
            </w:pPr>
            <w:r w:rsidRPr="00291CBC">
              <w:rPr>
                <w:bCs/>
                <w:sz w:val="20"/>
                <w:szCs w:val="20"/>
              </w:rPr>
              <w:t>(public health lab, commercial lab)</w:t>
            </w:r>
          </w:p>
          <w:p w14:paraId="0F5D9DC2" w14:textId="77777777" w:rsidR="006D5A61" w:rsidRPr="00291CBC" w:rsidRDefault="006D5A61" w:rsidP="006D5A61">
            <w:pPr>
              <w:spacing w:after="60"/>
              <w:rPr>
                <w:bCs/>
                <w:sz w:val="20"/>
                <w:szCs w:val="20"/>
              </w:rPr>
            </w:pPr>
            <w:r w:rsidRPr="00291CBC">
              <w:rPr>
                <w:bCs/>
                <w:sz w:val="20"/>
                <w:szCs w:val="20"/>
              </w:rPr>
              <w:t>Patient Age, in months</w:t>
            </w:r>
          </w:p>
          <w:p w14:paraId="040031FC" w14:textId="1579E416" w:rsidR="006D5A61" w:rsidRPr="00291CBC" w:rsidRDefault="006D5A61" w:rsidP="006D5A61">
            <w:pPr>
              <w:spacing w:after="240"/>
              <w:rPr>
                <w:bCs/>
                <w:sz w:val="20"/>
                <w:szCs w:val="20"/>
              </w:rPr>
            </w:pPr>
            <w:r w:rsidRPr="00291CBC">
              <w:rPr>
                <w:bCs/>
                <w:sz w:val="20"/>
                <w:szCs w:val="20"/>
              </w:rPr>
              <w:t>Date Result Reported</w:t>
            </w:r>
          </w:p>
        </w:tc>
        <w:tc>
          <w:tcPr>
            <w:tcW w:w="1559" w:type="dxa"/>
          </w:tcPr>
          <w:p w14:paraId="002FD3D9" w14:textId="77777777" w:rsidR="006D5A61" w:rsidRPr="00291CBC" w:rsidRDefault="006D5A61" w:rsidP="006D5A61">
            <w:pPr>
              <w:spacing w:after="60"/>
              <w:rPr>
                <w:bCs/>
                <w:sz w:val="20"/>
                <w:szCs w:val="20"/>
                <w:u w:val="single"/>
              </w:rPr>
            </w:pPr>
            <w:r w:rsidRPr="00291CBC">
              <w:rPr>
                <w:bCs/>
                <w:sz w:val="20"/>
                <w:szCs w:val="20"/>
                <w:u w:val="single"/>
              </w:rPr>
              <w:t>Positions 1-12*</w:t>
            </w:r>
          </w:p>
          <w:p w14:paraId="45DED39E" w14:textId="77777777" w:rsidR="006D5A61" w:rsidRPr="00291CBC" w:rsidRDefault="006D5A61" w:rsidP="006D5A61">
            <w:pPr>
              <w:spacing w:after="60"/>
              <w:rPr>
                <w:bCs/>
                <w:sz w:val="20"/>
                <w:szCs w:val="20"/>
              </w:rPr>
            </w:pPr>
            <w:r w:rsidRPr="00291CBC">
              <w:rPr>
                <w:bCs/>
                <w:sz w:val="20"/>
                <w:szCs w:val="20"/>
              </w:rPr>
              <w:t>Address ID*</w:t>
            </w:r>
          </w:p>
          <w:p w14:paraId="10693F8D" w14:textId="77777777" w:rsidR="006D5A61" w:rsidRPr="00291CBC" w:rsidRDefault="006D5A61" w:rsidP="006D5A61">
            <w:pPr>
              <w:spacing w:after="60"/>
              <w:rPr>
                <w:bCs/>
                <w:sz w:val="20"/>
                <w:szCs w:val="20"/>
              </w:rPr>
            </w:pPr>
            <w:r w:rsidRPr="00291CBC">
              <w:rPr>
                <w:bCs/>
                <w:sz w:val="20"/>
                <w:szCs w:val="20"/>
              </w:rPr>
              <w:t>Inspection Referral Date*</w:t>
            </w:r>
          </w:p>
          <w:p w14:paraId="30B7BC58" w14:textId="77777777" w:rsidR="006D5A61" w:rsidRPr="00291CBC" w:rsidRDefault="006D5A61" w:rsidP="006D5A61">
            <w:pPr>
              <w:spacing w:after="60"/>
              <w:rPr>
                <w:bCs/>
                <w:sz w:val="20"/>
                <w:szCs w:val="20"/>
              </w:rPr>
            </w:pPr>
            <w:r w:rsidRPr="00291CBC">
              <w:rPr>
                <w:bCs/>
                <w:sz w:val="20"/>
                <w:szCs w:val="20"/>
              </w:rPr>
              <w:t>Abatement Date</w:t>
            </w:r>
          </w:p>
          <w:p w14:paraId="13C157AF" w14:textId="77777777" w:rsidR="006D5A61" w:rsidRPr="00291CBC" w:rsidRDefault="006D5A61" w:rsidP="006D5A61">
            <w:pPr>
              <w:spacing w:after="60"/>
              <w:rPr>
                <w:bCs/>
                <w:sz w:val="20"/>
                <w:szCs w:val="20"/>
              </w:rPr>
            </w:pPr>
            <w:r w:rsidRPr="00291CBC">
              <w:rPr>
                <w:bCs/>
                <w:sz w:val="20"/>
                <w:szCs w:val="20"/>
              </w:rPr>
              <w:t>Year Housing Built</w:t>
            </w:r>
          </w:p>
          <w:p w14:paraId="7B4D94A2" w14:textId="77777777" w:rsidR="006D5A61" w:rsidRPr="00291CBC" w:rsidRDefault="006D5A61" w:rsidP="006D5A61">
            <w:pPr>
              <w:spacing w:after="60"/>
              <w:rPr>
                <w:bCs/>
                <w:sz w:val="20"/>
                <w:szCs w:val="20"/>
              </w:rPr>
            </w:pPr>
            <w:r w:rsidRPr="00291CBC">
              <w:rPr>
                <w:bCs/>
                <w:sz w:val="20"/>
                <w:szCs w:val="20"/>
              </w:rPr>
              <w:t>Ownership*</w:t>
            </w:r>
          </w:p>
          <w:p w14:paraId="6A4C16AA" w14:textId="77777777" w:rsidR="006D5A61" w:rsidRPr="00291CBC" w:rsidRDefault="006D5A61" w:rsidP="006D5A61">
            <w:pPr>
              <w:spacing w:after="60"/>
              <w:rPr>
                <w:bCs/>
                <w:sz w:val="20"/>
                <w:szCs w:val="20"/>
              </w:rPr>
            </w:pPr>
            <w:r w:rsidRPr="00291CBC">
              <w:rPr>
                <w:bCs/>
                <w:sz w:val="20"/>
                <w:szCs w:val="20"/>
              </w:rPr>
              <w:t>Dwelling Type*</w:t>
            </w:r>
          </w:p>
          <w:p w14:paraId="040E75DE" w14:textId="77777777" w:rsidR="006D5A61" w:rsidRPr="00291CBC" w:rsidRDefault="006D5A61" w:rsidP="006D5A61">
            <w:pPr>
              <w:spacing w:after="60"/>
              <w:rPr>
                <w:bCs/>
                <w:sz w:val="20"/>
                <w:szCs w:val="20"/>
              </w:rPr>
            </w:pPr>
            <w:r w:rsidRPr="00291CBC">
              <w:rPr>
                <w:bCs/>
                <w:sz w:val="20"/>
                <w:szCs w:val="20"/>
              </w:rPr>
              <w:t>Presence of Paint Hazards*</w:t>
            </w:r>
          </w:p>
          <w:p w14:paraId="39CC6DA9" w14:textId="77777777" w:rsidR="006D5A61" w:rsidRPr="00291CBC" w:rsidRDefault="006D5A61" w:rsidP="006D5A61">
            <w:pPr>
              <w:spacing w:after="60"/>
              <w:rPr>
                <w:bCs/>
                <w:sz w:val="20"/>
                <w:szCs w:val="20"/>
              </w:rPr>
            </w:pPr>
            <w:r w:rsidRPr="00291CBC">
              <w:rPr>
                <w:bCs/>
                <w:sz w:val="20"/>
                <w:szCs w:val="20"/>
              </w:rPr>
              <w:t>XRF Paint Measures*</w:t>
            </w:r>
          </w:p>
          <w:p w14:paraId="7297C615" w14:textId="77777777" w:rsidR="006D5A61" w:rsidRPr="00291CBC" w:rsidRDefault="006D5A61" w:rsidP="006D5A61">
            <w:pPr>
              <w:spacing w:after="60"/>
              <w:rPr>
                <w:bCs/>
                <w:sz w:val="20"/>
                <w:szCs w:val="20"/>
              </w:rPr>
            </w:pPr>
            <w:r w:rsidRPr="00291CBC">
              <w:rPr>
                <w:bCs/>
                <w:sz w:val="20"/>
                <w:szCs w:val="20"/>
              </w:rPr>
              <w:t>Soil Lead</w:t>
            </w:r>
          </w:p>
          <w:p w14:paraId="4396FDBA" w14:textId="77777777" w:rsidR="006D5A61" w:rsidRPr="00291CBC" w:rsidRDefault="006D5A61" w:rsidP="006D5A61">
            <w:pPr>
              <w:spacing w:after="60"/>
              <w:rPr>
                <w:bCs/>
                <w:sz w:val="20"/>
                <w:szCs w:val="20"/>
              </w:rPr>
            </w:pPr>
            <w:r w:rsidRPr="00291CBC">
              <w:rPr>
                <w:bCs/>
                <w:sz w:val="20"/>
                <w:szCs w:val="20"/>
              </w:rPr>
              <w:t>Water Lead</w:t>
            </w:r>
          </w:p>
          <w:p w14:paraId="168A4C6B" w14:textId="1290AA34" w:rsidR="006D5A61" w:rsidRPr="00291CBC" w:rsidRDefault="006D5A61" w:rsidP="006D5A61">
            <w:pPr>
              <w:spacing w:after="240"/>
              <w:rPr>
                <w:bCs/>
                <w:sz w:val="20"/>
                <w:szCs w:val="20"/>
              </w:rPr>
            </w:pPr>
            <w:r w:rsidRPr="00291CBC">
              <w:rPr>
                <w:bCs/>
                <w:sz w:val="20"/>
                <w:szCs w:val="20"/>
              </w:rPr>
              <w:t>Industrial Hazard Nearby*</w:t>
            </w:r>
          </w:p>
        </w:tc>
        <w:tc>
          <w:tcPr>
            <w:tcW w:w="1559" w:type="dxa"/>
          </w:tcPr>
          <w:p w14:paraId="52DE5A5E" w14:textId="77777777" w:rsidR="006D5A61" w:rsidRPr="00291CBC" w:rsidRDefault="006D5A61" w:rsidP="006D5A61">
            <w:pPr>
              <w:spacing w:after="60"/>
              <w:rPr>
                <w:bCs/>
                <w:sz w:val="20"/>
                <w:szCs w:val="20"/>
                <w:u w:val="single"/>
              </w:rPr>
            </w:pPr>
            <w:r w:rsidRPr="00291CBC">
              <w:rPr>
                <w:bCs/>
                <w:sz w:val="20"/>
                <w:szCs w:val="20"/>
                <w:u w:val="single"/>
              </w:rPr>
              <w:t>Positions 1-12*</w:t>
            </w:r>
          </w:p>
          <w:p w14:paraId="373D9AF2" w14:textId="77777777" w:rsidR="006D5A61" w:rsidRPr="00291CBC" w:rsidRDefault="006D5A61" w:rsidP="006D5A61">
            <w:pPr>
              <w:spacing w:after="60"/>
              <w:rPr>
                <w:bCs/>
                <w:sz w:val="20"/>
                <w:szCs w:val="20"/>
              </w:rPr>
            </w:pPr>
            <w:r w:rsidRPr="00291CBC">
              <w:rPr>
                <w:bCs/>
                <w:sz w:val="20"/>
                <w:szCs w:val="20"/>
              </w:rPr>
              <w:t>Child ID*</w:t>
            </w:r>
          </w:p>
          <w:p w14:paraId="516E04BD" w14:textId="77777777" w:rsidR="006D5A61" w:rsidRPr="00291CBC" w:rsidRDefault="006D5A61" w:rsidP="006D5A61">
            <w:pPr>
              <w:spacing w:after="60"/>
              <w:rPr>
                <w:bCs/>
                <w:sz w:val="20"/>
                <w:szCs w:val="20"/>
              </w:rPr>
            </w:pPr>
            <w:r w:rsidRPr="00291CBC">
              <w:rPr>
                <w:bCs/>
                <w:sz w:val="20"/>
                <w:szCs w:val="20"/>
              </w:rPr>
              <w:t>Address ID*</w:t>
            </w:r>
          </w:p>
          <w:p w14:paraId="04B8A3CD" w14:textId="77777777" w:rsidR="006D5A61" w:rsidRPr="00291CBC" w:rsidRDefault="006D5A61" w:rsidP="006D5A61">
            <w:pPr>
              <w:spacing w:after="60"/>
              <w:rPr>
                <w:bCs/>
                <w:sz w:val="20"/>
                <w:szCs w:val="20"/>
              </w:rPr>
            </w:pPr>
            <w:r w:rsidRPr="00291CBC">
              <w:rPr>
                <w:bCs/>
                <w:sz w:val="20"/>
                <w:szCs w:val="20"/>
              </w:rPr>
              <w:t>Address Type*</w:t>
            </w:r>
          </w:p>
          <w:p w14:paraId="3A709A7B" w14:textId="77777777" w:rsidR="006D5A61" w:rsidRPr="00291CBC" w:rsidRDefault="006D5A61" w:rsidP="006D5A61">
            <w:pPr>
              <w:spacing w:after="60"/>
              <w:rPr>
                <w:bCs/>
                <w:sz w:val="20"/>
                <w:szCs w:val="20"/>
              </w:rPr>
            </w:pPr>
            <w:r w:rsidRPr="00291CBC">
              <w:rPr>
                <w:bCs/>
                <w:sz w:val="20"/>
                <w:szCs w:val="20"/>
              </w:rPr>
              <w:t>Date First Occupied*</w:t>
            </w:r>
          </w:p>
          <w:p w14:paraId="0CE34491" w14:textId="77777777" w:rsidR="006D5A61" w:rsidRPr="00291CBC" w:rsidRDefault="006D5A61" w:rsidP="006D5A61">
            <w:pPr>
              <w:spacing w:after="60"/>
              <w:rPr>
                <w:bCs/>
                <w:sz w:val="20"/>
                <w:szCs w:val="20"/>
              </w:rPr>
            </w:pPr>
            <w:r w:rsidRPr="00291CBC">
              <w:rPr>
                <w:bCs/>
                <w:sz w:val="20"/>
                <w:szCs w:val="20"/>
              </w:rPr>
              <w:t>Date Last Occupied</w:t>
            </w:r>
          </w:p>
          <w:p w14:paraId="52A2745C" w14:textId="77777777" w:rsidR="006D5A61" w:rsidRPr="00291CBC" w:rsidRDefault="006D5A61" w:rsidP="006D5A61">
            <w:pPr>
              <w:spacing w:after="240"/>
              <w:rPr>
                <w:bCs/>
                <w:sz w:val="20"/>
                <w:szCs w:val="20"/>
              </w:rPr>
            </w:pPr>
          </w:p>
        </w:tc>
      </w:tr>
      <w:tr w:rsidR="006D5A61" w14:paraId="0A3E9D7F" w14:textId="77777777" w:rsidTr="00E20628">
        <w:tc>
          <w:tcPr>
            <w:tcW w:w="9350" w:type="dxa"/>
            <w:gridSpan w:val="6"/>
          </w:tcPr>
          <w:p w14:paraId="4E373B27" w14:textId="77777777" w:rsidR="006D5A61" w:rsidRPr="00D74E8E" w:rsidRDefault="006D5A61" w:rsidP="006D5A61">
            <w:pPr>
              <w:ind w:left="139" w:hanging="139"/>
              <w:rPr>
                <w:rFonts w:cstheme="minorHAnsi"/>
                <w:sz w:val="18"/>
                <w:szCs w:val="18"/>
              </w:rPr>
            </w:pPr>
            <w:r w:rsidRPr="00D74E8E">
              <w:rPr>
                <w:rFonts w:cstheme="minorHAnsi"/>
                <w:sz w:val="18"/>
                <w:szCs w:val="18"/>
              </w:rPr>
              <w:t xml:space="preserve">* indicates required reporting. See Attachment 5a for complete list of reporting variables into CBLS. </w:t>
            </w:r>
          </w:p>
          <w:p w14:paraId="4B1F48F4" w14:textId="37E51C70" w:rsidR="006D5A61" w:rsidRDefault="006D5A61" w:rsidP="006D5A61">
            <w:pPr>
              <w:spacing w:after="240"/>
              <w:rPr>
                <w:bCs/>
                <w:sz w:val="24"/>
                <w:szCs w:val="24"/>
              </w:rPr>
            </w:pPr>
            <w:r w:rsidRPr="00D74E8E">
              <w:rPr>
                <w:bCs/>
                <w:sz w:val="18"/>
                <w:szCs w:val="18"/>
              </w:rPr>
              <w:t>† Positions 13-20 are reserved for either the required Child ID or the Address ID linking variables depending on the type of record being submitted.</w:t>
            </w:r>
          </w:p>
        </w:tc>
      </w:tr>
    </w:tbl>
    <w:p w14:paraId="0D32B2C2" w14:textId="77777777" w:rsidR="00291CBC" w:rsidRDefault="00291CBC" w:rsidP="00E56B2A">
      <w:pPr>
        <w:pStyle w:val="BodyTextIndent3"/>
        <w:widowControl/>
        <w:spacing w:after="240" w:line="276" w:lineRule="auto"/>
        <w:ind w:left="0"/>
        <w:rPr>
          <w:rFonts w:asciiTheme="minorHAnsi" w:hAnsiTheme="minorHAnsi"/>
          <w:bCs/>
          <w:szCs w:val="24"/>
        </w:rPr>
      </w:pPr>
    </w:p>
    <w:p w14:paraId="49FA440F" w14:textId="7EDD5C81" w:rsidR="0014614D" w:rsidRPr="00D74E8E" w:rsidRDefault="001F3379" w:rsidP="00E56B2A">
      <w:pPr>
        <w:pStyle w:val="BodyTextIndent3"/>
        <w:widowControl/>
        <w:spacing w:after="240" w:line="276" w:lineRule="auto"/>
        <w:ind w:left="0"/>
        <w:rPr>
          <w:rFonts w:asciiTheme="minorHAnsi" w:hAnsiTheme="minorHAnsi"/>
          <w:bCs/>
          <w:szCs w:val="24"/>
        </w:rPr>
      </w:pPr>
      <w:r w:rsidRPr="00D74E8E">
        <w:rPr>
          <w:rFonts w:asciiTheme="minorHAnsi" w:hAnsiTheme="minorHAnsi"/>
          <w:bCs/>
          <w:szCs w:val="24"/>
        </w:rPr>
        <w:t>In FY14,</w:t>
      </w:r>
      <w:r w:rsidR="00751BB7" w:rsidRPr="00D74E8E">
        <w:rPr>
          <w:rFonts w:asciiTheme="minorHAnsi" w:hAnsiTheme="minorHAnsi"/>
          <w:bCs/>
          <w:szCs w:val="24"/>
        </w:rPr>
        <w:t xml:space="preserve"> a single awardee</w:t>
      </w:r>
      <w:r w:rsidRPr="00D74E8E">
        <w:rPr>
          <w:rFonts w:asciiTheme="minorHAnsi" w:hAnsiTheme="minorHAnsi"/>
          <w:bCs/>
          <w:szCs w:val="24"/>
        </w:rPr>
        <w:t xml:space="preserve"> </w:t>
      </w:r>
      <w:r w:rsidR="00E56B2A" w:rsidRPr="00D74E8E">
        <w:rPr>
          <w:rFonts w:asciiTheme="minorHAnsi" w:hAnsiTheme="minorHAnsi"/>
          <w:bCs/>
          <w:szCs w:val="24"/>
        </w:rPr>
        <w:t>report</w:t>
      </w:r>
      <w:r w:rsidRPr="00D74E8E">
        <w:rPr>
          <w:rFonts w:asciiTheme="minorHAnsi" w:hAnsiTheme="minorHAnsi"/>
          <w:bCs/>
          <w:szCs w:val="24"/>
        </w:rPr>
        <w:t>ed annual summary</w:t>
      </w:r>
      <w:r w:rsidR="00E56B2A" w:rsidRPr="00D74E8E">
        <w:rPr>
          <w:rFonts w:asciiTheme="minorHAnsi" w:hAnsiTheme="minorHAnsi"/>
          <w:bCs/>
          <w:szCs w:val="24"/>
        </w:rPr>
        <w:t xml:space="preserve"> “CBLS Aggregate Records” in spreads</w:t>
      </w:r>
      <w:r w:rsidR="001D61ED" w:rsidRPr="00D74E8E">
        <w:rPr>
          <w:rFonts w:asciiTheme="minorHAnsi" w:hAnsiTheme="minorHAnsi"/>
          <w:bCs/>
          <w:szCs w:val="24"/>
        </w:rPr>
        <w:t xml:space="preserve">heet format. </w:t>
      </w:r>
      <w:r w:rsidR="00C278D6" w:rsidRPr="00D74E8E">
        <w:rPr>
          <w:rFonts w:asciiTheme="minorHAnsi" w:hAnsiTheme="minorHAnsi"/>
          <w:bCs/>
          <w:szCs w:val="24"/>
        </w:rPr>
        <w:t>Therefore, i</w:t>
      </w:r>
      <w:r w:rsidR="00751BB7" w:rsidRPr="00D74E8E">
        <w:rPr>
          <w:rFonts w:asciiTheme="minorHAnsi" w:hAnsiTheme="minorHAnsi"/>
          <w:bCs/>
          <w:szCs w:val="24"/>
        </w:rPr>
        <w:t>t is estimat</w:t>
      </w:r>
      <w:r w:rsidRPr="00D74E8E">
        <w:rPr>
          <w:rFonts w:asciiTheme="minorHAnsi" w:hAnsiTheme="minorHAnsi"/>
          <w:bCs/>
          <w:szCs w:val="24"/>
        </w:rPr>
        <w:t>ed that one awardee will report in aggregate</w:t>
      </w:r>
      <w:r w:rsidR="001D61ED" w:rsidRPr="00D74E8E">
        <w:rPr>
          <w:rFonts w:asciiTheme="minorHAnsi" w:hAnsiTheme="minorHAnsi"/>
          <w:bCs/>
          <w:szCs w:val="24"/>
        </w:rPr>
        <w:t xml:space="preserve"> again for FY 17</w:t>
      </w:r>
      <w:r w:rsidR="00AC730E" w:rsidRPr="00D74E8E">
        <w:rPr>
          <w:rFonts w:asciiTheme="minorHAnsi" w:hAnsiTheme="minorHAnsi"/>
          <w:bCs/>
          <w:szCs w:val="24"/>
        </w:rPr>
        <w:t xml:space="preserve">. </w:t>
      </w:r>
      <w:r w:rsidR="00A83A39" w:rsidRPr="00D74E8E">
        <w:rPr>
          <w:rFonts w:asciiTheme="minorHAnsi" w:hAnsiTheme="minorHAnsi"/>
          <w:bCs/>
          <w:szCs w:val="24"/>
        </w:rPr>
        <w:t>Reported quarterly summaries are</w:t>
      </w:r>
      <w:r w:rsidR="0014614D" w:rsidRPr="00D74E8E">
        <w:rPr>
          <w:rFonts w:asciiTheme="minorHAnsi" w:hAnsiTheme="minorHAnsi"/>
          <w:bCs/>
          <w:szCs w:val="24"/>
        </w:rPr>
        <w:t>: number of children tested, number and percentage of confirmed BLL ≥10 µg/dL, and number of BLLs by BLL categories</w:t>
      </w:r>
      <w:r w:rsidR="00D816CA" w:rsidRPr="00D74E8E">
        <w:rPr>
          <w:rFonts w:asciiTheme="minorHAnsi" w:hAnsiTheme="minorHAnsi"/>
          <w:bCs/>
          <w:szCs w:val="24"/>
        </w:rPr>
        <w:t>, in</w:t>
      </w:r>
      <w:r w:rsidR="00B0605F" w:rsidRPr="00D74E8E">
        <w:rPr>
          <w:rFonts w:asciiTheme="minorHAnsi" w:hAnsiTheme="minorHAnsi"/>
          <w:bCs/>
          <w:szCs w:val="24"/>
        </w:rPr>
        <w:t xml:space="preserve"> µg/dL</w:t>
      </w:r>
      <w:r w:rsidR="0014614D" w:rsidRPr="00D74E8E">
        <w:rPr>
          <w:rFonts w:asciiTheme="minorHAnsi" w:hAnsiTheme="minorHAnsi"/>
          <w:bCs/>
          <w:szCs w:val="24"/>
        </w:rPr>
        <w:t xml:space="preserve"> (5-9, 10-14, 15-19, 20-24, 25-44, 45-69, </w:t>
      </w:r>
      <w:r w:rsidR="00F10B83" w:rsidRPr="00D74E8E">
        <w:rPr>
          <w:rFonts w:asciiTheme="minorHAnsi" w:hAnsiTheme="minorHAnsi"/>
          <w:bCs/>
          <w:szCs w:val="24"/>
        </w:rPr>
        <w:t>70+, ≥5)</w:t>
      </w:r>
      <w:r w:rsidR="00AC730E" w:rsidRPr="00D74E8E">
        <w:rPr>
          <w:rFonts w:asciiTheme="minorHAnsi" w:hAnsiTheme="minorHAnsi"/>
          <w:bCs/>
          <w:szCs w:val="24"/>
        </w:rPr>
        <w:t xml:space="preserve"> (</w:t>
      </w:r>
      <w:r w:rsidR="00AC730E" w:rsidRPr="00D74E8E">
        <w:rPr>
          <w:rFonts w:asciiTheme="minorHAnsi" w:hAnsiTheme="minorHAnsi"/>
          <w:b/>
          <w:bCs/>
          <w:szCs w:val="24"/>
        </w:rPr>
        <w:t>Attachment 5b</w:t>
      </w:r>
      <w:r w:rsidR="00AC730E" w:rsidRPr="00D74E8E">
        <w:rPr>
          <w:rFonts w:asciiTheme="minorHAnsi" w:hAnsiTheme="minorHAnsi"/>
          <w:bCs/>
          <w:szCs w:val="24"/>
        </w:rPr>
        <w:t>)</w:t>
      </w:r>
      <w:r w:rsidR="0045164F" w:rsidRPr="00D74E8E">
        <w:rPr>
          <w:rFonts w:asciiTheme="minorHAnsi" w:hAnsiTheme="minorHAnsi"/>
          <w:bCs/>
          <w:szCs w:val="24"/>
        </w:rPr>
        <w:t>.</w:t>
      </w:r>
    </w:p>
    <w:p w14:paraId="4765A075" w14:textId="66E1FC2E" w:rsidR="007D32DF" w:rsidRPr="00D74E8E" w:rsidRDefault="00632F42" w:rsidP="00864E6C">
      <w:pPr>
        <w:pStyle w:val="ListParagraph"/>
        <w:numPr>
          <w:ilvl w:val="0"/>
          <w:numId w:val="27"/>
        </w:numPr>
        <w:rPr>
          <w:sz w:val="24"/>
          <w:szCs w:val="24"/>
        </w:rPr>
        <w:sectPr w:rsidR="007D32DF" w:rsidRPr="00D74E8E" w:rsidSect="006D0885">
          <w:type w:val="continuous"/>
          <w:pgSz w:w="12240" w:h="15840" w:code="1"/>
          <w:pgMar w:top="1440" w:right="1440" w:bottom="1440" w:left="1440" w:header="720" w:footer="720" w:gutter="0"/>
          <w:cols w:space="720"/>
          <w:docGrid w:linePitch="360"/>
        </w:sectPr>
      </w:pPr>
      <w:r w:rsidRPr="00D74E8E">
        <w:rPr>
          <w:sz w:val="24"/>
          <w:szCs w:val="24"/>
          <w:u w:val="single"/>
        </w:rPr>
        <w:t xml:space="preserve">Items of </w:t>
      </w:r>
      <w:r w:rsidR="00A34B03" w:rsidRPr="00D74E8E">
        <w:rPr>
          <w:sz w:val="24"/>
          <w:szCs w:val="24"/>
          <w:u w:val="single"/>
        </w:rPr>
        <w:t xml:space="preserve">CBLS </w:t>
      </w:r>
      <w:r w:rsidRPr="00D74E8E">
        <w:rPr>
          <w:sz w:val="24"/>
          <w:szCs w:val="24"/>
          <w:u w:val="single"/>
        </w:rPr>
        <w:t>information to be collected</w:t>
      </w:r>
      <w:r w:rsidRPr="00D74E8E">
        <w:rPr>
          <w:sz w:val="24"/>
          <w:szCs w:val="24"/>
        </w:rPr>
        <w:t xml:space="preserve">: For the regular quarterly </w:t>
      </w:r>
      <w:r w:rsidR="00E46E9C" w:rsidRPr="00D74E8E">
        <w:rPr>
          <w:sz w:val="24"/>
          <w:szCs w:val="24"/>
        </w:rPr>
        <w:t>CBLS</w:t>
      </w:r>
      <w:r w:rsidRPr="00D74E8E">
        <w:rPr>
          <w:sz w:val="24"/>
          <w:szCs w:val="24"/>
        </w:rPr>
        <w:t xml:space="preserve"> data submissions, CDC staff will receive electronic files with</w:t>
      </w:r>
      <w:r w:rsidR="00153FC7" w:rsidRPr="00D74E8E">
        <w:rPr>
          <w:sz w:val="24"/>
          <w:szCs w:val="24"/>
        </w:rPr>
        <w:t xml:space="preserve"> the following </w:t>
      </w:r>
      <w:r w:rsidR="003E7DE3" w:rsidRPr="00D74E8E">
        <w:rPr>
          <w:sz w:val="24"/>
          <w:szCs w:val="24"/>
        </w:rPr>
        <w:t>information in identifiable</w:t>
      </w:r>
      <w:r w:rsidR="00E05F07" w:rsidRPr="00D74E8E">
        <w:rPr>
          <w:sz w:val="24"/>
          <w:szCs w:val="24"/>
        </w:rPr>
        <w:t>, or partially identifiable,</w:t>
      </w:r>
      <w:r w:rsidR="003E7DE3" w:rsidRPr="00D74E8E">
        <w:rPr>
          <w:sz w:val="24"/>
          <w:szCs w:val="24"/>
        </w:rPr>
        <w:t xml:space="preserve"> form (</w:t>
      </w:r>
      <w:r w:rsidR="00153FC7" w:rsidRPr="00D74E8E">
        <w:rPr>
          <w:sz w:val="24"/>
          <w:szCs w:val="24"/>
        </w:rPr>
        <w:t>IIF</w:t>
      </w:r>
      <w:r w:rsidR="003E7DE3" w:rsidRPr="00D74E8E">
        <w:rPr>
          <w:sz w:val="24"/>
          <w:szCs w:val="24"/>
        </w:rPr>
        <w:t>)</w:t>
      </w:r>
      <w:r w:rsidRPr="00D74E8E">
        <w:rPr>
          <w:sz w:val="24"/>
          <w:szCs w:val="24"/>
        </w:rPr>
        <w:t xml:space="preserve">. All children and adults are </w:t>
      </w:r>
      <w:r w:rsidR="000D624C" w:rsidRPr="00D74E8E">
        <w:rPr>
          <w:sz w:val="24"/>
          <w:szCs w:val="24"/>
        </w:rPr>
        <w:t xml:space="preserve">assigned a </w:t>
      </w:r>
      <w:r w:rsidRPr="00D74E8E">
        <w:rPr>
          <w:sz w:val="24"/>
          <w:szCs w:val="24"/>
        </w:rPr>
        <w:t>unique identifier specific to their blood lead test records</w:t>
      </w:r>
      <w:r w:rsidR="00074C0D" w:rsidRPr="00D74E8E">
        <w:rPr>
          <w:sz w:val="24"/>
          <w:szCs w:val="24"/>
        </w:rPr>
        <w:t xml:space="preserve"> by the </w:t>
      </w:r>
      <w:r w:rsidR="00F24E21">
        <w:rPr>
          <w:sz w:val="24"/>
          <w:szCs w:val="24"/>
        </w:rPr>
        <w:t>S</w:t>
      </w:r>
      <w:r w:rsidR="00074C0D" w:rsidRPr="00D74E8E">
        <w:rPr>
          <w:sz w:val="24"/>
          <w:szCs w:val="24"/>
        </w:rPr>
        <w:t>tate</w:t>
      </w:r>
      <w:r w:rsidR="00F24E21">
        <w:rPr>
          <w:sz w:val="24"/>
          <w:szCs w:val="24"/>
        </w:rPr>
        <w:t xml:space="preserve"> or</w:t>
      </w:r>
      <w:r w:rsidR="00074C0D" w:rsidRPr="00D74E8E">
        <w:rPr>
          <w:sz w:val="24"/>
          <w:szCs w:val="24"/>
        </w:rPr>
        <w:t xml:space="preserve"> </w:t>
      </w:r>
      <w:r w:rsidR="00D062BC" w:rsidRPr="00D74E8E">
        <w:rPr>
          <w:sz w:val="24"/>
          <w:szCs w:val="24"/>
        </w:rPr>
        <w:t>local progra</w:t>
      </w:r>
      <w:r w:rsidR="003E7DE3" w:rsidRPr="00D74E8E">
        <w:rPr>
          <w:sz w:val="24"/>
          <w:szCs w:val="24"/>
        </w:rPr>
        <w:t>m:</w:t>
      </w:r>
    </w:p>
    <w:p w14:paraId="6C4D1746" w14:textId="77777777" w:rsidR="00D062BC" w:rsidRPr="00D74E8E" w:rsidRDefault="00D062BC" w:rsidP="005A6983">
      <w:pPr>
        <w:pStyle w:val="CommentText"/>
        <w:spacing w:after="0"/>
        <w:ind w:left="720"/>
        <w:rPr>
          <w:sz w:val="24"/>
          <w:szCs w:val="24"/>
        </w:rPr>
      </w:pPr>
      <w:r w:rsidRPr="00D74E8E">
        <w:rPr>
          <w:rFonts w:ascii="Segoe UI Symbol" w:hAnsi="Segoe UI Symbol" w:cs="Segoe UI Symbol"/>
          <w:sz w:val="24"/>
          <w:szCs w:val="24"/>
        </w:rPr>
        <w:t>❑</w:t>
      </w:r>
      <w:r w:rsidRPr="00D74E8E">
        <w:rPr>
          <w:sz w:val="24"/>
          <w:szCs w:val="24"/>
        </w:rPr>
        <w:t xml:space="preserve"> Date of Birth</w:t>
      </w:r>
    </w:p>
    <w:p w14:paraId="713B5345" w14:textId="61F201C1" w:rsidR="00153FC7" w:rsidRPr="00D74E8E" w:rsidRDefault="00153FC7" w:rsidP="005A6983">
      <w:pPr>
        <w:pStyle w:val="CommentText"/>
        <w:spacing w:after="0"/>
        <w:ind w:left="720"/>
        <w:rPr>
          <w:sz w:val="24"/>
          <w:szCs w:val="24"/>
        </w:rPr>
      </w:pPr>
      <w:r w:rsidRPr="00D74E8E">
        <w:rPr>
          <w:rFonts w:ascii="Segoe UI Symbol" w:hAnsi="Segoe UI Symbol" w:cs="Segoe UI Symbol"/>
          <w:sz w:val="24"/>
          <w:szCs w:val="24"/>
        </w:rPr>
        <w:t>❑</w:t>
      </w:r>
      <w:r w:rsidRPr="00D74E8E">
        <w:rPr>
          <w:sz w:val="24"/>
          <w:szCs w:val="24"/>
        </w:rPr>
        <w:t xml:space="preserve"> </w:t>
      </w:r>
      <w:r w:rsidR="000A30F3">
        <w:rPr>
          <w:sz w:val="24"/>
          <w:szCs w:val="24"/>
        </w:rPr>
        <w:t>Unique</w:t>
      </w:r>
      <w:r w:rsidRPr="00D74E8E">
        <w:rPr>
          <w:sz w:val="24"/>
          <w:szCs w:val="24"/>
        </w:rPr>
        <w:t xml:space="preserve"> Address</w:t>
      </w:r>
      <w:r w:rsidR="000A30F3">
        <w:rPr>
          <w:sz w:val="24"/>
          <w:szCs w:val="24"/>
        </w:rPr>
        <w:t xml:space="preserve"> I</w:t>
      </w:r>
      <w:r w:rsidRPr="00D74E8E">
        <w:rPr>
          <w:sz w:val="24"/>
          <w:szCs w:val="24"/>
        </w:rPr>
        <w:t>dentifier</w:t>
      </w:r>
      <w:r w:rsidR="003B4FF9" w:rsidRPr="00D74E8E">
        <w:rPr>
          <w:sz w:val="24"/>
          <w:szCs w:val="24"/>
        </w:rPr>
        <w:t xml:space="preserve"> </w:t>
      </w:r>
    </w:p>
    <w:p w14:paraId="20ED317C" w14:textId="40BBAC0D" w:rsidR="00D062BC" w:rsidRPr="00D74E8E" w:rsidRDefault="00D062BC" w:rsidP="005A6983">
      <w:pPr>
        <w:pStyle w:val="CommentText"/>
        <w:spacing w:after="0"/>
        <w:ind w:left="720"/>
        <w:rPr>
          <w:sz w:val="24"/>
          <w:szCs w:val="24"/>
        </w:rPr>
      </w:pPr>
      <w:r w:rsidRPr="00D74E8E">
        <w:rPr>
          <w:rFonts w:ascii="Segoe UI Symbol" w:hAnsi="Segoe UI Symbol" w:cs="Segoe UI Symbol"/>
          <w:sz w:val="24"/>
          <w:szCs w:val="24"/>
        </w:rPr>
        <w:t>❑</w:t>
      </w:r>
      <w:r w:rsidRPr="00D74E8E">
        <w:rPr>
          <w:sz w:val="24"/>
          <w:szCs w:val="24"/>
        </w:rPr>
        <w:t xml:space="preserve"> Medical Information and Notes (blood lead test results</w:t>
      </w:r>
      <w:r w:rsidR="000A30F3">
        <w:rPr>
          <w:sz w:val="24"/>
          <w:szCs w:val="24"/>
        </w:rPr>
        <w:t xml:space="preserve"> only</w:t>
      </w:r>
      <w:r w:rsidR="00153FC7" w:rsidRPr="00D74E8E">
        <w:rPr>
          <w:sz w:val="24"/>
          <w:szCs w:val="24"/>
        </w:rPr>
        <w:t>)</w:t>
      </w:r>
    </w:p>
    <w:p w14:paraId="5319B47C" w14:textId="782B0A33" w:rsidR="003511BF" w:rsidRPr="00D74E8E" w:rsidRDefault="003511BF" w:rsidP="003511BF">
      <w:pPr>
        <w:spacing w:after="0" w:line="240" w:lineRule="auto"/>
        <w:ind w:left="720"/>
        <w:rPr>
          <w:bCs/>
          <w:sz w:val="24"/>
          <w:szCs w:val="24"/>
        </w:rPr>
      </w:pPr>
      <w:r w:rsidRPr="00D74E8E">
        <w:rPr>
          <w:rFonts w:ascii="Segoe UI Symbol" w:hAnsi="Segoe UI Symbol" w:cs="Segoe UI Symbol"/>
          <w:sz w:val="24"/>
          <w:szCs w:val="24"/>
        </w:rPr>
        <w:t>❑</w:t>
      </w:r>
      <w:r w:rsidRPr="00D74E8E">
        <w:rPr>
          <w:sz w:val="24"/>
          <w:szCs w:val="24"/>
        </w:rPr>
        <w:t xml:space="preserve"> </w:t>
      </w:r>
      <w:r w:rsidRPr="00D74E8E">
        <w:rPr>
          <w:bCs/>
          <w:sz w:val="24"/>
          <w:szCs w:val="24"/>
        </w:rPr>
        <w:t>Laboratory Name</w:t>
      </w:r>
      <w:r>
        <w:rPr>
          <w:bCs/>
          <w:sz w:val="24"/>
          <w:szCs w:val="24"/>
        </w:rPr>
        <w:t xml:space="preserve"> </w:t>
      </w:r>
    </w:p>
    <w:p w14:paraId="1DF7E559" w14:textId="77777777" w:rsidR="005A6983" w:rsidRPr="00D74E8E" w:rsidRDefault="005A6983" w:rsidP="005A6983">
      <w:pPr>
        <w:pStyle w:val="CommentText"/>
        <w:spacing w:after="0"/>
        <w:ind w:left="720"/>
        <w:rPr>
          <w:sz w:val="24"/>
          <w:szCs w:val="24"/>
        </w:rPr>
      </w:pPr>
    </w:p>
    <w:p w14:paraId="1154024A" w14:textId="21DF55F5" w:rsidR="00E816CC" w:rsidRPr="00D74E8E" w:rsidRDefault="00A34B03" w:rsidP="00864E6C">
      <w:pPr>
        <w:pStyle w:val="ListParagraph"/>
        <w:numPr>
          <w:ilvl w:val="0"/>
          <w:numId w:val="27"/>
        </w:numPr>
        <w:rPr>
          <w:bCs/>
          <w:sz w:val="24"/>
          <w:szCs w:val="24"/>
        </w:rPr>
      </w:pPr>
      <w:r w:rsidRPr="00D74E8E">
        <w:rPr>
          <w:bCs/>
          <w:sz w:val="24"/>
          <w:szCs w:val="24"/>
          <w:u w:val="single"/>
        </w:rPr>
        <w:t>NCEH</w:t>
      </w:r>
      <w:r w:rsidR="00E816CC" w:rsidRPr="00D74E8E">
        <w:rPr>
          <w:bCs/>
          <w:sz w:val="24"/>
          <w:szCs w:val="24"/>
          <w:u w:val="single"/>
        </w:rPr>
        <w:t xml:space="preserve"> does</w:t>
      </w:r>
      <w:r w:rsidR="00C0500E" w:rsidRPr="00D74E8E">
        <w:rPr>
          <w:bCs/>
          <w:sz w:val="24"/>
          <w:szCs w:val="24"/>
          <w:u w:val="single"/>
        </w:rPr>
        <w:t xml:space="preserve"> not </w:t>
      </w:r>
      <w:r w:rsidR="00B35AD3" w:rsidRPr="00D74E8E">
        <w:rPr>
          <w:bCs/>
          <w:sz w:val="24"/>
          <w:szCs w:val="24"/>
          <w:u w:val="single"/>
        </w:rPr>
        <w:t>collect</w:t>
      </w:r>
      <w:r w:rsidR="00C0500E" w:rsidRPr="00D74E8E">
        <w:rPr>
          <w:bCs/>
          <w:sz w:val="24"/>
          <w:szCs w:val="24"/>
          <w:u w:val="single"/>
        </w:rPr>
        <w:t xml:space="preserve"> the following items of </w:t>
      </w:r>
      <w:r w:rsidRPr="00D74E8E">
        <w:rPr>
          <w:bCs/>
          <w:sz w:val="24"/>
          <w:szCs w:val="24"/>
          <w:u w:val="single"/>
        </w:rPr>
        <w:t xml:space="preserve">CBLS </w:t>
      </w:r>
      <w:r w:rsidR="00C0500E" w:rsidRPr="00D74E8E">
        <w:rPr>
          <w:bCs/>
          <w:sz w:val="24"/>
          <w:szCs w:val="24"/>
          <w:u w:val="single"/>
        </w:rPr>
        <w:t>information</w:t>
      </w:r>
      <w:r w:rsidR="00E816CC" w:rsidRPr="00D74E8E">
        <w:rPr>
          <w:bCs/>
          <w:sz w:val="24"/>
          <w:szCs w:val="24"/>
        </w:rPr>
        <w:t xml:space="preserve">: </w:t>
      </w:r>
    </w:p>
    <w:p w14:paraId="5EE89896" w14:textId="70C28F1C" w:rsidR="00E816CC" w:rsidRPr="00D74E8E" w:rsidRDefault="00E816CC" w:rsidP="005A6983">
      <w:pPr>
        <w:spacing w:after="0" w:line="240" w:lineRule="auto"/>
        <w:ind w:left="720"/>
        <w:rPr>
          <w:bCs/>
          <w:sz w:val="24"/>
          <w:szCs w:val="24"/>
        </w:rPr>
      </w:pPr>
      <w:r w:rsidRPr="00D74E8E">
        <w:rPr>
          <w:rFonts w:ascii="Segoe UI Symbol" w:hAnsi="Segoe UI Symbol" w:cs="Segoe UI Symbol"/>
          <w:sz w:val="24"/>
          <w:szCs w:val="24"/>
        </w:rPr>
        <w:t>❑</w:t>
      </w:r>
      <w:r w:rsidRPr="00D74E8E">
        <w:rPr>
          <w:sz w:val="24"/>
          <w:szCs w:val="24"/>
        </w:rPr>
        <w:t xml:space="preserve"> </w:t>
      </w:r>
      <w:r w:rsidR="00441446" w:rsidRPr="00D74E8E">
        <w:rPr>
          <w:sz w:val="24"/>
          <w:szCs w:val="24"/>
        </w:rPr>
        <w:t xml:space="preserve">Patient </w:t>
      </w:r>
      <w:r w:rsidR="00584DD7" w:rsidRPr="00D74E8E">
        <w:rPr>
          <w:bCs/>
          <w:sz w:val="24"/>
          <w:szCs w:val="24"/>
        </w:rPr>
        <w:t>Name</w:t>
      </w:r>
    </w:p>
    <w:p w14:paraId="6D81C8B2" w14:textId="63CCDA37" w:rsidR="003511BF" w:rsidRDefault="003511BF" w:rsidP="003511BF">
      <w:pPr>
        <w:spacing w:after="0" w:line="240" w:lineRule="auto"/>
        <w:ind w:left="720"/>
        <w:rPr>
          <w:rFonts w:cs="Segoe UI Symbol"/>
          <w:sz w:val="24"/>
          <w:szCs w:val="24"/>
        </w:rPr>
      </w:pPr>
      <w:r w:rsidRPr="00D74E8E">
        <w:rPr>
          <w:rFonts w:ascii="Segoe UI Symbol" w:hAnsi="Segoe UI Symbol" w:cs="Segoe UI Symbol"/>
          <w:sz w:val="24"/>
          <w:szCs w:val="24"/>
        </w:rPr>
        <w:t>❑</w:t>
      </w:r>
      <w:r w:rsidRPr="00D74E8E">
        <w:rPr>
          <w:sz w:val="24"/>
          <w:szCs w:val="24"/>
        </w:rPr>
        <w:t xml:space="preserve"> </w:t>
      </w:r>
      <w:r>
        <w:rPr>
          <w:bCs/>
          <w:sz w:val="24"/>
          <w:szCs w:val="24"/>
        </w:rPr>
        <w:t>Mailing</w:t>
      </w:r>
      <w:r w:rsidRPr="00D74E8E">
        <w:rPr>
          <w:bCs/>
          <w:sz w:val="24"/>
          <w:szCs w:val="24"/>
        </w:rPr>
        <w:t xml:space="preserve"> Address</w:t>
      </w:r>
      <w:r w:rsidRPr="003511BF">
        <w:rPr>
          <w:rFonts w:cs="Segoe UI Symbol"/>
          <w:sz w:val="24"/>
          <w:szCs w:val="24"/>
        </w:rPr>
        <w:t xml:space="preserve"> </w:t>
      </w:r>
    </w:p>
    <w:p w14:paraId="44DC6C23" w14:textId="2955CAAB" w:rsidR="003511BF" w:rsidRPr="003511BF" w:rsidRDefault="003511BF" w:rsidP="003511BF">
      <w:pPr>
        <w:spacing w:after="0" w:line="240" w:lineRule="auto"/>
        <w:ind w:left="720"/>
        <w:rPr>
          <w:rFonts w:ascii="Segoe UI Symbol" w:hAnsi="Segoe UI Symbol" w:cs="Segoe UI Symbol"/>
          <w:sz w:val="24"/>
          <w:szCs w:val="24"/>
        </w:rPr>
      </w:pPr>
      <w:r w:rsidRPr="00D74E8E">
        <w:rPr>
          <w:rFonts w:ascii="Segoe UI Symbol" w:hAnsi="Segoe UI Symbol" w:cs="Segoe UI Symbol"/>
          <w:sz w:val="24"/>
          <w:szCs w:val="24"/>
        </w:rPr>
        <w:t>❑</w:t>
      </w:r>
      <w:r w:rsidRPr="00D74E8E">
        <w:rPr>
          <w:sz w:val="24"/>
          <w:szCs w:val="24"/>
        </w:rPr>
        <w:t xml:space="preserve"> </w:t>
      </w:r>
      <w:r>
        <w:rPr>
          <w:rFonts w:cs="Segoe UI Symbol"/>
          <w:sz w:val="24"/>
          <w:szCs w:val="24"/>
        </w:rPr>
        <w:t xml:space="preserve">Medical Record Numbers </w:t>
      </w:r>
    </w:p>
    <w:p w14:paraId="5F041396" w14:textId="19567383" w:rsidR="00E816CC" w:rsidRPr="00D74E8E" w:rsidRDefault="00E816CC" w:rsidP="005A6983">
      <w:pPr>
        <w:spacing w:after="0" w:line="240" w:lineRule="auto"/>
        <w:ind w:left="720"/>
        <w:rPr>
          <w:bCs/>
          <w:sz w:val="24"/>
          <w:szCs w:val="24"/>
        </w:rPr>
      </w:pPr>
      <w:r w:rsidRPr="00D74E8E">
        <w:rPr>
          <w:rFonts w:ascii="Segoe UI Symbol" w:hAnsi="Segoe UI Symbol" w:cs="Segoe UI Symbol"/>
          <w:sz w:val="24"/>
          <w:szCs w:val="24"/>
        </w:rPr>
        <w:t>❑</w:t>
      </w:r>
      <w:r w:rsidRPr="00D74E8E">
        <w:rPr>
          <w:sz w:val="24"/>
          <w:szCs w:val="24"/>
        </w:rPr>
        <w:t xml:space="preserve"> </w:t>
      </w:r>
      <w:r w:rsidR="003511BF" w:rsidRPr="003511BF">
        <w:rPr>
          <w:sz w:val="24"/>
          <w:szCs w:val="24"/>
        </w:rPr>
        <w:t>Financial Account Information</w:t>
      </w:r>
    </w:p>
    <w:p w14:paraId="13805858" w14:textId="144491B6" w:rsidR="00CA49D9" w:rsidRPr="00D74E8E" w:rsidRDefault="000D033A" w:rsidP="00CA49D9">
      <w:pPr>
        <w:spacing w:before="360" w:after="240" w:line="276" w:lineRule="auto"/>
        <w:rPr>
          <w:sz w:val="24"/>
          <w:szCs w:val="24"/>
        </w:rPr>
      </w:pPr>
      <w:r w:rsidRPr="00D74E8E">
        <w:rPr>
          <w:sz w:val="24"/>
          <w:szCs w:val="24"/>
          <w:u w:val="single"/>
        </w:rPr>
        <w:t xml:space="preserve">Optional </w:t>
      </w:r>
      <w:r w:rsidR="006A5185" w:rsidRPr="00D74E8E">
        <w:rPr>
          <w:sz w:val="24"/>
          <w:szCs w:val="24"/>
          <w:u w:val="single"/>
        </w:rPr>
        <w:t xml:space="preserve">Childhood </w:t>
      </w:r>
      <w:r w:rsidRPr="00D74E8E">
        <w:rPr>
          <w:sz w:val="24"/>
          <w:szCs w:val="24"/>
          <w:u w:val="single"/>
        </w:rPr>
        <w:t>Data Delivered to CDC</w:t>
      </w:r>
    </w:p>
    <w:p w14:paraId="697ACCEB" w14:textId="5E0469CA" w:rsidR="000D033A" w:rsidRPr="00D74E8E" w:rsidRDefault="009E3DEA" w:rsidP="00CA49D9">
      <w:pPr>
        <w:spacing w:before="120" w:line="276" w:lineRule="auto"/>
        <w:rPr>
          <w:sz w:val="24"/>
          <w:szCs w:val="24"/>
        </w:rPr>
      </w:pPr>
      <w:r w:rsidRPr="00D74E8E">
        <w:rPr>
          <w:sz w:val="24"/>
          <w:szCs w:val="24"/>
        </w:rPr>
        <w:t>In s</w:t>
      </w:r>
      <w:r w:rsidR="00BD430C" w:rsidRPr="00D74E8E">
        <w:rPr>
          <w:sz w:val="24"/>
          <w:szCs w:val="24"/>
        </w:rPr>
        <w:t>p</w:t>
      </w:r>
      <w:r w:rsidR="00F24E21">
        <w:rPr>
          <w:sz w:val="24"/>
          <w:szCs w:val="24"/>
        </w:rPr>
        <w:t xml:space="preserve">ecial circumstances when State or </w:t>
      </w:r>
      <w:r w:rsidRPr="00D74E8E">
        <w:rPr>
          <w:sz w:val="24"/>
          <w:szCs w:val="24"/>
        </w:rPr>
        <w:t>local</w:t>
      </w:r>
      <w:r w:rsidR="00F24E21">
        <w:rPr>
          <w:sz w:val="24"/>
          <w:szCs w:val="24"/>
        </w:rPr>
        <w:t xml:space="preserve"> </w:t>
      </w:r>
      <w:r w:rsidRPr="00D74E8E">
        <w:rPr>
          <w:sz w:val="24"/>
          <w:szCs w:val="24"/>
        </w:rPr>
        <w:t>programs request technical assistance</w:t>
      </w:r>
      <w:r w:rsidR="00A3759E" w:rsidRPr="00D74E8E">
        <w:rPr>
          <w:sz w:val="24"/>
          <w:szCs w:val="24"/>
        </w:rPr>
        <w:t xml:space="preserve"> from CDC</w:t>
      </w:r>
      <w:r w:rsidR="000D033A" w:rsidRPr="00D74E8E">
        <w:rPr>
          <w:sz w:val="24"/>
          <w:szCs w:val="24"/>
        </w:rPr>
        <w:t xml:space="preserve">, or CDC makes a data request for its own </w:t>
      </w:r>
      <w:r w:rsidR="003459FC" w:rsidRPr="00D74E8E">
        <w:rPr>
          <w:sz w:val="24"/>
          <w:szCs w:val="24"/>
        </w:rPr>
        <w:t xml:space="preserve">sponsored </w:t>
      </w:r>
      <w:r w:rsidR="000D033A" w:rsidRPr="00D74E8E">
        <w:rPr>
          <w:sz w:val="24"/>
          <w:szCs w:val="24"/>
        </w:rPr>
        <w:t>projects</w:t>
      </w:r>
      <w:r w:rsidRPr="00D74E8E">
        <w:rPr>
          <w:sz w:val="24"/>
          <w:szCs w:val="24"/>
        </w:rPr>
        <w:t>, CDC will receive data th</w:t>
      </w:r>
      <w:r w:rsidR="003C1A76" w:rsidRPr="00D74E8E">
        <w:rPr>
          <w:sz w:val="24"/>
          <w:szCs w:val="24"/>
        </w:rPr>
        <w:t>at may include additional IIF</w:t>
      </w:r>
      <w:r w:rsidR="00153FC7" w:rsidRPr="00D74E8E">
        <w:rPr>
          <w:sz w:val="24"/>
          <w:szCs w:val="24"/>
        </w:rPr>
        <w:t xml:space="preserve"> that may be</w:t>
      </w:r>
      <w:r w:rsidR="0064681A" w:rsidRPr="00D74E8E">
        <w:rPr>
          <w:sz w:val="24"/>
          <w:szCs w:val="24"/>
        </w:rPr>
        <w:t xml:space="preserve"> </w:t>
      </w:r>
      <w:r w:rsidR="00153FC7" w:rsidRPr="00D74E8E">
        <w:rPr>
          <w:sz w:val="24"/>
          <w:szCs w:val="24"/>
        </w:rPr>
        <w:t xml:space="preserve">linked to the </w:t>
      </w:r>
      <w:r w:rsidR="00A3759E" w:rsidRPr="00D74E8E">
        <w:rPr>
          <w:sz w:val="24"/>
          <w:szCs w:val="24"/>
        </w:rPr>
        <w:t xml:space="preserve">CBLS </w:t>
      </w:r>
      <w:r w:rsidR="00153FC7" w:rsidRPr="00D74E8E">
        <w:rPr>
          <w:sz w:val="24"/>
          <w:szCs w:val="24"/>
        </w:rPr>
        <w:t xml:space="preserve">records </w:t>
      </w:r>
      <w:r w:rsidR="0064681A" w:rsidRPr="00D74E8E">
        <w:rPr>
          <w:sz w:val="24"/>
          <w:szCs w:val="24"/>
        </w:rPr>
        <w:t xml:space="preserve">delivered </w:t>
      </w:r>
      <w:r w:rsidR="00153FC7" w:rsidRPr="00D74E8E">
        <w:rPr>
          <w:sz w:val="24"/>
          <w:szCs w:val="24"/>
        </w:rPr>
        <w:t>in the quarterly reports</w:t>
      </w:r>
      <w:r w:rsidRPr="00D74E8E">
        <w:rPr>
          <w:sz w:val="24"/>
          <w:szCs w:val="24"/>
        </w:rPr>
        <w:t xml:space="preserve">. In those situations, data will be transferred to CDC via secure FTP in the same manner as the quarterly data submissions. Data will be maintained on secure CDC servers. </w:t>
      </w:r>
    </w:p>
    <w:p w14:paraId="46AD97FC" w14:textId="6DB34747" w:rsidR="009E3DEA" w:rsidRPr="00B271A1" w:rsidRDefault="00CF05D3" w:rsidP="00B26E98">
      <w:pPr>
        <w:spacing w:line="276" w:lineRule="auto"/>
        <w:rPr>
          <w:sz w:val="24"/>
          <w:szCs w:val="24"/>
        </w:rPr>
      </w:pPr>
      <w:r w:rsidRPr="00B26E98">
        <w:rPr>
          <w:sz w:val="24"/>
          <w:szCs w:val="24"/>
        </w:rPr>
        <w:t xml:space="preserve">Each </w:t>
      </w:r>
      <w:r w:rsidR="0093473A" w:rsidRPr="00B26E98">
        <w:rPr>
          <w:sz w:val="24"/>
          <w:szCs w:val="24"/>
        </w:rPr>
        <w:t xml:space="preserve">request </w:t>
      </w:r>
      <w:r w:rsidRPr="00B26E98">
        <w:rPr>
          <w:sz w:val="24"/>
          <w:szCs w:val="24"/>
        </w:rPr>
        <w:t xml:space="preserve">outside of the </w:t>
      </w:r>
      <w:r w:rsidR="009E2249" w:rsidRPr="00B26E98">
        <w:rPr>
          <w:sz w:val="24"/>
          <w:szCs w:val="24"/>
        </w:rPr>
        <w:t>CBLS</w:t>
      </w:r>
      <w:r w:rsidRPr="00B26E98">
        <w:rPr>
          <w:sz w:val="24"/>
          <w:szCs w:val="24"/>
        </w:rPr>
        <w:t xml:space="preserve"> </w:t>
      </w:r>
      <w:r w:rsidR="003459FC" w:rsidRPr="00B26E98">
        <w:rPr>
          <w:sz w:val="24"/>
          <w:szCs w:val="24"/>
        </w:rPr>
        <w:t xml:space="preserve">quarterly </w:t>
      </w:r>
      <w:r w:rsidRPr="00B26E98">
        <w:rPr>
          <w:sz w:val="24"/>
          <w:szCs w:val="24"/>
        </w:rPr>
        <w:t xml:space="preserve">collection </w:t>
      </w:r>
      <w:r w:rsidR="0093473A" w:rsidRPr="00B26E98">
        <w:rPr>
          <w:sz w:val="24"/>
          <w:szCs w:val="24"/>
        </w:rPr>
        <w:t>will undergo a separate research and PRA d</w:t>
      </w:r>
      <w:r w:rsidRPr="00B26E98">
        <w:rPr>
          <w:sz w:val="24"/>
          <w:szCs w:val="24"/>
        </w:rPr>
        <w:t>e</w:t>
      </w:r>
      <w:r w:rsidR="0093473A" w:rsidRPr="00B26E98">
        <w:rPr>
          <w:sz w:val="24"/>
          <w:szCs w:val="24"/>
        </w:rPr>
        <w:t>termination</w:t>
      </w:r>
      <w:r w:rsidR="007560BE" w:rsidRPr="00B26E98">
        <w:rPr>
          <w:sz w:val="24"/>
          <w:szCs w:val="24"/>
        </w:rPr>
        <w:t xml:space="preserve"> and</w:t>
      </w:r>
      <w:r w:rsidR="00B6437A" w:rsidRPr="00B26E98">
        <w:rPr>
          <w:sz w:val="24"/>
          <w:szCs w:val="24"/>
        </w:rPr>
        <w:t xml:space="preserve"> is not </w:t>
      </w:r>
      <w:r w:rsidR="00490AF9" w:rsidRPr="00B26E98">
        <w:rPr>
          <w:sz w:val="24"/>
          <w:szCs w:val="24"/>
        </w:rPr>
        <w:t>covered by</w:t>
      </w:r>
      <w:r w:rsidR="00CF4D8F" w:rsidRPr="00B26E98">
        <w:rPr>
          <w:sz w:val="24"/>
          <w:szCs w:val="24"/>
        </w:rPr>
        <w:t xml:space="preserve"> </w:t>
      </w:r>
      <w:r w:rsidR="00CF4D8F" w:rsidRPr="00B271A1">
        <w:rPr>
          <w:sz w:val="24"/>
          <w:szCs w:val="24"/>
        </w:rPr>
        <w:t>this ICR. However, t</w:t>
      </w:r>
      <w:r w:rsidR="00B6437A" w:rsidRPr="00B271A1">
        <w:rPr>
          <w:sz w:val="24"/>
          <w:szCs w:val="24"/>
        </w:rPr>
        <w:t xml:space="preserve">he ability to receive IIF </w:t>
      </w:r>
      <w:r w:rsidR="00E20628">
        <w:rPr>
          <w:sz w:val="24"/>
          <w:szCs w:val="24"/>
        </w:rPr>
        <w:t>will be</w:t>
      </w:r>
      <w:r w:rsidR="00B6437A" w:rsidRPr="00B271A1">
        <w:rPr>
          <w:sz w:val="24"/>
          <w:szCs w:val="24"/>
        </w:rPr>
        <w:t xml:space="preserve"> approved </w:t>
      </w:r>
      <w:r w:rsidR="003621A6">
        <w:rPr>
          <w:sz w:val="24"/>
          <w:szCs w:val="24"/>
        </w:rPr>
        <w:t>when the</w:t>
      </w:r>
      <w:r w:rsidR="00B271A1" w:rsidRPr="00B271A1">
        <w:rPr>
          <w:sz w:val="24"/>
          <w:szCs w:val="24"/>
        </w:rPr>
        <w:t xml:space="preserve"> CDC Security Assessment and Authorization (SA&amp;A) </w:t>
      </w:r>
      <w:r w:rsidR="008D1784">
        <w:rPr>
          <w:sz w:val="24"/>
          <w:szCs w:val="24"/>
        </w:rPr>
        <w:t xml:space="preserve">for CBLS </w:t>
      </w:r>
      <w:r w:rsidR="00B271A1" w:rsidRPr="00B271A1">
        <w:rPr>
          <w:sz w:val="24"/>
          <w:szCs w:val="24"/>
        </w:rPr>
        <w:t xml:space="preserve">is </w:t>
      </w:r>
      <w:r w:rsidR="003621A6">
        <w:rPr>
          <w:sz w:val="24"/>
          <w:szCs w:val="24"/>
        </w:rPr>
        <w:t>completed</w:t>
      </w:r>
      <w:r w:rsidR="00B271A1" w:rsidRPr="00B271A1">
        <w:rPr>
          <w:sz w:val="24"/>
          <w:szCs w:val="24"/>
        </w:rPr>
        <w:t xml:space="preserve">. The CBLS data collection will not begin until the Authority to Operate (ATO) is granted. </w:t>
      </w:r>
      <w:r w:rsidR="00C22D3B" w:rsidRPr="00B271A1">
        <w:rPr>
          <w:sz w:val="24"/>
          <w:szCs w:val="24"/>
        </w:rPr>
        <w:t xml:space="preserve">Social security numbers are not provided to </w:t>
      </w:r>
      <w:r w:rsidR="00B94100" w:rsidRPr="00B271A1">
        <w:rPr>
          <w:sz w:val="24"/>
          <w:szCs w:val="24"/>
        </w:rPr>
        <w:t>n</w:t>
      </w:r>
      <w:r w:rsidR="00C22D3B" w:rsidRPr="00B271A1">
        <w:rPr>
          <w:sz w:val="24"/>
          <w:szCs w:val="24"/>
        </w:rPr>
        <w:t>or requested by CDC.</w:t>
      </w:r>
    </w:p>
    <w:p w14:paraId="42B93F27" w14:textId="29414B93" w:rsidR="00E57BB1" w:rsidRPr="00B26E98" w:rsidRDefault="00E57BB1" w:rsidP="000A0A0F">
      <w:pPr>
        <w:pStyle w:val="ListParagraph"/>
        <w:numPr>
          <w:ilvl w:val="0"/>
          <w:numId w:val="27"/>
        </w:numPr>
        <w:spacing w:line="276" w:lineRule="auto"/>
        <w:rPr>
          <w:sz w:val="24"/>
          <w:szCs w:val="24"/>
        </w:rPr>
      </w:pPr>
      <w:r w:rsidRPr="00B26E98">
        <w:rPr>
          <w:sz w:val="24"/>
          <w:szCs w:val="24"/>
          <w:u w:val="single"/>
        </w:rPr>
        <w:t xml:space="preserve">Items of </w:t>
      </w:r>
      <w:r w:rsidR="0019662A" w:rsidRPr="00B26E98">
        <w:rPr>
          <w:sz w:val="24"/>
          <w:szCs w:val="24"/>
          <w:u w:val="single"/>
        </w:rPr>
        <w:t xml:space="preserve">optional childhood </w:t>
      </w:r>
      <w:r w:rsidRPr="00B26E98">
        <w:rPr>
          <w:sz w:val="24"/>
          <w:szCs w:val="24"/>
          <w:u w:val="single"/>
        </w:rPr>
        <w:t>information to be collected</w:t>
      </w:r>
      <w:r w:rsidRPr="00B26E98">
        <w:rPr>
          <w:sz w:val="24"/>
          <w:szCs w:val="24"/>
        </w:rPr>
        <w:t xml:space="preserve">: </w:t>
      </w:r>
    </w:p>
    <w:p w14:paraId="66348503" w14:textId="487BFA08" w:rsidR="009E3DEA" w:rsidRPr="00B26E98" w:rsidRDefault="009E3DEA" w:rsidP="000A0A0F">
      <w:pPr>
        <w:pStyle w:val="CommentText"/>
        <w:spacing w:after="0" w:line="276" w:lineRule="auto"/>
        <w:ind w:left="720"/>
        <w:rPr>
          <w:sz w:val="24"/>
          <w:szCs w:val="24"/>
        </w:rPr>
      </w:pPr>
      <w:r w:rsidRPr="00B26E98">
        <w:rPr>
          <w:rFonts w:ascii="Segoe UI Symbol" w:hAnsi="Segoe UI Symbol" w:cs="Segoe UI Symbol"/>
          <w:sz w:val="24"/>
          <w:szCs w:val="24"/>
        </w:rPr>
        <w:t>❑</w:t>
      </w:r>
      <w:r w:rsidRPr="00B26E98">
        <w:rPr>
          <w:sz w:val="24"/>
          <w:szCs w:val="24"/>
        </w:rPr>
        <w:t xml:space="preserve"> Name</w:t>
      </w:r>
    </w:p>
    <w:p w14:paraId="07DFAD25" w14:textId="77777777" w:rsidR="009E3DEA" w:rsidRPr="00B26E98" w:rsidRDefault="009E3DEA" w:rsidP="000A0A0F">
      <w:pPr>
        <w:pStyle w:val="CommentText"/>
        <w:spacing w:after="0" w:line="276" w:lineRule="auto"/>
        <w:ind w:left="720"/>
        <w:rPr>
          <w:sz w:val="24"/>
          <w:szCs w:val="24"/>
        </w:rPr>
      </w:pPr>
      <w:r w:rsidRPr="00B26E98">
        <w:rPr>
          <w:rFonts w:ascii="Segoe UI Symbol" w:hAnsi="Segoe UI Symbol" w:cs="Segoe UI Symbol"/>
          <w:sz w:val="24"/>
          <w:szCs w:val="24"/>
        </w:rPr>
        <w:t>❑</w:t>
      </w:r>
      <w:r w:rsidRPr="00B26E98">
        <w:rPr>
          <w:sz w:val="24"/>
          <w:szCs w:val="24"/>
        </w:rPr>
        <w:t xml:space="preserve"> Mailing Address</w:t>
      </w:r>
    </w:p>
    <w:p w14:paraId="2B020AE2" w14:textId="77777777" w:rsidR="009E3DEA" w:rsidRPr="00B26E98" w:rsidRDefault="009E3DEA" w:rsidP="000A0A0F">
      <w:pPr>
        <w:pStyle w:val="CommentText"/>
        <w:spacing w:after="0" w:line="276" w:lineRule="auto"/>
        <w:ind w:left="720"/>
        <w:rPr>
          <w:sz w:val="24"/>
          <w:szCs w:val="24"/>
        </w:rPr>
      </w:pPr>
      <w:r w:rsidRPr="00B26E98">
        <w:rPr>
          <w:rFonts w:ascii="Segoe UI Symbol" w:hAnsi="Segoe UI Symbol" w:cs="Segoe UI Symbol"/>
          <w:sz w:val="24"/>
          <w:szCs w:val="24"/>
        </w:rPr>
        <w:t>❑</w:t>
      </w:r>
      <w:r w:rsidRPr="00B26E98">
        <w:rPr>
          <w:sz w:val="24"/>
          <w:szCs w:val="24"/>
        </w:rPr>
        <w:t xml:space="preserve"> Phone Numbers</w:t>
      </w:r>
    </w:p>
    <w:p w14:paraId="7F034877" w14:textId="77777777" w:rsidR="005A6983" w:rsidRPr="00B26E98" w:rsidRDefault="005A6983" w:rsidP="000A0A0F">
      <w:pPr>
        <w:pStyle w:val="CommentText"/>
        <w:spacing w:after="0" w:line="276" w:lineRule="auto"/>
        <w:ind w:left="720"/>
        <w:rPr>
          <w:sz w:val="24"/>
          <w:szCs w:val="24"/>
        </w:rPr>
      </w:pPr>
    </w:p>
    <w:p w14:paraId="0F3D4A35" w14:textId="1D337029" w:rsidR="00632F42" w:rsidRPr="00B26E98" w:rsidRDefault="001A2C5D" w:rsidP="000A0A0F">
      <w:pPr>
        <w:spacing w:before="120" w:after="240" w:line="276" w:lineRule="auto"/>
        <w:rPr>
          <w:sz w:val="24"/>
          <w:szCs w:val="24"/>
        </w:rPr>
      </w:pPr>
      <w:r w:rsidRPr="00B26E98">
        <w:rPr>
          <w:sz w:val="24"/>
          <w:szCs w:val="24"/>
          <w:u w:val="single"/>
        </w:rPr>
        <w:t>How CBLS</w:t>
      </w:r>
      <w:r w:rsidR="00632F42" w:rsidRPr="00B26E98">
        <w:rPr>
          <w:sz w:val="24"/>
          <w:szCs w:val="24"/>
          <w:u w:val="single"/>
        </w:rPr>
        <w:t xml:space="preserve"> information will be shared and for what purpose</w:t>
      </w:r>
      <w:r w:rsidR="00E75AD9" w:rsidRPr="00B26E98">
        <w:rPr>
          <w:sz w:val="24"/>
          <w:szCs w:val="24"/>
        </w:rPr>
        <w:t xml:space="preserve">: </w:t>
      </w:r>
      <w:r w:rsidR="00AF3134" w:rsidRPr="00B26E98">
        <w:rPr>
          <w:sz w:val="24"/>
          <w:szCs w:val="24"/>
        </w:rPr>
        <w:t>Funded awardee</w:t>
      </w:r>
      <w:r w:rsidR="00632F42" w:rsidRPr="00B26E98">
        <w:rPr>
          <w:sz w:val="24"/>
          <w:szCs w:val="24"/>
        </w:rPr>
        <w:t xml:space="preserve"> programs </w:t>
      </w:r>
      <w:r w:rsidR="008051BC" w:rsidRPr="00B26E98">
        <w:rPr>
          <w:sz w:val="24"/>
          <w:szCs w:val="24"/>
        </w:rPr>
        <w:t xml:space="preserve">will be informed </w:t>
      </w:r>
      <w:r w:rsidR="00632F42" w:rsidRPr="00B26E98">
        <w:rPr>
          <w:sz w:val="24"/>
          <w:szCs w:val="24"/>
        </w:rPr>
        <w:t xml:space="preserve">with whom information will be shared (i.e., to </w:t>
      </w:r>
      <w:r w:rsidR="008051BC" w:rsidRPr="00B26E98">
        <w:rPr>
          <w:sz w:val="24"/>
          <w:szCs w:val="24"/>
        </w:rPr>
        <w:t>HUD and/</w:t>
      </w:r>
      <w:r w:rsidR="00632F42" w:rsidRPr="00B26E98">
        <w:rPr>
          <w:sz w:val="24"/>
          <w:szCs w:val="24"/>
        </w:rPr>
        <w:t>or EPA for enforcement of the Federal Lead Disclosure Rule Section 1018 of Title X</w:t>
      </w:r>
      <w:r w:rsidR="00C9162E" w:rsidRPr="00B26E98">
        <w:rPr>
          <w:rStyle w:val="FootnoteReference"/>
          <w:sz w:val="24"/>
          <w:szCs w:val="24"/>
        </w:rPr>
        <w:footnoteReference w:id="14"/>
      </w:r>
      <w:r w:rsidR="00632F42" w:rsidRPr="00B26E98">
        <w:rPr>
          <w:sz w:val="24"/>
          <w:szCs w:val="24"/>
        </w:rPr>
        <w:t xml:space="preserve"> and the Lead-Safe Housing Rule (24 CFR Part 35)</w:t>
      </w:r>
      <w:r w:rsidR="0000150C" w:rsidRPr="00B26E98">
        <w:rPr>
          <w:rStyle w:val="FootnoteReference"/>
          <w:sz w:val="24"/>
          <w:szCs w:val="24"/>
        </w:rPr>
        <w:t xml:space="preserve"> </w:t>
      </w:r>
      <w:r w:rsidR="0000150C" w:rsidRPr="00B26E98">
        <w:rPr>
          <w:rStyle w:val="FootnoteReference"/>
          <w:sz w:val="24"/>
          <w:szCs w:val="24"/>
        </w:rPr>
        <w:footnoteReference w:id="15"/>
      </w:r>
      <w:r w:rsidR="0000150C" w:rsidRPr="00B26E98">
        <w:rPr>
          <w:sz w:val="24"/>
          <w:szCs w:val="24"/>
        </w:rPr>
        <w:t>),</w:t>
      </w:r>
      <w:r w:rsidR="00632F42" w:rsidRPr="00B26E98">
        <w:rPr>
          <w:sz w:val="24"/>
          <w:szCs w:val="24"/>
        </w:rPr>
        <w:t xml:space="preserve"> and the legal authority for the data collection (i.e., through the Public Health Service Act</w:t>
      </w:r>
      <w:r w:rsidR="0038576B" w:rsidRPr="00B26E98">
        <w:rPr>
          <w:sz w:val="24"/>
          <w:szCs w:val="24"/>
        </w:rPr>
        <w:t>,</w:t>
      </w:r>
      <w:r w:rsidR="008051BC" w:rsidRPr="00B26E98">
        <w:rPr>
          <w:sz w:val="24"/>
          <w:szCs w:val="24"/>
        </w:rPr>
        <w:t xml:space="preserve"> the Affordable Care Act</w:t>
      </w:r>
      <w:r w:rsidR="0038576B" w:rsidRPr="00B26E98">
        <w:rPr>
          <w:sz w:val="24"/>
          <w:szCs w:val="24"/>
        </w:rPr>
        <w:t>, and the WIIN Act</w:t>
      </w:r>
      <w:r w:rsidR="008051BC" w:rsidRPr="00B26E98">
        <w:rPr>
          <w:sz w:val="24"/>
          <w:szCs w:val="24"/>
        </w:rPr>
        <w:t xml:space="preserve"> – </w:t>
      </w:r>
      <w:r w:rsidR="008051BC" w:rsidRPr="00B26E98">
        <w:rPr>
          <w:b/>
          <w:sz w:val="24"/>
          <w:szCs w:val="24"/>
        </w:rPr>
        <w:t>Attachment 1a</w:t>
      </w:r>
      <w:r w:rsidR="00632F42" w:rsidRPr="00B26E98">
        <w:rPr>
          <w:sz w:val="24"/>
          <w:szCs w:val="24"/>
        </w:rPr>
        <w:t>).</w:t>
      </w:r>
    </w:p>
    <w:p w14:paraId="37DC5F41" w14:textId="40603205" w:rsidR="00C83301" w:rsidRPr="00B26E98" w:rsidRDefault="003E7DE3" w:rsidP="000A0A0F">
      <w:pPr>
        <w:autoSpaceDE w:val="0"/>
        <w:autoSpaceDN w:val="0"/>
        <w:adjustRightInd w:val="0"/>
        <w:spacing w:before="240" w:line="276" w:lineRule="auto"/>
        <w:rPr>
          <w:sz w:val="24"/>
          <w:szCs w:val="24"/>
        </w:rPr>
      </w:pPr>
      <w:r w:rsidRPr="00B26E98">
        <w:rPr>
          <w:sz w:val="24"/>
          <w:szCs w:val="24"/>
          <w:u w:val="single"/>
        </w:rPr>
        <w:t>Impact the proposed</w:t>
      </w:r>
      <w:r w:rsidR="001A2C5D" w:rsidRPr="00B26E98">
        <w:rPr>
          <w:sz w:val="24"/>
          <w:szCs w:val="24"/>
          <w:u w:val="single"/>
        </w:rPr>
        <w:t xml:space="preserve"> CBLS</w:t>
      </w:r>
      <w:r w:rsidRPr="00B26E98">
        <w:rPr>
          <w:sz w:val="24"/>
          <w:szCs w:val="24"/>
          <w:u w:val="single"/>
        </w:rPr>
        <w:t xml:space="preserve"> collection will have on respondent privacy</w:t>
      </w:r>
      <w:r w:rsidR="00E75AD9" w:rsidRPr="00B26E98">
        <w:rPr>
          <w:sz w:val="24"/>
          <w:szCs w:val="24"/>
        </w:rPr>
        <w:t xml:space="preserve">: </w:t>
      </w:r>
      <w:r w:rsidRPr="00B26E98">
        <w:rPr>
          <w:sz w:val="24"/>
          <w:szCs w:val="24"/>
        </w:rPr>
        <w:t xml:space="preserve">If there </w:t>
      </w:r>
      <w:r w:rsidR="005E0CF3" w:rsidRPr="00B26E98">
        <w:rPr>
          <w:sz w:val="24"/>
          <w:szCs w:val="24"/>
        </w:rPr>
        <w:t>is</w:t>
      </w:r>
      <w:r w:rsidRPr="00B26E98">
        <w:rPr>
          <w:sz w:val="24"/>
          <w:szCs w:val="24"/>
        </w:rPr>
        <w:t xml:space="preserve"> a </w:t>
      </w:r>
      <w:r w:rsidR="001177F9" w:rsidRPr="00B26E98">
        <w:rPr>
          <w:sz w:val="24"/>
          <w:szCs w:val="24"/>
        </w:rPr>
        <w:t>security breach</w:t>
      </w:r>
      <w:r w:rsidRPr="00B26E98">
        <w:rPr>
          <w:sz w:val="24"/>
          <w:szCs w:val="24"/>
        </w:rPr>
        <w:t xml:space="preserve"> for the data stored in CBLS at CDC, some effect on the respondent’s privacy could occur; however, </w:t>
      </w:r>
      <w:r w:rsidR="002C15A3" w:rsidRPr="00B26E98">
        <w:rPr>
          <w:sz w:val="24"/>
          <w:szCs w:val="24"/>
        </w:rPr>
        <w:t xml:space="preserve">to minimize this risk, </w:t>
      </w:r>
      <w:r w:rsidRPr="00B26E98">
        <w:rPr>
          <w:sz w:val="24"/>
          <w:szCs w:val="24"/>
        </w:rPr>
        <w:t xml:space="preserve">there are a variety of safeguards in place as described </w:t>
      </w:r>
      <w:r w:rsidR="00C83301" w:rsidRPr="00B26E98">
        <w:rPr>
          <w:sz w:val="24"/>
          <w:szCs w:val="24"/>
        </w:rPr>
        <w:t>in the applicable Privacy Act System of Records Notice (</w:t>
      </w:r>
      <w:hyperlink r:id="rId20" w:history="1">
        <w:r w:rsidR="00C83301" w:rsidRPr="00B26E98">
          <w:rPr>
            <w:rStyle w:val="Hyperlink"/>
            <w:rFonts w:cs="ITCFranklinGothicStd-Book"/>
            <w:color w:val="auto"/>
            <w:sz w:val="24"/>
            <w:szCs w:val="24"/>
          </w:rPr>
          <w:t>SORN 09-20-0136</w:t>
        </w:r>
      </w:hyperlink>
      <w:r w:rsidR="00C83301" w:rsidRPr="00B26E98">
        <w:rPr>
          <w:rFonts w:cs="ITCFranklinGothicStd-Book"/>
          <w:sz w:val="24"/>
          <w:szCs w:val="24"/>
        </w:rPr>
        <w:t xml:space="preserve"> “Epidemiologic Studies and Surveillance of Disease Problems”).</w:t>
      </w:r>
      <w:r w:rsidR="00C83301" w:rsidRPr="00B26E98">
        <w:rPr>
          <w:rStyle w:val="FootnoteReference"/>
          <w:rFonts w:cs="ITCFranklinGothicStd-Book"/>
          <w:sz w:val="24"/>
          <w:szCs w:val="24"/>
        </w:rPr>
        <w:footnoteReference w:id="16"/>
      </w:r>
      <w:r w:rsidR="004302E8" w:rsidRPr="00B26E98">
        <w:rPr>
          <w:rFonts w:cs="ITCFranklinGothicStd-Book"/>
          <w:sz w:val="24"/>
          <w:szCs w:val="24"/>
          <w:vertAlign w:val="superscript"/>
        </w:rPr>
        <w:t xml:space="preserve"> </w:t>
      </w:r>
    </w:p>
    <w:p w14:paraId="57B7D04D" w14:textId="479E6108" w:rsidR="003E7DE3" w:rsidRPr="00B26E98" w:rsidRDefault="003E7DE3" w:rsidP="000A0A0F">
      <w:pPr>
        <w:spacing w:before="240" w:line="276" w:lineRule="auto"/>
        <w:rPr>
          <w:sz w:val="24"/>
          <w:szCs w:val="24"/>
        </w:rPr>
      </w:pPr>
      <w:r w:rsidRPr="00B26E98">
        <w:rPr>
          <w:sz w:val="24"/>
          <w:szCs w:val="24"/>
          <w:u w:val="single"/>
        </w:rPr>
        <w:t>Whether individuals are informed that providing the information</w:t>
      </w:r>
      <w:r w:rsidR="001A2C5D" w:rsidRPr="00B26E98">
        <w:rPr>
          <w:sz w:val="24"/>
          <w:szCs w:val="24"/>
          <w:u w:val="single"/>
        </w:rPr>
        <w:t xml:space="preserve"> for CBLS</w:t>
      </w:r>
      <w:r w:rsidRPr="00B26E98">
        <w:rPr>
          <w:sz w:val="24"/>
          <w:szCs w:val="24"/>
          <w:u w:val="single"/>
        </w:rPr>
        <w:t xml:space="preserve"> is voluntary or mandatory</w:t>
      </w:r>
      <w:r w:rsidR="00E75AD9" w:rsidRPr="00B26E98">
        <w:rPr>
          <w:sz w:val="24"/>
          <w:szCs w:val="24"/>
        </w:rPr>
        <w:t>:</w:t>
      </w:r>
      <w:r w:rsidR="004B4353" w:rsidRPr="00B26E98">
        <w:rPr>
          <w:sz w:val="24"/>
          <w:szCs w:val="24"/>
        </w:rPr>
        <w:t xml:space="preserve"> Blood lead testing is not mandatory for all children</w:t>
      </w:r>
      <w:r w:rsidR="00916603" w:rsidRPr="00B26E98">
        <w:rPr>
          <w:sz w:val="24"/>
          <w:szCs w:val="24"/>
        </w:rPr>
        <w:t xml:space="preserve"> (NCSL, 2010)</w:t>
      </w:r>
      <w:r w:rsidR="004B4353" w:rsidRPr="00B26E98">
        <w:rPr>
          <w:sz w:val="24"/>
          <w:szCs w:val="24"/>
        </w:rPr>
        <w:t>.</w:t>
      </w:r>
      <w:r w:rsidR="00E75AD9" w:rsidRPr="00B26E98">
        <w:rPr>
          <w:sz w:val="24"/>
          <w:szCs w:val="24"/>
        </w:rPr>
        <w:t xml:space="preserve"> </w:t>
      </w:r>
      <w:r w:rsidRPr="00B26E98">
        <w:rPr>
          <w:sz w:val="24"/>
          <w:szCs w:val="24"/>
        </w:rPr>
        <w:t xml:space="preserve">Blood lead testing is mandatory for Medicaid </w:t>
      </w:r>
      <w:r w:rsidR="004B277A" w:rsidRPr="00B26E98">
        <w:rPr>
          <w:sz w:val="24"/>
          <w:szCs w:val="24"/>
        </w:rPr>
        <w:t>enrolled</w:t>
      </w:r>
      <w:r w:rsidRPr="00B26E98">
        <w:rPr>
          <w:sz w:val="24"/>
          <w:szCs w:val="24"/>
        </w:rPr>
        <w:t xml:space="preserve"> children and varies by state for non-Medicaid </w:t>
      </w:r>
      <w:r w:rsidR="004B277A" w:rsidRPr="00B26E98">
        <w:rPr>
          <w:sz w:val="24"/>
          <w:szCs w:val="24"/>
        </w:rPr>
        <w:t>enrolled</w:t>
      </w:r>
      <w:r w:rsidRPr="00B26E98">
        <w:rPr>
          <w:sz w:val="24"/>
          <w:szCs w:val="24"/>
        </w:rPr>
        <w:t xml:space="preserve"> children, typically by a determination of risk of exposure. Reporting blood lead test results to state agencies is guided by state regulations and is mandatory. However, providing information about the reporting mandate in clinical affairs is not uniform.</w:t>
      </w:r>
    </w:p>
    <w:p w14:paraId="087ED358" w14:textId="220196E5" w:rsidR="003E7DE3" w:rsidRPr="00B26E98" w:rsidRDefault="003E7DE3" w:rsidP="000A0A0F">
      <w:pPr>
        <w:spacing w:before="240" w:line="276" w:lineRule="auto"/>
        <w:rPr>
          <w:sz w:val="24"/>
          <w:szCs w:val="24"/>
        </w:rPr>
      </w:pPr>
      <w:r w:rsidRPr="00B26E98">
        <w:rPr>
          <w:sz w:val="24"/>
          <w:szCs w:val="24"/>
          <w:u w:val="single"/>
        </w:rPr>
        <w:t xml:space="preserve">Opportunities to consent, if any, to sharing and submission of </w:t>
      </w:r>
      <w:r w:rsidR="001A2C5D" w:rsidRPr="00B26E98">
        <w:rPr>
          <w:sz w:val="24"/>
          <w:szCs w:val="24"/>
          <w:u w:val="single"/>
        </w:rPr>
        <w:t xml:space="preserve">CBLS </w:t>
      </w:r>
      <w:r w:rsidRPr="00B26E98">
        <w:rPr>
          <w:sz w:val="24"/>
          <w:szCs w:val="24"/>
          <w:u w:val="single"/>
        </w:rPr>
        <w:t>information</w:t>
      </w:r>
      <w:r w:rsidR="00E75AD9" w:rsidRPr="00B26E98">
        <w:rPr>
          <w:sz w:val="24"/>
          <w:szCs w:val="24"/>
        </w:rPr>
        <w:t xml:space="preserve">: </w:t>
      </w:r>
      <w:r w:rsidRPr="00B26E98">
        <w:rPr>
          <w:sz w:val="24"/>
          <w:szCs w:val="24"/>
        </w:rPr>
        <w:t xml:space="preserve">No consent form for </w:t>
      </w:r>
      <w:r w:rsidR="00353E03" w:rsidRPr="00B26E98">
        <w:rPr>
          <w:sz w:val="24"/>
          <w:szCs w:val="24"/>
        </w:rPr>
        <w:t>the CBLS</w:t>
      </w:r>
      <w:r w:rsidR="004302E8" w:rsidRPr="00B26E98">
        <w:rPr>
          <w:sz w:val="24"/>
          <w:szCs w:val="24"/>
        </w:rPr>
        <w:t xml:space="preserve"> collection</w:t>
      </w:r>
      <w:r w:rsidRPr="00B26E98">
        <w:rPr>
          <w:sz w:val="24"/>
          <w:szCs w:val="24"/>
        </w:rPr>
        <w:t xml:space="preserve"> is re</w:t>
      </w:r>
      <w:r w:rsidR="00F24E21">
        <w:rPr>
          <w:sz w:val="24"/>
          <w:szCs w:val="24"/>
        </w:rPr>
        <w:t>quired as the data are part of S</w:t>
      </w:r>
      <w:r w:rsidRPr="00B26E98">
        <w:rPr>
          <w:sz w:val="24"/>
          <w:szCs w:val="24"/>
        </w:rPr>
        <w:t>tate</w:t>
      </w:r>
      <w:r w:rsidR="00F24E21">
        <w:rPr>
          <w:sz w:val="24"/>
          <w:szCs w:val="24"/>
        </w:rPr>
        <w:t xml:space="preserve"> or</w:t>
      </w:r>
      <w:r w:rsidRPr="00B26E98">
        <w:rPr>
          <w:sz w:val="24"/>
          <w:szCs w:val="24"/>
        </w:rPr>
        <w:t xml:space="preserve"> local surveillance efforts</w:t>
      </w:r>
      <w:r w:rsidR="00965A73" w:rsidRPr="00B26E98">
        <w:rPr>
          <w:sz w:val="24"/>
          <w:szCs w:val="24"/>
        </w:rPr>
        <w:t xml:space="preserve">, under the </w:t>
      </w:r>
      <w:r w:rsidR="00017272" w:rsidRPr="00B26E98">
        <w:rPr>
          <w:sz w:val="24"/>
          <w:szCs w:val="24"/>
        </w:rPr>
        <w:t>Health Insurance Portability and Accountability Act of 1996 (</w:t>
      </w:r>
      <w:r w:rsidR="00965A73" w:rsidRPr="00B26E98">
        <w:rPr>
          <w:sz w:val="24"/>
          <w:szCs w:val="24"/>
        </w:rPr>
        <w:t>HIPAA</w:t>
      </w:r>
      <w:r w:rsidR="00017272" w:rsidRPr="00B26E98">
        <w:rPr>
          <w:sz w:val="24"/>
          <w:szCs w:val="24"/>
        </w:rPr>
        <w:t>)</w:t>
      </w:r>
      <w:r w:rsidR="00965A73" w:rsidRPr="00B26E98">
        <w:rPr>
          <w:sz w:val="24"/>
          <w:szCs w:val="24"/>
        </w:rPr>
        <w:t xml:space="preserve"> </w:t>
      </w:r>
      <w:r w:rsidR="006E15DA" w:rsidRPr="00B26E98">
        <w:rPr>
          <w:sz w:val="24"/>
          <w:szCs w:val="24"/>
        </w:rPr>
        <w:t>s</w:t>
      </w:r>
      <w:r w:rsidR="00965A73" w:rsidRPr="00B26E98">
        <w:rPr>
          <w:sz w:val="24"/>
          <w:szCs w:val="24"/>
        </w:rPr>
        <w:t xml:space="preserve">ection </w:t>
      </w:r>
      <w:r w:rsidR="006E15DA" w:rsidRPr="00B26E98">
        <w:rPr>
          <w:sz w:val="24"/>
          <w:szCs w:val="24"/>
        </w:rPr>
        <w:t>on disclosures for public h</w:t>
      </w:r>
      <w:r w:rsidR="00965A73" w:rsidRPr="00B26E98">
        <w:rPr>
          <w:sz w:val="24"/>
          <w:szCs w:val="24"/>
        </w:rPr>
        <w:t xml:space="preserve">ealth </w:t>
      </w:r>
      <w:r w:rsidR="006E15DA" w:rsidRPr="00B26E98">
        <w:rPr>
          <w:sz w:val="24"/>
          <w:szCs w:val="24"/>
        </w:rPr>
        <w:t>a</w:t>
      </w:r>
      <w:r w:rsidR="00965A73" w:rsidRPr="00B26E98">
        <w:rPr>
          <w:sz w:val="24"/>
          <w:szCs w:val="24"/>
        </w:rPr>
        <w:t>ctivities</w:t>
      </w:r>
      <w:r w:rsidR="004E4CB1" w:rsidRPr="00B26E98">
        <w:rPr>
          <w:sz w:val="24"/>
          <w:szCs w:val="24"/>
        </w:rPr>
        <w:t>.</w:t>
      </w:r>
      <w:r w:rsidR="00965A73" w:rsidRPr="00B26E98">
        <w:rPr>
          <w:rStyle w:val="FootnoteReference"/>
          <w:sz w:val="24"/>
          <w:szCs w:val="24"/>
        </w:rPr>
        <w:footnoteReference w:id="17"/>
      </w:r>
      <w:r w:rsidRPr="00B26E98">
        <w:rPr>
          <w:sz w:val="24"/>
          <w:szCs w:val="24"/>
        </w:rPr>
        <w:t xml:space="preserve"> Consent to share with other federal agencies is not required when it involves enforcement of the Federal Lead Disclosure Rule Section 1018 of Title X and Lead-Safe Housing Rule (24 CFR Part 35)</w:t>
      </w:r>
      <w:r w:rsidR="00222C57" w:rsidRPr="00B26E98">
        <w:rPr>
          <w:sz w:val="24"/>
          <w:szCs w:val="24"/>
        </w:rPr>
        <w:t>.</w:t>
      </w:r>
    </w:p>
    <w:p w14:paraId="10E6E19B" w14:textId="30A4C436" w:rsidR="003E7DE3" w:rsidRPr="00D74E8E" w:rsidRDefault="00EE2F29" w:rsidP="000A0A0F">
      <w:pPr>
        <w:spacing w:before="240" w:line="276" w:lineRule="auto"/>
        <w:sectPr w:rsidR="003E7DE3" w:rsidRPr="00D74E8E" w:rsidSect="006D0885">
          <w:type w:val="continuous"/>
          <w:pgSz w:w="12240" w:h="15840" w:code="1"/>
          <w:pgMar w:top="1440" w:right="1440" w:bottom="1440" w:left="1440" w:header="720" w:footer="720" w:gutter="0"/>
          <w:cols w:space="720"/>
          <w:docGrid w:linePitch="360"/>
        </w:sectPr>
      </w:pPr>
      <w:r w:rsidRPr="00B26E98">
        <w:rPr>
          <w:sz w:val="24"/>
          <w:szCs w:val="24"/>
          <w:u w:val="single"/>
        </w:rPr>
        <w:t>How CBLS</w:t>
      </w:r>
      <w:r w:rsidR="003E7DE3" w:rsidRPr="00B26E98">
        <w:rPr>
          <w:sz w:val="24"/>
          <w:szCs w:val="24"/>
          <w:u w:val="single"/>
        </w:rPr>
        <w:t xml:space="preserve"> information will be secured</w:t>
      </w:r>
      <w:r w:rsidR="00E75AD9" w:rsidRPr="00B26E98">
        <w:rPr>
          <w:sz w:val="24"/>
          <w:szCs w:val="24"/>
        </w:rPr>
        <w:t xml:space="preserve">: </w:t>
      </w:r>
      <w:r w:rsidR="003E7DE3" w:rsidRPr="00B26E98">
        <w:rPr>
          <w:sz w:val="24"/>
          <w:szCs w:val="24"/>
        </w:rPr>
        <w:t>All collected data is secured in a password protected surveillance system. Only CDC staff will have access to the raw</w:t>
      </w:r>
      <w:r w:rsidR="00F24E21">
        <w:rPr>
          <w:sz w:val="24"/>
          <w:szCs w:val="24"/>
        </w:rPr>
        <w:t xml:space="preserve"> data in CBLS.  Data from State or</w:t>
      </w:r>
      <w:r w:rsidR="003E7DE3" w:rsidRPr="00B26E98">
        <w:rPr>
          <w:sz w:val="24"/>
          <w:szCs w:val="24"/>
        </w:rPr>
        <w:t xml:space="preserve"> local programs are sent electronically to CDC via a secure FTP site.  Physical controls will also be implemented. Data will be stored on highly-secured CDC servers in Atlanta, GA. Access to all CDC campuses is restricted by armed guards. The servers are housed in a</w:t>
      </w:r>
      <w:r w:rsidR="003E7DE3" w:rsidRPr="00D74E8E">
        <w:rPr>
          <w:sz w:val="24"/>
          <w:szCs w:val="24"/>
        </w:rPr>
        <w:t xml:space="preserve"> secure computer room complete with climate control, emergency power, and an uninterruptible power supply (UPS). Daily back-ups and integrated security are implemented through the CDC computer services infrastructure. All data access is password-protected, and all network communications use encryption.  All servers and PCs that are part of the CDC infrastructure are protected by both host-based firewalls and software in order to prevent the undetected installation of "spyware</w:t>
      </w:r>
      <w:r w:rsidR="009A2ECD" w:rsidRPr="00D74E8E">
        <w:rPr>
          <w:sz w:val="24"/>
          <w:szCs w:val="24"/>
        </w:rPr>
        <w:t>.</w:t>
      </w:r>
      <w:r w:rsidR="003E7DE3" w:rsidRPr="00D74E8E">
        <w:rPr>
          <w:sz w:val="24"/>
          <w:szCs w:val="24"/>
        </w:rPr>
        <w:t>"</w:t>
      </w:r>
    </w:p>
    <w:p w14:paraId="13D83732" w14:textId="278C59CD" w:rsidR="00554325" w:rsidRPr="00D74E8E" w:rsidRDefault="007C6D6B" w:rsidP="00B91A9F">
      <w:pPr>
        <w:spacing w:before="240" w:line="276" w:lineRule="auto"/>
        <w:rPr>
          <w:bCs/>
          <w:sz w:val="24"/>
          <w:szCs w:val="24"/>
        </w:rPr>
      </w:pPr>
      <w:r w:rsidRPr="00D74E8E">
        <w:rPr>
          <w:rFonts w:cs="Segoe UI Symbol"/>
          <w:sz w:val="24"/>
          <w:szCs w:val="24"/>
          <w:u w:val="single"/>
        </w:rPr>
        <w:t>O</w:t>
      </w:r>
      <w:r w:rsidR="00554325" w:rsidRPr="00D74E8E">
        <w:rPr>
          <w:sz w:val="24"/>
          <w:szCs w:val="24"/>
          <w:u w:val="single"/>
        </w:rPr>
        <w:t>verview of the ABLES Data Collection System</w:t>
      </w:r>
    </w:p>
    <w:p w14:paraId="344EB633" w14:textId="21FD56C9" w:rsidR="00897664" w:rsidRPr="00D74E8E" w:rsidRDefault="00897664" w:rsidP="00B91A9F">
      <w:pPr>
        <w:autoSpaceDE w:val="0"/>
        <w:autoSpaceDN w:val="0"/>
        <w:adjustRightInd w:val="0"/>
        <w:spacing w:before="240" w:line="276" w:lineRule="auto"/>
        <w:rPr>
          <w:sz w:val="24"/>
          <w:szCs w:val="24"/>
        </w:rPr>
      </w:pPr>
      <w:r w:rsidRPr="00D74E8E">
        <w:rPr>
          <w:sz w:val="24"/>
          <w:szCs w:val="24"/>
        </w:rPr>
        <w:t xml:space="preserve">The NIOSH </w:t>
      </w:r>
      <w:r w:rsidR="0038763C" w:rsidRPr="00D74E8E">
        <w:rPr>
          <w:sz w:val="24"/>
          <w:szCs w:val="24"/>
        </w:rPr>
        <w:t>ISSO</w:t>
      </w:r>
      <w:r w:rsidRPr="00D74E8E">
        <w:rPr>
          <w:sz w:val="24"/>
          <w:szCs w:val="24"/>
        </w:rPr>
        <w:t xml:space="preserve"> has reviewed this submission and has determined that the Privacy Act does apply. The applicable Privacy Act System of Records Notice is </w:t>
      </w:r>
      <w:hyperlink r:id="rId21" w:history="1">
        <w:r w:rsidRPr="00D74E8E">
          <w:rPr>
            <w:rStyle w:val="Hyperlink"/>
            <w:rFonts w:cs="ITCFranklinGothicStd-Book"/>
            <w:color w:val="auto"/>
            <w:sz w:val="24"/>
            <w:szCs w:val="24"/>
          </w:rPr>
          <w:t xml:space="preserve">SORN </w:t>
        </w:r>
        <w:r w:rsidR="00267FC4" w:rsidRPr="00D74E8E">
          <w:rPr>
            <w:rStyle w:val="Hyperlink"/>
            <w:rFonts w:cs="ITCFranklinGothicStd-Book"/>
            <w:color w:val="auto"/>
            <w:sz w:val="24"/>
            <w:szCs w:val="24"/>
          </w:rPr>
          <w:t>09-20-0147</w:t>
        </w:r>
      </w:hyperlink>
      <w:r w:rsidR="00267FC4" w:rsidRPr="00D74E8E">
        <w:rPr>
          <w:rFonts w:cs="ITCFranklinGothicStd-Book"/>
          <w:sz w:val="24"/>
          <w:szCs w:val="24"/>
        </w:rPr>
        <w:t xml:space="preserve"> “</w:t>
      </w:r>
      <w:r w:rsidR="00267FC4" w:rsidRPr="00D74E8E">
        <w:rPr>
          <w:rFonts w:cs="Arial"/>
          <w:sz w:val="24"/>
          <w:szCs w:val="24"/>
          <w:lang w:val="en"/>
        </w:rPr>
        <w:t>Occupational Health Epidemiological Studies and EEOICPA Program Records and WTC Health Program Records, HHS/CDC/NIOSH” (retrievable by name, assigned identification number, or social security number).</w:t>
      </w:r>
      <w:r w:rsidR="00267FC4" w:rsidRPr="00D74E8E">
        <w:rPr>
          <w:rStyle w:val="FootnoteReference"/>
          <w:rFonts w:cs="Arial"/>
          <w:sz w:val="24"/>
          <w:szCs w:val="24"/>
          <w:lang w:val="en"/>
        </w:rPr>
        <w:footnoteReference w:id="18"/>
      </w:r>
      <w:r w:rsidRPr="00D74E8E">
        <w:rPr>
          <w:rFonts w:cs="ITCFranklinGothicStd-Book"/>
          <w:sz w:val="24"/>
          <w:szCs w:val="24"/>
          <w:vertAlign w:val="superscript"/>
        </w:rPr>
        <w:t xml:space="preserve"> </w:t>
      </w:r>
      <w:r w:rsidR="00B91A9F" w:rsidRPr="00D74E8E">
        <w:rPr>
          <w:rFonts w:cs="ITCFranklinGothicStd-Book"/>
          <w:sz w:val="24"/>
          <w:szCs w:val="24"/>
          <w:vertAlign w:val="superscript"/>
        </w:rPr>
        <w:t xml:space="preserve"> </w:t>
      </w:r>
      <w:r w:rsidRPr="00D74E8E">
        <w:rPr>
          <w:sz w:val="24"/>
          <w:szCs w:val="24"/>
        </w:rPr>
        <w:t>The NIOSH ISSO</w:t>
      </w:r>
      <w:r w:rsidR="0038763C" w:rsidRPr="00D74E8E">
        <w:rPr>
          <w:sz w:val="24"/>
          <w:szCs w:val="24"/>
        </w:rPr>
        <w:t xml:space="preserve"> has </w:t>
      </w:r>
      <w:r w:rsidR="00267FC4" w:rsidRPr="00D74E8E">
        <w:rPr>
          <w:sz w:val="24"/>
          <w:szCs w:val="24"/>
        </w:rPr>
        <w:t xml:space="preserve">also </w:t>
      </w:r>
      <w:r w:rsidR="0038763C" w:rsidRPr="00D74E8E">
        <w:rPr>
          <w:sz w:val="24"/>
          <w:szCs w:val="24"/>
        </w:rPr>
        <w:t>determined that a</w:t>
      </w:r>
      <w:r w:rsidRPr="00D74E8E">
        <w:rPr>
          <w:sz w:val="24"/>
          <w:szCs w:val="24"/>
        </w:rPr>
        <w:t xml:space="preserve"> PIA</w:t>
      </w:r>
      <w:r w:rsidR="002F02F2" w:rsidRPr="00D74E8E">
        <w:rPr>
          <w:sz w:val="24"/>
          <w:szCs w:val="24"/>
        </w:rPr>
        <w:t xml:space="preserve"> is required</w:t>
      </w:r>
      <w:r w:rsidR="00B91A9F" w:rsidRPr="00D74E8E">
        <w:rPr>
          <w:sz w:val="24"/>
          <w:szCs w:val="24"/>
        </w:rPr>
        <w:t xml:space="preserve"> (</w:t>
      </w:r>
      <w:r w:rsidR="00B91A9F" w:rsidRPr="00D74E8E">
        <w:rPr>
          <w:b/>
          <w:sz w:val="24"/>
          <w:szCs w:val="24"/>
        </w:rPr>
        <w:t xml:space="preserve">Attachment </w:t>
      </w:r>
      <w:r w:rsidR="006930A8" w:rsidRPr="00D74E8E">
        <w:rPr>
          <w:b/>
          <w:sz w:val="24"/>
          <w:szCs w:val="24"/>
        </w:rPr>
        <w:t>6</w:t>
      </w:r>
      <w:r w:rsidR="00B91A9F" w:rsidRPr="00D74E8E">
        <w:rPr>
          <w:b/>
          <w:sz w:val="24"/>
          <w:szCs w:val="24"/>
        </w:rPr>
        <w:t>b</w:t>
      </w:r>
      <w:r w:rsidR="00B91A9F" w:rsidRPr="00D74E8E">
        <w:rPr>
          <w:sz w:val="24"/>
          <w:szCs w:val="24"/>
        </w:rPr>
        <w:t>)</w:t>
      </w:r>
      <w:r w:rsidRPr="00D74E8E">
        <w:rPr>
          <w:b/>
          <w:sz w:val="24"/>
          <w:szCs w:val="24"/>
        </w:rPr>
        <w:t>.</w:t>
      </w:r>
    </w:p>
    <w:p w14:paraId="4AB9F60F" w14:textId="48055B05" w:rsidR="00007EA8" w:rsidRPr="00D74E8E" w:rsidRDefault="00FE1FD9" w:rsidP="000304FF">
      <w:pPr>
        <w:rPr>
          <w:rFonts w:ascii="Calibri" w:eastAsia="Times New Roman" w:hAnsi="Calibri" w:cs="Times New Roman"/>
          <w:sz w:val="24"/>
          <w:szCs w:val="24"/>
        </w:rPr>
      </w:pPr>
      <w:r w:rsidRPr="00D74E8E">
        <w:rPr>
          <w:bCs/>
          <w:sz w:val="24"/>
          <w:szCs w:val="24"/>
        </w:rPr>
        <w:t>Adult blood lead data are submitted to NIOSH on an annual basis and maintained and analy</w:t>
      </w:r>
      <w:r w:rsidR="002E5203" w:rsidRPr="00D74E8E">
        <w:rPr>
          <w:bCs/>
          <w:sz w:val="24"/>
          <w:szCs w:val="24"/>
        </w:rPr>
        <w:t xml:space="preserve">zed by NIOSH staff. </w:t>
      </w:r>
      <w:r w:rsidR="002E5203" w:rsidRPr="00D74E8E">
        <w:rPr>
          <w:b/>
          <w:bCs/>
          <w:sz w:val="24"/>
          <w:szCs w:val="24"/>
        </w:rPr>
        <w:t xml:space="preserve">Attachment </w:t>
      </w:r>
      <w:r w:rsidR="005B37A2" w:rsidRPr="00D74E8E">
        <w:rPr>
          <w:b/>
          <w:bCs/>
          <w:sz w:val="24"/>
          <w:szCs w:val="24"/>
        </w:rPr>
        <w:t>5</w:t>
      </w:r>
      <w:r w:rsidR="00AB01F2" w:rsidRPr="00D74E8E">
        <w:rPr>
          <w:b/>
          <w:bCs/>
          <w:sz w:val="24"/>
          <w:szCs w:val="24"/>
        </w:rPr>
        <w:t>c</w:t>
      </w:r>
      <w:r w:rsidRPr="00D74E8E">
        <w:rPr>
          <w:bCs/>
          <w:sz w:val="24"/>
          <w:szCs w:val="24"/>
        </w:rPr>
        <w:t xml:space="preserve"> provides a comprehensive list of </w:t>
      </w:r>
      <w:r w:rsidR="009E0FCD" w:rsidRPr="00D74E8E">
        <w:rPr>
          <w:bCs/>
          <w:sz w:val="24"/>
          <w:szCs w:val="24"/>
        </w:rPr>
        <w:t xml:space="preserve">individual </w:t>
      </w:r>
      <w:r w:rsidR="00F03AB4" w:rsidRPr="00D74E8E">
        <w:rPr>
          <w:bCs/>
          <w:sz w:val="24"/>
          <w:szCs w:val="24"/>
        </w:rPr>
        <w:t xml:space="preserve">“ABLES </w:t>
      </w:r>
      <w:r w:rsidR="00F73C5A" w:rsidRPr="00D74E8E">
        <w:rPr>
          <w:bCs/>
          <w:sz w:val="24"/>
          <w:szCs w:val="24"/>
        </w:rPr>
        <w:t>Case Records</w:t>
      </w:r>
      <w:r w:rsidR="00F03AB4" w:rsidRPr="00D74E8E">
        <w:rPr>
          <w:bCs/>
          <w:sz w:val="24"/>
          <w:szCs w:val="24"/>
        </w:rPr>
        <w:t>”</w:t>
      </w:r>
      <w:r w:rsidR="0019662A" w:rsidRPr="00D74E8E">
        <w:rPr>
          <w:bCs/>
          <w:sz w:val="24"/>
          <w:szCs w:val="24"/>
        </w:rPr>
        <w:t xml:space="preserve"> that </w:t>
      </w:r>
      <w:r w:rsidR="00B10ADD" w:rsidRPr="00D74E8E">
        <w:rPr>
          <w:bCs/>
          <w:sz w:val="24"/>
          <w:szCs w:val="24"/>
        </w:rPr>
        <w:t>will b</w:t>
      </w:r>
      <w:r w:rsidR="0019662A" w:rsidRPr="00D74E8E">
        <w:rPr>
          <w:bCs/>
          <w:sz w:val="24"/>
          <w:szCs w:val="24"/>
        </w:rPr>
        <w:t>e collected</w:t>
      </w:r>
      <w:r w:rsidR="00F73C5A" w:rsidRPr="00D74E8E">
        <w:rPr>
          <w:bCs/>
          <w:sz w:val="24"/>
          <w:szCs w:val="24"/>
        </w:rPr>
        <w:t xml:space="preserve"> </w:t>
      </w:r>
      <w:r w:rsidR="0019662A" w:rsidRPr="00D74E8E">
        <w:rPr>
          <w:bCs/>
          <w:sz w:val="24"/>
          <w:szCs w:val="24"/>
        </w:rPr>
        <w:t>by NIOSH</w:t>
      </w:r>
      <w:r w:rsidR="00F73C5A" w:rsidRPr="00D74E8E">
        <w:rPr>
          <w:bCs/>
          <w:sz w:val="24"/>
          <w:szCs w:val="24"/>
        </w:rPr>
        <w:t xml:space="preserve"> </w:t>
      </w:r>
      <w:r w:rsidR="00B10ADD" w:rsidRPr="00D74E8E">
        <w:rPr>
          <w:bCs/>
          <w:sz w:val="24"/>
          <w:szCs w:val="24"/>
        </w:rPr>
        <w:t>from about 80 percent of its respondents (n=32 of 40)</w:t>
      </w:r>
      <w:r w:rsidR="00396AA6" w:rsidRPr="00D74E8E">
        <w:rPr>
          <w:bCs/>
          <w:sz w:val="24"/>
          <w:szCs w:val="24"/>
        </w:rPr>
        <w:t>.</w:t>
      </w:r>
      <w:r w:rsidR="000101AC" w:rsidRPr="00D74E8E">
        <w:rPr>
          <w:bCs/>
          <w:sz w:val="24"/>
          <w:szCs w:val="24"/>
        </w:rPr>
        <w:t xml:space="preserve"> </w:t>
      </w:r>
      <w:r w:rsidR="00AB01F2" w:rsidRPr="00D74E8E">
        <w:rPr>
          <w:b/>
          <w:bCs/>
          <w:sz w:val="24"/>
          <w:szCs w:val="24"/>
        </w:rPr>
        <w:t>Attachment 5d</w:t>
      </w:r>
      <w:r w:rsidR="00131040" w:rsidRPr="00D74E8E">
        <w:rPr>
          <w:rFonts w:ascii="Calibri" w:eastAsia="Times New Roman" w:hAnsi="Calibri" w:cs="Times New Roman"/>
          <w:sz w:val="24"/>
          <w:szCs w:val="24"/>
        </w:rPr>
        <w:t xml:space="preserve"> provides the aggregate fields </w:t>
      </w:r>
      <w:r w:rsidR="00B10ADD" w:rsidRPr="00D74E8E">
        <w:rPr>
          <w:rFonts w:ascii="Calibri" w:eastAsia="Times New Roman" w:hAnsi="Calibri" w:cs="Times New Roman"/>
          <w:sz w:val="24"/>
          <w:szCs w:val="24"/>
        </w:rPr>
        <w:t>anticipated to</w:t>
      </w:r>
      <w:r w:rsidR="00474750" w:rsidRPr="00D74E8E">
        <w:rPr>
          <w:rFonts w:ascii="Calibri" w:eastAsia="Times New Roman" w:hAnsi="Calibri" w:cs="Times New Roman"/>
          <w:sz w:val="24"/>
          <w:szCs w:val="24"/>
        </w:rPr>
        <w:t xml:space="preserve"> be </w:t>
      </w:r>
      <w:r w:rsidR="00131040" w:rsidRPr="00D74E8E">
        <w:rPr>
          <w:rFonts w:ascii="Calibri" w:eastAsia="Times New Roman" w:hAnsi="Calibri" w:cs="Times New Roman"/>
          <w:sz w:val="24"/>
          <w:szCs w:val="24"/>
        </w:rPr>
        <w:t>reported</w:t>
      </w:r>
      <w:r w:rsidR="00474750" w:rsidRPr="00D74E8E">
        <w:rPr>
          <w:rFonts w:ascii="Calibri" w:eastAsia="Times New Roman" w:hAnsi="Calibri" w:cs="Times New Roman"/>
          <w:sz w:val="24"/>
          <w:szCs w:val="24"/>
        </w:rPr>
        <w:t xml:space="preserve"> to NIOSH from approximately 20 percent of its</w:t>
      </w:r>
      <w:r w:rsidR="00131040" w:rsidRPr="00D74E8E">
        <w:rPr>
          <w:rFonts w:ascii="Calibri" w:eastAsia="Times New Roman" w:hAnsi="Calibri" w:cs="Times New Roman"/>
          <w:sz w:val="24"/>
          <w:szCs w:val="24"/>
        </w:rPr>
        <w:t xml:space="preserve"> respondent</w:t>
      </w:r>
      <w:r w:rsidR="00474750" w:rsidRPr="00D74E8E">
        <w:rPr>
          <w:rFonts w:ascii="Calibri" w:eastAsia="Times New Roman" w:hAnsi="Calibri" w:cs="Times New Roman"/>
          <w:sz w:val="24"/>
          <w:szCs w:val="24"/>
        </w:rPr>
        <w:t>s (n=8 of 40)</w:t>
      </w:r>
      <w:r w:rsidR="00131040" w:rsidRPr="00D74E8E">
        <w:rPr>
          <w:rFonts w:ascii="Calibri" w:eastAsia="Times New Roman" w:hAnsi="Calibri" w:cs="Times New Roman"/>
          <w:sz w:val="24"/>
          <w:szCs w:val="24"/>
        </w:rPr>
        <w:t>.</w:t>
      </w:r>
      <w:r w:rsidR="001018CE" w:rsidRPr="00D74E8E">
        <w:rPr>
          <w:rFonts w:ascii="Calibri" w:eastAsia="Times New Roman" w:hAnsi="Calibri" w:cs="Times New Roman"/>
          <w:sz w:val="24"/>
          <w:szCs w:val="24"/>
        </w:rPr>
        <w:t xml:space="preserve"> These two reporting options are offered by NIOSH due to differences in program capacity in the states.</w:t>
      </w:r>
    </w:p>
    <w:p w14:paraId="2E5D1E62" w14:textId="56C50A04" w:rsidR="00007EA8" w:rsidRPr="00D74E8E" w:rsidRDefault="00007EA8" w:rsidP="00B91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76" w:lineRule="auto"/>
        <w:rPr>
          <w:bCs/>
          <w:sz w:val="24"/>
          <w:szCs w:val="24"/>
          <w:u w:val="single"/>
        </w:rPr>
      </w:pPr>
      <w:r w:rsidRPr="00D74E8E">
        <w:rPr>
          <w:bCs/>
          <w:sz w:val="24"/>
          <w:szCs w:val="24"/>
          <w:u w:val="single"/>
        </w:rPr>
        <w:t xml:space="preserve">State ABLES </w:t>
      </w:r>
      <w:r w:rsidR="00BE13BC" w:rsidRPr="00D74E8E">
        <w:rPr>
          <w:bCs/>
          <w:sz w:val="24"/>
          <w:szCs w:val="24"/>
          <w:u w:val="single"/>
        </w:rPr>
        <w:t>Collection and Reporting</w:t>
      </w:r>
    </w:p>
    <w:p w14:paraId="71D15243" w14:textId="3FB255A7" w:rsidR="0066038C" w:rsidRPr="00D74E8E" w:rsidRDefault="0066038C" w:rsidP="00B91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76" w:lineRule="auto"/>
        <w:rPr>
          <w:rFonts w:cs="Times New Roman"/>
          <w:sz w:val="24"/>
          <w:szCs w:val="24"/>
        </w:rPr>
      </w:pPr>
      <w:r w:rsidRPr="00D74E8E">
        <w:rPr>
          <w:rFonts w:cs="Times New Roman"/>
          <w:sz w:val="24"/>
          <w:szCs w:val="24"/>
        </w:rPr>
        <w:t xml:space="preserve">For states to be eligible to participate in the ABLES </w:t>
      </w:r>
      <w:r w:rsidR="00D844E5">
        <w:rPr>
          <w:rFonts w:cs="Times New Roman"/>
          <w:sz w:val="24"/>
          <w:szCs w:val="24"/>
        </w:rPr>
        <w:t>Program</w:t>
      </w:r>
      <w:r w:rsidRPr="00D74E8E">
        <w:rPr>
          <w:rFonts w:cs="Times New Roman"/>
          <w:sz w:val="24"/>
          <w:szCs w:val="24"/>
        </w:rPr>
        <w:t xml:space="preserve">, they must have mandatory state regulations requiring the reporting of adult BLLs by both public and private laboratories.  State regulations require that the adult BLLs be reported to the state health department or another state health agency or department designated by the state to direct and coordinate the state’s adult lead poisoning surveillance program.  This is the only entity in each state which can supply to CDC the data required for the ABLES </w:t>
      </w:r>
      <w:r w:rsidR="00D844E5">
        <w:rPr>
          <w:rFonts w:cs="Times New Roman"/>
          <w:sz w:val="24"/>
          <w:szCs w:val="24"/>
        </w:rPr>
        <w:t>Program</w:t>
      </w:r>
      <w:r w:rsidRPr="00D74E8E">
        <w:rPr>
          <w:rFonts w:cs="Times New Roman"/>
          <w:sz w:val="24"/>
          <w:szCs w:val="24"/>
        </w:rPr>
        <w:t>.</w:t>
      </w:r>
    </w:p>
    <w:p w14:paraId="334E001B" w14:textId="43D85491" w:rsidR="00CA16D9" w:rsidRPr="00D74E8E" w:rsidRDefault="0066038C" w:rsidP="00B91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76" w:lineRule="auto"/>
        <w:rPr>
          <w:rFonts w:cs="Times New Roman"/>
          <w:sz w:val="24"/>
          <w:szCs w:val="24"/>
        </w:rPr>
      </w:pPr>
      <w:r w:rsidRPr="00D74E8E">
        <w:rPr>
          <w:rFonts w:cs="Times New Roman"/>
          <w:sz w:val="24"/>
          <w:szCs w:val="24"/>
        </w:rPr>
        <w:t xml:space="preserve">State ABLES </w:t>
      </w:r>
      <w:r w:rsidR="00D844E5">
        <w:rPr>
          <w:rFonts w:cs="Times New Roman"/>
          <w:sz w:val="24"/>
          <w:szCs w:val="24"/>
        </w:rPr>
        <w:t>Program</w:t>
      </w:r>
      <w:r w:rsidRPr="00D74E8E">
        <w:rPr>
          <w:rFonts w:cs="Times New Roman"/>
          <w:sz w:val="24"/>
          <w:szCs w:val="24"/>
        </w:rPr>
        <w:t>s 1) collect data on adult BLLs from laboratories and physicians through mandatory reporting; 2) assign unique identifiers to each adult to account for multiple BLL records per person, protect individual privacy, and permit longitudinal analyses; 3) follow-up on adults with BLLs ≥10 or ≥25 μg/dL</w:t>
      </w:r>
      <w:r w:rsidR="00CD6CF2" w:rsidRPr="00D74E8E">
        <w:rPr>
          <w:rStyle w:val="FootnoteReference"/>
          <w:rFonts w:cs="Times New Roman"/>
          <w:sz w:val="24"/>
          <w:szCs w:val="24"/>
        </w:rPr>
        <w:footnoteReference w:id="19"/>
      </w:r>
      <w:r w:rsidRPr="00D74E8E">
        <w:rPr>
          <w:rFonts w:cs="Times New Roman"/>
          <w:sz w:val="24"/>
          <w:szCs w:val="24"/>
        </w:rPr>
        <w:t xml:space="preserve"> via laboratories, health care providers, employers, or workers to ensure completeness of information (e.g., the industry in which the adult is employed and whether the exposure source is occupational, non-occupational, or both); 4) provide guidance and information to workers and employers to prevent lead exposures; and 5) submit individual or aggregated data annually to NIOSH. </w:t>
      </w:r>
    </w:p>
    <w:p w14:paraId="2C638178" w14:textId="12A39CAD" w:rsidR="008805C8" w:rsidRPr="00D74E8E" w:rsidRDefault="000E4D45" w:rsidP="008C5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76" w:lineRule="auto"/>
        <w:rPr>
          <w:rFonts w:cs="Times New Roman"/>
          <w:sz w:val="24"/>
          <w:szCs w:val="24"/>
        </w:rPr>
      </w:pPr>
      <w:r w:rsidRPr="00D74E8E">
        <w:rPr>
          <w:rFonts w:cs="Times New Roman"/>
          <w:sz w:val="24"/>
          <w:szCs w:val="24"/>
        </w:rPr>
        <w:t xml:space="preserve">State ABLES </w:t>
      </w:r>
      <w:r w:rsidR="00D844E5">
        <w:rPr>
          <w:rFonts w:cs="Times New Roman"/>
          <w:sz w:val="24"/>
          <w:szCs w:val="24"/>
        </w:rPr>
        <w:t>Program</w:t>
      </w:r>
      <w:r w:rsidRPr="00D74E8E">
        <w:rPr>
          <w:rFonts w:cs="Times New Roman"/>
          <w:sz w:val="24"/>
          <w:szCs w:val="24"/>
        </w:rPr>
        <w:t xml:space="preserve">s submit </w:t>
      </w:r>
      <w:r w:rsidRPr="00D74E8E">
        <w:rPr>
          <w:rFonts w:cs="Times New Roman"/>
          <w:bCs/>
          <w:sz w:val="24"/>
          <w:szCs w:val="24"/>
        </w:rPr>
        <w:t>an electronic data file</w:t>
      </w:r>
      <w:r w:rsidRPr="00D74E8E">
        <w:rPr>
          <w:rFonts w:cs="Times New Roman"/>
          <w:sz w:val="24"/>
          <w:szCs w:val="24"/>
        </w:rPr>
        <w:t xml:space="preserve"> each year (e.g., </w:t>
      </w:r>
      <w:r w:rsidR="00CA16D9" w:rsidRPr="00D74E8E">
        <w:rPr>
          <w:sz w:val="24"/>
          <w:szCs w:val="24"/>
        </w:rPr>
        <w:t>Excel</w:t>
      </w:r>
      <w:r w:rsidR="00D81DEF" w:rsidRPr="00D74E8E">
        <w:rPr>
          <w:sz w:val="24"/>
          <w:szCs w:val="24"/>
        </w:rPr>
        <w:t xml:space="preserve"> spreadsheet</w:t>
      </w:r>
      <w:r w:rsidRPr="00D74E8E">
        <w:rPr>
          <w:rFonts w:cs="Times New Roman"/>
          <w:sz w:val="24"/>
          <w:szCs w:val="24"/>
        </w:rPr>
        <w:t xml:space="preserve">) by the first or second quarter of the succeeding calendar year. </w:t>
      </w:r>
      <w:r w:rsidR="002559F7" w:rsidRPr="00D74E8E">
        <w:rPr>
          <w:rFonts w:cs="Times New Roman"/>
          <w:sz w:val="24"/>
          <w:szCs w:val="24"/>
        </w:rPr>
        <w:t>States may submit data in two different data collection formats</w:t>
      </w:r>
      <w:r w:rsidR="0063114B" w:rsidRPr="00D74E8E">
        <w:rPr>
          <w:rFonts w:cs="Times New Roman"/>
          <w:sz w:val="24"/>
          <w:szCs w:val="24"/>
        </w:rPr>
        <w:t>:</w:t>
      </w:r>
      <w:r w:rsidR="002559F7" w:rsidRPr="00D74E8E">
        <w:rPr>
          <w:rFonts w:cs="Times New Roman"/>
          <w:sz w:val="24"/>
          <w:szCs w:val="24"/>
        </w:rPr>
        <w:t xml:space="preserve"> 1) </w:t>
      </w:r>
      <w:r w:rsidR="00E85070" w:rsidRPr="00D74E8E">
        <w:rPr>
          <w:rFonts w:cs="Times New Roman"/>
          <w:sz w:val="24"/>
          <w:szCs w:val="24"/>
        </w:rPr>
        <w:t xml:space="preserve">individual data records for each case, and 2) </w:t>
      </w:r>
      <w:r w:rsidR="002559F7" w:rsidRPr="00D74E8E">
        <w:rPr>
          <w:rFonts w:cs="Times New Roman"/>
          <w:sz w:val="24"/>
          <w:szCs w:val="24"/>
        </w:rPr>
        <w:t>aggregated data in which only the final counts are provided</w:t>
      </w:r>
      <w:r w:rsidR="002559F7" w:rsidRPr="00D74E8E">
        <w:rPr>
          <w:rFonts w:cs="Times New Roman"/>
          <w:bCs/>
          <w:sz w:val="24"/>
          <w:szCs w:val="24"/>
        </w:rPr>
        <w:t xml:space="preserve"> (</w:t>
      </w:r>
      <w:r w:rsidR="002559F7" w:rsidRPr="00D74E8E">
        <w:rPr>
          <w:rFonts w:cs="Times New Roman"/>
          <w:b/>
          <w:sz w:val="24"/>
          <w:szCs w:val="24"/>
        </w:rPr>
        <w:t>Attachment</w:t>
      </w:r>
      <w:r w:rsidR="00D61737" w:rsidRPr="00D74E8E">
        <w:rPr>
          <w:rFonts w:cs="Times New Roman"/>
          <w:b/>
          <w:sz w:val="24"/>
          <w:szCs w:val="24"/>
        </w:rPr>
        <w:t>s</w:t>
      </w:r>
      <w:r w:rsidR="002559F7" w:rsidRPr="00D74E8E">
        <w:rPr>
          <w:rFonts w:cs="Times New Roman"/>
          <w:b/>
          <w:sz w:val="24"/>
          <w:szCs w:val="24"/>
        </w:rPr>
        <w:t xml:space="preserve"> 5</w:t>
      </w:r>
      <w:r w:rsidR="00131040" w:rsidRPr="00D74E8E">
        <w:rPr>
          <w:rFonts w:cs="Times New Roman"/>
          <w:b/>
          <w:sz w:val="24"/>
          <w:szCs w:val="24"/>
        </w:rPr>
        <w:t>c</w:t>
      </w:r>
      <w:r w:rsidR="00D61737" w:rsidRPr="00D74E8E">
        <w:rPr>
          <w:rFonts w:cs="Times New Roman"/>
          <w:b/>
          <w:sz w:val="24"/>
          <w:szCs w:val="24"/>
        </w:rPr>
        <w:t xml:space="preserve"> &amp; 5d</w:t>
      </w:r>
      <w:r w:rsidR="002559F7" w:rsidRPr="00D74E8E">
        <w:rPr>
          <w:rFonts w:cs="Times New Roman"/>
          <w:bCs/>
          <w:sz w:val="24"/>
          <w:szCs w:val="24"/>
        </w:rPr>
        <w:t>). The data file includes</w:t>
      </w:r>
      <w:r w:rsidR="002559F7" w:rsidRPr="00D74E8E">
        <w:rPr>
          <w:rFonts w:cs="Times New Roman"/>
          <w:sz w:val="24"/>
          <w:szCs w:val="24"/>
        </w:rPr>
        <w:t xml:space="preserve">: </w:t>
      </w:r>
    </w:p>
    <w:p w14:paraId="383F9BEB" w14:textId="4D04C93B" w:rsidR="00CA16D9" w:rsidRPr="00D74E8E" w:rsidRDefault="002559F7" w:rsidP="00B91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76" w:lineRule="auto"/>
        <w:rPr>
          <w:rFonts w:cs="Times New Roman"/>
          <w:sz w:val="24"/>
          <w:szCs w:val="24"/>
        </w:rPr>
      </w:pPr>
      <w:r w:rsidRPr="00D74E8E">
        <w:rPr>
          <w:rFonts w:cs="Times New Roman"/>
          <w:sz w:val="24"/>
          <w:szCs w:val="24"/>
        </w:rPr>
        <w:t xml:space="preserve">1) </w:t>
      </w:r>
      <w:r w:rsidR="003443F3" w:rsidRPr="00D74E8E">
        <w:rPr>
          <w:rFonts w:cs="Times New Roman"/>
          <w:sz w:val="24"/>
          <w:szCs w:val="24"/>
        </w:rPr>
        <w:t>t</w:t>
      </w:r>
      <w:r w:rsidRPr="00D74E8E">
        <w:rPr>
          <w:rFonts w:cs="Times New Roman"/>
          <w:sz w:val="24"/>
          <w:szCs w:val="24"/>
        </w:rPr>
        <w:t>he data in the prescribed format</w:t>
      </w:r>
      <w:r w:rsidR="00B232B1" w:rsidRPr="00D74E8E">
        <w:rPr>
          <w:rFonts w:cs="Times New Roman"/>
          <w:sz w:val="24"/>
          <w:szCs w:val="24"/>
        </w:rPr>
        <w:t>;</w:t>
      </w:r>
      <w:r w:rsidRPr="00D74E8E">
        <w:rPr>
          <w:rFonts w:cs="Times New Roman"/>
          <w:sz w:val="24"/>
          <w:szCs w:val="24"/>
        </w:rPr>
        <w:t xml:space="preserve"> </w:t>
      </w:r>
      <w:r w:rsidR="00B232B1" w:rsidRPr="00D74E8E">
        <w:rPr>
          <w:rFonts w:cs="Times New Roman"/>
          <w:sz w:val="24"/>
          <w:szCs w:val="24"/>
        </w:rPr>
        <w:t xml:space="preserve">and </w:t>
      </w:r>
      <w:r w:rsidRPr="00D74E8E">
        <w:rPr>
          <w:rFonts w:cs="Times New Roman"/>
          <w:sz w:val="24"/>
          <w:szCs w:val="24"/>
        </w:rPr>
        <w:t>2) a brief narrative report describing any notable lead surveillance activities during the year. The electronic file may be submitted through secure email, secure web login, or through encrypted secure FTP sites.</w:t>
      </w:r>
    </w:p>
    <w:p w14:paraId="6E442A5A" w14:textId="5C7D6162" w:rsidR="000E4D45" w:rsidRPr="00D74E8E" w:rsidRDefault="000E4D45" w:rsidP="00B91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76" w:lineRule="auto"/>
        <w:rPr>
          <w:rFonts w:cs="Times New Roman"/>
          <w:sz w:val="24"/>
          <w:szCs w:val="24"/>
          <w:u w:val="single"/>
        </w:rPr>
      </w:pPr>
      <w:r w:rsidRPr="00D74E8E">
        <w:rPr>
          <w:rFonts w:cs="Times New Roman"/>
          <w:sz w:val="24"/>
          <w:szCs w:val="24"/>
          <w:u w:val="single"/>
        </w:rPr>
        <w:t>NIOSH ABLES Data Processing</w:t>
      </w:r>
      <w:r w:rsidR="00EA2617" w:rsidRPr="00D74E8E">
        <w:rPr>
          <w:rFonts w:cs="Times New Roman"/>
          <w:sz w:val="24"/>
          <w:szCs w:val="24"/>
          <w:u w:val="single"/>
        </w:rPr>
        <w:t xml:space="preserve"> and Re</w:t>
      </w:r>
      <w:r w:rsidR="00CC4BD8" w:rsidRPr="00D74E8E">
        <w:rPr>
          <w:rFonts w:cs="Times New Roman"/>
          <w:sz w:val="24"/>
          <w:szCs w:val="24"/>
          <w:u w:val="single"/>
        </w:rPr>
        <w:t>lease</w:t>
      </w:r>
    </w:p>
    <w:p w14:paraId="064DB6F3" w14:textId="0EBF0478" w:rsidR="0066038C" w:rsidRPr="00D74E8E" w:rsidRDefault="0066038C" w:rsidP="00B91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76" w:lineRule="auto"/>
        <w:rPr>
          <w:rFonts w:cs="Times New Roman"/>
          <w:sz w:val="24"/>
          <w:szCs w:val="24"/>
        </w:rPr>
      </w:pPr>
      <w:r w:rsidRPr="00D74E8E">
        <w:rPr>
          <w:rFonts w:cs="Times New Roman"/>
          <w:sz w:val="24"/>
          <w:szCs w:val="24"/>
        </w:rPr>
        <w:t xml:space="preserve">NIOSH consolidates data from reporting state ABLES </w:t>
      </w:r>
      <w:r w:rsidR="00D844E5">
        <w:rPr>
          <w:rFonts w:cs="Times New Roman"/>
          <w:sz w:val="24"/>
          <w:szCs w:val="24"/>
        </w:rPr>
        <w:t>Program</w:t>
      </w:r>
      <w:r w:rsidRPr="00D74E8E">
        <w:rPr>
          <w:rFonts w:cs="Times New Roman"/>
          <w:sz w:val="24"/>
          <w:szCs w:val="24"/>
        </w:rPr>
        <w:t xml:space="preserve">s, conducts data quality control, analyzes the data, and disseminates the findings among stakeholders. </w:t>
      </w:r>
    </w:p>
    <w:p w14:paraId="456A0C4D" w14:textId="2C7396E5" w:rsidR="00FD1E5A" w:rsidRPr="00D74E8E" w:rsidRDefault="0066038C" w:rsidP="00B91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76" w:lineRule="auto"/>
        <w:rPr>
          <w:rFonts w:cs="Times New Roman"/>
          <w:bCs/>
          <w:sz w:val="24"/>
          <w:szCs w:val="24"/>
        </w:rPr>
      </w:pPr>
      <w:r w:rsidRPr="00D74E8E">
        <w:rPr>
          <w:rFonts w:cs="Times New Roman"/>
          <w:bCs/>
          <w:sz w:val="24"/>
          <w:szCs w:val="24"/>
        </w:rPr>
        <w:t xml:space="preserve">The report is derived from state tracking </w:t>
      </w:r>
      <w:r w:rsidR="005E0A7B" w:rsidRPr="00D74E8E">
        <w:rPr>
          <w:rFonts w:cs="Times New Roman"/>
          <w:bCs/>
          <w:sz w:val="24"/>
          <w:szCs w:val="24"/>
        </w:rPr>
        <w:t>databases, which consist of test results submitted,</w:t>
      </w:r>
      <w:r w:rsidRPr="00D74E8E">
        <w:rPr>
          <w:rFonts w:cs="Times New Roman"/>
          <w:bCs/>
          <w:sz w:val="24"/>
          <w:szCs w:val="24"/>
        </w:rPr>
        <w:t xml:space="preserve"> by laboratories and related follow-up data on adults wi</w:t>
      </w:r>
      <w:r w:rsidR="0033054C" w:rsidRPr="00D74E8E">
        <w:rPr>
          <w:rFonts w:cs="Times New Roman"/>
          <w:bCs/>
          <w:sz w:val="24"/>
          <w:szCs w:val="24"/>
        </w:rPr>
        <w:t>th elevated BLLs</w:t>
      </w:r>
      <w:r w:rsidRPr="00D74E8E">
        <w:rPr>
          <w:rFonts w:cs="Times New Roman"/>
          <w:bCs/>
          <w:sz w:val="24"/>
          <w:szCs w:val="24"/>
        </w:rPr>
        <w:t>.</w:t>
      </w:r>
    </w:p>
    <w:p w14:paraId="26FDB7D6" w14:textId="30852FA6" w:rsidR="004E4CB1" w:rsidRPr="00D74E8E" w:rsidRDefault="0019662A" w:rsidP="00FD1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76" w:lineRule="auto"/>
        <w:rPr>
          <w:rFonts w:cs="Times New Roman"/>
          <w:bCs/>
          <w:sz w:val="24"/>
          <w:szCs w:val="24"/>
        </w:rPr>
      </w:pPr>
      <w:r w:rsidRPr="00D74E8E">
        <w:rPr>
          <w:sz w:val="24"/>
          <w:szCs w:val="24"/>
        </w:rPr>
        <w:t>Items of ABLES information to be collected:</w:t>
      </w:r>
      <w:r w:rsidR="000303A5" w:rsidRPr="00D74E8E">
        <w:rPr>
          <w:sz w:val="24"/>
          <w:szCs w:val="24"/>
        </w:rPr>
        <w:t xml:space="preserve"> </w:t>
      </w:r>
      <w:r w:rsidR="004B3399" w:rsidRPr="00D74E8E">
        <w:rPr>
          <w:sz w:val="24"/>
          <w:szCs w:val="24"/>
        </w:rPr>
        <w:t xml:space="preserve">All adults are assigned a unique identifier specific to their blood lead test records by state ABLES </w:t>
      </w:r>
      <w:r w:rsidR="00D844E5">
        <w:rPr>
          <w:sz w:val="24"/>
          <w:szCs w:val="24"/>
        </w:rPr>
        <w:t>Program</w:t>
      </w:r>
      <w:r w:rsidR="004B3399" w:rsidRPr="00D74E8E">
        <w:rPr>
          <w:sz w:val="24"/>
          <w:szCs w:val="24"/>
        </w:rPr>
        <w:t>s</w:t>
      </w:r>
      <w:r w:rsidR="004B3399" w:rsidRPr="00D74E8E">
        <w:rPr>
          <w:rFonts w:cs="Times New Roman"/>
          <w:bCs/>
          <w:sz w:val="24"/>
          <w:szCs w:val="24"/>
        </w:rPr>
        <w:t xml:space="preserve">.  </w:t>
      </w:r>
      <w:r w:rsidR="00FB171A" w:rsidRPr="00D74E8E">
        <w:rPr>
          <w:rFonts w:cs="Times New Roman"/>
          <w:bCs/>
          <w:sz w:val="24"/>
          <w:szCs w:val="24"/>
        </w:rPr>
        <w:t>For ABLES, date of birth is included in the data files transmitted electronically to CDC. The date</w:t>
      </w:r>
      <w:r w:rsidR="00DC58E6" w:rsidRPr="00D74E8E">
        <w:rPr>
          <w:rFonts w:cs="Times New Roman"/>
          <w:bCs/>
          <w:sz w:val="24"/>
          <w:szCs w:val="24"/>
        </w:rPr>
        <w:t xml:space="preserve"> of birth</w:t>
      </w:r>
      <w:r w:rsidR="00FB171A" w:rsidRPr="00D74E8E">
        <w:rPr>
          <w:rFonts w:cs="Times New Roman"/>
          <w:bCs/>
          <w:sz w:val="24"/>
          <w:szCs w:val="24"/>
        </w:rPr>
        <w:t xml:space="preserve"> is used to standardize the calculation of age because CDC has found that many state and local health departments vary in the format that they use for age (e.g., rounding errors up or down).</w:t>
      </w:r>
      <w:r w:rsidR="001F4189" w:rsidRPr="00D74E8E">
        <w:rPr>
          <w:rFonts w:cs="Times New Roman"/>
          <w:bCs/>
          <w:sz w:val="24"/>
          <w:szCs w:val="24"/>
        </w:rPr>
        <w:t xml:space="preserve"> </w:t>
      </w:r>
      <w:r w:rsidR="001F4189" w:rsidRPr="00D74E8E">
        <w:rPr>
          <w:rFonts w:cs="Times New Roman"/>
          <w:sz w:val="24"/>
          <w:szCs w:val="24"/>
        </w:rPr>
        <w:t xml:space="preserve">CDC requires date of birth because the age will dictate which state/local program will complete follow-up of the individual (i.e. adult versus child). The age can also assist in identifying duplicate entries for a given ID.  </w:t>
      </w:r>
      <w:r w:rsidR="005E0A7B" w:rsidRPr="00D74E8E">
        <w:rPr>
          <w:rFonts w:cs="Times New Roman"/>
          <w:sz w:val="24"/>
          <w:szCs w:val="24"/>
        </w:rPr>
        <w:t>In addition</w:t>
      </w:r>
      <w:r w:rsidR="001F4189" w:rsidRPr="00D74E8E">
        <w:rPr>
          <w:rFonts w:cs="Times New Roman"/>
          <w:sz w:val="24"/>
          <w:szCs w:val="24"/>
        </w:rPr>
        <w:t xml:space="preserve">, if a woman is of </w:t>
      </w:r>
      <w:r w:rsidR="005E0A7B" w:rsidRPr="00D74E8E">
        <w:rPr>
          <w:rFonts w:cs="Times New Roman"/>
          <w:sz w:val="24"/>
          <w:szCs w:val="24"/>
        </w:rPr>
        <w:t>childbearing</w:t>
      </w:r>
      <w:r w:rsidR="001F4189" w:rsidRPr="00D74E8E">
        <w:rPr>
          <w:rFonts w:cs="Times New Roman"/>
          <w:sz w:val="24"/>
          <w:szCs w:val="24"/>
        </w:rPr>
        <w:t xml:space="preserve"> age, this could help state/local programs to target focused case management. Please see </w:t>
      </w:r>
      <w:r w:rsidR="001F4189" w:rsidRPr="00D74E8E">
        <w:rPr>
          <w:rFonts w:cs="Times New Roman"/>
          <w:b/>
          <w:sz w:val="24"/>
          <w:szCs w:val="24"/>
        </w:rPr>
        <w:t>Attachment 5</w:t>
      </w:r>
      <w:r w:rsidR="00131040" w:rsidRPr="00D74E8E">
        <w:rPr>
          <w:rFonts w:cs="Times New Roman"/>
          <w:b/>
          <w:sz w:val="24"/>
          <w:szCs w:val="24"/>
        </w:rPr>
        <w:t>c</w:t>
      </w:r>
      <w:r w:rsidR="001F4189" w:rsidRPr="00D74E8E">
        <w:rPr>
          <w:rFonts w:cs="Times New Roman"/>
          <w:sz w:val="24"/>
          <w:szCs w:val="24"/>
        </w:rPr>
        <w:t xml:space="preserve"> for a full list of variables.</w:t>
      </w:r>
    </w:p>
    <w:p w14:paraId="7D0EA301" w14:textId="77777777" w:rsidR="003F615B" w:rsidRPr="00D74E8E" w:rsidRDefault="00190B00" w:rsidP="00190B00">
      <w:pPr>
        <w:pStyle w:val="CommentText"/>
        <w:spacing w:after="0"/>
        <w:ind w:left="720"/>
        <w:rPr>
          <w:sz w:val="24"/>
          <w:szCs w:val="24"/>
        </w:rPr>
      </w:pPr>
      <w:r w:rsidRPr="00D74E8E">
        <w:rPr>
          <w:rFonts w:ascii="Segoe UI Symbol" w:hAnsi="Segoe UI Symbol" w:cs="Segoe UI Symbol"/>
          <w:sz w:val="24"/>
          <w:szCs w:val="24"/>
        </w:rPr>
        <w:t>❑</w:t>
      </w:r>
      <w:r w:rsidRPr="00D74E8E">
        <w:rPr>
          <w:sz w:val="24"/>
          <w:szCs w:val="24"/>
        </w:rPr>
        <w:t xml:space="preserve"> </w:t>
      </w:r>
      <w:r w:rsidR="003F615B" w:rsidRPr="00D74E8E">
        <w:rPr>
          <w:sz w:val="24"/>
          <w:szCs w:val="24"/>
        </w:rPr>
        <w:t>State-assigned unique ID number for adult</w:t>
      </w:r>
    </w:p>
    <w:p w14:paraId="339DFB41" w14:textId="3505A136" w:rsidR="00282452" w:rsidRPr="00D74E8E" w:rsidRDefault="003F615B" w:rsidP="00F95DD8">
      <w:pPr>
        <w:pStyle w:val="CommentText"/>
        <w:spacing w:after="0"/>
        <w:ind w:left="720"/>
        <w:rPr>
          <w:sz w:val="24"/>
          <w:szCs w:val="24"/>
        </w:rPr>
      </w:pPr>
      <w:r w:rsidRPr="00D74E8E">
        <w:rPr>
          <w:rFonts w:ascii="Segoe UI Symbol" w:hAnsi="Segoe UI Symbol" w:cs="Segoe UI Symbol"/>
          <w:sz w:val="24"/>
          <w:szCs w:val="24"/>
        </w:rPr>
        <w:t>❑</w:t>
      </w:r>
      <w:r w:rsidRPr="00D74E8E">
        <w:rPr>
          <w:sz w:val="24"/>
          <w:szCs w:val="24"/>
        </w:rPr>
        <w:t xml:space="preserve"> </w:t>
      </w:r>
      <w:r w:rsidR="00190B00" w:rsidRPr="00D74E8E">
        <w:rPr>
          <w:sz w:val="24"/>
          <w:szCs w:val="24"/>
        </w:rPr>
        <w:t>Date of Birth</w:t>
      </w:r>
    </w:p>
    <w:p w14:paraId="1D676643" w14:textId="20DD945A" w:rsidR="00190B00" w:rsidRPr="00D74E8E" w:rsidRDefault="00190B00" w:rsidP="00190B00">
      <w:pPr>
        <w:pStyle w:val="CommentText"/>
        <w:spacing w:after="0"/>
        <w:ind w:left="720"/>
        <w:rPr>
          <w:sz w:val="24"/>
          <w:szCs w:val="24"/>
        </w:rPr>
      </w:pPr>
      <w:r w:rsidRPr="00D74E8E">
        <w:rPr>
          <w:rFonts w:ascii="Segoe UI Symbol" w:hAnsi="Segoe UI Symbol" w:cs="Segoe UI Symbol"/>
          <w:sz w:val="24"/>
          <w:szCs w:val="24"/>
        </w:rPr>
        <w:t>❑</w:t>
      </w:r>
      <w:r w:rsidR="003F615B" w:rsidRPr="00D74E8E">
        <w:rPr>
          <w:sz w:val="24"/>
          <w:szCs w:val="24"/>
        </w:rPr>
        <w:t xml:space="preserve"> Sex</w:t>
      </w:r>
    </w:p>
    <w:p w14:paraId="618DC964" w14:textId="1E8D8C33" w:rsidR="0033054C" w:rsidRPr="00D74E8E" w:rsidRDefault="00190B00" w:rsidP="00FB171A">
      <w:pPr>
        <w:pStyle w:val="CommentText"/>
        <w:spacing w:after="240"/>
        <w:ind w:left="720"/>
        <w:rPr>
          <w:sz w:val="24"/>
          <w:szCs w:val="24"/>
        </w:rPr>
      </w:pPr>
      <w:r w:rsidRPr="00D74E8E">
        <w:rPr>
          <w:rFonts w:ascii="Segoe UI Symbol" w:hAnsi="Segoe UI Symbol" w:cs="Segoe UI Symbol"/>
          <w:sz w:val="24"/>
          <w:szCs w:val="24"/>
        </w:rPr>
        <w:t>❑</w:t>
      </w:r>
      <w:r w:rsidR="003F615B" w:rsidRPr="00D74E8E">
        <w:rPr>
          <w:sz w:val="24"/>
          <w:szCs w:val="24"/>
        </w:rPr>
        <w:t xml:space="preserve"> Race</w:t>
      </w:r>
      <w:r w:rsidR="000B5F12" w:rsidRPr="00D74E8E">
        <w:rPr>
          <w:sz w:val="24"/>
          <w:szCs w:val="24"/>
        </w:rPr>
        <w:t xml:space="preserve"> </w:t>
      </w:r>
    </w:p>
    <w:p w14:paraId="25AA1323" w14:textId="40F84FCE" w:rsidR="000B3000" w:rsidRPr="00D74E8E" w:rsidRDefault="000B3000" w:rsidP="00BE4BA4">
      <w:pPr>
        <w:spacing w:line="276" w:lineRule="auto"/>
      </w:pPr>
      <w:r w:rsidRPr="00D74E8E">
        <w:rPr>
          <w:rFonts w:cs="Times New Roman"/>
          <w:sz w:val="24"/>
          <w:szCs w:val="24"/>
        </w:rPr>
        <w:t xml:space="preserve">The </w:t>
      </w:r>
      <w:r w:rsidR="001F4189" w:rsidRPr="00D74E8E">
        <w:rPr>
          <w:rFonts w:cs="Times New Roman"/>
          <w:sz w:val="24"/>
          <w:szCs w:val="24"/>
        </w:rPr>
        <w:t xml:space="preserve">ABLES </w:t>
      </w:r>
      <w:r w:rsidRPr="00D74E8E">
        <w:rPr>
          <w:rFonts w:cs="Times New Roman"/>
          <w:sz w:val="24"/>
          <w:szCs w:val="24"/>
        </w:rPr>
        <w:t xml:space="preserve">data variables include </w:t>
      </w:r>
      <w:r w:rsidR="00AD5DBB" w:rsidRPr="00D74E8E">
        <w:rPr>
          <w:rFonts w:cs="Times New Roman"/>
          <w:sz w:val="24"/>
          <w:szCs w:val="24"/>
        </w:rPr>
        <w:t xml:space="preserve">other </w:t>
      </w:r>
      <w:r w:rsidRPr="00D74E8E">
        <w:rPr>
          <w:rFonts w:cs="Times New Roman"/>
          <w:sz w:val="24"/>
          <w:szCs w:val="24"/>
        </w:rPr>
        <w:t xml:space="preserve">demographic information, such as occupation, and laboratory information, such as date of specimen collection, and BLL test result. </w:t>
      </w:r>
      <w:r w:rsidR="0062508D" w:rsidRPr="00D74E8E">
        <w:rPr>
          <w:rFonts w:cs="Times New Roman"/>
          <w:b/>
          <w:sz w:val="24"/>
          <w:szCs w:val="24"/>
        </w:rPr>
        <w:t>Attachment 5d</w:t>
      </w:r>
      <w:r w:rsidR="0088139E" w:rsidRPr="00D74E8E">
        <w:rPr>
          <w:rFonts w:cs="Times New Roman"/>
          <w:sz w:val="24"/>
          <w:szCs w:val="24"/>
        </w:rPr>
        <w:t xml:space="preserve"> does not include</w:t>
      </w:r>
      <w:r w:rsidR="00F15C5E" w:rsidRPr="00D74E8E">
        <w:rPr>
          <w:rFonts w:cs="Times New Roman"/>
          <w:sz w:val="24"/>
          <w:szCs w:val="24"/>
        </w:rPr>
        <w:t xml:space="preserve"> identifiers, as data will b</w:t>
      </w:r>
      <w:r w:rsidR="00890312" w:rsidRPr="00D74E8E">
        <w:rPr>
          <w:rFonts w:cs="Times New Roman"/>
          <w:sz w:val="24"/>
          <w:szCs w:val="24"/>
        </w:rPr>
        <w:t>e reported in aggregate</w:t>
      </w:r>
      <w:r w:rsidR="00455FC6" w:rsidRPr="00D74E8E">
        <w:rPr>
          <w:rFonts w:cs="Times New Roman"/>
          <w:sz w:val="24"/>
          <w:szCs w:val="24"/>
        </w:rPr>
        <w:t>d counts</w:t>
      </w:r>
      <w:r w:rsidR="00CF546C" w:rsidRPr="00D74E8E">
        <w:rPr>
          <w:rFonts w:cs="Times New Roman"/>
          <w:sz w:val="24"/>
          <w:szCs w:val="24"/>
        </w:rPr>
        <w:t>.</w:t>
      </w:r>
    </w:p>
    <w:p w14:paraId="5132B158" w14:textId="61B7A4A0" w:rsidR="0083113E" w:rsidRPr="00D74E8E" w:rsidRDefault="00602658" w:rsidP="000A0A0F">
      <w:pPr>
        <w:spacing w:line="276" w:lineRule="auto"/>
        <w:rPr>
          <w:sz w:val="24"/>
          <w:szCs w:val="24"/>
        </w:rPr>
      </w:pPr>
      <w:r w:rsidRPr="00D74E8E">
        <w:rPr>
          <w:sz w:val="24"/>
          <w:szCs w:val="24"/>
          <w:u w:val="single"/>
        </w:rPr>
        <w:t>How ABLES</w:t>
      </w:r>
      <w:r w:rsidR="0019662A" w:rsidRPr="00D74E8E">
        <w:rPr>
          <w:sz w:val="24"/>
          <w:szCs w:val="24"/>
          <w:u w:val="single"/>
        </w:rPr>
        <w:t xml:space="preserve"> information will be shared and for what purpose</w:t>
      </w:r>
      <w:r w:rsidR="0019662A" w:rsidRPr="00D74E8E">
        <w:rPr>
          <w:sz w:val="24"/>
          <w:szCs w:val="24"/>
        </w:rPr>
        <w:t>:</w:t>
      </w:r>
      <w:r w:rsidR="005161A1" w:rsidRPr="00D74E8E">
        <w:rPr>
          <w:sz w:val="24"/>
          <w:szCs w:val="24"/>
        </w:rPr>
        <w:t xml:space="preserve"> </w:t>
      </w:r>
      <w:r w:rsidR="004B3399" w:rsidRPr="00D74E8E">
        <w:rPr>
          <w:sz w:val="24"/>
          <w:szCs w:val="24"/>
        </w:rPr>
        <w:t xml:space="preserve">All ABLES information will be maintained by NIOSH. Upon request, ABLES information may be released to the State ABLES </w:t>
      </w:r>
      <w:r w:rsidR="00D844E5">
        <w:rPr>
          <w:sz w:val="24"/>
          <w:szCs w:val="24"/>
        </w:rPr>
        <w:t>Program</w:t>
      </w:r>
      <w:r w:rsidR="004B3399" w:rsidRPr="00D74E8E">
        <w:rPr>
          <w:sz w:val="24"/>
          <w:szCs w:val="24"/>
        </w:rPr>
        <w:t xml:space="preserve"> that originally provided the data or to other parties outside of NIOSH to the extent NIOSH is permitted to do so by law.  All information not designated by State ABLES </w:t>
      </w:r>
      <w:r w:rsidR="00D844E5">
        <w:rPr>
          <w:sz w:val="24"/>
          <w:szCs w:val="24"/>
        </w:rPr>
        <w:t>Program</w:t>
      </w:r>
      <w:r w:rsidR="003B6EE9">
        <w:rPr>
          <w:sz w:val="24"/>
          <w:szCs w:val="24"/>
        </w:rPr>
        <w:t>s</w:t>
      </w:r>
      <w:r w:rsidR="004B3399" w:rsidRPr="00D74E8E">
        <w:rPr>
          <w:sz w:val="24"/>
          <w:szCs w:val="24"/>
        </w:rPr>
        <w:t xml:space="preserve"> as trade secret may be subject to automatic public disclosure under the Freedom of Information Act (FOIA). Additionally, it is understood that one of the purposes of the work performed by NIOSH is to obtain information that may be made available by NIOSH to industry and public through publication. </w:t>
      </w:r>
    </w:p>
    <w:p w14:paraId="3648B940" w14:textId="12E07522" w:rsidR="0083113E" w:rsidRPr="00D74E8E" w:rsidRDefault="00602658" w:rsidP="000A0A0F">
      <w:pPr>
        <w:spacing w:line="276" w:lineRule="auto"/>
        <w:rPr>
          <w:sz w:val="24"/>
          <w:szCs w:val="24"/>
        </w:rPr>
      </w:pPr>
      <w:r w:rsidRPr="00D74E8E">
        <w:rPr>
          <w:sz w:val="24"/>
          <w:szCs w:val="24"/>
          <w:u w:val="single"/>
        </w:rPr>
        <w:t>Impact the proposed ABLES collection will have on respondent privacy</w:t>
      </w:r>
      <w:r w:rsidRPr="00D74E8E">
        <w:rPr>
          <w:sz w:val="24"/>
          <w:szCs w:val="24"/>
        </w:rPr>
        <w:t xml:space="preserve">: </w:t>
      </w:r>
      <w:r w:rsidR="001E0A82" w:rsidRPr="00D74E8E">
        <w:rPr>
          <w:sz w:val="24"/>
          <w:szCs w:val="24"/>
        </w:rPr>
        <w:t>If there were a security breach for the data stored in NIOSH/ABLES at CDC, some effect on the respondent’s privacy could occur; however, to minimize this risk, there are a variety of safeguards in place as described in the applicable Privacy Act System of Records Notices (SORN 09-20-</w:t>
      </w:r>
      <w:r w:rsidR="000E4D45" w:rsidRPr="00D74E8E">
        <w:rPr>
          <w:sz w:val="24"/>
          <w:szCs w:val="24"/>
        </w:rPr>
        <w:t xml:space="preserve">0147 </w:t>
      </w:r>
      <w:r w:rsidR="001E0A82" w:rsidRPr="00D74E8E">
        <w:rPr>
          <w:sz w:val="24"/>
          <w:szCs w:val="24"/>
        </w:rPr>
        <w:t>“Occupational Health Epidemiological Studies and EEOICPA Program Records”).</w:t>
      </w:r>
      <w:r w:rsidR="001E0A82" w:rsidRPr="00D74E8E">
        <w:rPr>
          <w:sz w:val="24"/>
          <w:szCs w:val="24"/>
          <w:vertAlign w:val="superscript"/>
        </w:rPr>
        <w:t>  </w:t>
      </w:r>
    </w:p>
    <w:p w14:paraId="3064FF79" w14:textId="5ACBDA12" w:rsidR="0083113E" w:rsidRPr="00D74E8E" w:rsidRDefault="0083113E" w:rsidP="000A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76" w:lineRule="auto"/>
        <w:rPr>
          <w:rFonts w:cs="Times New Roman"/>
          <w:sz w:val="24"/>
          <w:szCs w:val="24"/>
        </w:rPr>
      </w:pPr>
      <w:r w:rsidRPr="00D74E8E">
        <w:rPr>
          <w:sz w:val="24"/>
          <w:szCs w:val="24"/>
          <w:u w:val="single"/>
        </w:rPr>
        <w:t>Whether individuals are informed that providing the information for ABLES is voluntary or mandatory</w:t>
      </w:r>
      <w:r w:rsidRPr="00D74E8E">
        <w:rPr>
          <w:sz w:val="24"/>
          <w:szCs w:val="24"/>
        </w:rPr>
        <w:t xml:space="preserve">: </w:t>
      </w:r>
      <w:r w:rsidR="004B3399" w:rsidRPr="00D74E8E">
        <w:rPr>
          <w:rFonts w:cs="Times New Roman"/>
          <w:sz w:val="24"/>
          <w:szCs w:val="24"/>
        </w:rPr>
        <w:t xml:space="preserve">For states to be eligible to participate in the ABLES </w:t>
      </w:r>
      <w:r w:rsidR="00D844E5">
        <w:rPr>
          <w:rFonts w:cs="Times New Roman"/>
          <w:sz w:val="24"/>
          <w:szCs w:val="24"/>
        </w:rPr>
        <w:t>Program</w:t>
      </w:r>
      <w:r w:rsidR="004B3399" w:rsidRPr="00D74E8E">
        <w:rPr>
          <w:rFonts w:cs="Times New Roman"/>
          <w:sz w:val="24"/>
          <w:szCs w:val="24"/>
        </w:rPr>
        <w:t>, they must have</w:t>
      </w:r>
      <w:r w:rsidR="009E0C50" w:rsidRPr="00D74E8E">
        <w:rPr>
          <w:rFonts w:cs="Times New Roman"/>
          <w:sz w:val="24"/>
          <w:szCs w:val="24"/>
        </w:rPr>
        <w:t xml:space="preserve"> </w:t>
      </w:r>
      <w:r w:rsidR="004B3399" w:rsidRPr="00D74E8E">
        <w:rPr>
          <w:rFonts w:cs="Times New Roman"/>
          <w:sz w:val="24"/>
          <w:szCs w:val="24"/>
        </w:rPr>
        <w:t xml:space="preserve">mandatory state regulations requiring the reporting of adult BLLs by both public and private laboratories.  State regulations require that the adult BLLs be reported to the state health department or another state health agency or department designated by the state to direct and coordinate the state’s adult lead poisoning surveillance program.  This is the only entity in each state which can supply to CDC the data required for the ABLES </w:t>
      </w:r>
      <w:r w:rsidR="00D844E5">
        <w:rPr>
          <w:rFonts w:cs="Times New Roman"/>
          <w:sz w:val="24"/>
          <w:szCs w:val="24"/>
        </w:rPr>
        <w:t>Program</w:t>
      </w:r>
      <w:r w:rsidR="004B3399" w:rsidRPr="00D74E8E">
        <w:rPr>
          <w:rFonts w:cs="Times New Roman"/>
          <w:sz w:val="24"/>
          <w:szCs w:val="24"/>
        </w:rPr>
        <w:t>.</w:t>
      </w:r>
    </w:p>
    <w:p w14:paraId="2B6DCFA2" w14:textId="032253B8" w:rsidR="00936084" w:rsidRPr="00D74E8E" w:rsidRDefault="00936084" w:rsidP="000A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76" w:lineRule="auto"/>
        <w:rPr>
          <w:sz w:val="24"/>
          <w:szCs w:val="24"/>
        </w:rPr>
      </w:pPr>
      <w:r w:rsidRPr="00D74E8E">
        <w:rPr>
          <w:sz w:val="24"/>
          <w:szCs w:val="24"/>
        </w:rPr>
        <w:t xml:space="preserve">State ABLES </w:t>
      </w:r>
      <w:r w:rsidR="00D844E5">
        <w:rPr>
          <w:sz w:val="24"/>
          <w:szCs w:val="24"/>
        </w:rPr>
        <w:t>Program</w:t>
      </w:r>
      <w:r w:rsidRPr="00D74E8E">
        <w:rPr>
          <w:sz w:val="24"/>
          <w:szCs w:val="24"/>
        </w:rPr>
        <w:t xml:space="preserve">s submit data to the ABLES </w:t>
      </w:r>
      <w:r w:rsidR="00D844E5">
        <w:rPr>
          <w:sz w:val="24"/>
          <w:szCs w:val="24"/>
        </w:rPr>
        <w:t>Program</w:t>
      </w:r>
      <w:r w:rsidRPr="00D74E8E">
        <w:rPr>
          <w:sz w:val="24"/>
          <w:szCs w:val="24"/>
        </w:rPr>
        <w:t xml:space="preserve"> on a voluntary basis. To encourage submission, NIOSH ABLES develops effective working relationships with State ABLES </w:t>
      </w:r>
      <w:r w:rsidR="00D844E5">
        <w:rPr>
          <w:sz w:val="24"/>
          <w:szCs w:val="24"/>
        </w:rPr>
        <w:t>Program</w:t>
      </w:r>
      <w:r w:rsidRPr="00D74E8E">
        <w:rPr>
          <w:sz w:val="24"/>
          <w:szCs w:val="24"/>
        </w:rPr>
        <w:t xml:space="preserve">s by providing technical assistance and guidance in adult blood lead surveillance, prevention, and intervention.  </w:t>
      </w:r>
    </w:p>
    <w:p w14:paraId="199CB68B" w14:textId="7FF2626F" w:rsidR="0083113E" w:rsidRPr="00D74E8E" w:rsidRDefault="0083113E" w:rsidP="000A0A0F">
      <w:pPr>
        <w:spacing w:line="276" w:lineRule="auto"/>
        <w:rPr>
          <w:sz w:val="24"/>
          <w:szCs w:val="24"/>
        </w:rPr>
      </w:pPr>
      <w:r w:rsidRPr="00D74E8E">
        <w:rPr>
          <w:sz w:val="24"/>
          <w:szCs w:val="24"/>
          <w:u w:val="single"/>
        </w:rPr>
        <w:t>Opportunities to consent, if any, to sharing and submission of ABLES information</w:t>
      </w:r>
      <w:r w:rsidRPr="00D74E8E">
        <w:rPr>
          <w:sz w:val="24"/>
          <w:szCs w:val="24"/>
        </w:rPr>
        <w:t xml:space="preserve">: </w:t>
      </w:r>
      <w:r w:rsidR="001E0A82" w:rsidRPr="00D74E8E">
        <w:rPr>
          <w:rFonts w:eastAsia="Times New Roman"/>
          <w:sz w:val="24"/>
          <w:szCs w:val="24"/>
        </w:rPr>
        <w:t>Adult B</w:t>
      </w:r>
      <w:r w:rsidR="00827F35" w:rsidRPr="00D74E8E">
        <w:rPr>
          <w:rFonts w:eastAsia="Times New Roman"/>
          <w:sz w:val="24"/>
          <w:szCs w:val="24"/>
        </w:rPr>
        <w:t>LL</w:t>
      </w:r>
      <w:r w:rsidR="001E0A82" w:rsidRPr="00D74E8E">
        <w:rPr>
          <w:rFonts w:eastAsia="Times New Roman"/>
          <w:sz w:val="24"/>
          <w:szCs w:val="24"/>
        </w:rPr>
        <w:t>s are collec</w:t>
      </w:r>
      <w:r w:rsidR="00F24E21">
        <w:rPr>
          <w:rFonts w:eastAsia="Times New Roman"/>
          <w:sz w:val="24"/>
          <w:szCs w:val="24"/>
        </w:rPr>
        <w:t>ted based upon requirements by S</w:t>
      </w:r>
      <w:r w:rsidR="001E0A82" w:rsidRPr="00D74E8E">
        <w:rPr>
          <w:rFonts w:eastAsia="Times New Roman"/>
          <w:sz w:val="24"/>
          <w:szCs w:val="24"/>
        </w:rPr>
        <w:t>tate</w:t>
      </w:r>
      <w:r w:rsidR="00F24E21">
        <w:rPr>
          <w:rFonts w:eastAsia="Times New Roman"/>
          <w:sz w:val="24"/>
          <w:szCs w:val="24"/>
        </w:rPr>
        <w:t xml:space="preserve"> or</w:t>
      </w:r>
      <w:r w:rsidR="001E0A82" w:rsidRPr="00D74E8E">
        <w:rPr>
          <w:rFonts w:eastAsia="Times New Roman"/>
          <w:sz w:val="24"/>
          <w:szCs w:val="24"/>
        </w:rPr>
        <w:t xml:space="preserve"> local entities. Under data </w:t>
      </w:r>
      <w:r w:rsidR="00E16047" w:rsidRPr="00D74E8E">
        <w:rPr>
          <w:rFonts w:eastAsia="Times New Roman"/>
          <w:sz w:val="24"/>
          <w:szCs w:val="24"/>
        </w:rPr>
        <w:t>sharing</w:t>
      </w:r>
      <w:r w:rsidR="001E0A82" w:rsidRPr="00D74E8E">
        <w:rPr>
          <w:rFonts w:eastAsia="Times New Roman"/>
          <w:sz w:val="24"/>
          <w:szCs w:val="24"/>
        </w:rPr>
        <w:t xml:space="preserve"> agreements, these entities share adult </w:t>
      </w:r>
      <w:r w:rsidR="00775B05" w:rsidRPr="00D74E8E">
        <w:rPr>
          <w:rFonts w:eastAsia="Times New Roman"/>
          <w:sz w:val="24"/>
          <w:szCs w:val="24"/>
        </w:rPr>
        <w:t>BLL</w:t>
      </w:r>
      <w:r w:rsidR="001E0A82" w:rsidRPr="00D74E8E">
        <w:rPr>
          <w:rFonts w:eastAsia="Times New Roman"/>
          <w:sz w:val="24"/>
          <w:szCs w:val="24"/>
        </w:rPr>
        <w:t xml:space="preserve">s with ABLES for occupational surveillance. </w:t>
      </w:r>
      <w:r w:rsidR="0097488C" w:rsidRPr="00D74E8E">
        <w:rPr>
          <w:rFonts w:eastAsia="Times New Roman"/>
          <w:sz w:val="24"/>
          <w:szCs w:val="24"/>
        </w:rPr>
        <w:t xml:space="preserve">As a </w:t>
      </w:r>
      <w:r w:rsidR="001E0A82" w:rsidRPr="00D74E8E">
        <w:rPr>
          <w:rFonts w:eastAsia="Times New Roman"/>
          <w:sz w:val="24"/>
          <w:szCs w:val="24"/>
        </w:rPr>
        <w:t>no</w:t>
      </w:r>
      <w:r w:rsidR="0097488C" w:rsidRPr="00D74E8E">
        <w:rPr>
          <w:rFonts w:eastAsia="Times New Roman"/>
          <w:sz w:val="24"/>
          <w:szCs w:val="24"/>
        </w:rPr>
        <w:t>n-</w:t>
      </w:r>
      <w:r w:rsidR="001E0A82" w:rsidRPr="00D74E8E">
        <w:rPr>
          <w:rFonts w:eastAsia="Times New Roman"/>
          <w:sz w:val="24"/>
          <w:szCs w:val="24"/>
        </w:rPr>
        <w:t>research</w:t>
      </w:r>
      <w:r w:rsidR="0097488C" w:rsidRPr="00D74E8E">
        <w:rPr>
          <w:rFonts w:eastAsia="Times New Roman"/>
          <w:sz w:val="24"/>
          <w:szCs w:val="24"/>
        </w:rPr>
        <w:t xml:space="preserve"> activity,</w:t>
      </w:r>
      <w:r w:rsidR="001E0A82" w:rsidRPr="00D74E8E">
        <w:rPr>
          <w:rFonts w:eastAsia="Times New Roman"/>
          <w:sz w:val="24"/>
          <w:szCs w:val="24"/>
        </w:rPr>
        <w:t xml:space="preserve"> consent is </w:t>
      </w:r>
      <w:r w:rsidR="0097488C" w:rsidRPr="00D74E8E">
        <w:rPr>
          <w:rFonts w:eastAsia="Times New Roman"/>
          <w:sz w:val="24"/>
          <w:szCs w:val="24"/>
        </w:rPr>
        <w:t xml:space="preserve">not </w:t>
      </w:r>
      <w:r w:rsidR="001E0A82" w:rsidRPr="00D74E8E">
        <w:rPr>
          <w:rFonts w:eastAsia="Times New Roman"/>
          <w:sz w:val="24"/>
          <w:szCs w:val="24"/>
        </w:rPr>
        <w:t>necessary.</w:t>
      </w:r>
      <w:r w:rsidR="0097488C" w:rsidRPr="00D74E8E">
        <w:rPr>
          <w:sz w:val="24"/>
          <w:szCs w:val="24"/>
        </w:rPr>
        <w:t xml:space="preserve"> See </w:t>
      </w:r>
      <w:r w:rsidR="0097488C" w:rsidRPr="00D74E8E">
        <w:rPr>
          <w:b/>
          <w:sz w:val="24"/>
          <w:szCs w:val="24"/>
        </w:rPr>
        <w:t xml:space="preserve">Section A.11 </w:t>
      </w:r>
      <w:r w:rsidR="0097488C" w:rsidRPr="00D74E8E">
        <w:rPr>
          <w:sz w:val="24"/>
          <w:szCs w:val="24"/>
        </w:rPr>
        <w:t>for further discussion.</w:t>
      </w:r>
    </w:p>
    <w:p w14:paraId="0A32D882" w14:textId="5142E2BA" w:rsidR="00D3620D" w:rsidRPr="00D74E8E" w:rsidRDefault="0083113E" w:rsidP="000A0A0F">
      <w:pPr>
        <w:spacing w:after="240" w:line="276" w:lineRule="auto"/>
        <w:rPr>
          <w:rFonts w:asciiTheme="majorHAnsi" w:eastAsiaTheme="majorEastAsia" w:hAnsiTheme="majorHAnsi" w:cstheme="majorBidi"/>
          <w:sz w:val="36"/>
          <w:szCs w:val="36"/>
        </w:rPr>
      </w:pPr>
      <w:r w:rsidRPr="00D74E8E">
        <w:rPr>
          <w:sz w:val="24"/>
          <w:szCs w:val="24"/>
          <w:u w:val="single"/>
        </w:rPr>
        <w:t>How ABLES information will be secured</w:t>
      </w:r>
      <w:r w:rsidRPr="00D74E8E">
        <w:rPr>
          <w:sz w:val="24"/>
          <w:szCs w:val="24"/>
        </w:rPr>
        <w:t xml:space="preserve">: </w:t>
      </w:r>
      <w:r w:rsidR="004B3399" w:rsidRPr="00D74E8E">
        <w:rPr>
          <w:rFonts w:cs="Times New Roman"/>
          <w:sz w:val="24"/>
          <w:szCs w:val="24"/>
        </w:rPr>
        <w:t xml:space="preserve">Data received by NIOSH/ABLES are stored on password-protected servers inside CDC’s firewall and can only be accessed through encrypted CDC-issued laptops/computers or desktops. Additionally, only individuals who are part of the ABLES </w:t>
      </w:r>
      <w:r w:rsidR="00D844E5">
        <w:rPr>
          <w:rFonts w:cs="Times New Roman"/>
          <w:sz w:val="24"/>
          <w:szCs w:val="24"/>
        </w:rPr>
        <w:t>Program</w:t>
      </w:r>
      <w:r w:rsidR="004B3399" w:rsidRPr="00D74E8E">
        <w:rPr>
          <w:rFonts w:cs="Times New Roman"/>
          <w:sz w:val="24"/>
          <w:szCs w:val="24"/>
        </w:rPr>
        <w:t xml:space="preserve"> in NIOSH will have access to the ABLES secure drive. </w:t>
      </w:r>
    </w:p>
    <w:p w14:paraId="799A1A56" w14:textId="4FBD7DDF" w:rsidR="003E7DE3" w:rsidRPr="00D74E8E" w:rsidRDefault="00601F1A" w:rsidP="00756732">
      <w:pPr>
        <w:pStyle w:val="Heading1"/>
        <w:pBdr>
          <w:bottom w:val="none" w:sz="0" w:space="0" w:color="auto"/>
        </w:pBdr>
        <w:spacing w:before="480"/>
        <w:rPr>
          <w:color w:val="auto"/>
        </w:rPr>
        <w:sectPr w:rsidR="003E7DE3" w:rsidRPr="00D74E8E" w:rsidSect="006D0885">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cols w:space="720"/>
          <w:docGrid w:linePitch="360"/>
        </w:sectPr>
      </w:pPr>
      <w:bookmarkStart w:id="14" w:name="_Toc494815288"/>
      <w:r w:rsidRPr="00D74E8E">
        <w:rPr>
          <w:color w:val="auto"/>
        </w:rPr>
        <w:t>A.</w:t>
      </w:r>
      <w:r w:rsidR="004D21C9" w:rsidRPr="00D74E8E">
        <w:rPr>
          <w:color w:val="auto"/>
        </w:rPr>
        <w:t>11</w:t>
      </w:r>
      <w:r w:rsidR="005E0A7B" w:rsidRPr="00D74E8E">
        <w:rPr>
          <w:color w:val="auto"/>
        </w:rPr>
        <w:t>. Institutional</w:t>
      </w:r>
      <w:r w:rsidR="00B45002" w:rsidRPr="00D74E8E">
        <w:rPr>
          <w:color w:val="auto"/>
        </w:rPr>
        <w:t xml:space="preserve"> Review Board (IRB) and Justification</w:t>
      </w:r>
      <w:r w:rsidR="00926794">
        <w:rPr>
          <w:color w:val="auto"/>
        </w:rPr>
        <w:t xml:space="preserve"> for Sensitive Questions</w:t>
      </w:r>
      <w:bookmarkEnd w:id="14"/>
    </w:p>
    <w:p w14:paraId="0074E3B2" w14:textId="77777777" w:rsidR="00B53975" w:rsidRPr="00D74E8E" w:rsidRDefault="00B53975" w:rsidP="00B855BC">
      <w:pPr>
        <w:spacing w:line="240" w:lineRule="auto"/>
      </w:pPr>
    </w:p>
    <w:p w14:paraId="1B346647" w14:textId="34A2455B" w:rsidR="008F027A" w:rsidRPr="00D74E8E" w:rsidRDefault="006F7F82" w:rsidP="007411C0">
      <w:pPr>
        <w:rPr>
          <w:rFonts w:eastAsiaTheme="minorHAnsi" w:cs="Courier New"/>
          <w:sz w:val="24"/>
          <w:szCs w:val="24"/>
        </w:rPr>
      </w:pPr>
      <w:r w:rsidRPr="00D74E8E">
        <w:rPr>
          <w:sz w:val="24"/>
          <w:szCs w:val="24"/>
        </w:rPr>
        <w:t>The NCEH/ATSDR Human Subjects Contact has reviewed the new</w:t>
      </w:r>
      <w:r w:rsidRPr="00D74E8E">
        <w:rPr>
          <w:rFonts w:eastAsiaTheme="minorHAnsi" w:cs="Courier New"/>
          <w:sz w:val="24"/>
          <w:szCs w:val="24"/>
        </w:rPr>
        <w:t xml:space="preserve"> </w:t>
      </w:r>
      <w:r w:rsidR="008B686F" w:rsidRPr="00D74E8E">
        <w:rPr>
          <w:rFonts w:eastAsiaTheme="minorHAnsi" w:cs="Courier New"/>
          <w:sz w:val="24"/>
          <w:szCs w:val="24"/>
        </w:rPr>
        <w:t>FY</w:t>
      </w:r>
      <w:r w:rsidRPr="00D74E8E">
        <w:rPr>
          <w:rFonts w:eastAsiaTheme="minorHAnsi" w:cs="Courier New"/>
          <w:sz w:val="24"/>
          <w:szCs w:val="24"/>
        </w:rPr>
        <w:t>17 three-year cooperative agreement</w:t>
      </w:r>
      <w:r w:rsidR="004F0693" w:rsidRPr="00D74E8E">
        <w:rPr>
          <w:rFonts w:eastAsiaTheme="minorHAnsi" w:cs="Courier New"/>
          <w:sz w:val="24"/>
          <w:szCs w:val="24"/>
        </w:rPr>
        <w:t xml:space="preserve"> (</w:t>
      </w:r>
      <w:r w:rsidRPr="00D74E8E">
        <w:rPr>
          <w:rFonts w:eastAsiaTheme="minorHAnsi" w:cs="Courier New"/>
          <w:sz w:val="24"/>
          <w:szCs w:val="24"/>
        </w:rPr>
        <w:t>FOA No. CDC-RFA-EH17-1701-PPHF17), and has determined that this program is non</w:t>
      </w:r>
      <w:r w:rsidR="000F7369" w:rsidRPr="00D74E8E">
        <w:rPr>
          <w:rFonts w:eastAsiaTheme="minorHAnsi" w:cs="Courier New"/>
          <w:sz w:val="24"/>
          <w:szCs w:val="24"/>
        </w:rPr>
        <w:t>-</w:t>
      </w:r>
      <w:r w:rsidRPr="00D74E8E">
        <w:rPr>
          <w:rFonts w:eastAsiaTheme="minorHAnsi" w:cs="Courier New"/>
          <w:sz w:val="24"/>
          <w:szCs w:val="24"/>
        </w:rPr>
        <w:t>research</w:t>
      </w:r>
      <w:r w:rsidR="00393FEC" w:rsidRPr="00D74E8E">
        <w:rPr>
          <w:rFonts w:eastAsiaTheme="minorHAnsi" w:cs="Courier New"/>
          <w:sz w:val="24"/>
          <w:szCs w:val="24"/>
        </w:rPr>
        <w:t xml:space="preserve"> </w:t>
      </w:r>
      <w:r w:rsidR="008F027A" w:rsidRPr="00D74E8E">
        <w:rPr>
          <w:rFonts w:eastAsiaTheme="minorHAnsi" w:cs="Courier New"/>
          <w:sz w:val="24"/>
          <w:szCs w:val="24"/>
        </w:rPr>
        <w:t xml:space="preserve">and that review and approval by the CDC Institutional Review Board (IRB) is not required </w:t>
      </w:r>
      <w:r w:rsidR="00393FEC" w:rsidRPr="00D74E8E">
        <w:rPr>
          <w:rFonts w:eastAsiaTheme="minorHAnsi" w:cs="Courier New"/>
          <w:sz w:val="24"/>
          <w:szCs w:val="24"/>
        </w:rPr>
        <w:t>(</w:t>
      </w:r>
      <w:r w:rsidR="00393FEC" w:rsidRPr="00D74E8E">
        <w:rPr>
          <w:rFonts w:eastAsiaTheme="minorHAnsi" w:cs="Courier New"/>
          <w:b/>
          <w:sz w:val="24"/>
          <w:szCs w:val="24"/>
        </w:rPr>
        <w:t xml:space="preserve">Attachment </w:t>
      </w:r>
      <w:r w:rsidR="006930A8" w:rsidRPr="00D74E8E">
        <w:rPr>
          <w:rFonts w:eastAsiaTheme="minorHAnsi" w:cs="Courier New"/>
          <w:b/>
          <w:sz w:val="24"/>
          <w:szCs w:val="24"/>
        </w:rPr>
        <w:t>7</w:t>
      </w:r>
      <w:r w:rsidR="00393FEC" w:rsidRPr="00D74E8E">
        <w:rPr>
          <w:rFonts w:eastAsiaTheme="minorHAnsi" w:cs="Courier New"/>
          <w:b/>
          <w:sz w:val="24"/>
          <w:szCs w:val="24"/>
        </w:rPr>
        <w:t>a</w:t>
      </w:r>
      <w:r w:rsidR="00393FEC" w:rsidRPr="00D74E8E">
        <w:rPr>
          <w:rFonts w:eastAsiaTheme="minorHAnsi" w:cs="Courier New"/>
          <w:sz w:val="24"/>
          <w:szCs w:val="24"/>
        </w:rPr>
        <w:t>)</w:t>
      </w:r>
      <w:r w:rsidRPr="00D74E8E">
        <w:rPr>
          <w:rFonts w:eastAsiaTheme="minorHAnsi" w:cs="Courier New"/>
          <w:sz w:val="24"/>
          <w:szCs w:val="24"/>
        </w:rPr>
        <w:t xml:space="preserve">. </w:t>
      </w:r>
    </w:p>
    <w:p w14:paraId="419F2E0E" w14:textId="504B79AB" w:rsidR="00393FEC" w:rsidRPr="00D74E8E" w:rsidRDefault="00393FEC" w:rsidP="007411C0">
      <w:pPr>
        <w:rPr>
          <w:rFonts w:eastAsiaTheme="minorHAnsi" w:cs="Courier New"/>
          <w:sz w:val="24"/>
          <w:szCs w:val="24"/>
        </w:rPr>
      </w:pPr>
      <w:r w:rsidRPr="00D74E8E">
        <w:rPr>
          <w:rFonts w:eastAsiaTheme="minorHAnsi" w:cs="Courier New"/>
          <w:sz w:val="24"/>
          <w:szCs w:val="24"/>
        </w:rPr>
        <w:t>The NIOSH Human Subjec</w:t>
      </w:r>
      <w:r w:rsidR="008F027A" w:rsidRPr="00D74E8E">
        <w:rPr>
          <w:rFonts w:eastAsiaTheme="minorHAnsi" w:cs="Courier New"/>
          <w:sz w:val="24"/>
          <w:szCs w:val="24"/>
        </w:rPr>
        <w:t xml:space="preserve">ts Contact has determined that the ABLES collection is non-research and that review and approval by the </w:t>
      </w:r>
      <w:r w:rsidR="005A6983" w:rsidRPr="00D74E8E">
        <w:rPr>
          <w:rFonts w:eastAsiaTheme="minorHAnsi" w:cs="Courier New"/>
          <w:sz w:val="24"/>
          <w:szCs w:val="24"/>
        </w:rPr>
        <w:t>NIOSH IRB</w:t>
      </w:r>
      <w:r w:rsidR="008F027A" w:rsidRPr="00D74E8E">
        <w:rPr>
          <w:rFonts w:eastAsiaTheme="minorHAnsi" w:cs="Courier New"/>
          <w:sz w:val="24"/>
          <w:szCs w:val="24"/>
        </w:rPr>
        <w:t xml:space="preserve"> is not required </w:t>
      </w:r>
      <w:r w:rsidRPr="00D74E8E">
        <w:rPr>
          <w:rFonts w:eastAsiaTheme="minorHAnsi" w:cs="Courier New"/>
          <w:sz w:val="24"/>
          <w:szCs w:val="24"/>
        </w:rPr>
        <w:t>(</w:t>
      </w:r>
      <w:r w:rsidRPr="00D74E8E">
        <w:rPr>
          <w:rFonts w:eastAsiaTheme="minorHAnsi" w:cs="Courier New"/>
          <w:b/>
          <w:sz w:val="24"/>
          <w:szCs w:val="24"/>
        </w:rPr>
        <w:t xml:space="preserve">Attachment </w:t>
      </w:r>
      <w:r w:rsidR="006930A8" w:rsidRPr="00D74E8E">
        <w:rPr>
          <w:rFonts w:eastAsiaTheme="minorHAnsi" w:cs="Courier New"/>
          <w:b/>
          <w:sz w:val="24"/>
          <w:szCs w:val="24"/>
        </w:rPr>
        <w:t>7</w:t>
      </w:r>
      <w:r w:rsidRPr="00D74E8E">
        <w:rPr>
          <w:rFonts w:eastAsiaTheme="minorHAnsi" w:cs="Courier New"/>
          <w:b/>
          <w:sz w:val="24"/>
          <w:szCs w:val="24"/>
        </w:rPr>
        <w:t>b</w:t>
      </w:r>
      <w:r w:rsidRPr="00D74E8E">
        <w:rPr>
          <w:rFonts w:eastAsiaTheme="minorHAnsi" w:cs="Courier New"/>
          <w:sz w:val="24"/>
          <w:szCs w:val="24"/>
        </w:rPr>
        <w:t>).</w:t>
      </w:r>
    </w:p>
    <w:p w14:paraId="0FFE57BF" w14:textId="7A239B6A" w:rsidR="006F7F82" w:rsidRPr="00D74E8E" w:rsidRDefault="006F7F82" w:rsidP="006F7F82">
      <w:pPr>
        <w:pStyle w:val="ListParagraph"/>
        <w:numPr>
          <w:ilvl w:val="0"/>
          <w:numId w:val="11"/>
        </w:numPr>
        <w:rPr>
          <w:sz w:val="24"/>
          <w:szCs w:val="24"/>
        </w:rPr>
      </w:pPr>
      <w:r w:rsidRPr="00D74E8E">
        <w:rPr>
          <w:sz w:val="24"/>
          <w:szCs w:val="24"/>
        </w:rPr>
        <w:t xml:space="preserve">The purpose of the </w:t>
      </w:r>
      <w:r w:rsidR="00E16047" w:rsidRPr="00D74E8E">
        <w:rPr>
          <w:sz w:val="24"/>
          <w:szCs w:val="24"/>
        </w:rPr>
        <w:t xml:space="preserve">NCEH and NIOSH </w:t>
      </w:r>
      <w:r w:rsidRPr="00D74E8E">
        <w:rPr>
          <w:sz w:val="24"/>
          <w:szCs w:val="24"/>
        </w:rPr>
        <w:t>activit</w:t>
      </w:r>
      <w:r w:rsidR="00007A31" w:rsidRPr="00D74E8E">
        <w:rPr>
          <w:sz w:val="24"/>
          <w:szCs w:val="24"/>
        </w:rPr>
        <w:t>ies</w:t>
      </w:r>
      <w:r w:rsidRPr="00D74E8E">
        <w:rPr>
          <w:sz w:val="24"/>
          <w:szCs w:val="24"/>
        </w:rPr>
        <w:t xml:space="preserve"> is to identify and control</w:t>
      </w:r>
      <w:r w:rsidR="000F7369" w:rsidRPr="00D74E8E">
        <w:rPr>
          <w:sz w:val="24"/>
          <w:szCs w:val="24"/>
        </w:rPr>
        <w:t xml:space="preserve"> a health problem</w:t>
      </w:r>
      <w:r w:rsidR="003B59A8" w:rsidRPr="00D74E8E">
        <w:rPr>
          <w:sz w:val="24"/>
          <w:szCs w:val="24"/>
        </w:rPr>
        <w:t>, specifically lead exposures that may lead to adverse health outcomes for children and for adults</w:t>
      </w:r>
      <w:r w:rsidRPr="00D74E8E">
        <w:rPr>
          <w:sz w:val="24"/>
          <w:szCs w:val="24"/>
        </w:rPr>
        <w:t xml:space="preserve">. </w:t>
      </w:r>
    </w:p>
    <w:p w14:paraId="0E40A474" w14:textId="336EE465" w:rsidR="006F7F82" w:rsidRPr="00D74E8E" w:rsidRDefault="006F7F82" w:rsidP="006F7F82">
      <w:pPr>
        <w:pStyle w:val="ListParagraph"/>
        <w:numPr>
          <w:ilvl w:val="0"/>
          <w:numId w:val="11"/>
        </w:numPr>
        <w:rPr>
          <w:sz w:val="24"/>
          <w:szCs w:val="24"/>
        </w:rPr>
      </w:pPr>
      <w:r w:rsidRPr="00D74E8E">
        <w:rPr>
          <w:sz w:val="24"/>
          <w:szCs w:val="24"/>
        </w:rPr>
        <w:t>Intended benefits of the project</w:t>
      </w:r>
      <w:r w:rsidR="00007A31" w:rsidRPr="00D74E8E">
        <w:rPr>
          <w:sz w:val="24"/>
          <w:szCs w:val="24"/>
        </w:rPr>
        <w:t>s</w:t>
      </w:r>
      <w:r w:rsidRPr="00D74E8E">
        <w:rPr>
          <w:sz w:val="24"/>
          <w:szCs w:val="24"/>
        </w:rPr>
        <w:t xml:space="preserve"> are primarily or exclusively for the children or adults at risk for lead exposure.</w:t>
      </w:r>
    </w:p>
    <w:p w14:paraId="46C78528" w14:textId="7B79F80D" w:rsidR="006F7F82" w:rsidRPr="00D74E8E" w:rsidRDefault="000F7369" w:rsidP="006F7F82">
      <w:pPr>
        <w:pStyle w:val="ListParagraph"/>
        <w:numPr>
          <w:ilvl w:val="0"/>
          <w:numId w:val="11"/>
        </w:numPr>
        <w:rPr>
          <w:sz w:val="24"/>
          <w:szCs w:val="24"/>
        </w:rPr>
      </w:pPr>
      <w:r w:rsidRPr="00D74E8E">
        <w:rPr>
          <w:sz w:val="24"/>
          <w:szCs w:val="24"/>
        </w:rPr>
        <w:t>The d</w:t>
      </w:r>
      <w:r w:rsidR="006F7F82" w:rsidRPr="00D74E8E">
        <w:rPr>
          <w:sz w:val="24"/>
          <w:szCs w:val="24"/>
        </w:rPr>
        <w:t xml:space="preserve">ata collected are needed </w:t>
      </w:r>
      <w:r w:rsidR="00F24E21">
        <w:rPr>
          <w:sz w:val="24"/>
          <w:szCs w:val="24"/>
        </w:rPr>
        <w:t>for S</w:t>
      </w:r>
      <w:r w:rsidRPr="00D74E8E">
        <w:rPr>
          <w:sz w:val="24"/>
          <w:szCs w:val="24"/>
        </w:rPr>
        <w:t>tate</w:t>
      </w:r>
      <w:r w:rsidR="00F24E21">
        <w:rPr>
          <w:sz w:val="24"/>
          <w:szCs w:val="24"/>
        </w:rPr>
        <w:t xml:space="preserve"> or</w:t>
      </w:r>
      <w:r w:rsidRPr="00D74E8E">
        <w:rPr>
          <w:sz w:val="24"/>
          <w:szCs w:val="24"/>
        </w:rPr>
        <w:t xml:space="preserve"> local health departments</w:t>
      </w:r>
      <w:r w:rsidR="006F7F82" w:rsidRPr="00D74E8E">
        <w:rPr>
          <w:sz w:val="24"/>
          <w:szCs w:val="24"/>
        </w:rPr>
        <w:t xml:space="preserve"> to identify children or adults in need of</w:t>
      </w:r>
      <w:r w:rsidRPr="00D74E8E">
        <w:rPr>
          <w:sz w:val="24"/>
          <w:szCs w:val="24"/>
        </w:rPr>
        <w:t xml:space="preserve"> referral for</w:t>
      </w:r>
      <w:r w:rsidR="006F7F82" w:rsidRPr="00D74E8E">
        <w:rPr>
          <w:sz w:val="24"/>
          <w:szCs w:val="24"/>
        </w:rPr>
        <w:t xml:space="preserve"> medical monitoring or management.</w:t>
      </w:r>
    </w:p>
    <w:p w14:paraId="01FEC084" w14:textId="75C5AFB8" w:rsidR="006F7F82" w:rsidRPr="00D74E8E" w:rsidRDefault="000F7369" w:rsidP="006F7F82">
      <w:pPr>
        <w:pStyle w:val="ListParagraph"/>
        <w:numPr>
          <w:ilvl w:val="0"/>
          <w:numId w:val="11"/>
        </w:numPr>
        <w:rPr>
          <w:sz w:val="24"/>
          <w:szCs w:val="24"/>
        </w:rPr>
      </w:pPr>
      <w:r w:rsidRPr="00D74E8E">
        <w:rPr>
          <w:sz w:val="24"/>
          <w:szCs w:val="24"/>
        </w:rPr>
        <w:t>The k</w:t>
      </w:r>
      <w:r w:rsidR="006F7F82" w:rsidRPr="00D74E8E">
        <w:rPr>
          <w:sz w:val="24"/>
          <w:szCs w:val="24"/>
        </w:rPr>
        <w:t>nowledge that is generated does not extend beyond the scope of the activit</w:t>
      </w:r>
      <w:r w:rsidR="00007A31" w:rsidRPr="00D74E8E">
        <w:rPr>
          <w:sz w:val="24"/>
          <w:szCs w:val="24"/>
        </w:rPr>
        <w:t>ies</w:t>
      </w:r>
      <w:r w:rsidR="006F7F82" w:rsidRPr="00D74E8E">
        <w:rPr>
          <w:sz w:val="24"/>
          <w:szCs w:val="24"/>
        </w:rPr>
        <w:t>; and project activities are not experimental.</w:t>
      </w:r>
    </w:p>
    <w:p w14:paraId="28B625B8" w14:textId="5546AE21" w:rsidR="009D0308" w:rsidRPr="00D74E8E" w:rsidRDefault="00E45E35" w:rsidP="001E13DD">
      <w:pPr>
        <w:rPr>
          <w:sz w:val="24"/>
          <w:szCs w:val="24"/>
          <w:u w:val="single"/>
        </w:rPr>
      </w:pPr>
      <w:r w:rsidRPr="00D74E8E">
        <w:rPr>
          <w:sz w:val="24"/>
          <w:szCs w:val="24"/>
          <w:u w:val="single"/>
        </w:rPr>
        <w:t>CBL</w:t>
      </w:r>
      <w:r w:rsidR="00393FEC" w:rsidRPr="00D74E8E">
        <w:rPr>
          <w:sz w:val="24"/>
          <w:szCs w:val="24"/>
          <w:u w:val="single"/>
        </w:rPr>
        <w:t>S Sensitive Questions</w:t>
      </w:r>
      <w:r w:rsidR="00393FEC" w:rsidRPr="00D74E8E">
        <w:rPr>
          <w:sz w:val="24"/>
          <w:szCs w:val="24"/>
        </w:rPr>
        <w:t xml:space="preserve">: </w:t>
      </w:r>
      <w:r w:rsidR="007411C0" w:rsidRPr="00D74E8E">
        <w:rPr>
          <w:sz w:val="24"/>
          <w:szCs w:val="24"/>
        </w:rPr>
        <w:t>Questions that could be considered sensitive by at least a segment of the population such as information on pregnancy</w:t>
      </w:r>
      <w:r w:rsidR="006650AB" w:rsidRPr="00D74E8E">
        <w:rPr>
          <w:sz w:val="24"/>
          <w:szCs w:val="24"/>
        </w:rPr>
        <w:t xml:space="preserve"> and race/ethnicity.</w:t>
      </w:r>
      <w:r w:rsidR="007411C0" w:rsidRPr="00D74E8E">
        <w:rPr>
          <w:sz w:val="24"/>
          <w:szCs w:val="24"/>
        </w:rPr>
        <w:t xml:space="preserve"> </w:t>
      </w:r>
      <w:r w:rsidR="006650AB" w:rsidRPr="00D74E8E">
        <w:rPr>
          <w:sz w:val="24"/>
          <w:szCs w:val="24"/>
        </w:rPr>
        <w:t>T</w:t>
      </w:r>
      <w:r w:rsidR="007411C0" w:rsidRPr="00D74E8E">
        <w:rPr>
          <w:sz w:val="24"/>
          <w:szCs w:val="24"/>
        </w:rPr>
        <w:t xml:space="preserve">hese variables are integral to accomplishing the purpose of this surveillance system.  Table </w:t>
      </w:r>
      <w:r w:rsidR="00A80998" w:rsidRPr="00D74E8E">
        <w:rPr>
          <w:sz w:val="24"/>
          <w:szCs w:val="24"/>
        </w:rPr>
        <w:t>A.11.1</w:t>
      </w:r>
      <w:r w:rsidR="007411C0" w:rsidRPr="00D74E8E">
        <w:rPr>
          <w:sz w:val="24"/>
          <w:szCs w:val="24"/>
        </w:rPr>
        <w:t xml:space="preserve"> describes the specific use of the possibly sensitive questions.</w:t>
      </w:r>
    </w:p>
    <w:p w14:paraId="7DA8F5A5" w14:textId="2350D822" w:rsidR="007411C0" w:rsidRPr="00D74E8E" w:rsidRDefault="007411C0" w:rsidP="00864E6C">
      <w:pPr>
        <w:spacing w:before="240"/>
        <w:rPr>
          <w:sz w:val="24"/>
          <w:szCs w:val="24"/>
          <w:u w:val="single"/>
        </w:rPr>
      </w:pPr>
      <w:r w:rsidRPr="00D74E8E">
        <w:rPr>
          <w:sz w:val="24"/>
          <w:szCs w:val="24"/>
          <w:u w:val="single"/>
        </w:rPr>
        <w:t xml:space="preserve">Table </w:t>
      </w:r>
      <w:r w:rsidR="00A80998" w:rsidRPr="00D74E8E">
        <w:rPr>
          <w:sz w:val="24"/>
          <w:szCs w:val="24"/>
          <w:u w:val="single"/>
        </w:rPr>
        <w:t>A.11.1</w:t>
      </w:r>
      <w:r w:rsidRPr="00D74E8E">
        <w:rPr>
          <w:sz w:val="24"/>
          <w:szCs w:val="24"/>
          <w:u w:val="single"/>
        </w:rPr>
        <w:t>.</w:t>
      </w:r>
      <w:r w:rsidR="00A80998" w:rsidRPr="00D74E8E">
        <w:rPr>
          <w:sz w:val="24"/>
          <w:szCs w:val="24"/>
          <w:u w:val="single"/>
        </w:rPr>
        <w:t xml:space="preserve">  </w:t>
      </w:r>
      <w:r w:rsidR="009F738D" w:rsidRPr="00D74E8E">
        <w:rPr>
          <w:sz w:val="24"/>
          <w:szCs w:val="24"/>
          <w:u w:val="single"/>
        </w:rPr>
        <w:t xml:space="preserve">CBLS </w:t>
      </w:r>
      <w:r w:rsidR="00A80998" w:rsidRPr="00D74E8E">
        <w:rPr>
          <w:sz w:val="24"/>
          <w:szCs w:val="24"/>
          <w:u w:val="single"/>
        </w:rPr>
        <w:t>Sensitive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143"/>
      </w:tblGrid>
      <w:tr w:rsidR="00D74E8E" w:rsidRPr="00D74E8E" w14:paraId="29A3E09B" w14:textId="77777777" w:rsidTr="00791D80">
        <w:tc>
          <w:tcPr>
            <w:tcW w:w="2875" w:type="dxa"/>
            <w:vAlign w:val="center"/>
          </w:tcPr>
          <w:p w14:paraId="55E4BF44" w14:textId="77777777" w:rsidR="007411C0" w:rsidRPr="00D74E8E" w:rsidRDefault="007411C0" w:rsidP="00D46D4F">
            <w:pPr>
              <w:widowControl w:val="0"/>
              <w:spacing w:after="0" w:line="240" w:lineRule="auto"/>
              <w:jc w:val="center"/>
              <w:rPr>
                <w:sz w:val="24"/>
                <w:szCs w:val="24"/>
              </w:rPr>
            </w:pPr>
            <w:r w:rsidRPr="00D74E8E">
              <w:rPr>
                <w:sz w:val="24"/>
                <w:szCs w:val="24"/>
              </w:rPr>
              <w:t>Questions</w:t>
            </w:r>
          </w:p>
          <w:p w14:paraId="438A6526" w14:textId="77777777" w:rsidR="007411C0" w:rsidRPr="00D74E8E" w:rsidRDefault="007411C0" w:rsidP="00D46D4F">
            <w:pPr>
              <w:widowControl w:val="0"/>
              <w:spacing w:after="0" w:line="240" w:lineRule="auto"/>
              <w:jc w:val="center"/>
              <w:rPr>
                <w:sz w:val="24"/>
                <w:szCs w:val="24"/>
              </w:rPr>
            </w:pPr>
            <w:r w:rsidRPr="00D74E8E">
              <w:rPr>
                <w:sz w:val="24"/>
                <w:szCs w:val="24"/>
              </w:rPr>
              <w:t>(possibly sensitive)</w:t>
            </w:r>
          </w:p>
        </w:tc>
        <w:tc>
          <w:tcPr>
            <w:tcW w:w="6143" w:type="dxa"/>
            <w:vAlign w:val="center"/>
          </w:tcPr>
          <w:p w14:paraId="434ADA42" w14:textId="1E5F9523" w:rsidR="007411C0" w:rsidRPr="00D74E8E" w:rsidRDefault="007411C0" w:rsidP="00D46D4F">
            <w:pPr>
              <w:widowControl w:val="0"/>
              <w:spacing w:after="0" w:line="240" w:lineRule="auto"/>
              <w:jc w:val="center"/>
              <w:rPr>
                <w:sz w:val="24"/>
                <w:szCs w:val="24"/>
              </w:rPr>
            </w:pPr>
            <w:r w:rsidRPr="00D74E8E">
              <w:rPr>
                <w:sz w:val="24"/>
                <w:szCs w:val="24"/>
              </w:rPr>
              <w:t>Specific uses of information</w:t>
            </w:r>
          </w:p>
        </w:tc>
      </w:tr>
      <w:tr w:rsidR="00D74E8E" w:rsidRPr="00D74E8E" w14:paraId="4DBD676C" w14:textId="77777777" w:rsidTr="00791D80">
        <w:tc>
          <w:tcPr>
            <w:tcW w:w="2875" w:type="dxa"/>
            <w:vAlign w:val="center"/>
          </w:tcPr>
          <w:p w14:paraId="1FB22D2B" w14:textId="586B1ABA" w:rsidR="007411C0" w:rsidRPr="00D74E8E" w:rsidRDefault="007411C0" w:rsidP="00864E6C">
            <w:pPr>
              <w:spacing w:after="0" w:line="240" w:lineRule="auto"/>
              <w:rPr>
                <w:sz w:val="24"/>
                <w:szCs w:val="24"/>
              </w:rPr>
            </w:pPr>
            <w:r w:rsidRPr="00D74E8E">
              <w:rPr>
                <w:sz w:val="24"/>
                <w:szCs w:val="24"/>
              </w:rPr>
              <w:t>Pregnant at time of test?  (at time of blood lead test)</w:t>
            </w:r>
          </w:p>
        </w:tc>
        <w:tc>
          <w:tcPr>
            <w:tcW w:w="6143" w:type="dxa"/>
            <w:vAlign w:val="center"/>
          </w:tcPr>
          <w:p w14:paraId="117B9986" w14:textId="77777777" w:rsidR="007411C0" w:rsidRPr="00D74E8E" w:rsidRDefault="007411C0" w:rsidP="00112381">
            <w:pPr>
              <w:widowControl w:val="0"/>
              <w:spacing w:after="0" w:line="240" w:lineRule="auto"/>
              <w:rPr>
                <w:sz w:val="24"/>
                <w:szCs w:val="24"/>
              </w:rPr>
            </w:pPr>
            <w:r w:rsidRPr="00D74E8E">
              <w:rPr>
                <w:sz w:val="24"/>
                <w:szCs w:val="24"/>
              </w:rPr>
              <w:t>To assess prevalence of pregnant women with elevated blood lead, this provides important data for clinical follow up of women and their fetuses.</w:t>
            </w:r>
          </w:p>
        </w:tc>
      </w:tr>
      <w:tr w:rsidR="007411C0" w:rsidRPr="00D74E8E" w14:paraId="37763950" w14:textId="77777777" w:rsidTr="00791D80">
        <w:tc>
          <w:tcPr>
            <w:tcW w:w="2875" w:type="dxa"/>
            <w:vAlign w:val="center"/>
          </w:tcPr>
          <w:p w14:paraId="7635677C" w14:textId="77777777" w:rsidR="007411C0" w:rsidRPr="00D74E8E" w:rsidRDefault="007411C0" w:rsidP="00112381">
            <w:pPr>
              <w:pStyle w:val="Default"/>
              <w:widowControl w:val="0"/>
              <w:overflowPunct w:val="0"/>
              <w:textAlignment w:val="baseline"/>
              <w:rPr>
                <w:rFonts w:asciiTheme="minorHAnsi" w:hAnsiTheme="minorHAnsi"/>
                <w:color w:val="auto"/>
              </w:rPr>
            </w:pPr>
            <w:r w:rsidRPr="00D74E8E">
              <w:rPr>
                <w:rFonts w:asciiTheme="minorHAnsi" w:hAnsiTheme="minorHAnsi"/>
                <w:color w:val="auto"/>
              </w:rPr>
              <w:t xml:space="preserve">Race/ethnicity?   </w:t>
            </w:r>
          </w:p>
        </w:tc>
        <w:tc>
          <w:tcPr>
            <w:tcW w:w="6143" w:type="dxa"/>
            <w:vAlign w:val="center"/>
          </w:tcPr>
          <w:p w14:paraId="79CFE44C" w14:textId="77777777" w:rsidR="007411C0" w:rsidRPr="00D74E8E" w:rsidRDefault="007411C0" w:rsidP="00112381">
            <w:pPr>
              <w:widowControl w:val="0"/>
              <w:spacing w:after="0" w:line="240" w:lineRule="auto"/>
              <w:rPr>
                <w:sz w:val="24"/>
                <w:szCs w:val="24"/>
              </w:rPr>
            </w:pPr>
            <w:r w:rsidRPr="00D74E8E">
              <w:rPr>
                <w:sz w:val="24"/>
                <w:szCs w:val="24"/>
              </w:rPr>
              <w:t>For targeting resources to subpopulations with high risk for elevated blood lead or housing risk factors</w:t>
            </w:r>
          </w:p>
        </w:tc>
      </w:tr>
    </w:tbl>
    <w:p w14:paraId="1BE6062F" w14:textId="77777777" w:rsidR="00D07DE6" w:rsidRPr="00D74E8E" w:rsidRDefault="00D07DE6" w:rsidP="007411C0"/>
    <w:p w14:paraId="2520DA6E" w14:textId="75867519" w:rsidR="00CB60B0" w:rsidRPr="00D74E8E" w:rsidRDefault="00D07DE6" w:rsidP="00B368CB">
      <w:pPr>
        <w:spacing w:after="240"/>
      </w:pPr>
      <w:r w:rsidRPr="00D74E8E">
        <w:rPr>
          <w:sz w:val="24"/>
          <w:szCs w:val="24"/>
          <w:u w:val="single"/>
        </w:rPr>
        <w:t>ABLES Sensitive Questions</w:t>
      </w:r>
      <w:r w:rsidRPr="00D74E8E">
        <w:rPr>
          <w:sz w:val="24"/>
          <w:szCs w:val="24"/>
        </w:rPr>
        <w:t xml:space="preserve">: </w:t>
      </w:r>
      <w:r w:rsidR="00396AA6" w:rsidRPr="00D74E8E">
        <w:rPr>
          <w:sz w:val="24"/>
          <w:szCs w:val="24"/>
        </w:rPr>
        <w:t>The only potentially sensitive information that ABLES collects are race and ethnicity. These variables are collected to identify subgroups that may have higher burden of occupational lead exposure.</w:t>
      </w:r>
    </w:p>
    <w:p w14:paraId="527F9FA5" w14:textId="524DBFD1" w:rsidR="00B45002" w:rsidRPr="00D74E8E" w:rsidRDefault="00601F1A" w:rsidP="004B4DAE">
      <w:pPr>
        <w:pStyle w:val="Heading1"/>
        <w:pBdr>
          <w:bottom w:val="none" w:sz="0" w:space="0" w:color="auto"/>
        </w:pBdr>
        <w:rPr>
          <w:color w:val="auto"/>
        </w:rPr>
      </w:pPr>
      <w:bookmarkStart w:id="15" w:name="_Toc494815289"/>
      <w:r w:rsidRPr="00D74E8E">
        <w:rPr>
          <w:color w:val="auto"/>
        </w:rPr>
        <w:t>A.</w:t>
      </w:r>
      <w:r w:rsidR="004D21C9" w:rsidRPr="00D74E8E">
        <w:rPr>
          <w:color w:val="auto"/>
        </w:rPr>
        <w:t>12</w:t>
      </w:r>
      <w:r w:rsidR="005E0A7B" w:rsidRPr="00D74E8E">
        <w:rPr>
          <w:color w:val="auto"/>
        </w:rPr>
        <w:t>. Estimates</w:t>
      </w:r>
      <w:r w:rsidR="00B45002" w:rsidRPr="00D74E8E">
        <w:rPr>
          <w:color w:val="auto"/>
        </w:rPr>
        <w:t xml:space="preserve"> of Annualized Burden Hours and Costs</w:t>
      </w:r>
      <w:bookmarkEnd w:id="15"/>
    </w:p>
    <w:p w14:paraId="1C20FEA3" w14:textId="77777777" w:rsidR="00ED72E9" w:rsidRPr="00D74E8E" w:rsidRDefault="00ED72E9" w:rsidP="00ED72E9">
      <w:pPr>
        <w:spacing w:line="240" w:lineRule="auto"/>
        <w:rPr>
          <w:sz w:val="24"/>
          <w:szCs w:val="24"/>
        </w:rPr>
      </w:pPr>
    </w:p>
    <w:p w14:paraId="5BB329F6" w14:textId="76231716" w:rsidR="00BC18EC" w:rsidRPr="00D74E8E" w:rsidRDefault="00BC18EC" w:rsidP="00CD6A34">
      <w:pPr>
        <w:numPr>
          <w:ilvl w:val="0"/>
          <w:numId w:val="4"/>
        </w:numPr>
        <w:overflowPunct w:val="0"/>
        <w:autoSpaceDE w:val="0"/>
        <w:autoSpaceDN w:val="0"/>
        <w:adjustRightInd w:val="0"/>
        <w:spacing w:line="276" w:lineRule="auto"/>
        <w:ind w:left="360"/>
        <w:textAlignment w:val="baseline"/>
      </w:pPr>
      <w:r w:rsidRPr="00D74E8E">
        <w:rPr>
          <w:sz w:val="24"/>
          <w:szCs w:val="24"/>
        </w:rPr>
        <w:t xml:space="preserve">The total time burden requested </w:t>
      </w:r>
      <w:r w:rsidR="006C5CE3" w:rsidRPr="00D74E8E">
        <w:rPr>
          <w:sz w:val="24"/>
          <w:szCs w:val="24"/>
        </w:rPr>
        <w:t xml:space="preserve">by the CDC </w:t>
      </w:r>
      <w:r w:rsidRPr="00D74E8E">
        <w:rPr>
          <w:sz w:val="24"/>
          <w:szCs w:val="24"/>
        </w:rPr>
        <w:t xml:space="preserve">is </w:t>
      </w:r>
      <w:r w:rsidR="00B930E8" w:rsidRPr="00D74E8E">
        <w:rPr>
          <w:sz w:val="24"/>
          <w:szCs w:val="24"/>
        </w:rPr>
        <w:t>1,040</w:t>
      </w:r>
      <w:r w:rsidRPr="00D74E8E">
        <w:rPr>
          <w:sz w:val="24"/>
          <w:szCs w:val="24"/>
        </w:rPr>
        <w:t xml:space="preserve"> hours.</w:t>
      </w:r>
    </w:p>
    <w:p w14:paraId="641282C0" w14:textId="5B2AC35D" w:rsidR="00CD6A34" w:rsidRPr="00D74E8E" w:rsidRDefault="009A446F" w:rsidP="00883874">
      <w:pPr>
        <w:overflowPunct w:val="0"/>
        <w:autoSpaceDE w:val="0"/>
        <w:autoSpaceDN w:val="0"/>
        <w:adjustRightInd w:val="0"/>
        <w:spacing w:line="276" w:lineRule="auto"/>
        <w:ind w:left="360"/>
        <w:textAlignment w:val="baseline"/>
      </w:pPr>
      <w:r w:rsidRPr="00D74E8E">
        <w:rPr>
          <w:sz w:val="24"/>
          <w:szCs w:val="24"/>
          <w:u w:val="single"/>
        </w:rPr>
        <w:t>CBLS Variables</w:t>
      </w:r>
      <w:r w:rsidRPr="00D74E8E">
        <w:rPr>
          <w:sz w:val="24"/>
          <w:szCs w:val="24"/>
        </w:rPr>
        <w:t>: NCEH</w:t>
      </w:r>
      <w:r w:rsidR="007411C0" w:rsidRPr="00D74E8E">
        <w:rPr>
          <w:sz w:val="24"/>
          <w:szCs w:val="24"/>
        </w:rPr>
        <w:t xml:space="preserve"> respondents will be </w:t>
      </w:r>
      <w:r w:rsidR="00EE7DC5" w:rsidRPr="00D74E8E">
        <w:rPr>
          <w:sz w:val="24"/>
          <w:szCs w:val="24"/>
        </w:rPr>
        <w:t>48</w:t>
      </w:r>
      <w:r w:rsidR="00805A68" w:rsidRPr="00D74E8E">
        <w:rPr>
          <w:sz w:val="24"/>
          <w:szCs w:val="24"/>
        </w:rPr>
        <w:t xml:space="preserve"> </w:t>
      </w:r>
      <w:r w:rsidR="007411C0" w:rsidRPr="00D74E8E">
        <w:rPr>
          <w:sz w:val="24"/>
          <w:szCs w:val="24"/>
        </w:rPr>
        <w:t xml:space="preserve">cooperative agreement </w:t>
      </w:r>
      <w:r w:rsidR="00F43D53" w:rsidRPr="00D74E8E">
        <w:rPr>
          <w:sz w:val="24"/>
          <w:szCs w:val="24"/>
        </w:rPr>
        <w:t>awardee</w:t>
      </w:r>
      <w:r w:rsidR="00BB6B8E">
        <w:rPr>
          <w:sz w:val="24"/>
          <w:szCs w:val="24"/>
        </w:rPr>
        <w:t>s from S</w:t>
      </w:r>
      <w:r w:rsidR="007411C0" w:rsidRPr="00D74E8E">
        <w:rPr>
          <w:sz w:val="24"/>
          <w:szCs w:val="24"/>
        </w:rPr>
        <w:t>tate</w:t>
      </w:r>
      <w:r w:rsidR="00BB6B8E">
        <w:rPr>
          <w:sz w:val="24"/>
          <w:szCs w:val="24"/>
        </w:rPr>
        <w:t xml:space="preserve"> or </w:t>
      </w:r>
      <w:r w:rsidR="00805A68" w:rsidRPr="00D74E8E">
        <w:rPr>
          <w:sz w:val="24"/>
          <w:szCs w:val="24"/>
        </w:rPr>
        <w:t>local</w:t>
      </w:r>
      <w:r w:rsidR="007411C0" w:rsidRPr="00D74E8E">
        <w:rPr>
          <w:sz w:val="24"/>
          <w:szCs w:val="24"/>
        </w:rPr>
        <w:t xml:space="preserve"> health departments</w:t>
      </w:r>
      <w:r w:rsidR="005456C4" w:rsidRPr="00D74E8E">
        <w:rPr>
          <w:sz w:val="24"/>
          <w:szCs w:val="24"/>
        </w:rPr>
        <w:t>,</w:t>
      </w:r>
      <w:r w:rsidR="002D6381" w:rsidRPr="00D74E8E">
        <w:rPr>
          <w:sz w:val="24"/>
          <w:szCs w:val="24"/>
        </w:rPr>
        <w:t xml:space="preserve"> or their bona fide agents,</w:t>
      </w:r>
      <w:r w:rsidR="007411C0" w:rsidRPr="00D74E8E">
        <w:rPr>
          <w:sz w:val="24"/>
          <w:szCs w:val="24"/>
        </w:rPr>
        <w:t xml:space="preserve"> who have received funds </w:t>
      </w:r>
      <w:r w:rsidR="00F43D53" w:rsidRPr="00D74E8E">
        <w:rPr>
          <w:sz w:val="24"/>
          <w:szCs w:val="24"/>
        </w:rPr>
        <w:t>to</w:t>
      </w:r>
      <w:r w:rsidR="007411C0" w:rsidRPr="00D74E8E">
        <w:rPr>
          <w:sz w:val="24"/>
          <w:szCs w:val="24"/>
        </w:rPr>
        <w:t xml:space="preserve"> develop and implement a </w:t>
      </w:r>
      <w:r w:rsidR="00BA4616" w:rsidRPr="00D74E8E">
        <w:rPr>
          <w:sz w:val="24"/>
          <w:szCs w:val="24"/>
        </w:rPr>
        <w:t>CLPPP</w:t>
      </w:r>
      <w:r w:rsidR="005770B4" w:rsidRPr="00D74E8E">
        <w:rPr>
          <w:sz w:val="24"/>
          <w:szCs w:val="24"/>
        </w:rPr>
        <w:t>.</w:t>
      </w:r>
      <w:r w:rsidR="00F43D53" w:rsidRPr="00D74E8E">
        <w:rPr>
          <w:sz w:val="24"/>
          <w:szCs w:val="24"/>
        </w:rPr>
        <w:t xml:space="preserve"> </w:t>
      </w:r>
      <w:r w:rsidR="00982CEF" w:rsidRPr="00D74E8E">
        <w:rPr>
          <w:sz w:val="24"/>
          <w:szCs w:val="24"/>
        </w:rPr>
        <w:t xml:space="preserve">This </w:t>
      </w:r>
      <w:r w:rsidR="00CE04DD" w:rsidRPr="00D74E8E">
        <w:rPr>
          <w:sz w:val="24"/>
          <w:szCs w:val="24"/>
        </w:rPr>
        <w:t xml:space="preserve">new </w:t>
      </w:r>
      <w:r w:rsidR="00955D44" w:rsidRPr="00D74E8E">
        <w:rPr>
          <w:sz w:val="24"/>
          <w:szCs w:val="24"/>
        </w:rPr>
        <w:t>FY17 program</w:t>
      </w:r>
      <w:r w:rsidR="00982CEF" w:rsidRPr="00D74E8E">
        <w:rPr>
          <w:sz w:val="24"/>
          <w:szCs w:val="24"/>
        </w:rPr>
        <w:t xml:space="preserve"> will </w:t>
      </w:r>
      <w:r w:rsidR="00CE04DD" w:rsidRPr="00D74E8E">
        <w:rPr>
          <w:sz w:val="24"/>
          <w:szCs w:val="24"/>
        </w:rPr>
        <w:t>have</w:t>
      </w:r>
      <w:r w:rsidR="00982CEF" w:rsidRPr="00D74E8E">
        <w:rPr>
          <w:sz w:val="24"/>
          <w:szCs w:val="24"/>
        </w:rPr>
        <w:t xml:space="preserve"> an increase of </w:t>
      </w:r>
      <w:r w:rsidR="00B930E8" w:rsidRPr="00D74E8E">
        <w:rPr>
          <w:sz w:val="24"/>
          <w:szCs w:val="24"/>
        </w:rPr>
        <w:t>8</w:t>
      </w:r>
      <w:r w:rsidR="00982CEF" w:rsidRPr="00D74E8E">
        <w:rPr>
          <w:sz w:val="24"/>
          <w:szCs w:val="24"/>
        </w:rPr>
        <w:t xml:space="preserve"> respondents </w:t>
      </w:r>
      <w:r w:rsidR="00955D44" w:rsidRPr="00D74E8E">
        <w:rPr>
          <w:sz w:val="24"/>
          <w:szCs w:val="24"/>
        </w:rPr>
        <w:t xml:space="preserve">over the </w:t>
      </w:r>
      <w:r w:rsidR="00CD6A34" w:rsidRPr="00D74E8E">
        <w:rPr>
          <w:sz w:val="24"/>
          <w:szCs w:val="24"/>
        </w:rPr>
        <w:t>40</w:t>
      </w:r>
      <w:r w:rsidR="00436D17" w:rsidRPr="00D74E8E">
        <w:rPr>
          <w:sz w:val="24"/>
          <w:szCs w:val="24"/>
        </w:rPr>
        <w:t xml:space="preserve"> </w:t>
      </w:r>
      <w:r w:rsidR="00AE454D" w:rsidRPr="00D74E8E">
        <w:rPr>
          <w:sz w:val="24"/>
          <w:szCs w:val="24"/>
        </w:rPr>
        <w:t>previously approved for</w:t>
      </w:r>
      <w:r w:rsidR="00CD6A34" w:rsidRPr="00D74E8E">
        <w:rPr>
          <w:sz w:val="24"/>
          <w:szCs w:val="24"/>
        </w:rPr>
        <w:t xml:space="preserve"> the </w:t>
      </w:r>
      <w:r w:rsidR="00955D44" w:rsidRPr="00D74E8E">
        <w:rPr>
          <w:sz w:val="24"/>
          <w:szCs w:val="24"/>
        </w:rPr>
        <w:t>FY14 program</w:t>
      </w:r>
      <w:r w:rsidR="00AE454D" w:rsidRPr="00D74E8E">
        <w:rPr>
          <w:sz w:val="24"/>
          <w:szCs w:val="24"/>
        </w:rPr>
        <w:t xml:space="preserve"> (HHLPSS</w:t>
      </w:r>
      <w:r w:rsidR="002B22FC" w:rsidRPr="00D74E8E">
        <w:rPr>
          <w:sz w:val="24"/>
          <w:szCs w:val="24"/>
        </w:rPr>
        <w:t xml:space="preserve"> ICR, OMB Control No. 0920-0931, expiration date 05/31/2018)</w:t>
      </w:r>
      <w:r w:rsidR="00CD6A34" w:rsidRPr="00D74E8E">
        <w:rPr>
          <w:sz w:val="24"/>
          <w:szCs w:val="24"/>
        </w:rPr>
        <w:t>.</w:t>
      </w:r>
    </w:p>
    <w:p w14:paraId="6240BE50" w14:textId="29E11205" w:rsidR="005770B4" w:rsidRPr="00D74E8E" w:rsidRDefault="009073D5" w:rsidP="00CD6A34">
      <w:pPr>
        <w:overflowPunct w:val="0"/>
        <w:autoSpaceDE w:val="0"/>
        <w:autoSpaceDN w:val="0"/>
        <w:adjustRightInd w:val="0"/>
        <w:spacing w:line="276" w:lineRule="auto"/>
        <w:ind w:left="360"/>
        <w:textAlignment w:val="baseline"/>
      </w:pPr>
      <w:r w:rsidRPr="00D74E8E">
        <w:rPr>
          <w:sz w:val="24"/>
          <w:szCs w:val="24"/>
        </w:rPr>
        <w:t xml:space="preserve">The </w:t>
      </w:r>
      <w:r w:rsidR="005770B4" w:rsidRPr="00D74E8E">
        <w:rPr>
          <w:sz w:val="24"/>
          <w:szCs w:val="24"/>
        </w:rPr>
        <w:t>annual</w:t>
      </w:r>
      <w:r w:rsidRPr="00D74E8E">
        <w:rPr>
          <w:sz w:val="24"/>
          <w:szCs w:val="24"/>
        </w:rPr>
        <w:t xml:space="preserve"> time burden requested </w:t>
      </w:r>
      <w:r w:rsidR="00902DE5" w:rsidRPr="00D74E8E">
        <w:rPr>
          <w:sz w:val="24"/>
          <w:szCs w:val="24"/>
        </w:rPr>
        <w:t xml:space="preserve">by NCEH </w:t>
      </w:r>
      <w:r w:rsidRPr="00D74E8E">
        <w:rPr>
          <w:sz w:val="24"/>
          <w:szCs w:val="24"/>
        </w:rPr>
        <w:t xml:space="preserve">is </w:t>
      </w:r>
      <w:r w:rsidR="003A1230" w:rsidRPr="00D74E8E">
        <w:rPr>
          <w:sz w:val="24"/>
          <w:szCs w:val="24"/>
        </w:rPr>
        <w:t>760</w:t>
      </w:r>
      <w:r w:rsidRPr="00D74E8E">
        <w:rPr>
          <w:sz w:val="24"/>
          <w:szCs w:val="24"/>
        </w:rPr>
        <w:t xml:space="preserve"> hours</w:t>
      </w:r>
      <w:r w:rsidR="001469D9" w:rsidRPr="00D74E8E">
        <w:rPr>
          <w:sz w:val="24"/>
          <w:szCs w:val="24"/>
        </w:rPr>
        <w:t xml:space="preserve">. It is estimated that </w:t>
      </w:r>
      <w:r w:rsidR="00B930E8" w:rsidRPr="00D74E8E">
        <w:rPr>
          <w:sz w:val="24"/>
          <w:szCs w:val="24"/>
        </w:rPr>
        <w:t>47</w:t>
      </w:r>
      <w:r w:rsidR="009E3215" w:rsidRPr="00D74E8E">
        <w:rPr>
          <w:sz w:val="24"/>
          <w:szCs w:val="24"/>
        </w:rPr>
        <w:t xml:space="preserve"> </w:t>
      </w:r>
      <w:r w:rsidR="001469D9" w:rsidRPr="00D74E8E">
        <w:rPr>
          <w:sz w:val="24"/>
          <w:szCs w:val="24"/>
        </w:rPr>
        <w:t>respondents will submit quarterly</w:t>
      </w:r>
      <w:r w:rsidR="00F80B43" w:rsidRPr="00D74E8E">
        <w:rPr>
          <w:sz w:val="24"/>
          <w:szCs w:val="24"/>
        </w:rPr>
        <w:t xml:space="preserve"> text files of case records</w:t>
      </w:r>
      <w:r w:rsidR="001469D9" w:rsidRPr="00D74E8E">
        <w:rPr>
          <w:sz w:val="24"/>
          <w:szCs w:val="24"/>
        </w:rPr>
        <w:t xml:space="preserve"> (7</w:t>
      </w:r>
      <w:r w:rsidR="00B930E8" w:rsidRPr="00D74E8E">
        <w:rPr>
          <w:sz w:val="24"/>
          <w:szCs w:val="24"/>
        </w:rPr>
        <w:t>52</w:t>
      </w:r>
      <w:r w:rsidR="001469D9" w:rsidRPr="00D74E8E">
        <w:rPr>
          <w:sz w:val="24"/>
          <w:szCs w:val="24"/>
        </w:rPr>
        <w:t xml:space="preserve"> burden hours)</w:t>
      </w:r>
      <w:r w:rsidR="00F80B43" w:rsidRPr="00D74E8E">
        <w:rPr>
          <w:sz w:val="24"/>
          <w:szCs w:val="24"/>
        </w:rPr>
        <w:t xml:space="preserve"> and </w:t>
      </w:r>
      <w:r w:rsidR="001469D9" w:rsidRPr="00D74E8E">
        <w:rPr>
          <w:sz w:val="24"/>
          <w:szCs w:val="24"/>
        </w:rPr>
        <w:t>one respondent will submit</w:t>
      </w:r>
      <w:r w:rsidR="00F80B43" w:rsidRPr="00D74E8E">
        <w:rPr>
          <w:sz w:val="24"/>
          <w:szCs w:val="24"/>
        </w:rPr>
        <w:t xml:space="preserve"> aggregate records</w:t>
      </w:r>
      <w:r w:rsidR="001469D9" w:rsidRPr="00D74E8E">
        <w:rPr>
          <w:sz w:val="24"/>
          <w:szCs w:val="24"/>
        </w:rPr>
        <w:t xml:space="preserve"> (8 burden hours</w:t>
      </w:r>
      <w:r w:rsidR="00F80B43" w:rsidRPr="00D74E8E">
        <w:rPr>
          <w:sz w:val="24"/>
          <w:szCs w:val="24"/>
        </w:rPr>
        <w:t>)</w:t>
      </w:r>
      <w:r w:rsidR="00CD6A34" w:rsidRPr="00D74E8E">
        <w:rPr>
          <w:sz w:val="24"/>
          <w:szCs w:val="24"/>
        </w:rPr>
        <w:t>.</w:t>
      </w:r>
    </w:p>
    <w:p w14:paraId="3F9FD170" w14:textId="484C8D1B" w:rsidR="00F715BE" w:rsidRPr="00D74E8E" w:rsidRDefault="002E62C5" w:rsidP="00CD6A34">
      <w:pPr>
        <w:overflowPunct w:val="0"/>
        <w:autoSpaceDE w:val="0"/>
        <w:autoSpaceDN w:val="0"/>
        <w:adjustRightInd w:val="0"/>
        <w:spacing w:line="276" w:lineRule="auto"/>
        <w:ind w:left="360"/>
        <w:textAlignment w:val="baseline"/>
        <w:rPr>
          <w:sz w:val="24"/>
          <w:szCs w:val="24"/>
        </w:rPr>
      </w:pPr>
      <w:r w:rsidRPr="00D74E8E">
        <w:rPr>
          <w:sz w:val="24"/>
          <w:szCs w:val="24"/>
          <w:u w:val="single"/>
        </w:rPr>
        <w:t xml:space="preserve">ABLES </w:t>
      </w:r>
      <w:r w:rsidR="00F73C5A" w:rsidRPr="00D74E8E">
        <w:rPr>
          <w:sz w:val="24"/>
          <w:szCs w:val="24"/>
          <w:u w:val="single"/>
        </w:rPr>
        <w:t>Case Records</w:t>
      </w:r>
      <w:r w:rsidRPr="00D74E8E">
        <w:rPr>
          <w:sz w:val="24"/>
          <w:szCs w:val="24"/>
        </w:rPr>
        <w:t xml:space="preserve">: </w:t>
      </w:r>
      <w:r w:rsidR="002D4204" w:rsidRPr="00D74E8E">
        <w:rPr>
          <w:sz w:val="24"/>
          <w:szCs w:val="24"/>
        </w:rPr>
        <w:t>I</w:t>
      </w:r>
      <w:r w:rsidR="00902DE5" w:rsidRPr="00D74E8E">
        <w:rPr>
          <w:sz w:val="24"/>
          <w:szCs w:val="24"/>
        </w:rPr>
        <w:t xml:space="preserve">n-state </w:t>
      </w:r>
      <w:r w:rsidR="00865326" w:rsidRPr="00D74E8E">
        <w:rPr>
          <w:sz w:val="24"/>
          <w:szCs w:val="24"/>
        </w:rPr>
        <w:t>p</w:t>
      </w:r>
      <w:r w:rsidR="007C05EA" w:rsidRPr="00D74E8E">
        <w:rPr>
          <w:sz w:val="24"/>
          <w:szCs w:val="24"/>
        </w:rPr>
        <w:t>rincipal investigators</w:t>
      </w:r>
      <w:r w:rsidR="00C85C5F" w:rsidRPr="00D74E8E">
        <w:rPr>
          <w:sz w:val="24"/>
          <w:szCs w:val="24"/>
        </w:rPr>
        <w:t xml:space="preserve"> and laboratories</w:t>
      </w:r>
      <w:r w:rsidR="00CD397D" w:rsidRPr="00D74E8E">
        <w:rPr>
          <w:sz w:val="24"/>
          <w:szCs w:val="24"/>
        </w:rPr>
        <w:t xml:space="preserve"> </w:t>
      </w:r>
      <w:r w:rsidR="002D4204" w:rsidRPr="00D74E8E">
        <w:rPr>
          <w:sz w:val="24"/>
          <w:szCs w:val="24"/>
        </w:rPr>
        <w:t xml:space="preserve">routinely report adult BLL data to ABLES </w:t>
      </w:r>
      <w:r w:rsidR="00D844E5">
        <w:rPr>
          <w:sz w:val="24"/>
          <w:szCs w:val="24"/>
        </w:rPr>
        <w:t>Program</w:t>
      </w:r>
      <w:r w:rsidR="002D4204" w:rsidRPr="00D74E8E">
        <w:rPr>
          <w:sz w:val="24"/>
          <w:szCs w:val="24"/>
        </w:rPr>
        <w:t xml:space="preserve">s </w:t>
      </w:r>
      <w:r w:rsidR="00CD397D" w:rsidRPr="00D74E8E">
        <w:rPr>
          <w:sz w:val="24"/>
          <w:szCs w:val="24"/>
        </w:rPr>
        <w:t xml:space="preserve">according to </w:t>
      </w:r>
      <w:r w:rsidR="00721179" w:rsidRPr="00D74E8E">
        <w:rPr>
          <w:sz w:val="24"/>
          <w:szCs w:val="24"/>
        </w:rPr>
        <w:t xml:space="preserve">their own </w:t>
      </w:r>
      <w:r w:rsidR="00CD397D" w:rsidRPr="00D74E8E">
        <w:rPr>
          <w:sz w:val="24"/>
          <w:szCs w:val="24"/>
        </w:rPr>
        <w:t>state and local codes</w:t>
      </w:r>
      <w:r w:rsidR="007C05EA" w:rsidRPr="00D74E8E">
        <w:rPr>
          <w:sz w:val="24"/>
          <w:szCs w:val="24"/>
        </w:rPr>
        <w:t xml:space="preserve">. </w:t>
      </w:r>
      <w:r w:rsidR="002D4204" w:rsidRPr="00D74E8E">
        <w:rPr>
          <w:sz w:val="24"/>
          <w:szCs w:val="24"/>
        </w:rPr>
        <w:t xml:space="preserve">Over the next three years, up to 40 participating state ABLES </w:t>
      </w:r>
      <w:r w:rsidR="00D844E5">
        <w:rPr>
          <w:sz w:val="24"/>
          <w:szCs w:val="24"/>
        </w:rPr>
        <w:t>Program</w:t>
      </w:r>
      <w:r w:rsidR="002D4204" w:rsidRPr="00D74E8E">
        <w:rPr>
          <w:sz w:val="24"/>
          <w:szCs w:val="24"/>
        </w:rPr>
        <w:t xml:space="preserve">s will submit adult BLL data to NIOSH. </w:t>
      </w:r>
      <w:r w:rsidR="00AE744A" w:rsidRPr="00D74E8E">
        <w:rPr>
          <w:sz w:val="24"/>
          <w:szCs w:val="24"/>
        </w:rPr>
        <w:t>Currently,</w:t>
      </w:r>
      <w:r w:rsidR="009215CA" w:rsidRPr="00D74E8E">
        <w:rPr>
          <w:sz w:val="24"/>
          <w:szCs w:val="24"/>
        </w:rPr>
        <w:t xml:space="preserve"> 28 programs</w:t>
      </w:r>
      <w:r w:rsidR="00AE744A" w:rsidRPr="00D74E8E">
        <w:rPr>
          <w:sz w:val="24"/>
          <w:szCs w:val="24"/>
        </w:rPr>
        <w:t xml:space="preserve"> are reporting ABLES d</w:t>
      </w:r>
      <w:r w:rsidR="00865326" w:rsidRPr="00D74E8E">
        <w:rPr>
          <w:sz w:val="24"/>
          <w:szCs w:val="24"/>
        </w:rPr>
        <w:t>ata</w:t>
      </w:r>
      <w:r w:rsidR="004A0A7E" w:rsidRPr="00D74E8E">
        <w:rPr>
          <w:sz w:val="24"/>
          <w:szCs w:val="24"/>
        </w:rPr>
        <w:t>; however,</w:t>
      </w:r>
      <w:r w:rsidR="00865326" w:rsidRPr="00D74E8E">
        <w:rPr>
          <w:sz w:val="24"/>
          <w:szCs w:val="24"/>
        </w:rPr>
        <w:t xml:space="preserve"> </w:t>
      </w:r>
      <w:r w:rsidR="00C34039" w:rsidRPr="00D74E8E">
        <w:rPr>
          <w:sz w:val="24"/>
          <w:szCs w:val="24"/>
        </w:rPr>
        <w:t>NIOSH aims</w:t>
      </w:r>
      <w:r w:rsidR="00AE744A" w:rsidRPr="00D74E8E">
        <w:rPr>
          <w:sz w:val="24"/>
          <w:szCs w:val="24"/>
        </w:rPr>
        <w:t xml:space="preserve"> to establish data sharing agreements with</w:t>
      </w:r>
      <w:r w:rsidR="009215CA" w:rsidRPr="00D74E8E">
        <w:rPr>
          <w:sz w:val="24"/>
          <w:szCs w:val="24"/>
        </w:rPr>
        <w:t xml:space="preserve"> up to </w:t>
      </w:r>
      <w:r w:rsidR="002106C4" w:rsidRPr="00D74E8E">
        <w:rPr>
          <w:sz w:val="24"/>
          <w:szCs w:val="24"/>
        </w:rPr>
        <w:t xml:space="preserve">12 </w:t>
      </w:r>
      <w:r w:rsidR="00AE744A" w:rsidRPr="00D74E8E">
        <w:rPr>
          <w:sz w:val="24"/>
          <w:szCs w:val="24"/>
        </w:rPr>
        <w:t xml:space="preserve">additional </w:t>
      </w:r>
      <w:r w:rsidR="009215CA" w:rsidRPr="00D74E8E">
        <w:rPr>
          <w:sz w:val="24"/>
          <w:szCs w:val="24"/>
        </w:rPr>
        <w:t>programs</w:t>
      </w:r>
      <w:r w:rsidR="004A0A7E" w:rsidRPr="00D74E8E">
        <w:rPr>
          <w:sz w:val="24"/>
          <w:szCs w:val="24"/>
        </w:rPr>
        <w:t xml:space="preserve"> over the next three years</w:t>
      </w:r>
      <w:r w:rsidR="00F06A62" w:rsidRPr="00D74E8E">
        <w:rPr>
          <w:sz w:val="24"/>
          <w:szCs w:val="24"/>
        </w:rPr>
        <w:t xml:space="preserve">. </w:t>
      </w:r>
      <w:r w:rsidR="00FB2B8F" w:rsidRPr="00D74E8E">
        <w:rPr>
          <w:rFonts w:cs="Courier New"/>
          <w:sz w:val="24"/>
          <w:szCs w:val="24"/>
        </w:rPr>
        <w:t xml:space="preserve">On an annual basis, </w:t>
      </w:r>
      <w:r w:rsidR="00A04C49" w:rsidRPr="00D74E8E">
        <w:rPr>
          <w:rFonts w:cs="Courier New"/>
          <w:sz w:val="24"/>
          <w:szCs w:val="24"/>
        </w:rPr>
        <w:t xml:space="preserve">in addition to a brief narrative report of annual lead surveillance activities, </w:t>
      </w:r>
      <w:r w:rsidR="00FB2B8F" w:rsidRPr="00D74E8E">
        <w:rPr>
          <w:rFonts w:cs="Courier New"/>
          <w:sz w:val="24"/>
          <w:szCs w:val="24"/>
        </w:rPr>
        <w:t>A</w:t>
      </w:r>
      <w:r w:rsidR="008C5C54" w:rsidRPr="00D74E8E">
        <w:rPr>
          <w:rFonts w:cs="Courier New"/>
          <w:sz w:val="24"/>
          <w:szCs w:val="24"/>
        </w:rPr>
        <w:t>BLES respondents submit</w:t>
      </w:r>
      <w:r w:rsidR="005C7BEE" w:rsidRPr="00D74E8E">
        <w:rPr>
          <w:rFonts w:cs="Courier New"/>
          <w:sz w:val="24"/>
          <w:szCs w:val="24"/>
        </w:rPr>
        <w:t xml:space="preserve"> either case records</w:t>
      </w:r>
      <w:r w:rsidR="00FB2B8F" w:rsidRPr="00D74E8E">
        <w:rPr>
          <w:rFonts w:cs="Courier New"/>
          <w:sz w:val="24"/>
          <w:szCs w:val="24"/>
        </w:rPr>
        <w:t xml:space="preserve"> or aggregate counts of </w:t>
      </w:r>
      <w:r w:rsidR="008C5C54" w:rsidRPr="00D74E8E">
        <w:rPr>
          <w:rFonts w:cs="Courier New"/>
          <w:sz w:val="24"/>
          <w:szCs w:val="24"/>
        </w:rPr>
        <w:t xml:space="preserve">annual </w:t>
      </w:r>
      <w:r w:rsidR="00FB2B8F" w:rsidRPr="00D74E8E">
        <w:rPr>
          <w:rFonts w:cs="Courier New"/>
          <w:sz w:val="24"/>
          <w:szCs w:val="24"/>
        </w:rPr>
        <w:t>adult blood lead test results.</w:t>
      </w:r>
      <w:r w:rsidR="00FB2B8F" w:rsidRPr="00D74E8E">
        <w:rPr>
          <w:sz w:val="24"/>
          <w:szCs w:val="24"/>
        </w:rPr>
        <w:t xml:space="preserve"> </w:t>
      </w:r>
      <w:r w:rsidR="005C7BEE" w:rsidRPr="00D74E8E">
        <w:rPr>
          <w:sz w:val="24"/>
          <w:szCs w:val="24"/>
        </w:rPr>
        <w:t xml:space="preserve">NIOSH estimates that 80 percent of their respondents (n=32) will spend 256 burden hours submitting case records and 20 percent (n=8) will spend 24 burden hours submitting aggregate records. </w:t>
      </w:r>
      <w:r w:rsidR="009215CA" w:rsidRPr="00D74E8E">
        <w:rPr>
          <w:sz w:val="24"/>
          <w:szCs w:val="24"/>
        </w:rPr>
        <w:t xml:space="preserve">The annual time burden requested </w:t>
      </w:r>
      <w:r w:rsidR="006C5CE3" w:rsidRPr="00D74E8E">
        <w:rPr>
          <w:sz w:val="24"/>
          <w:szCs w:val="24"/>
        </w:rPr>
        <w:t xml:space="preserve">by NIOSH </w:t>
      </w:r>
      <w:r w:rsidR="009215CA" w:rsidRPr="00D74E8E">
        <w:rPr>
          <w:sz w:val="24"/>
          <w:szCs w:val="24"/>
        </w:rPr>
        <w:t xml:space="preserve">is </w:t>
      </w:r>
      <w:r w:rsidR="000767E3" w:rsidRPr="00D74E8E">
        <w:rPr>
          <w:sz w:val="24"/>
          <w:szCs w:val="24"/>
        </w:rPr>
        <w:t>280</w:t>
      </w:r>
      <w:r w:rsidR="009215CA" w:rsidRPr="00D74E8E">
        <w:rPr>
          <w:sz w:val="24"/>
          <w:szCs w:val="24"/>
        </w:rPr>
        <w:t xml:space="preserve"> hours.</w:t>
      </w:r>
    </w:p>
    <w:p w14:paraId="5C4C62C8" w14:textId="5C664341" w:rsidR="00D66CBA" w:rsidRPr="00D74E8E" w:rsidRDefault="007B2CCE" w:rsidP="00B47569">
      <w:pPr>
        <w:spacing w:after="240" w:line="276" w:lineRule="auto"/>
        <w:ind w:left="360"/>
        <w:rPr>
          <w:sz w:val="24"/>
          <w:szCs w:val="24"/>
        </w:rPr>
      </w:pPr>
      <w:r w:rsidRPr="00D74E8E">
        <w:rPr>
          <w:sz w:val="24"/>
          <w:szCs w:val="24"/>
        </w:rPr>
        <w:t xml:space="preserve">Once the ABLES hours are approved in this new </w:t>
      </w:r>
      <w:r w:rsidR="008B686F" w:rsidRPr="00D74E8E">
        <w:rPr>
          <w:sz w:val="24"/>
          <w:szCs w:val="24"/>
        </w:rPr>
        <w:t>FY</w:t>
      </w:r>
      <w:r w:rsidRPr="00D74E8E">
        <w:rPr>
          <w:sz w:val="24"/>
          <w:szCs w:val="24"/>
        </w:rPr>
        <w:t xml:space="preserve">17 ICR, CDC will submit a </w:t>
      </w:r>
      <w:r w:rsidR="00AE744A" w:rsidRPr="00D74E8E">
        <w:rPr>
          <w:sz w:val="24"/>
          <w:szCs w:val="24"/>
        </w:rPr>
        <w:t>revision request</w:t>
      </w:r>
      <w:r w:rsidRPr="00D74E8E">
        <w:rPr>
          <w:sz w:val="24"/>
          <w:szCs w:val="24"/>
        </w:rPr>
        <w:t xml:space="preserve"> to remove </w:t>
      </w:r>
      <w:r w:rsidR="0043133A">
        <w:rPr>
          <w:sz w:val="24"/>
          <w:szCs w:val="24"/>
        </w:rPr>
        <w:t xml:space="preserve">the </w:t>
      </w:r>
      <w:r w:rsidRPr="00D74E8E">
        <w:rPr>
          <w:sz w:val="24"/>
          <w:szCs w:val="24"/>
        </w:rPr>
        <w:t>ABLES</w:t>
      </w:r>
      <w:r w:rsidR="0043133A">
        <w:rPr>
          <w:sz w:val="24"/>
          <w:szCs w:val="24"/>
        </w:rPr>
        <w:t xml:space="preserve"> description</w:t>
      </w:r>
      <w:r w:rsidRPr="00D74E8E">
        <w:rPr>
          <w:sz w:val="24"/>
          <w:szCs w:val="24"/>
        </w:rPr>
        <w:t xml:space="preserve"> from </w:t>
      </w:r>
      <w:r w:rsidR="006C6F41" w:rsidRPr="00D74E8E">
        <w:rPr>
          <w:sz w:val="24"/>
          <w:szCs w:val="24"/>
        </w:rPr>
        <w:t>the HHLPSS ICR (</w:t>
      </w:r>
      <w:r w:rsidRPr="00D74E8E">
        <w:rPr>
          <w:sz w:val="24"/>
          <w:szCs w:val="24"/>
        </w:rPr>
        <w:t>OMB Control No. 0920-0931</w:t>
      </w:r>
      <w:r w:rsidR="006C6F41" w:rsidRPr="00D74E8E">
        <w:rPr>
          <w:sz w:val="24"/>
          <w:szCs w:val="24"/>
        </w:rPr>
        <w:t>, expiration date 05/31/2018)</w:t>
      </w:r>
      <w:r w:rsidRPr="00D74E8E">
        <w:rPr>
          <w:sz w:val="24"/>
          <w:szCs w:val="24"/>
        </w:rPr>
        <w:t>.</w:t>
      </w:r>
      <w:r w:rsidR="006C6F41" w:rsidRPr="00D74E8E">
        <w:rPr>
          <w:sz w:val="24"/>
          <w:szCs w:val="24"/>
        </w:rPr>
        <w:t xml:space="preserve"> Although </w:t>
      </w:r>
      <w:r w:rsidR="0050733F" w:rsidRPr="00D74E8E">
        <w:rPr>
          <w:sz w:val="24"/>
          <w:szCs w:val="24"/>
        </w:rPr>
        <w:t xml:space="preserve">a description of the </w:t>
      </w:r>
      <w:r w:rsidR="006C6F41" w:rsidRPr="00D74E8E">
        <w:rPr>
          <w:sz w:val="24"/>
          <w:szCs w:val="24"/>
        </w:rPr>
        <w:t xml:space="preserve">ABLES </w:t>
      </w:r>
      <w:r w:rsidR="0050733F" w:rsidRPr="00D74E8E">
        <w:rPr>
          <w:sz w:val="24"/>
          <w:szCs w:val="24"/>
        </w:rPr>
        <w:t>collection</w:t>
      </w:r>
      <w:r w:rsidR="00865AB9" w:rsidRPr="00D74E8E">
        <w:rPr>
          <w:sz w:val="24"/>
          <w:szCs w:val="24"/>
        </w:rPr>
        <w:t xml:space="preserve"> </w:t>
      </w:r>
      <w:r w:rsidR="006C6F41" w:rsidRPr="00D74E8E">
        <w:rPr>
          <w:sz w:val="24"/>
          <w:szCs w:val="24"/>
        </w:rPr>
        <w:t>was previously included, burden hours for ABLES were not requested or approved in PRA clearance</w:t>
      </w:r>
      <w:r w:rsidR="00865AB9" w:rsidRPr="00D74E8E">
        <w:rPr>
          <w:sz w:val="24"/>
          <w:szCs w:val="24"/>
        </w:rPr>
        <w:t xml:space="preserve"> for the 2015 HHLPSS extension ICR</w:t>
      </w:r>
      <w:r w:rsidR="006C6F41" w:rsidRPr="00D74E8E">
        <w:rPr>
          <w:sz w:val="24"/>
          <w:szCs w:val="24"/>
        </w:rPr>
        <w:t>.</w:t>
      </w:r>
    </w:p>
    <w:p w14:paraId="1C2D90C8" w14:textId="77777777" w:rsidR="001316C5" w:rsidRPr="00D74E8E" w:rsidRDefault="001316C5">
      <w:pPr>
        <w:rPr>
          <w:rFonts w:cs="Courier New"/>
          <w:sz w:val="24"/>
          <w:u w:val="single"/>
        </w:rPr>
      </w:pPr>
      <w:r w:rsidRPr="00D74E8E">
        <w:rPr>
          <w:rFonts w:cs="Courier New"/>
          <w:sz w:val="24"/>
          <w:u w:val="single"/>
        </w:rPr>
        <w:br w:type="page"/>
      </w:r>
    </w:p>
    <w:p w14:paraId="1D094917" w14:textId="54354F3C" w:rsidR="007411C0" w:rsidRPr="00D74E8E" w:rsidRDefault="007411C0" w:rsidP="00864E6C">
      <w:pPr>
        <w:spacing w:line="276" w:lineRule="auto"/>
        <w:rPr>
          <w:rFonts w:cs="Courier New"/>
          <w:sz w:val="24"/>
          <w:u w:val="single"/>
        </w:rPr>
      </w:pPr>
      <w:r w:rsidRPr="00D74E8E">
        <w:rPr>
          <w:rFonts w:cs="Courier New"/>
          <w:sz w:val="24"/>
          <w:u w:val="single"/>
        </w:rPr>
        <w:t xml:space="preserve">Table </w:t>
      </w:r>
      <w:r w:rsidR="00083F0E" w:rsidRPr="00D74E8E">
        <w:rPr>
          <w:rFonts w:cs="Courier New"/>
          <w:sz w:val="24"/>
          <w:u w:val="single"/>
        </w:rPr>
        <w:t>A.12.1</w:t>
      </w:r>
      <w:r w:rsidRPr="00D74E8E">
        <w:rPr>
          <w:rFonts w:cs="Courier New"/>
          <w:sz w:val="24"/>
          <w:u w:val="single"/>
        </w:rPr>
        <w:t>.  Estimated Annualized Burden Hours</w:t>
      </w:r>
    </w:p>
    <w:tbl>
      <w:tblPr>
        <w:tblW w:w="9468" w:type="dxa"/>
        <w:tblLayout w:type="fixed"/>
        <w:tblLook w:val="0000" w:firstRow="0" w:lastRow="0" w:firstColumn="0" w:lastColumn="0" w:noHBand="0" w:noVBand="0"/>
      </w:tblPr>
      <w:tblGrid>
        <w:gridCol w:w="1577"/>
        <w:gridCol w:w="1577"/>
        <w:gridCol w:w="1578"/>
        <w:gridCol w:w="1578"/>
        <w:gridCol w:w="1580"/>
        <w:gridCol w:w="1578"/>
      </w:tblGrid>
      <w:tr w:rsidR="00D74E8E" w:rsidRPr="00D74E8E" w14:paraId="43A9D895" w14:textId="77777777" w:rsidTr="00A1279D">
        <w:trPr>
          <w:trHeight w:val="253"/>
        </w:trPr>
        <w:tc>
          <w:tcPr>
            <w:tcW w:w="1577" w:type="dxa"/>
            <w:tcBorders>
              <w:top w:val="single" w:sz="8" w:space="0" w:color="000000"/>
              <w:left w:val="single" w:sz="8" w:space="0" w:color="000000"/>
              <w:bottom w:val="single" w:sz="8" w:space="0" w:color="000000"/>
              <w:right w:val="single" w:sz="8" w:space="0" w:color="000000"/>
            </w:tcBorders>
            <w:vAlign w:val="center"/>
          </w:tcPr>
          <w:p w14:paraId="0845B34D" w14:textId="77777777" w:rsidR="007411C0" w:rsidRPr="00D74E8E" w:rsidRDefault="007411C0" w:rsidP="00DE23F4">
            <w:pPr>
              <w:spacing w:after="0" w:line="240" w:lineRule="auto"/>
              <w:jc w:val="center"/>
              <w:rPr>
                <w:rFonts w:cs="Courier New"/>
              </w:rPr>
            </w:pPr>
            <w:r w:rsidRPr="00D74E8E">
              <w:rPr>
                <w:rFonts w:cs="Courier New"/>
              </w:rPr>
              <w:t>Type of Respondents</w:t>
            </w:r>
          </w:p>
        </w:tc>
        <w:tc>
          <w:tcPr>
            <w:tcW w:w="1577" w:type="dxa"/>
            <w:tcBorders>
              <w:top w:val="single" w:sz="8" w:space="0" w:color="000000"/>
              <w:left w:val="single" w:sz="8" w:space="0" w:color="000000"/>
              <w:bottom w:val="single" w:sz="8" w:space="0" w:color="000000"/>
              <w:right w:val="single" w:sz="8" w:space="0" w:color="000000"/>
            </w:tcBorders>
            <w:vAlign w:val="center"/>
          </w:tcPr>
          <w:p w14:paraId="74FC506F" w14:textId="77777777" w:rsidR="007411C0" w:rsidRPr="00D74E8E" w:rsidRDefault="007411C0" w:rsidP="00DE23F4">
            <w:pPr>
              <w:spacing w:after="0" w:line="240" w:lineRule="auto"/>
              <w:jc w:val="center"/>
              <w:rPr>
                <w:rFonts w:cs="Courier New"/>
              </w:rPr>
            </w:pPr>
            <w:r w:rsidRPr="00D74E8E">
              <w:rPr>
                <w:rFonts w:cs="Courier New"/>
              </w:rPr>
              <w:t>Form</w:t>
            </w:r>
          </w:p>
          <w:p w14:paraId="0EA6ACC3" w14:textId="77777777" w:rsidR="007411C0" w:rsidRPr="00D74E8E" w:rsidRDefault="007411C0" w:rsidP="00DE23F4">
            <w:pPr>
              <w:spacing w:after="0" w:line="240" w:lineRule="auto"/>
              <w:jc w:val="center"/>
              <w:rPr>
                <w:rFonts w:cs="Courier New"/>
              </w:rPr>
            </w:pPr>
            <w:r w:rsidRPr="00D74E8E">
              <w:rPr>
                <w:rFonts w:cs="Courier New"/>
              </w:rPr>
              <w:t>Name</w:t>
            </w:r>
          </w:p>
        </w:tc>
        <w:tc>
          <w:tcPr>
            <w:tcW w:w="1578" w:type="dxa"/>
            <w:tcBorders>
              <w:top w:val="single" w:sz="8" w:space="0" w:color="000000"/>
              <w:left w:val="single" w:sz="8" w:space="0" w:color="000000"/>
              <w:bottom w:val="single" w:sz="8" w:space="0" w:color="000000"/>
              <w:right w:val="single" w:sz="8" w:space="0" w:color="000000"/>
            </w:tcBorders>
            <w:vAlign w:val="center"/>
          </w:tcPr>
          <w:p w14:paraId="2B3E60D3" w14:textId="77777777" w:rsidR="007411C0" w:rsidRPr="00D74E8E" w:rsidRDefault="007411C0" w:rsidP="00DE23F4">
            <w:pPr>
              <w:spacing w:after="0" w:line="240" w:lineRule="auto"/>
              <w:jc w:val="center"/>
              <w:rPr>
                <w:rFonts w:cs="Courier New"/>
              </w:rPr>
            </w:pPr>
            <w:r w:rsidRPr="00D74E8E">
              <w:rPr>
                <w:rFonts w:cs="Courier New"/>
              </w:rPr>
              <w:t>No. of</w:t>
            </w:r>
          </w:p>
          <w:p w14:paraId="13154A09" w14:textId="77777777" w:rsidR="007411C0" w:rsidRPr="00D74E8E" w:rsidRDefault="007411C0" w:rsidP="00DE23F4">
            <w:pPr>
              <w:spacing w:after="0" w:line="240" w:lineRule="auto"/>
              <w:jc w:val="center"/>
              <w:rPr>
                <w:rFonts w:cs="Courier New"/>
              </w:rPr>
            </w:pPr>
            <w:r w:rsidRPr="00D74E8E">
              <w:rPr>
                <w:rFonts w:cs="Courier New"/>
              </w:rPr>
              <w:t>Respondents</w:t>
            </w:r>
          </w:p>
        </w:tc>
        <w:tc>
          <w:tcPr>
            <w:tcW w:w="1578" w:type="dxa"/>
            <w:tcBorders>
              <w:top w:val="single" w:sz="8" w:space="0" w:color="000000"/>
              <w:left w:val="single" w:sz="8" w:space="0" w:color="000000"/>
              <w:bottom w:val="single" w:sz="8" w:space="0" w:color="000000"/>
              <w:right w:val="single" w:sz="8" w:space="0" w:color="000000"/>
            </w:tcBorders>
            <w:vAlign w:val="center"/>
          </w:tcPr>
          <w:p w14:paraId="32C5E468" w14:textId="77777777" w:rsidR="007411C0" w:rsidRPr="00D74E8E" w:rsidRDefault="007411C0" w:rsidP="00DE23F4">
            <w:pPr>
              <w:spacing w:after="0" w:line="240" w:lineRule="auto"/>
              <w:jc w:val="center"/>
              <w:rPr>
                <w:rFonts w:cs="Courier New"/>
              </w:rPr>
            </w:pPr>
            <w:r w:rsidRPr="00D74E8E">
              <w:rPr>
                <w:rFonts w:cs="Courier New"/>
              </w:rPr>
              <w:t>No. of</w:t>
            </w:r>
          </w:p>
          <w:p w14:paraId="6CD838E7" w14:textId="77777777" w:rsidR="007411C0" w:rsidRPr="00D74E8E" w:rsidRDefault="007411C0" w:rsidP="00DE23F4">
            <w:pPr>
              <w:spacing w:after="0" w:line="240" w:lineRule="auto"/>
              <w:jc w:val="center"/>
              <w:rPr>
                <w:rFonts w:cs="Courier New"/>
              </w:rPr>
            </w:pPr>
            <w:r w:rsidRPr="00D74E8E">
              <w:rPr>
                <w:rFonts w:cs="Courier New"/>
              </w:rPr>
              <w:t>Responses per Respondent</w:t>
            </w:r>
          </w:p>
        </w:tc>
        <w:tc>
          <w:tcPr>
            <w:tcW w:w="1580" w:type="dxa"/>
            <w:tcBorders>
              <w:top w:val="single" w:sz="8" w:space="0" w:color="000000"/>
              <w:left w:val="single" w:sz="8" w:space="0" w:color="000000"/>
              <w:bottom w:val="single" w:sz="8" w:space="0" w:color="000000"/>
              <w:right w:val="single" w:sz="8" w:space="0" w:color="000000"/>
            </w:tcBorders>
            <w:vAlign w:val="center"/>
          </w:tcPr>
          <w:p w14:paraId="3E0BEEED" w14:textId="77777777" w:rsidR="007411C0" w:rsidRPr="00D74E8E" w:rsidRDefault="007411C0" w:rsidP="00DE23F4">
            <w:pPr>
              <w:spacing w:after="0" w:line="240" w:lineRule="auto"/>
              <w:jc w:val="center"/>
              <w:rPr>
                <w:rFonts w:cs="Courier New"/>
              </w:rPr>
            </w:pPr>
            <w:r w:rsidRPr="00D74E8E">
              <w:rPr>
                <w:rFonts w:cs="Courier New"/>
              </w:rPr>
              <w:t xml:space="preserve">Average Burden per Response </w:t>
            </w:r>
            <w:r w:rsidRPr="00D74E8E">
              <w:rPr>
                <w:rFonts w:cs="Courier New"/>
              </w:rPr>
              <w:br/>
              <w:t>(in hours)</w:t>
            </w:r>
          </w:p>
        </w:tc>
        <w:tc>
          <w:tcPr>
            <w:tcW w:w="1578" w:type="dxa"/>
            <w:tcBorders>
              <w:top w:val="single" w:sz="8" w:space="0" w:color="000000"/>
              <w:left w:val="single" w:sz="8" w:space="0" w:color="000000"/>
              <w:bottom w:val="single" w:sz="8" w:space="0" w:color="000000"/>
              <w:right w:val="single" w:sz="8" w:space="0" w:color="000000"/>
            </w:tcBorders>
            <w:vAlign w:val="center"/>
          </w:tcPr>
          <w:p w14:paraId="6AD9E16C" w14:textId="77777777" w:rsidR="007411C0" w:rsidRPr="00D74E8E" w:rsidRDefault="007411C0" w:rsidP="00DE23F4">
            <w:pPr>
              <w:spacing w:after="0" w:line="240" w:lineRule="auto"/>
              <w:jc w:val="center"/>
              <w:rPr>
                <w:rFonts w:cs="Courier New"/>
              </w:rPr>
            </w:pPr>
            <w:r w:rsidRPr="00D74E8E">
              <w:rPr>
                <w:rFonts w:cs="Courier New"/>
              </w:rPr>
              <w:t xml:space="preserve">Total </w:t>
            </w:r>
            <w:r w:rsidRPr="00D74E8E">
              <w:rPr>
                <w:rFonts w:cs="Courier New"/>
              </w:rPr>
              <w:br/>
              <w:t>Burden Hours</w:t>
            </w:r>
          </w:p>
        </w:tc>
      </w:tr>
      <w:tr w:rsidR="002F2486" w:rsidRPr="00D74E8E" w14:paraId="1B6BC595" w14:textId="77777777" w:rsidTr="000A0A0F">
        <w:trPr>
          <w:trHeight w:val="253"/>
        </w:trPr>
        <w:tc>
          <w:tcPr>
            <w:tcW w:w="1577" w:type="dxa"/>
            <w:tcBorders>
              <w:top w:val="single" w:sz="8" w:space="0" w:color="000000"/>
              <w:left w:val="single" w:sz="8" w:space="0" w:color="000000"/>
              <w:bottom w:val="single" w:sz="8" w:space="0" w:color="000000"/>
              <w:right w:val="single" w:sz="8" w:space="0" w:color="000000"/>
            </w:tcBorders>
            <w:vAlign w:val="center"/>
          </w:tcPr>
          <w:p w14:paraId="3A5E1066" w14:textId="627BE617" w:rsidR="002F2486" w:rsidRPr="002F2486" w:rsidRDefault="002F2486" w:rsidP="00A36E40">
            <w:pPr>
              <w:spacing w:after="0" w:line="240" w:lineRule="auto"/>
              <w:rPr>
                <w:rFonts w:ascii="Calibri" w:hAnsi="Calibri" w:cs="Courier New"/>
              </w:rPr>
            </w:pPr>
            <w:r w:rsidRPr="002F2486">
              <w:rPr>
                <w:rFonts w:ascii="Calibri" w:hAnsi="Calibri" w:cs="Courier New"/>
              </w:rPr>
              <w:t>State</w:t>
            </w:r>
            <w:r w:rsidR="00A36E40">
              <w:rPr>
                <w:rFonts w:ascii="Calibri" w:hAnsi="Calibri" w:cs="Courier New"/>
              </w:rPr>
              <w:t xml:space="preserve"> or Local </w:t>
            </w:r>
            <w:r w:rsidRPr="002F2486">
              <w:rPr>
                <w:rFonts w:ascii="Calibri" w:hAnsi="Calibri" w:cs="Courier New"/>
              </w:rPr>
              <w:t>Health Departments, or their Bona</w:t>
            </w:r>
            <w:r w:rsidR="00A36E40">
              <w:rPr>
                <w:rFonts w:ascii="Calibri" w:hAnsi="Calibri" w:cs="Courier New"/>
              </w:rPr>
              <w:t xml:space="preserve"> F</w:t>
            </w:r>
            <w:r w:rsidRPr="002F2486">
              <w:rPr>
                <w:rFonts w:ascii="Calibri" w:hAnsi="Calibri" w:cs="Courier New"/>
              </w:rPr>
              <w:t>ide Agents</w:t>
            </w:r>
          </w:p>
        </w:tc>
        <w:tc>
          <w:tcPr>
            <w:tcW w:w="1577" w:type="dxa"/>
            <w:tcBorders>
              <w:top w:val="single" w:sz="8" w:space="0" w:color="000000"/>
              <w:left w:val="single" w:sz="8" w:space="0" w:color="000000"/>
              <w:bottom w:val="single" w:sz="8" w:space="0" w:color="000000"/>
              <w:right w:val="single" w:sz="8" w:space="0" w:color="000000"/>
            </w:tcBorders>
            <w:vAlign w:val="center"/>
          </w:tcPr>
          <w:p w14:paraId="45A7DD9D" w14:textId="2BCD61AC" w:rsidR="002F2486" w:rsidRPr="00D74E8E" w:rsidRDefault="002F2486" w:rsidP="00253CAA">
            <w:pPr>
              <w:spacing w:after="0" w:line="240" w:lineRule="auto"/>
              <w:rPr>
                <w:rFonts w:cs="Courier New"/>
              </w:rPr>
            </w:pPr>
            <w:r w:rsidRPr="00D74E8E">
              <w:rPr>
                <w:sz w:val="22"/>
                <w:szCs w:val="22"/>
              </w:rPr>
              <w:t>CBLS Variables</w:t>
            </w:r>
            <w:r w:rsidRPr="00D74E8E">
              <w:rPr>
                <w:rFonts w:cs="Arial"/>
                <w:sz w:val="22"/>
                <w:szCs w:val="22"/>
              </w:rPr>
              <w:t xml:space="preserve"> – Text Files</w:t>
            </w:r>
          </w:p>
        </w:tc>
        <w:tc>
          <w:tcPr>
            <w:tcW w:w="1578" w:type="dxa"/>
            <w:tcBorders>
              <w:top w:val="single" w:sz="8" w:space="0" w:color="000000"/>
              <w:left w:val="single" w:sz="8" w:space="0" w:color="000000"/>
              <w:bottom w:val="single" w:sz="8" w:space="0" w:color="000000"/>
              <w:right w:val="single" w:sz="8" w:space="0" w:color="000000"/>
            </w:tcBorders>
            <w:vAlign w:val="center"/>
          </w:tcPr>
          <w:p w14:paraId="53EDB197" w14:textId="0128CEDE" w:rsidR="002F2486" w:rsidRPr="00D74E8E" w:rsidRDefault="002F2486" w:rsidP="002F2486">
            <w:pPr>
              <w:spacing w:after="0" w:line="240" w:lineRule="auto"/>
              <w:jc w:val="center"/>
              <w:rPr>
                <w:rFonts w:cs="Courier New"/>
              </w:rPr>
            </w:pPr>
            <w:r w:rsidRPr="00D74E8E">
              <w:rPr>
                <w:rFonts w:cs="Courier New"/>
                <w:sz w:val="22"/>
                <w:szCs w:val="22"/>
              </w:rPr>
              <w:t>47</w:t>
            </w:r>
          </w:p>
        </w:tc>
        <w:tc>
          <w:tcPr>
            <w:tcW w:w="1578" w:type="dxa"/>
            <w:tcBorders>
              <w:top w:val="single" w:sz="8" w:space="0" w:color="000000"/>
              <w:left w:val="single" w:sz="8" w:space="0" w:color="000000"/>
              <w:bottom w:val="single" w:sz="8" w:space="0" w:color="000000"/>
              <w:right w:val="single" w:sz="8" w:space="0" w:color="000000"/>
            </w:tcBorders>
            <w:vAlign w:val="center"/>
          </w:tcPr>
          <w:p w14:paraId="60C2DAB9" w14:textId="1594C3C9" w:rsidR="002F2486" w:rsidRPr="00D74E8E" w:rsidRDefault="002F2486" w:rsidP="002F2486">
            <w:pPr>
              <w:spacing w:after="0" w:line="240" w:lineRule="auto"/>
              <w:jc w:val="center"/>
              <w:rPr>
                <w:rFonts w:cs="Courier New"/>
              </w:rPr>
            </w:pPr>
            <w:r w:rsidRPr="00D74E8E">
              <w:rPr>
                <w:rFonts w:cs="Courier New"/>
                <w:sz w:val="22"/>
                <w:szCs w:val="22"/>
              </w:rPr>
              <w:t>4</w:t>
            </w:r>
          </w:p>
        </w:tc>
        <w:tc>
          <w:tcPr>
            <w:tcW w:w="1580" w:type="dxa"/>
            <w:tcBorders>
              <w:top w:val="single" w:sz="8" w:space="0" w:color="000000"/>
              <w:left w:val="single" w:sz="8" w:space="0" w:color="000000"/>
              <w:bottom w:val="single" w:sz="8" w:space="0" w:color="000000"/>
              <w:right w:val="single" w:sz="8" w:space="0" w:color="000000"/>
            </w:tcBorders>
            <w:vAlign w:val="center"/>
          </w:tcPr>
          <w:p w14:paraId="2E4DE87D" w14:textId="0727C526" w:rsidR="002F2486" w:rsidRPr="00D74E8E" w:rsidRDefault="002F2486" w:rsidP="002F2486">
            <w:pPr>
              <w:spacing w:after="0" w:line="240" w:lineRule="auto"/>
              <w:jc w:val="center"/>
              <w:rPr>
                <w:rFonts w:cs="Courier New"/>
              </w:rPr>
            </w:pPr>
            <w:r w:rsidRPr="00D74E8E">
              <w:rPr>
                <w:rFonts w:cs="Courier New"/>
                <w:sz w:val="22"/>
                <w:szCs w:val="22"/>
              </w:rPr>
              <w:t>4</w:t>
            </w:r>
          </w:p>
        </w:tc>
        <w:tc>
          <w:tcPr>
            <w:tcW w:w="1578" w:type="dxa"/>
            <w:tcBorders>
              <w:top w:val="single" w:sz="8" w:space="0" w:color="000000"/>
              <w:left w:val="single" w:sz="8" w:space="0" w:color="000000"/>
              <w:bottom w:val="single" w:sz="8" w:space="0" w:color="000000"/>
              <w:right w:val="single" w:sz="8" w:space="0" w:color="000000"/>
            </w:tcBorders>
            <w:vAlign w:val="center"/>
          </w:tcPr>
          <w:p w14:paraId="7DDCD1DB" w14:textId="1BC2FA97" w:rsidR="002F2486" w:rsidRPr="00D74E8E" w:rsidRDefault="002F2486" w:rsidP="002F2486">
            <w:pPr>
              <w:spacing w:after="0" w:line="240" w:lineRule="auto"/>
              <w:jc w:val="center"/>
              <w:rPr>
                <w:rFonts w:cs="Courier New"/>
              </w:rPr>
            </w:pPr>
            <w:r w:rsidRPr="00D74E8E">
              <w:rPr>
                <w:rFonts w:cs="Courier New"/>
                <w:sz w:val="22"/>
                <w:szCs w:val="22"/>
              </w:rPr>
              <w:t>752</w:t>
            </w:r>
          </w:p>
        </w:tc>
      </w:tr>
      <w:tr w:rsidR="00A36E40" w:rsidRPr="00D74E8E" w14:paraId="6AE0B9AB" w14:textId="77777777" w:rsidTr="00E20628">
        <w:trPr>
          <w:trHeight w:val="253"/>
        </w:trPr>
        <w:tc>
          <w:tcPr>
            <w:tcW w:w="1577" w:type="dxa"/>
            <w:tcBorders>
              <w:top w:val="single" w:sz="8" w:space="0" w:color="000000"/>
              <w:left w:val="single" w:sz="8" w:space="0" w:color="000000"/>
              <w:bottom w:val="single" w:sz="8" w:space="0" w:color="000000"/>
              <w:right w:val="single" w:sz="8" w:space="0" w:color="000000"/>
            </w:tcBorders>
          </w:tcPr>
          <w:p w14:paraId="15C2A543" w14:textId="336005E6" w:rsidR="00A36E40" w:rsidRPr="00D74E8E" w:rsidRDefault="00A36E40" w:rsidP="00A36E40">
            <w:pPr>
              <w:spacing w:after="0" w:line="240" w:lineRule="auto"/>
              <w:rPr>
                <w:rFonts w:cs="Courier New"/>
              </w:rPr>
            </w:pPr>
            <w:r w:rsidRPr="00264641">
              <w:rPr>
                <w:rFonts w:ascii="Calibri" w:hAnsi="Calibri" w:cs="Courier New"/>
              </w:rPr>
              <w:t>State or Local Health Departments, or their Bona Fide Agents</w:t>
            </w:r>
          </w:p>
        </w:tc>
        <w:tc>
          <w:tcPr>
            <w:tcW w:w="1577" w:type="dxa"/>
            <w:tcBorders>
              <w:top w:val="single" w:sz="8" w:space="0" w:color="000000"/>
              <w:left w:val="single" w:sz="8" w:space="0" w:color="000000"/>
              <w:bottom w:val="single" w:sz="8" w:space="0" w:color="000000"/>
              <w:right w:val="single" w:sz="8" w:space="0" w:color="000000"/>
            </w:tcBorders>
            <w:vAlign w:val="center"/>
          </w:tcPr>
          <w:p w14:paraId="674AB6AE" w14:textId="22144265" w:rsidR="00A36E40" w:rsidRPr="00D74E8E" w:rsidRDefault="00A36E40" w:rsidP="00A36E40">
            <w:pPr>
              <w:spacing w:after="0" w:line="240" w:lineRule="auto"/>
              <w:rPr>
                <w:rFonts w:cs="Courier New"/>
              </w:rPr>
            </w:pPr>
            <w:r w:rsidRPr="00D74E8E">
              <w:rPr>
                <w:sz w:val="22"/>
                <w:szCs w:val="22"/>
              </w:rPr>
              <w:t>CBLS Aggregate Records Form</w:t>
            </w:r>
          </w:p>
        </w:tc>
        <w:tc>
          <w:tcPr>
            <w:tcW w:w="1578" w:type="dxa"/>
            <w:tcBorders>
              <w:top w:val="single" w:sz="8" w:space="0" w:color="000000"/>
              <w:left w:val="single" w:sz="8" w:space="0" w:color="000000"/>
              <w:bottom w:val="single" w:sz="8" w:space="0" w:color="000000"/>
              <w:right w:val="single" w:sz="8" w:space="0" w:color="000000"/>
            </w:tcBorders>
            <w:vAlign w:val="center"/>
          </w:tcPr>
          <w:p w14:paraId="384F2C05" w14:textId="7E43DC1D" w:rsidR="00A36E40" w:rsidRPr="00D74E8E" w:rsidRDefault="00A36E40" w:rsidP="00A36E40">
            <w:pPr>
              <w:spacing w:after="0" w:line="240" w:lineRule="auto"/>
              <w:jc w:val="center"/>
              <w:rPr>
                <w:rFonts w:cs="Courier New"/>
              </w:rPr>
            </w:pPr>
            <w:r w:rsidRPr="00D74E8E">
              <w:rPr>
                <w:rFonts w:cs="Courier New"/>
                <w:sz w:val="22"/>
                <w:szCs w:val="22"/>
              </w:rPr>
              <w:t>1</w:t>
            </w:r>
          </w:p>
        </w:tc>
        <w:tc>
          <w:tcPr>
            <w:tcW w:w="1578" w:type="dxa"/>
            <w:tcBorders>
              <w:top w:val="single" w:sz="8" w:space="0" w:color="000000"/>
              <w:left w:val="single" w:sz="8" w:space="0" w:color="000000"/>
              <w:bottom w:val="single" w:sz="8" w:space="0" w:color="000000"/>
              <w:right w:val="single" w:sz="8" w:space="0" w:color="000000"/>
            </w:tcBorders>
            <w:vAlign w:val="center"/>
          </w:tcPr>
          <w:p w14:paraId="50588A7E" w14:textId="0C604EAB" w:rsidR="00A36E40" w:rsidRPr="00D74E8E" w:rsidRDefault="00A36E40" w:rsidP="00A36E40">
            <w:pPr>
              <w:spacing w:after="0" w:line="240" w:lineRule="auto"/>
              <w:jc w:val="center"/>
              <w:rPr>
                <w:rFonts w:cs="Courier New"/>
              </w:rPr>
            </w:pPr>
            <w:r w:rsidRPr="00D74E8E">
              <w:rPr>
                <w:rFonts w:cs="Courier New"/>
                <w:sz w:val="22"/>
                <w:szCs w:val="22"/>
              </w:rPr>
              <w:t>4</w:t>
            </w:r>
          </w:p>
        </w:tc>
        <w:tc>
          <w:tcPr>
            <w:tcW w:w="1580" w:type="dxa"/>
            <w:tcBorders>
              <w:top w:val="single" w:sz="8" w:space="0" w:color="000000"/>
              <w:left w:val="single" w:sz="8" w:space="0" w:color="000000"/>
              <w:bottom w:val="single" w:sz="8" w:space="0" w:color="000000"/>
              <w:right w:val="single" w:sz="8" w:space="0" w:color="000000"/>
            </w:tcBorders>
            <w:vAlign w:val="center"/>
          </w:tcPr>
          <w:p w14:paraId="6FC5D2F8" w14:textId="65B6B73B" w:rsidR="00A36E40" w:rsidRPr="00D74E8E" w:rsidRDefault="00A36E40" w:rsidP="00A36E40">
            <w:pPr>
              <w:spacing w:after="0" w:line="240" w:lineRule="auto"/>
              <w:jc w:val="center"/>
              <w:rPr>
                <w:rFonts w:cs="Courier New"/>
              </w:rPr>
            </w:pPr>
            <w:r w:rsidRPr="00D74E8E">
              <w:rPr>
                <w:rFonts w:cs="Courier New"/>
                <w:sz w:val="22"/>
                <w:szCs w:val="22"/>
              </w:rPr>
              <w:t>2</w:t>
            </w:r>
          </w:p>
        </w:tc>
        <w:tc>
          <w:tcPr>
            <w:tcW w:w="1578" w:type="dxa"/>
            <w:tcBorders>
              <w:top w:val="single" w:sz="8" w:space="0" w:color="000000"/>
              <w:left w:val="single" w:sz="8" w:space="0" w:color="000000"/>
              <w:bottom w:val="single" w:sz="8" w:space="0" w:color="000000"/>
              <w:right w:val="single" w:sz="8" w:space="0" w:color="000000"/>
            </w:tcBorders>
            <w:vAlign w:val="center"/>
          </w:tcPr>
          <w:p w14:paraId="133B7413" w14:textId="2DA04CB8" w:rsidR="00A36E40" w:rsidRPr="00D74E8E" w:rsidRDefault="00A36E40" w:rsidP="00A36E40">
            <w:pPr>
              <w:spacing w:after="0" w:line="240" w:lineRule="auto"/>
              <w:jc w:val="center"/>
              <w:rPr>
                <w:rFonts w:cs="Courier New"/>
              </w:rPr>
            </w:pPr>
            <w:r w:rsidRPr="00D74E8E">
              <w:rPr>
                <w:rFonts w:cs="Courier New"/>
                <w:sz w:val="22"/>
                <w:szCs w:val="22"/>
              </w:rPr>
              <w:t>8</w:t>
            </w:r>
          </w:p>
        </w:tc>
      </w:tr>
      <w:tr w:rsidR="00A36E40" w:rsidRPr="00D74E8E" w14:paraId="17125A0D" w14:textId="77777777" w:rsidTr="00E20628">
        <w:trPr>
          <w:trHeight w:val="253"/>
        </w:trPr>
        <w:tc>
          <w:tcPr>
            <w:tcW w:w="1577" w:type="dxa"/>
            <w:tcBorders>
              <w:top w:val="single" w:sz="8" w:space="0" w:color="000000"/>
              <w:left w:val="single" w:sz="8" w:space="0" w:color="000000"/>
              <w:bottom w:val="single" w:sz="8" w:space="0" w:color="000000"/>
              <w:right w:val="single" w:sz="8" w:space="0" w:color="000000"/>
            </w:tcBorders>
          </w:tcPr>
          <w:p w14:paraId="54F4DFCA" w14:textId="7575D939" w:rsidR="00A36E40" w:rsidRPr="00D74E8E" w:rsidRDefault="00A36E40" w:rsidP="00A36E40">
            <w:pPr>
              <w:spacing w:after="0" w:line="240" w:lineRule="auto"/>
              <w:rPr>
                <w:rFonts w:cs="Courier New"/>
              </w:rPr>
            </w:pPr>
            <w:r w:rsidRPr="00264641">
              <w:rPr>
                <w:rFonts w:ascii="Calibri" w:hAnsi="Calibri" w:cs="Courier New"/>
              </w:rPr>
              <w:t>State or Local Health Departments, or their Bona Fide Agents</w:t>
            </w:r>
          </w:p>
        </w:tc>
        <w:tc>
          <w:tcPr>
            <w:tcW w:w="1577" w:type="dxa"/>
            <w:tcBorders>
              <w:top w:val="single" w:sz="8" w:space="0" w:color="000000"/>
              <w:left w:val="single" w:sz="8" w:space="0" w:color="000000"/>
              <w:bottom w:val="single" w:sz="8" w:space="0" w:color="000000"/>
              <w:right w:val="single" w:sz="8" w:space="0" w:color="000000"/>
            </w:tcBorders>
            <w:vAlign w:val="center"/>
          </w:tcPr>
          <w:p w14:paraId="513A1F99" w14:textId="79ABF31A" w:rsidR="00A36E40" w:rsidRPr="00D74E8E" w:rsidRDefault="00A36E40" w:rsidP="00A36E40">
            <w:pPr>
              <w:spacing w:after="0" w:line="240" w:lineRule="auto"/>
              <w:rPr>
                <w:rFonts w:cs="Courier New"/>
              </w:rPr>
            </w:pPr>
            <w:r w:rsidRPr="00D74E8E">
              <w:rPr>
                <w:sz w:val="22"/>
                <w:szCs w:val="22"/>
              </w:rPr>
              <w:t>ABLES Case Records Form and Brief Narrative Report</w:t>
            </w:r>
          </w:p>
        </w:tc>
        <w:tc>
          <w:tcPr>
            <w:tcW w:w="1578" w:type="dxa"/>
            <w:tcBorders>
              <w:top w:val="single" w:sz="8" w:space="0" w:color="000000"/>
              <w:left w:val="single" w:sz="8" w:space="0" w:color="000000"/>
              <w:bottom w:val="single" w:sz="8" w:space="0" w:color="000000"/>
              <w:right w:val="single" w:sz="8" w:space="0" w:color="000000"/>
            </w:tcBorders>
            <w:vAlign w:val="center"/>
          </w:tcPr>
          <w:p w14:paraId="3DDB1AE8" w14:textId="549A187E" w:rsidR="00A36E40" w:rsidRPr="00D74E8E" w:rsidRDefault="00A36E40" w:rsidP="00A36E40">
            <w:pPr>
              <w:spacing w:after="0" w:line="240" w:lineRule="auto"/>
              <w:jc w:val="center"/>
              <w:rPr>
                <w:rFonts w:cs="Courier New"/>
              </w:rPr>
            </w:pPr>
            <w:r w:rsidRPr="00D74E8E">
              <w:rPr>
                <w:rFonts w:cs="Courier New"/>
                <w:sz w:val="22"/>
                <w:szCs w:val="22"/>
              </w:rPr>
              <w:t>32</w:t>
            </w:r>
          </w:p>
        </w:tc>
        <w:tc>
          <w:tcPr>
            <w:tcW w:w="1578" w:type="dxa"/>
            <w:tcBorders>
              <w:top w:val="single" w:sz="8" w:space="0" w:color="000000"/>
              <w:left w:val="single" w:sz="8" w:space="0" w:color="000000"/>
              <w:bottom w:val="single" w:sz="8" w:space="0" w:color="000000"/>
              <w:right w:val="single" w:sz="8" w:space="0" w:color="000000"/>
            </w:tcBorders>
            <w:vAlign w:val="center"/>
          </w:tcPr>
          <w:p w14:paraId="19A40675" w14:textId="36AA70EA" w:rsidR="00A36E40" w:rsidRPr="00D74E8E" w:rsidRDefault="00A36E40" w:rsidP="00A36E40">
            <w:pPr>
              <w:spacing w:after="0" w:line="240" w:lineRule="auto"/>
              <w:jc w:val="center"/>
              <w:rPr>
                <w:rFonts w:cs="Courier New"/>
              </w:rPr>
            </w:pPr>
            <w:r w:rsidRPr="00D74E8E">
              <w:rPr>
                <w:rFonts w:cs="Courier New"/>
                <w:sz w:val="22"/>
                <w:szCs w:val="22"/>
              </w:rPr>
              <w:t>1</w:t>
            </w:r>
          </w:p>
        </w:tc>
        <w:tc>
          <w:tcPr>
            <w:tcW w:w="1580" w:type="dxa"/>
            <w:tcBorders>
              <w:top w:val="single" w:sz="8" w:space="0" w:color="000000"/>
              <w:left w:val="single" w:sz="8" w:space="0" w:color="000000"/>
              <w:bottom w:val="single" w:sz="8" w:space="0" w:color="000000"/>
              <w:right w:val="single" w:sz="8" w:space="0" w:color="000000"/>
            </w:tcBorders>
            <w:vAlign w:val="center"/>
          </w:tcPr>
          <w:p w14:paraId="4498779E" w14:textId="43BAA45D" w:rsidR="00A36E40" w:rsidRPr="00D74E8E" w:rsidRDefault="00A36E40" w:rsidP="00A36E40">
            <w:pPr>
              <w:spacing w:after="0" w:line="240" w:lineRule="auto"/>
              <w:jc w:val="center"/>
              <w:rPr>
                <w:rFonts w:cs="Courier New"/>
              </w:rPr>
            </w:pPr>
            <w:r w:rsidRPr="00D74E8E">
              <w:rPr>
                <w:rFonts w:cs="Courier New"/>
                <w:sz w:val="22"/>
                <w:szCs w:val="22"/>
              </w:rPr>
              <w:t>8</w:t>
            </w:r>
          </w:p>
        </w:tc>
        <w:tc>
          <w:tcPr>
            <w:tcW w:w="1578" w:type="dxa"/>
            <w:tcBorders>
              <w:top w:val="single" w:sz="8" w:space="0" w:color="000000"/>
              <w:left w:val="single" w:sz="8" w:space="0" w:color="000000"/>
              <w:bottom w:val="single" w:sz="8" w:space="0" w:color="000000"/>
              <w:right w:val="single" w:sz="8" w:space="0" w:color="000000"/>
            </w:tcBorders>
            <w:vAlign w:val="center"/>
          </w:tcPr>
          <w:p w14:paraId="2831BC52" w14:textId="6A405814" w:rsidR="00A36E40" w:rsidRPr="00D74E8E" w:rsidRDefault="00A36E40" w:rsidP="00A36E40">
            <w:pPr>
              <w:spacing w:after="0" w:line="240" w:lineRule="auto"/>
              <w:jc w:val="center"/>
              <w:rPr>
                <w:rFonts w:cs="Courier New"/>
              </w:rPr>
            </w:pPr>
            <w:r w:rsidRPr="00D74E8E">
              <w:rPr>
                <w:rFonts w:cs="Courier New"/>
                <w:sz w:val="22"/>
                <w:szCs w:val="22"/>
              </w:rPr>
              <w:t>256</w:t>
            </w:r>
          </w:p>
        </w:tc>
      </w:tr>
      <w:tr w:rsidR="00A36E40" w:rsidRPr="00D74E8E" w14:paraId="13235E5B" w14:textId="77777777" w:rsidTr="00E20628">
        <w:trPr>
          <w:trHeight w:val="253"/>
        </w:trPr>
        <w:tc>
          <w:tcPr>
            <w:tcW w:w="1577" w:type="dxa"/>
            <w:tcBorders>
              <w:top w:val="single" w:sz="8" w:space="0" w:color="000000"/>
              <w:left w:val="single" w:sz="8" w:space="0" w:color="000000"/>
              <w:bottom w:val="single" w:sz="8" w:space="0" w:color="000000"/>
              <w:right w:val="single" w:sz="8" w:space="0" w:color="000000"/>
            </w:tcBorders>
          </w:tcPr>
          <w:p w14:paraId="4A024803" w14:textId="464C7E9E" w:rsidR="00A36E40" w:rsidRPr="00D74E8E" w:rsidRDefault="00A36E40" w:rsidP="00A36E40">
            <w:pPr>
              <w:spacing w:after="0" w:line="240" w:lineRule="auto"/>
              <w:rPr>
                <w:rFonts w:cs="Courier New"/>
              </w:rPr>
            </w:pPr>
            <w:r w:rsidRPr="00264641">
              <w:rPr>
                <w:rFonts w:ascii="Calibri" w:hAnsi="Calibri" w:cs="Courier New"/>
              </w:rPr>
              <w:t>State or Local Health Departments, or their Bona Fide Agents</w:t>
            </w:r>
          </w:p>
        </w:tc>
        <w:tc>
          <w:tcPr>
            <w:tcW w:w="1577" w:type="dxa"/>
            <w:tcBorders>
              <w:top w:val="single" w:sz="8" w:space="0" w:color="000000"/>
              <w:left w:val="single" w:sz="8" w:space="0" w:color="000000"/>
              <w:bottom w:val="single" w:sz="8" w:space="0" w:color="000000"/>
              <w:right w:val="single" w:sz="8" w:space="0" w:color="000000"/>
            </w:tcBorders>
            <w:vAlign w:val="center"/>
          </w:tcPr>
          <w:p w14:paraId="54917587" w14:textId="417FDE5E" w:rsidR="00A36E40" w:rsidRPr="00D74E8E" w:rsidRDefault="00A36E40" w:rsidP="00A36E40">
            <w:pPr>
              <w:spacing w:after="0" w:line="240" w:lineRule="auto"/>
              <w:rPr>
                <w:rFonts w:cs="Courier New"/>
              </w:rPr>
            </w:pPr>
            <w:r w:rsidRPr="00D74E8E">
              <w:rPr>
                <w:sz w:val="22"/>
                <w:szCs w:val="22"/>
              </w:rPr>
              <w:t>ABLES Aggregate Records Form and Brief Narrative Report</w:t>
            </w:r>
          </w:p>
        </w:tc>
        <w:tc>
          <w:tcPr>
            <w:tcW w:w="1578" w:type="dxa"/>
            <w:tcBorders>
              <w:top w:val="single" w:sz="8" w:space="0" w:color="000000"/>
              <w:left w:val="single" w:sz="8" w:space="0" w:color="000000"/>
              <w:bottom w:val="single" w:sz="8" w:space="0" w:color="000000"/>
              <w:right w:val="single" w:sz="8" w:space="0" w:color="000000"/>
            </w:tcBorders>
            <w:vAlign w:val="center"/>
          </w:tcPr>
          <w:p w14:paraId="6B569F19" w14:textId="61829397" w:rsidR="00A36E40" w:rsidRPr="00D74E8E" w:rsidRDefault="00A36E40" w:rsidP="00A36E40">
            <w:pPr>
              <w:spacing w:after="0" w:line="240" w:lineRule="auto"/>
              <w:jc w:val="center"/>
              <w:rPr>
                <w:rFonts w:cs="Courier New"/>
              </w:rPr>
            </w:pPr>
            <w:r w:rsidRPr="00D74E8E">
              <w:rPr>
                <w:rFonts w:cs="Courier New"/>
                <w:sz w:val="22"/>
                <w:szCs w:val="22"/>
              </w:rPr>
              <w:t>8</w:t>
            </w:r>
          </w:p>
        </w:tc>
        <w:tc>
          <w:tcPr>
            <w:tcW w:w="1578" w:type="dxa"/>
            <w:tcBorders>
              <w:top w:val="single" w:sz="8" w:space="0" w:color="000000"/>
              <w:left w:val="single" w:sz="8" w:space="0" w:color="000000"/>
              <w:bottom w:val="single" w:sz="8" w:space="0" w:color="000000"/>
              <w:right w:val="single" w:sz="8" w:space="0" w:color="000000"/>
            </w:tcBorders>
            <w:vAlign w:val="center"/>
          </w:tcPr>
          <w:p w14:paraId="752260DD" w14:textId="6964E0B8" w:rsidR="00A36E40" w:rsidRPr="00D74E8E" w:rsidRDefault="00A36E40" w:rsidP="00A36E40">
            <w:pPr>
              <w:spacing w:after="0" w:line="240" w:lineRule="auto"/>
              <w:jc w:val="center"/>
              <w:rPr>
                <w:rFonts w:cs="Courier New"/>
              </w:rPr>
            </w:pPr>
            <w:r w:rsidRPr="00D74E8E">
              <w:rPr>
                <w:rFonts w:cs="Courier New"/>
                <w:sz w:val="22"/>
                <w:szCs w:val="22"/>
              </w:rPr>
              <w:t>1</w:t>
            </w:r>
          </w:p>
        </w:tc>
        <w:tc>
          <w:tcPr>
            <w:tcW w:w="1580" w:type="dxa"/>
            <w:tcBorders>
              <w:top w:val="single" w:sz="8" w:space="0" w:color="000000"/>
              <w:left w:val="single" w:sz="8" w:space="0" w:color="000000"/>
              <w:bottom w:val="single" w:sz="8" w:space="0" w:color="000000"/>
              <w:right w:val="single" w:sz="8" w:space="0" w:color="000000"/>
            </w:tcBorders>
            <w:vAlign w:val="center"/>
          </w:tcPr>
          <w:p w14:paraId="42EAF5F2" w14:textId="5E0DDD04" w:rsidR="00A36E40" w:rsidRPr="00D74E8E" w:rsidRDefault="00A36E40" w:rsidP="00A36E40">
            <w:pPr>
              <w:spacing w:after="0" w:line="240" w:lineRule="auto"/>
              <w:jc w:val="center"/>
              <w:rPr>
                <w:rFonts w:cs="Courier New"/>
              </w:rPr>
            </w:pPr>
            <w:r w:rsidRPr="00D74E8E">
              <w:rPr>
                <w:rFonts w:cs="Courier New"/>
                <w:sz w:val="22"/>
                <w:szCs w:val="22"/>
              </w:rPr>
              <w:t>3</w:t>
            </w:r>
          </w:p>
        </w:tc>
        <w:tc>
          <w:tcPr>
            <w:tcW w:w="1578" w:type="dxa"/>
            <w:tcBorders>
              <w:top w:val="single" w:sz="8" w:space="0" w:color="000000"/>
              <w:left w:val="single" w:sz="8" w:space="0" w:color="000000"/>
              <w:bottom w:val="single" w:sz="8" w:space="0" w:color="000000"/>
              <w:right w:val="single" w:sz="8" w:space="0" w:color="000000"/>
            </w:tcBorders>
            <w:vAlign w:val="center"/>
          </w:tcPr>
          <w:p w14:paraId="4AEA21E6" w14:textId="54E4CB0D" w:rsidR="00A36E40" w:rsidRPr="00D74E8E" w:rsidRDefault="00A36E40" w:rsidP="00A36E40">
            <w:pPr>
              <w:spacing w:after="0" w:line="240" w:lineRule="auto"/>
              <w:jc w:val="center"/>
              <w:rPr>
                <w:rFonts w:cs="Courier New"/>
              </w:rPr>
            </w:pPr>
            <w:r w:rsidRPr="00D74E8E">
              <w:rPr>
                <w:rFonts w:cs="Courier New"/>
                <w:sz w:val="22"/>
                <w:szCs w:val="22"/>
              </w:rPr>
              <w:t>24</w:t>
            </w:r>
          </w:p>
        </w:tc>
      </w:tr>
      <w:tr w:rsidR="002F2486" w:rsidRPr="00D74E8E" w14:paraId="0ED40B2D" w14:textId="77777777" w:rsidTr="00A1279D">
        <w:trPr>
          <w:trHeight w:val="253"/>
        </w:trPr>
        <w:tc>
          <w:tcPr>
            <w:tcW w:w="7890" w:type="dxa"/>
            <w:gridSpan w:val="5"/>
            <w:tcBorders>
              <w:top w:val="single" w:sz="8" w:space="0" w:color="000000"/>
              <w:left w:val="single" w:sz="8" w:space="0" w:color="000000"/>
              <w:bottom w:val="single" w:sz="8" w:space="0" w:color="000000"/>
              <w:right w:val="single" w:sz="8" w:space="0" w:color="000000"/>
            </w:tcBorders>
          </w:tcPr>
          <w:p w14:paraId="7C4C7048" w14:textId="77777777" w:rsidR="002F2486" w:rsidRPr="00D74E8E" w:rsidRDefault="002F2486" w:rsidP="002F2486">
            <w:pPr>
              <w:spacing w:after="0"/>
              <w:rPr>
                <w:rFonts w:cs="Courier New"/>
                <w:sz w:val="22"/>
                <w:szCs w:val="22"/>
              </w:rPr>
            </w:pPr>
            <w:r w:rsidRPr="00D74E8E">
              <w:rPr>
                <w:rFonts w:cs="Courier New"/>
                <w:sz w:val="22"/>
                <w:szCs w:val="22"/>
              </w:rPr>
              <w:t>Total</w:t>
            </w:r>
          </w:p>
        </w:tc>
        <w:tc>
          <w:tcPr>
            <w:tcW w:w="1578" w:type="dxa"/>
            <w:tcBorders>
              <w:top w:val="single" w:sz="8" w:space="0" w:color="000000"/>
              <w:left w:val="single" w:sz="8" w:space="0" w:color="000000"/>
              <w:bottom w:val="single" w:sz="8" w:space="0" w:color="000000"/>
              <w:right w:val="single" w:sz="8" w:space="0" w:color="000000"/>
            </w:tcBorders>
            <w:vAlign w:val="center"/>
          </w:tcPr>
          <w:p w14:paraId="1B7C68FA" w14:textId="5C9A7ADC" w:rsidR="002F2486" w:rsidRPr="00D74E8E" w:rsidRDefault="002F2486" w:rsidP="002F2486">
            <w:pPr>
              <w:spacing w:after="0"/>
              <w:jc w:val="center"/>
              <w:rPr>
                <w:rFonts w:cs="Courier New"/>
                <w:sz w:val="22"/>
                <w:szCs w:val="22"/>
              </w:rPr>
            </w:pPr>
            <w:r w:rsidRPr="00D74E8E">
              <w:rPr>
                <w:rFonts w:cs="Courier New"/>
                <w:sz w:val="22"/>
                <w:szCs w:val="22"/>
              </w:rPr>
              <w:t>1,040</w:t>
            </w:r>
          </w:p>
        </w:tc>
      </w:tr>
    </w:tbl>
    <w:p w14:paraId="77BD7458" w14:textId="77777777" w:rsidR="007411C0" w:rsidRPr="00D74E8E" w:rsidRDefault="007411C0" w:rsidP="007411C0"/>
    <w:p w14:paraId="5290A07A" w14:textId="18D235DC" w:rsidR="00BF1D7C" w:rsidRPr="00D74E8E" w:rsidRDefault="00BD6931" w:rsidP="00883874">
      <w:pPr>
        <w:widowControl w:val="0"/>
        <w:numPr>
          <w:ilvl w:val="0"/>
          <w:numId w:val="4"/>
        </w:numPr>
        <w:tabs>
          <w:tab w:val="left" w:pos="-1440"/>
        </w:tabs>
        <w:autoSpaceDE w:val="0"/>
        <w:autoSpaceDN w:val="0"/>
        <w:adjustRightInd w:val="0"/>
        <w:spacing w:line="276" w:lineRule="auto"/>
        <w:rPr>
          <w:sz w:val="24"/>
          <w:szCs w:val="24"/>
        </w:rPr>
      </w:pPr>
      <w:r w:rsidRPr="00D74E8E">
        <w:rPr>
          <w:sz w:val="24"/>
          <w:szCs w:val="24"/>
        </w:rPr>
        <w:t xml:space="preserve">The annualized burden costs are </w:t>
      </w:r>
      <w:r w:rsidR="00BC18EC" w:rsidRPr="00D74E8E">
        <w:rPr>
          <w:rFonts w:ascii="Calibri" w:eastAsia="Times New Roman" w:hAnsi="Calibri" w:cs="Times New Roman"/>
          <w:sz w:val="24"/>
          <w:szCs w:val="24"/>
        </w:rPr>
        <w:t>$</w:t>
      </w:r>
      <w:r w:rsidR="00B930E8" w:rsidRPr="00D74E8E">
        <w:rPr>
          <w:rFonts w:ascii="Calibri" w:hAnsi="Calibri"/>
          <w:sz w:val="24"/>
          <w:szCs w:val="24"/>
        </w:rPr>
        <w:t>39,925.60</w:t>
      </w:r>
      <w:r w:rsidRPr="00D74E8E">
        <w:rPr>
          <w:rFonts w:cs="Courier New"/>
          <w:sz w:val="24"/>
          <w:szCs w:val="24"/>
        </w:rPr>
        <w:t xml:space="preserve">. </w:t>
      </w:r>
    </w:p>
    <w:p w14:paraId="3A253A3F" w14:textId="30E8041B" w:rsidR="007411C0" w:rsidRPr="00D74E8E" w:rsidRDefault="00BD6931" w:rsidP="00883874">
      <w:pPr>
        <w:widowControl w:val="0"/>
        <w:tabs>
          <w:tab w:val="left" w:pos="-1440"/>
        </w:tabs>
        <w:autoSpaceDE w:val="0"/>
        <w:autoSpaceDN w:val="0"/>
        <w:adjustRightInd w:val="0"/>
        <w:spacing w:after="0" w:line="276" w:lineRule="auto"/>
        <w:ind w:left="720"/>
        <w:rPr>
          <w:sz w:val="24"/>
          <w:szCs w:val="24"/>
        </w:rPr>
      </w:pPr>
      <w:r w:rsidRPr="00D74E8E">
        <w:rPr>
          <w:rFonts w:cs="Courier New"/>
          <w:sz w:val="24"/>
          <w:szCs w:val="24"/>
        </w:rPr>
        <w:t>T</w:t>
      </w:r>
      <w:r w:rsidR="008955FF" w:rsidRPr="00D74E8E">
        <w:rPr>
          <w:sz w:val="24"/>
          <w:szCs w:val="24"/>
        </w:rPr>
        <w:t>he hourly wage for</w:t>
      </w:r>
      <w:r w:rsidR="007411C0" w:rsidRPr="00D74E8E">
        <w:rPr>
          <w:sz w:val="24"/>
          <w:szCs w:val="24"/>
        </w:rPr>
        <w:t xml:space="preserve"> respondents is estimated to be $3</w:t>
      </w:r>
      <w:r w:rsidR="00D95014" w:rsidRPr="00D74E8E">
        <w:rPr>
          <w:sz w:val="24"/>
          <w:szCs w:val="24"/>
        </w:rPr>
        <w:t>8.</w:t>
      </w:r>
      <w:r w:rsidR="00314906" w:rsidRPr="00D74E8E">
        <w:rPr>
          <w:sz w:val="24"/>
          <w:szCs w:val="24"/>
        </w:rPr>
        <w:t>39</w:t>
      </w:r>
      <w:r w:rsidR="007411C0" w:rsidRPr="00D74E8E" w:rsidDel="005D4A85">
        <w:rPr>
          <w:sz w:val="24"/>
          <w:szCs w:val="24"/>
        </w:rPr>
        <w:t xml:space="preserve"> </w:t>
      </w:r>
      <w:r w:rsidR="007411C0" w:rsidRPr="00D74E8E">
        <w:rPr>
          <w:sz w:val="24"/>
          <w:szCs w:val="24"/>
        </w:rPr>
        <w:t xml:space="preserve">per hour.  This is based on the </w:t>
      </w:r>
      <w:r w:rsidRPr="00D74E8E">
        <w:rPr>
          <w:sz w:val="24"/>
          <w:szCs w:val="24"/>
        </w:rPr>
        <w:t xml:space="preserve">May </w:t>
      </w:r>
      <w:r w:rsidR="00D95014" w:rsidRPr="00D74E8E">
        <w:rPr>
          <w:sz w:val="24"/>
          <w:szCs w:val="24"/>
        </w:rPr>
        <w:t>201</w:t>
      </w:r>
      <w:r w:rsidR="00314906" w:rsidRPr="00D74E8E">
        <w:rPr>
          <w:sz w:val="24"/>
          <w:szCs w:val="24"/>
        </w:rPr>
        <w:t>6</w:t>
      </w:r>
      <w:r w:rsidR="00D95014" w:rsidRPr="00D74E8E">
        <w:rPr>
          <w:sz w:val="24"/>
          <w:szCs w:val="24"/>
        </w:rPr>
        <w:t xml:space="preserve"> </w:t>
      </w:r>
      <w:r w:rsidR="007411C0" w:rsidRPr="00D74E8E">
        <w:rPr>
          <w:sz w:val="24"/>
          <w:szCs w:val="24"/>
        </w:rPr>
        <w:t xml:space="preserve">median hourly rate of pay for a computer programmer </w:t>
      </w:r>
      <w:r w:rsidR="00D95014" w:rsidRPr="00D74E8E">
        <w:rPr>
          <w:sz w:val="24"/>
          <w:szCs w:val="24"/>
        </w:rPr>
        <w:t xml:space="preserve">from the Bureau of Labor Statistics </w:t>
      </w:r>
      <w:r w:rsidR="007411C0" w:rsidRPr="00D74E8E">
        <w:rPr>
          <w:sz w:val="24"/>
          <w:szCs w:val="24"/>
        </w:rPr>
        <w:t>(</w:t>
      </w:r>
      <w:r w:rsidRPr="00D74E8E">
        <w:rPr>
          <w:sz w:val="24"/>
          <w:szCs w:val="24"/>
        </w:rPr>
        <w:t xml:space="preserve">see </w:t>
      </w:r>
      <w:hyperlink r:id="rId28" w:history="1">
        <w:r w:rsidR="007411C0" w:rsidRPr="00D74E8E">
          <w:rPr>
            <w:rStyle w:val="Hyperlink"/>
            <w:color w:val="auto"/>
            <w:sz w:val="24"/>
            <w:szCs w:val="24"/>
          </w:rPr>
          <w:t>http://www.bls.gov/oes/current/oes151131.htm</w:t>
        </w:r>
      </w:hyperlink>
      <w:r w:rsidR="007411C0" w:rsidRPr="00D74E8E">
        <w:rPr>
          <w:sz w:val="24"/>
          <w:szCs w:val="24"/>
        </w:rPr>
        <w:t>)</w:t>
      </w:r>
      <w:r w:rsidR="00732577" w:rsidRPr="00D74E8E">
        <w:rPr>
          <w:sz w:val="24"/>
          <w:szCs w:val="24"/>
        </w:rPr>
        <w:t>.</w:t>
      </w:r>
    </w:p>
    <w:p w14:paraId="41385A7A" w14:textId="0413C19D" w:rsidR="007411C0" w:rsidRPr="00D74E8E" w:rsidRDefault="00BD6931" w:rsidP="007411C0">
      <w:pPr>
        <w:widowControl w:val="0"/>
        <w:tabs>
          <w:tab w:val="left" w:pos="-1440"/>
        </w:tabs>
        <w:rPr>
          <w:sz w:val="24"/>
          <w:szCs w:val="24"/>
        </w:rPr>
      </w:pPr>
      <w:r w:rsidRPr="00D74E8E">
        <w:rPr>
          <w:noProof/>
          <w:sz w:val="24"/>
          <w:szCs w:val="24"/>
        </w:rPr>
        <mc:AlternateContent>
          <mc:Choice Requires="wps">
            <w:drawing>
              <wp:anchor distT="45720" distB="45720" distL="114300" distR="114300" simplePos="0" relativeHeight="251661312" behindDoc="0" locked="0" layoutInCell="1" allowOverlap="1" wp14:anchorId="607B2DBE" wp14:editId="71290DC4">
                <wp:simplePos x="0" y="0"/>
                <wp:positionH relativeFrom="column">
                  <wp:posOffset>438942</wp:posOffset>
                </wp:positionH>
                <wp:positionV relativeFrom="paragraph">
                  <wp:posOffset>113962</wp:posOffset>
                </wp:positionV>
                <wp:extent cx="5504180" cy="1404620"/>
                <wp:effectExtent l="0" t="0" r="2032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180" cy="1404620"/>
                        </a:xfrm>
                        <a:prstGeom prst="rect">
                          <a:avLst/>
                        </a:prstGeom>
                        <a:solidFill>
                          <a:srgbClr val="FFFFFF"/>
                        </a:solidFill>
                        <a:ln w="9525">
                          <a:solidFill>
                            <a:srgbClr val="000000"/>
                          </a:solidFill>
                          <a:miter lim="800000"/>
                          <a:headEnd/>
                          <a:tailEnd/>
                        </a:ln>
                      </wps:spPr>
                      <wps:txbx>
                        <w:txbxContent>
                          <w:p w14:paraId="4E5EBA2F" w14:textId="253E44D0" w:rsidR="00D271EF" w:rsidRPr="00864E6C" w:rsidRDefault="00D271EF" w:rsidP="00D42A73">
                            <w:pPr>
                              <w:widowControl w:val="0"/>
                              <w:tabs>
                                <w:tab w:val="left" w:pos="-1440"/>
                              </w:tabs>
                              <w:autoSpaceDE w:val="0"/>
                              <w:autoSpaceDN w:val="0"/>
                              <w:adjustRightInd w:val="0"/>
                              <w:spacing w:after="0" w:line="240" w:lineRule="auto"/>
                              <w:rPr>
                                <w:sz w:val="20"/>
                                <w:szCs w:val="20"/>
                              </w:rPr>
                            </w:pPr>
                            <w:r w:rsidRPr="00864E6C">
                              <w:rPr>
                                <w:sz w:val="20"/>
                                <w:szCs w:val="20"/>
                                <w:u w:val="single"/>
                              </w:rPr>
                              <w:t>15-1131 Computer Programmers</w:t>
                            </w:r>
                            <w:r w:rsidRPr="00864E6C">
                              <w:rPr>
                                <w:sz w:val="20"/>
                                <w:szCs w:val="20"/>
                              </w:rPr>
                              <w:t xml:space="preserve"> - </w:t>
                            </w:r>
                            <w:r w:rsidRPr="00864E6C">
                              <w:rPr>
                                <w:rFonts w:cs="Tahoma"/>
                                <w:color w:val="333333"/>
                                <w:sz w:val="20"/>
                                <w:szCs w:val="20"/>
                              </w:rPr>
                              <w:t>Create, modify, and test the code, forms, and script that allow computer applications to run. Work from specifications drawn up by software developers or other individuals. May assist software developers by analyzing user needs and designing software solutions. May develop and write computer programs to store, locate, and retrieve specific documents, data, and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4.55pt;margin-top:8.95pt;width:433.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">
                <v:textbox style="mso-fit-shape-to-text:t">
                  <w:txbxContent>
                    <w:p w14:paraId="4E5EBA2F" w14:textId="253E44D0" w:rsidR="00D271EF" w:rsidRPr="00864E6C" w:rsidRDefault="00D271EF" w:rsidP="00D42A73">
                      <w:pPr>
                        <w:widowControl w:val="0"/>
                        <w:tabs>
                          <w:tab w:val="left" w:pos="-1440"/>
                        </w:tabs>
                        <w:autoSpaceDE w:val="0"/>
                        <w:autoSpaceDN w:val="0"/>
                        <w:adjustRightInd w:val="0"/>
                        <w:spacing w:after="0" w:line="240" w:lineRule="auto"/>
                        <w:rPr>
                          <w:sz w:val="20"/>
                          <w:szCs w:val="20"/>
                        </w:rPr>
                      </w:pPr>
                      <w:r w:rsidRPr="00864E6C">
                        <w:rPr>
                          <w:sz w:val="20"/>
                          <w:szCs w:val="20"/>
                          <w:u w:val="single"/>
                        </w:rPr>
                        <w:t>15-1131 Computer Programmers</w:t>
                      </w:r>
                      <w:r w:rsidRPr="00864E6C">
                        <w:rPr>
                          <w:sz w:val="20"/>
                          <w:szCs w:val="20"/>
                        </w:rPr>
                        <w:t xml:space="preserve"> - </w:t>
                      </w:r>
                      <w:r w:rsidRPr="00864E6C">
                        <w:rPr>
                          <w:rFonts w:cs="Tahoma"/>
                          <w:color w:val="333333"/>
                          <w:sz w:val="20"/>
                          <w:szCs w:val="20"/>
                        </w:rPr>
                        <w:t>Create, modify, and test the code, forms, and script that allow computer applications to run. Work from specifications drawn up by software developers or other individuals. May assist software developers by analyzing user needs and designing software solutions. May develop and write computer programs to store, locate, and retrieve specific documents, data, and information.</w:t>
                      </w:r>
                    </w:p>
                  </w:txbxContent>
                </v:textbox>
                <w10:wrap type="square"/>
              </v:shape>
            </w:pict>
          </mc:Fallback>
        </mc:AlternateContent>
      </w:r>
    </w:p>
    <w:p w14:paraId="3C92DEDF" w14:textId="77777777" w:rsidR="00732577" w:rsidRPr="00D74E8E" w:rsidRDefault="00732577" w:rsidP="007411C0">
      <w:pPr>
        <w:widowControl w:val="0"/>
        <w:tabs>
          <w:tab w:val="left" w:pos="-1440"/>
        </w:tabs>
        <w:rPr>
          <w:rFonts w:cs="Courier New"/>
          <w:sz w:val="24"/>
          <w:u w:val="single"/>
        </w:rPr>
      </w:pPr>
    </w:p>
    <w:p w14:paraId="697CEB13" w14:textId="77777777" w:rsidR="00732577" w:rsidRPr="00D74E8E" w:rsidRDefault="00732577" w:rsidP="007411C0">
      <w:pPr>
        <w:widowControl w:val="0"/>
        <w:tabs>
          <w:tab w:val="left" w:pos="-1440"/>
        </w:tabs>
        <w:rPr>
          <w:rFonts w:cs="Courier New"/>
          <w:sz w:val="24"/>
          <w:u w:val="single"/>
        </w:rPr>
      </w:pPr>
    </w:p>
    <w:p w14:paraId="7836C12C" w14:textId="77777777" w:rsidR="00BC3177" w:rsidRPr="00D74E8E" w:rsidRDefault="00BC3177" w:rsidP="007411C0">
      <w:pPr>
        <w:widowControl w:val="0"/>
        <w:tabs>
          <w:tab w:val="left" w:pos="-1440"/>
        </w:tabs>
        <w:rPr>
          <w:rFonts w:cs="Courier New"/>
          <w:sz w:val="24"/>
          <w:u w:val="single"/>
        </w:rPr>
      </w:pPr>
    </w:p>
    <w:p w14:paraId="1393074D" w14:textId="77777777" w:rsidR="001E13DD" w:rsidRPr="00D74E8E" w:rsidRDefault="001E13DD" w:rsidP="007411C0">
      <w:pPr>
        <w:widowControl w:val="0"/>
        <w:tabs>
          <w:tab w:val="left" w:pos="-1440"/>
        </w:tabs>
        <w:rPr>
          <w:rFonts w:cs="Courier New"/>
          <w:sz w:val="24"/>
          <w:u w:val="single"/>
        </w:rPr>
      </w:pPr>
    </w:p>
    <w:p w14:paraId="356CFD0C" w14:textId="77777777" w:rsidR="00A36E40" w:rsidRDefault="00A36E40">
      <w:pPr>
        <w:rPr>
          <w:rFonts w:cs="Courier New"/>
          <w:sz w:val="24"/>
          <w:u w:val="single"/>
        </w:rPr>
      </w:pPr>
      <w:r>
        <w:rPr>
          <w:rFonts w:cs="Courier New"/>
          <w:sz w:val="24"/>
          <w:u w:val="single"/>
        </w:rPr>
        <w:br w:type="page"/>
      </w:r>
    </w:p>
    <w:p w14:paraId="29F3E120" w14:textId="5CCCBC9F" w:rsidR="007411C0" w:rsidRPr="00D74E8E" w:rsidRDefault="007411C0" w:rsidP="00253CAA">
      <w:pPr>
        <w:rPr>
          <w:sz w:val="24"/>
          <w:szCs w:val="24"/>
        </w:rPr>
      </w:pPr>
      <w:r w:rsidRPr="00D74E8E">
        <w:rPr>
          <w:rFonts w:cs="Courier New"/>
          <w:sz w:val="24"/>
          <w:u w:val="single"/>
        </w:rPr>
        <w:t xml:space="preserve">Table </w:t>
      </w:r>
      <w:r w:rsidR="00D42A73" w:rsidRPr="00D74E8E">
        <w:rPr>
          <w:rFonts w:cs="Courier New"/>
          <w:sz w:val="24"/>
          <w:u w:val="single"/>
        </w:rPr>
        <w:t>A.12.2</w:t>
      </w:r>
      <w:r w:rsidRPr="00D74E8E">
        <w:rPr>
          <w:rFonts w:cs="Courier New"/>
          <w:sz w:val="24"/>
          <w:u w:val="single"/>
        </w:rPr>
        <w:t>.  Estimated Annualized Burden Costs</w:t>
      </w:r>
    </w:p>
    <w:tbl>
      <w:tblPr>
        <w:tblW w:w="9332" w:type="dxa"/>
        <w:tblInd w:w="108" w:type="dxa"/>
        <w:tblLayout w:type="fixed"/>
        <w:tblLook w:val="0000" w:firstRow="0" w:lastRow="0" w:firstColumn="0" w:lastColumn="0" w:noHBand="0" w:noVBand="0"/>
      </w:tblPr>
      <w:tblGrid>
        <w:gridCol w:w="1502"/>
        <w:gridCol w:w="1539"/>
        <w:gridCol w:w="1572"/>
        <w:gridCol w:w="1573"/>
        <w:gridCol w:w="1573"/>
        <w:gridCol w:w="1573"/>
      </w:tblGrid>
      <w:tr w:rsidR="00D74E8E" w:rsidRPr="00D74E8E" w14:paraId="1541E15A" w14:textId="77777777" w:rsidTr="00C50B14">
        <w:trPr>
          <w:trHeight w:val="973"/>
        </w:trPr>
        <w:tc>
          <w:tcPr>
            <w:tcW w:w="1502" w:type="dxa"/>
            <w:tcBorders>
              <w:top w:val="single" w:sz="8" w:space="0" w:color="000000"/>
              <w:left w:val="single" w:sz="8" w:space="0" w:color="000000"/>
              <w:bottom w:val="single" w:sz="8" w:space="0" w:color="000000"/>
              <w:right w:val="single" w:sz="8" w:space="0" w:color="000000"/>
            </w:tcBorders>
            <w:vAlign w:val="center"/>
          </w:tcPr>
          <w:p w14:paraId="0C104432" w14:textId="77777777" w:rsidR="00415A1C" w:rsidRPr="00D74E8E" w:rsidRDefault="00415A1C" w:rsidP="00BC18EC">
            <w:pPr>
              <w:spacing w:after="0" w:line="240" w:lineRule="auto"/>
              <w:jc w:val="center"/>
              <w:rPr>
                <w:rFonts w:cs="Courier New"/>
              </w:rPr>
            </w:pPr>
            <w:r w:rsidRPr="00D74E8E">
              <w:rPr>
                <w:rFonts w:cs="Courier New"/>
              </w:rPr>
              <w:t>Type of Respondents</w:t>
            </w:r>
          </w:p>
        </w:tc>
        <w:tc>
          <w:tcPr>
            <w:tcW w:w="1539" w:type="dxa"/>
            <w:tcBorders>
              <w:top w:val="single" w:sz="8" w:space="0" w:color="000000"/>
              <w:left w:val="single" w:sz="8" w:space="0" w:color="000000"/>
              <w:bottom w:val="single" w:sz="8" w:space="0" w:color="000000"/>
              <w:right w:val="single" w:sz="8" w:space="0" w:color="000000"/>
            </w:tcBorders>
            <w:vAlign w:val="center"/>
          </w:tcPr>
          <w:p w14:paraId="6714F526" w14:textId="77777777" w:rsidR="00415A1C" w:rsidRPr="00D74E8E" w:rsidRDefault="00415A1C" w:rsidP="00BC18EC">
            <w:pPr>
              <w:spacing w:after="0" w:line="240" w:lineRule="auto"/>
              <w:jc w:val="center"/>
              <w:rPr>
                <w:rFonts w:cs="Courier New"/>
              </w:rPr>
            </w:pPr>
            <w:r w:rsidRPr="00D74E8E">
              <w:rPr>
                <w:rFonts w:cs="Courier New"/>
              </w:rPr>
              <w:t>Form</w:t>
            </w:r>
          </w:p>
          <w:p w14:paraId="2A0D9B7B" w14:textId="77777777" w:rsidR="00415A1C" w:rsidRPr="00D74E8E" w:rsidRDefault="00415A1C" w:rsidP="00BC18EC">
            <w:pPr>
              <w:spacing w:after="0" w:line="240" w:lineRule="auto"/>
              <w:jc w:val="center"/>
              <w:rPr>
                <w:rFonts w:cs="Courier New"/>
              </w:rPr>
            </w:pPr>
            <w:r w:rsidRPr="00D74E8E">
              <w:rPr>
                <w:rFonts w:cs="Courier New"/>
              </w:rPr>
              <w:t>Name</w:t>
            </w:r>
          </w:p>
        </w:tc>
        <w:tc>
          <w:tcPr>
            <w:tcW w:w="1572" w:type="dxa"/>
            <w:tcBorders>
              <w:top w:val="single" w:sz="8" w:space="0" w:color="000000"/>
              <w:left w:val="single" w:sz="8" w:space="0" w:color="000000"/>
              <w:bottom w:val="single" w:sz="8" w:space="0" w:color="000000"/>
              <w:right w:val="single" w:sz="8" w:space="0" w:color="000000"/>
            </w:tcBorders>
            <w:vAlign w:val="center"/>
          </w:tcPr>
          <w:p w14:paraId="67128E01" w14:textId="77777777" w:rsidR="00415A1C" w:rsidRPr="00D74E8E" w:rsidRDefault="00415A1C" w:rsidP="00BC18EC">
            <w:pPr>
              <w:spacing w:after="0" w:line="240" w:lineRule="auto"/>
              <w:jc w:val="center"/>
              <w:rPr>
                <w:rFonts w:cs="Courier New"/>
              </w:rPr>
            </w:pPr>
            <w:r w:rsidRPr="00D74E8E">
              <w:rPr>
                <w:rFonts w:cs="Courier New"/>
              </w:rPr>
              <w:t>No. of</w:t>
            </w:r>
          </w:p>
          <w:p w14:paraId="4DDEB1C7" w14:textId="77777777" w:rsidR="00415A1C" w:rsidRPr="00D74E8E" w:rsidRDefault="00415A1C" w:rsidP="00BC18EC">
            <w:pPr>
              <w:spacing w:after="0" w:line="240" w:lineRule="auto"/>
              <w:jc w:val="center"/>
              <w:rPr>
                <w:rFonts w:cs="Courier New"/>
              </w:rPr>
            </w:pPr>
            <w:r w:rsidRPr="00D74E8E">
              <w:rPr>
                <w:rFonts w:cs="Courier New"/>
              </w:rPr>
              <w:t>Respondents</w:t>
            </w:r>
          </w:p>
        </w:tc>
        <w:tc>
          <w:tcPr>
            <w:tcW w:w="1573" w:type="dxa"/>
            <w:tcBorders>
              <w:top w:val="single" w:sz="8" w:space="0" w:color="000000"/>
              <w:left w:val="single" w:sz="8" w:space="0" w:color="000000"/>
              <w:bottom w:val="single" w:sz="8" w:space="0" w:color="000000"/>
              <w:right w:val="single" w:sz="8" w:space="0" w:color="000000"/>
            </w:tcBorders>
            <w:vAlign w:val="center"/>
          </w:tcPr>
          <w:p w14:paraId="093452D1" w14:textId="77777777" w:rsidR="00415A1C" w:rsidRPr="00D74E8E" w:rsidRDefault="00415A1C" w:rsidP="00BC18EC">
            <w:pPr>
              <w:spacing w:after="0" w:line="240" w:lineRule="auto"/>
              <w:jc w:val="center"/>
              <w:rPr>
                <w:rFonts w:cs="Courier New"/>
              </w:rPr>
            </w:pPr>
            <w:r w:rsidRPr="00D74E8E">
              <w:rPr>
                <w:rFonts w:cs="Courier New"/>
              </w:rPr>
              <w:t xml:space="preserve">Total </w:t>
            </w:r>
            <w:r w:rsidRPr="00D74E8E">
              <w:rPr>
                <w:rFonts w:cs="Courier New"/>
              </w:rPr>
              <w:br/>
              <w:t>Burden Hours</w:t>
            </w:r>
          </w:p>
        </w:tc>
        <w:tc>
          <w:tcPr>
            <w:tcW w:w="1573" w:type="dxa"/>
            <w:tcBorders>
              <w:top w:val="single" w:sz="8" w:space="0" w:color="000000"/>
              <w:left w:val="single" w:sz="8" w:space="0" w:color="000000"/>
              <w:bottom w:val="single" w:sz="8" w:space="0" w:color="000000"/>
              <w:right w:val="single" w:sz="8" w:space="0" w:color="000000"/>
            </w:tcBorders>
            <w:vAlign w:val="center"/>
          </w:tcPr>
          <w:p w14:paraId="3759CA9B" w14:textId="77777777" w:rsidR="00415A1C" w:rsidRPr="00D74E8E" w:rsidRDefault="00415A1C" w:rsidP="00BC18EC">
            <w:pPr>
              <w:spacing w:after="0" w:line="240" w:lineRule="auto"/>
              <w:jc w:val="center"/>
              <w:rPr>
                <w:rFonts w:cs="Courier New"/>
              </w:rPr>
            </w:pPr>
            <w:r w:rsidRPr="00D74E8E">
              <w:rPr>
                <w:rFonts w:cs="Courier New"/>
              </w:rPr>
              <w:t>Hourly</w:t>
            </w:r>
          </w:p>
          <w:p w14:paraId="0ABE7C5F" w14:textId="77777777" w:rsidR="00415A1C" w:rsidRPr="00D74E8E" w:rsidRDefault="00415A1C" w:rsidP="00BC18EC">
            <w:pPr>
              <w:spacing w:after="0" w:line="240" w:lineRule="auto"/>
              <w:jc w:val="center"/>
              <w:rPr>
                <w:rFonts w:cs="Courier New"/>
              </w:rPr>
            </w:pPr>
            <w:r w:rsidRPr="00D74E8E">
              <w:rPr>
                <w:rFonts w:cs="Courier New"/>
              </w:rPr>
              <w:t>Wage Rate</w:t>
            </w:r>
          </w:p>
        </w:tc>
        <w:tc>
          <w:tcPr>
            <w:tcW w:w="1573" w:type="dxa"/>
            <w:tcBorders>
              <w:top w:val="single" w:sz="8" w:space="0" w:color="000000"/>
              <w:left w:val="single" w:sz="8" w:space="0" w:color="000000"/>
              <w:bottom w:val="single" w:sz="8" w:space="0" w:color="000000"/>
              <w:right w:val="single" w:sz="8" w:space="0" w:color="000000"/>
            </w:tcBorders>
            <w:vAlign w:val="center"/>
          </w:tcPr>
          <w:p w14:paraId="48B5F6BE" w14:textId="2943E7A9" w:rsidR="00415A1C" w:rsidRPr="00D74E8E" w:rsidRDefault="00415A1C" w:rsidP="00C25459">
            <w:pPr>
              <w:spacing w:after="0" w:line="240" w:lineRule="auto"/>
              <w:jc w:val="center"/>
              <w:rPr>
                <w:rFonts w:cs="Courier New"/>
              </w:rPr>
            </w:pPr>
            <w:r w:rsidRPr="00D74E8E">
              <w:rPr>
                <w:rFonts w:cs="Courier New"/>
              </w:rPr>
              <w:t>Total</w:t>
            </w:r>
          </w:p>
          <w:p w14:paraId="07C7B3A3" w14:textId="2D1B06C7" w:rsidR="00415A1C" w:rsidRPr="00D74E8E" w:rsidRDefault="00415A1C" w:rsidP="00C25459">
            <w:pPr>
              <w:spacing w:after="0" w:line="240" w:lineRule="auto"/>
              <w:jc w:val="center"/>
              <w:rPr>
                <w:rFonts w:cs="Courier New"/>
              </w:rPr>
            </w:pPr>
            <w:r w:rsidRPr="00D74E8E">
              <w:rPr>
                <w:rFonts w:cs="Courier New"/>
              </w:rPr>
              <w:t>Respondent</w:t>
            </w:r>
          </w:p>
          <w:p w14:paraId="13433B2D" w14:textId="77777777" w:rsidR="00415A1C" w:rsidRPr="00D74E8E" w:rsidRDefault="00415A1C" w:rsidP="00C25459">
            <w:pPr>
              <w:spacing w:after="0" w:line="240" w:lineRule="auto"/>
              <w:jc w:val="center"/>
              <w:rPr>
                <w:rFonts w:cs="Courier New"/>
              </w:rPr>
            </w:pPr>
            <w:r w:rsidRPr="00D74E8E">
              <w:rPr>
                <w:rFonts w:cs="Courier New"/>
              </w:rPr>
              <w:t>Costs</w:t>
            </w:r>
          </w:p>
        </w:tc>
      </w:tr>
      <w:tr w:rsidR="00A36E40" w:rsidRPr="00D74E8E" w14:paraId="337EB02C" w14:textId="77777777" w:rsidTr="00E20628">
        <w:trPr>
          <w:trHeight w:val="259"/>
        </w:trPr>
        <w:tc>
          <w:tcPr>
            <w:tcW w:w="1502" w:type="dxa"/>
            <w:tcBorders>
              <w:top w:val="single" w:sz="8" w:space="0" w:color="000000"/>
              <w:left w:val="single" w:sz="8" w:space="0" w:color="000000"/>
              <w:bottom w:val="single" w:sz="8" w:space="0" w:color="000000"/>
              <w:right w:val="single" w:sz="8" w:space="0" w:color="000000"/>
            </w:tcBorders>
          </w:tcPr>
          <w:p w14:paraId="0A2EF95F" w14:textId="3AA94398" w:rsidR="00A36E40" w:rsidRPr="00D74E8E" w:rsidRDefault="00A36E40" w:rsidP="00A36E40">
            <w:pPr>
              <w:spacing w:after="0" w:line="240" w:lineRule="auto"/>
              <w:rPr>
                <w:rFonts w:cs="Courier New"/>
              </w:rPr>
            </w:pPr>
            <w:r w:rsidRPr="00FA6068">
              <w:rPr>
                <w:rFonts w:ascii="Calibri" w:hAnsi="Calibri" w:cs="Courier New"/>
              </w:rPr>
              <w:t>State or Local Health Departments, or their Bona Fide Agents</w:t>
            </w:r>
          </w:p>
        </w:tc>
        <w:tc>
          <w:tcPr>
            <w:tcW w:w="1539" w:type="dxa"/>
            <w:tcBorders>
              <w:top w:val="single" w:sz="8" w:space="0" w:color="000000"/>
              <w:left w:val="single" w:sz="8" w:space="0" w:color="000000"/>
              <w:bottom w:val="single" w:sz="8" w:space="0" w:color="000000"/>
              <w:right w:val="single" w:sz="8" w:space="0" w:color="000000"/>
            </w:tcBorders>
            <w:vAlign w:val="center"/>
          </w:tcPr>
          <w:p w14:paraId="47217373" w14:textId="45CD513F" w:rsidR="00A36E40" w:rsidRPr="00D74E8E" w:rsidRDefault="00A36E40" w:rsidP="00A36E40">
            <w:pPr>
              <w:spacing w:after="0" w:line="240" w:lineRule="auto"/>
              <w:rPr>
                <w:rFonts w:cs="Courier New"/>
              </w:rPr>
            </w:pPr>
            <w:r w:rsidRPr="00D74E8E">
              <w:t>CBLS Variables – Text Files</w:t>
            </w:r>
          </w:p>
        </w:tc>
        <w:tc>
          <w:tcPr>
            <w:tcW w:w="1572" w:type="dxa"/>
            <w:tcBorders>
              <w:top w:val="single" w:sz="8" w:space="0" w:color="000000"/>
              <w:left w:val="single" w:sz="8" w:space="0" w:color="000000"/>
              <w:bottom w:val="single" w:sz="8" w:space="0" w:color="000000"/>
              <w:right w:val="single" w:sz="8" w:space="0" w:color="000000"/>
            </w:tcBorders>
            <w:vAlign w:val="center"/>
          </w:tcPr>
          <w:p w14:paraId="6956D69F" w14:textId="70B2B301" w:rsidR="00A36E40" w:rsidRPr="00D74E8E" w:rsidRDefault="00A36E40" w:rsidP="00A36E40">
            <w:pPr>
              <w:spacing w:after="0" w:line="240" w:lineRule="auto"/>
              <w:jc w:val="center"/>
              <w:rPr>
                <w:rFonts w:cs="Courier New"/>
              </w:rPr>
            </w:pPr>
            <w:r w:rsidRPr="00D74E8E">
              <w:rPr>
                <w:rFonts w:cs="Courier New"/>
                <w:sz w:val="22"/>
              </w:rPr>
              <w:t>47</w:t>
            </w:r>
          </w:p>
        </w:tc>
        <w:tc>
          <w:tcPr>
            <w:tcW w:w="1573" w:type="dxa"/>
            <w:tcBorders>
              <w:top w:val="single" w:sz="8" w:space="0" w:color="000000"/>
              <w:left w:val="single" w:sz="8" w:space="0" w:color="000000"/>
              <w:bottom w:val="single" w:sz="8" w:space="0" w:color="000000"/>
              <w:right w:val="single" w:sz="8" w:space="0" w:color="000000"/>
            </w:tcBorders>
            <w:vAlign w:val="center"/>
          </w:tcPr>
          <w:p w14:paraId="4374756B" w14:textId="128A1465" w:rsidR="00A36E40" w:rsidRPr="00D74E8E" w:rsidRDefault="00A36E40" w:rsidP="00A36E40">
            <w:pPr>
              <w:spacing w:after="0" w:line="240" w:lineRule="auto"/>
              <w:jc w:val="center"/>
              <w:rPr>
                <w:rFonts w:cs="Courier New"/>
              </w:rPr>
            </w:pPr>
            <w:r w:rsidRPr="00D74E8E">
              <w:rPr>
                <w:rFonts w:cs="Courier New"/>
                <w:sz w:val="22"/>
                <w:szCs w:val="22"/>
              </w:rPr>
              <w:t>752</w:t>
            </w:r>
          </w:p>
        </w:tc>
        <w:tc>
          <w:tcPr>
            <w:tcW w:w="1573" w:type="dxa"/>
            <w:tcBorders>
              <w:top w:val="single" w:sz="8" w:space="0" w:color="000000"/>
              <w:left w:val="single" w:sz="8" w:space="0" w:color="000000"/>
              <w:bottom w:val="single" w:sz="8" w:space="0" w:color="000000"/>
              <w:right w:val="single" w:sz="8" w:space="0" w:color="000000"/>
            </w:tcBorders>
            <w:vAlign w:val="center"/>
          </w:tcPr>
          <w:p w14:paraId="65C953AC" w14:textId="563D10E0" w:rsidR="00A36E40" w:rsidRPr="00D74E8E" w:rsidRDefault="00A36E40" w:rsidP="00A36E40">
            <w:pPr>
              <w:spacing w:after="0" w:line="240" w:lineRule="auto"/>
              <w:jc w:val="center"/>
              <w:rPr>
                <w:rFonts w:cs="Courier New"/>
              </w:rPr>
            </w:pPr>
            <w:r w:rsidRPr="00D74E8E">
              <w:rPr>
                <w:rFonts w:cs="Courier New"/>
                <w:sz w:val="22"/>
              </w:rPr>
              <w:t>$38.39</w:t>
            </w:r>
          </w:p>
        </w:tc>
        <w:tc>
          <w:tcPr>
            <w:tcW w:w="1573" w:type="dxa"/>
            <w:tcBorders>
              <w:top w:val="single" w:sz="8" w:space="0" w:color="000000"/>
              <w:left w:val="single" w:sz="8" w:space="0" w:color="000000"/>
              <w:bottom w:val="single" w:sz="8" w:space="0" w:color="000000"/>
              <w:right w:val="single" w:sz="8" w:space="0" w:color="000000"/>
            </w:tcBorders>
            <w:vAlign w:val="center"/>
          </w:tcPr>
          <w:p w14:paraId="779BEA76" w14:textId="7FBD4553" w:rsidR="00A36E40" w:rsidRPr="00D74E8E" w:rsidRDefault="00A36E40" w:rsidP="00A36E40">
            <w:pPr>
              <w:spacing w:after="0" w:line="240" w:lineRule="auto"/>
              <w:jc w:val="center"/>
              <w:rPr>
                <w:rFonts w:cs="Courier New"/>
              </w:rPr>
            </w:pPr>
            <w:r w:rsidRPr="00D74E8E">
              <w:rPr>
                <w:rFonts w:ascii="Calibri" w:hAnsi="Calibri"/>
                <w:sz w:val="22"/>
                <w:szCs w:val="22"/>
              </w:rPr>
              <w:t>$</w:t>
            </w:r>
            <w:r w:rsidRPr="00D74E8E">
              <w:rPr>
                <w:rFonts w:ascii="Calibri" w:hAnsi="Calibri" w:cs="Courier New"/>
                <w:sz w:val="22"/>
              </w:rPr>
              <w:t xml:space="preserve">28,869.28 </w:t>
            </w:r>
            <w:r w:rsidRPr="00D74E8E">
              <w:rPr>
                <w:rFonts w:ascii="Calibri" w:hAnsi="Calibri"/>
                <w:sz w:val="22"/>
                <w:szCs w:val="22"/>
              </w:rPr>
              <w:t xml:space="preserve"> </w:t>
            </w:r>
          </w:p>
        </w:tc>
      </w:tr>
      <w:tr w:rsidR="00A36E40" w:rsidRPr="00D74E8E" w14:paraId="009A06C6" w14:textId="77777777" w:rsidTr="00E20628">
        <w:trPr>
          <w:trHeight w:val="259"/>
        </w:trPr>
        <w:tc>
          <w:tcPr>
            <w:tcW w:w="1502" w:type="dxa"/>
            <w:tcBorders>
              <w:top w:val="single" w:sz="8" w:space="0" w:color="000000"/>
              <w:left w:val="single" w:sz="8" w:space="0" w:color="000000"/>
              <w:bottom w:val="single" w:sz="8" w:space="0" w:color="000000"/>
              <w:right w:val="single" w:sz="8" w:space="0" w:color="000000"/>
            </w:tcBorders>
          </w:tcPr>
          <w:p w14:paraId="6D6EE002" w14:textId="41158236" w:rsidR="00A36E40" w:rsidRPr="00D74E8E" w:rsidRDefault="00A36E40" w:rsidP="00A36E40">
            <w:pPr>
              <w:spacing w:after="0" w:line="240" w:lineRule="auto"/>
              <w:rPr>
                <w:rFonts w:cs="Courier New"/>
              </w:rPr>
            </w:pPr>
            <w:r w:rsidRPr="00FA6068">
              <w:rPr>
                <w:rFonts w:ascii="Calibri" w:hAnsi="Calibri" w:cs="Courier New"/>
              </w:rPr>
              <w:t>State or Local Health Departments, or their Bona Fide Agents</w:t>
            </w:r>
          </w:p>
        </w:tc>
        <w:tc>
          <w:tcPr>
            <w:tcW w:w="1539" w:type="dxa"/>
            <w:tcBorders>
              <w:top w:val="single" w:sz="8" w:space="0" w:color="000000"/>
              <w:left w:val="single" w:sz="8" w:space="0" w:color="000000"/>
              <w:bottom w:val="single" w:sz="8" w:space="0" w:color="000000"/>
              <w:right w:val="single" w:sz="8" w:space="0" w:color="000000"/>
            </w:tcBorders>
            <w:vAlign w:val="center"/>
          </w:tcPr>
          <w:p w14:paraId="5194ACC7" w14:textId="1B198D32" w:rsidR="00A36E40" w:rsidRPr="00D74E8E" w:rsidRDefault="00A36E40" w:rsidP="00A36E40">
            <w:pPr>
              <w:spacing w:after="0" w:line="240" w:lineRule="auto"/>
              <w:rPr>
                <w:rFonts w:cs="Courier New"/>
              </w:rPr>
            </w:pPr>
            <w:r w:rsidRPr="00D74E8E">
              <w:t xml:space="preserve">CBLS </w:t>
            </w:r>
            <w:r w:rsidRPr="00D74E8E">
              <w:rPr>
                <w:sz w:val="22"/>
                <w:szCs w:val="22"/>
              </w:rPr>
              <w:t>Aggregate Records Form</w:t>
            </w:r>
          </w:p>
        </w:tc>
        <w:tc>
          <w:tcPr>
            <w:tcW w:w="1572" w:type="dxa"/>
            <w:tcBorders>
              <w:top w:val="single" w:sz="8" w:space="0" w:color="000000"/>
              <w:left w:val="single" w:sz="8" w:space="0" w:color="000000"/>
              <w:bottom w:val="single" w:sz="8" w:space="0" w:color="000000"/>
              <w:right w:val="single" w:sz="8" w:space="0" w:color="000000"/>
            </w:tcBorders>
            <w:vAlign w:val="center"/>
          </w:tcPr>
          <w:p w14:paraId="4FB53877" w14:textId="3E4A7D5F" w:rsidR="00A36E40" w:rsidRPr="00D74E8E" w:rsidRDefault="00A36E40" w:rsidP="00A36E40">
            <w:pPr>
              <w:spacing w:after="0" w:line="240" w:lineRule="auto"/>
              <w:jc w:val="center"/>
              <w:rPr>
                <w:rFonts w:cs="Courier New"/>
              </w:rPr>
            </w:pPr>
            <w:r w:rsidRPr="00D74E8E">
              <w:rPr>
                <w:rFonts w:cs="Courier New"/>
                <w:sz w:val="22"/>
              </w:rPr>
              <w:t>1</w:t>
            </w:r>
          </w:p>
        </w:tc>
        <w:tc>
          <w:tcPr>
            <w:tcW w:w="1573" w:type="dxa"/>
            <w:tcBorders>
              <w:top w:val="single" w:sz="8" w:space="0" w:color="000000"/>
              <w:left w:val="single" w:sz="8" w:space="0" w:color="000000"/>
              <w:bottom w:val="single" w:sz="8" w:space="0" w:color="000000"/>
              <w:right w:val="single" w:sz="8" w:space="0" w:color="000000"/>
            </w:tcBorders>
            <w:vAlign w:val="center"/>
          </w:tcPr>
          <w:p w14:paraId="764415D4" w14:textId="4AB886EB" w:rsidR="00A36E40" w:rsidRPr="00D74E8E" w:rsidRDefault="00A36E40" w:rsidP="00A36E40">
            <w:pPr>
              <w:spacing w:after="0" w:line="240" w:lineRule="auto"/>
              <w:jc w:val="center"/>
              <w:rPr>
                <w:rFonts w:cs="Courier New"/>
              </w:rPr>
            </w:pPr>
            <w:r w:rsidRPr="00D74E8E">
              <w:rPr>
                <w:rFonts w:cs="Courier New"/>
                <w:sz w:val="22"/>
                <w:szCs w:val="22"/>
              </w:rPr>
              <w:t>8</w:t>
            </w:r>
          </w:p>
        </w:tc>
        <w:tc>
          <w:tcPr>
            <w:tcW w:w="1573" w:type="dxa"/>
            <w:tcBorders>
              <w:top w:val="single" w:sz="8" w:space="0" w:color="000000"/>
              <w:left w:val="single" w:sz="8" w:space="0" w:color="000000"/>
              <w:bottom w:val="single" w:sz="8" w:space="0" w:color="000000"/>
              <w:right w:val="single" w:sz="8" w:space="0" w:color="000000"/>
            </w:tcBorders>
            <w:vAlign w:val="center"/>
          </w:tcPr>
          <w:p w14:paraId="2D0655BC" w14:textId="241CC44F" w:rsidR="00A36E40" w:rsidRPr="00D74E8E" w:rsidRDefault="00A36E40" w:rsidP="00A36E40">
            <w:pPr>
              <w:spacing w:after="0" w:line="240" w:lineRule="auto"/>
              <w:jc w:val="center"/>
              <w:rPr>
                <w:rFonts w:cs="Courier New"/>
              </w:rPr>
            </w:pPr>
            <w:r w:rsidRPr="00D74E8E">
              <w:rPr>
                <w:rFonts w:cs="Courier New"/>
                <w:sz w:val="22"/>
              </w:rPr>
              <w:t>$38.39</w:t>
            </w:r>
          </w:p>
        </w:tc>
        <w:tc>
          <w:tcPr>
            <w:tcW w:w="1573" w:type="dxa"/>
            <w:tcBorders>
              <w:top w:val="single" w:sz="8" w:space="0" w:color="000000"/>
              <w:left w:val="single" w:sz="8" w:space="0" w:color="000000"/>
              <w:bottom w:val="single" w:sz="8" w:space="0" w:color="000000"/>
              <w:right w:val="single" w:sz="8" w:space="0" w:color="000000"/>
            </w:tcBorders>
            <w:vAlign w:val="center"/>
          </w:tcPr>
          <w:p w14:paraId="6713E08A" w14:textId="7EA3C37E" w:rsidR="00A36E40" w:rsidRPr="00D74E8E" w:rsidRDefault="00A36E40" w:rsidP="00A36E40">
            <w:pPr>
              <w:spacing w:after="0" w:line="240" w:lineRule="auto"/>
              <w:jc w:val="center"/>
              <w:rPr>
                <w:rFonts w:cs="Courier New"/>
              </w:rPr>
            </w:pPr>
            <w:r w:rsidRPr="00D74E8E">
              <w:rPr>
                <w:rFonts w:ascii="Calibri" w:hAnsi="Calibri"/>
                <w:sz w:val="22"/>
                <w:szCs w:val="22"/>
              </w:rPr>
              <w:t>$307.12</w:t>
            </w:r>
          </w:p>
        </w:tc>
      </w:tr>
      <w:tr w:rsidR="00A36E40" w:rsidRPr="00D74E8E" w14:paraId="6F709FB8" w14:textId="77777777" w:rsidTr="00E20628">
        <w:trPr>
          <w:trHeight w:val="259"/>
        </w:trPr>
        <w:tc>
          <w:tcPr>
            <w:tcW w:w="1502" w:type="dxa"/>
            <w:tcBorders>
              <w:top w:val="single" w:sz="8" w:space="0" w:color="000000"/>
              <w:left w:val="single" w:sz="8" w:space="0" w:color="000000"/>
              <w:bottom w:val="single" w:sz="8" w:space="0" w:color="000000"/>
              <w:right w:val="single" w:sz="8" w:space="0" w:color="000000"/>
            </w:tcBorders>
          </w:tcPr>
          <w:p w14:paraId="1CAAAF45" w14:textId="0560048F" w:rsidR="00A36E40" w:rsidRPr="00D74E8E" w:rsidRDefault="00A36E40" w:rsidP="00A36E40">
            <w:pPr>
              <w:spacing w:after="0" w:line="240" w:lineRule="auto"/>
              <w:rPr>
                <w:rFonts w:cs="Courier New"/>
              </w:rPr>
            </w:pPr>
            <w:r w:rsidRPr="00FA6068">
              <w:rPr>
                <w:rFonts w:ascii="Calibri" w:hAnsi="Calibri" w:cs="Courier New"/>
              </w:rPr>
              <w:t>State or Local Health Departments, or their Bona Fide Agents</w:t>
            </w:r>
          </w:p>
        </w:tc>
        <w:tc>
          <w:tcPr>
            <w:tcW w:w="1539" w:type="dxa"/>
            <w:tcBorders>
              <w:top w:val="single" w:sz="8" w:space="0" w:color="000000"/>
              <w:left w:val="single" w:sz="8" w:space="0" w:color="000000"/>
              <w:bottom w:val="single" w:sz="8" w:space="0" w:color="000000"/>
              <w:right w:val="single" w:sz="8" w:space="0" w:color="000000"/>
            </w:tcBorders>
            <w:vAlign w:val="center"/>
          </w:tcPr>
          <w:p w14:paraId="5B12A6FC" w14:textId="6B8FACD6" w:rsidR="00A36E40" w:rsidRPr="00D74E8E" w:rsidRDefault="00A36E40" w:rsidP="00A36E40">
            <w:pPr>
              <w:spacing w:after="0" w:line="240" w:lineRule="auto"/>
              <w:rPr>
                <w:rFonts w:cs="Courier New"/>
              </w:rPr>
            </w:pPr>
            <w:r w:rsidRPr="00D74E8E">
              <w:rPr>
                <w:sz w:val="22"/>
                <w:szCs w:val="22"/>
              </w:rPr>
              <w:t>ABLES Case Records Form and Brief Narrative Report</w:t>
            </w:r>
          </w:p>
        </w:tc>
        <w:tc>
          <w:tcPr>
            <w:tcW w:w="1572" w:type="dxa"/>
            <w:tcBorders>
              <w:top w:val="single" w:sz="8" w:space="0" w:color="000000"/>
              <w:left w:val="single" w:sz="8" w:space="0" w:color="000000"/>
              <w:bottom w:val="single" w:sz="8" w:space="0" w:color="000000"/>
              <w:right w:val="single" w:sz="8" w:space="0" w:color="000000"/>
            </w:tcBorders>
            <w:vAlign w:val="center"/>
          </w:tcPr>
          <w:p w14:paraId="759CEA5F" w14:textId="01E67586" w:rsidR="00A36E40" w:rsidRPr="00D74E8E" w:rsidRDefault="00A36E40" w:rsidP="00A36E40">
            <w:pPr>
              <w:spacing w:after="0" w:line="240" w:lineRule="auto"/>
              <w:jc w:val="center"/>
              <w:rPr>
                <w:rFonts w:cs="Courier New"/>
              </w:rPr>
            </w:pPr>
            <w:r w:rsidRPr="00D74E8E">
              <w:rPr>
                <w:rFonts w:cs="Courier New"/>
                <w:sz w:val="22"/>
                <w:szCs w:val="22"/>
              </w:rPr>
              <w:t>32</w:t>
            </w:r>
          </w:p>
        </w:tc>
        <w:tc>
          <w:tcPr>
            <w:tcW w:w="1573" w:type="dxa"/>
            <w:tcBorders>
              <w:top w:val="single" w:sz="8" w:space="0" w:color="000000"/>
              <w:left w:val="single" w:sz="8" w:space="0" w:color="000000"/>
              <w:bottom w:val="single" w:sz="8" w:space="0" w:color="000000"/>
              <w:right w:val="single" w:sz="8" w:space="0" w:color="000000"/>
            </w:tcBorders>
            <w:vAlign w:val="center"/>
          </w:tcPr>
          <w:p w14:paraId="1FD83859" w14:textId="013738D3" w:rsidR="00A36E40" w:rsidRPr="00D74E8E" w:rsidRDefault="00A36E40" w:rsidP="00A36E40">
            <w:pPr>
              <w:spacing w:after="0" w:line="240" w:lineRule="auto"/>
              <w:jc w:val="center"/>
              <w:rPr>
                <w:rFonts w:cs="Courier New"/>
              </w:rPr>
            </w:pPr>
            <w:r w:rsidRPr="00D74E8E">
              <w:rPr>
                <w:rFonts w:cs="Courier New"/>
                <w:sz w:val="22"/>
                <w:szCs w:val="22"/>
              </w:rPr>
              <w:t>256</w:t>
            </w:r>
          </w:p>
        </w:tc>
        <w:tc>
          <w:tcPr>
            <w:tcW w:w="1573" w:type="dxa"/>
            <w:tcBorders>
              <w:top w:val="single" w:sz="8" w:space="0" w:color="000000"/>
              <w:left w:val="single" w:sz="8" w:space="0" w:color="000000"/>
              <w:bottom w:val="single" w:sz="8" w:space="0" w:color="000000"/>
              <w:right w:val="single" w:sz="8" w:space="0" w:color="000000"/>
            </w:tcBorders>
            <w:vAlign w:val="center"/>
          </w:tcPr>
          <w:p w14:paraId="44F66F4B" w14:textId="3E8BB166" w:rsidR="00A36E40" w:rsidRPr="00D74E8E" w:rsidRDefault="00A36E40" w:rsidP="00A36E40">
            <w:pPr>
              <w:spacing w:after="0" w:line="240" w:lineRule="auto"/>
              <w:jc w:val="center"/>
              <w:rPr>
                <w:rFonts w:cs="Courier New"/>
              </w:rPr>
            </w:pPr>
            <w:r w:rsidRPr="00D74E8E">
              <w:rPr>
                <w:rFonts w:cs="Courier New"/>
                <w:sz w:val="22"/>
                <w:szCs w:val="22"/>
              </w:rPr>
              <w:t>$38.39</w:t>
            </w:r>
          </w:p>
        </w:tc>
        <w:tc>
          <w:tcPr>
            <w:tcW w:w="1573" w:type="dxa"/>
            <w:tcBorders>
              <w:top w:val="single" w:sz="8" w:space="0" w:color="000000"/>
              <w:left w:val="single" w:sz="8" w:space="0" w:color="000000"/>
              <w:bottom w:val="single" w:sz="8" w:space="0" w:color="000000"/>
              <w:right w:val="single" w:sz="8" w:space="0" w:color="000000"/>
            </w:tcBorders>
            <w:vAlign w:val="center"/>
          </w:tcPr>
          <w:p w14:paraId="3D187C98" w14:textId="1021701E" w:rsidR="00A36E40" w:rsidRPr="00D74E8E" w:rsidRDefault="00A36E40" w:rsidP="00A36E40">
            <w:pPr>
              <w:spacing w:after="0" w:line="240" w:lineRule="auto"/>
              <w:jc w:val="center"/>
              <w:rPr>
                <w:rFonts w:cs="Courier New"/>
              </w:rPr>
            </w:pPr>
            <w:r w:rsidRPr="00D74E8E">
              <w:rPr>
                <w:rFonts w:ascii="Calibri" w:hAnsi="Calibri"/>
                <w:sz w:val="22"/>
                <w:szCs w:val="22"/>
              </w:rPr>
              <w:t xml:space="preserve">$9,827.84 </w:t>
            </w:r>
          </w:p>
        </w:tc>
      </w:tr>
      <w:tr w:rsidR="00A36E40" w:rsidRPr="00D74E8E" w14:paraId="35E480DA" w14:textId="77777777" w:rsidTr="00E20628">
        <w:trPr>
          <w:trHeight w:val="259"/>
        </w:trPr>
        <w:tc>
          <w:tcPr>
            <w:tcW w:w="1502" w:type="dxa"/>
            <w:tcBorders>
              <w:top w:val="single" w:sz="8" w:space="0" w:color="000000"/>
              <w:left w:val="single" w:sz="8" w:space="0" w:color="000000"/>
              <w:bottom w:val="single" w:sz="8" w:space="0" w:color="000000"/>
              <w:right w:val="single" w:sz="8" w:space="0" w:color="000000"/>
            </w:tcBorders>
          </w:tcPr>
          <w:p w14:paraId="10C8EC26" w14:textId="214FAAC9" w:rsidR="00A36E40" w:rsidRPr="00D74E8E" w:rsidRDefault="00A36E40" w:rsidP="00A36E40">
            <w:pPr>
              <w:spacing w:after="0" w:line="240" w:lineRule="auto"/>
              <w:rPr>
                <w:rFonts w:cs="Courier New"/>
              </w:rPr>
            </w:pPr>
            <w:r w:rsidRPr="00FA6068">
              <w:rPr>
                <w:rFonts w:ascii="Calibri" w:hAnsi="Calibri" w:cs="Courier New"/>
              </w:rPr>
              <w:t>State or Local Health Departments, or their Bona Fide Agents</w:t>
            </w:r>
          </w:p>
        </w:tc>
        <w:tc>
          <w:tcPr>
            <w:tcW w:w="1539" w:type="dxa"/>
            <w:tcBorders>
              <w:top w:val="single" w:sz="8" w:space="0" w:color="000000"/>
              <w:left w:val="single" w:sz="8" w:space="0" w:color="000000"/>
              <w:bottom w:val="single" w:sz="8" w:space="0" w:color="000000"/>
              <w:right w:val="single" w:sz="8" w:space="0" w:color="000000"/>
            </w:tcBorders>
            <w:vAlign w:val="center"/>
          </w:tcPr>
          <w:p w14:paraId="07183AC3" w14:textId="6DD6DC01" w:rsidR="00A36E40" w:rsidRPr="00D74E8E" w:rsidRDefault="00A36E40" w:rsidP="00A36E40">
            <w:pPr>
              <w:spacing w:after="0" w:line="240" w:lineRule="auto"/>
              <w:rPr>
                <w:rFonts w:cs="Courier New"/>
              </w:rPr>
            </w:pPr>
            <w:r w:rsidRPr="00D74E8E">
              <w:rPr>
                <w:sz w:val="22"/>
                <w:szCs w:val="22"/>
              </w:rPr>
              <w:t>ABLES Aggregate Records Form and Brief Narrative Report</w:t>
            </w:r>
          </w:p>
        </w:tc>
        <w:tc>
          <w:tcPr>
            <w:tcW w:w="1572" w:type="dxa"/>
            <w:tcBorders>
              <w:top w:val="single" w:sz="8" w:space="0" w:color="000000"/>
              <w:left w:val="single" w:sz="8" w:space="0" w:color="000000"/>
              <w:bottom w:val="single" w:sz="8" w:space="0" w:color="000000"/>
              <w:right w:val="single" w:sz="8" w:space="0" w:color="000000"/>
            </w:tcBorders>
            <w:vAlign w:val="center"/>
          </w:tcPr>
          <w:p w14:paraId="4792ECDB" w14:textId="66C2F98A" w:rsidR="00A36E40" w:rsidRPr="00D74E8E" w:rsidRDefault="00A36E40" w:rsidP="00A36E40">
            <w:pPr>
              <w:spacing w:after="0" w:line="240" w:lineRule="auto"/>
              <w:jc w:val="center"/>
              <w:rPr>
                <w:rFonts w:cs="Courier New"/>
              </w:rPr>
            </w:pPr>
            <w:r w:rsidRPr="00D74E8E">
              <w:rPr>
                <w:rFonts w:cs="Courier New"/>
                <w:sz w:val="22"/>
                <w:szCs w:val="22"/>
              </w:rPr>
              <w:t>8</w:t>
            </w:r>
          </w:p>
        </w:tc>
        <w:tc>
          <w:tcPr>
            <w:tcW w:w="1573" w:type="dxa"/>
            <w:tcBorders>
              <w:top w:val="single" w:sz="8" w:space="0" w:color="000000"/>
              <w:left w:val="single" w:sz="8" w:space="0" w:color="000000"/>
              <w:bottom w:val="single" w:sz="8" w:space="0" w:color="000000"/>
              <w:right w:val="single" w:sz="8" w:space="0" w:color="000000"/>
            </w:tcBorders>
            <w:vAlign w:val="center"/>
          </w:tcPr>
          <w:p w14:paraId="6A95793A" w14:textId="60EC019E" w:rsidR="00A36E40" w:rsidRPr="00D74E8E" w:rsidRDefault="00A36E40" w:rsidP="00A36E40">
            <w:pPr>
              <w:spacing w:after="0" w:line="240" w:lineRule="auto"/>
              <w:jc w:val="center"/>
              <w:rPr>
                <w:rFonts w:cs="Courier New"/>
              </w:rPr>
            </w:pPr>
            <w:r w:rsidRPr="00D74E8E">
              <w:rPr>
                <w:rFonts w:cs="Courier New"/>
                <w:sz w:val="22"/>
                <w:szCs w:val="22"/>
              </w:rPr>
              <w:t>24</w:t>
            </w:r>
          </w:p>
        </w:tc>
        <w:tc>
          <w:tcPr>
            <w:tcW w:w="1573" w:type="dxa"/>
            <w:tcBorders>
              <w:top w:val="single" w:sz="8" w:space="0" w:color="000000"/>
              <w:left w:val="single" w:sz="8" w:space="0" w:color="000000"/>
              <w:bottom w:val="single" w:sz="8" w:space="0" w:color="000000"/>
              <w:right w:val="single" w:sz="8" w:space="0" w:color="000000"/>
            </w:tcBorders>
            <w:vAlign w:val="center"/>
          </w:tcPr>
          <w:p w14:paraId="0358A6F3" w14:textId="5906E61C" w:rsidR="00A36E40" w:rsidRPr="00D74E8E" w:rsidRDefault="00A36E40" w:rsidP="00A36E40">
            <w:pPr>
              <w:spacing w:after="0" w:line="240" w:lineRule="auto"/>
              <w:jc w:val="center"/>
              <w:rPr>
                <w:rFonts w:cs="Courier New"/>
              </w:rPr>
            </w:pPr>
            <w:r w:rsidRPr="00D74E8E">
              <w:rPr>
                <w:rFonts w:cs="Courier New"/>
                <w:sz w:val="22"/>
                <w:szCs w:val="22"/>
              </w:rPr>
              <w:t>$38.39</w:t>
            </w:r>
          </w:p>
        </w:tc>
        <w:tc>
          <w:tcPr>
            <w:tcW w:w="1573" w:type="dxa"/>
            <w:tcBorders>
              <w:top w:val="single" w:sz="8" w:space="0" w:color="000000"/>
              <w:left w:val="single" w:sz="8" w:space="0" w:color="000000"/>
              <w:bottom w:val="single" w:sz="8" w:space="0" w:color="000000"/>
              <w:right w:val="single" w:sz="8" w:space="0" w:color="000000"/>
            </w:tcBorders>
            <w:vAlign w:val="center"/>
          </w:tcPr>
          <w:p w14:paraId="7B097BEF" w14:textId="78B6A699" w:rsidR="00A36E40" w:rsidRPr="00D74E8E" w:rsidRDefault="00A36E40" w:rsidP="00A36E40">
            <w:pPr>
              <w:spacing w:after="0" w:line="240" w:lineRule="auto"/>
              <w:jc w:val="center"/>
              <w:rPr>
                <w:rFonts w:cs="Courier New"/>
              </w:rPr>
            </w:pPr>
            <w:r w:rsidRPr="00D74E8E">
              <w:rPr>
                <w:rFonts w:ascii="Calibri" w:hAnsi="Calibri"/>
                <w:sz w:val="22"/>
                <w:szCs w:val="22"/>
              </w:rPr>
              <w:t>$921.36</w:t>
            </w:r>
          </w:p>
        </w:tc>
      </w:tr>
      <w:tr w:rsidR="00253CAA" w:rsidRPr="00D74E8E" w14:paraId="7026FF65" w14:textId="77777777" w:rsidTr="00C50B14">
        <w:trPr>
          <w:trHeight w:val="253"/>
        </w:trPr>
        <w:tc>
          <w:tcPr>
            <w:tcW w:w="7759" w:type="dxa"/>
            <w:gridSpan w:val="5"/>
            <w:tcBorders>
              <w:left w:val="single" w:sz="8" w:space="0" w:color="000000"/>
              <w:bottom w:val="single" w:sz="8" w:space="0" w:color="000000"/>
              <w:right w:val="single" w:sz="8" w:space="0" w:color="000000"/>
            </w:tcBorders>
            <w:vAlign w:val="center"/>
          </w:tcPr>
          <w:p w14:paraId="11C4C01D" w14:textId="3AA233C8" w:rsidR="00253CAA" w:rsidRPr="00D74E8E" w:rsidRDefault="00253CAA" w:rsidP="00253CAA">
            <w:pPr>
              <w:spacing w:after="0" w:line="240" w:lineRule="auto"/>
              <w:rPr>
                <w:rFonts w:cs="Courier New"/>
                <w:sz w:val="22"/>
                <w:szCs w:val="22"/>
              </w:rPr>
            </w:pPr>
            <w:r w:rsidRPr="00D74E8E">
              <w:rPr>
                <w:sz w:val="22"/>
                <w:szCs w:val="22"/>
              </w:rPr>
              <w:t>Total</w:t>
            </w:r>
          </w:p>
        </w:tc>
        <w:tc>
          <w:tcPr>
            <w:tcW w:w="1573" w:type="dxa"/>
            <w:tcBorders>
              <w:top w:val="single" w:sz="8" w:space="0" w:color="000000"/>
              <w:left w:val="single" w:sz="8" w:space="0" w:color="000000"/>
              <w:bottom w:val="single" w:sz="8" w:space="0" w:color="000000"/>
              <w:right w:val="single" w:sz="8" w:space="0" w:color="000000"/>
            </w:tcBorders>
            <w:vAlign w:val="center"/>
          </w:tcPr>
          <w:p w14:paraId="440ADF58" w14:textId="4EC7ADCE" w:rsidR="00253CAA" w:rsidRPr="00D74E8E" w:rsidRDefault="00253CAA" w:rsidP="00253CAA">
            <w:pPr>
              <w:spacing w:after="0" w:line="240" w:lineRule="auto"/>
              <w:jc w:val="center"/>
              <w:rPr>
                <w:rFonts w:ascii="Calibri" w:hAnsi="Calibri"/>
                <w:sz w:val="22"/>
                <w:szCs w:val="22"/>
              </w:rPr>
            </w:pPr>
            <w:r w:rsidRPr="00D74E8E">
              <w:rPr>
                <w:rFonts w:ascii="Calibri" w:hAnsi="Calibri"/>
                <w:sz w:val="22"/>
                <w:szCs w:val="22"/>
              </w:rPr>
              <w:t>$39,925.60</w:t>
            </w:r>
          </w:p>
        </w:tc>
      </w:tr>
    </w:tbl>
    <w:p w14:paraId="051C67DE" w14:textId="462A9D93" w:rsidR="00B45002" w:rsidRPr="00D74E8E" w:rsidRDefault="00601F1A" w:rsidP="005174EE">
      <w:pPr>
        <w:pStyle w:val="Heading1"/>
        <w:pBdr>
          <w:bottom w:val="none" w:sz="0" w:space="0" w:color="auto"/>
        </w:pBdr>
        <w:spacing w:before="480"/>
        <w:rPr>
          <w:color w:val="auto"/>
        </w:rPr>
      </w:pPr>
      <w:bookmarkStart w:id="16" w:name="_Toc494815290"/>
      <w:r w:rsidRPr="00D74E8E">
        <w:rPr>
          <w:color w:val="auto"/>
        </w:rPr>
        <w:t>A.</w:t>
      </w:r>
      <w:r w:rsidR="005E0A7B">
        <w:rPr>
          <w:color w:val="auto"/>
        </w:rPr>
        <w:t>13.</w:t>
      </w:r>
      <w:r w:rsidR="00AC62CC" w:rsidRPr="00D74E8E">
        <w:rPr>
          <w:color w:val="auto"/>
        </w:rPr>
        <w:t xml:space="preserve"> </w:t>
      </w:r>
      <w:r w:rsidR="00B45002" w:rsidRPr="00D74E8E">
        <w:rPr>
          <w:color w:val="auto"/>
        </w:rPr>
        <w:t>Estimates of Other Total Annual Cost Burden to Respondents and Record Keepers</w:t>
      </w:r>
      <w:bookmarkEnd w:id="16"/>
    </w:p>
    <w:p w14:paraId="3887E2D4" w14:textId="77777777" w:rsidR="00F1279E" w:rsidRPr="00D74E8E" w:rsidRDefault="00F1279E" w:rsidP="00ED72E9">
      <w:pPr>
        <w:autoSpaceDE w:val="0"/>
        <w:autoSpaceDN w:val="0"/>
        <w:adjustRightInd w:val="0"/>
        <w:spacing w:after="0" w:line="240" w:lineRule="auto"/>
        <w:rPr>
          <w:sz w:val="24"/>
          <w:szCs w:val="24"/>
        </w:rPr>
      </w:pPr>
    </w:p>
    <w:p w14:paraId="4B9E5B88" w14:textId="12CB00B9" w:rsidR="004B4DAE" w:rsidRPr="00D74E8E" w:rsidRDefault="004B4DAE" w:rsidP="004B4DAE">
      <w:pPr>
        <w:spacing w:line="276" w:lineRule="auto"/>
        <w:rPr>
          <w:sz w:val="24"/>
          <w:szCs w:val="24"/>
        </w:rPr>
      </w:pPr>
      <w:r w:rsidRPr="00D74E8E">
        <w:rPr>
          <w:sz w:val="24"/>
          <w:szCs w:val="24"/>
          <w:u w:val="single"/>
        </w:rPr>
        <w:t>CBLS</w:t>
      </w:r>
      <w:r w:rsidRPr="00D74E8E">
        <w:rPr>
          <w:sz w:val="24"/>
          <w:szCs w:val="24"/>
        </w:rPr>
        <w:t xml:space="preserve">: The estimate of the total annual cost burden to respondents or record keepers is based on </w:t>
      </w:r>
      <w:r w:rsidR="00B44ACF" w:rsidRPr="00D74E8E">
        <w:rPr>
          <w:sz w:val="24"/>
          <w:szCs w:val="24"/>
        </w:rPr>
        <w:t xml:space="preserve">the </w:t>
      </w:r>
      <w:r w:rsidRPr="00D74E8E">
        <w:rPr>
          <w:sz w:val="24"/>
          <w:szCs w:val="24"/>
        </w:rPr>
        <w:t>optional implementation of the NCEH HHLPSS software</w:t>
      </w:r>
      <w:r w:rsidR="00DB73F4">
        <w:rPr>
          <w:sz w:val="24"/>
          <w:szCs w:val="24"/>
        </w:rPr>
        <w:t xml:space="preserve"> in State or</w:t>
      </w:r>
      <w:r w:rsidR="00E623AE" w:rsidRPr="00D74E8E">
        <w:rPr>
          <w:sz w:val="24"/>
          <w:szCs w:val="24"/>
        </w:rPr>
        <w:t xml:space="preserve"> local programs</w:t>
      </w:r>
      <w:r w:rsidRPr="00D74E8E">
        <w:rPr>
          <w:sz w:val="24"/>
          <w:szCs w:val="24"/>
        </w:rPr>
        <w:t>. The base software is provided at no</w:t>
      </w:r>
      <w:r w:rsidR="007A7C72" w:rsidRPr="00D74E8E">
        <w:rPr>
          <w:sz w:val="24"/>
          <w:szCs w:val="24"/>
        </w:rPr>
        <w:t xml:space="preserve"> cost to programs, and NCEH provides technical support for implementation at no cost</w:t>
      </w:r>
      <w:r w:rsidRPr="00D74E8E">
        <w:rPr>
          <w:sz w:val="24"/>
          <w:szCs w:val="24"/>
        </w:rPr>
        <w:t xml:space="preserve">: </w:t>
      </w:r>
    </w:p>
    <w:p w14:paraId="13077DB5" w14:textId="264D66F6" w:rsidR="004B4DAE" w:rsidRPr="00D74E8E" w:rsidRDefault="00DD12F0" w:rsidP="004B4DAE">
      <w:pPr>
        <w:numPr>
          <w:ilvl w:val="0"/>
          <w:numId w:val="40"/>
        </w:numPr>
        <w:autoSpaceDE w:val="0"/>
        <w:autoSpaceDN w:val="0"/>
        <w:adjustRightInd w:val="0"/>
        <w:spacing w:line="276" w:lineRule="auto"/>
        <w:rPr>
          <w:sz w:val="24"/>
          <w:szCs w:val="24"/>
        </w:rPr>
      </w:pPr>
      <w:r w:rsidRPr="00D74E8E">
        <w:rPr>
          <w:sz w:val="24"/>
          <w:szCs w:val="24"/>
        </w:rPr>
        <w:t>T</w:t>
      </w:r>
      <w:r w:rsidR="004B4DAE" w:rsidRPr="00D74E8E">
        <w:rPr>
          <w:sz w:val="24"/>
          <w:szCs w:val="24"/>
        </w:rPr>
        <w:t>otal capital and start-up cost component – approximately $40,000 for computer hardware an</w:t>
      </w:r>
      <w:r w:rsidR="00DB73F4">
        <w:rPr>
          <w:sz w:val="24"/>
          <w:szCs w:val="24"/>
        </w:rPr>
        <w:t xml:space="preserve">d software.  Many of the state or local </w:t>
      </w:r>
      <w:r w:rsidR="004B4DAE" w:rsidRPr="00D74E8E">
        <w:rPr>
          <w:sz w:val="24"/>
          <w:szCs w:val="24"/>
        </w:rPr>
        <w:t>programs (e.g., health departments) already have existing equipment that can be used.</w:t>
      </w:r>
    </w:p>
    <w:p w14:paraId="333572EA" w14:textId="4056FC17" w:rsidR="008B6490" w:rsidRPr="00D74E8E" w:rsidRDefault="00DD12F0" w:rsidP="00C50B14">
      <w:pPr>
        <w:numPr>
          <w:ilvl w:val="0"/>
          <w:numId w:val="40"/>
        </w:numPr>
        <w:autoSpaceDE w:val="0"/>
        <w:autoSpaceDN w:val="0"/>
        <w:adjustRightInd w:val="0"/>
        <w:spacing w:line="276" w:lineRule="auto"/>
        <w:rPr>
          <w:rFonts w:cs="ITCFranklinGothicStd-Book"/>
          <w:sz w:val="24"/>
          <w:szCs w:val="24"/>
        </w:rPr>
      </w:pPr>
      <w:r w:rsidRPr="00D74E8E">
        <w:rPr>
          <w:sz w:val="24"/>
          <w:szCs w:val="24"/>
        </w:rPr>
        <w:t>T</w:t>
      </w:r>
      <w:r w:rsidR="004B4DAE" w:rsidRPr="00D74E8E">
        <w:rPr>
          <w:sz w:val="24"/>
          <w:szCs w:val="24"/>
        </w:rPr>
        <w:t>otal operation and maintenance and purchase of services – maintenance of HHLPSS is approximately $5,000 per year.  However, many of the state</w:t>
      </w:r>
      <w:r w:rsidR="00DB73F4">
        <w:rPr>
          <w:sz w:val="24"/>
          <w:szCs w:val="24"/>
        </w:rPr>
        <w:t xml:space="preserve"> or local </w:t>
      </w:r>
      <w:r w:rsidR="004B4DAE" w:rsidRPr="00D74E8E">
        <w:rPr>
          <w:sz w:val="24"/>
          <w:szCs w:val="24"/>
        </w:rPr>
        <w:t>programs (e.g., health departments) already have existing computer servicing and software contracts in place and these can be used for HHLPPSS.</w:t>
      </w:r>
    </w:p>
    <w:p w14:paraId="58A3BEB8" w14:textId="2570BAD4" w:rsidR="004B4DAE" w:rsidRPr="00D74E8E" w:rsidRDefault="007A7C72" w:rsidP="004B4DAE">
      <w:pPr>
        <w:autoSpaceDE w:val="0"/>
        <w:autoSpaceDN w:val="0"/>
        <w:adjustRightInd w:val="0"/>
        <w:spacing w:after="0" w:line="240" w:lineRule="auto"/>
        <w:rPr>
          <w:rFonts w:cs="ITCFranklinGothicStd-Book"/>
          <w:sz w:val="24"/>
          <w:szCs w:val="24"/>
          <w:u w:val="single"/>
        </w:rPr>
      </w:pPr>
      <w:r w:rsidRPr="00D74E8E">
        <w:rPr>
          <w:rFonts w:cs="ITCFranklinGothicStd-Book"/>
          <w:sz w:val="24"/>
          <w:szCs w:val="24"/>
          <w:u w:val="single"/>
        </w:rPr>
        <w:t>ABLES</w:t>
      </w:r>
      <w:r w:rsidRPr="00D74E8E">
        <w:rPr>
          <w:rFonts w:cs="ITCFranklinGothicStd-Book"/>
          <w:sz w:val="24"/>
          <w:szCs w:val="24"/>
        </w:rPr>
        <w:t xml:space="preserve">: </w:t>
      </w:r>
      <w:r w:rsidR="002106C4" w:rsidRPr="00D74E8E">
        <w:rPr>
          <w:rFonts w:cs="ITCFranklinGothicStd-Book"/>
          <w:sz w:val="24"/>
          <w:szCs w:val="24"/>
        </w:rPr>
        <w:t xml:space="preserve">There </w:t>
      </w:r>
      <w:r w:rsidR="00604BAB" w:rsidRPr="00D74E8E">
        <w:rPr>
          <w:rFonts w:cs="ITCFranklinGothicStd-Book"/>
          <w:sz w:val="24"/>
          <w:szCs w:val="24"/>
        </w:rPr>
        <w:t>is</w:t>
      </w:r>
      <w:r w:rsidR="002106C4" w:rsidRPr="00D74E8E">
        <w:rPr>
          <w:rFonts w:cs="ITCFranklinGothicStd-Book"/>
          <w:sz w:val="24"/>
          <w:szCs w:val="24"/>
        </w:rPr>
        <w:t xml:space="preserve"> no cost</w:t>
      </w:r>
      <w:r w:rsidR="00604BAB" w:rsidRPr="00D74E8E">
        <w:rPr>
          <w:rFonts w:cs="ITCFranklinGothicStd-Book"/>
          <w:sz w:val="24"/>
          <w:szCs w:val="24"/>
        </w:rPr>
        <w:t xml:space="preserve"> burden to respondents or record keepers for capital and start-up, operation, and maintenance per year</w:t>
      </w:r>
      <w:r w:rsidR="002106C4" w:rsidRPr="00D74E8E">
        <w:rPr>
          <w:rFonts w:cs="ITCFranklinGothicStd-Book"/>
          <w:sz w:val="24"/>
          <w:szCs w:val="24"/>
        </w:rPr>
        <w:t>.</w:t>
      </w:r>
    </w:p>
    <w:p w14:paraId="6539623C" w14:textId="77777777" w:rsidR="00051EC3" w:rsidRPr="00D74E8E" w:rsidRDefault="00051EC3" w:rsidP="00051EC3">
      <w:pPr>
        <w:pStyle w:val="Heading1"/>
        <w:pBdr>
          <w:bottom w:val="none" w:sz="0" w:space="0" w:color="auto"/>
        </w:pBdr>
        <w:spacing w:before="0" w:after="0"/>
        <w:rPr>
          <w:color w:val="auto"/>
        </w:rPr>
      </w:pPr>
    </w:p>
    <w:p w14:paraId="2DC96AD8" w14:textId="7D420D81" w:rsidR="00B45002" w:rsidRPr="00D74E8E" w:rsidRDefault="00601F1A" w:rsidP="00051EC3">
      <w:pPr>
        <w:pStyle w:val="Heading1"/>
        <w:pBdr>
          <w:bottom w:val="none" w:sz="0" w:space="0" w:color="auto"/>
        </w:pBdr>
        <w:spacing w:before="0" w:after="0"/>
        <w:rPr>
          <w:color w:val="auto"/>
        </w:rPr>
      </w:pPr>
      <w:bookmarkStart w:id="17" w:name="_Toc494815291"/>
      <w:r w:rsidRPr="00D74E8E">
        <w:rPr>
          <w:color w:val="auto"/>
        </w:rPr>
        <w:t>A.</w:t>
      </w:r>
      <w:r w:rsidR="00AC62CC" w:rsidRPr="00D74E8E">
        <w:rPr>
          <w:color w:val="auto"/>
        </w:rPr>
        <w:t>14</w:t>
      </w:r>
      <w:r w:rsidR="005E0A7B" w:rsidRPr="00D74E8E">
        <w:rPr>
          <w:color w:val="auto"/>
        </w:rPr>
        <w:t>. Annualized</w:t>
      </w:r>
      <w:r w:rsidR="00B45002" w:rsidRPr="00D74E8E">
        <w:rPr>
          <w:color w:val="auto"/>
        </w:rPr>
        <w:t xml:space="preserve"> Cost to the Federal Government</w:t>
      </w:r>
      <w:bookmarkEnd w:id="17"/>
    </w:p>
    <w:p w14:paraId="3B492077" w14:textId="77777777" w:rsidR="00DA5A96" w:rsidRPr="00D74E8E" w:rsidRDefault="00DA5A96" w:rsidP="00DA5A96"/>
    <w:p w14:paraId="3D92C208" w14:textId="77777777" w:rsidR="0039708E" w:rsidRPr="00D74E8E" w:rsidRDefault="0039708E" w:rsidP="0039708E">
      <w:pPr>
        <w:rPr>
          <w:sz w:val="24"/>
          <w:szCs w:val="24"/>
        </w:rPr>
      </w:pPr>
      <w:r w:rsidRPr="00D74E8E">
        <w:rPr>
          <w:sz w:val="24"/>
          <w:szCs w:val="24"/>
        </w:rPr>
        <w:t>The combined annualized cost to the federal government for both CBLS and for ABLES is $7,780,833. The cost for each program is outlined below.</w:t>
      </w:r>
    </w:p>
    <w:p w14:paraId="422A73F0" w14:textId="77777777" w:rsidR="0039708E" w:rsidRPr="00D74E8E" w:rsidRDefault="0039708E" w:rsidP="0039708E">
      <w:pPr>
        <w:spacing w:before="240"/>
        <w:rPr>
          <w:sz w:val="24"/>
          <w:szCs w:val="24"/>
        </w:rPr>
      </w:pPr>
      <w:r w:rsidRPr="00D74E8E">
        <w:rPr>
          <w:sz w:val="24"/>
          <w:szCs w:val="24"/>
          <w:u w:val="single"/>
        </w:rPr>
        <w:t>CBLS</w:t>
      </w:r>
      <w:r w:rsidRPr="00D74E8E">
        <w:rPr>
          <w:sz w:val="24"/>
          <w:szCs w:val="24"/>
        </w:rPr>
        <w:t>: The annualized estimated cost to the federal government is $7,730,833, and is based on the following:</w:t>
      </w:r>
    </w:p>
    <w:p w14:paraId="71AE9F84" w14:textId="67B82C0C" w:rsidR="0039708E" w:rsidRPr="00D74E8E" w:rsidRDefault="0039708E" w:rsidP="0039708E">
      <w:pPr>
        <w:pStyle w:val="ListParagraph"/>
        <w:numPr>
          <w:ilvl w:val="0"/>
          <w:numId w:val="47"/>
        </w:numPr>
        <w:spacing w:line="276" w:lineRule="auto"/>
        <w:rPr>
          <w:sz w:val="24"/>
          <w:szCs w:val="24"/>
        </w:rPr>
      </w:pPr>
      <w:r w:rsidRPr="00D74E8E">
        <w:rPr>
          <w:sz w:val="24"/>
          <w:szCs w:val="24"/>
        </w:rPr>
        <w:t xml:space="preserve">The annual FY17 cooperative agreement program budget for surveillance activities </w:t>
      </w:r>
      <w:r w:rsidR="00FE1123" w:rsidRPr="00D74E8E">
        <w:rPr>
          <w:sz w:val="24"/>
          <w:szCs w:val="24"/>
        </w:rPr>
        <w:t>is estimated to be $5,833,333.</w:t>
      </w:r>
    </w:p>
    <w:p w14:paraId="1F7EA533" w14:textId="77777777" w:rsidR="00FE1123" w:rsidRPr="00D74E8E" w:rsidRDefault="0039708E" w:rsidP="0039708E">
      <w:pPr>
        <w:pStyle w:val="ListParagraph"/>
        <w:numPr>
          <w:ilvl w:val="1"/>
          <w:numId w:val="47"/>
        </w:numPr>
        <w:spacing w:line="276" w:lineRule="auto"/>
        <w:rPr>
          <w:sz w:val="24"/>
          <w:szCs w:val="24"/>
        </w:rPr>
      </w:pPr>
      <w:r w:rsidRPr="00D74E8E">
        <w:rPr>
          <w:sz w:val="24"/>
          <w:szCs w:val="24"/>
        </w:rPr>
        <w:t>This cooperative agreement cost is based on the three-year FY17 program budget of $35,000,000 (</w:t>
      </w:r>
      <w:r w:rsidRPr="00D74E8E">
        <w:rPr>
          <w:b/>
          <w:sz w:val="24"/>
          <w:szCs w:val="24"/>
        </w:rPr>
        <w:t>Attachment 3a</w:t>
      </w:r>
      <w:r w:rsidRPr="00D74E8E">
        <w:rPr>
          <w:sz w:val="24"/>
          <w:szCs w:val="24"/>
        </w:rPr>
        <w:t xml:space="preserve">). </w:t>
      </w:r>
    </w:p>
    <w:p w14:paraId="4C0F198B" w14:textId="77777777" w:rsidR="00FE1123" w:rsidRPr="00D74E8E" w:rsidRDefault="0039708E" w:rsidP="0039708E">
      <w:pPr>
        <w:pStyle w:val="ListParagraph"/>
        <w:numPr>
          <w:ilvl w:val="1"/>
          <w:numId w:val="47"/>
        </w:numPr>
        <w:spacing w:line="276" w:lineRule="auto"/>
        <w:rPr>
          <w:sz w:val="24"/>
          <w:szCs w:val="24"/>
        </w:rPr>
      </w:pPr>
      <w:r w:rsidRPr="00D74E8E">
        <w:rPr>
          <w:sz w:val="24"/>
          <w:szCs w:val="24"/>
        </w:rPr>
        <w:t xml:space="preserve">One-half of the program budget is estimated to support program management and one half of the program budget is estimated to support surveillance activities, or $17,500,000 per program area for three years. </w:t>
      </w:r>
    </w:p>
    <w:p w14:paraId="532A8948" w14:textId="0F89E06C" w:rsidR="0039708E" w:rsidRPr="00D74E8E" w:rsidRDefault="0039708E" w:rsidP="0039708E">
      <w:pPr>
        <w:pStyle w:val="ListParagraph"/>
        <w:numPr>
          <w:ilvl w:val="1"/>
          <w:numId w:val="47"/>
        </w:numPr>
        <w:spacing w:line="276" w:lineRule="auto"/>
        <w:rPr>
          <w:sz w:val="24"/>
          <w:szCs w:val="24"/>
        </w:rPr>
      </w:pPr>
      <w:r w:rsidRPr="00D74E8E">
        <w:rPr>
          <w:sz w:val="24"/>
          <w:szCs w:val="24"/>
        </w:rPr>
        <w:t xml:space="preserve">Therefore, </w:t>
      </w:r>
      <w:r w:rsidR="00941AAD" w:rsidRPr="00D74E8E">
        <w:rPr>
          <w:sz w:val="24"/>
          <w:szCs w:val="24"/>
        </w:rPr>
        <w:t xml:space="preserve">the cost of </w:t>
      </w:r>
      <w:r w:rsidRPr="00D74E8E">
        <w:rPr>
          <w:sz w:val="24"/>
          <w:szCs w:val="24"/>
        </w:rPr>
        <w:t xml:space="preserve">surveillance activities is estimated to be $5,833,333 per year. </w:t>
      </w:r>
    </w:p>
    <w:p w14:paraId="21E17297" w14:textId="387B62AE" w:rsidR="0039708E" w:rsidRPr="00D74E8E" w:rsidRDefault="0039708E" w:rsidP="0039708E">
      <w:pPr>
        <w:pStyle w:val="ListParagraph"/>
        <w:numPr>
          <w:ilvl w:val="0"/>
          <w:numId w:val="47"/>
        </w:numPr>
        <w:spacing w:line="276" w:lineRule="auto"/>
        <w:rPr>
          <w:sz w:val="24"/>
          <w:szCs w:val="24"/>
        </w:rPr>
      </w:pPr>
      <w:r w:rsidRPr="00D74E8E">
        <w:rPr>
          <w:sz w:val="24"/>
          <w:szCs w:val="24"/>
        </w:rPr>
        <w:t xml:space="preserve">The annual </w:t>
      </w:r>
      <w:r w:rsidR="002808A8" w:rsidRPr="00D74E8E">
        <w:rPr>
          <w:sz w:val="24"/>
          <w:szCs w:val="24"/>
        </w:rPr>
        <w:t xml:space="preserve">federal </w:t>
      </w:r>
      <w:r w:rsidRPr="00D74E8E">
        <w:rPr>
          <w:sz w:val="24"/>
          <w:szCs w:val="24"/>
        </w:rPr>
        <w:t xml:space="preserve">personnel salary cost for surveillance activities is $510,000. </w:t>
      </w:r>
    </w:p>
    <w:p w14:paraId="28180248" w14:textId="77777777" w:rsidR="00AD6C43" w:rsidRPr="00D74E8E" w:rsidRDefault="0039708E" w:rsidP="0039708E">
      <w:pPr>
        <w:pStyle w:val="ListParagraph"/>
        <w:numPr>
          <w:ilvl w:val="1"/>
          <w:numId w:val="47"/>
        </w:numPr>
        <w:spacing w:line="276" w:lineRule="auto"/>
        <w:rPr>
          <w:sz w:val="24"/>
          <w:szCs w:val="24"/>
        </w:rPr>
      </w:pPr>
      <w:r w:rsidRPr="00D74E8E">
        <w:rPr>
          <w:sz w:val="24"/>
          <w:szCs w:val="24"/>
        </w:rPr>
        <w:t>This salary estimate is based on a total annual cost of $1,275,000, based on the following positions: Program Chief, Deputy Program Chief, 6 Project Officers, 1 IT Specialist, 2 Epidemiologists, 1 Communications Specialist.</w:t>
      </w:r>
      <w:r w:rsidRPr="00D74E8E">
        <w:rPr>
          <w:rStyle w:val="FootnoteReference"/>
          <w:sz w:val="24"/>
          <w:szCs w:val="24"/>
        </w:rPr>
        <w:footnoteReference w:id="20"/>
      </w:r>
      <w:r w:rsidRPr="00D74E8E">
        <w:rPr>
          <w:sz w:val="24"/>
          <w:szCs w:val="24"/>
        </w:rPr>
        <w:t xml:space="preserve"> </w:t>
      </w:r>
    </w:p>
    <w:p w14:paraId="60F5BFC1" w14:textId="478A6E6C" w:rsidR="0039708E" w:rsidRPr="00D74E8E" w:rsidRDefault="0039708E" w:rsidP="0039708E">
      <w:pPr>
        <w:pStyle w:val="ListParagraph"/>
        <w:numPr>
          <w:ilvl w:val="1"/>
          <w:numId w:val="47"/>
        </w:numPr>
        <w:spacing w:line="276" w:lineRule="auto"/>
        <w:rPr>
          <w:sz w:val="24"/>
          <w:szCs w:val="24"/>
        </w:rPr>
      </w:pPr>
      <w:r w:rsidRPr="00D74E8E">
        <w:rPr>
          <w:sz w:val="24"/>
          <w:szCs w:val="24"/>
        </w:rPr>
        <w:t>Overall, 60 percent of NCEH personnel time is dedicated to program management ($</w:t>
      </w:r>
      <w:r w:rsidR="002808A8" w:rsidRPr="00D74E8E">
        <w:rPr>
          <w:sz w:val="24"/>
          <w:szCs w:val="24"/>
        </w:rPr>
        <w:t>765,000) and 40 percent of NCEH p</w:t>
      </w:r>
      <w:r w:rsidR="001C2706" w:rsidRPr="00D74E8E">
        <w:rPr>
          <w:sz w:val="24"/>
          <w:szCs w:val="24"/>
        </w:rPr>
        <w:t>e</w:t>
      </w:r>
      <w:r w:rsidR="002808A8" w:rsidRPr="00D74E8E">
        <w:rPr>
          <w:sz w:val="24"/>
          <w:szCs w:val="24"/>
        </w:rPr>
        <w:t>rsonnel</w:t>
      </w:r>
      <w:r w:rsidRPr="00D74E8E">
        <w:rPr>
          <w:sz w:val="24"/>
          <w:szCs w:val="24"/>
        </w:rPr>
        <w:t xml:space="preserve"> time is dedicated to surveillance activities ($510,000). </w:t>
      </w:r>
    </w:p>
    <w:p w14:paraId="4ECA3218" w14:textId="7E3451B4" w:rsidR="0039708E" w:rsidRPr="00D74E8E" w:rsidRDefault="0039708E" w:rsidP="0039708E">
      <w:pPr>
        <w:pStyle w:val="ListParagraph"/>
        <w:numPr>
          <w:ilvl w:val="0"/>
          <w:numId w:val="47"/>
        </w:numPr>
        <w:spacing w:line="276" w:lineRule="auto"/>
        <w:rPr>
          <w:sz w:val="24"/>
          <w:szCs w:val="24"/>
        </w:rPr>
      </w:pPr>
      <w:r w:rsidRPr="00D74E8E">
        <w:rPr>
          <w:sz w:val="24"/>
          <w:szCs w:val="24"/>
        </w:rPr>
        <w:t xml:space="preserve">Annual travel cost is $50,000 based on Project Officer site visits for </w:t>
      </w:r>
      <w:r w:rsidR="00EE7DC5" w:rsidRPr="00D74E8E">
        <w:rPr>
          <w:sz w:val="24"/>
          <w:szCs w:val="24"/>
        </w:rPr>
        <w:t>48</w:t>
      </w:r>
      <w:r w:rsidRPr="00D74E8E">
        <w:rPr>
          <w:sz w:val="24"/>
          <w:szCs w:val="24"/>
        </w:rPr>
        <w:t xml:space="preserve"> awardees, training, and meeting attendance.</w:t>
      </w:r>
    </w:p>
    <w:p w14:paraId="3DF09A89" w14:textId="77777777" w:rsidR="0039708E" w:rsidRPr="00D74E8E" w:rsidRDefault="0039708E" w:rsidP="0039708E">
      <w:pPr>
        <w:pStyle w:val="ListParagraph"/>
        <w:numPr>
          <w:ilvl w:val="0"/>
          <w:numId w:val="47"/>
        </w:numPr>
        <w:spacing w:line="276" w:lineRule="auto"/>
        <w:rPr>
          <w:sz w:val="24"/>
          <w:szCs w:val="24"/>
        </w:rPr>
      </w:pPr>
      <w:r w:rsidRPr="00D74E8E">
        <w:rPr>
          <w:sz w:val="24"/>
          <w:szCs w:val="24"/>
        </w:rPr>
        <w:t>Annual contract cost is $1,337,500, based on the following: IT Support, Data Management, Health Communication, and Training Contracts.</w:t>
      </w:r>
    </w:p>
    <w:p w14:paraId="44B39610" w14:textId="77777777" w:rsidR="004B4DAE" w:rsidRPr="00D74E8E" w:rsidRDefault="004B4DAE" w:rsidP="00FE082B">
      <w:pPr>
        <w:pStyle w:val="ListParagraph"/>
        <w:spacing w:after="0" w:line="276" w:lineRule="auto"/>
        <w:ind w:left="1440"/>
        <w:contextualSpacing w:val="0"/>
        <w:rPr>
          <w:rFonts w:cs="ITCFranklinGothicStd-Book"/>
          <w:sz w:val="24"/>
          <w:szCs w:val="24"/>
        </w:rPr>
      </w:pPr>
    </w:p>
    <w:p w14:paraId="56DC9D81" w14:textId="13BDF9B6" w:rsidR="003F3F66" w:rsidRPr="00D74E8E" w:rsidRDefault="00CC0505" w:rsidP="007A7C72">
      <w:pPr>
        <w:autoSpaceDE w:val="0"/>
        <w:autoSpaceDN w:val="0"/>
        <w:adjustRightInd w:val="0"/>
        <w:spacing w:line="276" w:lineRule="auto"/>
        <w:rPr>
          <w:sz w:val="24"/>
          <w:szCs w:val="24"/>
        </w:rPr>
      </w:pPr>
      <w:r w:rsidRPr="00D74E8E">
        <w:rPr>
          <w:rFonts w:cs="ITCFranklinGothicStd-Book"/>
          <w:sz w:val="24"/>
          <w:szCs w:val="24"/>
          <w:u w:val="single"/>
        </w:rPr>
        <w:t>ABLES</w:t>
      </w:r>
      <w:r w:rsidRPr="00D74E8E">
        <w:rPr>
          <w:rFonts w:cs="ITCFranklinGothicStd-Book"/>
          <w:sz w:val="24"/>
          <w:szCs w:val="24"/>
        </w:rPr>
        <w:t>:</w:t>
      </w:r>
      <w:r w:rsidR="007A7C72" w:rsidRPr="00D74E8E">
        <w:rPr>
          <w:rFonts w:cs="ITCFranklinGothicStd-Book"/>
          <w:sz w:val="24"/>
          <w:szCs w:val="24"/>
        </w:rPr>
        <w:t xml:space="preserve"> </w:t>
      </w:r>
      <w:r w:rsidR="003F3F66" w:rsidRPr="00D74E8E">
        <w:rPr>
          <w:sz w:val="24"/>
          <w:szCs w:val="24"/>
        </w:rPr>
        <w:t>The annualized estimated cost to the federal government is $50,000, and is based on the following:</w:t>
      </w:r>
    </w:p>
    <w:p w14:paraId="127D7229" w14:textId="5344492B" w:rsidR="009B1440" w:rsidRPr="00D74E8E" w:rsidRDefault="00CC0505" w:rsidP="00CE590C">
      <w:pPr>
        <w:autoSpaceDE w:val="0"/>
        <w:autoSpaceDN w:val="0"/>
        <w:adjustRightInd w:val="0"/>
        <w:spacing w:line="276" w:lineRule="auto"/>
        <w:rPr>
          <w:rFonts w:cs="Times New Roman"/>
          <w:sz w:val="24"/>
          <w:szCs w:val="24"/>
        </w:rPr>
      </w:pPr>
      <w:r w:rsidRPr="00D74E8E">
        <w:rPr>
          <w:rFonts w:cs="Times New Roman"/>
          <w:sz w:val="24"/>
          <w:szCs w:val="24"/>
        </w:rPr>
        <w:t xml:space="preserve">NIOSH staff working in the ABLES </w:t>
      </w:r>
      <w:r w:rsidR="00D844E5">
        <w:rPr>
          <w:rFonts w:cs="Times New Roman"/>
          <w:sz w:val="24"/>
          <w:szCs w:val="24"/>
        </w:rPr>
        <w:t>Program</w:t>
      </w:r>
      <w:r w:rsidRPr="00D74E8E">
        <w:rPr>
          <w:rFonts w:cs="Times New Roman"/>
          <w:sz w:val="24"/>
          <w:szCs w:val="24"/>
        </w:rPr>
        <w:t xml:space="preserve"> includes four part-time subject matter experts that total 0.5 FTE. Their duties are management and oversight of the multi-state surveillance system (ABLES), including data management, data analysis, publication of findings, responding to public requests and providing technical assistance to state ABLES </w:t>
      </w:r>
      <w:r w:rsidR="00D844E5">
        <w:rPr>
          <w:rFonts w:cs="Times New Roman"/>
          <w:sz w:val="24"/>
          <w:szCs w:val="24"/>
        </w:rPr>
        <w:t>Program</w:t>
      </w:r>
      <w:r w:rsidRPr="00D74E8E">
        <w:rPr>
          <w:rFonts w:cs="Times New Roman"/>
          <w:sz w:val="24"/>
          <w:szCs w:val="24"/>
        </w:rPr>
        <w:t>s. These employees spend approximately 1,044 hours per year working on the surveillance program.  Using an estimated salary of $45 per hour, personnel costs will total $47,000 annually.  One ABLES staff person also attends the annual national CSTE conference, and makes occasional trips to attend other meetings with ABLES stakeholders.</w:t>
      </w:r>
      <w:r w:rsidR="002106C4" w:rsidRPr="00D74E8E">
        <w:rPr>
          <w:rFonts w:cs="Times New Roman"/>
          <w:sz w:val="24"/>
          <w:szCs w:val="24"/>
        </w:rPr>
        <w:t xml:space="preserve"> States are providing data to the ABLES </w:t>
      </w:r>
      <w:r w:rsidR="00FA2EB9" w:rsidRPr="00D74E8E">
        <w:rPr>
          <w:rFonts w:cs="Times New Roman"/>
          <w:sz w:val="24"/>
          <w:szCs w:val="24"/>
        </w:rPr>
        <w:t>P</w:t>
      </w:r>
      <w:r w:rsidR="002106C4" w:rsidRPr="00D74E8E">
        <w:rPr>
          <w:rFonts w:cs="Times New Roman"/>
          <w:sz w:val="24"/>
          <w:szCs w:val="24"/>
        </w:rPr>
        <w:t xml:space="preserve">rogram on a voluntary basis and no direct funding was provided </w:t>
      </w:r>
      <w:r w:rsidR="00FA2EB9" w:rsidRPr="00D74E8E">
        <w:rPr>
          <w:rFonts w:cs="Times New Roman"/>
          <w:sz w:val="24"/>
          <w:szCs w:val="24"/>
        </w:rPr>
        <w:t xml:space="preserve">by NIOSH </w:t>
      </w:r>
      <w:r w:rsidR="002106C4" w:rsidRPr="00D74E8E">
        <w:rPr>
          <w:rFonts w:cs="Times New Roman"/>
          <w:sz w:val="24"/>
          <w:szCs w:val="24"/>
        </w:rPr>
        <w:t xml:space="preserve">to </w:t>
      </w:r>
      <w:r w:rsidR="00971DD1" w:rsidRPr="00D74E8E">
        <w:rPr>
          <w:rFonts w:cs="Times New Roman"/>
          <w:sz w:val="24"/>
          <w:szCs w:val="24"/>
        </w:rPr>
        <w:t>s</w:t>
      </w:r>
      <w:r w:rsidR="002106C4" w:rsidRPr="00D74E8E">
        <w:rPr>
          <w:rFonts w:cs="Times New Roman"/>
          <w:sz w:val="24"/>
          <w:szCs w:val="24"/>
        </w:rPr>
        <w:t xml:space="preserve">tates in support of the ABLES </w:t>
      </w:r>
      <w:r w:rsidR="00FA2EB9" w:rsidRPr="00D74E8E">
        <w:rPr>
          <w:rFonts w:cs="Times New Roman"/>
          <w:sz w:val="24"/>
          <w:szCs w:val="24"/>
        </w:rPr>
        <w:t>P</w:t>
      </w:r>
      <w:r w:rsidR="002106C4" w:rsidRPr="00D74E8E">
        <w:rPr>
          <w:rFonts w:cs="Times New Roman"/>
          <w:sz w:val="24"/>
          <w:szCs w:val="24"/>
        </w:rPr>
        <w:t>rogram.</w:t>
      </w:r>
    </w:p>
    <w:tbl>
      <w:tblPr>
        <w:tblStyle w:val="TableGrid"/>
        <w:tblW w:w="0" w:type="auto"/>
        <w:tblInd w:w="445" w:type="dxa"/>
        <w:tblLook w:val="04A0" w:firstRow="1" w:lastRow="0" w:firstColumn="1" w:lastColumn="0" w:noHBand="0" w:noVBand="1"/>
      </w:tblPr>
      <w:tblGrid>
        <w:gridCol w:w="6660"/>
        <w:gridCol w:w="1720"/>
      </w:tblGrid>
      <w:tr w:rsidR="00D74E8E" w:rsidRPr="00D74E8E" w14:paraId="5A5C6A4D" w14:textId="77777777" w:rsidTr="009B1440">
        <w:tc>
          <w:tcPr>
            <w:tcW w:w="6660" w:type="dxa"/>
          </w:tcPr>
          <w:p w14:paraId="714E15FF" w14:textId="1FC216FA" w:rsidR="009B1440" w:rsidRPr="00D74E8E" w:rsidRDefault="009B1440" w:rsidP="007A7C72">
            <w:pPr>
              <w:autoSpaceDE w:val="0"/>
              <w:autoSpaceDN w:val="0"/>
              <w:adjustRightInd w:val="0"/>
              <w:spacing w:line="276" w:lineRule="auto"/>
              <w:rPr>
                <w:rFonts w:cs="ITCFranklinGothicStd-Book"/>
              </w:rPr>
            </w:pPr>
            <w:r w:rsidRPr="00D74E8E">
              <w:rPr>
                <w:rFonts w:cs="ITCFranklinGothicStd-Book"/>
              </w:rPr>
              <w:t>Salaries</w:t>
            </w:r>
          </w:p>
        </w:tc>
        <w:tc>
          <w:tcPr>
            <w:tcW w:w="1720" w:type="dxa"/>
            <w:vAlign w:val="center"/>
          </w:tcPr>
          <w:p w14:paraId="5BAEC22F" w14:textId="73F84836" w:rsidR="009B1440" w:rsidRPr="00D74E8E" w:rsidRDefault="009B1440" w:rsidP="009B1440">
            <w:pPr>
              <w:autoSpaceDE w:val="0"/>
              <w:autoSpaceDN w:val="0"/>
              <w:adjustRightInd w:val="0"/>
              <w:spacing w:line="276" w:lineRule="auto"/>
              <w:jc w:val="right"/>
              <w:rPr>
                <w:rFonts w:cs="ITCFranklinGothicStd-Book"/>
              </w:rPr>
            </w:pPr>
            <w:r w:rsidRPr="00D74E8E">
              <w:rPr>
                <w:rFonts w:cs="ITCFranklinGothicStd-Book"/>
              </w:rPr>
              <w:t>$47,000.00</w:t>
            </w:r>
          </w:p>
        </w:tc>
      </w:tr>
      <w:tr w:rsidR="00D74E8E" w:rsidRPr="00D74E8E" w14:paraId="6C4F84FD" w14:textId="77777777" w:rsidTr="009B1440">
        <w:tc>
          <w:tcPr>
            <w:tcW w:w="6660" w:type="dxa"/>
          </w:tcPr>
          <w:p w14:paraId="2666F506" w14:textId="21846983" w:rsidR="009B1440" w:rsidRPr="00D74E8E" w:rsidRDefault="009B1440" w:rsidP="007A7C72">
            <w:pPr>
              <w:autoSpaceDE w:val="0"/>
              <w:autoSpaceDN w:val="0"/>
              <w:adjustRightInd w:val="0"/>
              <w:spacing w:line="276" w:lineRule="auto"/>
              <w:rPr>
                <w:rFonts w:cs="ITCFranklinGothicStd-Book"/>
              </w:rPr>
            </w:pPr>
            <w:r w:rsidRPr="00D74E8E">
              <w:rPr>
                <w:rFonts w:cs="Times New Roman"/>
              </w:rPr>
              <w:t>Travel (Budget Estimate)</w:t>
            </w:r>
          </w:p>
        </w:tc>
        <w:tc>
          <w:tcPr>
            <w:tcW w:w="1720" w:type="dxa"/>
            <w:vAlign w:val="center"/>
          </w:tcPr>
          <w:p w14:paraId="56D2B3FB" w14:textId="16F74631" w:rsidR="009B1440" w:rsidRPr="00D74E8E" w:rsidRDefault="009B1440" w:rsidP="009B1440">
            <w:pPr>
              <w:autoSpaceDE w:val="0"/>
              <w:autoSpaceDN w:val="0"/>
              <w:adjustRightInd w:val="0"/>
              <w:spacing w:line="276" w:lineRule="auto"/>
              <w:jc w:val="right"/>
              <w:rPr>
                <w:rFonts w:cs="ITCFranklinGothicStd-Book"/>
              </w:rPr>
            </w:pPr>
            <w:r w:rsidRPr="00D74E8E">
              <w:rPr>
                <w:rFonts w:cs="ITCFranklinGothicStd-Book"/>
              </w:rPr>
              <w:t>$3,000.00</w:t>
            </w:r>
          </w:p>
        </w:tc>
      </w:tr>
      <w:tr w:rsidR="00D74E8E" w:rsidRPr="00D74E8E" w14:paraId="67DD6471" w14:textId="77777777" w:rsidTr="009B1440">
        <w:tc>
          <w:tcPr>
            <w:tcW w:w="6660" w:type="dxa"/>
          </w:tcPr>
          <w:p w14:paraId="41ADD1D3" w14:textId="3243240D" w:rsidR="009B1440" w:rsidRPr="00D74E8E" w:rsidRDefault="009B1440" w:rsidP="007A7C72">
            <w:pPr>
              <w:autoSpaceDE w:val="0"/>
              <w:autoSpaceDN w:val="0"/>
              <w:adjustRightInd w:val="0"/>
              <w:spacing w:line="276" w:lineRule="auto"/>
              <w:rPr>
                <w:rFonts w:cs="ITCFranklinGothicStd-Book"/>
              </w:rPr>
            </w:pPr>
            <w:r w:rsidRPr="00D74E8E">
              <w:rPr>
                <w:rFonts w:cs="Times New Roman"/>
                <w:bCs/>
              </w:rPr>
              <w:t>Total Cost</w:t>
            </w:r>
          </w:p>
        </w:tc>
        <w:tc>
          <w:tcPr>
            <w:tcW w:w="1720" w:type="dxa"/>
            <w:vAlign w:val="center"/>
          </w:tcPr>
          <w:p w14:paraId="4457657E" w14:textId="274C81F8" w:rsidR="009B1440" w:rsidRPr="00D74E8E" w:rsidRDefault="009B1440" w:rsidP="009B1440">
            <w:pPr>
              <w:autoSpaceDE w:val="0"/>
              <w:autoSpaceDN w:val="0"/>
              <w:adjustRightInd w:val="0"/>
              <w:spacing w:line="276" w:lineRule="auto"/>
              <w:jc w:val="right"/>
              <w:rPr>
                <w:rFonts w:cs="ITCFranklinGothicStd-Book"/>
              </w:rPr>
            </w:pPr>
            <w:r w:rsidRPr="00D74E8E">
              <w:rPr>
                <w:rFonts w:cs="ITCFranklinGothicStd-Book"/>
              </w:rPr>
              <w:t>$50,000.00</w:t>
            </w:r>
          </w:p>
        </w:tc>
      </w:tr>
    </w:tbl>
    <w:p w14:paraId="2314A6FA" w14:textId="0AA63F14" w:rsidR="00B45002" w:rsidRPr="00D74E8E" w:rsidRDefault="00601F1A" w:rsidP="002524F0">
      <w:pPr>
        <w:pStyle w:val="Heading1"/>
        <w:pBdr>
          <w:bottom w:val="none" w:sz="0" w:space="0" w:color="auto"/>
        </w:pBdr>
        <w:spacing w:before="480"/>
        <w:rPr>
          <w:rFonts w:cs="ITCFranklinGothicStd-Demi"/>
          <w:color w:val="auto"/>
          <w:sz w:val="24"/>
          <w:szCs w:val="24"/>
        </w:rPr>
      </w:pPr>
      <w:bookmarkStart w:id="18" w:name="_Toc494815292"/>
      <w:r w:rsidRPr="00D74E8E">
        <w:rPr>
          <w:color w:val="auto"/>
        </w:rPr>
        <w:t>A.</w:t>
      </w:r>
      <w:r w:rsidR="00AC62CC" w:rsidRPr="00D74E8E">
        <w:rPr>
          <w:color w:val="auto"/>
        </w:rPr>
        <w:t xml:space="preserve">15.  </w:t>
      </w:r>
      <w:r w:rsidR="00B45002" w:rsidRPr="00D74E8E">
        <w:rPr>
          <w:color w:val="auto"/>
        </w:rPr>
        <w:t>Explanation for Program Changes or Adjustments</w:t>
      </w:r>
      <w:bookmarkEnd w:id="18"/>
    </w:p>
    <w:p w14:paraId="1E5BA455" w14:textId="77777777" w:rsidR="007F6CB2" w:rsidRPr="00D74E8E" w:rsidRDefault="007F6CB2" w:rsidP="007F6CB2">
      <w:pPr>
        <w:spacing w:line="240" w:lineRule="auto"/>
        <w:rPr>
          <w:sz w:val="24"/>
          <w:szCs w:val="24"/>
        </w:rPr>
      </w:pPr>
    </w:p>
    <w:p w14:paraId="42C1053D" w14:textId="57E2DF8E" w:rsidR="00924E6A" w:rsidRPr="00D74E8E" w:rsidRDefault="00E16A33" w:rsidP="000E123C">
      <w:pPr>
        <w:spacing w:line="276" w:lineRule="auto"/>
        <w:rPr>
          <w:rFonts w:eastAsiaTheme="minorHAnsi" w:cs="Courier New"/>
          <w:sz w:val="24"/>
          <w:szCs w:val="24"/>
        </w:rPr>
      </w:pPr>
      <w:r w:rsidRPr="00D74E8E">
        <w:rPr>
          <w:rFonts w:eastAsiaTheme="minorHAnsi" w:cs="Courier New"/>
          <w:sz w:val="24"/>
          <w:szCs w:val="24"/>
        </w:rPr>
        <w:t xml:space="preserve">Although this is a new ICR, </w:t>
      </w:r>
      <w:r w:rsidR="00924E6A" w:rsidRPr="00D74E8E">
        <w:rPr>
          <w:rFonts w:eastAsiaTheme="minorHAnsi" w:cs="Courier New"/>
          <w:sz w:val="24"/>
          <w:szCs w:val="24"/>
        </w:rPr>
        <w:t xml:space="preserve">NCEH is requesting approval for the following </w:t>
      </w:r>
      <w:r w:rsidR="00565296" w:rsidRPr="00D74E8E">
        <w:rPr>
          <w:rFonts w:eastAsiaTheme="minorHAnsi" w:cs="Courier New"/>
          <w:sz w:val="24"/>
          <w:szCs w:val="24"/>
        </w:rPr>
        <w:t xml:space="preserve">differences </w:t>
      </w:r>
      <w:r w:rsidR="00260C4F" w:rsidRPr="00D74E8E">
        <w:rPr>
          <w:rFonts w:eastAsiaTheme="minorHAnsi" w:cs="Courier New"/>
          <w:sz w:val="24"/>
          <w:szCs w:val="24"/>
        </w:rPr>
        <w:t xml:space="preserve">because of the overlap </w:t>
      </w:r>
      <w:r w:rsidR="00565296" w:rsidRPr="00D74E8E">
        <w:rPr>
          <w:rFonts w:eastAsiaTheme="minorHAnsi" w:cs="Courier New"/>
          <w:sz w:val="24"/>
          <w:szCs w:val="24"/>
        </w:rPr>
        <w:t xml:space="preserve">between </w:t>
      </w:r>
      <w:r w:rsidRPr="00D74E8E">
        <w:rPr>
          <w:rFonts w:eastAsiaTheme="minorHAnsi" w:cs="Courier New"/>
          <w:sz w:val="24"/>
          <w:szCs w:val="24"/>
        </w:rPr>
        <w:t xml:space="preserve">concurrent </w:t>
      </w:r>
      <w:r w:rsidR="00070720" w:rsidRPr="00D74E8E">
        <w:rPr>
          <w:rFonts w:eastAsiaTheme="minorHAnsi" w:cs="Courier New"/>
          <w:sz w:val="24"/>
          <w:szCs w:val="24"/>
        </w:rPr>
        <w:t xml:space="preserve">Year 4 </w:t>
      </w:r>
      <w:r w:rsidR="008B686F" w:rsidRPr="00D74E8E">
        <w:rPr>
          <w:rFonts w:eastAsiaTheme="minorHAnsi" w:cs="Courier New"/>
          <w:sz w:val="24"/>
          <w:szCs w:val="24"/>
        </w:rPr>
        <w:t>FY</w:t>
      </w:r>
      <w:r w:rsidR="00565296" w:rsidRPr="00D74E8E">
        <w:rPr>
          <w:rFonts w:eastAsiaTheme="minorHAnsi" w:cs="Courier New"/>
          <w:sz w:val="24"/>
          <w:szCs w:val="24"/>
        </w:rPr>
        <w:t xml:space="preserve">14 and </w:t>
      </w:r>
      <w:r w:rsidR="00070720" w:rsidRPr="00D74E8E">
        <w:rPr>
          <w:rFonts w:eastAsiaTheme="minorHAnsi" w:cs="Courier New"/>
          <w:sz w:val="24"/>
          <w:szCs w:val="24"/>
        </w:rPr>
        <w:t xml:space="preserve">the new </w:t>
      </w:r>
      <w:r w:rsidR="008B686F" w:rsidRPr="00D74E8E">
        <w:rPr>
          <w:rFonts w:eastAsiaTheme="minorHAnsi" w:cs="Courier New"/>
          <w:sz w:val="24"/>
          <w:szCs w:val="24"/>
        </w:rPr>
        <w:t>FY</w:t>
      </w:r>
      <w:r w:rsidR="00565296" w:rsidRPr="00D74E8E">
        <w:rPr>
          <w:rFonts w:eastAsiaTheme="minorHAnsi" w:cs="Courier New"/>
          <w:sz w:val="24"/>
          <w:szCs w:val="24"/>
        </w:rPr>
        <w:t>17</w:t>
      </w:r>
      <w:r w:rsidR="00FC37A3" w:rsidRPr="00D74E8E">
        <w:rPr>
          <w:rFonts w:eastAsiaTheme="minorHAnsi" w:cs="Courier New"/>
          <w:sz w:val="24"/>
          <w:szCs w:val="24"/>
        </w:rPr>
        <w:t xml:space="preserve"> program</w:t>
      </w:r>
      <w:r w:rsidR="000B3FFD" w:rsidRPr="00D74E8E">
        <w:rPr>
          <w:rFonts w:eastAsiaTheme="minorHAnsi" w:cs="Courier New"/>
          <w:sz w:val="24"/>
          <w:szCs w:val="24"/>
        </w:rPr>
        <w:t xml:space="preserve"> collection</w:t>
      </w:r>
      <w:r w:rsidR="00FC37A3" w:rsidRPr="00D74E8E">
        <w:rPr>
          <w:rFonts w:eastAsiaTheme="minorHAnsi" w:cs="Courier New"/>
          <w:sz w:val="24"/>
          <w:szCs w:val="24"/>
        </w:rPr>
        <w:t>s (</w:t>
      </w:r>
      <w:r w:rsidR="00FC37A3" w:rsidRPr="00D74E8E">
        <w:rPr>
          <w:rFonts w:eastAsiaTheme="minorHAnsi" w:cs="Courier New"/>
          <w:b/>
          <w:sz w:val="24"/>
          <w:szCs w:val="24"/>
        </w:rPr>
        <w:t>Attachment 3a &amp; 3b</w:t>
      </w:r>
      <w:r w:rsidR="00FC37A3" w:rsidRPr="00D74E8E">
        <w:rPr>
          <w:rFonts w:eastAsiaTheme="minorHAnsi" w:cs="Courier New"/>
          <w:sz w:val="24"/>
          <w:szCs w:val="24"/>
        </w:rPr>
        <w:t>)</w:t>
      </w:r>
      <w:r w:rsidR="00693C90" w:rsidRPr="00D74E8E">
        <w:rPr>
          <w:rFonts w:eastAsiaTheme="minorHAnsi" w:cs="Courier New"/>
          <w:sz w:val="24"/>
          <w:szCs w:val="24"/>
        </w:rPr>
        <w:t>. The 4-year FY14 program will</w:t>
      </w:r>
      <w:r w:rsidR="00392467" w:rsidRPr="00D74E8E">
        <w:rPr>
          <w:rFonts w:eastAsiaTheme="minorHAnsi" w:cs="Courier New"/>
          <w:sz w:val="24"/>
          <w:szCs w:val="24"/>
        </w:rPr>
        <w:t xml:space="preserve"> end at the end of</w:t>
      </w:r>
      <w:r w:rsidR="00693C90" w:rsidRPr="00D74E8E">
        <w:rPr>
          <w:rFonts w:eastAsiaTheme="minorHAnsi" w:cs="Courier New"/>
          <w:sz w:val="24"/>
          <w:szCs w:val="24"/>
        </w:rPr>
        <w:t xml:space="preserve"> Year 1 of the FY17 program</w:t>
      </w:r>
      <w:r w:rsidR="00924E6A" w:rsidRPr="00D74E8E">
        <w:rPr>
          <w:rFonts w:eastAsiaTheme="minorHAnsi" w:cs="Courier New"/>
          <w:sz w:val="24"/>
          <w:szCs w:val="24"/>
        </w:rPr>
        <w:t xml:space="preserve">: </w:t>
      </w:r>
    </w:p>
    <w:p w14:paraId="01F2CC9B" w14:textId="30A21168" w:rsidR="00924E6A" w:rsidRPr="00D74E8E" w:rsidRDefault="00924E6A" w:rsidP="00864E6C">
      <w:pPr>
        <w:pStyle w:val="ListParagraph"/>
        <w:numPr>
          <w:ilvl w:val="0"/>
          <w:numId w:val="5"/>
        </w:numPr>
        <w:spacing w:line="276" w:lineRule="auto"/>
        <w:contextualSpacing w:val="0"/>
        <w:rPr>
          <w:rFonts w:eastAsiaTheme="minorHAnsi" w:cs="Courier New"/>
          <w:sz w:val="24"/>
          <w:szCs w:val="24"/>
        </w:rPr>
      </w:pPr>
      <w:r w:rsidRPr="00D74E8E">
        <w:rPr>
          <w:rFonts w:eastAsiaTheme="minorHAnsi" w:cs="Courier New"/>
          <w:sz w:val="24"/>
          <w:szCs w:val="24"/>
        </w:rPr>
        <w:t xml:space="preserve">Clarification of data delivery processes from </w:t>
      </w:r>
      <w:r w:rsidR="006A00B5" w:rsidRPr="00D74E8E">
        <w:rPr>
          <w:rFonts w:eastAsiaTheme="minorHAnsi" w:cs="Courier New"/>
          <w:sz w:val="24"/>
          <w:szCs w:val="24"/>
        </w:rPr>
        <w:t>awardee</w:t>
      </w:r>
      <w:r w:rsidR="00805822" w:rsidRPr="00D74E8E">
        <w:rPr>
          <w:rFonts w:eastAsiaTheme="minorHAnsi" w:cs="Courier New"/>
          <w:sz w:val="24"/>
          <w:szCs w:val="24"/>
        </w:rPr>
        <w:t xml:space="preserve"> </w:t>
      </w:r>
      <w:r w:rsidRPr="00D74E8E">
        <w:rPr>
          <w:rFonts w:eastAsiaTheme="minorHAnsi" w:cs="Courier New"/>
          <w:sz w:val="24"/>
          <w:szCs w:val="24"/>
        </w:rPr>
        <w:t>data management systems into the NCEH Childhood Blood Lead Surveillance (CBLS) system</w:t>
      </w:r>
      <w:r w:rsidR="00807B97" w:rsidRPr="00D74E8E">
        <w:rPr>
          <w:rFonts w:eastAsiaTheme="minorHAnsi" w:cs="Courier New"/>
          <w:sz w:val="24"/>
          <w:szCs w:val="24"/>
        </w:rPr>
        <w:t xml:space="preserve"> during the </w:t>
      </w:r>
      <w:r w:rsidR="008B686F" w:rsidRPr="00D74E8E">
        <w:rPr>
          <w:rFonts w:eastAsiaTheme="minorHAnsi" w:cs="Courier New"/>
          <w:sz w:val="24"/>
          <w:szCs w:val="24"/>
        </w:rPr>
        <w:t>FY</w:t>
      </w:r>
      <w:r w:rsidR="00807B97" w:rsidRPr="00D74E8E">
        <w:rPr>
          <w:rFonts w:eastAsiaTheme="minorHAnsi" w:cs="Courier New"/>
          <w:sz w:val="24"/>
          <w:szCs w:val="24"/>
        </w:rPr>
        <w:t>17 program</w:t>
      </w:r>
      <w:r w:rsidRPr="00D74E8E">
        <w:rPr>
          <w:rFonts w:eastAsiaTheme="minorHAnsi" w:cs="Courier New"/>
          <w:sz w:val="24"/>
          <w:szCs w:val="24"/>
        </w:rPr>
        <w:t>. A more detailed discussion is found in Section A.10:</w:t>
      </w:r>
    </w:p>
    <w:p w14:paraId="5AA008CF" w14:textId="40FFD1BC" w:rsidR="00924E6A" w:rsidRPr="00D74E8E" w:rsidRDefault="00924E6A" w:rsidP="00864E6C">
      <w:pPr>
        <w:pStyle w:val="ListParagraph"/>
        <w:numPr>
          <w:ilvl w:val="1"/>
          <w:numId w:val="5"/>
        </w:numPr>
        <w:spacing w:line="276" w:lineRule="auto"/>
        <w:contextualSpacing w:val="0"/>
        <w:rPr>
          <w:rFonts w:eastAsiaTheme="minorHAnsi" w:cs="Courier New"/>
          <w:sz w:val="24"/>
          <w:szCs w:val="24"/>
        </w:rPr>
      </w:pPr>
      <w:r w:rsidRPr="00D74E8E">
        <w:rPr>
          <w:rFonts w:eastAsiaTheme="minorHAnsi" w:cs="Courier New"/>
          <w:i/>
          <w:sz w:val="24"/>
          <w:szCs w:val="24"/>
          <w:u w:val="single"/>
        </w:rPr>
        <w:t>State and Local Systems</w:t>
      </w:r>
      <w:r w:rsidRPr="00D74E8E">
        <w:rPr>
          <w:rFonts w:eastAsiaTheme="minorHAnsi" w:cs="Courier New"/>
          <w:i/>
          <w:sz w:val="24"/>
          <w:szCs w:val="24"/>
        </w:rPr>
        <w:t>:</w:t>
      </w:r>
      <w:r w:rsidRPr="00D74E8E">
        <w:rPr>
          <w:rFonts w:eastAsiaTheme="minorHAnsi" w:cs="Courier New"/>
          <w:sz w:val="24"/>
          <w:szCs w:val="24"/>
        </w:rPr>
        <w:t xml:space="preserve"> NCEH provides </w:t>
      </w:r>
      <w:r w:rsidR="0091120B" w:rsidRPr="00D74E8E">
        <w:rPr>
          <w:rFonts w:eastAsiaTheme="minorHAnsi" w:cs="Courier New"/>
          <w:sz w:val="24"/>
          <w:szCs w:val="24"/>
        </w:rPr>
        <w:t>technical</w:t>
      </w:r>
      <w:r w:rsidRPr="00D74E8E">
        <w:rPr>
          <w:rFonts w:eastAsiaTheme="minorHAnsi" w:cs="Courier New"/>
          <w:sz w:val="24"/>
          <w:szCs w:val="24"/>
        </w:rPr>
        <w:t xml:space="preserve"> support but does not provide funding for system development. To promote standardization, NCEH provides </w:t>
      </w:r>
      <w:r w:rsidR="00BA16F0" w:rsidRPr="00D74E8E">
        <w:rPr>
          <w:rFonts w:eastAsiaTheme="minorHAnsi" w:cs="Courier New"/>
          <w:sz w:val="24"/>
          <w:szCs w:val="24"/>
        </w:rPr>
        <w:t xml:space="preserve">basic </w:t>
      </w:r>
      <w:r w:rsidRPr="00D74E8E">
        <w:rPr>
          <w:rFonts w:eastAsiaTheme="minorHAnsi" w:cs="Courier New"/>
          <w:sz w:val="24"/>
          <w:szCs w:val="24"/>
        </w:rPr>
        <w:t>HHLPSS software at no cost to state</w:t>
      </w:r>
      <w:r w:rsidR="00DB73F4">
        <w:rPr>
          <w:rFonts w:eastAsiaTheme="minorHAnsi" w:cs="Courier New"/>
          <w:sz w:val="24"/>
          <w:szCs w:val="24"/>
        </w:rPr>
        <w:t xml:space="preserve"> or</w:t>
      </w:r>
      <w:r w:rsidRPr="00D74E8E">
        <w:rPr>
          <w:rFonts w:eastAsiaTheme="minorHAnsi" w:cs="Courier New"/>
          <w:sz w:val="24"/>
          <w:szCs w:val="24"/>
        </w:rPr>
        <w:t xml:space="preserve"> local programs to manage their lead surveillance and other data</w:t>
      </w:r>
      <w:r w:rsidR="00EC0B8C" w:rsidRPr="00D74E8E">
        <w:rPr>
          <w:rFonts w:eastAsiaTheme="minorHAnsi" w:cs="Courier New"/>
          <w:sz w:val="24"/>
          <w:szCs w:val="24"/>
        </w:rPr>
        <w:t xml:space="preserve"> such as for healthy homes programs</w:t>
      </w:r>
      <w:r w:rsidRPr="00D74E8E">
        <w:rPr>
          <w:rFonts w:eastAsiaTheme="minorHAnsi" w:cs="Courier New"/>
          <w:sz w:val="24"/>
          <w:szCs w:val="24"/>
        </w:rPr>
        <w:t>. Thus, HHLPSS</w:t>
      </w:r>
      <w:r w:rsidR="00BA16F0" w:rsidRPr="00D74E8E">
        <w:rPr>
          <w:rFonts w:eastAsiaTheme="minorHAnsi" w:cs="Courier New"/>
          <w:sz w:val="24"/>
          <w:szCs w:val="24"/>
        </w:rPr>
        <w:t>-adopted</w:t>
      </w:r>
      <w:r w:rsidRPr="00D74E8E">
        <w:rPr>
          <w:rFonts w:eastAsiaTheme="minorHAnsi" w:cs="Courier New"/>
          <w:sz w:val="24"/>
          <w:szCs w:val="24"/>
        </w:rPr>
        <w:t xml:space="preserve"> or equivalent systems are owned by partners. Their systems are customized for jurisdiction-specific program needs, and are subject to state or local legal codes and IT security requirements. Thus, data residing within these data systems </w:t>
      </w:r>
      <w:r w:rsidR="00DD7F98" w:rsidRPr="00D74E8E">
        <w:rPr>
          <w:rFonts w:eastAsiaTheme="minorHAnsi" w:cs="Courier New"/>
          <w:sz w:val="24"/>
          <w:szCs w:val="24"/>
        </w:rPr>
        <w:t xml:space="preserve">and owned by the </w:t>
      </w:r>
      <w:r w:rsidR="00A14802" w:rsidRPr="00D74E8E">
        <w:rPr>
          <w:rFonts w:eastAsiaTheme="minorHAnsi" w:cs="Courier New"/>
          <w:sz w:val="24"/>
          <w:szCs w:val="24"/>
        </w:rPr>
        <w:t xml:space="preserve">awardee </w:t>
      </w:r>
      <w:r w:rsidR="00DD7F98" w:rsidRPr="00D74E8E">
        <w:rPr>
          <w:rFonts w:eastAsiaTheme="minorHAnsi" w:cs="Courier New"/>
          <w:sz w:val="24"/>
          <w:szCs w:val="24"/>
        </w:rPr>
        <w:t xml:space="preserve">programs </w:t>
      </w:r>
      <w:r w:rsidRPr="00D74E8E">
        <w:rPr>
          <w:rFonts w:eastAsiaTheme="minorHAnsi" w:cs="Courier New"/>
          <w:sz w:val="24"/>
          <w:szCs w:val="24"/>
        </w:rPr>
        <w:t xml:space="preserve">are </w:t>
      </w:r>
      <w:r w:rsidR="0091120B" w:rsidRPr="00D74E8E">
        <w:rPr>
          <w:rFonts w:eastAsiaTheme="minorHAnsi" w:cs="Courier New"/>
          <w:sz w:val="24"/>
          <w:szCs w:val="24"/>
        </w:rPr>
        <w:t xml:space="preserve">more accurately </w:t>
      </w:r>
      <w:r w:rsidRPr="00D74E8E">
        <w:rPr>
          <w:rFonts w:eastAsiaTheme="minorHAnsi" w:cs="Courier New"/>
          <w:sz w:val="24"/>
          <w:szCs w:val="24"/>
        </w:rPr>
        <w:t>referred to as “HHLPSS Variables”</w:t>
      </w:r>
      <w:r w:rsidR="00BA16F0" w:rsidRPr="00D74E8E">
        <w:rPr>
          <w:rFonts w:eastAsiaTheme="minorHAnsi" w:cs="Courier New"/>
          <w:sz w:val="24"/>
          <w:szCs w:val="24"/>
        </w:rPr>
        <w:t xml:space="preserve"> be</w:t>
      </w:r>
      <w:r w:rsidR="0089655A" w:rsidRPr="00D74E8E">
        <w:rPr>
          <w:rFonts w:eastAsiaTheme="minorHAnsi" w:cs="Courier New"/>
          <w:sz w:val="24"/>
          <w:szCs w:val="24"/>
        </w:rPr>
        <w:t xml:space="preserve">cause states may </w:t>
      </w:r>
      <w:r w:rsidR="00860E63" w:rsidRPr="00D74E8E">
        <w:rPr>
          <w:rFonts w:eastAsiaTheme="minorHAnsi" w:cs="Courier New"/>
          <w:sz w:val="24"/>
          <w:szCs w:val="24"/>
        </w:rPr>
        <w:t xml:space="preserve">use their systems to </w:t>
      </w:r>
      <w:r w:rsidR="0089655A" w:rsidRPr="00D74E8E">
        <w:rPr>
          <w:rFonts w:eastAsiaTheme="minorHAnsi" w:cs="Courier New"/>
          <w:sz w:val="24"/>
          <w:szCs w:val="24"/>
        </w:rPr>
        <w:t xml:space="preserve">collect </w:t>
      </w:r>
      <w:r w:rsidR="00BA16F0" w:rsidRPr="00D74E8E">
        <w:rPr>
          <w:rFonts w:eastAsiaTheme="minorHAnsi" w:cs="Courier New"/>
          <w:sz w:val="24"/>
          <w:szCs w:val="24"/>
        </w:rPr>
        <w:t>healthy homes data in addition to lead surveillance data,</w:t>
      </w:r>
      <w:r w:rsidRPr="00D74E8E">
        <w:rPr>
          <w:rFonts w:eastAsiaTheme="minorHAnsi" w:cs="Courier New"/>
          <w:sz w:val="24"/>
          <w:szCs w:val="24"/>
        </w:rPr>
        <w:t xml:space="preserve"> </w:t>
      </w:r>
      <w:r w:rsidR="00342334" w:rsidRPr="00D74E8E">
        <w:rPr>
          <w:rFonts w:eastAsiaTheme="minorHAnsi" w:cs="Courier New"/>
          <w:sz w:val="24"/>
          <w:szCs w:val="24"/>
        </w:rPr>
        <w:t>T</w:t>
      </w:r>
      <w:r w:rsidR="000F0BFC" w:rsidRPr="00D74E8E">
        <w:rPr>
          <w:rFonts w:eastAsiaTheme="minorHAnsi" w:cs="Courier New"/>
          <w:sz w:val="24"/>
          <w:szCs w:val="24"/>
        </w:rPr>
        <w:t xml:space="preserve">he NCEH collection will continued to be called “HHLPSS Variables” </w:t>
      </w:r>
      <w:r w:rsidR="00342334" w:rsidRPr="00D74E8E">
        <w:rPr>
          <w:rFonts w:eastAsiaTheme="minorHAnsi" w:cs="Courier New"/>
          <w:sz w:val="24"/>
          <w:szCs w:val="24"/>
        </w:rPr>
        <w:t xml:space="preserve">for the duration of the </w:t>
      </w:r>
      <w:r w:rsidR="008B686F" w:rsidRPr="00D74E8E">
        <w:rPr>
          <w:rFonts w:eastAsiaTheme="minorHAnsi" w:cs="Courier New"/>
          <w:sz w:val="24"/>
          <w:szCs w:val="24"/>
        </w:rPr>
        <w:t>FY</w:t>
      </w:r>
      <w:r w:rsidR="00342334" w:rsidRPr="00D74E8E">
        <w:rPr>
          <w:rFonts w:eastAsiaTheme="minorHAnsi" w:cs="Courier New"/>
          <w:sz w:val="24"/>
          <w:szCs w:val="24"/>
        </w:rPr>
        <w:t>14 program</w:t>
      </w:r>
      <w:r w:rsidR="00470B5A" w:rsidRPr="00D74E8E">
        <w:rPr>
          <w:rFonts w:eastAsiaTheme="minorHAnsi" w:cs="Courier New"/>
          <w:sz w:val="24"/>
          <w:szCs w:val="24"/>
        </w:rPr>
        <w:t xml:space="preserve"> and the associated HHLPSS ICR (OMB Control No. 0920-0931, expiration date 05/31/2018)</w:t>
      </w:r>
      <w:r w:rsidR="000F0BFC" w:rsidRPr="00D74E8E">
        <w:rPr>
          <w:rFonts w:eastAsiaTheme="minorHAnsi" w:cs="Courier New"/>
          <w:sz w:val="24"/>
          <w:szCs w:val="24"/>
        </w:rPr>
        <w:t>.</w:t>
      </w:r>
    </w:p>
    <w:p w14:paraId="487ED760" w14:textId="1B20639B" w:rsidR="00924E6A" w:rsidRPr="00D74E8E" w:rsidRDefault="00924E6A" w:rsidP="00864E6C">
      <w:pPr>
        <w:pStyle w:val="ListParagraph"/>
        <w:numPr>
          <w:ilvl w:val="1"/>
          <w:numId w:val="5"/>
        </w:numPr>
        <w:spacing w:line="276" w:lineRule="auto"/>
        <w:contextualSpacing w:val="0"/>
        <w:rPr>
          <w:rFonts w:eastAsiaTheme="minorHAnsi" w:cs="Courier New"/>
          <w:sz w:val="24"/>
          <w:szCs w:val="24"/>
        </w:rPr>
      </w:pPr>
      <w:r w:rsidRPr="00D74E8E">
        <w:rPr>
          <w:rFonts w:eastAsiaTheme="minorHAnsi" w:cs="Courier New"/>
          <w:i/>
          <w:sz w:val="24"/>
          <w:szCs w:val="24"/>
          <w:u w:val="single"/>
        </w:rPr>
        <w:t>CDC System</w:t>
      </w:r>
      <w:r w:rsidRPr="00D74E8E">
        <w:rPr>
          <w:rFonts w:eastAsiaTheme="minorHAnsi" w:cs="Courier New"/>
          <w:i/>
          <w:sz w:val="24"/>
          <w:szCs w:val="24"/>
        </w:rPr>
        <w:t>:</w:t>
      </w:r>
      <w:r w:rsidRPr="00D74E8E">
        <w:rPr>
          <w:rFonts w:eastAsiaTheme="minorHAnsi" w:cs="Courier New"/>
          <w:sz w:val="24"/>
          <w:szCs w:val="24"/>
        </w:rPr>
        <w:t xml:space="preserve"> Partners are required to deliver a subset of their program data to the NCEH system. Specifically, the required quarterly reports include </w:t>
      </w:r>
      <w:r w:rsidR="0091120B" w:rsidRPr="00D74E8E">
        <w:rPr>
          <w:rFonts w:eastAsiaTheme="minorHAnsi" w:cs="Courier New"/>
          <w:sz w:val="24"/>
          <w:szCs w:val="24"/>
        </w:rPr>
        <w:t xml:space="preserve">federally </w:t>
      </w:r>
      <w:r w:rsidRPr="00D74E8E">
        <w:rPr>
          <w:rFonts w:eastAsiaTheme="minorHAnsi" w:cs="Courier New"/>
          <w:sz w:val="24"/>
          <w:szCs w:val="24"/>
        </w:rPr>
        <w:t xml:space="preserve">sponsored data on childhood blood lead screening. These data delivered to NCEH are </w:t>
      </w:r>
      <w:r w:rsidR="00DA09A5" w:rsidRPr="00D74E8E">
        <w:rPr>
          <w:rFonts w:eastAsiaTheme="minorHAnsi" w:cs="Courier New"/>
          <w:sz w:val="24"/>
          <w:szCs w:val="24"/>
        </w:rPr>
        <w:t>more accurately</w:t>
      </w:r>
      <w:r w:rsidRPr="00D74E8E">
        <w:rPr>
          <w:rFonts w:eastAsiaTheme="minorHAnsi" w:cs="Courier New"/>
          <w:sz w:val="24"/>
          <w:szCs w:val="24"/>
        </w:rPr>
        <w:t xml:space="preserve"> referred to as “CBLS Variables</w:t>
      </w:r>
      <w:r w:rsidR="001573A7" w:rsidRPr="00D74E8E">
        <w:rPr>
          <w:rFonts w:eastAsiaTheme="minorHAnsi" w:cs="Courier New"/>
          <w:sz w:val="24"/>
          <w:szCs w:val="24"/>
        </w:rPr>
        <w:t xml:space="preserve"> – Text Files</w:t>
      </w:r>
      <w:r w:rsidRPr="00D74E8E">
        <w:rPr>
          <w:rFonts w:eastAsiaTheme="minorHAnsi" w:cs="Courier New"/>
          <w:sz w:val="24"/>
          <w:szCs w:val="24"/>
        </w:rPr>
        <w:t>”</w:t>
      </w:r>
      <w:r w:rsidR="00866945" w:rsidRPr="00D74E8E">
        <w:rPr>
          <w:rFonts w:eastAsiaTheme="minorHAnsi" w:cs="Courier New"/>
          <w:sz w:val="24"/>
          <w:szCs w:val="24"/>
        </w:rPr>
        <w:t xml:space="preserve"> </w:t>
      </w:r>
      <w:r w:rsidR="008F4823" w:rsidRPr="00D74E8E">
        <w:rPr>
          <w:rFonts w:eastAsiaTheme="minorHAnsi" w:cs="Courier New"/>
          <w:sz w:val="24"/>
          <w:szCs w:val="24"/>
        </w:rPr>
        <w:t xml:space="preserve">or “CBLS Aggregate Records” </w:t>
      </w:r>
      <w:r w:rsidR="00866945" w:rsidRPr="00D74E8E">
        <w:rPr>
          <w:rFonts w:eastAsiaTheme="minorHAnsi" w:cs="Courier New"/>
          <w:sz w:val="24"/>
          <w:szCs w:val="24"/>
        </w:rPr>
        <w:t xml:space="preserve">for the </w:t>
      </w:r>
      <w:r w:rsidR="008B686F" w:rsidRPr="00D74E8E">
        <w:rPr>
          <w:rFonts w:eastAsiaTheme="minorHAnsi" w:cs="Courier New"/>
          <w:sz w:val="24"/>
          <w:szCs w:val="24"/>
        </w:rPr>
        <w:t>FY</w:t>
      </w:r>
      <w:r w:rsidR="00866945" w:rsidRPr="00D74E8E">
        <w:rPr>
          <w:rFonts w:eastAsiaTheme="minorHAnsi" w:cs="Courier New"/>
          <w:sz w:val="24"/>
          <w:szCs w:val="24"/>
        </w:rPr>
        <w:t>17 program</w:t>
      </w:r>
      <w:r w:rsidR="007560AD" w:rsidRPr="00D74E8E">
        <w:rPr>
          <w:rFonts w:eastAsiaTheme="minorHAnsi" w:cs="Courier New"/>
          <w:sz w:val="24"/>
          <w:szCs w:val="24"/>
        </w:rPr>
        <w:t xml:space="preserve"> (</w:t>
      </w:r>
      <w:r w:rsidR="00243684" w:rsidRPr="00D74E8E">
        <w:rPr>
          <w:rFonts w:eastAsiaTheme="minorHAnsi" w:cs="Courier New"/>
          <w:b/>
          <w:sz w:val="24"/>
          <w:szCs w:val="24"/>
        </w:rPr>
        <w:t>Attachments 5a</w:t>
      </w:r>
      <w:r w:rsidR="007560AD" w:rsidRPr="00D74E8E">
        <w:rPr>
          <w:rFonts w:eastAsiaTheme="minorHAnsi" w:cs="Courier New"/>
          <w:b/>
          <w:sz w:val="24"/>
          <w:szCs w:val="24"/>
        </w:rPr>
        <w:t xml:space="preserve"> &amp; 5</w:t>
      </w:r>
      <w:r w:rsidR="00243684" w:rsidRPr="00D74E8E">
        <w:rPr>
          <w:rFonts w:eastAsiaTheme="minorHAnsi" w:cs="Courier New"/>
          <w:b/>
          <w:sz w:val="24"/>
          <w:szCs w:val="24"/>
        </w:rPr>
        <w:t>b</w:t>
      </w:r>
      <w:r w:rsidR="007560AD" w:rsidRPr="00D74E8E">
        <w:rPr>
          <w:rFonts w:eastAsiaTheme="minorHAnsi" w:cs="Courier New"/>
          <w:sz w:val="24"/>
          <w:szCs w:val="24"/>
        </w:rPr>
        <w:t>)</w:t>
      </w:r>
      <w:r w:rsidR="00866945" w:rsidRPr="00D74E8E">
        <w:rPr>
          <w:rFonts w:eastAsiaTheme="minorHAnsi" w:cs="Courier New"/>
          <w:sz w:val="24"/>
          <w:szCs w:val="24"/>
        </w:rPr>
        <w:t>.</w:t>
      </w:r>
    </w:p>
    <w:p w14:paraId="4519571D" w14:textId="70095270" w:rsidR="00924E6A" w:rsidRPr="00D74E8E" w:rsidRDefault="00EA0C4B" w:rsidP="00864E6C">
      <w:pPr>
        <w:pStyle w:val="ListParagraph"/>
        <w:numPr>
          <w:ilvl w:val="0"/>
          <w:numId w:val="5"/>
        </w:numPr>
        <w:spacing w:line="276" w:lineRule="auto"/>
        <w:contextualSpacing w:val="0"/>
        <w:rPr>
          <w:rFonts w:eastAsiaTheme="minorHAnsi" w:cs="Courier New"/>
          <w:sz w:val="24"/>
          <w:szCs w:val="24"/>
        </w:rPr>
      </w:pPr>
      <w:r w:rsidRPr="00D74E8E">
        <w:rPr>
          <w:rFonts w:eastAsiaTheme="minorHAnsi" w:cs="Courier New"/>
          <w:sz w:val="24"/>
          <w:szCs w:val="24"/>
        </w:rPr>
        <w:t xml:space="preserve">Beginning </w:t>
      </w:r>
      <w:r w:rsidR="00DB2D7A" w:rsidRPr="00D74E8E">
        <w:rPr>
          <w:rFonts w:eastAsiaTheme="minorHAnsi" w:cs="Courier New"/>
          <w:sz w:val="24"/>
          <w:szCs w:val="24"/>
        </w:rPr>
        <w:t>with</w:t>
      </w:r>
      <w:r w:rsidRPr="00D74E8E">
        <w:rPr>
          <w:rFonts w:eastAsiaTheme="minorHAnsi" w:cs="Courier New"/>
          <w:sz w:val="24"/>
          <w:szCs w:val="24"/>
        </w:rPr>
        <w:t xml:space="preserve"> </w:t>
      </w:r>
      <w:r w:rsidR="00601034" w:rsidRPr="00D74E8E">
        <w:rPr>
          <w:rFonts w:eastAsiaTheme="minorHAnsi" w:cs="Courier New"/>
          <w:sz w:val="24"/>
          <w:szCs w:val="24"/>
        </w:rPr>
        <w:t xml:space="preserve">the </w:t>
      </w:r>
      <w:r w:rsidR="008B686F" w:rsidRPr="00D74E8E">
        <w:rPr>
          <w:rFonts w:eastAsiaTheme="minorHAnsi" w:cs="Courier New"/>
          <w:sz w:val="24"/>
          <w:szCs w:val="24"/>
        </w:rPr>
        <w:t>FY</w:t>
      </w:r>
      <w:r w:rsidRPr="00D74E8E">
        <w:rPr>
          <w:rFonts w:eastAsiaTheme="minorHAnsi" w:cs="Courier New"/>
          <w:sz w:val="24"/>
          <w:szCs w:val="24"/>
        </w:rPr>
        <w:t>17</w:t>
      </w:r>
      <w:r w:rsidR="00601034" w:rsidRPr="00D74E8E">
        <w:rPr>
          <w:rFonts w:eastAsiaTheme="minorHAnsi" w:cs="Courier New"/>
          <w:sz w:val="24"/>
          <w:szCs w:val="24"/>
        </w:rPr>
        <w:t xml:space="preserve"> program</w:t>
      </w:r>
      <w:r w:rsidRPr="00D74E8E">
        <w:rPr>
          <w:rFonts w:eastAsiaTheme="minorHAnsi" w:cs="Courier New"/>
          <w:sz w:val="24"/>
          <w:szCs w:val="24"/>
        </w:rPr>
        <w:t xml:space="preserve">, the </w:t>
      </w:r>
      <w:r w:rsidR="00924E6A" w:rsidRPr="00D74E8E">
        <w:rPr>
          <w:rFonts w:eastAsiaTheme="minorHAnsi" w:cs="Courier New"/>
          <w:sz w:val="24"/>
          <w:szCs w:val="24"/>
        </w:rPr>
        <w:t>form name</w:t>
      </w:r>
      <w:r w:rsidR="008F4823" w:rsidRPr="00D74E8E">
        <w:rPr>
          <w:rFonts w:eastAsiaTheme="minorHAnsi" w:cs="Courier New"/>
          <w:sz w:val="24"/>
          <w:szCs w:val="24"/>
        </w:rPr>
        <w:t xml:space="preserve"> in text format</w:t>
      </w:r>
      <w:r w:rsidR="00924E6A" w:rsidRPr="00D74E8E">
        <w:rPr>
          <w:rFonts w:eastAsiaTheme="minorHAnsi" w:cs="Courier New"/>
          <w:sz w:val="24"/>
          <w:szCs w:val="24"/>
        </w:rPr>
        <w:t xml:space="preserve"> </w:t>
      </w:r>
      <w:r w:rsidRPr="00D74E8E">
        <w:rPr>
          <w:rFonts w:eastAsiaTheme="minorHAnsi" w:cs="Courier New"/>
          <w:sz w:val="24"/>
          <w:szCs w:val="24"/>
        </w:rPr>
        <w:t>will be called</w:t>
      </w:r>
      <w:r w:rsidR="00924E6A" w:rsidRPr="00D74E8E">
        <w:rPr>
          <w:rFonts w:eastAsiaTheme="minorHAnsi" w:cs="Courier New"/>
          <w:sz w:val="24"/>
          <w:szCs w:val="24"/>
        </w:rPr>
        <w:t xml:space="preserve"> “CBLS Variables” in the burden table and in operation to more accurately describe the collection that NCEH is sponsoring. The form is also revised to remove variables that reside only in partner systems and are not delivered to NCEH in CBLS.</w:t>
      </w:r>
    </w:p>
    <w:p w14:paraId="74E7A4CB" w14:textId="2B02970D" w:rsidR="008C760C" w:rsidRPr="00D74E8E" w:rsidRDefault="007819AF" w:rsidP="00864E6C">
      <w:pPr>
        <w:pStyle w:val="BodyTextIndent3"/>
        <w:widowControl/>
        <w:numPr>
          <w:ilvl w:val="1"/>
          <w:numId w:val="5"/>
        </w:numPr>
        <w:spacing w:after="120" w:line="276" w:lineRule="auto"/>
        <w:rPr>
          <w:szCs w:val="24"/>
        </w:rPr>
      </w:pPr>
      <w:r w:rsidRPr="00D74E8E">
        <w:rPr>
          <w:rFonts w:asciiTheme="minorHAnsi" w:hAnsiTheme="minorHAnsi"/>
          <w:szCs w:val="24"/>
        </w:rPr>
        <w:t xml:space="preserve">In 2008-2010, the HHLPPP met with state and local healthy homes programs and asked them to identify those data elements related to healthy homes that they expected to collect under an expanded healthy homes program. </w:t>
      </w:r>
      <w:r w:rsidR="002A7CA8" w:rsidRPr="00D74E8E">
        <w:rPr>
          <w:rFonts w:asciiTheme="minorHAnsi" w:hAnsiTheme="minorHAnsi"/>
          <w:szCs w:val="24"/>
        </w:rPr>
        <w:t>A</w:t>
      </w:r>
      <w:r w:rsidRPr="00D74E8E">
        <w:rPr>
          <w:rFonts w:asciiTheme="minorHAnsi" w:hAnsiTheme="minorHAnsi"/>
          <w:szCs w:val="24"/>
        </w:rPr>
        <w:t>s noted in the NCEH program milestones (</w:t>
      </w:r>
      <w:r w:rsidRPr="00D74E8E">
        <w:rPr>
          <w:rFonts w:asciiTheme="minorHAnsi" w:hAnsiTheme="minorHAnsi"/>
          <w:b/>
          <w:szCs w:val="24"/>
        </w:rPr>
        <w:t xml:space="preserve">Attachment </w:t>
      </w:r>
      <w:r w:rsidR="006930A8" w:rsidRPr="00D74E8E">
        <w:rPr>
          <w:rFonts w:asciiTheme="minorHAnsi" w:hAnsiTheme="minorHAnsi"/>
          <w:b/>
          <w:szCs w:val="24"/>
        </w:rPr>
        <w:t>4</w:t>
      </w:r>
      <w:r w:rsidRPr="00D74E8E">
        <w:rPr>
          <w:rFonts w:asciiTheme="minorHAnsi" w:hAnsiTheme="minorHAnsi"/>
          <w:szCs w:val="24"/>
        </w:rPr>
        <w:t xml:space="preserve">), healthy homes </w:t>
      </w:r>
      <w:r w:rsidR="00EA0C4B" w:rsidRPr="00D74E8E">
        <w:rPr>
          <w:rFonts w:asciiTheme="minorHAnsi" w:hAnsiTheme="minorHAnsi"/>
          <w:szCs w:val="24"/>
        </w:rPr>
        <w:t>information collections were never</w:t>
      </w:r>
      <w:r w:rsidR="00790A9C" w:rsidRPr="00D74E8E">
        <w:rPr>
          <w:rFonts w:asciiTheme="minorHAnsi" w:hAnsiTheme="minorHAnsi"/>
          <w:szCs w:val="24"/>
        </w:rPr>
        <w:t xml:space="preserve"> </w:t>
      </w:r>
      <w:r w:rsidR="00EA7BB4" w:rsidRPr="00D74E8E">
        <w:rPr>
          <w:rFonts w:asciiTheme="minorHAnsi" w:hAnsiTheme="minorHAnsi"/>
          <w:szCs w:val="24"/>
        </w:rPr>
        <w:t>s</w:t>
      </w:r>
      <w:r w:rsidR="00790A9C" w:rsidRPr="00D74E8E">
        <w:rPr>
          <w:rFonts w:asciiTheme="minorHAnsi" w:hAnsiTheme="minorHAnsi"/>
          <w:szCs w:val="24"/>
        </w:rPr>
        <w:t>ponsored</w:t>
      </w:r>
      <w:r w:rsidR="00EA7BB4" w:rsidRPr="00D74E8E">
        <w:rPr>
          <w:rFonts w:asciiTheme="minorHAnsi" w:hAnsiTheme="minorHAnsi"/>
          <w:szCs w:val="24"/>
        </w:rPr>
        <w:t xml:space="preserve"> </w:t>
      </w:r>
      <w:r w:rsidRPr="00D74E8E">
        <w:rPr>
          <w:rFonts w:asciiTheme="minorHAnsi" w:hAnsiTheme="minorHAnsi"/>
          <w:szCs w:val="24"/>
        </w:rPr>
        <w:t>via cooperative agreement. Therefo</w:t>
      </w:r>
      <w:r w:rsidR="00D373B5" w:rsidRPr="00D74E8E">
        <w:rPr>
          <w:rFonts w:asciiTheme="minorHAnsi" w:hAnsiTheme="minorHAnsi"/>
          <w:szCs w:val="24"/>
        </w:rPr>
        <w:t xml:space="preserve">re, healthy homes variables </w:t>
      </w:r>
      <w:r w:rsidR="00E502BD" w:rsidRPr="00D74E8E">
        <w:rPr>
          <w:rFonts w:asciiTheme="minorHAnsi" w:hAnsiTheme="minorHAnsi"/>
          <w:szCs w:val="24"/>
        </w:rPr>
        <w:t>will</w:t>
      </w:r>
      <w:r w:rsidR="00D373B5" w:rsidRPr="00D74E8E">
        <w:rPr>
          <w:rFonts w:asciiTheme="minorHAnsi" w:hAnsiTheme="minorHAnsi"/>
          <w:szCs w:val="24"/>
        </w:rPr>
        <w:t xml:space="preserve"> no</w:t>
      </w:r>
      <w:r w:rsidR="00DA4945" w:rsidRPr="00D74E8E">
        <w:rPr>
          <w:rFonts w:asciiTheme="minorHAnsi" w:hAnsiTheme="minorHAnsi"/>
          <w:szCs w:val="24"/>
        </w:rPr>
        <w:t>t</w:t>
      </w:r>
      <w:r w:rsidR="00E502BD" w:rsidRPr="00D74E8E">
        <w:rPr>
          <w:rFonts w:asciiTheme="minorHAnsi" w:hAnsiTheme="minorHAnsi"/>
          <w:szCs w:val="24"/>
        </w:rPr>
        <w:t xml:space="preserve"> be</w:t>
      </w:r>
      <w:r w:rsidRPr="00D74E8E">
        <w:rPr>
          <w:rFonts w:asciiTheme="minorHAnsi" w:hAnsiTheme="minorHAnsi"/>
          <w:szCs w:val="24"/>
        </w:rPr>
        <w:t xml:space="preserve"> included in the revised “CBLS Variables</w:t>
      </w:r>
      <w:r w:rsidR="00AA72A2" w:rsidRPr="00D74E8E">
        <w:rPr>
          <w:rFonts w:asciiTheme="minorHAnsi" w:hAnsiTheme="minorHAnsi"/>
          <w:szCs w:val="24"/>
        </w:rPr>
        <w:t xml:space="preserve"> – Text Files</w:t>
      </w:r>
      <w:r w:rsidRPr="00D74E8E">
        <w:rPr>
          <w:rFonts w:asciiTheme="minorHAnsi" w:hAnsiTheme="minorHAnsi"/>
          <w:szCs w:val="24"/>
        </w:rPr>
        <w:t>” (</w:t>
      </w:r>
      <w:r w:rsidRPr="00D74E8E">
        <w:rPr>
          <w:rFonts w:asciiTheme="minorHAnsi" w:hAnsiTheme="minorHAnsi"/>
          <w:b/>
          <w:szCs w:val="24"/>
        </w:rPr>
        <w:t xml:space="preserve">Attachment </w:t>
      </w:r>
      <w:r w:rsidR="006930A8" w:rsidRPr="00D74E8E">
        <w:rPr>
          <w:rFonts w:asciiTheme="minorHAnsi" w:hAnsiTheme="minorHAnsi"/>
          <w:b/>
          <w:szCs w:val="24"/>
        </w:rPr>
        <w:t>5</w:t>
      </w:r>
      <w:r w:rsidRPr="00D74E8E">
        <w:rPr>
          <w:rFonts w:asciiTheme="minorHAnsi" w:hAnsiTheme="minorHAnsi"/>
          <w:b/>
          <w:szCs w:val="24"/>
        </w:rPr>
        <w:t>a</w:t>
      </w:r>
      <w:r w:rsidR="0034790D" w:rsidRPr="00D74E8E">
        <w:rPr>
          <w:rFonts w:asciiTheme="minorHAnsi" w:hAnsiTheme="minorHAnsi"/>
          <w:szCs w:val="24"/>
        </w:rPr>
        <w:t>)</w:t>
      </w:r>
      <w:r w:rsidR="008F4823" w:rsidRPr="00D74E8E">
        <w:rPr>
          <w:rFonts w:asciiTheme="minorHAnsi" w:eastAsiaTheme="minorHAnsi" w:hAnsiTheme="minorHAnsi" w:cs="Courier New"/>
          <w:szCs w:val="24"/>
        </w:rPr>
        <w:t xml:space="preserve"> or in the “CBLS Aggregate Records” (</w:t>
      </w:r>
      <w:r w:rsidR="008F4823" w:rsidRPr="00D74E8E">
        <w:rPr>
          <w:rFonts w:asciiTheme="minorHAnsi" w:eastAsiaTheme="minorHAnsi" w:hAnsiTheme="minorHAnsi" w:cs="Courier New"/>
          <w:b/>
          <w:szCs w:val="24"/>
        </w:rPr>
        <w:t>Attachment 5b</w:t>
      </w:r>
      <w:r w:rsidR="008F4823" w:rsidRPr="00D74E8E">
        <w:rPr>
          <w:rFonts w:asciiTheme="minorHAnsi" w:eastAsiaTheme="minorHAnsi" w:hAnsiTheme="minorHAnsi" w:cs="Courier New"/>
          <w:szCs w:val="24"/>
        </w:rPr>
        <w:t>).</w:t>
      </w:r>
    </w:p>
    <w:p w14:paraId="6F141AA0" w14:textId="31B15426" w:rsidR="007819AF" w:rsidRPr="00D74E8E" w:rsidRDefault="008C760C" w:rsidP="00864E6C">
      <w:pPr>
        <w:pStyle w:val="BodyTextIndent3"/>
        <w:widowControl/>
        <w:numPr>
          <w:ilvl w:val="1"/>
          <w:numId w:val="5"/>
        </w:numPr>
        <w:spacing w:after="120" w:line="276" w:lineRule="auto"/>
        <w:rPr>
          <w:szCs w:val="24"/>
        </w:rPr>
      </w:pPr>
      <w:r w:rsidRPr="00D74E8E">
        <w:rPr>
          <w:rFonts w:asciiTheme="minorHAnsi" w:hAnsiTheme="minorHAnsi"/>
          <w:szCs w:val="24"/>
        </w:rPr>
        <w:t>As described above, HHLPSS data may reside in respondent systems, but NCEH is currently collecting only “CBLS Variables</w:t>
      </w:r>
      <w:r w:rsidR="00AA72A2" w:rsidRPr="00D74E8E">
        <w:rPr>
          <w:rFonts w:asciiTheme="minorHAnsi" w:hAnsiTheme="minorHAnsi"/>
          <w:szCs w:val="24"/>
        </w:rPr>
        <w:t xml:space="preserve"> – Text Files</w:t>
      </w:r>
      <w:r w:rsidRPr="00D74E8E">
        <w:rPr>
          <w:rFonts w:asciiTheme="minorHAnsi" w:hAnsiTheme="minorHAnsi"/>
          <w:szCs w:val="24"/>
        </w:rPr>
        <w:t>”</w:t>
      </w:r>
      <w:r w:rsidR="0063667C" w:rsidRPr="00D74E8E">
        <w:rPr>
          <w:rFonts w:asciiTheme="minorHAnsi" w:hAnsiTheme="minorHAnsi"/>
          <w:szCs w:val="24"/>
        </w:rPr>
        <w:t xml:space="preserve"> or “CBLS Aggregate Records.”</w:t>
      </w:r>
      <w:r w:rsidR="00713A4F" w:rsidRPr="00D74E8E">
        <w:rPr>
          <w:rFonts w:asciiTheme="minorHAnsi" w:hAnsiTheme="minorHAnsi"/>
        </w:rPr>
        <w:t xml:space="preserve"> </w:t>
      </w:r>
      <w:r w:rsidRPr="00D74E8E">
        <w:rPr>
          <w:rFonts w:asciiTheme="minorHAnsi" w:hAnsiTheme="minorHAnsi"/>
          <w:szCs w:val="24"/>
        </w:rPr>
        <w:t>If healthy homes activities are approved in future program expansion, NCEH will submit a</w:t>
      </w:r>
      <w:r w:rsidR="00820998" w:rsidRPr="00D74E8E">
        <w:rPr>
          <w:rFonts w:asciiTheme="minorHAnsi" w:hAnsiTheme="minorHAnsi"/>
          <w:szCs w:val="24"/>
        </w:rPr>
        <w:t>n</w:t>
      </w:r>
      <w:r w:rsidRPr="00D74E8E">
        <w:rPr>
          <w:rFonts w:asciiTheme="minorHAnsi" w:hAnsiTheme="minorHAnsi"/>
          <w:szCs w:val="24"/>
        </w:rPr>
        <w:t xml:space="preserve"> ICR for PRA clearance</w:t>
      </w:r>
      <w:r w:rsidR="001B7693" w:rsidRPr="00D74E8E">
        <w:rPr>
          <w:rFonts w:asciiTheme="minorHAnsi" w:hAnsiTheme="minorHAnsi"/>
          <w:szCs w:val="24"/>
        </w:rPr>
        <w:t xml:space="preserve"> for the </w:t>
      </w:r>
      <w:r w:rsidR="00822D62" w:rsidRPr="00D74E8E">
        <w:rPr>
          <w:rFonts w:asciiTheme="minorHAnsi" w:hAnsiTheme="minorHAnsi"/>
          <w:szCs w:val="24"/>
        </w:rPr>
        <w:t>implementation of</w:t>
      </w:r>
      <w:r w:rsidR="006D476E" w:rsidRPr="00D74E8E">
        <w:rPr>
          <w:rFonts w:asciiTheme="minorHAnsi" w:hAnsiTheme="minorHAnsi"/>
          <w:szCs w:val="24"/>
        </w:rPr>
        <w:t xml:space="preserve"> </w:t>
      </w:r>
      <w:r w:rsidR="001B7693" w:rsidRPr="00D74E8E">
        <w:rPr>
          <w:rFonts w:asciiTheme="minorHAnsi" w:hAnsiTheme="minorHAnsi"/>
          <w:szCs w:val="24"/>
        </w:rPr>
        <w:t>standardized healthy homes collections</w:t>
      </w:r>
      <w:r w:rsidR="006D3EE9" w:rsidRPr="00D74E8E">
        <w:rPr>
          <w:rFonts w:asciiTheme="minorHAnsi" w:hAnsiTheme="minorHAnsi"/>
          <w:szCs w:val="24"/>
        </w:rPr>
        <w:t xml:space="preserve"> by</w:t>
      </w:r>
      <w:r w:rsidR="00CE45D6" w:rsidRPr="00D74E8E">
        <w:rPr>
          <w:rFonts w:asciiTheme="minorHAnsi" w:hAnsiTheme="minorHAnsi"/>
          <w:szCs w:val="24"/>
        </w:rPr>
        <w:t xml:space="preserve"> the federal government</w:t>
      </w:r>
      <w:r w:rsidRPr="00D74E8E">
        <w:rPr>
          <w:rFonts w:asciiTheme="minorHAnsi" w:hAnsiTheme="minorHAnsi"/>
          <w:szCs w:val="24"/>
        </w:rPr>
        <w:t>.</w:t>
      </w:r>
    </w:p>
    <w:p w14:paraId="01ABB106" w14:textId="6955DA75" w:rsidR="00924E6A" w:rsidRPr="00D74E8E" w:rsidRDefault="00924E6A" w:rsidP="00883874">
      <w:pPr>
        <w:pStyle w:val="ListParagraph"/>
        <w:numPr>
          <w:ilvl w:val="0"/>
          <w:numId w:val="5"/>
        </w:numPr>
        <w:spacing w:line="276" w:lineRule="auto"/>
        <w:contextualSpacing w:val="0"/>
        <w:rPr>
          <w:rFonts w:eastAsiaTheme="minorHAnsi"/>
        </w:rPr>
      </w:pPr>
      <w:r w:rsidRPr="00D74E8E">
        <w:rPr>
          <w:rFonts w:eastAsiaTheme="minorHAnsi" w:cs="Courier New"/>
          <w:sz w:val="24"/>
          <w:szCs w:val="24"/>
        </w:rPr>
        <w:t xml:space="preserve">Increased number of NCEH </w:t>
      </w:r>
      <w:r w:rsidR="007267A9" w:rsidRPr="00D74E8E">
        <w:rPr>
          <w:rFonts w:eastAsiaTheme="minorHAnsi" w:cs="Courier New"/>
          <w:sz w:val="24"/>
          <w:szCs w:val="24"/>
        </w:rPr>
        <w:t xml:space="preserve">awardee </w:t>
      </w:r>
      <w:r w:rsidRPr="00D74E8E">
        <w:rPr>
          <w:rFonts w:eastAsiaTheme="minorHAnsi" w:cs="Courier New"/>
          <w:sz w:val="24"/>
          <w:szCs w:val="24"/>
        </w:rPr>
        <w:t xml:space="preserve">respondents from 40 to </w:t>
      </w:r>
      <w:r w:rsidR="00EE7DC5" w:rsidRPr="00D74E8E">
        <w:rPr>
          <w:rFonts w:eastAsiaTheme="minorHAnsi" w:cs="Courier New"/>
          <w:sz w:val="24"/>
          <w:szCs w:val="24"/>
        </w:rPr>
        <w:t>48</w:t>
      </w:r>
      <w:r w:rsidRPr="00D74E8E">
        <w:rPr>
          <w:rFonts w:eastAsiaTheme="minorHAnsi" w:cs="Courier New"/>
          <w:sz w:val="24"/>
          <w:szCs w:val="24"/>
        </w:rPr>
        <w:t xml:space="preserve">, </w:t>
      </w:r>
      <w:r w:rsidR="00081E2B" w:rsidRPr="00D74E8E">
        <w:rPr>
          <w:rFonts w:eastAsiaTheme="minorHAnsi" w:cs="Courier New"/>
          <w:sz w:val="24"/>
          <w:szCs w:val="24"/>
        </w:rPr>
        <w:t>based on available funds.</w:t>
      </w:r>
    </w:p>
    <w:p w14:paraId="32B2E010" w14:textId="0452CE08" w:rsidR="00924E6A" w:rsidRPr="00D74E8E" w:rsidRDefault="00924E6A" w:rsidP="00864E6C">
      <w:pPr>
        <w:pStyle w:val="ListParagraph"/>
        <w:numPr>
          <w:ilvl w:val="0"/>
          <w:numId w:val="5"/>
        </w:numPr>
        <w:spacing w:line="276" w:lineRule="auto"/>
        <w:contextualSpacing w:val="0"/>
        <w:rPr>
          <w:rFonts w:eastAsiaTheme="minorHAnsi" w:cs="Courier New"/>
          <w:sz w:val="24"/>
          <w:szCs w:val="24"/>
        </w:rPr>
      </w:pPr>
      <w:r w:rsidRPr="00D74E8E">
        <w:rPr>
          <w:rFonts w:eastAsiaTheme="minorHAnsi" w:cs="Courier New"/>
          <w:sz w:val="24"/>
          <w:szCs w:val="24"/>
        </w:rPr>
        <w:t xml:space="preserve">Increased NCEH annual time burden from 640 to </w:t>
      </w:r>
      <w:r w:rsidR="00DA79AE" w:rsidRPr="00D74E8E">
        <w:rPr>
          <w:rFonts w:eastAsiaTheme="minorHAnsi" w:cs="Courier New"/>
          <w:sz w:val="24"/>
          <w:szCs w:val="24"/>
        </w:rPr>
        <w:t>7</w:t>
      </w:r>
      <w:r w:rsidR="00565FF5" w:rsidRPr="00D74E8E">
        <w:rPr>
          <w:rFonts w:eastAsiaTheme="minorHAnsi" w:cs="Courier New"/>
          <w:sz w:val="24"/>
          <w:szCs w:val="24"/>
        </w:rPr>
        <w:t>60</w:t>
      </w:r>
      <w:r w:rsidRPr="00D74E8E">
        <w:rPr>
          <w:rFonts w:eastAsiaTheme="minorHAnsi" w:cs="Courier New"/>
          <w:sz w:val="24"/>
          <w:szCs w:val="24"/>
        </w:rPr>
        <w:t xml:space="preserve"> hours (net increase of </w:t>
      </w:r>
      <w:r w:rsidR="00565FF5" w:rsidRPr="00D74E8E">
        <w:rPr>
          <w:rFonts w:eastAsiaTheme="minorHAnsi" w:cs="Courier New"/>
          <w:sz w:val="24"/>
          <w:szCs w:val="24"/>
        </w:rPr>
        <w:t>120</w:t>
      </w:r>
      <w:r w:rsidRPr="00D74E8E">
        <w:rPr>
          <w:rFonts w:eastAsiaTheme="minorHAnsi" w:cs="Courier New"/>
          <w:sz w:val="24"/>
          <w:szCs w:val="24"/>
        </w:rPr>
        <w:t xml:space="preserve"> hours), based on the increase in the number of respondents</w:t>
      </w:r>
      <w:r w:rsidR="00990763" w:rsidRPr="00D74E8E">
        <w:rPr>
          <w:rFonts w:eastAsiaTheme="minorHAnsi" w:cs="Courier New"/>
          <w:sz w:val="24"/>
          <w:szCs w:val="24"/>
        </w:rPr>
        <w:t xml:space="preserve"> and adjustment of estimated time burden per </w:t>
      </w:r>
      <w:r w:rsidR="001C6DD3" w:rsidRPr="00D74E8E">
        <w:rPr>
          <w:rFonts w:eastAsiaTheme="minorHAnsi" w:cs="Courier New"/>
          <w:sz w:val="24"/>
          <w:szCs w:val="24"/>
        </w:rPr>
        <w:t xml:space="preserve">quarterly </w:t>
      </w:r>
      <w:r w:rsidR="00990763" w:rsidRPr="00D74E8E">
        <w:rPr>
          <w:rFonts w:eastAsiaTheme="minorHAnsi" w:cs="Courier New"/>
          <w:sz w:val="24"/>
          <w:szCs w:val="24"/>
        </w:rPr>
        <w:t>response</w:t>
      </w:r>
      <w:r w:rsidRPr="00D74E8E">
        <w:rPr>
          <w:rFonts w:eastAsiaTheme="minorHAnsi" w:cs="Courier New"/>
          <w:sz w:val="24"/>
          <w:szCs w:val="24"/>
        </w:rPr>
        <w:t>.</w:t>
      </w:r>
    </w:p>
    <w:p w14:paraId="134A9817" w14:textId="04790B72" w:rsidR="00924E6A" w:rsidRPr="00D74E8E" w:rsidRDefault="00924E6A" w:rsidP="000E123C">
      <w:pPr>
        <w:spacing w:line="276" w:lineRule="auto"/>
        <w:rPr>
          <w:rFonts w:eastAsiaTheme="minorHAnsi" w:cs="Courier New"/>
          <w:sz w:val="24"/>
          <w:szCs w:val="24"/>
        </w:rPr>
      </w:pPr>
      <w:r w:rsidRPr="00D74E8E">
        <w:rPr>
          <w:rFonts w:eastAsiaTheme="minorHAnsi" w:cs="Courier New"/>
          <w:sz w:val="24"/>
          <w:szCs w:val="24"/>
        </w:rPr>
        <w:t>CDC is also taking this opportunity to request a title to more clearly show that the NIOSH</w:t>
      </w:r>
      <w:r w:rsidR="00D735B2" w:rsidRPr="00D74E8E">
        <w:rPr>
          <w:rFonts w:eastAsiaTheme="minorHAnsi" w:cs="Courier New"/>
          <w:sz w:val="24"/>
          <w:szCs w:val="24"/>
        </w:rPr>
        <w:t xml:space="preserve"> </w:t>
      </w:r>
      <w:r w:rsidRPr="00D74E8E">
        <w:rPr>
          <w:rFonts w:eastAsiaTheme="minorHAnsi" w:cs="Courier New"/>
          <w:sz w:val="24"/>
          <w:szCs w:val="24"/>
        </w:rPr>
        <w:t>ABLES Program is approved under this ICR. NIOSH is requesting the following revisions:</w:t>
      </w:r>
    </w:p>
    <w:p w14:paraId="2FB95F68" w14:textId="6FA65EB8" w:rsidR="00924E6A" w:rsidRPr="00D74E8E" w:rsidRDefault="00924E6A" w:rsidP="00864E6C">
      <w:pPr>
        <w:pStyle w:val="ListParagraph"/>
        <w:numPr>
          <w:ilvl w:val="0"/>
          <w:numId w:val="6"/>
        </w:numPr>
        <w:spacing w:line="276" w:lineRule="auto"/>
        <w:contextualSpacing w:val="0"/>
        <w:rPr>
          <w:rFonts w:eastAsiaTheme="minorHAnsi" w:cs="Courier New"/>
          <w:sz w:val="24"/>
          <w:szCs w:val="24"/>
        </w:rPr>
      </w:pPr>
      <w:r w:rsidRPr="00D74E8E">
        <w:rPr>
          <w:rFonts w:eastAsiaTheme="minorHAnsi" w:cs="Courier New"/>
          <w:sz w:val="24"/>
          <w:szCs w:val="24"/>
        </w:rPr>
        <w:t>Provision of detailed descriptions previously omitted about the authority and scope of the ABLES information reporting procedures</w:t>
      </w:r>
      <w:r w:rsidR="00581066" w:rsidRPr="00D74E8E">
        <w:rPr>
          <w:rFonts w:eastAsiaTheme="minorHAnsi" w:cs="Courier New"/>
          <w:sz w:val="24"/>
          <w:szCs w:val="24"/>
        </w:rPr>
        <w:t xml:space="preserve"> in the HHLPSS ICR (OMB Control No. 0920-0931, expiration date 05/31/2018)</w:t>
      </w:r>
      <w:r w:rsidR="004B1234" w:rsidRPr="00D74E8E">
        <w:rPr>
          <w:rFonts w:eastAsiaTheme="minorHAnsi" w:cs="Courier New"/>
          <w:sz w:val="24"/>
          <w:szCs w:val="24"/>
        </w:rPr>
        <w:t>, and including</w:t>
      </w:r>
      <w:r w:rsidR="00D407DF" w:rsidRPr="00D74E8E">
        <w:rPr>
          <w:rFonts w:eastAsiaTheme="minorHAnsi" w:cs="Courier New"/>
          <w:sz w:val="24"/>
          <w:szCs w:val="24"/>
        </w:rPr>
        <w:t xml:space="preserve"> a description of the “ABLES </w:t>
      </w:r>
      <w:r w:rsidR="00F73C5A" w:rsidRPr="00D74E8E">
        <w:rPr>
          <w:rFonts w:eastAsiaTheme="minorHAnsi" w:cs="Courier New"/>
          <w:sz w:val="24"/>
          <w:szCs w:val="24"/>
        </w:rPr>
        <w:t>Case Records</w:t>
      </w:r>
      <w:r w:rsidR="005B332D" w:rsidRPr="00D74E8E">
        <w:rPr>
          <w:rFonts w:eastAsiaTheme="minorHAnsi" w:cs="Courier New"/>
          <w:sz w:val="24"/>
          <w:szCs w:val="24"/>
        </w:rPr>
        <w:t xml:space="preserve"> Form</w:t>
      </w:r>
      <w:r w:rsidR="004B1234" w:rsidRPr="00D74E8E">
        <w:rPr>
          <w:rFonts w:eastAsiaTheme="minorHAnsi" w:cs="Courier New"/>
          <w:sz w:val="24"/>
          <w:szCs w:val="24"/>
        </w:rPr>
        <w:t>”</w:t>
      </w:r>
      <w:r w:rsidR="00F73C5A" w:rsidRPr="00D74E8E">
        <w:rPr>
          <w:rFonts w:eastAsiaTheme="minorHAnsi" w:cs="Courier New"/>
          <w:sz w:val="24"/>
          <w:szCs w:val="24"/>
        </w:rPr>
        <w:t xml:space="preserve"> and </w:t>
      </w:r>
      <w:r w:rsidR="0090377B" w:rsidRPr="00D74E8E">
        <w:rPr>
          <w:rFonts w:eastAsiaTheme="minorHAnsi" w:cs="Courier New"/>
          <w:sz w:val="24"/>
          <w:szCs w:val="24"/>
        </w:rPr>
        <w:t xml:space="preserve">the </w:t>
      </w:r>
      <w:r w:rsidR="00F73C5A" w:rsidRPr="00D74E8E">
        <w:rPr>
          <w:rFonts w:eastAsiaTheme="minorHAnsi" w:cs="Courier New"/>
          <w:sz w:val="24"/>
          <w:szCs w:val="24"/>
        </w:rPr>
        <w:t>“ABLES Aggregate Records</w:t>
      </w:r>
      <w:r w:rsidR="005B332D" w:rsidRPr="00D74E8E">
        <w:rPr>
          <w:rFonts w:eastAsiaTheme="minorHAnsi" w:cs="Courier New"/>
          <w:sz w:val="24"/>
          <w:szCs w:val="24"/>
        </w:rPr>
        <w:t xml:space="preserve"> Form</w:t>
      </w:r>
      <w:r w:rsidR="00F73C5A" w:rsidRPr="00D74E8E">
        <w:rPr>
          <w:rFonts w:eastAsiaTheme="minorHAnsi" w:cs="Courier New"/>
          <w:sz w:val="24"/>
          <w:szCs w:val="24"/>
        </w:rPr>
        <w:t>”</w:t>
      </w:r>
      <w:r w:rsidR="00C7748F" w:rsidRPr="00D74E8E">
        <w:rPr>
          <w:rFonts w:eastAsiaTheme="minorHAnsi" w:cs="Courier New"/>
          <w:sz w:val="24"/>
          <w:szCs w:val="24"/>
        </w:rPr>
        <w:t xml:space="preserve"> (</w:t>
      </w:r>
      <w:r w:rsidR="00C7748F" w:rsidRPr="00D74E8E">
        <w:rPr>
          <w:rFonts w:eastAsiaTheme="minorHAnsi" w:cs="Courier New"/>
          <w:b/>
          <w:sz w:val="24"/>
          <w:szCs w:val="24"/>
        </w:rPr>
        <w:t>Attachments 5c &amp; 5d</w:t>
      </w:r>
      <w:r w:rsidR="00C7748F" w:rsidRPr="00D74E8E">
        <w:rPr>
          <w:rFonts w:eastAsiaTheme="minorHAnsi" w:cs="Courier New"/>
          <w:sz w:val="24"/>
          <w:szCs w:val="24"/>
        </w:rPr>
        <w:t>).</w:t>
      </w:r>
    </w:p>
    <w:p w14:paraId="758DE355" w14:textId="490E482E" w:rsidR="00924E6A" w:rsidRPr="00D74E8E" w:rsidRDefault="00924E6A" w:rsidP="00864E6C">
      <w:pPr>
        <w:pStyle w:val="ListParagraph"/>
        <w:numPr>
          <w:ilvl w:val="0"/>
          <w:numId w:val="6"/>
        </w:numPr>
        <w:spacing w:line="276" w:lineRule="auto"/>
        <w:contextualSpacing w:val="0"/>
        <w:rPr>
          <w:rFonts w:eastAsiaTheme="minorHAnsi" w:cs="Courier New"/>
          <w:sz w:val="24"/>
          <w:szCs w:val="24"/>
        </w:rPr>
      </w:pPr>
      <w:r w:rsidRPr="00D74E8E">
        <w:rPr>
          <w:rFonts w:eastAsiaTheme="minorHAnsi" w:cs="Courier New"/>
          <w:sz w:val="24"/>
          <w:szCs w:val="24"/>
        </w:rPr>
        <w:t xml:space="preserve">Addition of </w:t>
      </w:r>
      <w:r w:rsidR="002106C4" w:rsidRPr="00D74E8E">
        <w:rPr>
          <w:rFonts w:eastAsiaTheme="minorHAnsi" w:cs="Courier New"/>
          <w:sz w:val="24"/>
          <w:szCs w:val="24"/>
        </w:rPr>
        <w:t xml:space="preserve">40 </w:t>
      </w:r>
      <w:r w:rsidRPr="00D74E8E">
        <w:rPr>
          <w:rFonts w:eastAsiaTheme="minorHAnsi" w:cs="Courier New"/>
          <w:sz w:val="24"/>
          <w:szCs w:val="24"/>
        </w:rPr>
        <w:t>NIOSH respondents to the burden table, which were omitted from the previous HHLPSS ICRs in 2012 and 2015.</w:t>
      </w:r>
    </w:p>
    <w:p w14:paraId="5F5729D1" w14:textId="6CD0EE9C" w:rsidR="00924E6A" w:rsidRPr="00D74E8E" w:rsidRDefault="00924E6A" w:rsidP="00864E6C">
      <w:pPr>
        <w:pStyle w:val="ListParagraph"/>
        <w:numPr>
          <w:ilvl w:val="0"/>
          <w:numId w:val="6"/>
        </w:numPr>
        <w:spacing w:line="276" w:lineRule="auto"/>
        <w:contextualSpacing w:val="0"/>
        <w:rPr>
          <w:rFonts w:eastAsiaTheme="minorHAnsi" w:cs="Courier New"/>
          <w:sz w:val="24"/>
          <w:szCs w:val="24"/>
        </w:rPr>
      </w:pPr>
      <w:r w:rsidRPr="00D74E8E">
        <w:rPr>
          <w:rFonts w:eastAsiaTheme="minorHAnsi" w:cs="Courier New"/>
          <w:sz w:val="24"/>
          <w:szCs w:val="24"/>
        </w:rPr>
        <w:t xml:space="preserve">Addition of </w:t>
      </w:r>
      <w:r w:rsidR="00A44694" w:rsidRPr="00D74E8E">
        <w:rPr>
          <w:rFonts w:eastAsiaTheme="minorHAnsi" w:cs="Courier New"/>
          <w:sz w:val="24"/>
          <w:szCs w:val="24"/>
        </w:rPr>
        <w:t>280</w:t>
      </w:r>
      <w:r w:rsidRPr="00D74E8E">
        <w:rPr>
          <w:rFonts w:eastAsiaTheme="minorHAnsi" w:cs="Courier New"/>
          <w:sz w:val="24"/>
          <w:szCs w:val="24"/>
        </w:rPr>
        <w:t xml:space="preserve"> hours for the NIOSH annual time burden, to correct for the previous omission.</w:t>
      </w:r>
    </w:p>
    <w:p w14:paraId="56926E6F" w14:textId="75F20A56" w:rsidR="00EC01D7" w:rsidRPr="00D74E8E" w:rsidRDefault="00EC01D7" w:rsidP="00864E6C">
      <w:pPr>
        <w:pStyle w:val="ListParagraph"/>
        <w:numPr>
          <w:ilvl w:val="0"/>
          <w:numId w:val="6"/>
        </w:numPr>
        <w:spacing w:line="276" w:lineRule="auto"/>
        <w:contextualSpacing w:val="0"/>
        <w:rPr>
          <w:rFonts w:eastAsiaTheme="minorHAnsi" w:cs="Courier New"/>
          <w:sz w:val="24"/>
          <w:szCs w:val="24"/>
        </w:rPr>
      </w:pPr>
      <w:r w:rsidRPr="00D74E8E">
        <w:rPr>
          <w:sz w:val="24"/>
          <w:szCs w:val="24"/>
        </w:rPr>
        <w:t xml:space="preserve">Once approved in this new ICR, CDC will submit a change request to remove </w:t>
      </w:r>
      <w:r w:rsidR="00AC7455">
        <w:rPr>
          <w:sz w:val="24"/>
          <w:szCs w:val="24"/>
        </w:rPr>
        <w:t>the discussion</w:t>
      </w:r>
      <w:r w:rsidR="00613FCC">
        <w:rPr>
          <w:sz w:val="24"/>
          <w:szCs w:val="24"/>
        </w:rPr>
        <w:t xml:space="preserve"> of </w:t>
      </w:r>
      <w:r w:rsidRPr="00D74E8E">
        <w:rPr>
          <w:sz w:val="24"/>
          <w:szCs w:val="24"/>
        </w:rPr>
        <w:t>ABLES from the existing HHLPSS ICR (OMB Control No. 0920-0931, expiration date 05/31/201</w:t>
      </w:r>
      <w:r w:rsidR="00A44694" w:rsidRPr="00D74E8E">
        <w:rPr>
          <w:sz w:val="24"/>
          <w:szCs w:val="24"/>
        </w:rPr>
        <w:t>8</w:t>
      </w:r>
      <w:r w:rsidRPr="00D74E8E">
        <w:rPr>
          <w:sz w:val="24"/>
          <w:szCs w:val="24"/>
        </w:rPr>
        <w:t>) to avoid duplication in PRA clearance.</w:t>
      </w:r>
    </w:p>
    <w:p w14:paraId="34436D47" w14:textId="0A40ADF7" w:rsidR="00054F25" w:rsidRPr="00D74E8E" w:rsidRDefault="00924E6A" w:rsidP="00AA2B8A">
      <w:pPr>
        <w:spacing w:line="276" w:lineRule="auto"/>
        <w:rPr>
          <w:rFonts w:eastAsiaTheme="minorHAnsi" w:cs="Courier New"/>
          <w:sz w:val="24"/>
          <w:szCs w:val="24"/>
        </w:rPr>
      </w:pPr>
      <w:r w:rsidRPr="00D74E8E">
        <w:rPr>
          <w:rFonts w:eastAsiaTheme="minorHAnsi" w:cs="Courier New"/>
          <w:sz w:val="24"/>
          <w:szCs w:val="24"/>
        </w:rPr>
        <w:t xml:space="preserve">In total, CDC is requesting approval for a total time burden of </w:t>
      </w:r>
      <w:r w:rsidR="00565FF5" w:rsidRPr="00D74E8E">
        <w:rPr>
          <w:rFonts w:eastAsiaTheme="minorHAnsi" w:cs="Courier New"/>
          <w:sz w:val="24"/>
          <w:szCs w:val="24"/>
        </w:rPr>
        <w:t>1,040</w:t>
      </w:r>
      <w:r w:rsidRPr="00D74E8E">
        <w:rPr>
          <w:rFonts w:eastAsiaTheme="minorHAnsi" w:cs="Courier New"/>
          <w:sz w:val="24"/>
          <w:szCs w:val="24"/>
        </w:rPr>
        <w:t xml:space="preserve"> hours (net increase of </w:t>
      </w:r>
      <w:r w:rsidR="00565FF5" w:rsidRPr="00D74E8E">
        <w:rPr>
          <w:rFonts w:eastAsiaTheme="minorHAnsi" w:cs="Courier New"/>
          <w:sz w:val="24"/>
          <w:szCs w:val="24"/>
        </w:rPr>
        <w:t>400</w:t>
      </w:r>
      <w:r w:rsidRPr="00D74E8E">
        <w:rPr>
          <w:rFonts w:eastAsiaTheme="minorHAnsi" w:cs="Courier New"/>
          <w:sz w:val="24"/>
          <w:szCs w:val="24"/>
        </w:rPr>
        <w:t xml:space="preserve"> hours)</w:t>
      </w:r>
      <w:r w:rsidR="00E37B94" w:rsidRPr="00D74E8E">
        <w:rPr>
          <w:rFonts w:eastAsiaTheme="minorHAnsi" w:cs="Courier New"/>
          <w:sz w:val="24"/>
          <w:szCs w:val="24"/>
        </w:rPr>
        <w:t xml:space="preserve"> over the </w:t>
      </w:r>
      <w:r w:rsidR="005965A7" w:rsidRPr="00D74E8E">
        <w:rPr>
          <w:rFonts w:eastAsiaTheme="minorHAnsi" w:cs="Courier New"/>
          <w:sz w:val="24"/>
          <w:szCs w:val="24"/>
        </w:rPr>
        <w:t>HHLPSS</w:t>
      </w:r>
      <w:r w:rsidR="00E37B94" w:rsidRPr="00D74E8E">
        <w:rPr>
          <w:rFonts w:eastAsiaTheme="minorHAnsi" w:cs="Courier New"/>
          <w:sz w:val="24"/>
          <w:szCs w:val="24"/>
        </w:rPr>
        <w:t xml:space="preserve"> ICR</w:t>
      </w:r>
      <w:r w:rsidR="00BC3D66" w:rsidRPr="00D74E8E">
        <w:rPr>
          <w:rFonts w:eastAsiaTheme="minorHAnsi" w:cs="Courier New"/>
          <w:sz w:val="24"/>
          <w:szCs w:val="24"/>
        </w:rPr>
        <w:t xml:space="preserve"> </w:t>
      </w:r>
      <w:r w:rsidR="00E37B94" w:rsidRPr="00D74E8E">
        <w:rPr>
          <w:rFonts w:eastAsiaTheme="minorHAnsi" w:cs="Courier New"/>
          <w:sz w:val="24"/>
          <w:szCs w:val="24"/>
        </w:rPr>
        <w:t>(</w:t>
      </w:r>
      <w:r w:rsidR="00BC3D66" w:rsidRPr="00D74E8E">
        <w:rPr>
          <w:rFonts w:eastAsiaTheme="minorHAnsi" w:cs="Courier New"/>
          <w:sz w:val="24"/>
          <w:szCs w:val="24"/>
        </w:rPr>
        <w:t>OMB Control No. 0920-0931, expiration date 05/31/2018).</w:t>
      </w:r>
    </w:p>
    <w:p w14:paraId="04966E2D" w14:textId="3C6DD262" w:rsidR="003248A4" w:rsidRPr="00D74E8E" w:rsidRDefault="00601F1A" w:rsidP="00AA2B8A">
      <w:pPr>
        <w:pStyle w:val="Heading1"/>
        <w:rPr>
          <w:color w:val="auto"/>
        </w:rPr>
      </w:pPr>
      <w:bookmarkStart w:id="19" w:name="_Toc494815293"/>
      <w:r w:rsidRPr="00D74E8E">
        <w:rPr>
          <w:color w:val="auto"/>
        </w:rPr>
        <w:t>A.</w:t>
      </w:r>
      <w:r w:rsidR="00AC62CC" w:rsidRPr="00D74E8E">
        <w:rPr>
          <w:color w:val="auto"/>
        </w:rPr>
        <w:t xml:space="preserve">16. </w:t>
      </w:r>
      <w:r w:rsidR="00B45002" w:rsidRPr="00D74E8E">
        <w:rPr>
          <w:color w:val="auto"/>
        </w:rPr>
        <w:t>Plans for Tabulation and Publication and Project Time Schedule</w:t>
      </w:r>
      <w:bookmarkEnd w:id="19"/>
    </w:p>
    <w:p w14:paraId="0EA4A83E" w14:textId="01DF601F" w:rsidR="00603200" w:rsidRPr="00D74E8E" w:rsidRDefault="00603200" w:rsidP="00913CBD">
      <w:pPr>
        <w:spacing w:before="240"/>
        <w:jc w:val="center"/>
        <w:rPr>
          <w:rFonts w:cs="Times New Roman"/>
          <w:sz w:val="24"/>
          <w:szCs w:val="24"/>
        </w:rPr>
      </w:pPr>
      <w:r w:rsidRPr="00D74E8E">
        <w:rPr>
          <w:rFonts w:cs="Times New Roman"/>
          <w:sz w:val="24"/>
          <w:szCs w:val="24"/>
        </w:rPr>
        <w:t>CBLS Project Timeline (Recurring timeline for 3 years)</w:t>
      </w:r>
    </w:p>
    <w:tbl>
      <w:tblPr>
        <w:tblStyle w:val="TableGrid"/>
        <w:tblW w:w="9445" w:type="dxa"/>
        <w:tblLook w:val="04A0" w:firstRow="1" w:lastRow="0" w:firstColumn="1" w:lastColumn="0" w:noHBand="0" w:noVBand="1"/>
      </w:tblPr>
      <w:tblGrid>
        <w:gridCol w:w="4675"/>
        <w:gridCol w:w="4770"/>
      </w:tblGrid>
      <w:tr w:rsidR="00D74E8E" w:rsidRPr="00D74E8E" w14:paraId="46E66349" w14:textId="77777777" w:rsidTr="0074061F">
        <w:tc>
          <w:tcPr>
            <w:tcW w:w="9445" w:type="dxa"/>
            <w:gridSpan w:val="2"/>
            <w:vAlign w:val="center"/>
          </w:tcPr>
          <w:p w14:paraId="129A5CCA" w14:textId="1915B047" w:rsidR="003C21A1" w:rsidRPr="00AA2B8A" w:rsidRDefault="00141A3D" w:rsidP="0074061F">
            <w:pPr>
              <w:jc w:val="center"/>
              <w:rPr>
                <w:b/>
                <w:sz w:val="20"/>
                <w:szCs w:val="20"/>
              </w:rPr>
            </w:pPr>
            <w:r w:rsidRPr="00AA2B8A">
              <w:rPr>
                <w:b/>
                <w:sz w:val="20"/>
                <w:szCs w:val="20"/>
              </w:rPr>
              <w:t xml:space="preserve">CBLS </w:t>
            </w:r>
            <w:r w:rsidR="003C21A1" w:rsidRPr="00AA2B8A">
              <w:rPr>
                <w:b/>
                <w:sz w:val="20"/>
                <w:szCs w:val="20"/>
              </w:rPr>
              <w:t>Project Time Schedule</w:t>
            </w:r>
          </w:p>
        </w:tc>
      </w:tr>
      <w:tr w:rsidR="00D74E8E" w:rsidRPr="00D74E8E" w14:paraId="638A7FA3" w14:textId="77777777" w:rsidTr="0074061F">
        <w:tc>
          <w:tcPr>
            <w:tcW w:w="4675" w:type="dxa"/>
            <w:vAlign w:val="center"/>
          </w:tcPr>
          <w:p w14:paraId="0F7BC050" w14:textId="1628E485" w:rsidR="003C21A1" w:rsidRPr="00AA2B8A" w:rsidRDefault="003C21A1" w:rsidP="0074061F">
            <w:pPr>
              <w:jc w:val="center"/>
              <w:rPr>
                <w:b/>
                <w:sz w:val="20"/>
                <w:szCs w:val="20"/>
              </w:rPr>
            </w:pPr>
            <w:r w:rsidRPr="00AA2B8A">
              <w:rPr>
                <w:b/>
                <w:sz w:val="20"/>
                <w:szCs w:val="20"/>
              </w:rPr>
              <w:t>Activity</w:t>
            </w:r>
          </w:p>
        </w:tc>
        <w:tc>
          <w:tcPr>
            <w:tcW w:w="4770" w:type="dxa"/>
            <w:vAlign w:val="center"/>
          </w:tcPr>
          <w:p w14:paraId="198D79E8" w14:textId="39D38407" w:rsidR="003C21A1" w:rsidRPr="00AA2B8A" w:rsidRDefault="003C21A1" w:rsidP="0074061F">
            <w:pPr>
              <w:jc w:val="center"/>
              <w:rPr>
                <w:b/>
                <w:sz w:val="20"/>
                <w:szCs w:val="20"/>
              </w:rPr>
            </w:pPr>
            <w:r w:rsidRPr="00AA2B8A">
              <w:rPr>
                <w:b/>
                <w:sz w:val="20"/>
                <w:szCs w:val="20"/>
              </w:rPr>
              <w:t>Time Schedule</w:t>
            </w:r>
          </w:p>
        </w:tc>
      </w:tr>
      <w:tr w:rsidR="00D74E8E" w:rsidRPr="00D74E8E" w14:paraId="67DDDE7C" w14:textId="77777777" w:rsidTr="0074061F">
        <w:tc>
          <w:tcPr>
            <w:tcW w:w="4675" w:type="dxa"/>
            <w:vAlign w:val="center"/>
          </w:tcPr>
          <w:p w14:paraId="534F7F8F" w14:textId="493DC870" w:rsidR="00EE08F8" w:rsidRPr="00D74E8E" w:rsidRDefault="00EE08F8" w:rsidP="0074061F">
            <w:pPr>
              <w:jc w:val="center"/>
              <w:rPr>
                <w:sz w:val="20"/>
                <w:szCs w:val="20"/>
              </w:rPr>
            </w:pPr>
            <w:r w:rsidRPr="00D74E8E">
              <w:rPr>
                <w:rFonts w:cs="ITCFranklinGothicStd-BkCd"/>
                <w:sz w:val="20"/>
                <w:szCs w:val="20"/>
              </w:rPr>
              <w:t>States</w:t>
            </w:r>
            <w:r w:rsidR="004D4515" w:rsidRPr="00D74E8E">
              <w:rPr>
                <w:rFonts w:cs="ITCFranklinGothicStd-BkCd"/>
                <w:sz w:val="20"/>
                <w:szCs w:val="20"/>
              </w:rPr>
              <w:t xml:space="preserve"> deliver </w:t>
            </w:r>
            <w:r w:rsidR="008B686F" w:rsidRPr="00D74E8E">
              <w:rPr>
                <w:rFonts w:cs="ITCFranklinGothicStd-BkCd"/>
                <w:sz w:val="20"/>
                <w:szCs w:val="20"/>
              </w:rPr>
              <w:t>FY</w:t>
            </w:r>
            <w:r w:rsidR="004D4515" w:rsidRPr="00D74E8E">
              <w:rPr>
                <w:rFonts w:cs="ITCFranklinGothicStd-BkCd"/>
                <w:sz w:val="20"/>
                <w:szCs w:val="20"/>
              </w:rPr>
              <w:t>17 Q1 (Oct-Dec, 2017) data</w:t>
            </w:r>
          </w:p>
        </w:tc>
        <w:tc>
          <w:tcPr>
            <w:tcW w:w="4770" w:type="dxa"/>
            <w:vAlign w:val="center"/>
          </w:tcPr>
          <w:p w14:paraId="2BDD67A5" w14:textId="623F4D13" w:rsidR="00EE08F8" w:rsidRPr="00D74E8E" w:rsidRDefault="004D4515" w:rsidP="0074061F">
            <w:pPr>
              <w:jc w:val="center"/>
              <w:rPr>
                <w:sz w:val="20"/>
                <w:szCs w:val="20"/>
              </w:rPr>
            </w:pPr>
            <w:r w:rsidRPr="00D74E8E">
              <w:rPr>
                <w:rFonts w:cs="ITCFranklinGothicStd-BkCd"/>
                <w:sz w:val="20"/>
                <w:szCs w:val="20"/>
              </w:rPr>
              <w:t xml:space="preserve">By end of </w:t>
            </w:r>
            <w:r w:rsidR="008B686F" w:rsidRPr="00D74E8E">
              <w:rPr>
                <w:rFonts w:cs="ITCFranklinGothicStd-BkCd"/>
                <w:sz w:val="20"/>
                <w:szCs w:val="20"/>
              </w:rPr>
              <w:t>FY</w:t>
            </w:r>
            <w:r w:rsidRPr="00D74E8E">
              <w:rPr>
                <w:rFonts w:cs="ITCFranklinGothicStd-BkCd"/>
                <w:sz w:val="20"/>
                <w:szCs w:val="20"/>
              </w:rPr>
              <w:t>17 Q2 (March 31, 2018)</w:t>
            </w:r>
          </w:p>
        </w:tc>
      </w:tr>
      <w:tr w:rsidR="00D74E8E" w:rsidRPr="00D74E8E" w14:paraId="1DEC6E1E" w14:textId="77777777" w:rsidTr="0074061F">
        <w:tc>
          <w:tcPr>
            <w:tcW w:w="4675" w:type="dxa"/>
            <w:vAlign w:val="center"/>
          </w:tcPr>
          <w:p w14:paraId="7C3089FD" w14:textId="3C2D7FB8" w:rsidR="00EE08F8" w:rsidRPr="00D74E8E" w:rsidRDefault="00BB0EBE" w:rsidP="0074061F">
            <w:pPr>
              <w:jc w:val="center"/>
              <w:rPr>
                <w:rFonts w:cs="ITCFranklinGothicStd-BkCd"/>
                <w:sz w:val="20"/>
                <w:szCs w:val="20"/>
              </w:rPr>
            </w:pPr>
            <w:r w:rsidRPr="00D74E8E">
              <w:rPr>
                <w:rFonts w:cs="ITCFranklinGothicStd-BkCd"/>
                <w:sz w:val="20"/>
                <w:szCs w:val="20"/>
              </w:rPr>
              <w:t xml:space="preserve">Q1 </w:t>
            </w:r>
            <w:r w:rsidR="004D4515" w:rsidRPr="00D74E8E">
              <w:rPr>
                <w:rFonts w:cs="ITCFranklinGothicStd-BkCd"/>
                <w:sz w:val="20"/>
                <w:szCs w:val="20"/>
              </w:rPr>
              <w:t>CBLS Data Cleaning and Quality Control</w:t>
            </w:r>
          </w:p>
          <w:p w14:paraId="45AD2811" w14:textId="43B8DA07" w:rsidR="007A024A" w:rsidRPr="00D74E8E" w:rsidRDefault="00721FE0" w:rsidP="0074061F">
            <w:pPr>
              <w:jc w:val="center"/>
              <w:rPr>
                <w:sz w:val="20"/>
                <w:szCs w:val="20"/>
              </w:rPr>
            </w:pPr>
            <w:r w:rsidRPr="00D74E8E">
              <w:rPr>
                <w:rFonts w:cs="ITCFranklinGothicStd-BkCd"/>
                <w:sz w:val="20"/>
                <w:szCs w:val="20"/>
              </w:rPr>
              <w:t>Processing</w:t>
            </w:r>
            <w:r w:rsidR="0035220C" w:rsidRPr="00D74E8E">
              <w:rPr>
                <w:rFonts w:cs="ITCFranklinGothicStd-BkCd"/>
                <w:sz w:val="20"/>
                <w:szCs w:val="20"/>
              </w:rPr>
              <w:t xml:space="preserve"> </w:t>
            </w:r>
            <w:r w:rsidR="007A024A" w:rsidRPr="00D74E8E">
              <w:rPr>
                <w:rFonts w:cs="ITCFranklinGothicStd-BkCd"/>
                <w:sz w:val="20"/>
                <w:szCs w:val="20"/>
              </w:rPr>
              <w:t>Reports sent to States</w:t>
            </w:r>
          </w:p>
        </w:tc>
        <w:tc>
          <w:tcPr>
            <w:tcW w:w="4770" w:type="dxa"/>
            <w:vAlign w:val="center"/>
          </w:tcPr>
          <w:p w14:paraId="1EE6F908" w14:textId="317CAA52" w:rsidR="00EE08F8" w:rsidRPr="00D74E8E" w:rsidRDefault="008B686F" w:rsidP="0074061F">
            <w:pPr>
              <w:jc w:val="center"/>
              <w:rPr>
                <w:sz w:val="20"/>
                <w:szCs w:val="20"/>
              </w:rPr>
            </w:pPr>
            <w:r w:rsidRPr="00D74E8E">
              <w:rPr>
                <w:rFonts w:cs="ITCFranklinGothicStd-BkCd"/>
                <w:sz w:val="20"/>
                <w:szCs w:val="20"/>
              </w:rPr>
              <w:t>FY</w:t>
            </w:r>
            <w:r w:rsidR="004D4515" w:rsidRPr="00D74E8E">
              <w:rPr>
                <w:rFonts w:cs="ITCFranklinGothicStd-BkCd"/>
                <w:sz w:val="20"/>
                <w:szCs w:val="20"/>
              </w:rPr>
              <w:t>17 Q3 (April-June, 2018)</w:t>
            </w:r>
          </w:p>
        </w:tc>
      </w:tr>
      <w:tr w:rsidR="00D74E8E" w:rsidRPr="00D74E8E" w14:paraId="357BE735" w14:textId="77777777" w:rsidTr="0074061F">
        <w:tc>
          <w:tcPr>
            <w:tcW w:w="4675" w:type="dxa"/>
            <w:vAlign w:val="center"/>
          </w:tcPr>
          <w:p w14:paraId="12492FF2" w14:textId="169ECC28" w:rsidR="004D4515" w:rsidRPr="00D74E8E" w:rsidRDefault="004D4515" w:rsidP="0074061F">
            <w:pPr>
              <w:jc w:val="center"/>
              <w:rPr>
                <w:sz w:val="20"/>
                <w:szCs w:val="20"/>
              </w:rPr>
            </w:pPr>
            <w:r w:rsidRPr="00D74E8E">
              <w:rPr>
                <w:rFonts w:cs="ITCFranklinGothicStd-BkCd"/>
                <w:sz w:val="20"/>
                <w:szCs w:val="20"/>
              </w:rPr>
              <w:t xml:space="preserve">States deliver </w:t>
            </w:r>
            <w:r w:rsidR="008B686F" w:rsidRPr="00D74E8E">
              <w:rPr>
                <w:rFonts w:cs="ITCFranklinGothicStd-BkCd"/>
                <w:sz w:val="20"/>
                <w:szCs w:val="20"/>
              </w:rPr>
              <w:t>FY</w:t>
            </w:r>
            <w:r w:rsidRPr="00D74E8E">
              <w:rPr>
                <w:rFonts w:cs="ITCFranklinGothicStd-BkCd"/>
                <w:sz w:val="20"/>
                <w:szCs w:val="20"/>
              </w:rPr>
              <w:t>17 Q2 (Jan-Mar, 2018) data</w:t>
            </w:r>
          </w:p>
        </w:tc>
        <w:tc>
          <w:tcPr>
            <w:tcW w:w="4770" w:type="dxa"/>
            <w:vAlign w:val="center"/>
          </w:tcPr>
          <w:p w14:paraId="1CC10F7D" w14:textId="650ACF21" w:rsidR="004D4515" w:rsidRPr="00D74E8E" w:rsidRDefault="004D4515" w:rsidP="0074061F">
            <w:pPr>
              <w:jc w:val="center"/>
              <w:rPr>
                <w:sz w:val="20"/>
                <w:szCs w:val="20"/>
              </w:rPr>
            </w:pPr>
            <w:r w:rsidRPr="00D74E8E">
              <w:rPr>
                <w:rFonts w:cs="ITCFranklinGothicStd-BkCd"/>
                <w:sz w:val="20"/>
                <w:szCs w:val="20"/>
              </w:rPr>
              <w:t xml:space="preserve">By end of </w:t>
            </w:r>
            <w:r w:rsidR="008B686F" w:rsidRPr="00D74E8E">
              <w:rPr>
                <w:rFonts w:cs="ITCFranklinGothicStd-BkCd"/>
                <w:sz w:val="20"/>
                <w:szCs w:val="20"/>
              </w:rPr>
              <w:t>FY</w:t>
            </w:r>
            <w:r w:rsidRPr="00D74E8E">
              <w:rPr>
                <w:rFonts w:cs="ITCFranklinGothicStd-BkCd"/>
                <w:sz w:val="20"/>
                <w:szCs w:val="20"/>
              </w:rPr>
              <w:t>17 Q3 (June 30, 2018)</w:t>
            </w:r>
          </w:p>
        </w:tc>
      </w:tr>
      <w:tr w:rsidR="00D74E8E" w:rsidRPr="00D74E8E" w14:paraId="66553B6E" w14:textId="77777777" w:rsidTr="0074061F">
        <w:tc>
          <w:tcPr>
            <w:tcW w:w="4675" w:type="dxa"/>
            <w:vAlign w:val="center"/>
          </w:tcPr>
          <w:p w14:paraId="7364274A" w14:textId="289FE537" w:rsidR="004D4515" w:rsidRPr="00D74E8E" w:rsidRDefault="00BB0EBE" w:rsidP="0074061F">
            <w:pPr>
              <w:jc w:val="center"/>
              <w:rPr>
                <w:rFonts w:cs="ITCFranklinGothicStd-BkCd"/>
                <w:sz w:val="20"/>
                <w:szCs w:val="20"/>
              </w:rPr>
            </w:pPr>
            <w:r w:rsidRPr="00D74E8E">
              <w:rPr>
                <w:rFonts w:cs="ITCFranklinGothicStd-BkCd"/>
                <w:sz w:val="20"/>
                <w:szCs w:val="20"/>
              </w:rPr>
              <w:t xml:space="preserve">Q2 </w:t>
            </w:r>
            <w:r w:rsidR="004D4515" w:rsidRPr="00D74E8E">
              <w:rPr>
                <w:rFonts w:cs="ITCFranklinGothicStd-BkCd"/>
                <w:sz w:val="20"/>
                <w:szCs w:val="20"/>
              </w:rPr>
              <w:t>CBLS Data Cleaning and Quality Control</w:t>
            </w:r>
          </w:p>
          <w:p w14:paraId="6D61A9F4" w14:textId="259116CF" w:rsidR="007A024A" w:rsidRPr="00D74E8E" w:rsidRDefault="00721FE0" w:rsidP="0074061F">
            <w:pPr>
              <w:jc w:val="center"/>
              <w:rPr>
                <w:sz w:val="20"/>
                <w:szCs w:val="20"/>
              </w:rPr>
            </w:pPr>
            <w:r w:rsidRPr="00D74E8E">
              <w:rPr>
                <w:rFonts w:cs="ITCFranklinGothicStd-BkCd"/>
                <w:sz w:val="20"/>
                <w:szCs w:val="20"/>
              </w:rPr>
              <w:t>Processing</w:t>
            </w:r>
            <w:r w:rsidR="0035220C" w:rsidRPr="00D74E8E">
              <w:rPr>
                <w:rFonts w:cs="ITCFranklinGothicStd-BkCd"/>
                <w:sz w:val="20"/>
                <w:szCs w:val="20"/>
              </w:rPr>
              <w:t xml:space="preserve"> </w:t>
            </w:r>
            <w:r w:rsidR="007A024A" w:rsidRPr="00D74E8E">
              <w:rPr>
                <w:rFonts w:cs="ITCFranklinGothicStd-BkCd"/>
                <w:sz w:val="20"/>
                <w:szCs w:val="20"/>
              </w:rPr>
              <w:t>Reports sent to States</w:t>
            </w:r>
          </w:p>
        </w:tc>
        <w:tc>
          <w:tcPr>
            <w:tcW w:w="4770" w:type="dxa"/>
            <w:vAlign w:val="center"/>
          </w:tcPr>
          <w:p w14:paraId="56C1DD57" w14:textId="6AB91275" w:rsidR="004D4515" w:rsidRPr="00D74E8E" w:rsidRDefault="008B686F" w:rsidP="0074061F">
            <w:pPr>
              <w:jc w:val="center"/>
              <w:rPr>
                <w:sz w:val="20"/>
                <w:szCs w:val="20"/>
              </w:rPr>
            </w:pPr>
            <w:r w:rsidRPr="00D74E8E">
              <w:rPr>
                <w:rFonts w:cs="ITCFranklinGothicStd-BkCd"/>
                <w:sz w:val="20"/>
                <w:szCs w:val="20"/>
              </w:rPr>
              <w:t>FY</w:t>
            </w:r>
            <w:r w:rsidR="009639B8" w:rsidRPr="00D74E8E">
              <w:rPr>
                <w:rFonts w:cs="ITCFranklinGothicStd-BkCd"/>
                <w:sz w:val="20"/>
                <w:szCs w:val="20"/>
              </w:rPr>
              <w:t>17 Q4 (July-September</w:t>
            </w:r>
            <w:r w:rsidR="004D4515" w:rsidRPr="00D74E8E">
              <w:rPr>
                <w:rFonts w:cs="ITCFranklinGothicStd-BkCd"/>
                <w:sz w:val="20"/>
                <w:szCs w:val="20"/>
              </w:rPr>
              <w:t>, 2018)</w:t>
            </w:r>
          </w:p>
        </w:tc>
      </w:tr>
      <w:tr w:rsidR="00D74E8E" w:rsidRPr="00D74E8E" w14:paraId="331CFC36" w14:textId="77777777" w:rsidTr="0074061F">
        <w:tc>
          <w:tcPr>
            <w:tcW w:w="4675" w:type="dxa"/>
            <w:vAlign w:val="center"/>
          </w:tcPr>
          <w:p w14:paraId="49E2EE0B" w14:textId="5905FACE" w:rsidR="003F2787" w:rsidRPr="00D74E8E" w:rsidRDefault="003F2787" w:rsidP="0074061F">
            <w:pPr>
              <w:jc w:val="center"/>
              <w:rPr>
                <w:rFonts w:cs="ITCFranklinGothicStd-BkCd"/>
                <w:sz w:val="20"/>
                <w:szCs w:val="20"/>
              </w:rPr>
            </w:pPr>
            <w:r w:rsidRPr="00D74E8E">
              <w:rPr>
                <w:rFonts w:cs="ITCFranklinGothicStd-BkCd"/>
                <w:sz w:val="20"/>
                <w:szCs w:val="20"/>
              </w:rPr>
              <w:t xml:space="preserve">States deliver </w:t>
            </w:r>
            <w:r w:rsidR="008B686F" w:rsidRPr="00D74E8E">
              <w:rPr>
                <w:rFonts w:cs="ITCFranklinGothicStd-BkCd"/>
                <w:sz w:val="20"/>
                <w:szCs w:val="20"/>
              </w:rPr>
              <w:t>FY</w:t>
            </w:r>
            <w:r w:rsidRPr="00D74E8E">
              <w:rPr>
                <w:rFonts w:cs="ITCFranklinGothicStd-BkCd"/>
                <w:sz w:val="20"/>
                <w:szCs w:val="20"/>
              </w:rPr>
              <w:t>17 Q3 (Apr-Jun, 2018) data</w:t>
            </w:r>
          </w:p>
        </w:tc>
        <w:tc>
          <w:tcPr>
            <w:tcW w:w="4770" w:type="dxa"/>
            <w:vAlign w:val="center"/>
          </w:tcPr>
          <w:p w14:paraId="21D2E80D" w14:textId="557384AE" w:rsidR="003F2787" w:rsidRPr="00D74E8E" w:rsidRDefault="003F2787" w:rsidP="0074061F">
            <w:pPr>
              <w:jc w:val="center"/>
              <w:rPr>
                <w:rFonts w:cs="ITCFranklinGothicStd-BkCd"/>
                <w:sz w:val="20"/>
                <w:szCs w:val="20"/>
              </w:rPr>
            </w:pPr>
            <w:r w:rsidRPr="00D74E8E">
              <w:rPr>
                <w:rFonts w:cs="ITCFranklinGothicStd-BkCd"/>
                <w:sz w:val="20"/>
                <w:szCs w:val="20"/>
              </w:rPr>
              <w:t xml:space="preserve">By end of </w:t>
            </w:r>
            <w:r w:rsidR="008B686F" w:rsidRPr="00D74E8E">
              <w:rPr>
                <w:rFonts w:cs="ITCFranklinGothicStd-BkCd"/>
                <w:sz w:val="20"/>
                <w:szCs w:val="20"/>
              </w:rPr>
              <w:t>FY</w:t>
            </w:r>
            <w:r w:rsidRPr="00D74E8E">
              <w:rPr>
                <w:rFonts w:cs="ITCFranklinGothicStd-BkCd"/>
                <w:sz w:val="20"/>
                <w:szCs w:val="20"/>
              </w:rPr>
              <w:t>17 Q4 (September 30, 2018)</w:t>
            </w:r>
          </w:p>
        </w:tc>
      </w:tr>
      <w:tr w:rsidR="00D74E8E" w:rsidRPr="00D74E8E" w14:paraId="42F898AF" w14:textId="77777777" w:rsidTr="0074061F">
        <w:tc>
          <w:tcPr>
            <w:tcW w:w="4675" w:type="dxa"/>
            <w:vAlign w:val="center"/>
          </w:tcPr>
          <w:p w14:paraId="476824CE" w14:textId="08B081E7" w:rsidR="003F2787" w:rsidRPr="00D74E8E" w:rsidRDefault="00BB0EBE" w:rsidP="0074061F">
            <w:pPr>
              <w:jc w:val="center"/>
              <w:rPr>
                <w:rFonts w:cs="ITCFranklinGothicStd-BkCd"/>
                <w:sz w:val="20"/>
                <w:szCs w:val="20"/>
              </w:rPr>
            </w:pPr>
            <w:r w:rsidRPr="00D74E8E">
              <w:rPr>
                <w:rFonts w:cs="ITCFranklinGothicStd-BkCd"/>
                <w:sz w:val="20"/>
                <w:szCs w:val="20"/>
              </w:rPr>
              <w:t xml:space="preserve">Q3 </w:t>
            </w:r>
            <w:r w:rsidR="003F2787" w:rsidRPr="00D74E8E">
              <w:rPr>
                <w:rFonts w:cs="ITCFranklinGothicStd-BkCd"/>
                <w:sz w:val="20"/>
                <w:szCs w:val="20"/>
              </w:rPr>
              <w:t>CBLS Data Cleaning and Quality Control</w:t>
            </w:r>
          </w:p>
          <w:p w14:paraId="11C7A515" w14:textId="4A24DBFD" w:rsidR="007A024A" w:rsidRPr="00D74E8E" w:rsidRDefault="00721FE0" w:rsidP="0074061F">
            <w:pPr>
              <w:jc w:val="center"/>
              <w:rPr>
                <w:rFonts w:cs="ITCFranklinGothicStd-BkCd"/>
                <w:sz w:val="20"/>
                <w:szCs w:val="20"/>
              </w:rPr>
            </w:pPr>
            <w:r w:rsidRPr="00D74E8E">
              <w:rPr>
                <w:rFonts w:cs="ITCFranklinGothicStd-BkCd"/>
                <w:sz w:val="20"/>
                <w:szCs w:val="20"/>
              </w:rPr>
              <w:t>Processing</w:t>
            </w:r>
            <w:r w:rsidR="0035220C" w:rsidRPr="00D74E8E">
              <w:rPr>
                <w:rFonts w:cs="ITCFranklinGothicStd-BkCd"/>
                <w:sz w:val="20"/>
                <w:szCs w:val="20"/>
              </w:rPr>
              <w:t xml:space="preserve"> </w:t>
            </w:r>
            <w:r w:rsidR="007A024A" w:rsidRPr="00D74E8E">
              <w:rPr>
                <w:rFonts w:cs="ITCFranklinGothicStd-BkCd"/>
                <w:sz w:val="20"/>
                <w:szCs w:val="20"/>
              </w:rPr>
              <w:t>Reports sent to States</w:t>
            </w:r>
          </w:p>
        </w:tc>
        <w:tc>
          <w:tcPr>
            <w:tcW w:w="4770" w:type="dxa"/>
            <w:vAlign w:val="center"/>
          </w:tcPr>
          <w:p w14:paraId="3314E096" w14:textId="4BB5EADD" w:rsidR="003F2787" w:rsidRPr="00D74E8E" w:rsidRDefault="008B686F" w:rsidP="0074061F">
            <w:pPr>
              <w:jc w:val="center"/>
              <w:rPr>
                <w:rFonts w:cs="ITCFranklinGothicStd-BkCd"/>
                <w:sz w:val="20"/>
                <w:szCs w:val="20"/>
              </w:rPr>
            </w:pPr>
            <w:r w:rsidRPr="00D74E8E">
              <w:rPr>
                <w:rFonts w:cs="ITCFranklinGothicStd-BkCd"/>
                <w:sz w:val="20"/>
                <w:szCs w:val="20"/>
              </w:rPr>
              <w:t>FY</w:t>
            </w:r>
            <w:r w:rsidR="003F2787" w:rsidRPr="00D74E8E">
              <w:rPr>
                <w:rFonts w:cs="ITCFranklinGothicStd-BkCd"/>
                <w:sz w:val="20"/>
                <w:szCs w:val="20"/>
              </w:rPr>
              <w:t>18 Q1 (October-December, 2018)</w:t>
            </w:r>
          </w:p>
        </w:tc>
      </w:tr>
      <w:tr w:rsidR="00D74E8E" w:rsidRPr="00D74E8E" w14:paraId="209613DE" w14:textId="77777777" w:rsidTr="0074061F">
        <w:tc>
          <w:tcPr>
            <w:tcW w:w="4675" w:type="dxa"/>
            <w:vAlign w:val="center"/>
          </w:tcPr>
          <w:p w14:paraId="0D70F3B5" w14:textId="1D001075" w:rsidR="0035220C" w:rsidRPr="00D74E8E" w:rsidRDefault="0035220C" w:rsidP="0074061F">
            <w:pPr>
              <w:jc w:val="center"/>
              <w:rPr>
                <w:rFonts w:cs="ITCFranklinGothicStd-BkCd"/>
                <w:sz w:val="20"/>
                <w:szCs w:val="20"/>
              </w:rPr>
            </w:pPr>
            <w:r w:rsidRPr="00D74E8E">
              <w:rPr>
                <w:rFonts w:cs="ITCFranklinGothicStd-BkCd"/>
                <w:sz w:val="20"/>
                <w:szCs w:val="20"/>
              </w:rPr>
              <w:t xml:space="preserve">States deliver </w:t>
            </w:r>
            <w:r w:rsidR="008B686F" w:rsidRPr="00D74E8E">
              <w:rPr>
                <w:rFonts w:cs="ITCFranklinGothicStd-BkCd"/>
                <w:sz w:val="20"/>
                <w:szCs w:val="20"/>
              </w:rPr>
              <w:t>FY</w:t>
            </w:r>
            <w:r w:rsidRPr="00D74E8E">
              <w:rPr>
                <w:rFonts w:cs="ITCFranklinGothicStd-BkCd"/>
                <w:sz w:val="20"/>
                <w:szCs w:val="20"/>
              </w:rPr>
              <w:t>17 Q4 (Jul-Sep, 2018) data</w:t>
            </w:r>
          </w:p>
        </w:tc>
        <w:tc>
          <w:tcPr>
            <w:tcW w:w="4770" w:type="dxa"/>
            <w:vAlign w:val="center"/>
          </w:tcPr>
          <w:p w14:paraId="41421E6D" w14:textId="268408C2" w:rsidR="0035220C" w:rsidRPr="00D74E8E" w:rsidRDefault="0035220C" w:rsidP="0074061F">
            <w:pPr>
              <w:jc w:val="center"/>
              <w:rPr>
                <w:rFonts w:cs="ITCFranklinGothicStd-BkCd"/>
                <w:sz w:val="20"/>
                <w:szCs w:val="20"/>
              </w:rPr>
            </w:pPr>
            <w:r w:rsidRPr="00D74E8E">
              <w:rPr>
                <w:rFonts w:cs="ITCFranklinGothicStd-BkCd"/>
                <w:sz w:val="20"/>
                <w:szCs w:val="20"/>
              </w:rPr>
              <w:t xml:space="preserve">By end of </w:t>
            </w:r>
            <w:r w:rsidR="008B686F" w:rsidRPr="00D74E8E">
              <w:rPr>
                <w:rFonts w:cs="ITCFranklinGothicStd-BkCd"/>
                <w:sz w:val="20"/>
                <w:szCs w:val="20"/>
              </w:rPr>
              <w:t>FY</w:t>
            </w:r>
            <w:r w:rsidRPr="00D74E8E">
              <w:rPr>
                <w:rFonts w:cs="ITCFranklinGothicStd-BkCd"/>
                <w:sz w:val="20"/>
                <w:szCs w:val="20"/>
              </w:rPr>
              <w:t>18 Q1 (December 31, 2018)</w:t>
            </w:r>
          </w:p>
        </w:tc>
      </w:tr>
      <w:tr w:rsidR="00D74E8E" w:rsidRPr="00D74E8E" w14:paraId="3635D695" w14:textId="77777777" w:rsidTr="0074061F">
        <w:tc>
          <w:tcPr>
            <w:tcW w:w="4675" w:type="dxa"/>
            <w:vAlign w:val="center"/>
          </w:tcPr>
          <w:p w14:paraId="485E3FFA" w14:textId="4843B22C" w:rsidR="0035220C" w:rsidRPr="00D74E8E" w:rsidRDefault="00BB0EBE" w:rsidP="0074061F">
            <w:pPr>
              <w:jc w:val="center"/>
              <w:rPr>
                <w:rFonts w:cs="ITCFranklinGothicStd-BkCd"/>
                <w:sz w:val="20"/>
                <w:szCs w:val="20"/>
              </w:rPr>
            </w:pPr>
            <w:r w:rsidRPr="00D74E8E">
              <w:rPr>
                <w:rFonts w:cs="ITCFranklinGothicStd-BkCd"/>
                <w:sz w:val="20"/>
                <w:szCs w:val="20"/>
              </w:rPr>
              <w:t xml:space="preserve">Q4 </w:t>
            </w:r>
            <w:r w:rsidR="0035220C" w:rsidRPr="00D74E8E">
              <w:rPr>
                <w:rFonts w:cs="ITCFranklinGothicStd-BkCd"/>
                <w:sz w:val="20"/>
                <w:szCs w:val="20"/>
              </w:rPr>
              <w:t>CBLS Data Cleaning and Quality Control</w:t>
            </w:r>
          </w:p>
          <w:p w14:paraId="56973014" w14:textId="03185C1F" w:rsidR="0035220C" w:rsidRPr="00D74E8E" w:rsidRDefault="00721FE0" w:rsidP="0074061F">
            <w:pPr>
              <w:jc w:val="center"/>
              <w:rPr>
                <w:rFonts w:cs="ITCFranklinGothicStd-BkCd"/>
                <w:sz w:val="20"/>
                <w:szCs w:val="20"/>
              </w:rPr>
            </w:pPr>
            <w:r w:rsidRPr="00D74E8E">
              <w:rPr>
                <w:rFonts w:cs="ITCFranklinGothicStd-BkCd"/>
                <w:sz w:val="20"/>
                <w:szCs w:val="20"/>
              </w:rPr>
              <w:t>Processing</w:t>
            </w:r>
            <w:r w:rsidR="0035220C" w:rsidRPr="00D74E8E">
              <w:rPr>
                <w:rFonts w:cs="ITCFranklinGothicStd-BkCd"/>
                <w:sz w:val="20"/>
                <w:szCs w:val="20"/>
              </w:rPr>
              <w:t xml:space="preserve"> Reports sent to States</w:t>
            </w:r>
          </w:p>
        </w:tc>
        <w:tc>
          <w:tcPr>
            <w:tcW w:w="4770" w:type="dxa"/>
            <w:vAlign w:val="center"/>
          </w:tcPr>
          <w:p w14:paraId="011C5001" w14:textId="61CB7AA6" w:rsidR="0035220C" w:rsidRPr="00D74E8E" w:rsidRDefault="008B686F" w:rsidP="0074061F">
            <w:pPr>
              <w:jc w:val="center"/>
              <w:rPr>
                <w:rFonts w:cs="ITCFranklinGothicStd-BkCd"/>
                <w:sz w:val="20"/>
                <w:szCs w:val="20"/>
              </w:rPr>
            </w:pPr>
            <w:r w:rsidRPr="00D74E8E">
              <w:rPr>
                <w:rFonts w:cs="ITCFranklinGothicStd-BkCd"/>
                <w:sz w:val="20"/>
                <w:szCs w:val="20"/>
              </w:rPr>
              <w:t>FY</w:t>
            </w:r>
            <w:r w:rsidR="0035220C" w:rsidRPr="00D74E8E">
              <w:rPr>
                <w:rFonts w:cs="ITCFranklinGothicStd-BkCd"/>
                <w:sz w:val="20"/>
                <w:szCs w:val="20"/>
              </w:rPr>
              <w:t>18</w:t>
            </w:r>
            <w:r w:rsidR="00BB0EBE" w:rsidRPr="00D74E8E">
              <w:rPr>
                <w:rFonts w:cs="ITCFranklinGothicStd-BkCd"/>
                <w:sz w:val="20"/>
                <w:szCs w:val="20"/>
              </w:rPr>
              <w:t xml:space="preserve"> Q2</w:t>
            </w:r>
            <w:r w:rsidR="006C2DFB" w:rsidRPr="00D74E8E">
              <w:rPr>
                <w:rFonts w:cs="ITCFranklinGothicStd-BkCd"/>
                <w:sz w:val="20"/>
                <w:szCs w:val="20"/>
              </w:rPr>
              <w:t xml:space="preserve"> (January-March, 2019</w:t>
            </w:r>
            <w:r w:rsidR="0035220C" w:rsidRPr="00D74E8E">
              <w:rPr>
                <w:rFonts w:cs="ITCFranklinGothicStd-BkCd"/>
                <w:sz w:val="20"/>
                <w:szCs w:val="20"/>
              </w:rPr>
              <w:t>)</w:t>
            </w:r>
          </w:p>
        </w:tc>
      </w:tr>
      <w:tr w:rsidR="00D74E8E" w:rsidRPr="00D74E8E" w14:paraId="2E41A357" w14:textId="77777777" w:rsidTr="0074061F">
        <w:tc>
          <w:tcPr>
            <w:tcW w:w="4675" w:type="dxa"/>
            <w:vAlign w:val="center"/>
          </w:tcPr>
          <w:p w14:paraId="1FA24AF4" w14:textId="562D16C8" w:rsidR="0035220C" w:rsidRPr="00D74E8E" w:rsidRDefault="0035220C" w:rsidP="0074061F">
            <w:pPr>
              <w:jc w:val="center"/>
              <w:rPr>
                <w:rFonts w:cs="ITCFranklinGothicStd-BkCd"/>
                <w:sz w:val="20"/>
                <w:szCs w:val="20"/>
              </w:rPr>
            </w:pPr>
            <w:r w:rsidRPr="00D74E8E">
              <w:rPr>
                <w:rFonts w:cs="ITCFranklinGothicStd-BkCd"/>
                <w:sz w:val="20"/>
                <w:szCs w:val="20"/>
              </w:rPr>
              <w:t xml:space="preserve">Annual </w:t>
            </w:r>
            <w:r w:rsidR="00BB0EBE" w:rsidRPr="00D74E8E">
              <w:rPr>
                <w:rFonts w:cs="ITCFranklinGothicStd-BkCd"/>
                <w:sz w:val="20"/>
                <w:szCs w:val="20"/>
              </w:rPr>
              <w:t xml:space="preserve">Calendar Year </w:t>
            </w:r>
            <w:r w:rsidR="007600DE" w:rsidRPr="00D74E8E">
              <w:rPr>
                <w:rFonts w:cs="ITCFranklinGothicStd-BkCd"/>
                <w:sz w:val="20"/>
                <w:szCs w:val="20"/>
              </w:rPr>
              <w:t xml:space="preserve">2017 </w:t>
            </w:r>
            <w:r w:rsidRPr="00D74E8E">
              <w:rPr>
                <w:rFonts w:cs="ITCFranklinGothicStd-BkCd"/>
                <w:sz w:val="20"/>
                <w:szCs w:val="20"/>
              </w:rPr>
              <w:t>Reports sent to States</w:t>
            </w:r>
            <w:r w:rsidR="00663CC4" w:rsidRPr="00D74E8E">
              <w:rPr>
                <w:rFonts w:cs="ITCFranklinGothicStd-BkCd"/>
                <w:sz w:val="20"/>
                <w:szCs w:val="20"/>
              </w:rPr>
              <w:t xml:space="preserve"> w</w:t>
            </w:r>
            <w:r w:rsidR="0069768D" w:rsidRPr="00D74E8E">
              <w:rPr>
                <w:rFonts w:cs="ITCFranklinGothicStd-BkCd"/>
                <w:sz w:val="20"/>
                <w:szCs w:val="20"/>
              </w:rPr>
              <w:t xml:space="preserve">hen States deliver </w:t>
            </w:r>
            <w:r w:rsidR="008B686F" w:rsidRPr="00D74E8E">
              <w:rPr>
                <w:rFonts w:cs="ITCFranklinGothicStd-BkCd"/>
                <w:sz w:val="20"/>
                <w:szCs w:val="20"/>
              </w:rPr>
              <w:t>FY</w:t>
            </w:r>
            <w:r w:rsidR="0069768D" w:rsidRPr="00D74E8E">
              <w:rPr>
                <w:rFonts w:cs="ITCFranklinGothicStd-BkCd"/>
                <w:sz w:val="20"/>
                <w:szCs w:val="20"/>
              </w:rPr>
              <w:t>18 Q1 (Oct-Dec, 2017) data</w:t>
            </w:r>
            <w:r w:rsidR="0074061F" w:rsidRPr="00D74E8E">
              <w:rPr>
                <w:rFonts w:cs="ITCFranklinGothicStd-BkCd"/>
                <w:sz w:val="20"/>
                <w:szCs w:val="20"/>
              </w:rPr>
              <w:t>.</w:t>
            </w:r>
          </w:p>
        </w:tc>
        <w:tc>
          <w:tcPr>
            <w:tcW w:w="4770" w:type="dxa"/>
            <w:vAlign w:val="center"/>
          </w:tcPr>
          <w:p w14:paraId="3022486F" w14:textId="1ACFE6C0" w:rsidR="004F5E48" w:rsidRPr="00D74E8E" w:rsidRDefault="0069768D" w:rsidP="0074061F">
            <w:pPr>
              <w:jc w:val="center"/>
              <w:rPr>
                <w:rFonts w:cs="ITCFranklinGothicStd-BkCd"/>
                <w:sz w:val="20"/>
                <w:szCs w:val="20"/>
                <w:highlight w:val="yellow"/>
              </w:rPr>
            </w:pPr>
            <w:r w:rsidRPr="00D74E8E">
              <w:rPr>
                <w:rFonts w:cs="ITCFranklinGothicStd-BkCd"/>
                <w:sz w:val="20"/>
                <w:szCs w:val="20"/>
              </w:rPr>
              <w:t>By end of</w:t>
            </w:r>
            <w:r w:rsidR="007600DE" w:rsidRPr="00D74E8E">
              <w:rPr>
                <w:rFonts w:cs="ITCFranklinGothicStd-BkCd"/>
                <w:sz w:val="20"/>
                <w:szCs w:val="20"/>
              </w:rPr>
              <w:t xml:space="preserve"> </w:t>
            </w:r>
            <w:r w:rsidR="008B686F" w:rsidRPr="00D74E8E">
              <w:rPr>
                <w:rFonts w:cs="ITCFranklinGothicStd-BkCd"/>
                <w:sz w:val="20"/>
                <w:szCs w:val="20"/>
              </w:rPr>
              <w:t>FY</w:t>
            </w:r>
            <w:r w:rsidR="007600DE" w:rsidRPr="00D74E8E">
              <w:rPr>
                <w:rFonts w:cs="ITCFranklinGothicStd-BkCd"/>
                <w:sz w:val="20"/>
                <w:szCs w:val="20"/>
              </w:rPr>
              <w:t>18 Q2 (January-March, 2019)</w:t>
            </w:r>
          </w:p>
        </w:tc>
      </w:tr>
      <w:tr w:rsidR="00D74E8E" w:rsidRPr="00D74E8E" w14:paraId="6E24D274" w14:textId="77777777" w:rsidTr="0074061F">
        <w:tc>
          <w:tcPr>
            <w:tcW w:w="4675" w:type="dxa"/>
            <w:vAlign w:val="center"/>
          </w:tcPr>
          <w:p w14:paraId="6ED5C938" w14:textId="7719C308" w:rsidR="0035220C" w:rsidRPr="00D74E8E" w:rsidRDefault="0035220C" w:rsidP="0074061F">
            <w:pPr>
              <w:jc w:val="center"/>
              <w:rPr>
                <w:sz w:val="20"/>
                <w:szCs w:val="20"/>
              </w:rPr>
            </w:pPr>
            <w:r w:rsidRPr="00D74E8E">
              <w:rPr>
                <w:rFonts w:cs="ITCFranklinGothicStd-BkCd"/>
                <w:sz w:val="20"/>
                <w:szCs w:val="20"/>
              </w:rPr>
              <w:t xml:space="preserve">Post </w:t>
            </w:r>
            <w:r w:rsidR="0069768D" w:rsidRPr="00D74E8E">
              <w:rPr>
                <w:rFonts w:cs="ITCFranklinGothicStd-BkCd"/>
                <w:sz w:val="20"/>
                <w:szCs w:val="20"/>
              </w:rPr>
              <w:t xml:space="preserve">Annual Data on Web </w:t>
            </w:r>
            <w:r w:rsidRPr="00D74E8E">
              <w:rPr>
                <w:rFonts w:cs="ITCFranklinGothicStd-BkCd"/>
                <w:sz w:val="20"/>
                <w:szCs w:val="20"/>
              </w:rPr>
              <w:t>and/or Publish Annual Calendar Year Report</w:t>
            </w:r>
          </w:p>
        </w:tc>
        <w:tc>
          <w:tcPr>
            <w:tcW w:w="4770" w:type="dxa"/>
            <w:vAlign w:val="center"/>
          </w:tcPr>
          <w:p w14:paraId="1A955684" w14:textId="34D42366" w:rsidR="004F5E48" w:rsidRPr="00D74E8E" w:rsidRDefault="00B84B8E" w:rsidP="0074061F">
            <w:pPr>
              <w:jc w:val="center"/>
              <w:rPr>
                <w:sz w:val="20"/>
                <w:szCs w:val="20"/>
                <w:highlight w:val="yellow"/>
              </w:rPr>
            </w:pPr>
            <w:r w:rsidRPr="00D74E8E">
              <w:rPr>
                <w:rFonts w:cs="ITCFranklinGothicStd-BkCd"/>
                <w:sz w:val="20"/>
                <w:szCs w:val="20"/>
              </w:rPr>
              <w:t xml:space="preserve">By end of </w:t>
            </w:r>
            <w:r w:rsidR="008B686F" w:rsidRPr="00D74E8E">
              <w:rPr>
                <w:rFonts w:cs="ITCFranklinGothicStd-BkCd"/>
                <w:sz w:val="20"/>
                <w:szCs w:val="20"/>
              </w:rPr>
              <w:t>FY</w:t>
            </w:r>
            <w:r w:rsidRPr="00D74E8E">
              <w:rPr>
                <w:rFonts w:cs="ITCFranklinGothicStd-BkCd"/>
                <w:sz w:val="20"/>
                <w:szCs w:val="20"/>
              </w:rPr>
              <w:t>18 Q3 (April-June, 2019)</w:t>
            </w:r>
          </w:p>
        </w:tc>
      </w:tr>
    </w:tbl>
    <w:p w14:paraId="0EFA2CB1" w14:textId="24C8E233" w:rsidR="005714C9" w:rsidRPr="00D74E8E" w:rsidRDefault="00721FE0" w:rsidP="00605964">
      <w:pPr>
        <w:spacing w:before="240"/>
        <w:rPr>
          <w:sz w:val="24"/>
          <w:szCs w:val="24"/>
        </w:rPr>
      </w:pPr>
      <w:r w:rsidRPr="00D74E8E">
        <w:rPr>
          <w:sz w:val="24"/>
          <w:szCs w:val="24"/>
          <w:u w:val="single"/>
        </w:rPr>
        <w:t>CBLS Data Delivery and Processing Report Dissemination</w:t>
      </w:r>
      <w:r w:rsidRPr="00D74E8E">
        <w:rPr>
          <w:sz w:val="24"/>
          <w:szCs w:val="24"/>
        </w:rPr>
        <w:t xml:space="preserve">: </w:t>
      </w:r>
      <w:r w:rsidR="004716AD" w:rsidRPr="00D74E8E">
        <w:rPr>
          <w:sz w:val="24"/>
          <w:szCs w:val="24"/>
        </w:rPr>
        <w:t xml:space="preserve">The awardees are required to submit quarterly data to NCEH by the final business day of the following quarter (e.g. data collected during the first quarter, is due on the final business day of the second quarter). Data submitted in text files to NCEH are processed and maintained in the CBLS database. </w:t>
      </w:r>
      <w:r w:rsidRPr="00D74E8E">
        <w:rPr>
          <w:sz w:val="24"/>
          <w:szCs w:val="24"/>
        </w:rPr>
        <w:t>NCEH uses its processing software</w:t>
      </w:r>
      <w:r w:rsidR="005C1B9F" w:rsidRPr="00D74E8E">
        <w:rPr>
          <w:sz w:val="24"/>
          <w:szCs w:val="24"/>
        </w:rPr>
        <w:t>, CBLS Central,</w:t>
      </w:r>
      <w:r w:rsidRPr="00D74E8E">
        <w:rPr>
          <w:sz w:val="24"/>
          <w:szCs w:val="24"/>
        </w:rPr>
        <w:t xml:space="preserve"> to perform data checks</w:t>
      </w:r>
      <w:r w:rsidR="005C1B9F" w:rsidRPr="00D74E8E">
        <w:rPr>
          <w:sz w:val="24"/>
          <w:szCs w:val="24"/>
        </w:rPr>
        <w:t xml:space="preserve"> on awardee text files</w:t>
      </w:r>
      <w:r w:rsidR="008E4C65">
        <w:rPr>
          <w:sz w:val="24"/>
          <w:szCs w:val="24"/>
        </w:rPr>
        <w:t xml:space="preserve"> for required formatting</w:t>
      </w:r>
      <w:r w:rsidR="005C1B9F" w:rsidRPr="00D74E8E">
        <w:rPr>
          <w:sz w:val="24"/>
          <w:szCs w:val="24"/>
        </w:rPr>
        <w:t xml:space="preserve">. </w:t>
      </w:r>
      <w:r w:rsidR="0069768D" w:rsidRPr="00D74E8E">
        <w:rPr>
          <w:sz w:val="24"/>
          <w:szCs w:val="24"/>
        </w:rPr>
        <w:t>Text files are parsed into separate linkable data tables</w:t>
      </w:r>
      <w:r w:rsidR="005B426E" w:rsidRPr="00D74E8E">
        <w:rPr>
          <w:sz w:val="24"/>
          <w:szCs w:val="24"/>
        </w:rPr>
        <w:t xml:space="preserve"> (e.g., Address, Child, Lab Results, </w:t>
      </w:r>
      <w:r w:rsidR="00BB128F" w:rsidRPr="00D74E8E">
        <w:rPr>
          <w:sz w:val="24"/>
          <w:szCs w:val="24"/>
        </w:rPr>
        <w:t>and Investigation</w:t>
      </w:r>
      <w:r w:rsidR="005B426E" w:rsidRPr="00D74E8E">
        <w:rPr>
          <w:sz w:val="24"/>
          <w:szCs w:val="24"/>
        </w:rPr>
        <w:t>) (</w:t>
      </w:r>
      <w:r w:rsidR="005B426E" w:rsidRPr="00D74E8E">
        <w:rPr>
          <w:b/>
          <w:sz w:val="24"/>
          <w:szCs w:val="24"/>
        </w:rPr>
        <w:t>Attachment 5a</w:t>
      </w:r>
      <w:r w:rsidR="005B426E" w:rsidRPr="00D74E8E">
        <w:rPr>
          <w:sz w:val="24"/>
          <w:szCs w:val="24"/>
        </w:rPr>
        <w:t>)</w:t>
      </w:r>
      <w:r w:rsidR="0069768D" w:rsidRPr="00D74E8E">
        <w:rPr>
          <w:sz w:val="24"/>
          <w:szCs w:val="24"/>
        </w:rPr>
        <w:t>.</w:t>
      </w:r>
      <w:r w:rsidR="005336D6" w:rsidRPr="00D74E8E">
        <w:rPr>
          <w:sz w:val="24"/>
          <w:szCs w:val="24"/>
        </w:rPr>
        <w:t xml:space="preserve"> </w:t>
      </w:r>
      <w:r w:rsidR="00605964" w:rsidRPr="00D74E8E">
        <w:rPr>
          <w:sz w:val="24"/>
          <w:szCs w:val="24"/>
        </w:rPr>
        <w:t>Processing reports are generated and sent to awardees</w:t>
      </w:r>
      <w:r w:rsidR="0074061F" w:rsidRPr="00D74E8E">
        <w:rPr>
          <w:sz w:val="24"/>
          <w:szCs w:val="24"/>
        </w:rPr>
        <w:t xml:space="preserve">, to indicate how many records were properly parsed and entered into the CBLS database and how many records were not loaded with an explanation of the rejection. </w:t>
      </w:r>
      <w:r w:rsidR="00084465" w:rsidRPr="00D74E8E">
        <w:rPr>
          <w:sz w:val="24"/>
          <w:szCs w:val="24"/>
        </w:rPr>
        <w:t>Corrections from awardees are returned in the next quarterly report. Therefore, NCEH has</w:t>
      </w:r>
      <w:r w:rsidR="00DC3AAC" w:rsidRPr="00D74E8E">
        <w:rPr>
          <w:sz w:val="24"/>
          <w:szCs w:val="24"/>
        </w:rPr>
        <w:t xml:space="preserve"> a 1 to 2 quarter</w:t>
      </w:r>
      <w:r w:rsidR="00084465" w:rsidRPr="00D74E8E">
        <w:rPr>
          <w:sz w:val="24"/>
          <w:szCs w:val="24"/>
        </w:rPr>
        <w:t xml:space="preserve"> lag</w:t>
      </w:r>
      <w:r w:rsidR="005470B1" w:rsidRPr="00D74E8E">
        <w:rPr>
          <w:sz w:val="24"/>
          <w:szCs w:val="24"/>
        </w:rPr>
        <w:t xml:space="preserve"> with on-</w:t>
      </w:r>
      <w:r w:rsidR="00D03487" w:rsidRPr="00D74E8E">
        <w:rPr>
          <w:sz w:val="24"/>
          <w:szCs w:val="24"/>
        </w:rPr>
        <w:t>time</w:t>
      </w:r>
      <w:r w:rsidR="00084465" w:rsidRPr="00D74E8E">
        <w:rPr>
          <w:sz w:val="24"/>
          <w:szCs w:val="24"/>
        </w:rPr>
        <w:t xml:space="preserve"> data delivery.</w:t>
      </w:r>
      <w:r w:rsidR="005336D6" w:rsidRPr="00D74E8E">
        <w:rPr>
          <w:sz w:val="24"/>
          <w:szCs w:val="24"/>
        </w:rPr>
        <w:t xml:space="preserve"> </w:t>
      </w:r>
      <w:r w:rsidR="005714C9" w:rsidRPr="00D74E8E">
        <w:rPr>
          <w:sz w:val="24"/>
          <w:szCs w:val="24"/>
        </w:rPr>
        <w:t>CBLS Annual Reports are based on the calendar year and are sent to awardees at the end of the second quarter of the fiscal year.</w:t>
      </w:r>
    </w:p>
    <w:p w14:paraId="1B2F0D4A" w14:textId="2C2BD22C" w:rsidR="00943AC1" w:rsidRPr="00D74E8E" w:rsidRDefault="00F5181F" w:rsidP="00943AC1">
      <w:pPr>
        <w:spacing w:before="240"/>
        <w:rPr>
          <w:sz w:val="24"/>
          <w:szCs w:val="24"/>
        </w:rPr>
      </w:pPr>
      <w:r w:rsidRPr="00D74E8E">
        <w:rPr>
          <w:sz w:val="24"/>
          <w:szCs w:val="24"/>
          <w:u w:val="single"/>
        </w:rPr>
        <w:t>CBLS Publications and Results Dissemination</w:t>
      </w:r>
      <w:r w:rsidRPr="00D74E8E">
        <w:rPr>
          <w:sz w:val="24"/>
          <w:szCs w:val="24"/>
        </w:rPr>
        <w:t xml:space="preserve">: CDC NCEH will share the de-identified data and/or results of the surveillance with interested parties through its website, publications, and peer-reviewed manuscripts. </w:t>
      </w:r>
      <w:r w:rsidR="00943AC1" w:rsidRPr="00D74E8E">
        <w:rPr>
          <w:sz w:val="24"/>
          <w:szCs w:val="24"/>
        </w:rPr>
        <w:t>Public release of the Annual Calendar Year Data on the internet occurs in the middle of the next year and only with the authorization from awardees.</w:t>
      </w:r>
      <w:r w:rsidR="00946BB7" w:rsidRPr="00D74E8E">
        <w:rPr>
          <w:rStyle w:val="FootnoteReference"/>
          <w:sz w:val="24"/>
          <w:szCs w:val="24"/>
        </w:rPr>
        <w:footnoteReference w:id="21"/>
      </w:r>
    </w:p>
    <w:p w14:paraId="00DB39BD" w14:textId="77777777" w:rsidR="004A5699" w:rsidRPr="00D74E8E" w:rsidRDefault="008A7486" w:rsidP="00D71E67">
      <w:pPr>
        <w:spacing w:line="276" w:lineRule="auto"/>
        <w:rPr>
          <w:sz w:val="24"/>
          <w:szCs w:val="24"/>
        </w:rPr>
      </w:pPr>
      <w:r w:rsidRPr="00D74E8E">
        <w:rPr>
          <w:sz w:val="24"/>
          <w:szCs w:val="24"/>
        </w:rPr>
        <w:t xml:space="preserve">Descriptive statistics (e.g., means and ranges for BLLs for children, aged less than 6 years) will be used to characterize the collected data. The descriptive statistics can be used to evaluate program progress in meeting stated goals, </w:t>
      </w:r>
      <w:r w:rsidR="000871AD" w:rsidRPr="00D74E8E">
        <w:rPr>
          <w:sz w:val="24"/>
          <w:szCs w:val="24"/>
        </w:rPr>
        <w:t xml:space="preserve">or </w:t>
      </w:r>
      <w:r w:rsidRPr="00D74E8E">
        <w:rPr>
          <w:sz w:val="24"/>
          <w:szCs w:val="24"/>
        </w:rPr>
        <w:t>identify subpopulations or small geographic areas where risk for specific</w:t>
      </w:r>
      <w:r w:rsidR="000871AD" w:rsidRPr="00D74E8E">
        <w:rPr>
          <w:sz w:val="24"/>
          <w:szCs w:val="24"/>
        </w:rPr>
        <w:t xml:space="preserve"> housing conditions like older homes with lead-based paint is high. If identified, this information may be used to target resources to these areas. </w:t>
      </w:r>
      <w:r w:rsidR="00F30C4B" w:rsidRPr="00D74E8E">
        <w:rPr>
          <w:sz w:val="24"/>
          <w:szCs w:val="24"/>
        </w:rPr>
        <w:t>CBLS data will be reported in aggregate only and without IIF.</w:t>
      </w:r>
      <w:r w:rsidR="00F5181F" w:rsidRPr="00D74E8E">
        <w:rPr>
          <w:sz w:val="24"/>
          <w:szCs w:val="24"/>
        </w:rPr>
        <w:t xml:space="preserve"> </w:t>
      </w:r>
    </w:p>
    <w:p w14:paraId="012F5D3E" w14:textId="7542C373" w:rsidR="00F5181F" w:rsidRPr="00D74E8E" w:rsidRDefault="00F5181F" w:rsidP="00D71E67">
      <w:pPr>
        <w:spacing w:line="276" w:lineRule="auto"/>
        <w:rPr>
          <w:sz w:val="24"/>
          <w:szCs w:val="24"/>
        </w:rPr>
      </w:pPr>
      <w:r w:rsidRPr="00D74E8E">
        <w:rPr>
          <w:sz w:val="24"/>
          <w:szCs w:val="24"/>
        </w:rPr>
        <w:t xml:space="preserve">According to the 2015 Terms of Clearance, the limitations as well as the strengths of CBLS data </w:t>
      </w:r>
      <w:r w:rsidRPr="00D74E8E">
        <w:rPr>
          <w:sz w:val="24"/>
          <w:szCs w:val="24"/>
          <w:u w:val="single"/>
        </w:rPr>
        <w:t>must</w:t>
      </w:r>
      <w:r w:rsidRPr="00D74E8E">
        <w:rPr>
          <w:sz w:val="24"/>
          <w:szCs w:val="24"/>
        </w:rPr>
        <w:t xml:space="preserve"> be described in each of the venues including that CBLS is not derived from a population-based representative sample.</w:t>
      </w:r>
    </w:p>
    <w:p w14:paraId="1C5114B7" w14:textId="2940E0BC" w:rsidR="00420A77" w:rsidRPr="00D74E8E" w:rsidRDefault="00F5181F" w:rsidP="007051A7">
      <w:pPr>
        <w:autoSpaceDE w:val="0"/>
        <w:autoSpaceDN w:val="0"/>
        <w:adjustRightInd w:val="0"/>
        <w:spacing w:line="240" w:lineRule="auto"/>
        <w:rPr>
          <w:rFonts w:cs="Times New Roman"/>
          <w:sz w:val="24"/>
          <w:szCs w:val="24"/>
        </w:rPr>
      </w:pPr>
      <w:r w:rsidRPr="00D74E8E">
        <w:rPr>
          <w:rFonts w:cs="ArialMT"/>
          <w:i/>
          <w:sz w:val="22"/>
          <w:szCs w:val="22"/>
        </w:rPr>
        <w:t>“These data were collected for program management purposes. The data are not generalizable at the national, state, or local level. Furthermore, because inclusion criteria vary across grantees, comparisons of aggregate statistics across programs can be misleading (i.e., state policies and practices for blood lead testing vary and local priorities drive decisions regarding which homes receive assessments for other housing hazards). However, descriptive statistics can be used to compare changes overtime in a given area when the method by which housing units are chosen for inclusion remains the same. With a thoughtful understanding of the approach used to include housing units in a given location, HHLPPS can be used to make associations between the number of individuals in a given area and a specific housing hazard or health condition and geographic descriptors such as poverty, age of housing, tenancy, and health conditions.”</w:t>
      </w:r>
    </w:p>
    <w:p w14:paraId="46E826BC" w14:textId="625D66B7" w:rsidR="00CC0505" w:rsidRPr="00D74E8E" w:rsidRDefault="00074132" w:rsidP="002176EB">
      <w:pPr>
        <w:jc w:val="center"/>
        <w:rPr>
          <w:rFonts w:cs="Times New Roman"/>
          <w:sz w:val="24"/>
          <w:szCs w:val="24"/>
        </w:rPr>
      </w:pPr>
      <w:r w:rsidRPr="00D74E8E">
        <w:rPr>
          <w:rFonts w:cs="Times New Roman"/>
          <w:sz w:val="24"/>
          <w:szCs w:val="24"/>
        </w:rPr>
        <w:t>ABLES Project Timeline (</w:t>
      </w:r>
      <w:r w:rsidR="00CC0505" w:rsidRPr="00D74E8E">
        <w:rPr>
          <w:rFonts w:cs="Times New Roman"/>
          <w:sz w:val="24"/>
          <w:szCs w:val="24"/>
        </w:rPr>
        <w:t>Recurring timeline for 3 years)</w:t>
      </w:r>
    </w:p>
    <w:tbl>
      <w:tblPr>
        <w:tblStyle w:val="TableGrid"/>
        <w:tblW w:w="0" w:type="auto"/>
        <w:tblLook w:val="04A0" w:firstRow="1" w:lastRow="0" w:firstColumn="1" w:lastColumn="0" w:noHBand="0" w:noVBand="1"/>
      </w:tblPr>
      <w:tblGrid>
        <w:gridCol w:w="4675"/>
        <w:gridCol w:w="4675"/>
      </w:tblGrid>
      <w:tr w:rsidR="00D74E8E" w:rsidRPr="00D74E8E" w14:paraId="777693CF" w14:textId="77777777" w:rsidTr="004B4DAE">
        <w:tc>
          <w:tcPr>
            <w:tcW w:w="9350" w:type="dxa"/>
            <w:gridSpan w:val="2"/>
          </w:tcPr>
          <w:p w14:paraId="5322C1ED" w14:textId="103662A1" w:rsidR="00CC0505" w:rsidRPr="00AA2B8A" w:rsidRDefault="00074132" w:rsidP="004B4DAE">
            <w:pPr>
              <w:jc w:val="center"/>
              <w:rPr>
                <w:b/>
                <w:sz w:val="20"/>
                <w:szCs w:val="20"/>
              </w:rPr>
            </w:pPr>
            <w:r w:rsidRPr="00AA2B8A">
              <w:rPr>
                <w:b/>
                <w:sz w:val="20"/>
                <w:szCs w:val="20"/>
              </w:rPr>
              <w:t xml:space="preserve">ABLES </w:t>
            </w:r>
            <w:r w:rsidR="00CC0505" w:rsidRPr="00AA2B8A">
              <w:rPr>
                <w:b/>
                <w:sz w:val="20"/>
                <w:szCs w:val="20"/>
              </w:rPr>
              <w:t>Project Time Schedule</w:t>
            </w:r>
          </w:p>
        </w:tc>
      </w:tr>
      <w:tr w:rsidR="00D74E8E" w:rsidRPr="00D74E8E" w14:paraId="1656E55A" w14:textId="77777777" w:rsidTr="004B4DAE">
        <w:tc>
          <w:tcPr>
            <w:tcW w:w="4675" w:type="dxa"/>
          </w:tcPr>
          <w:p w14:paraId="1B116FED" w14:textId="77777777" w:rsidR="00CC0505" w:rsidRPr="00AA2B8A" w:rsidRDefault="00CC0505" w:rsidP="004B4DAE">
            <w:pPr>
              <w:jc w:val="center"/>
              <w:rPr>
                <w:b/>
                <w:sz w:val="20"/>
                <w:szCs w:val="20"/>
              </w:rPr>
            </w:pPr>
            <w:r w:rsidRPr="00AA2B8A">
              <w:rPr>
                <w:b/>
                <w:sz w:val="20"/>
                <w:szCs w:val="20"/>
              </w:rPr>
              <w:t>Activity</w:t>
            </w:r>
          </w:p>
        </w:tc>
        <w:tc>
          <w:tcPr>
            <w:tcW w:w="4675" w:type="dxa"/>
          </w:tcPr>
          <w:p w14:paraId="06FF972A" w14:textId="77777777" w:rsidR="00CC0505" w:rsidRPr="00AA2B8A" w:rsidRDefault="00CC0505" w:rsidP="004B4DAE">
            <w:pPr>
              <w:jc w:val="center"/>
              <w:rPr>
                <w:b/>
                <w:sz w:val="20"/>
                <w:szCs w:val="20"/>
              </w:rPr>
            </w:pPr>
            <w:r w:rsidRPr="00AA2B8A">
              <w:rPr>
                <w:b/>
                <w:sz w:val="20"/>
                <w:szCs w:val="20"/>
              </w:rPr>
              <w:t>Time Schedule</w:t>
            </w:r>
          </w:p>
        </w:tc>
      </w:tr>
      <w:tr w:rsidR="00D74E8E" w:rsidRPr="00D74E8E" w14:paraId="6522EBB3" w14:textId="77777777" w:rsidTr="004B4DAE">
        <w:tc>
          <w:tcPr>
            <w:tcW w:w="4675" w:type="dxa"/>
          </w:tcPr>
          <w:p w14:paraId="1EA95EED" w14:textId="77777777" w:rsidR="00CC0505" w:rsidRPr="00D74E8E" w:rsidRDefault="00CC0505" w:rsidP="004B4DAE">
            <w:pPr>
              <w:jc w:val="center"/>
              <w:rPr>
                <w:sz w:val="20"/>
                <w:szCs w:val="20"/>
              </w:rPr>
            </w:pPr>
            <w:r w:rsidRPr="00D74E8E">
              <w:rPr>
                <w:rFonts w:cs="ITCFranklinGothicStd-BkCd"/>
                <w:sz w:val="20"/>
                <w:szCs w:val="20"/>
              </w:rPr>
              <w:t>Request 2015 – 2016 data from States</w:t>
            </w:r>
          </w:p>
        </w:tc>
        <w:tc>
          <w:tcPr>
            <w:tcW w:w="4675" w:type="dxa"/>
          </w:tcPr>
          <w:p w14:paraId="62AB6A89" w14:textId="77777777" w:rsidR="00CC0505" w:rsidRPr="00D74E8E" w:rsidRDefault="00CC0505" w:rsidP="004B4DAE">
            <w:pPr>
              <w:jc w:val="center"/>
              <w:rPr>
                <w:sz w:val="20"/>
                <w:szCs w:val="20"/>
              </w:rPr>
            </w:pPr>
            <w:r w:rsidRPr="00D74E8E">
              <w:rPr>
                <w:rFonts w:cs="ITCFranklinGothicStd-BkCd"/>
                <w:sz w:val="20"/>
                <w:szCs w:val="20"/>
              </w:rPr>
              <w:t>February – March 2017</w:t>
            </w:r>
          </w:p>
        </w:tc>
      </w:tr>
      <w:tr w:rsidR="00D74E8E" w:rsidRPr="00D74E8E" w14:paraId="5F73638B" w14:textId="77777777" w:rsidTr="004B4DAE">
        <w:tc>
          <w:tcPr>
            <w:tcW w:w="4675" w:type="dxa"/>
          </w:tcPr>
          <w:p w14:paraId="07B91B61" w14:textId="77777777" w:rsidR="00CC0505" w:rsidRPr="00D74E8E" w:rsidRDefault="00CC0505" w:rsidP="004B4DAE">
            <w:pPr>
              <w:jc w:val="center"/>
              <w:rPr>
                <w:rFonts w:cs="ITCFranklinGothicStd-BkCd"/>
                <w:sz w:val="20"/>
                <w:szCs w:val="20"/>
              </w:rPr>
            </w:pPr>
            <w:r w:rsidRPr="00D74E8E">
              <w:rPr>
                <w:rFonts w:cs="ITCFranklinGothicStd-BkCd"/>
                <w:sz w:val="20"/>
                <w:szCs w:val="20"/>
              </w:rPr>
              <w:t xml:space="preserve">Receive 2015 – 2016 data from States </w:t>
            </w:r>
          </w:p>
        </w:tc>
        <w:tc>
          <w:tcPr>
            <w:tcW w:w="4675" w:type="dxa"/>
          </w:tcPr>
          <w:p w14:paraId="635C1A8C" w14:textId="77777777" w:rsidR="00CC0505" w:rsidRPr="00D74E8E" w:rsidRDefault="00CC0505" w:rsidP="004B4DAE">
            <w:pPr>
              <w:jc w:val="center"/>
              <w:rPr>
                <w:sz w:val="20"/>
                <w:szCs w:val="20"/>
              </w:rPr>
            </w:pPr>
            <w:r w:rsidRPr="00D74E8E">
              <w:rPr>
                <w:rFonts w:cs="ITCFranklinGothicStd-BkCd"/>
                <w:sz w:val="20"/>
                <w:szCs w:val="20"/>
              </w:rPr>
              <w:t>By June 30, 2017</w:t>
            </w:r>
          </w:p>
        </w:tc>
      </w:tr>
      <w:tr w:rsidR="00D74E8E" w:rsidRPr="00D74E8E" w14:paraId="61F71329" w14:textId="77777777" w:rsidTr="004B4DAE">
        <w:tc>
          <w:tcPr>
            <w:tcW w:w="4675" w:type="dxa"/>
          </w:tcPr>
          <w:p w14:paraId="68BEC0E8" w14:textId="77777777" w:rsidR="00CC0505" w:rsidRPr="00D74E8E" w:rsidRDefault="00CC0505" w:rsidP="004B4DAE">
            <w:pPr>
              <w:jc w:val="center"/>
              <w:rPr>
                <w:sz w:val="20"/>
                <w:szCs w:val="20"/>
              </w:rPr>
            </w:pPr>
            <w:r w:rsidRPr="00D74E8E">
              <w:rPr>
                <w:rFonts w:cs="ITCFranklinGothicStd-BkCd"/>
                <w:sz w:val="20"/>
                <w:szCs w:val="20"/>
              </w:rPr>
              <w:t>Data Cleaning and Data Quality Control</w:t>
            </w:r>
          </w:p>
        </w:tc>
        <w:tc>
          <w:tcPr>
            <w:tcW w:w="4675" w:type="dxa"/>
          </w:tcPr>
          <w:p w14:paraId="78FB7652" w14:textId="77777777" w:rsidR="00CC0505" w:rsidRPr="00D74E8E" w:rsidRDefault="00CC0505" w:rsidP="004B4DAE">
            <w:pPr>
              <w:jc w:val="center"/>
              <w:rPr>
                <w:sz w:val="20"/>
                <w:szCs w:val="20"/>
              </w:rPr>
            </w:pPr>
            <w:r w:rsidRPr="00D74E8E">
              <w:rPr>
                <w:rFonts w:cs="ITCFranklinGothicStd-BkCd"/>
                <w:sz w:val="20"/>
                <w:szCs w:val="20"/>
              </w:rPr>
              <w:t>March – July 2017</w:t>
            </w:r>
          </w:p>
        </w:tc>
      </w:tr>
      <w:tr w:rsidR="00D74E8E" w:rsidRPr="00D74E8E" w14:paraId="0F00C516" w14:textId="77777777" w:rsidTr="004B4DAE">
        <w:tc>
          <w:tcPr>
            <w:tcW w:w="4675" w:type="dxa"/>
          </w:tcPr>
          <w:p w14:paraId="5EA6F0F9" w14:textId="77777777" w:rsidR="00CC0505" w:rsidRPr="00D74E8E" w:rsidRDefault="00CC0505" w:rsidP="004B4DAE">
            <w:pPr>
              <w:jc w:val="center"/>
              <w:rPr>
                <w:sz w:val="20"/>
                <w:szCs w:val="20"/>
              </w:rPr>
            </w:pPr>
            <w:r w:rsidRPr="00D74E8E">
              <w:rPr>
                <w:rFonts w:cs="ITCFranklinGothicStd-BkCd"/>
                <w:sz w:val="20"/>
                <w:szCs w:val="20"/>
              </w:rPr>
              <w:t>Work on Report based on 2015 ABLES data</w:t>
            </w:r>
          </w:p>
        </w:tc>
        <w:tc>
          <w:tcPr>
            <w:tcW w:w="4675" w:type="dxa"/>
          </w:tcPr>
          <w:p w14:paraId="45775B92" w14:textId="77777777" w:rsidR="00CC0505" w:rsidRPr="00D74E8E" w:rsidRDefault="00CC0505" w:rsidP="004B4DAE">
            <w:pPr>
              <w:jc w:val="center"/>
              <w:rPr>
                <w:sz w:val="20"/>
                <w:szCs w:val="20"/>
              </w:rPr>
            </w:pPr>
            <w:r w:rsidRPr="00D74E8E">
              <w:rPr>
                <w:rFonts w:cs="ITCFranklinGothicStd-BkCd"/>
                <w:sz w:val="20"/>
                <w:szCs w:val="20"/>
              </w:rPr>
              <w:t>July – August 2017</w:t>
            </w:r>
          </w:p>
        </w:tc>
      </w:tr>
      <w:tr w:rsidR="00D74E8E" w:rsidRPr="00D74E8E" w14:paraId="5C47E804" w14:textId="77777777" w:rsidTr="004B4DAE">
        <w:tc>
          <w:tcPr>
            <w:tcW w:w="4675" w:type="dxa"/>
          </w:tcPr>
          <w:p w14:paraId="2B9596B0" w14:textId="77777777" w:rsidR="00CC0505" w:rsidRPr="00D74E8E" w:rsidRDefault="00CC0505" w:rsidP="004B4DAE">
            <w:pPr>
              <w:jc w:val="center"/>
              <w:rPr>
                <w:sz w:val="20"/>
                <w:szCs w:val="20"/>
              </w:rPr>
            </w:pPr>
            <w:r w:rsidRPr="00D74E8E">
              <w:rPr>
                <w:rFonts w:cs="ITCFranklinGothicStd-BkCd"/>
                <w:sz w:val="20"/>
                <w:szCs w:val="20"/>
              </w:rPr>
              <w:t>Post and/or Publish Report</w:t>
            </w:r>
          </w:p>
        </w:tc>
        <w:tc>
          <w:tcPr>
            <w:tcW w:w="4675" w:type="dxa"/>
          </w:tcPr>
          <w:p w14:paraId="24C2B289" w14:textId="77777777" w:rsidR="00CC0505" w:rsidRPr="00D74E8E" w:rsidRDefault="00CC0505" w:rsidP="004B4DAE">
            <w:pPr>
              <w:jc w:val="center"/>
              <w:rPr>
                <w:sz w:val="20"/>
                <w:szCs w:val="20"/>
              </w:rPr>
            </w:pPr>
            <w:r w:rsidRPr="00D74E8E">
              <w:rPr>
                <w:rFonts w:cs="ITCFranklinGothicStd-BkCd"/>
                <w:sz w:val="20"/>
                <w:szCs w:val="20"/>
              </w:rPr>
              <w:t>August – December 2017</w:t>
            </w:r>
          </w:p>
        </w:tc>
      </w:tr>
    </w:tbl>
    <w:p w14:paraId="17A1701D" w14:textId="38659551" w:rsidR="00B45002" w:rsidRPr="00D74E8E" w:rsidRDefault="00601F1A" w:rsidP="004D2C65">
      <w:pPr>
        <w:pStyle w:val="Heading1"/>
        <w:pBdr>
          <w:bottom w:val="none" w:sz="0" w:space="0" w:color="auto"/>
        </w:pBdr>
        <w:spacing w:before="480"/>
        <w:rPr>
          <w:rFonts w:asciiTheme="minorHAnsi" w:hAnsiTheme="minorHAnsi"/>
          <w:color w:val="auto"/>
        </w:rPr>
      </w:pPr>
      <w:bookmarkStart w:id="20" w:name="_Toc494815294"/>
      <w:r w:rsidRPr="00D74E8E">
        <w:rPr>
          <w:color w:val="auto"/>
        </w:rPr>
        <w:t>A.</w:t>
      </w:r>
      <w:r w:rsidR="005E0A7B">
        <w:rPr>
          <w:color w:val="auto"/>
        </w:rPr>
        <w:t xml:space="preserve">17. </w:t>
      </w:r>
      <w:r w:rsidR="00B45002" w:rsidRPr="00D74E8E">
        <w:rPr>
          <w:color w:val="auto"/>
        </w:rPr>
        <w:t>Reason(s) Display of OMB Expiration Date is Inappropriate</w:t>
      </w:r>
      <w:bookmarkEnd w:id="20"/>
    </w:p>
    <w:p w14:paraId="7135D023" w14:textId="77777777" w:rsidR="005B6E55" w:rsidRPr="00D74E8E" w:rsidRDefault="005B6E55" w:rsidP="005B6E55"/>
    <w:p w14:paraId="387ECE52" w14:textId="698C6A00" w:rsidR="005B6E55" w:rsidRPr="00D74E8E" w:rsidRDefault="005B6E55" w:rsidP="005B6E55">
      <w:pPr>
        <w:autoSpaceDE w:val="0"/>
        <w:autoSpaceDN w:val="0"/>
        <w:adjustRightInd w:val="0"/>
        <w:spacing w:line="240" w:lineRule="auto"/>
        <w:rPr>
          <w:rFonts w:cs="ITCFranklinGothicStd-Book"/>
          <w:sz w:val="24"/>
          <w:szCs w:val="24"/>
        </w:rPr>
      </w:pPr>
      <w:r w:rsidRPr="00D74E8E">
        <w:rPr>
          <w:rFonts w:cs="ITCFranklinGothicStd-Book"/>
          <w:sz w:val="24"/>
          <w:szCs w:val="24"/>
        </w:rPr>
        <w:t>The display o</w:t>
      </w:r>
      <w:r w:rsidR="0006228C" w:rsidRPr="00D74E8E">
        <w:rPr>
          <w:rFonts w:cs="ITCFranklinGothicStd-Book"/>
          <w:sz w:val="24"/>
          <w:szCs w:val="24"/>
        </w:rPr>
        <w:t xml:space="preserve">f the OMB expiration date is </w:t>
      </w:r>
      <w:r w:rsidR="00980751" w:rsidRPr="00D74E8E">
        <w:rPr>
          <w:rFonts w:cs="ITCFranklinGothicStd-Book"/>
          <w:sz w:val="24"/>
          <w:szCs w:val="24"/>
        </w:rPr>
        <w:t>appropriate.</w:t>
      </w:r>
    </w:p>
    <w:p w14:paraId="2756C2D5" w14:textId="7D6784B4" w:rsidR="00DC57CC" w:rsidRPr="00D74E8E" w:rsidRDefault="00601F1A" w:rsidP="00601F1A">
      <w:pPr>
        <w:pStyle w:val="Heading1"/>
        <w:pBdr>
          <w:bottom w:val="none" w:sz="0" w:space="0" w:color="auto"/>
        </w:pBdr>
        <w:rPr>
          <w:color w:val="auto"/>
        </w:rPr>
      </w:pPr>
      <w:bookmarkStart w:id="21" w:name="_Toc494815295"/>
      <w:r w:rsidRPr="00D74E8E">
        <w:rPr>
          <w:color w:val="auto"/>
        </w:rPr>
        <w:t>A.</w:t>
      </w:r>
      <w:r w:rsidR="00B45002" w:rsidRPr="00D74E8E">
        <w:rPr>
          <w:color w:val="auto"/>
        </w:rPr>
        <w:t>18</w:t>
      </w:r>
      <w:r w:rsidR="005E0A7B" w:rsidRPr="00D74E8E">
        <w:rPr>
          <w:color w:val="auto"/>
        </w:rPr>
        <w:t>. Exceptions</w:t>
      </w:r>
      <w:r w:rsidR="00B45002" w:rsidRPr="00D74E8E">
        <w:rPr>
          <w:color w:val="auto"/>
        </w:rPr>
        <w:t xml:space="preserve"> to Certification for Paperwork Reduction Act Submissions</w:t>
      </w:r>
      <w:bookmarkEnd w:id="21"/>
    </w:p>
    <w:p w14:paraId="661E4960" w14:textId="77777777" w:rsidR="008C154D" w:rsidRPr="00D74E8E" w:rsidRDefault="008C154D" w:rsidP="005B6E55">
      <w:pPr>
        <w:spacing w:line="240" w:lineRule="auto"/>
        <w:rPr>
          <w:sz w:val="24"/>
          <w:szCs w:val="24"/>
        </w:rPr>
      </w:pPr>
    </w:p>
    <w:p w14:paraId="21296356" w14:textId="292F4148" w:rsidR="005B6E55" w:rsidRPr="00D74E8E" w:rsidRDefault="005B6E55" w:rsidP="00EC64FB">
      <w:pPr>
        <w:autoSpaceDE w:val="0"/>
        <w:autoSpaceDN w:val="0"/>
        <w:adjustRightInd w:val="0"/>
        <w:spacing w:line="240" w:lineRule="auto"/>
        <w:rPr>
          <w:rFonts w:cs="ITCFranklinGothicStd-Book"/>
          <w:sz w:val="24"/>
          <w:szCs w:val="24"/>
        </w:rPr>
      </w:pPr>
      <w:r w:rsidRPr="00D74E8E">
        <w:rPr>
          <w:rFonts w:cs="ITCFranklinGothicStd-Book"/>
          <w:sz w:val="24"/>
          <w:szCs w:val="24"/>
        </w:rPr>
        <w:t>There are no e</w:t>
      </w:r>
      <w:r w:rsidR="00EF36AF" w:rsidRPr="00D74E8E">
        <w:rPr>
          <w:rFonts w:cs="ITCFranklinGothicStd-Book"/>
          <w:sz w:val="24"/>
          <w:szCs w:val="24"/>
        </w:rPr>
        <w:t>xceptions to the certification.</w:t>
      </w:r>
    </w:p>
    <w:p w14:paraId="0E7DEE7C" w14:textId="40FE0CAC" w:rsidR="005C33C7" w:rsidRPr="00D74E8E" w:rsidRDefault="00093720" w:rsidP="00D82237">
      <w:pPr>
        <w:pStyle w:val="Heading1"/>
        <w:pBdr>
          <w:bottom w:val="none" w:sz="0" w:space="0" w:color="auto"/>
        </w:pBdr>
        <w:rPr>
          <w:color w:val="auto"/>
        </w:rPr>
      </w:pPr>
      <w:r w:rsidRPr="00D74E8E">
        <w:rPr>
          <w:color w:val="auto"/>
        </w:rPr>
        <w:br w:type="page"/>
      </w:r>
      <w:bookmarkStart w:id="22" w:name="_Toc494815296"/>
      <w:r w:rsidR="005C33C7" w:rsidRPr="00D74E8E">
        <w:rPr>
          <w:color w:val="auto"/>
        </w:rPr>
        <w:t>References</w:t>
      </w:r>
      <w:bookmarkEnd w:id="22"/>
    </w:p>
    <w:p w14:paraId="0CC1ADDF" w14:textId="77777777" w:rsidR="001E595A" w:rsidRPr="00D74E8E" w:rsidRDefault="001E595A" w:rsidP="008C154D">
      <w:pPr>
        <w:rPr>
          <w:rFonts w:ascii="Cambria" w:hAnsi="Cambria"/>
          <w:sz w:val="24"/>
          <w:szCs w:val="24"/>
        </w:rPr>
      </w:pPr>
    </w:p>
    <w:p w14:paraId="100F29BB" w14:textId="535A0B3A" w:rsidR="00294E63" w:rsidRPr="00AA2B8A" w:rsidRDefault="00294E63" w:rsidP="003D234E">
      <w:pPr>
        <w:contextualSpacing/>
        <w:rPr>
          <w:rFonts w:ascii="Calibri" w:eastAsia="BulldogStd" w:hAnsi="Calibri"/>
          <w:sz w:val="24"/>
          <w:szCs w:val="24"/>
        </w:rPr>
      </w:pPr>
      <w:r w:rsidRPr="00AA2B8A">
        <w:rPr>
          <w:rFonts w:ascii="Calibri" w:hAnsi="Calibri"/>
          <w:sz w:val="24"/>
          <w:szCs w:val="24"/>
        </w:rPr>
        <w:t xml:space="preserve">(AAP) </w:t>
      </w:r>
      <w:r w:rsidRPr="00AA2B8A">
        <w:rPr>
          <w:rFonts w:ascii="Calibri" w:eastAsia="BulldogStd" w:hAnsi="Calibri"/>
          <w:sz w:val="24"/>
          <w:szCs w:val="24"/>
        </w:rPr>
        <w:t>A</w:t>
      </w:r>
      <w:r w:rsidR="00F47DDF" w:rsidRPr="00AA2B8A">
        <w:rPr>
          <w:rFonts w:ascii="Calibri" w:eastAsia="BulldogStd" w:hAnsi="Calibri"/>
          <w:sz w:val="24"/>
          <w:szCs w:val="24"/>
        </w:rPr>
        <w:t xml:space="preserve">merican </w:t>
      </w:r>
      <w:r w:rsidRPr="00AA2B8A">
        <w:rPr>
          <w:rFonts w:ascii="Calibri" w:eastAsia="BulldogStd" w:hAnsi="Calibri"/>
          <w:sz w:val="24"/>
          <w:szCs w:val="24"/>
        </w:rPr>
        <w:t>A</w:t>
      </w:r>
      <w:r w:rsidR="00F47DDF" w:rsidRPr="00AA2B8A">
        <w:rPr>
          <w:rFonts w:ascii="Calibri" w:eastAsia="BulldogStd" w:hAnsi="Calibri"/>
          <w:sz w:val="24"/>
          <w:szCs w:val="24"/>
        </w:rPr>
        <w:t xml:space="preserve">cademy of </w:t>
      </w:r>
      <w:r w:rsidRPr="00AA2B8A">
        <w:rPr>
          <w:rFonts w:ascii="Calibri" w:eastAsia="BulldogStd" w:hAnsi="Calibri"/>
          <w:sz w:val="24"/>
          <w:szCs w:val="24"/>
        </w:rPr>
        <w:t>P</w:t>
      </w:r>
      <w:r w:rsidR="00F47DDF" w:rsidRPr="00AA2B8A">
        <w:rPr>
          <w:rFonts w:ascii="Calibri" w:eastAsia="BulldogStd" w:hAnsi="Calibri"/>
          <w:sz w:val="24"/>
          <w:szCs w:val="24"/>
        </w:rPr>
        <w:t>ediatrics</w:t>
      </w:r>
      <w:r w:rsidRPr="00AA2B8A">
        <w:rPr>
          <w:rFonts w:ascii="Calibri" w:eastAsia="BulldogStd" w:hAnsi="Calibri"/>
          <w:sz w:val="24"/>
          <w:szCs w:val="24"/>
        </w:rPr>
        <w:t xml:space="preserve"> Council on Environmental Health. Prevention of Childhood Lead Toxicity. </w:t>
      </w:r>
      <w:r w:rsidRPr="00AA2B8A">
        <w:rPr>
          <w:rFonts w:ascii="Calibri" w:eastAsia="BulldogStd" w:hAnsi="Calibri" w:cs="BulldogStd-Italic"/>
          <w:i/>
          <w:iCs/>
          <w:sz w:val="24"/>
          <w:szCs w:val="24"/>
        </w:rPr>
        <w:t xml:space="preserve">Pediatrics. </w:t>
      </w:r>
      <w:r w:rsidRPr="00AA2B8A">
        <w:rPr>
          <w:rFonts w:ascii="Calibri" w:eastAsia="BulldogStd" w:hAnsi="Calibri"/>
          <w:sz w:val="24"/>
          <w:szCs w:val="24"/>
        </w:rPr>
        <w:t>2016;138(1):e20161493</w:t>
      </w:r>
    </w:p>
    <w:p w14:paraId="30C0B45E" w14:textId="77777777" w:rsidR="00294E63" w:rsidRPr="00AA2B8A" w:rsidRDefault="00294E63" w:rsidP="003D234E">
      <w:pPr>
        <w:contextualSpacing/>
        <w:rPr>
          <w:rFonts w:ascii="Calibri" w:hAnsi="Calibri"/>
          <w:sz w:val="24"/>
          <w:szCs w:val="24"/>
        </w:rPr>
      </w:pPr>
    </w:p>
    <w:p w14:paraId="25110AC1" w14:textId="36865790" w:rsidR="00863B03" w:rsidRPr="00AA2B8A" w:rsidRDefault="00737197" w:rsidP="003D234E">
      <w:pPr>
        <w:contextualSpacing/>
        <w:rPr>
          <w:rStyle w:val="Hyperlink"/>
          <w:rFonts w:ascii="Calibri" w:hAnsi="Calibri"/>
          <w:color w:val="auto"/>
          <w:sz w:val="24"/>
          <w:szCs w:val="24"/>
        </w:rPr>
      </w:pPr>
      <w:r w:rsidRPr="00AA2B8A">
        <w:rPr>
          <w:rFonts w:ascii="Calibri" w:hAnsi="Calibri"/>
          <w:sz w:val="24"/>
          <w:szCs w:val="24"/>
        </w:rPr>
        <w:t>(ACC</w:t>
      </w:r>
      <w:r w:rsidR="00863B03" w:rsidRPr="00AA2B8A">
        <w:rPr>
          <w:rFonts w:ascii="Calibri" w:hAnsi="Calibri"/>
          <w:sz w:val="24"/>
          <w:szCs w:val="24"/>
        </w:rPr>
        <w:t>LPP)</w:t>
      </w:r>
      <w:r w:rsidR="00863B03" w:rsidRPr="00AA2B8A">
        <w:rPr>
          <w:rFonts w:ascii="Calibri" w:hAnsi="Calibri" w:cs="Calibri"/>
          <w:sz w:val="24"/>
          <w:szCs w:val="24"/>
        </w:rPr>
        <w:t xml:space="preserve"> </w:t>
      </w:r>
      <w:r w:rsidR="00863B03" w:rsidRPr="00AA2B8A">
        <w:rPr>
          <w:rFonts w:ascii="Calibri" w:hAnsi="Calibri" w:cs="Calibri"/>
          <w:bCs/>
          <w:sz w:val="24"/>
          <w:szCs w:val="24"/>
        </w:rPr>
        <w:t>Advisory Committee on Childhood Lead Poisoning Prevention.</w:t>
      </w:r>
      <w:r w:rsidR="00863B03" w:rsidRPr="00AA2B8A">
        <w:rPr>
          <w:rFonts w:ascii="Calibri" w:hAnsi="Calibri" w:cs="Calibri"/>
          <w:sz w:val="24"/>
          <w:szCs w:val="24"/>
        </w:rPr>
        <w:t xml:space="preserve"> </w:t>
      </w:r>
      <w:r w:rsidR="00863B03" w:rsidRPr="00AA2B8A">
        <w:rPr>
          <w:rFonts w:ascii="Calibri" w:hAnsi="Calibri" w:cs="Calibri"/>
          <w:bCs/>
          <w:sz w:val="24"/>
          <w:szCs w:val="24"/>
        </w:rPr>
        <w:t xml:space="preserve">Low Level Lead Exposure Harms Children: A Renewed Call for Primary </w:t>
      </w:r>
      <w:r w:rsidR="00D25EDB" w:rsidRPr="00AA2B8A">
        <w:rPr>
          <w:rFonts w:ascii="Calibri" w:hAnsi="Calibri" w:cs="Calibri"/>
          <w:bCs/>
          <w:sz w:val="24"/>
          <w:szCs w:val="24"/>
        </w:rPr>
        <w:t>Prevention</w:t>
      </w:r>
      <w:r w:rsidR="00863B03" w:rsidRPr="00AA2B8A">
        <w:rPr>
          <w:rFonts w:ascii="Calibri" w:hAnsi="Calibri" w:cs="Calibri"/>
          <w:bCs/>
          <w:sz w:val="24"/>
          <w:szCs w:val="24"/>
        </w:rPr>
        <w:t xml:space="preserve"> (2012, January)</w:t>
      </w:r>
      <w:r w:rsidR="00D25EDB" w:rsidRPr="00AA2B8A">
        <w:rPr>
          <w:rFonts w:ascii="Calibri" w:hAnsi="Calibri" w:cs="Calibri"/>
          <w:bCs/>
          <w:sz w:val="24"/>
          <w:szCs w:val="24"/>
        </w:rPr>
        <w:t>.</w:t>
      </w:r>
      <w:r w:rsidR="001A72AD" w:rsidRPr="00AA2B8A">
        <w:rPr>
          <w:rFonts w:ascii="Calibri" w:hAnsi="Calibri" w:cs="Calibri"/>
          <w:bCs/>
          <w:sz w:val="24"/>
          <w:szCs w:val="24"/>
        </w:rPr>
        <w:t xml:space="preserve"> A</w:t>
      </w:r>
      <w:r w:rsidR="001A72AD" w:rsidRPr="00AA2B8A">
        <w:rPr>
          <w:rFonts w:ascii="Calibri" w:hAnsi="Calibri"/>
          <w:sz w:val="24"/>
          <w:szCs w:val="24"/>
        </w:rPr>
        <w:t xml:space="preserve">ccessed 01/20/2017 at </w:t>
      </w:r>
      <w:hyperlink r:id="rId29" w:history="1">
        <w:r w:rsidR="00863B03" w:rsidRPr="00AA2B8A">
          <w:rPr>
            <w:rStyle w:val="Hyperlink"/>
            <w:rFonts w:ascii="Calibri" w:hAnsi="Calibri"/>
            <w:color w:val="auto"/>
            <w:sz w:val="24"/>
            <w:szCs w:val="24"/>
          </w:rPr>
          <w:t>https://www.cdc.gov/nceh/lead/acclpp/final_document_030712.pdf</w:t>
        </w:r>
      </w:hyperlink>
      <w:r w:rsidR="001A72AD" w:rsidRPr="00AA2B8A">
        <w:rPr>
          <w:rStyle w:val="Hyperlink"/>
          <w:rFonts w:ascii="Calibri" w:hAnsi="Calibri"/>
          <w:color w:val="auto"/>
          <w:sz w:val="24"/>
          <w:szCs w:val="24"/>
        </w:rPr>
        <w:t>.</w:t>
      </w:r>
    </w:p>
    <w:p w14:paraId="52DF352D" w14:textId="77777777" w:rsidR="00E615DF" w:rsidRPr="00AA2B8A" w:rsidRDefault="00E615DF" w:rsidP="003D234E">
      <w:pPr>
        <w:contextualSpacing/>
        <w:rPr>
          <w:rStyle w:val="Hyperlink"/>
          <w:rFonts w:ascii="Calibri" w:hAnsi="Calibri"/>
          <w:color w:val="auto"/>
          <w:sz w:val="24"/>
          <w:szCs w:val="24"/>
          <w:u w:val="none"/>
        </w:rPr>
      </w:pPr>
    </w:p>
    <w:p w14:paraId="18169A37" w14:textId="271590BA" w:rsidR="00E615DF" w:rsidRPr="00AA2B8A" w:rsidRDefault="009C684B" w:rsidP="003D234E">
      <w:pPr>
        <w:contextualSpacing/>
        <w:rPr>
          <w:rFonts w:ascii="Calibri" w:hAnsi="Calibri"/>
          <w:sz w:val="24"/>
          <w:szCs w:val="24"/>
        </w:rPr>
      </w:pPr>
      <w:r w:rsidRPr="00AA2B8A">
        <w:rPr>
          <w:rStyle w:val="Hyperlink"/>
          <w:rFonts w:ascii="Calibri" w:hAnsi="Calibri"/>
          <w:color w:val="auto"/>
          <w:sz w:val="24"/>
          <w:szCs w:val="24"/>
          <w:u w:val="none"/>
        </w:rPr>
        <w:t xml:space="preserve">(ACOG) </w:t>
      </w:r>
      <w:r w:rsidRPr="00AA2B8A">
        <w:rPr>
          <w:rFonts w:ascii="Calibri" w:eastAsia="Times New Roman" w:hAnsi="Calibri" w:cs="Lucida Sans Unicode"/>
          <w:sz w:val="24"/>
          <w:szCs w:val="24"/>
        </w:rPr>
        <w:t>American College of Obstetricians and Gynecologists. Lead screening during pregnancy and lactation. Committee Opinion No. 533. Obstet Gynecol 2012;120:416–20.</w:t>
      </w:r>
      <w:r w:rsidR="00D25EDB" w:rsidRPr="00AA2B8A">
        <w:rPr>
          <w:rFonts w:ascii="Calibri" w:eastAsia="Times New Roman" w:hAnsi="Calibri" w:cs="Lucida Sans Unicode"/>
          <w:sz w:val="24"/>
          <w:szCs w:val="24"/>
        </w:rPr>
        <w:t xml:space="preserve"> Accessed 01/27/2017 at </w:t>
      </w:r>
      <w:hyperlink r:id="rId30" w:history="1">
        <w:r w:rsidR="00D25EDB" w:rsidRPr="00AA2B8A">
          <w:rPr>
            <w:rStyle w:val="Hyperlink"/>
            <w:rFonts w:ascii="Calibri" w:eastAsia="Times New Roman" w:hAnsi="Calibri" w:cs="Lucida Sans Unicode"/>
            <w:color w:val="auto"/>
            <w:sz w:val="24"/>
            <w:szCs w:val="24"/>
          </w:rPr>
          <w:t>http://www.acog.org/Resources-And-Publications/Committee-Opinions/Committee-on-Obstetric-Practice/Lead-Screening-During-Pregnancy-and-Lactation</w:t>
        </w:r>
      </w:hyperlink>
      <w:r w:rsidR="00D25EDB" w:rsidRPr="00AA2B8A">
        <w:rPr>
          <w:rFonts w:ascii="Calibri" w:eastAsia="Times New Roman" w:hAnsi="Calibri" w:cs="Lucida Sans Unicode"/>
          <w:sz w:val="24"/>
          <w:szCs w:val="24"/>
        </w:rPr>
        <w:t xml:space="preserve">. </w:t>
      </w:r>
    </w:p>
    <w:p w14:paraId="5807D178" w14:textId="77777777" w:rsidR="00E615DF" w:rsidRPr="00AA2B8A" w:rsidRDefault="00E615DF" w:rsidP="003D234E">
      <w:pPr>
        <w:contextualSpacing/>
        <w:rPr>
          <w:rFonts w:ascii="Calibri" w:hAnsi="Calibri"/>
          <w:sz w:val="24"/>
          <w:szCs w:val="24"/>
        </w:rPr>
      </w:pPr>
    </w:p>
    <w:p w14:paraId="6C88D823" w14:textId="77777777" w:rsidR="00855A06" w:rsidRPr="00AA2B8A" w:rsidRDefault="00855A06" w:rsidP="003D234E">
      <w:pPr>
        <w:contextualSpacing/>
        <w:rPr>
          <w:rFonts w:ascii="Calibri" w:hAnsi="Calibri" w:cs="Arial"/>
          <w:sz w:val="24"/>
          <w:szCs w:val="24"/>
        </w:rPr>
      </w:pPr>
      <w:r w:rsidRPr="00AA2B8A">
        <w:rPr>
          <w:rFonts w:ascii="Calibri" w:hAnsi="Calibri"/>
          <w:sz w:val="24"/>
          <w:szCs w:val="24"/>
        </w:rPr>
        <w:t>Alarcon WA</w:t>
      </w:r>
      <w:r w:rsidRPr="00AA2B8A">
        <w:rPr>
          <w:rFonts w:ascii="Calibri" w:hAnsi="Calibri" w:cs="Lucida Sans Unicode"/>
          <w:sz w:val="24"/>
          <w:szCs w:val="24"/>
        </w:rPr>
        <w:t>.</w:t>
      </w:r>
      <w:r w:rsidRPr="00AA2B8A">
        <w:rPr>
          <w:rFonts w:ascii="Calibri" w:hAnsi="Calibri"/>
          <w:sz w:val="24"/>
          <w:szCs w:val="24"/>
        </w:rPr>
        <w:t xml:space="preserve"> </w:t>
      </w:r>
      <w:r w:rsidRPr="00AA2B8A">
        <w:rPr>
          <w:rFonts w:ascii="Calibri" w:hAnsi="Calibri" w:cs="Myriad Pro Light"/>
          <w:bCs/>
          <w:sz w:val="24"/>
          <w:szCs w:val="24"/>
        </w:rPr>
        <w:t xml:space="preserve">Elevated Blood Lead Levels among Employed Adults — United States, 1994–2012. </w:t>
      </w:r>
      <w:r w:rsidRPr="00AA2B8A">
        <w:rPr>
          <w:rFonts w:ascii="Calibri" w:hAnsi="Calibri" w:cs="Arial"/>
          <w:sz w:val="24"/>
          <w:szCs w:val="24"/>
        </w:rPr>
        <w:t xml:space="preserve">MMWR Morb Mortal Wkly Rep. 2015 Oct 23;62(54):52-75. Accessed 01/20/2017 at </w:t>
      </w:r>
      <w:hyperlink r:id="rId31" w:history="1">
        <w:r w:rsidRPr="00AA2B8A">
          <w:rPr>
            <w:rStyle w:val="Hyperlink"/>
            <w:rFonts w:ascii="Calibri" w:hAnsi="Calibri" w:cs="Arial"/>
            <w:color w:val="auto"/>
            <w:sz w:val="24"/>
            <w:szCs w:val="24"/>
          </w:rPr>
          <w:t>https://www.cdc.gov/mmwr/preview/mmwrhtml/mm6254a4.htm</w:t>
        </w:r>
      </w:hyperlink>
      <w:r w:rsidRPr="00AA2B8A">
        <w:rPr>
          <w:rFonts w:ascii="Calibri" w:hAnsi="Calibri" w:cs="Arial"/>
          <w:sz w:val="24"/>
          <w:szCs w:val="24"/>
        </w:rPr>
        <w:t xml:space="preserve">. </w:t>
      </w:r>
    </w:p>
    <w:p w14:paraId="12ECFC7C" w14:textId="77777777" w:rsidR="00CE72E6" w:rsidRPr="00AA2B8A" w:rsidRDefault="00CE72E6" w:rsidP="003D234E">
      <w:pPr>
        <w:contextualSpacing/>
        <w:rPr>
          <w:rStyle w:val="Hyperlink"/>
          <w:rFonts w:ascii="Calibri" w:hAnsi="Calibri" w:cs="Myriad Pro Light"/>
          <w:color w:val="auto"/>
          <w:sz w:val="24"/>
          <w:szCs w:val="24"/>
          <w:u w:val="none"/>
        </w:rPr>
      </w:pPr>
    </w:p>
    <w:p w14:paraId="6F42BB5B" w14:textId="20A05AE1" w:rsidR="00CE72E6" w:rsidRPr="00AA2B8A" w:rsidRDefault="00CE72E6" w:rsidP="003D234E">
      <w:pPr>
        <w:contextualSpacing/>
        <w:rPr>
          <w:rStyle w:val="Hyperlink"/>
          <w:rFonts w:ascii="Calibri" w:hAnsi="Calibri" w:cs="Myriad Pro Light"/>
          <w:color w:val="auto"/>
          <w:sz w:val="24"/>
          <w:szCs w:val="24"/>
          <w:u w:val="none"/>
        </w:rPr>
      </w:pPr>
      <w:r w:rsidRPr="00AA2B8A">
        <w:rPr>
          <w:rFonts w:ascii="Calibri" w:hAnsi="Calibri"/>
          <w:sz w:val="24"/>
          <w:szCs w:val="24"/>
        </w:rPr>
        <w:t>Alarcon WA. Elevated Blood Lead Levels among Employed Adults — United States, 1994–2013. MMWR Morb Mortal Wkly Rep</w:t>
      </w:r>
      <w:r w:rsidR="00027A60" w:rsidRPr="00AA2B8A">
        <w:rPr>
          <w:rFonts w:ascii="Calibri" w:hAnsi="Calibri"/>
          <w:sz w:val="24"/>
          <w:szCs w:val="24"/>
        </w:rPr>
        <w:t>.</w:t>
      </w:r>
      <w:r w:rsidRPr="00AA2B8A">
        <w:rPr>
          <w:rFonts w:ascii="Calibri" w:hAnsi="Calibri"/>
          <w:sz w:val="24"/>
          <w:szCs w:val="24"/>
        </w:rPr>
        <w:t xml:space="preserve"> 2016 Oct 14</w:t>
      </w:r>
      <w:r w:rsidR="00027A60" w:rsidRPr="00AA2B8A">
        <w:rPr>
          <w:rFonts w:ascii="Calibri" w:hAnsi="Calibri"/>
          <w:sz w:val="24"/>
          <w:szCs w:val="24"/>
        </w:rPr>
        <w:t xml:space="preserve">;63:59–65. Accessed 03/09/2017 at </w:t>
      </w:r>
      <w:hyperlink r:id="rId32" w:tgtFrame="_self" w:history="1">
        <w:r w:rsidRPr="00AA2B8A">
          <w:rPr>
            <w:rStyle w:val="Hyperlink"/>
            <w:rFonts w:ascii="Calibri" w:hAnsi="Calibri"/>
            <w:color w:val="auto"/>
            <w:sz w:val="24"/>
            <w:szCs w:val="24"/>
          </w:rPr>
          <w:t>http://dx.doi.org/10.15585/mmwr.mm6355a5</w:t>
        </w:r>
      </w:hyperlink>
      <w:r w:rsidRPr="00AA2B8A">
        <w:rPr>
          <w:rFonts w:ascii="Calibri" w:hAnsi="Calibri"/>
          <w:sz w:val="24"/>
          <w:szCs w:val="24"/>
        </w:rPr>
        <w:t>.</w:t>
      </w:r>
    </w:p>
    <w:p w14:paraId="0C55CE0D" w14:textId="77777777" w:rsidR="00855A06" w:rsidRPr="00AA2B8A" w:rsidRDefault="00855A06" w:rsidP="003D234E">
      <w:pPr>
        <w:contextualSpacing/>
        <w:rPr>
          <w:rFonts w:ascii="Calibri" w:hAnsi="Calibri"/>
          <w:sz w:val="24"/>
          <w:szCs w:val="24"/>
        </w:rPr>
      </w:pPr>
      <w:r w:rsidRPr="00AA2B8A">
        <w:rPr>
          <w:rFonts w:ascii="Calibri" w:hAnsi="Calibri"/>
          <w:sz w:val="24"/>
          <w:szCs w:val="24"/>
        </w:rPr>
        <w:t xml:space="preserve"> </w:t>
      </w:r>
    </w:p>
    <w:p w14:paraId="63D2EDD5" w14:textId="77777777" w:rsidR="00855A06" w:rsidRPr="00AA2B8A" w:rsidRDefault="00855A06" w:rsidP="003D234E">
      <w:pPr>
        <w:contextualSpacing/>
        <w:rPr>
          <w:rFonts w:ascii="Calibri" w:eastAsia="Times New Roman" w:hAnsi="Calibri" w:cs="Arial"/>
          <w:sz w:val="24"/>
          <w:szCs w:val="24"/>
        </w:rPr>
      </w:pPr>
      <w:r w:rsidRPr="00AA2B8A">
        <w:rPr>
          <w:rFonts w:ascii="Calibri" w:eastAsia="Times New Roman" w:hAnsi="Calibri" w:cs="Arial"/>
          <w:sz w:val="24"/>
          <w:szCs w:val="24"/>
        </w:rPr>
        <w:t>Annest JL, Mahaffey KR, Cox DH, Roberts J.</w:t>
      </w:r>
      <w:r w:rsidRPr="00AA2B8A">
        <w:rPr>
          <w:rFonts w:ascii="Calibri" w:hAnsi="Calibri" w:cs="Arial"/>
          <w:sz w:val="24"/>
          <w:szCs w:val="24"/>
        </w:rPr>
        <w:t xml:space="preserve"> </w:t>
      </w:r>
      <w:r w:rsidRPr="00AA2B8A">
        <w:rPr>
          <w:rFonts w:ascii="Calibri" w:eastAsia="Times New Roman" w:hAnsi="Calibri" w:cs="Arial"/>
          <w:bCs/>
          <w:kern w:val="36"/>
          <w:sz w:val="24"/>
          <w:szCs w:val="24"/>
        </w:rPr>
        <w:t xml:space="preserve">Blood lead levels for persons 6 months-74 years of age: United States, 1976-80. </w:t>
      </w:r>
      <w:r w:rsidRPr="00AA2B8A">
        <w:rPr>
          <w:rFonts w:ascii="Calibri" w:eastAsia="Times New Roman" w:hAnsi="Calibri" w:cs="Arial"/>
          <w:sz w:val="24"/>
          <w:szCs w:val="24"/>
        </w:rPr>
        <w:t>Adv Data. 1982 May 12;(79):1-23.</w:t>
      </w:r>
    </w:p>
    <w:p w14:paraId="4302262E" w14:textId="77777777" w:rsidR="00855A06" w:rsidRPr="00AA2B8A" w:rsidRDefault="00855A06" w:rsidP="003D234E">
      <w:pPr>
        <w:contextualSpacing/>
        <w:rPr>
          <w:rFonts w:ascii="Calibri" w:hAnsi="Calibri"/>
          <w:sz w:val="24"/>
          <w:szCs w:val="24"/>
        </w:rPr>
      </w:pPr>
      <w:r w:rsidRPr="00AA2B8A">
        <w:rPr>
          <w:rFonts w:ascii="Calibri" w:hAnsi="Calibri"/>
          <w:sz w:val="24"/>
          <w:szCs w:val="24"/>
        </w:rPr>
        <w:t xml:space="preserve"> </w:t>
      </w:r>
    </w:p>
    <w:p w14:paraId="3B6A2DB3" w14:textId="3A13BA43" w:rsidR="0046031D" w:rsidRPr="00AA2B8A" w:rsidRDefault="00E669A8" w:rsidP="003D234E">
      <w:pPr>
        <w:contextualSpacing/>
        <w:rPr>
          <w:rStyle w:val="Hyperlink"/>
          <w:rFonts w:ascii="Calibri" w:hAnsi="Calibri"/>
          <w:color w:val="auto"/>
          <w:sz w:val="24"/>
          <w:szCs w:val="24"/>
        </w:rPr>
      </w:pPr>
      <w:r w:rsidRPr="00AA2B8A">
        <w:rPr>
          <w:rFonts w:ascii="Calibri" w:hAnsi="Calibri"/>
          <w:sz w:val="24"/>
          <w:szCs w:val="24"/>
        </w:rPr>
        <w:t>(A</w:t>
      </w:r>
      <w:r w:rsidR="0046031D" w:rsidRPr="00AA2B8A">
        <w:rPr>
          <w:rFonts w:ascii="Calibri" w:hAnsi="Calibri"/>
          <w:sz w:val="24"/>
          <w:szCs w:val="24"/>
        </w:rPr>
        <w:t>O</w:t>
      </w:r>
      <w:r w:rsidRPr="00AA2B8A">
        <w:rPr>
          <w:rFonts w:ascii="Calibri" w:hAnsi="Calibri"/>
          <w:sz w:val="24"/>
          <w:szCs w:val="24"/>
        </w:rPr>
        <w:t>E</w:t>
      </w:r>
      <w:r w:rsidR="0046031D" w:rsidRPr="00AA2B8A">
        <w:rPr>
          <w:rFonts w:ascii="Calibri" w:hAnsi="Calibri"/>
          <w:sz w:val="24"/>
          <w:szCs w:val="24"/>
        </w:rPr>
        <w:t>C</w:t>
      </w:r>
      <w:r w:rsidRPr="00AA2B8A">
        <w:rPr>
          <w:rFonts w:ascii="Calibri" w:hAnsi="Calibri"/>
          <w:sz w:val="24"/>
          <w:szCs w:val="24"/>
        </w:rPr>
        <w:t>-CSTE</w:t>
      </w:r>
      <w:r w:rsidR="0046031D" w:rsidRPr="00AA2B8A">
        <w:rPr>
          <w:rFonts w:ascii="Calibri" w:hAnsi="Calibri"/>
          <w:sz w:val="24"/>
          <w:szCs w:val="24"/>
        </w:rPr>
        <w:t xml:space="preserve">) Association of Occupational and Environmental Clinics. 2007 </w:t>
      </w:r>
      <w:r w:rsidR="0046031D" w:rsidRPr="00AA2B8A">
        <w:rPr>
          <w:rFonts w:ascii="Calibri" w:hAnsi="Calibri" w:cs="Times New Roman"/>
          <w:bCs/>
          <w:sz w:val="24"/>
          <w:szCs w:val="24"/>
        </w:rPr>
        <w:t>Medical Management Guidelines for Lead-Exposed Adults with 2013 CSTE Medical Management Guidelines. (2013, O</w:t>
      </w:r>
      <w:r w:rsidR="00C3683B">
        <w:rPr>
          <w:rFonts w:ascii="Calibri" w:hAnsi="Calibri" w:cs="Times New Roman"/>
          <w:bCs/>
          <w:sz w:val="24"/>
          <w:szCs w:val="24"/>
        </w:rPr>
        <w:t>c</w:t>
      </w:r>
      <w:r w:rsidR="0046031D" w:rsidRPr="00AA2B8A">
        <w:rPr>
          <w:rFonts w:ascii="Calibri" w:hAnsi="Calibri" w:cs="Times New Roman"/>
          <w:bCs/>
          <w:sz w:val="24"/>
          <w:szCs w:val="24"/>
        </w:rPr>
        <w:t xml:space="preserve">tober). Accessed 01/20/2016 at </w:t>
      </w:r>
      <w:hyperlink r:id="rId33" w:history="1">
        <w:r w:rsidR="0046031D" w:rsidRPr="00AA2B8A">
          <w:rPr>
            <w:rStyle w:val="Hyperlink"/>
            <w:rFonts w:ascii="Calibri" w:hAnsi="Calibri"/>
            <w:color w:val="auto"/>
            <w:sz w:val="24"/>
            <w:szCs w:val="24"/>
          </w:rPr>
          <w:t>http://www.aoec.org/documents/positions/mmg_revision_with_cste_2013.pdf</w:t>
        </w:r>
      </w:hyperlink>
      <w:r w:rsidR="0046031D" w:rsidRPr="00AA2B8A">
        <w:rPr>
          <w:rStyle w:val="Hyperlink"/>
          <w:rFonts w:ascii="Calibri" w:hAnsi="Calibri"/>
          <w:color w:val="auto"/>
          <w:sz w:val="24"/>
          <w:szCs w:val="24"/>
        </w:rPr>
        <w:t xml:space="preserve">. </w:t>
      </w:r>
    </w:p>
    <w:p w14:paraId="77E2D6CD" w14:textId="77777777" w:rsidR="009D2B95" w:rsidRPr="00AA2B8A" w:rsidRDefault="009D2B95" w:rsidP="003D234E">
      <w:pPr>
        <w:contextualSpacing/>
        <w:rPr>
          <w:rFonts w:ascii="Calibri" w:hAnsi="Calibri"/>
          <w:sz w:val="24"/>
          <w:szCs w:val="24"/>
        </w:rPr>
      </w:pPr>
    </w:p>
    <w:p w14:paraId="544DE290" w14:textId="0E332DD9" w:rsidR="00504316" w:rsidRPr="00AA2B8A" w:rsidRDefault="00504316" w:rsidP="003D234E">
      <w:pPr>
        <w:contextualSpacing/>
        <w:rPr>
          <w:rFonts w:ascii="Calibri" w:hAnsi="Calibri" w:cs="Arial"/>
          <w:sz w:val="24"/>
          <w:szCs w:val="24"/>
          <w:lang w:val="en"/>
        </w:rPr>
      </w:pPr>
      <w:r w:rsidRPr="00AA2B8A">
        <w:rPr>
          <w:rFonts w:ascii="Calibri" w:hAnsi="Calibri" w:cs="Arial"/>
          <w:sz w:val="24"/>
          <w:szCs w:val="24"/>
          <w:lang w:val="en"/>
        </w:rPr>
        <w:t xml:space="preserve">(ATSDR) Agency for Toxic Substances and Disease Registry. 2007. </w:t>
      </w:r>
      <w:hyperlink r:id="rId34" w:history="1">
        <w:r w:rsidR="00DD3238" w:rsidRPr="00AA2B8A">
          <w:rPr>
            <w:rFonts w:ascii="Calibri" w:hAnsi="Calibri" w:cs="Arial"/>
            <w:sz w:val="24"/>
            <w:szCs w:val="24"/>
            <w:lang w:val="en"/>
          </w:rPr>
          <w:t>Toxicological P</w:t>
        </w:r>
        <w:r w:rsidRPr="00AA2B8A">
          <w:rPr>
            <w:rFonts w:ascii="Calibri" w:hAnsi="Calibri" w:cs="Arial"/>
            <w:sz w:val="24"/>
            <w:szCs w:val="24"/>
            <w:lang w:val="en"/>
          </w:rPr>
          <w:t>rofile for Lead</w:t>
        </w:r>
      </w:hyperlink>
      <w:r w:rsidRPr="00AA2B8A">
        <w:rPr>
          <w:rFonts w:ascii="Calibri" w:hAnsi="Calibri" w:cs="Arial"/>
          <w:sz w:val="24"/>
          <w:szCs w:val="24"/>
          <w:lang w:val="en"/>
        </w:rPr>
        <w:t xml:space="preserve">. Atlanta, GA: U.S. Department of Health and Human Services, Public Health Service. Accessed 01/20/2017 at </w:t>
      </w:r>
      <w:hyperlink r:id="rId35" w:history="1">
        <w:r w:rsidRPr="00AA2B8A">
          <w:rPr>
            <w:rStyle w:val="Hyperlink"/>
            <w:rFonts w:ascii="Calibri" w:hAnsi="Calibri" w:cs="Arial"/>
            <w:color w:val="auto"/>
            <w:sz w:val="24"/>
            <w:szCs w:val="24"/>
            <w:lang w:val="en"/>
          </w:rPr>
          <w:t>https://www.atsdr.cdc.gov/toxprofiles/tp13.pdf</w:t>
        </w:r>
      </w:hyperlink>
      <w:r w:rsidRPr="00AA2B8A">
        <w:rPr>
          <w:rFonts w:ascii="Calibri" w:hAnsi="Calibri" w:cs="Arial"/>
          <w:sz w:val="24"/>
          <w:szCs w:val="24"/>
          <w:lang w:val="en"/>
        </w:rPr>
        <w:t xml:space="preserve">. </w:t>
      </w:r>
    </w:p>
    <w:p w14:paraId="53D71723" w14:textId="77777777" w:rsidR="00863B03" w:rsidRPr="00AA2B8A" w:rsidRDefault="00863B03" w:rsidP="003D234E">
      <w:pPr>
        <w:contextualSpacing/>
        <w:rPr>
          <w:rFonts w:ascii="Calibri" w:hAnsi="Calibri"/>
          <w:sz w:val="24"/>
          <w:szCs w:val="24"/>
        </w:rPr>
      </w:pPr>
    </w:p>
    <w:p w14:paraId="1ACD258F" w14:textId="35475ADE" w:rsidR="00E64CBA" w:rsidRPr="00AA2B8A" w:rsidRDefault="00E64CBA" w:rsidP="003D234E">
      <w:pPr>
        <w:contextualSpacing/>
        <w:rPr>
          <w:rFonts w:ascii="Calibri" w:hAnsi="Calibri"/>
          <w:sz w:val="24"/>
          <w:szCs w:val="24"/>
        </w:rPr>
      </w:pPr>
      <w:r w:rsidRPr="00AA2B8A">
        <w:rPr>
          <w:rFonts w:ascii="Calibri" w:hAnsi="Calibri"/>
          <w:sz w:val="24"/>
          <w:szCs w:val="24"/>
        </w:rPr>
        <w:t xml:space="preserve">(CDC) Centers for Disease Control and Prevention. Managing Elevated Blood Lead Levels Among Young Children: Recommendations from the Advisory Committee on Childhood Lead Poisoning Prevention. Atlanta: CDC; 2002. Accessed 01/20/2017 at </w:t>
      </w:r>
      <w:hyperlink r:id="rId36" w:history="1">
        <w:r w:rsidRPr="00AA2B8A">
          <w:rPr>
            <w:rStyle w:val="Hyperlink"/>
            <w:rFonts w:ascii="Calibri" w:hAnsi="Calibri"/>
            <w:color w:val="auto"/>
            <w:sz w:val="24"/>
            <w:szCs w:val="24"/>
          </w:rPr>
          <w:t>https://www.cdc.gov/nceh/lead/casemanagement/managingEBLLs.pdf</w:t>
        </w:r>
      </w:hyperlink>
      <w:r w:rsidRPr="00AA2B8A">
        <w:rPr>
          <w:rFonts w:ascii="Calibri" w:hAnsi="Calibri"/>
          <w:sz w:val="24"/>
          <w:szCs w:val="24"/>
        </w:rPr>
        <w:t xml:space="preserve">. </w:t>
      </w:r>
    </w:p>
    <w:p w14:paraId="1DE531BC" w14:textId="77777777" w:rsidR="004F1820" w:rsidRPr="00AA2B8A" w:rsidRDefault="004F1820" w:rsidP="003D234E">
      <w:pPr>
        <w:contextualSpacing/>
        <w:rPr>
          <w:rFonts w:ascii="Calibri" w:hAnsi="Calibri"/>
          <w:sz w:val="24"/>
          <w:szCs w:val="24"/>
        </w:rPr>
      </w:pPr>
    </w:p>
    <w:p w14:paraId="7CB1C798" w14:textId="54AEB241" w:rsidR="004F1820" w:rsidRPr="00AA2B8A" w:rsidRDefault="00190FC6" w:rsidP="003D234E">
      <w:pPr>
        <w:contextualSpacing/>
        <w:rPr>
          <w:rFonts w:ascii="Calibri" w:hAnsi="Calibri"/>
          <w:sz w:val="24"/>
          <w:szCs w:val="24"/>
        </w:rPr>
      </w:pPr>
      <w:r w:rsidRPr="00AA2B8A">
        <w:rPr>
          <w:rFonts w:ascii="Calibri" w:hAnsi="Calibri"/>
          <w:sz w:val="24"/>
          <w:szCs w:val="24"/>
        </w:rPr>
        <w:t xml:space="preserve">(CDC) Centers for Disease Control and Prevention. Preventing Lead Poisoning in Young Children.  Atlanta: 2005, August. </w:t>
      </w:r>
      <w:r w:rsidR="00424681" w:rsidRPr="00AA2B8A">
        <w:rPr>
          <w:rFonts w:ascii="Calibri" w:hAnsi="Calibri"/>
          <w:sz w:val="24"/>
          <w:szCs w:val="24"/>
        </w:rPr>
        <w:t xml:space="preserve">Accessed 01/20/2017 at </w:t>
      </w:r>
      <w:hyperlink r:id="rId37" w:history="1">
        <w:r w:rsidR="001F60DE" w:rsidRPr="00AA2B8A">
          <w:rPr>
            <w:rStyle w:val="Hyperlink"/>
            <w:rFonts w:ascii="Calibri" w:hAnsi="Calibri"/>
            <w:color w:val="auto"/>
            <w:sz w:val="24"/>
            <w:szCs w:val="24"/>
          </w:rPr>
          <w:t>https://www.cdc.gov/nceh/lead/publications/prevleadpoisoning.pdf</w:t>
        </w:r>
      </w:hyperlink>
      <w:r w:rsidR="001F60DE" w:rsidRPr="00AA2B8A">
        <w:rPr>
          <w:rFonts w:ascii="Calibri" w:hAnsi="Calibri"/>
          <w:sz w:val="24"/>
          <w:szCs w:val="24"/>
        </w:rPr>
        <w:t>.</w:t>
      </w:r>
    </w:p>
    <w:p w14:paraId="16C1C53C" w14:textId="77777777" w:rsidR="00FA7736" w:rsidRPr="00AA2B8A" w:rsidRDefault="00FA7736" w:rsidP="003D234E">
      <w:pPr>
        <w:contextualSpacing/>
        <w:rPr>
          <w:rFonts w:ascii="Calibri" w:hAnsi="Calibri"/>
          <w:sz w:val="24"/>
          <w:szCs w:val="24"/>
        </w:rPr>
      </w:pPr>
    </w:p>
    <w:p w14:paraId="67ACFFE5" w14:textId="4B860EB3" w:rsidR="00FA7736" w:rsidRPr="00AA2B8A" w:rsidRDefault="00FA7736" w:rsidP="003D234E">
      <w:pPr>
        <w:contextualSpacing/>
        <w:rPr>
          <w:rFonts w:ascii="Calibri" w:hAnsi="Calibri"/>
          <w:sz w:val="24"/>
          <w:szCs w:val="24"/>
        </w:rPr>
      </w:pPr>
      <w:r w:rsidRPr="00AA2B8A">
        <w:rPr>
          <w:rFonts w:ascii="Calibri" w:hAnsi="Calibri"/>
          <w:sz w:val="24"/>
          <w:szCs w:val="24"/>
        </w:rPr>
        <w:t xml:space="preserve">(CDC) Centers for Disease Control and Prevention. </w:t>
      </w:r>
      <w:r w:rsidRPr="00AA2B8A">
        <w:rPr>
          <w:rFonts w:ascii="Calibri" w:hAnsi="Calibri"/>
          <w:bCs/>
          <w:sz w:val="24"/>
          <w:szCs w:val="24"/>
        </w:rPr>
        <w:t xml:space="preserve">Guidelines for the Identification and Management of Lead Exposure in Pregnant and Lactating Women. </w:t>
      </w:r>
      <w:r w:rsidR="00205CE4" w:rsidRPr="00AA2B8A">
        <w:rPr>
          <w:rFonts w:ascii="Calibri" w:hAnsi="Calibri"/>
          <w:bCs/>
          <w:sz w:val="24"/>
          <w:szCs w:val="24"/>
        </w:rPr>
        <w:t xml:space="preserve">Atlanta: 2010, November. Accessed 01/20/2017 at </w:t>
      </w:r>
      <w:hyperlink r:id="rId38" w:history="1">
        <w:r w:rsidR="00205CE4" w:rsidRPr="00AA2B8A">
          <w:rPr>
            <w:rStyle w:val="Hyperlink"/>
            <w:rFonts w:ascii="Calibri" w:hAnsi="Calibri"/>
            <w:bCs/>
            <w:color w:val="auto"/>
            <w:sz w:val="24"/>
            <w:szCs w:val="24"/>
          </w:rPr>
          <w:t>https://www.cdc.gov/nceh/lead/publications/leadandpregnancy2010.pdf</w:t>
        </w:r>
      </w:hyperlink>
      <w:r w:rsidR="00205CE4" w:rsidRPr="00AA2B8A">
        <w:rPr>
          <w:rFonts w:ascii="Calibri" w:hAnsi="Calibri"/>
          <w:bCs/>
          <w:sz w:val="24"/>
          <w:szCs w:val="24"/>
        </w:rPr>
        <w:t xml:space="preserve">. </w:t>
      </w:r>
    </w:p>
    <w:p w14:paraId="189CB813" w14:textId="77777777" w:rsidR="00452897" w:rsidRPr="00AA2B8A" w:rsidRDefault="00452897" w:rsidP="003D234E">
      <w:pPr>
        <w:contextualSpacing/>
        <w:rPr>
          <w:rFonts w:ascii="Calibri" w:hAnsi="Calibri"/>
          <w:sz w:val="24"/>
          <w:szCs w:val="24"/>
        </w:rPr>
      </w:pPr>
    </w:p>
    <w:p w14:paraId="5C33FD3B" w14:textId="167015DD" w:rsidR="00452897" w:rsidRPr="00AA2B8A" w:rsidRDefault="00452897" w:rsidP="003D234E">
      <w:pPr>
        <w:contextualSpacing/>
        <w:rPr>
          <w:rFonts w:ascii="Calibri" w:hAnsi="Calibri"/>
          <w:sz w:val="24"/>
          <w:szCs w:val="24"/>
        </w:rPr>
      </w:pPr>
      <w:r w:rsidRPr="00AA2B8A">
        <w:rPr>
          <w:rFonts w:ascii="Calibri" w:hAnsi="Calibri"/>
          <w:sz w:val="24"/>
          <w:szCs w:val="24"/>
        </w:rPr>
        <w:t xml:space="preserve">(CDC) Centers for Disease Control and Prevention. </w:t>
      </w:r>
      <w:r w:rsidR="00BD677F" w:rsidRPr="00AA2B8A">
        <w:rPr>
          <w:rFonts w:ascii="Calibri" w:hAnsi="Calibri"/>
          <w:bCs/>
          <w:sz w:val="24"/>
          <w:szCs w:val="24"/>
        </w:rPr>
        <w:t>CDC Response to Advisory Committee on Childhood Lead Poisoning Prevention</w:t>
      </w:r>
      <w:r w:rsidR="00BD677F" w:rsidRPr="00AA2B8A">
        <w:rPr>
          <w:rFonts w:ascii="Calibri" w:hAnsi="Calibri"/>
          <w:sz w:val="24"/>
          <w:szCs w:val="24"/>
        </w:rPr>
        <w:t xml:space="preserve"> </w:t>
      </w:r>
      <w:r w:rsidR="00BD677F" w:rsidRPr="00AA2B8A">
        <w:rPr>
          <w:rFonts w:ascii="Calibri" w:hAnsi="Calibri"/>
          <w:bCs/>
          <w:sz w:val="24"/>
          <w:szCs w:val="24"/>
        </w:rPr>
        <w:t>Recommendations in “</w:t>
      </w:r>
      <w:r w:rsidR="00BD677F" w:rsidRPr="00AA2B8A">
        <w:rPr>
          <w:rFonts w:ascii="Calibri" w:hAnsi="Calibri"/>
          <w:bCs/>
          <w:iCs/>
          <w:sz w:val="24"/>
          <w:szCs w:val="24"/>
        </w:rPr>
        <w:t>Low Level Lead Exposure Harms Children: A Renewed Call of Primary Prevention</w:t>
      </w:r>
      <w:r w:rsidR="00BD677F" w:rsidRPr="00AA2B8A">
        <w:rPr>
          <w:rFonts w:ascii="Calibri" w:hAnsi="Calibri"/>
          <w:bCs/>
          <w:i/>
          <w:iCs/>
          <w:sz w:val="24"/>
          <w:szCs w:val="24"/>
        </w:rPr>
        <w:t>.</w:t>
      </w:r>
      <w:r w:rsidR="00BD677F" w:rsidRPr="00AA2B8A">
        <w:rPr>
          <w:rFonts w:ascii="Calibri" w:hAnsi="Calibri"/>
          <w:bCs/>
          <w:sz w:val="24"/>
          <w:szCs w:val="24"/>
        </w:rPr>
        <w:t xml:space="preserve">” </w:t>
      </w:r>
      <w:r w:rsidR="001A0C88" w:rsidRPr="00AA2B8A">
        <w:rPr>
          <w:rFonts w:ascii="Calibri" w:hAnsi="Calibri"/>
          <w:sz w:val="24"/>
          <w:szCs w:val="24"/>
        </w:rPr>
        <w:t>Atlanta: 2012, June</w:t>
      </w:r>
      <w:r w:rsidR="0039495B" w:rsidRPr="00AA2B8A">
        <w:rPr>
          <w:rFonts w:ascii="Calibri" w:hAnsi="Calibri"/>
          <w:sz w:val="24"/>
          <w:szCs w:val="24"/>
        </w:rPr>
        <w:t xml:space="preserve">. Accessed 01/20/2017 at </w:t>
      </w:r>
      <w:hyperlink r:id="rId39" w:history="1">
        <w:r w:rsidR="0039495B" w:rsidRPr="00AA2B8A">
          <w:rPr>
            <w:rStyle w:val="Hyperlink"/>
            <w:rFonts w:ascii="Calibri" w:hAnsi="Calibri"/>
            <w:color w:val="auto"/>
            <w:sz w:val="24"/>
            <w:szCs w:val="24"/>
          </w:rPr>
          <w:t>https://www.cdc.gov/nceh/lead/acclpp/cdc_response_lead_exposure_recs.pdf</w:t>
        </w:r>
      </w:hyperlink>
      <w:r w:rsidR="0039495B" w:rsidRPr="00AA2B8A">
        <w:rPr>
          <w:rFonts w:ascii="Calibri" w:hAnsi="Calibri"/>
          <w:sz w:val="24"/>
          <w:szCs w:val="24"/>
        </w:rPr>
        <w:t>.</w:t>
      </w:r>
    </w:p>
    <w:p w14:paraId="05A68BDA" w14:textId="77777777" w:rsidR="00361B5A" w:rsidRPr="00AA2B8A" w:rsidRDefault="00361B5A" w:rsidP="003D234E">
      <w:pPr>
        <w:contextualSpacing/>
        <w:rPr>
          <w:rFonts w:ascii="Calibri" w:hAnsi="Calibri"/>
          <w:sz w:val="24"/>
          <w:szCs w:val="24"/>
        </w:rPr>
      </w:pPr>
    </w:p>
    <w:p w14:paraId="3ED499E4" w14:textId="25524227" w:rsidR="00D1182A" w:rsidRPr="00AA2B8A" w:rsidRDefault="00D1182A" w:rsidP="003D234E">
      <w:pPr>
        <w:contextualSpacing/>
        <w:rPr>
          <w:rFonts w:ascii="Calibri" w:hAnsi="Calibri"/>
          <w:sz w:val="24"/>
          <w:szCs w:val="24"/>
        </w:rPr>
      </w:pPr>
      <w:r w:rsidRPr="00AA2B8A">
        <w:rPr>
          <w:rFonts w:ascii="Calibri" w:hAnsi="Calibri"/>
          <w:sz w:val="24"/>
          <w:szCs w:val="24"/>
        </w:rPr>
        <w:t xml:space="preserve">(CDC) Centers for Disease Control and Prevention. (NHANES) National Health and Nutrition Examination Survey, 2013-2014: Overview – Let’s Improve Our Nation’s Health. Rockville: 2014. Accessed 01/30/2017 at </w:t>
      </w:r>
      <w:hyperlink r:id="rId40" w:history="1">
        <w:r w:rsidRPr="00AA2B8A">
          <w:rPr>
            <w:rStyle w:val="Hyperlink"/>
            <w:rFonts w:ascii="Calibri" w:hAnsi="Calibri"/>
            <w:color w:val="auto"/>
            <w:sz w:val="24"/>
            <w:szCs w:val="24"/>
          </w:rPr>
          <w:t>https://www.cdc.gov/nchs/data/nhanes/nhanes_13_14/2013-14_overview_brochure.pdf</w:t>
        </w:r>
      </w:hyperlink>
      <w:r w:rsidRPr="00AA2B8A">
        <w:rPr>
          <w:rFonts w:ascii="Calibri" w:hAnsi="Calibri"/>
          <w:sz w:val="24"/>
          <w:szCs w:val="24"/>
        </w:rPr>
        <w:t xml:space="preserve"> </w:t>
      </w:r>
    </w:p>
    <w:p w14:paraId="7D208A14" w14:textId="77777777" w:rsidR="00D1182A" w:rsidRPr="00AA2B8A" w:rsidRDefault="00D1182A" w:rsidP="003D234E">
      <w:pPr>
        <w:contextualSpacing/>
        <w:rPr>
          <w:rFonts w:ascii="Calibri" w:hAnsi="Calibri"/>
          <w:sz w:val="24"/>
          <w:szCs w:val="24"/>
        </w:rPr>
      </w:pPr>
    </w:p>
    <w:p w14:paraId="614FE995" w14:textId="7AC46369" w:rsidR="00361B5A" w:rsidRPr="00AA2B8A" w:rsidRDefault="00361B5A" w:rsidP="003D234E">
      <w:pPr>
        <w:contextualSpacing/>
        <w:rPr>
          <w:rFonts w:ascii="Calibri" w:hAnsi="Calibri"/>
          <w:sz w:val="24"/>
          <w:szCs w:val="24"/>
        </w:rPr>
      </w:pPr>
      <w:r w:rsidRPr="00AA2B8A">
        <w:rPr>
          <w:rFonts w:ascii="Calibri" w:hAnsi="Calibri"/>
          <w:sz w:val="24"/>
          <w:szCs w:val="24"/>
        </w:rPr>
        <w:t xml:space="preserve">(CDC) Centers for Disease Control and Prevention. </w:t>
      </w:r>
      <w:r w:rsidR="007908B8" w:rsidRPr="00AA2B8A">
        <w:rPr>
          <w:rFonts w:ascii="Calibri" w:hAnsi="Calibri"/>
          <w:iCs/>
          <w:sz w:val="24"/>
          <w:szCs w:val="24"/>
        </w:rPr>
        <w:t>Fourth National Report on Human Exposure to Environmental Chemicals, Updated Tables, February 2015.</w:t>
      </w:r>
      <w:r w:rsidR="007908B8" w:rsidRPr="00AA2B8A">
        <w:rPr>
          <w:rFonts w:ascii="Calibri" w:hAnsi="Calibri"/>
          <w:sz w:val="24"/>
          <w:szCs w:val="24"/>
        </w:rPr>
        <w:t xml:space="preserve"> Atlanta: </w:t>
      </w:r>
      <w:r w:rsidRPr="00AA2B8A">
        <w:rPr>
          <w:rFonts w:ascii="Calibri" w:hAnsi="Calibri"/>
          <w:sz w:val="24"/>
          <w:szCs w:val="24"/>
        </w:rPr>
        <w:t>2015</w:t>
      </w:r>
      <w:r w:rsidR="007908B8" w:rsidRPr="00AA2B8A">
        <w:rPr>
          <w:rFonts w:ascii="Calibri" w:hAnsi="Calibri"/>
          <w:sz w:val="24"/>
          <w:szCs w:val="24"/>
        </w:rPr>
        <w:t xml:space="preserve">, February. Accessed 01/20/2017 at </w:t>
      </w:r>
      <w:hyperlink r:id="rId41" w:history="1">
        <w:r w:rsidR="00D1182A" w:rsidRPr="00AA2B8A">
          <w:rPr>
            <w:rStyle w:val="Hyperlink"/>
            <w:rFonts w:ascii="Calibri" w:hAnsi="Calibri"/>
            <w:color w:val="auto"/>
            <w:sz w:val="24"/>
            <w:szCs w:val="24"/>
          </w:rPr>
          <w:t>https://www.cdc.gov/biomonitoring/pdf/FourthReport_UpdatedTables_Feb2015.pdf</w:t>
        </w:r>
      </w:hyperlink>
      <w:r w:rsidR="00D1182A" w:rsidRPr="00AA2B8A">
        <w:rPr>
          <w:rFonts w:ascii="Calibri" w:hAnsi="Calibri"/>
          <w:sz w:val="24"/>
          <w:szCs w:val="24"/>
        </w:rPr>
        <w:t>.</w:t>
      </w:r>
    </w:p>
    <w:p w14:paraId="2A13DC39" w14:textId="77777777" w:rsidR="00E615DF" w:rsidRPr="00AA2B8A" w:rsidRDefault="00E615DF" w:rsidP="003D234E">
      <w:pPr>
        <w:contextualSpacing/>
        <w:rPr>
          <w:rFonts w:ascii="Calibri" w:hAnsi="Calibri"/>
          <w:sz w:val="24"/>
          <w:szCs w:val="24"/>
        </w:rPr>
      </w:pPr>
    </w:p>
    <w:p w14:paraId="66157731" w14:textId="1B50D91E" w:rsidR="004F1820" w:rsidRDefault="00C81ED4" w:rsidP="003D234E">
      <w:pPr>
        <w:contextualSpacing/>
        <w:rPr>
          <w:rFonts w:ascii="Calibri" w:hAnsi="Calibri" w:cs="Palatino-Roman"/>
          <w:sz w:val="24"/>
          <w:szCs w:val="24"/>
        </w:rPr>
      </w:pPr>
      <w:r w:rsidRPr="00AA2B8A">
        <w:rPr>
          <w:rFonts w:ascii="Calibri" w:hAnsi="Calibri"/>
          <w:sz w:val="24"/>
          <w:szCs w:val="24"/>
        </w:rPr>
        <w:t xml:space="preserve">(CDC) </w:t>
      </w:r>
      <w:r w:rsidRPr="00AA2B8A">
        <w:rPr>
          <w:rFonts w:ascii="Calibri" w:hAnsi="Calibri" w:cs="Times New Roman"/>
          <w:sz w:val="24"/>
          <w:szCs w:val="24"/>
        </w:rPr>
        <w:t>Centers for Disease Control and Prevention.</w:t>
      </w:r>
      <w:r w:rsidR="004B19A8" w:rsidRPr="00AA2B8A">
        <w:rPr>
          <w:rFonts w:ascii="Calibri" w:hAnsi="Calibri" w:cs="Times New Roman"/>
          <w:sz w:val="24"/>
          <w:szCs w:val="24"/>
        </w:rPr>
        <w:t xml:space="preserve"> </w:t>
      </w:r>
      <w:hyperlink r:id="rId42" w:history="1">
        <w:r w:rsidR="004B19A8" w:rsidRPr="00AA2B8A">
          <w:rPr>
            <w:rFonts w:ascii="Calibri" w:hAnsi="Calibri"/>
            <w:bCs/>
            <w:sz w:val="24"/>
            <w:szCs w:val="24"/>
          </w:rPr>
          <w:t>National Notifiable Diseases Surveillance System (NNDSS)</w:t>
        </w:r>
      </w:hyperlink>
      <w:r w:rsidR="004B19A8" w:rsidRPr="00AA2B8A">
        <w:rPr>
          <w:rFonts w:ascii="Calibri" w:hAnsi="Calibri"/>
          <w:bCs/>
          <w:sz w:val="24"/>
          <w:szCs w:val="24"/>
        </w:rPr>
        <w:t>. Diseases and Conditions – Lead, Elevated Blood Levels, Adult (≥16 Years) and Children (&lt;16 Years).</w:t>
      </w:r>
      <w:r w:rsidR="00972C75" w:rsidRPr="00AA2B8A">
        <w:rPr>
          <w:rFonts w:ascii="Calibri" w:hAnsi="Calibri"/>
          <w:sz w:val="24"/>
          <w:szCs w:val="24"/>
        </w:rPr>
        <w:t xml:space="preserve"> </w:t>
      </w:r>
      <w:r w:rsidR="00EC06F2" w:rsidRPr="00AA2B8A">
        <w:rPr>
          <w:rFonts w:ascii="Calibri" w:hAnsi="Calibri"/>
          <w:sz w:val="24"/>
          <w:szCs w:val="24"/>
        </w:rPr>
        <w:t xml:space="preserve">Atlanta: 2016. </w:t>
      </w:r>
      <w:r w:rsidR="00972C75" w:rsidRPr="00AA2B8A">
        <w:rPr>
          <w:rFonts w:ascii="Calibri" w:hAnsi="Calibri" w:cs="Palatino-Roman"/>
          <w:sz w:val="24"/>
          <w:szCs w:val="24"/>
        </w:rPr>
        <w:t xml:space="preserve">Accessed 01/20/2017 at </w:t>
      </w:r>
      <w:hyperlink r:id="rId43" w:history="1">
        <w:r w:rsidR="00972C75" w:rsidRPr="00AA2B8A">
          <w:rPr>
            <w:rStyle w:val="Hyperlink"/>
            <w:rFonts w:ascii="Calibri" w:hAnsi="Calibri" w:cs="Palatino-Roman"/>
            <w:color w:val="auto"/>
            <w:sz w:val="24"/>
            <w:szCs w:val="24"/>
          </w:rPr>
          <w:t>https://wwwn.cdc.gov/nndss/conditions/lead-elevated-blood-levels/case-definition/2016/</w:t>
        </w:r>
      </w:hyperlink>
      <w:r w:rsidR="00AF235B" w:rsidRPr="00AA2B8A">
        <w:rPr>
          <w:rFonts w:ascii="Calibri" w:hAnsi="Calibri" w:cs="Palatino-Roman"/>
          <w:sz w:val="24"/>
          <w:szCs w:val="24"/>
        </w:rPr>
        <w:t>.</w:t>
      </w:r>
      <w:r w:rsidR="00972C75" w:rsidRPr="00AA2B8A">
        <w:rPr>
          <w:rFonts w:ascii="Calibri" w:hAnsi="Calibri" w:cs="Palatino-Roman"/>
          <w:sz w:val="24"/>
          <w:szCs w:val="24"/>
        </w:rPr>
        <w:t xml:space="preserve"> </w:t>
      </w:r>
    </w:p>
    <w:p w14:paraId="07A6164A" w14:textId="0A394B44" w:rsidR="00DB7EE0" w:rsidRDefault="00DB7EE0" w:rsidP="003D234E">
      <w:pPr>
        <w:contextualSpacing/>
        <w:rPr>
          <w:rFonts w:ascii="Calibri" w:hAnsi="Calibri" w:cs="Palatino-Roman"/>
          <w:sz w:val="24"/>
          <w:szCs w:val="24"/>
        </w:rPr>
      </w:pPr>
    </w:p>
    <w:p w14:paraId="53091F6E" w14:textId="6FC0DCC6" w:rsidR="00DB7EE0" w:rsidRPr="00AA2B8A" w:rsidRDefault="00DB7EE0" w:rsidP="003D234E">
      <w:pPr>
        <w:contextualSpacing/>
        <w:rPr>
          <w:rFonts w:ascii="Calibri" w:hAnsi="Calibri"/>
          <w:sz w:val="24"/>
          <w:szCs w:val="24"/>
        </w:rPr>
      </w:pPr>
      <w:r w:rsidRPr="00AA2B8A">
        <w:rPr>
          <w:rFonts w:ascii="Calibri" w:hAnsi="Calibri"/>
          <w:sz w:val="24"/>
          <w:szCs w:val="24"/>
        </w:rPr>
        <w:t xml:space="preserve">(CDC) </w:t>
      </w:r>
      <w:r w:rsidRPr="00AA2B8A">
        <w:rPr>
          <w:rFonts w:ascii="Calibri" w:hAnsi="Calibri" w:cs="Times New Roman"/>
          <w:sz w:val="24"/>
          <w:szCs w:val="24"/>
        </w:rPr>
        <w:t xml:space="preserve">Centers for Disease Control and Prevention. </w:t>
      </w:r>
      <w:hyperlink r:id="rId44" w:history="1">
        <w:r w:rsidRPr="00AA2B8A">
          <w:rPr>
            <w:rFonts w:ascii="Calibri" w:hAnsi="Calibri"/>
            <w:bCs/>
            <w:sz w:val="24"/>
            <w:szCs w:val="24"/>
          </w:rPr>
          <w:t>National Notifiable Diseases Surveillance System (NNDSS)</w:t>
        </w:r>
      </w:hyperlink>
      <w:r w:rsidRPr="00AA2B8A">
        <w:rPr>
          <w:rFonts w:ascii="Calibri" w:hAnsi="Calibri"/>
          <w:bCs/>
          <w:sz w:val="24"/>
          <w:szCs w:val="24"/>
        </w:rPr>
        <w:t xml:space="preserve">. </w:t>
      </w:r>
      <w:r>
        <w:rPr>
          <w:rFonts w:ascii="Calibri" w:hAnsi="Calibri"/>
          <w:bCs/>
          <w:sz w:val="24"/>
          <w:szCs w:val="24"/>
        </w:rPr>
        <w:t xml:space="preserve">Data Collection and Reporting. </w:t>
      </w:r>
      <w:r w:rsidRPr="00AA2B8A">
        <w:rPr>
          <w:rFonts w:ascii="Calibri" w:hAnsi="Calibri"/>
          <w:sz w:val="24"/>
          <w:szCs w:val="24"/>
        </w:rPr>
        <w:t>Atlanta: 2016</w:t>
      </w:r>
      <w:r>
        <w:rPr>
          <w:rFonts w:ascii="Calibri" w:hAnsi="Calibri"/>
          <w:sz w:val="24"/>
          <w:szCs w:val="24"/>
        </w:rPr>
        <w:t xml:space="preserve">Accessed 10/18/2017 at </w:t>
      </w:r>
      <w:r w:rsidRPr="00DB7EE0">
        <w:rPr>
          <w:rFonts w:ascii="Calibri" w:hAnsi="Calibri"/>
          <w:sz w:val="24"/>
          <w:szCs w:val="24"/>
        </w:rPr>
        <w:t>https://wwwn.cdc.gov/nndss/data-collection.html</w:t>
      </w:r>
      <w:r>
        <w:rPr>
          <w:rFonts w:ascii="Calibri" w:hAnsi="Calibri"/>
          <w:sz w:val="24"/>
          <w:szCs w:val="24"/>
        </w:rPr>
        <w:t>.</w:t>
      </w:r>
    </w:p>
    <w:p w14:paraId="5C1C6CD9" w14:textId="77777777" w:rsidR="00CE72E6" w:rsidRPr="00AA2B8A" w:rsidRDefault="00CE72E6" w:rsidP="003D234E">
      <w:pPr>
        <w:contextualSpacing/>
        <w:rPr>
          <w:rFonts w:ascii="Calibri" w:hAnsi="Calibri" w:cs="Palatino-Roman"/>
          <w:sz w:val="24"/>
          <w:szCs w:val="24"/>
        </w:rPr>
      </w:pPr>
    </w:p>
    <w:p w14:paraId="16BCD02C" w14:textId="48F95277" w:rsidR="009372F4" w:rsidRPr="00AA2B8A" w:rsidRDefault="009372F4" w:rsidP="003D234E">
      <w:pPr>
        <w:contextualSpacing/>
        <w:rPr>
          <w:rFonts w:ascii="Calibri" w:hAnsi="Calibri" w:cs="Palatino-Roman"/>
          <w:sz w:val="24"/>
          <w:szCs w:val="24"/>
        </w:rPr>
      </w:pPr>
      <w:r w:rsidRPr="00AA2B8A">
        <w:rPr>
          <w:rFonts w:ascii="Calibri" w:hAnsi="Calibri" w:cs="Palatino-Roman"/>
          <w:sz w:val="24"/>
          <w:szCs w:val="24"/>
        </w:rPr>
        <w:t xml:space="preserve">(CDPH) California Department of Public Health. Medical Guidelines for the Lead-Exposed Worker. </w:t>
      </w:r>
      <w:r w:rsidR="00DD3043" w:rsidRPr="00AA2B8A">
        <w:rPr>
          <w:rFonts w:ascii="Calibri" w:hAnsi="Calibri" w:cs="Palatino-Roman"/>
          <w:sz w:val="24"/>
          <w:szCs w:val="24"/>
        </w:rPr>
        <w:t>Occupation</w:t>
      </w:r>
      <w:r w:rsidR="00174093" w:rsidRPr="00AA2B8A">
        <w:rPr>
          <w:rFonts w:ascii="Calibri" w:hAnsi="Calibri" w:cs="Palatino-Roman"/>
          <w:sz w:val="24"/>
          <w:szCs w:val="24"/>
        </w:rPr>
        <w:t>a</w:t>
      </w:r>
      <w:r w:rsidR="00DD3043" w:rsidRPr="00AA2B8A">
        <w:rPr>
          <w:rFonts w:ascii="Calibri" w:hAnsi="Calibri" w:cs="Palatino-Roman"/>
          <w:sz w:val="24"/>
          <w:szCs w:val="24"/>
        </w:rPr>
        <w:t xml:space="preserve">l Lead Poisoning Prevention Program (OLPPP) Richmond, CA: </w:t>
      </w:r>
      <w:r w:rsidR="00D457D8" w:rsidRPr="00AA2B8A">
        <w:rPr>
          <w:rFonts w:ascii="Calibri" w:hAnsi="Calibri" w:cs="Palatino-Roman"/>
          <w:sz w:val="24"/>
          <w:szCs w:val="24"/>
        </w:rPr>
        <w:t>2009</w:t>
      </w:r>
      <w:r w:rsidRPr="00AA2B8A">
        <w:rPr>
          <w:rFonts w:ascii="Calibri" w:hAnsi="Calibri" w:cs="Palatino-Roman"/>
          <w:sz w:val="24"/>
          <w:szCs w:val="24"/>
        </w:rPr>
        <w:t xml:space="preserve">. Accessed 01/20/2017 at </w:t>
      </w:r>
      <w:hyperlink r:id="rId45" w:history="1">
        <w:r w:rsidRPr="00AA2B8A">
          <w:rPr>
            <w:rStyle w:val="Hyperlink"/>
            <w:rFonts w:ascii="Calibri" w:hAnsi="Calibri" w:cs="Palatino-Roman"/>
            <w:color w:val="auto"/>
            <w:sz w:val="24"/>
            <w:szCs w:val="24"/>
          </w:rPr>
          <w:t>http://www.cdph.ca.gov/programs/olppp/Documents/medgdln.pdf</w:t>
        </w:r>
      </w:hyperlink>
      <w:r w:rsidRPr="00AA2B8A">
        <w:rPr>
          <w:rFonts w:ascii="Calibri" w:hAnsi="Calibri" w:cs="Palatino-Roman"/>
          <w:sz w:val="24"/>
          <w:szCs w:val="24"/>
        </w:rPr>
        <w:t xml:space="preserve">. </w:t>
      </w:r>
    </w:p>
    <w:p w14:paraId="596F03AD" w14:textId="77777777" w:rsidR="00CE72E6" w:rsidRPr="00AA2B8A" w:rsidRDefault="00CE72E6" w:rsidP="003D234E">
      <w:pPr>
        <w:contextualSpacing/>
        <w:rPr>
          <w:rFonts w:ascii="Calibri" w:hAnsi="Calibri"/>
          <w:sz w:val="24"/>
          <w:szCs w:val="24"/>
        </w:rPr>
      </w:pPr>
    </w:p>
    <w:p w14:paraId="52CAD5BB" w14:textId="2B2AB9EE" w:rsidR="00D271EF" w:rsidRDefault="00C3703F" w:rsidP="004B49F4">
      <w:pPr>
        <w:spacing w:after="0"/>
        <w:contextualSpacing/>
        <w:rPr>
          <w:rFonts w:ascii="Calibri" w:hAnsi="Calibri"/>
          <w:sz w:val="24"/>
          <w:szCs w:val="24"/>
        </w:rPr>
      </w:pPr>
      <w:r w:rsidRPr="00AA2B8A">
        <w:rPr>
          <w:rFonts w:ascii="Calibri" w:hAnsi="Calibri"/>
          <w:sz w:val="24"/>
          <w:szCs w:val="24"/>
        </w:rPr>
        <w:t xml:space="preserve">(CMS) Centers for </w:t>
      </w:r>
      <w:r w:rsidR="00217F48" w:rsidRPr="00AA2B8A">
        <w:rPr>
          <w:rFonts w:ascii="Calibri" w:hAnsi="Calibri"/>
          <w:sz w:val="24"/>
          <w:szCs w:val="24"/>
        </w:rPr>
        <w:t xml:space="preserve">Medicaid and Medicare Services. </w:t>
      </w:r>
      <w:r w:rsidR="00217F48" w:rsidRPr="00AA2B8A">
        <w:rPr>
          <w:rFonts w:ascii="Calibri" w:hAnsi="Calibri"/>
          <w:bCs/>
          <w:sz w:val="24"/>
          <w:szCs w:val="24"/>
        </w:rPr>
        <w:t xml:space="preserve">Coverage of Blood Lead Testing for Children Enrolled in Medicaid and the Children’s Health Insurance Program: Informational Bulletin. Baltimore: </w:t>
      </w:r>
      <w:r w:rsidRPr="00AA2B8A">
        <w:rPr>
          <w:rFonts w:ascii="Calibri" w:hAnsi="Calibri"/>
          <w:sz w:val="24"/>
          <w:szCs w:val="24"/>
        </w:rPr>
        <w:t>2016</w:t>
      </w:r>
      <w:r w:rsidR="00217F48" w:rsidRPr="00AA2B8A">
        <w:rPr>
          <w:rFonts w:ascii="Calibri" w:hAnsi="Calibri"/>
          <w:sz w:val="24"/>
          <w:szCs w:val="24"/>
        </w:rPr>
        <w:t xml:space="preserve">, November. Accessed 01/20/2017 at </w:t>
      </w:r>
      <w:hyperlink r:id="rId46" w:history="1">
        <w:r w:rsidR="00217F48" w:rsidRPr="00AA2B8A">
          <w:rPr>
            <w:rStyle w:val="Hyperlink"/>
            <w:rFonts w:ascii="Calibri" w:hAnsi="Calibri"/>
            <w:color w:val="auto"/>
            <w:sz w:val="24"/>
            <w:szCs w:val="24"/>
          </w:rPr>
          <w:t>https://www.medicaid.gov/federal-policy-guidance/downloads/cib113016.pdf</w:t>
        </w:r>
      </w:hyperlink>
      <w:r w:rsidR="00217F48" w:rsidRPr="00AA2B8A">
        <w:rPr>
          <w:rFonts w:ascii="Calibri" w:hAnsi="Calibri"/>
          <w:sz w:val="24"/>
          <w:szCs w:val="24"/>
        </w:rPr>
        <w:t xml:space="preserve">. </w:t>
      </w:r>
    </w:p>
    <w:p w14:paraId="2ED97F2C" w14:textId="480F9572" w:rsidR="00D271EF" w:rsidRPr="004B49F4" w:rsidRDefault="00D271EF" w:rsidP="004B49F4">
      <w:pPr>
        <w:pStyle w:val="Default"/>
        <w:spacing w:before="240"/>
        <w:rPr>
          <w:rFonts w:asciiTheme="minorHAnsi" w:hAnsiTheme="minorHAnsi"/>
        </w:rPr>
      </w:pPr>
      <w:r w:rsidRPr="004B49F4">
        <w:rPr>
          <w:rFonts w:asciiTheme="minorHAnsi" w:hAnsiTheme="minorHAnsi"/>
        </w:rPr>
        <w:t>(CMS) Centers for Medicaid and Medicare Services.</w:t>
      </w:r>
      <w:r w:rsidR="00FF2F05" w:rsidRPr="004B49F4">
        <w:rPr>
          <w:rFonts w:asciiTheme="minorHAnsi" w:hAnsiTheme="minorHAnsi"/>
        </w:rPr>
        <w:t xml:space="preserve"> </w:t>
      </w:r>
      <w:r w:rsidR="00FF2F05" w:rsidRPr="004B49F4">
        <w:rPr>
          <w:rFonts w:asciiTheme="minorHAnsi" w:hAnsiTheme="minorHAnsi"/>
          <w:bCs/>
          <w:color w:val="201E1E"/>
        </w:rPr>
        <w:t>Instructions for Completing Form CMS-416: Annual Early and Periodic Screening, Diagnostic, and Treatment (EPSDT) Participation Report</w:t>
      </w:r>
      <w:r w:rsidR="00FF2F05" w:rsidRPr="004B49F4">
        <w:rPr>
          <w:rFonts w:asciiTheme="minorHAnsi" w:hAnsiTheme="minorHAnsi"/>
        </w:rPr>
        <w:t>.</w:t>
      </w:r>
      <w:r w:rsidR="00FF2F05" w:rsidRPr="004B49F4">
        <w:rPr>
          <w:rFonts w:asciiTheme="minorHAnsi" w:hAnsiTheme="minorHAnsi"/>
          <w:bCs/>
        </w:rPr>
        <w:t xml:space="preserve"> Baltimore: </w:t>
      </w:r>
      <w:r w:rsidR="00FF2F05" w:rsidRPr="004B49F4">
        <w:rPr>
          <w:rFonts w:asciiTheme="minorHAnsi" w:hAnsiTheme="minorHAnsi"/>
        </w:rPr>
        <w:t xml:space="preserve">2017, October. </w:t>
      </w:r>
      <w:r w:rsidRPr="004B49F4">
        <w:rPr>
          <w:rFonts w:asciiTheme="minorHAnsi" w:hAnsiTheme="minorHAnsi"/>
        </w:rPr>
        <w:t>Accessed 10/18/2017 at https://www.medicaid.gov/medicaid/benefits/downloads/cms-416-instructions.pdf</w:t>
      </w:r>
      <w:r w:rsidR="00FF2F05" w:rsidRPr="004B49F4">
        <w:rPr>
          <w:rFonts w:asciiTheme="minorHAnsi" w:hAnsiTheme="minorHAnsi"/>
        </w:rPr>
        <w:t>.</w:t>
      </w:r>
    </w:p>
    <w:p w14:paraId="50763283" w14:textId="77777777" w:rsidR="00827D14" w:rsidRPr="00AA2B8A" w:rsidRDefault="00827D14" w:rsidP="003D234E">
      <w:pPr>
        <w:contextualSpacing/>
        <w:rPr>
          <w:rFonts w:ascii="Calibri" w:hAnsi="Calibri"/>
          <w:sz w:val="24"/>
          <w:szCs w:val="24"/>
        </w:rPr>
      </w:pPr>
    </w:p>
    <w:p w14:paraId="617CA0B5" w14:textId="4D35C09B" w:rsidR="00827D14" w:rsidRPr="00AA2B8A" w:rsidRDefault="00827D14" w:rsidP="003D234E">
      <w:pPr>
        <w:contextualSpacing/>
        <w:rPr>
          <w:rFonts w:ascii="Calibri" w:hAnsi="Calibri"/>
          <w:sz w:val="24"/>
          <w:szCs w:val="24"/>
        </w:rPr>
      </w:pPr>
      <w:r w:rsidRPr="00AA2B8A">
        <w:rPr>
          <w:rFonts w:ascii="Calibri" w:hAnsi="Calibri"/>
          <w:sz w:val="24"/>
          <w:szCs w:val="24"/>
        </w:rPr>
        <w:t>(CSELS)</w:t>
      </w:r>
      <w:r w:rsidR="00C93581" w:rsidRPr="00AA2B8A">
        <w:rPr>
          <w:rFonts w:ascii="Calibri" w:hAnsi="Calibri"/>
          <w:sz w:val="24"/>
          <w:szCs w:val="24"/>
        </w:rPr>
        <w:t xml:space="preserve"> Center for Surveillance, Epidemiology, and Laboratory Services. CSELS Weekly Update: Week ending 10-02-2015 – DHIS Meeting Regarding CSTE Position Statement on Elevated Blood Lead Levels. 2015. Accessed 02/01/2017 at </w:t>
      </w:r>
      <w:hyperlink r:id="rId47" w:history="1">
        <w:r w:rsidRPr="00AA2B8A">
          <w:rPr>
            <w:rStyle w:val="Hyperlink"/>
            <w:rFonts w:ascii="Calibri" w:hAnsi="Calibri"/>
            <w:color w:val="auto"/>
            <w:sz w:val="24"/>
            <w:szCs w:val="24"/>
          </w:rPr>
          <w:t>http://intranet.cdc.gov/ophss/csels/od/adc/docs/leadership_meetings/2015/CDC%20Senior%20Leadership%20Meeting%20Bullets%202015-10-02.pdf</w:t>
        </w:r>
      </w:hyperlink>
      <w:r w:rsidR="0090150A" w:rsidRPr="00AA2B8A">
        <w:rPr>
          <w:rStyle w:val="Hyperlink"/>
          <w:rFonts w:ascii="Calibri" w:hAnsi="Calibri"/>
          <w:color w:val="auto"/>
          <w:sz w:val="24"/>
          <w:szCs w:val="24"/>
        </w:rPr>
        <w:t>.</w:t>
      </w:r>
    </w:p>
    <w:p w14:paraId="14962E20" w14:textId="77777777" w:rsidR="00217F48" w:rsidRPr="00AA2B8A" w:rsidRDefault="00217F48" w:rsidP="003D234E">
      <w:pPr>
        <w:contextualSpacing/>
        <w:rPr>
          <w:rFonts w:ascii="Calibri" w:hAnsi="Calibri" w:cs="Palatino-Roman"/>
          <w:sz w:val="24"/>
          <w:szCs w:val="24"/>
        </w:rPr>
      </w:pPr>
    </w:p>
    <w:p w14:paraId="608A740E" w14:textId="3D35B04E" w:rsidR="004F1820" w:rsidRPr="00AA2B8A" w:rsidRDefault="004F1820" w:rsidP="003D234E">
      <w:pPr>
        <w:contextualSpacing/>
        <w:rPr>
          <w:rFonts w:ascii="Calibri" w:hAnsi="Calibri"/>
          <w:sz w:val="24"/>
          <w:szCs w:val="24"/>
        </w:rPr>
      </w:pPr>
      <w:r w:rsidRPr="00AA2B8A">
        <w:rPr>
          <w:rFonts w:ascii="Calibri" w:hAnsi="Calibri" w:cs="Palatino-Roman"/>
          <w:sz w:val="24"/>
          <w:szCs w:val="24"/>
        </w:rPr>
        <w:t xml:space="preserve">(CSTE) Council for State and Territorial Epidemiologists. </w:t>
      </w:r>
      <w:r w:rsidRPr="00AA2B8A">
        <w:rPr>
          <w:rFonts w:ascii="Calibri" w:hAnsi="Calibri" w:cs="BerlinSansFBDemi-Bold"/>
          <w:bCs/>
          <w:sz w:val="24"/>
          <w:szCs w:val="24"/>
        </w:rPr>
        <w:t xml:space="preserve">Management Guidelines for Blood Lead Levels in Adults. </w:t>
      </w:r>
      <w:r w:rsidRPr="00AA2B8A">
        <w:rPr>
          <w:rFonts w:ascii="Calibri" w:hAnsi="Calibri" w:cs="Arial"/>
          <w:sz w:val="24"/>
          <w:szCs w:val="24"/>
        </w:rPr>
        <w:t>Adopted CSTE Occupational Subcommittee, (2013</w:t>
      </w:r>
      <w:r w:rsidRPr="00AA2B8A">
        <w:rPr>
          <w:rFonts w:ascii="Calibri" w:hAnsi="Calibri" w:cs="Palatino-Roman"/>
          <w:sz w:val="24"/>
          <w:szCs w:val="24"/>
        </w:rPr>
        <w:t xml:space="preserve">, June). </w:t>
      </w:r>
      <w:r w:rsidRPr="00AA2B8A">
        <w:rPr>
          <w:rFonts w:ascii="Calibri" w:hAnsi="Calibri"/>
          <w:sz w:val="24"/>
          <w:szCs w:val="24"/>
        </w:rPr>
        <w:t>Accessed 01/20/2017 at</w:t>
      </w:r>
      <w:r w:rsidR="00BD677F" w:rsidRPr="00AA2B8A">
        <w:rPr>
          <w:rFonts w:ascii="Calibri" w:hAnsi="Calibri"/>
          <w:sz w:val="24"/>
          <w:szCs w:val="24"/>
        </w:rPr>
        <w:t xml:space="preserve"> </w:t>
      </w:r>
      <w:hyperlink r:id="rId48" w:history="1">
        <w:r w:rsidR="009713C4" w:rsidRPr="00AA2B8A">
          <w:rPr>
            <w:rStyle w:val="Hyperlink"/>
            <w:rFonts w:ascii="Calibri" w:hAnsi="Calibri"/>
            <w:color w:val="auto"/>
            <w:sz w:val="24"/>
            <w:szCs w:val="24"/>
          </w:rPr>
          <w:t>http://c.ymcdn.com/sites/www.cste.org/resource/resmgr/OccupationalHealth/ManagementGuidelinesforAdult.pdf</w:t>
        </w:r>
      </w:hyperlink>
      <w:r w:rsidR="009713C4" w:rsidRPr="00AA2B8A">
        <w:rPr>
          <w:rFonts w:ascii="Calibri" w:hAnsi="Calibri"/>
          <w:sz w:val="24"/>
          <w:szCs w:val="24"/>
        </w:rPr>
        <w:t>.</w:t>
      </w:r>
    </w:p>
    <w:p w14:paraId="6561DAD2" w14:textId="77777777" w:rsidR="00FF61AE" w:rsidRPr="00AA2B8A" w:rsidRDefault="00FF61AE" w:rsidP="003D234E">
      <w:pPr>
        <w:contextualSpacing/>
        <w:rPr>
          <w:rFonts w:ascii="Calibri" w:hAnsi="Calibri" w:cs="Palatino-Roman"/>
          <w:sz w:val="24"/>
          <w:szCs w:val="24"/>
        </w:rPr>
      </w:pPr>
    </w:p>
    <w:p w14:paraId="63D72ADD" w14:textId="01DCBAAF" w:rsidR="00FF61AE" w:rsidRPr="00AA2B8A" w:rsidRDefault="00FF61AE" w:rsidP="003D234E">
      <w:pPr>
        <w:contextualSpacing/>
        <w:rPr>
          <w:rFonts w:ascii="Calibri" w:hAnsi="Calibri"/>
          <w:sz w:val="24"/>
          <w:szCs w:val="24"/>
        </w:rPr>
      </w:pPr>
      <w:r w:rsidRPr="00AA2B8A">
        <w:rPr>
          <w:rFonts w:ascii="Calibri" w:hAnsi="Calibri" w:cs="Palatino-Roman"/>
          <w:sz w:val="24"/>
          <w:szCs w:val="24"/>
        </w:rPr>
        <w:t xml:space="preserve">(CSTE) Council for State and Territorial Epidemiologists. </w:t>
      </w:r>
      <w:r w:rsidRPr="00AA2B8A">
        <w:rPr>
          <w:rFonts w:ascii="Calibri" w:hAnsi="Calibri" w:cs="Arial"/>
          <w:sz w:val="24"/>
          <w:szCs w:val="24"/>
        </w:rPr>
        <w:t>Public Health Reporting and National Notification for Elevated Blood Lead Levels (Posit</w:t>
      </w:r>
      <w:r w:rsidR="00972C75" w:rsidRPr="00AA2B8A">
        <w:rPr>
          <w:rFonts w:ascii="Calibri" w:hAnsi="Calibri" w:cs="Arial"/>
          <w:sz w:val="24"/>
          <w:szCs w:val="24"/>
        </w:rPr>
        <w:t>ion Statement 15-EH-01). (Revised 2015, December</w:t>
      </w:r>
      <w:r w:rsidRPr="00AA2B8A">
        <w:rPr>
          <w:rFonts w:ascii="Calibri" w:hAnsi="Calibri" w:cs="Arial"/>
          <w:sz w:val="24"/>
          <w:szCs w:val="24"/>
        </w:rPr>
        <w:t>)</w:t>
      </w:r>
      <w:r w:rsidRPr="00AA2B8A">
        <w:rPr>
          <w:rFonts w:ascii="Calibri" w:hAnsi="Calibri" w:cs="Palatino-Roman"/>
          <w:sz w:val="24"/>
          <w:szCs w:val="24"/>
        </w:rPr>
        <w:t xml:space="preserve">. </w:t>
      </w:r>
      <w:r w:rsidRPr="00AA2B8A">
        <w:rPr>
          <w:rFonts w:ascii="Calibri" w:hAnsi="Calibri"/>
          <w:sz w:val="24"/>
          <w:szCs w:val="24"/>
        </w:rPr>
        <w:t>Accessed 01/20/2017 at</w:t>
      </w:r>
      <w:r w:rsidR="00972C75" w:rsidRPr="00AA2B8A">
        <w:rPr>
          <w:rFonts w:ascii="Calibri" w:hAnsi="Calibri"/>
          <w:sz w:val="24"/>
          <w:szCs w:val="24"/>
        </w:rPr>
        <w:t xml:space="preserve"> </w:t>
      </w:r>
      <w:hyperlink r:id="rId49" w:history="1">
        <w:r w:rsidR="00972C75" w:rsidRPr="00AA2B8A">
          <w:rPr>
            <w:rStyle w:val="Hyperlink"/>
            <w:rFonts w:ascii="Calibri" w:hAnsi="Calibri"/>
            <w:color w:val="auto"/>
            <w:sz w:val="24"/>
            <w:szCs w:val="24"/>
          </w:rPr>
          <w:t>http://c.ymcdn.com/sites/www.cste.org/resource/resmgr/PS1/15-EH-01_revised_12.4.15.pdf</w:t>
        </w:r>
      </w:hyperlink>
      <w:r w:rsidR="002570DC" w:rsidRPr="00AA2B8A">
        <w:rPr>
          <w:rFonts w:ascii="Calibri" w:hAnsi="Calibri"/>
          <w:sz w:val="24"/>
          <w:szCs w:val="24"/>
        </w:rPr>
        <w:t>.</w:t>
      </w:r>
    </w:p>
    <w:p w14:paraId="56920628" w14:textId="77777777" w:rsidR="0092359D" w:rsidRPr="00AA2B8A" w:rsidRDefault="0092359D" w:rsidP="003D234E">
      <w:pPr>
        <w:contextualSpacing/>
        <w:rPr>
          <w:rFonts w:ascii="Calibri" w:hAnsi="Calibri"/>
          <w:sz w:val="24"/>
          <w:szCs w:val="24"/>
        </w:rPr>
      </w:pPr>
    </w:p>
    <w:p w14:paraId="20672A71" w14:textId="15094D90" w:rsidR="00E16C19" w:rsidRDefault="00E16C19" w:rsidP="00D9054A">
      <w:pPr>
        <w:spacing w:after="0"/>
        <w:contextualSpacing/>
        <w:rPr>
          <w:rFonts w:ascii="Calibri" w:hAnsi="Calibri"/>
          <w:sz w:val="24"/>
          <w:szCs w:val="24"/>
        </w:rPr>
      </w:pPr>
      <w:r>
        <w:rPr>
          <w:rFonts w:ascii="Calibri" w:hAnsi="Calibri"/>
          <w:sz w:val="24"/>
          <w:szCs w:val="24"/>
        </w:rPr>
        <w:t>(HHS) U</w:t>
      </w:r>
      <w:r w:rsidR="0034652E">
        <w:rPr>
          <w:rFonts w:ascii="Calibri" w:hAnsi="Calibri"/>
          <w:sz w:val="24"/>
          <w:szCs w:val="24"/>
        </w:rPr>
        <w:t>.</w:t>
      </w:r>
      <w:r>
        <w:rPr>
          <w:rFonts w:ascii="Calibri" w:hAnsi="Calibri"/>
          <w:sz w:val="24"/>
          <w:szCs w:val="24"/>
        </w:rPr>
        <w:t>S</w:t>
      </w:r>
      <w:r w:rsidR="0034652E">
        <w:rPr>
          <w:rFonts w:ascii="Calibri" w:hAnsi="Calibri"/>
          <w:sz w:val="24"/>
          <w:szCs w:val="24"/>
        </w:rPr>
        <w:t>.</w:t>
      </w:r>
      <w:r>
        <w:rPr>
          <w:rFonts w:ascii="Calibri" w:hAnsi="Calibri"/>
          <w:sz w:val="24"/>
          <w:szCs w:val="24"/>
        </w:rPr>
        <w:t xml:space="preserve"> Department of Health and Human Services. Strategic Plan for the Elimination of Childhood lead Poisoning. Developed for the Risk Management Subcommittee, Committee to Coordinate Environmental Health and Related Programs. Atlanta: 1991, February. Accessed 10/18/2011 at </w:t>
      </w:r>
      <w:hyperlink r:id="rId50" w:history="1">
        <w:r w:rsidRPr="00EF23E3">
          <w:rPr>
            <w:rStyle w:val="Hyperlink"/>
            <w:rFonts w:ascii="Calibri" w:hAnsi="Calibri"/>
            <w:sz w:val="24"/>
            <w:szCs w:val="24"/>
          </w:rPr>
          <w:t>http://files.eric.ed.gov/fulltext/ED344700.pdf</w:t>
        </w:r>
      </w:hyperlink>
      <w:r>
        <w:rPr>
          <w:rFonts w:ascii="Calibri" w:hAnsi="Calibri"/>
          <w:sz w:val="24"/>
          <w:szCs w:val="24"/>
        </w:rPr>
        <w:t xml:space="preserve"> </w:t>
      </w:r>
    </w:p>
    <w:p w14:paraId="2395446E" w14:textId="77777777" w:rsidR="00E16C19" w:rsidRDefault="00E16C19" w:rsidP="00D9054A">
      <w:pPr>
        <w:spacing w:after="0"/>
        <w:contextualSpacing/>
        <w:rPr>
          <w:rFonts w:ascii="Calibri" w:hAnsi="Calibri"/>
          <w:sz w:val="24"/>
          <w:szCs w:val="24"/>
        </w:rPr>
      </w:pPr>
    </w:p>
    <w:p w14:paraId="3B0302D9" w14:textId="20127DA1" w:rsidR="0092359D" w:rsidRDefault="0092359D" w:rsidP="00D9054A">
      <w:pPr>
        <w:spacing w:after="0"/>
        <w:contextualSpacing/>
        <w:rPr>
          <w:rFonts w:ascii="Calibri" w:hAnsi="Calibri" w:cs="Helvetica-Bold"/>
          <w:bCs/>
          <w:sz w:val="24"/>
          <w:szCs w:val="24"/>
        </w:rPr>
      </w:pPr>
      <w:r w:rsidRPr="00AA2B8A">
        <w:rPr>
          <w:rFonts w:ascii="Calibri" w:hAnsi="Calibri"/>
          <w:sz w:val="24"/>
          <w:szCs w:val="24"/>
        </w:rPr>
        <w:t>(HUD) U</w:t>
      </w:r>
      <w:r w:rsidR="0034652E">
        <w:rPr>
          <w:rFonts w:ascii="Calibri" w:hAnsi="Calibri"/>
          <w:sz w:val="24"/>
          <w:szCs w:val="24"/>
        </w:rPr>
        <w:t>.</w:t>
      </w:r>
      <w:r w:rsidRPr="00AA2B8A">
        <w:rPr>
          <w:rFonts w:ascii="Calibri" w:hAnsi="Calibri"/>
          <w:sz w:val="24"/>
          <w:szCs w:val="24"/>
        </w:rPr>
        <w:t>S</w:t>
      </w:r>
      <w:r w:rsidR="0034652E">
        <w:rPr>
          <w:rFonts w:ascii="Calibri" w:hAnsi="Calibri"/>
          <w:sz w:val="24"/>
          <w:szCs w:val="24"/>
        </w:rPr>
        <w:t>.</w:t>
      </w:r>
      <w:r w:rsidRPr="00AA2B8A">
        <w:rPr>
          <w:rFonts w:ascii="Calibri" w:hAnsi="Calibri"/>
          <w:sz w:val="24"/>
          <w:szCs w:val="24"/>
        </w:rPr>
        <w:t xml:space="preserve"> Department of Housing and Urban Development. Requirements for Notification, Ev</w:t>
      </w:r>
      <w:r w:rsidR="00192D7A" w:rsidRPr="00AA2B8A">
        <w:rPr>
          <w:rFonts w:ascii="Calibri" w:hAnsi="Calibri"/>
          <w:sz w:val="24"/>
          <w:szCs w:val="24"/>
        </w:rPr>
        <w:t>aluation and Reduction of Lead-</w:t>
      </w:r>
      <w:r w:rsidRPr="00AA2B8A">
        <w:rPr>
          <w:rFonts w:ascii="Calibri" w:hAnsi="Calibri"/>
          <w:sz w:val="24"/>
          <w:szCs w:val="24"/>
        </w:rPr>
        <w:t>Based Paint Hazards in Federally Owned Residential Property and Housing Receiving Federal Assistance; Response to Elevated Blood Lead Levels</w:t>
      </w:r>
      <w:r w:rsidR="008525CF" w:rsidRPr="00AA2B8A">
        <w:rPr>
          <w:rFonts w:ascii="Calibri" w:hAnsi="Calibri"/>
          <w:sz w:val="24"/>
          <w:szCs w:val="24"/>
        </w:rPr>
        <w:t>. Federal Register. 82(9);4152-72.</w:t>
      </w:r>
      <w:r w:rsidRPr="00AA2B8A">
        <w:rPr>
          <w:rFonts w:ascii="Calibri" w:hAnsi="Calibri"/>
          <w:sz w:val="24"/>
          <w:szCs w:val="24"/>
        </w:rPr>
        <w:t xml:space="preserve"> </w:t>
      </w:r>
      <w:r w:rsidR="004B0D4D" w:rsidRPr="00AA2B8A">
        <w:rPr>
          <w:rFonts w:ascii="Calibri" w:hAnsi="Calibri"/>
          <w:sz w:val="24"/>
          <w:szCs w:val="24"/>
        </w:rPr>
        <w:t>[</w:t>
      </w:r>
      <w:r w:rsidRPr="00AA2B8A">
        <w:rPr>
          <w:rFonts w:ascii="Calibri" w:hAnsi="Calibri"/>
          <w:sz w:val="24"/>
          <w:szCs w:val="24"/>
        </w:rPr>
        <w:t xml:space="preserve">Final Rule </w:t>
      </w:r>
      <w:r w:rsidR="004B0D4D" w:rsidRPr="00AA2B8A">
        <w:rPr>
          <w:rFonts w:ascii="Calibri" w:hAnsi="Calibri"/>
          <w:sz w:val="24"/>
          <w:szCs w:val="24"/>
        </w:rPr>
        <w:t xml:space="preserve">- </w:t>
      </w:r>
      <w:r w:rsidRPr="00AA2B8A">
        <w:rPr>
          <w:rFonts w:ascii="Calibri" w:hAnsi="Calibri" w:cs="Helvetica-Bold"/>
          <w:bCs/>
          <w:sz w:val="24"/>
          <w:szCs w:val="24"/>
        </w:rPr>
        <w:t>24 CFR Part 35</w:t>
      </w:r>
      <w:r w:rsidR="004B0D4D" w:rsidRPr="00AA2B8A">
        <w:rPr>
          <w:rFonts w:ascii="Calibri" w:hAnsi="Calibri" w:cs="Helvetica-Bold"/>
          <w:bCs/>
          <w:sz w:val="24"/>
          <w:szCs w:val="24"/>
        </w:rPr>
        <w:t xml:space="preserve"> - Lead Safe Housing Rule;</w:t>
      </w:r>
      <w:r w:rsidRPr="00AA2B8A">
        <w:rPr>
          <w:rFonts w:ascii="Calibri" w:hAnsi="Calibri" w:cs="Helvetica-Bold"/>
          <w:bCs/>
          <w:sz w:val="24"/>
          <w:szCs w:val="24"/>
        </w:rPr>
        <w:t xml:space="preserve"> Docket No. FR–5816–F–</w:t>
      </w:r>
      <w:r w:rsidR="004B0D4D" w:rsidRPr="00AA2B8A">
        <w:rPr>
          <w:rFonts w:ascii="Calibri" w:hAnsi="Calibri" w:cs="Helvetica-Bold"/>
          <w:bCs/>
          <w:sz w:val="24"/>
          <w:szCs w:val="24"/>
        </w:rPr>
        <w:t xml:space="preserve">02]. Accessed 01/27/2017 at </w:t>
      </w:r>
      <w:hyperlink r:id="rId51" w:history="1">
        <w:r w:rsidR="004B0D4D" w:rsidRPr="00AA2B8A">
          <w:rPr>
            <w:rStyle w:val="Hyperlink"/>
            <w:rFonts w:ascii="Calibri" w:hAnsi="Calibri" w:cs="Helvetica-Bold"/>
            <w:bCs/>
            <w:color w:val="auto"/>
            <w:sz w:val="24"/>
            <w:szCs w:val="24"/>
          </w:rPr>
          <w:t>https://www.gpo.gov/fdsys/pkg/FR-2017-01-13/pdf/2017-00261.pdf</w:t>
        </w:r>
      </w:hyperlink>
      <w:r w:rsidR="004B0D4D" w:rsidRPr="00AA2B8A">
        <w:rPr>
          <w:rFonts w:ascii="Calibri" w:hAnsi="Calibri" w:cs="Helvetica-Bold"/>
          <w:bCs/>
          <w:sz w:val="24"/>
          <w:szCs w:val="24"/>
        </w:rPr>
        <w:t xml:space="preserve">. </w:t>
      </w:r>
    </w:p>
    <w:p w14:paraId="050120E7" w14:textId="77777777" w:rsidR="00875A76" w:rsidRDefault="00875A76" w:rsidP="00D9054A">
      <w:pPr>
        <w:spacing w:after="0" w:line="276" w:lineRule="auto"/>
        <w:rPr>
          <w:rFonts w:ascii="Calibri" w:hAnsi="Calibri" w:cs="Helvetica-Bold"/>
          <w:bCs/>
          <w:sz w:val="24"/>
          <w:szCs w:val="24"/>
        </w:rPr>
      </w:pPr>
    </w:p>
    <w:p w14:paraId="2FC5E6B0" w14:textId="0DAC343D" w:rsidR="00875A76" w:rsidRPr="00875A76" w:rsidRDefault="00875A76" w:rsidP="00D9054A">
      <w:pPr>
        <w:spacing w:after="0" w:line="276" w:lineRule="auto"/>
        <w:rPr>
          <w:rFonts w:ascii="Calibri" w:hAnsi="Calibri" w:cs="Calibri"/>
          <w:sz w:val="24"/>
          <w:szCs w:val="24"/>
        </w:rPr>
      </w:pPr>
      <w:r w:rsidRPr="00D74E8E">
        <w:rPr>
          <w:rFonts w:ascii="Calibri" w:hAnsi="Calibri" w:cs="Calibri"/>
          <w:sz w:val="24"/>
          <w:szCs w:val="24"/>
        </w:rPr>
        <w:t xml:space="preserve">Jacobs DE, Tobin M, Targos L, Clarkson D, Dixon S, Breysse J, et al.  Window Replacement and Childhood Lead Exposure: Results from CLEAR-Win [unpublished]. </w:t>
      </w:r>
      <w:r>
        <w:rPr>
          <w:rFonts w:ascii="Calibri" w:hAnsi="Calibri" w:cs="Calibri"/>
          <w:sz w:val="24"/>
          <w:szCs w:val="24"/>
        </w:rPr>
        <w:t xml:space="preserve">2016. </w:t>
      </w:r>
      <w:r w:rsidRPr="00D74E8E">
        <w:rPr>
          <w:rFonts w:ascii="Calibri" w:hAnsi="Calibri" w:cs="Calibri"/>
          <w:sz w:val="24"/>
          <w:szCs w:val="24"/>
        </w:rPr>
        <w:t>Washington, DC: U.S. Department of Housing and Urban Development. 2015.</w:t>
      </w:r>
    </w:p>
    <w:p w14:paraId="31D69501" w14:textId="77777777" w:rsidR="002570DC" w:rsidRPr="00AA2B8A" w:rsidRDefault="002570DC" w:rsidP="00D9054A">
      <w:pPr>
        <w:spacing w:after="0"/>
        <w:contextualSpacing/>
        <w:rPr>
          <w:rFonts w:ascii="Calibri" w:hAnsi="Calibri"/>
          <w:sz w:val="24"/>
          <w:szCs w:val="24"/>
        </w:rPr>
      </w:pPr>
    </w:p>
    <w:p w14:paraId="753BF54F" w14:textId="061FEDAB" w:rsidR="009545FC" w:rsidRPr="00AA2B8A" w:rsidRDefault="009545FC" w:rsidP="00D9054A">
      <w:pPr>
        <w:spacing w:after="0"/>
        <w:contextualSpacing/>
        <w:rPr>
          <w:rFonts w:ascii="Calibri" w:hAnsi="Calibri" w:cs="Arial"/>
          <w:sz w:val="24"/>
          <w:szCs w:val="24"/>
        </w:rPr>
      </w:pPr>
      <w:r w:rsidRPr="00AA2B8A">
        <w:rPr>
          <w:rFonts w:ascii="Calibri" w:hAnsi="Calibri" w:cs="Arial"/>
          <w:sz w:val="24"/>
          <w:szCs w:val="24"/>
        </w:rPr>
        <w:t xml:space="preserve">(NCSL) National Conference of State Legislatures. State Lead Poisoning Prevention Statutes. Denver: </w:t>
      </w:r>
      <w:r w:rsidR="006B3164" w:rsidRPr="00AA2B8A">
        <w:rPr>
          <w:rFonts w:ascii="Calibri" w:hAnsi="Calibri" w:cs="Arial"/>
          <w:sz w:val="24"/>
          <w:szCs w:val="24"/>
        </w:rPr>
        <w:t>2010 March. Compiled by Farquhar D.</w:t>
      </w:r>
    </w:p>
    <w:p w14:paraId="39F9B830" w14:textId="424FA6EC" w:rsidR="009545FC" w:rsidRPr="00AA2B8A" w:rsidRDefault="009545FC" w:rsidP="00D9054A">
      <w:pPr>
        <w:spacing w:after="0"/>
        <w:contextualSpacing/>
        <w:rPr>
          <w:rFonts w:ascii="Calibri" w:hAnsi="Calibri" w:cs="Arial"/>
          <w:sz w:val="24"/>
          <w:szCs w:val="24"/>
        </w:rPr>
      </w:pPr>
      <w:r w:rsidRPr="00AA2B8A">
        <w:rPr>
          <w:rFonts w:ascii="Calibri" w:hAnsi="Calibri"/>
          <w:sz w:val="24"/>
          <w:szCs w:val="24"/>
        </w:rPr>
        <w:t xml:space="preserve">Accessed 02/07/2017 at </w:t>
      </w:r>
      <w:hyperlink r:id="rId52" w:history="1">
        <w:r w:rsidRPr="00AA2B8A">
          <w:rPr>
            <w:rStyle w:val="Hyperlink"/>
            <w:rFonts w:ascii="Calibri" w:eastAsiaTheme="majorEastAsia" w:hAnsi="Calibri"/>
            <w:color w:val="auto"/>
            <w:sz w:val="24"/>
            <w:szCs w:val="24"/>
          </w:rPr>
          <w:t>http://www.ncsl.org/documents/environ/stlaws10.pdf</w:t>
        </w:r>
      </w:hyperlink>
      <w:r w:rsidRPr="00AA2B8A">
        <w:rPr>
          <w:rStyle w:val="Hyperlink"/>
          <w:rFonts w:ascii="Calibri" w:eastAsiaTheme="majorEastAsia" w:hAnsi="Calibri"/>
          <w:color w:val="auto"/>
          <w:sz w:val="24"/>
          <w:szCs w:val="24"/>
        </w:rPr>
        <w:t xml:space="preserve"> </w:t>
      </w:r>
    </w:p>
    <w:p w14:paraId="183EBD88" w14:textId="77777777" w:rsidR="009545FC" w:rsidRPr="00AA2B8A" w:rsidRDefault="009545FC" w:rsidP="003D234E">
      <w:pPr>
        <w:contextualSpacing/>
        <w:rPr>
          <w:rFonts w:ascii="Calibri" w:hAnsi="Calibri" w:cs="Arial"/>
          <w:sz w:val="24"/>
          <w:szCs w:val="24"/>
        </w:rPr>
      </w:pPr>
    </w:p>
    <w:p w14:paraId="553561DF" w14:textId="05048B7D" w:rsidR="002570DC" w:rsidRPr="00AA2B8A" w:rsidRDefault="002570DC" w:rsidP="003D234E">
      <w:pPr>
        <w:contextualSpacing/>
        <w:rPr>
          <w:rFonts w:ascii="Calibri" w:hAnsi="Calibri"/>
          <w:sz w:val="24"/>
          <w:szCs w:val="24"/>
        </w:rPr>
      </w:pPr>
      <w:r w:rsidRPr="00AA2B8A">
        <w:rPr>
          <w:rFonts w:ascii="Calibri" w:hAnsi="Calibri" w:cs="Arial"/>
          <w:sz w:val="24"/>
          <w:szCs w:val="24"/>
        </w:rPr>
        <w:t xml:space="preserve">Newman N, Jones C, Page E, Ceballos D, </w:t>
      </w:r>
      <w:hyperlink r:id="rId53" w:history="1">
        <w:r w:rsidRPr="00AA2B8A">
          <w:rPr>
            <w:rFonts w:ascii="Calibri" w:hAnsi="Calibri" w:cs="Arial"/>
            <w:sz w:val="24"/>
            <w:szCs w:val="24"/>
          </w:rPr>
          <w:t>Oza A</w:t>
        </w:r>
      </w:hyperlink>
      <w:r w:rsidRPr="00AA2B8A">
        <w:rPr>
          <w:rFonts w:ascii="Calibri" w:hAnsi="Calibri" w:cs="Arial"/>
          <w:sz w:val="24"/>
          <w:szCs w:val="24"/>
        </w:rPr>
        <w:t xml:space="preserve">. </w:t>
      </w:r>
      <w:r w:rsidRPr="00AA2B8A">
        <w:rPr>
          <w:rStyle w:val="highlight2"/>
          <w:rFonts w:ascii="Calibri" w:hAnsi="Calibri" w:cs="Arial"/>
          <w:sz w:val="24"/>
          <w:szCs w:val="24"/>
        </w:rPr>
        <w:t>Investigation</w:t>
      </w:r>
      <w:r w:rsidRPr="00AA2B8A">
        <w:rPr>
          <w:rFonts w:ascii="Calibri" w:hAnsi="Calibri" w:cs="Arial"/>
          <w:sz w:val="24"/>
          <w:szCs w:val="24"/>
        </w:rPr>
        <w:t xml:space="preserve"> of </w:t>
      </w:r>
      <w:r w:rsidRPr="00AA2B8A">
        <w:rPr>
          <w:rStyle w:val="highlight2"/>
          <w:rFonts w:ascii="Calibri" w:hAnsi="Calibri" w:cs="Arial"/>
          <w:sz w:val="24"/>
          <w:szCs w:val="24"/>
        </w:rPr>
        <w:t>Childhood</w:t>
      </w:r>
      <w:r w:rsidRPr="00AA2B8A">
        <w:rPr>
          <w:rFonts w:ascii="Calibri" w:hAnsi="Calibri" w:cs="Arial"/>
          <w:sz w:val="24"/>
          <w:szCs w:val="24"/>
        </w:rPr>
        <w:t xml:space="preserve"> </w:t>
      </w:r>
      <w:r w:rsidRPr="00AA2B8A">
        <w:rPr>
          <w:rStyle w:val="highlight2"/>
          <w:rFonts w:ascii="Calibri" w:hAnsi="Calibri" w:cs="Arial"/>
          <w:sz w:val="24"/>
          <w:szCs w:val="24"/>
        </w:rPr>
        <w:t>Lead</w:t>
      </w:r>
      <w:r w:rsidRPr="00AA2B8A">
        <w:rPr>
          <w:rFonts w:ascii="Calibri" w:hAnsi="Calibri" w:cs="Arial"/>
          <w:sz w:val="24"/>
          <w:szCs w:val="24"/>
        </w:rPr>
        <w:t xml:space="preserve"> </w:t>
      </w:r>
      <w:r w:rsidRPr="00AA2B8A">
        <w:rPr>
          <w:rStyle w:val="highlight2"/>
          <w:rFonts w:ascii="Calibri" w:hAnsi="Calibri" w:cs="Arial"/>
          <w:sz w:val="24"/>
          <w:szCs w:val="24"/>
        </w:rPr>
        <w:t>Poisoning</w:t>
      </w:r>
      <w:r w:rsidRPr="00AA2B8A">
        <w:rPr>
          <w:rFonts w:ascii="Calibri" w:hAnsi="Calibri" w:cs="Arial"/>
          <w:sz w:val="24"/>
          <w:szCs w:val="24"/>
        </w:rPr>
        <w:t xml:space="preserve"> from </w:t>
      </w:r>
      <w:r w:rsidRPr="00AA2B8A">
        <w:rPr>
          <w:rStyle w:val="highlight2"/>
          <w:rFonts w:ascii="Calibri" w:hAnsi="Calibri" w:cs="Arial"/>
          <w:sz w:val="24"/>
          <w:szCs w:val="24"/>
        </w:rPr>
        <w:t>Parental</w:t>
      </w:r>
      <w:r w:rsidRPr="00AA2B8A">
        <w:rPr>
          <w:rFonts w:ascii="Calibri" w:hAnsi="Calibri" w:cs="Arial"/>
          <w:sz w:val="24"/>
          <w:szCs w:val="24"/>
        </w:rPr>
        <w:t xml:space="preserve"> </w:t>
      </w:r>
      <w:r w:rsidRPr="00AA2B8A">
        <w:rPr>
          <w:rStyle w:val="highlight2"/>
          <w:rFonts w:ascii="Calibri" w:hAnsi="Calibri" w:cs="Arial"/>
          <w:sz w:val="24"/>
          <w:szCs w:val="24"/>
        </w:rPr>
        <w:t>Take-Home</w:t>
      </w:r>
      <w:r w:rsidRPr="00AA2B8A">
        <w:rPr>
          <w:rFonts w:ascii="Calibri" w:hAnsi="Calibri" w:cs="Arial"/>
          <w:sz w:val="24"/>
          <w:szCs w:val="24"/>
        </w:rPr>
        <w:t xml:space="preserve"> </w:t>
      </w:r>
      <w:r w:rsidRPr="00AA2B8A">
        <w:rPr>
          <w:rStyle w:val="highlight2"/>
          <w:rFonts w:ascii="Calibri" w:hAnsi="Calibri" w:cs="Arial"/>
          <w:sz w:val="24"/>
          <w:szCs w:val="24"/>
        </w:rPr>
        <w:t>Exposure</w:t>
      </w:r>
      <w:r w:rsidRPr="00AA2B8A">
        <w:rPr>
          <w:rFonts w:ascii="Calibri" w:hAnsi="Calibri" w:cs="Arial"/>
          <w:sz w:val="24"/>
          <w:szCs w:val="24"/>
        </w:rPr>
        <w:t xml:space="preserve"> from an Electronic Scrap Recycling Facility — Ohio, 2012. MMWR Morb Mortal Wkly Rep. 2015 Jul 17;64(27):743-5. Accessed 01/20/2017 at </w:t>
      </w:r>
      <w:hyperlink r:id="rId54" w:history="1">
        <w:r w:rsidRPr="00AA2B8A">
          <w:rPr>
            <w:rStyle w:val="Hyperlink"/>
            <w:rFonts w:ascii="Calibri" w:hAnsi="Calibri" w:cs="Arial"/>
            <w:color w:val="auto"/>
            <w:sz w:val="24"/>
            <w:szCs w:val="24"/>
          </w:rPr>
          <w:t>https://www.cdc.gov/mmwr/pdf/wk/mm6427.pdf</w:t>
        </w:r>
      </w:hyperlink>
      <w:r w:rsidRPr="00AA2B8A">
        <w:rPr>
          <w:rFonts w:ascii="Calibri" w:hAnsi="Calibri" w:cs="Arial"/>
          <w:sz w:val="24"/>
          <w:szCs w:val="24"/>
        </w:rPr>
        <w:t xml:space="preserve">. </w:t>
      </w:r>
    </w:p>
    <w:p w14:paraId="77921E2D" w14:textId="77777777" w:rsidR="00B23E15" w:rsidRPr="00AA2B8A" w:rsidRDefault="00B23E15" w:rsidP="003D234E">
      <w:pPr>
        <w:contextualSpacing/>
        <w:rPr>
          <w:rFonts w:ascii="Calibri" w:hAnsi="Calibri"/>
          <w:sz w:val="24"/>
          <w:szCs w:val="24"/>
        </w:rPr>
      </w:pPr>
    </w:p>
    <w:p w14:paraId="3B9C9A23" w14:textId="6BDDCEA6" w:rsidR="00B23E15" w:rsidRPr="00AA2B8A" w:rsidRDefault="00B23E15" w:rsidP="003D234E">
      <w:pPr>
        <w:contextualSpacing/>
        <w:rPr>
          <w:rFonts w:ascii="Calibri" w:hAnsi="Calibri"/>
          <w:sz w:val="24"/>
          <w:szCs w:val="24"/>
        </w:rPr>
      </w:pPr>
      <w:r w:rsidRPr="00AA2B8A">
        <w:rPr>
          <w:rFonts w:ascii="Calibri" w:hAnsi="Calibri"/>
          <w:sz w:val="24"/>
          <w:szCs w:val="24"/>
        </w:rPr>
        <w:t xml:space="preserve">(NIOSH) National Institute for Occupational Safety and Health. </w:t>
      </w:r>
      <w:r w:rsidR="0011597A" w:rsidRPr="00AA2B8A">
        <w:rPr>
          <w:rFonts w:ascii="Calibri" w:hAnsi="Calibri"/>
          <w:sz w:val="24"/>
          <w:szCs w:val="24"/>
        </w:rPr>
        <w:t xml:space="preserve">Report to Congress on Workers’ Home Contamination Study Conducted under the Workers’ Family Protection Act (29 U.S.C. 671a). </w:t>
      </w:r>
      <w:r w:rsidR="009D45C3" w:rsidRPr="00AA2B8A">
        <w:rPr>
          <w:rFonts w:ascii="Calibri" w:hAnsi="Calibri"/>
          <w:sz w:val="24"/>
          <w:szCs w:val="24"/>
        </w:rPr>
        <w:t>DHHS</w:t>
      </w:r>
      <w:r w:rsidR="00187604" w:rsidRPr="00AA2B8A">
        <w:rPr>
          <w:rFonts w:ascii="Calibri" w:hAnsi="Calibri"/>
          <w:sz w:val="24"/>
          <w:szCs w:val="24"/>
        </w:rPr>
        <w:t xml:space="preserve"> </w:t>
      </w:r>
      <w:r w:rsidR="009D45C3" w:rsidRPr="00AA2B8A">
        <w:rPr>
          <w:rFonts w:ascii="Calibri" w:hAnsi="Calibri"/>
          <w:sz w:val="24"/>
          <w:szCs w:val="24"/>
        </w:rPr>
        <w:t xml:space="preserve">NIOSH) Publication No. 95-123. </w:t>
      </w:r>
      <w:r w:rsidR="003D24C7" w:rsidRPr="00AA2B8A">
        <w:rPr>
          <w:rFonts w:ascii="Calibri" w:hAnsi="Calibri"/>
          <w:sz w:val="24"/>
          <w:szCs w:val="24"/>
        </w:rPr>
        <w:t>Cincinnati</w:t>
      </w:r>
      <w:r w:rsidRPr="00AA2B8A">
        <w:rPr>
          <w:rFonts w:ascii="Calibri" w:hAnsi="Calibri"/>
          <w:sz w:val="24"/>
          <w:szCs w:val="24"/>
        </w:rPr>
        <w:t>: CDC; 1995</w:t>
      </w:r>
      <w:r w:rsidR="003D24C7" w:rsidRPr="00AA2B8A">
        <w:rPr>
          <w:rFonts w:ascii="Calibri" w:hAnsi="Calibri"/>
          <w:sz w:val="24"/>
          <w:szCs w:val="24"/>
        </w:rPr>
        <w:t>, September</w:t>
      </w:r>
      <w:r w:rsidRPr="00AA2B8A">
        <w:rPr>
          <w:rFonts w:ascii="Calibri" w:hAnsi="Calibri"/>
          <w:sz w:val="24"/>
          <w:szCs w:val="24"/>
        </w:rPr>
        <w:t xml:space="preserve">. Accessed 01/20/2017 at </w:t>
      </w:r>
      <w:hyperlink r:id="rId55" w:history="1">
        <w:r w:rsidR="00F37F01" w:rsidRPr="00AA2B8A">
          <w:rPr>
            <w:rStyle w:val="Hyperlink"/>
            <w:rFonts w:ascii="Calibri" w:hAnsi="Calibri"/>
            <w:color w:val="auto"/>
            <w:sz w:val="24"/>
            <w:szCs w:val="24"/>
          </w:rPr>
          <w:t>https://www.cdc.gov/niosh/docs/95-123/pdfs/95-123.pdf</w:t>
        </w:r>
      </w:hyperlink>
      <w:r w:rsidR="00F37F01" w:rsidRPr="00AA2B8A">
        <w:rPr>
          <w:rFonts w:ascii="Calibri" w:hAnsi="Calibri"/>
          <w:sz w:val="24"/>
          <w:szCs w:val="24"/>
        </w:rPr>
        <w:t xml:space="preserve">. </w:t>
      </w:r>
    </w:p>
    <w:p w14:paraId="01D1F8E0" w14:textId="77777777" w:rsidR="00B23E15" w:rsidRPr="00AA2B8A" w:rsidRDefault="00B23E15" w:rsidP="003D234E">
      <w:pPr>
        <w:contextualSpacing/>
        <w:rPr>
          <w:rFonts w:ascii="Calibri" w:hAnsi="Calibri"/>
          <w:sz w:val="24"/>
          <w:szCs w:val="24"/>
        </w:rPr>
      </w:pPr>
    </w:p>
    <w:p w14:paraId="231279FD" w14:textId="4E58BDC5" w:rsidR="00B23E15" w:rsidRPr="00AA2B8A" w:rsidRDefault="00B23E15" w:rsidP="003D234E">
      <w:pPr>
        <w:contextualSpacing/>
        <w:rPr>
          <w:rFonts w:ascii="Calibri" w:hAnsi="Calibri"/>
          <w:sz w:val="24"/>
          <w:szCs w:val="24"/>
        </w:rPr>
      </w:pPr>
      <w:r w:rsidRPr="00AA2B8A">
        <w:rPr>
          <w:rFonts w:ascii="Calibri" w:hAnsi="Calibri"/>
          <w:sz w:val="24"/>
          <w:szCs w:val="24"/>
        </w:rPr>
        <w:t xml:space="preserve">(NIOSH) National Institute for Occupational Safety and Health. </w:t>
      </w:r>
      <w:r w:rsidR="00187604" w:rsidRPr="00AA2B8A">
        <w:rPr>
          <w:rFonts w:ascii="Calibri" w:hAnsi="Calibri"/>
          <w:sz w:val="24"/>
          <w:szCs w:val="24"/>
        </w:rPr>
        <w:t>Protecting Workers’ Families: A Research Agenda. DHHS NIOSH) Publication No. 2002-113. Cincinnati</w:t>
      </w:r>
      <w:r w:rsidRPr="00AA2B8A">
        <w:rPr>
          <w:rFonts w:ascii="Calibri" w:hAnsi="Calibri"/>
          <w:sz w:val="24"/>
          <w:szCs w:val="24"/>
        </w:rPr>
        <w:t>: CDC; 2002</w:t>
      </w:r>
      <w:r w:rsidR="00187604" w:rsidRPr="00AA2B8A">
        <w:rPr>
          <w:rFonts w:ascii="Calibri" w:hAnsi="Calibri"/>
          <w:sz w:val="24"/>
          <w:szCs w:val="24"/>
        </w:rPr>
        <w:t>, May</w:t>
      </w:r>
      <w:r w:rsidRPr="00AA2B8A">
        <w:rPr>
          <w:rFonts w:ascii="Calibri" w:hAnsi="Calibri"/>
          <w:sz w:val="24"/>
          <w:szCs w:val="24"/>
        </w:rPr>
        <w:t xml:space="preserve">. Accessed 01/20/2017 at </w:t>
      </w:r>
      <w:hyperlink r:id="rId56" w:history="1">
        <w:r w:rsidR="00F443FC" w:rsidRPr="00AA2B8A">
          <w:rPr>
            <w:rStyle w:val="Hyperlink"/>
            <w:rFonts w:ascii="Calibri" w:hAnsi="Calibri"/>
            <w:color w:val="auto"/>
            <w:sz w:val="24"/>
            <w:szCs w:val="24"/>
          </w:rPr>
          <w:t>https://www.cdc.gov/niosh/docs/2002-113/pdfs/2002-113.pdf</w:t>
        </w:r>
      </w:hyperlink>
      <w:r w:rsidR="00F443FC" w:rsidRPr="00AA2B8A">
        <w:rPr>
          <w:rFonts w:ascii="Calibri" w:hAnsi="Calibri"/>
          <w:sz w:val="24"/>
          <w:szCs w:val="24"/>
        </w:rPr>
        <w:t xml:space="preserve">. </w:t>
      </w:r>
    </w:p>
    <w:p w14:paraId="3563C9A6" w14:textId="77777777" w:rsidR="00E7136F" w:rsidRPr="00AA2B8A" w:rsidRDefault="00E7136F" w:rsidP="003D234E">
      <w:pPr>
        <w:contextualSpacing/>
        <w:rPr>
          <w:rFonts w:ascii="Calibri" w:hAnsi="Calibri"/>
          <w:sz w:val="24"/>
          <w:szCs w:val="24"/>
        </w:rPr>
      </w:pPr>
    </w:p>
    <w:p w14:paraId="134CC1AF" w14:textId="2623C782" w:rsidR="00BC54C7" w:rsidRPr="00AA2B8A" w:rsidRDefault="00BC54C7" w:rsidP="003D234E">
      <w:pPr>
        <w:contextualSpacing/>
        <w:rPr>
          <w:rFonts w:ascii="Calibri" w:hAnsi="Calibri"/>
          <w:sz w:val="24"/>
          <w:szCs w:val="24"/>
        </w:rPr>
      </w:pPr>
      <w:r w:rsidRPr="00AA2B8A">
        <w:rPr>
          <w:rFonts w:ascii="Calibri" w:hAnsi="Calibri"/>
          <w:sz w:val="24"/>
          <w:szCs w:val="24"/>
        </w:rPr>
        <w:t xml:space="preserve">(NIOSH) National Institute for Occupational Safety and Health. </w:t>
      </w:r>
      <w:r w:rsidRPr="00AA2B8A">
        <w:rPr>
          <w:rFonts w:ascii="Calibri" w:hAnsi="Calibri"/>
          <w:bCs/>
          <w:sz w:val="24"/>
          <w:szCs w:val="24"/>
        </w:rPr>
        <w:t xml:space="preserve">Adult Blood Lead Epidemiology and Surveillance (ABLES) </w:t>
      </w:r>
      <w:r w:rsidR="00DE6240" w:rsidRPr="00AA2B8A">
        <w:rPr>
          <w:rFonts w:ascii="Calibri" w:hAnsi="Calibri"/>
          <w:bCs/>
          <w:sz w:val="24"/>
          <w:szCs w:val="24"/>
        </w:rPr>
        <w:t>acceptance memo</w:t>
      </w:r>
      <w:r w:rsidR="000258C8" w:rsidRPr="00AA2B8A">
        <w:rPr>
          <w:rFonts w:ascii="Calibri" w:hAnsi="Calibri"/>
          <w:bCs/>
          <w:sz w:val="24"/>
          <w:szCs w:val="24"/>
        </w:rPr>
        <w:t xml:space="preserve"> Council for State and Territorial Epidemiologist (CSTE) </w:t>
      </w:r>
      <w:r w:rsidRPr="00AA2B8A">
        <w:rPr>
          <w:rFonts w:ascii="Calibri" w:hAnsi="Calibri"/>
          <w:bCs/>
          <w:sz w:val="24"/>
          <w:szCs w:val="24"/>
        </w:rPr>
        <w:t>case definition for an elevated blood lead level. Atlanta: 2015</w:t>
      </w:r>
      <w:r w:rsidR="0090628E" w:rsidRPr="00AA2B8A">
        <w:rPr>
          <w:rFonts w:ascii="Calibri" w:hAnsi="Calibri"/>
          <w:bCs/>
          <w:sz w:val="24"/>
          <w:szCs w:val="24"/>
        </w:rPr>
        <w:t>a</w:t>
      </w:r>
      <w:r w:rsidRPr="00AA2B8A">
        <w:rPr>
          <w:rFonts w:ascii="Calibri" w:hAnsi="Calibri"/>
          <w:bCs/>
          <w:sz w:val="24"/>
          <w:szCs w:val="24"/>
        </w:rPr>
        <w:t xml:space="preserve">, </w:t>
      </w:r>
      <w:r w:rsidR="00DE6240" w:rsidRPr="00AA2B8A">
        <w:rPr>
          <w:rFonts w:ascii="Calibri" w:hAnsi="Calibri"/>
          <w:bCs/>
          <w:sz w:val="24"/>
          <w:szCs w:val="24"/>
        </w:rPr>
        <w:t>October</w:t>
      </w:r>
      <w:r w:rsidRPr="00AA2B8A">
        <w:rPr>
          <w:rFonts w:ascii="Calibri" w:hAnsi="Calibri"/>
          <w:bCs/>
          <w:sz w:val="24"/>
          <w:szCs w:val="24"/>
        </w:rPr>
        <w:t xml:space="preserve">. </w:t>
      </w:r>
      <w:r w:rsidR="00DE6240" w:rsidRPr="00AA2B8A">
        <w:rPr>
          <w:rFonts w:ascii="Calibri" w:hAnsi="Calibri"/>
          <w:bCs/>
          <w:sz w:val="24"/>
          <w:szCs w:val="24"/>
        </w:rPr>
        <w:t>Internet site a</w:t>
      </w:r>
      <w:r w:rsidRPr="00AA2B8A">
        <w:rPr>
          <w:rFonts w:ascii="Calibri" w:hAnsi="Calibri"/>
          <w:bCs/>
          <w:sz w:val="24"/>
          <w:szCs w:val="24"/>
        </w:rPr>
        <w:t xml:space="preserve">ccessed 01/20/2017 at </w:t>
      </w:r>
      <w:hyperlink r:id="rId57" w:history="1">
        <w:r w:rsidRPr="00AA2B8A">
          <w:rPr>
            <w:rStyle w:val="Hyperlink"/>
            <w:rFonts w:ascii="Calibri" w:hAnsi="Calibri"/>
            <w:color w:val="auto"/>
            <w:sz w:val="24"/>
            <w:szCs w:val="24"/>
          </w:rPr>
          <w:t>http://www.cdc.gov/niosh/topics/ABLES/description.html</w:t>
        </w:r>
      </w:hyperlink>
      <w:r w:rsidRPr="00AA2B8A">
        <w:rPr>
          <w:rFonts w:ascii="Calibri" w:hAnsi="Calibri"/>
          <w:sz w:val="24"/>
          <w:szCs w:val="24"/>
        </w:rPr>
        <w:t xml:space="preserve">. </w:t>
      </w:r>
    </w:p>
    <w:p w14:paraId="4AA910DB" w14:textId="77777777" w:rsidR="00E7136F" w:rsidRPr="00AA2B8A" w:rsidRDefault="00E7136F" w:rsidP="003D234E">
      <w:pPr>
        <w:contextualSpacing/>
        <w:rPr>
          <w:rFonts w:ascii="Calibri" w:hAnsi="Calibri"/>
          <w:sz w:val="24"/>
          <w:szCs w:val="24"/>
        </w:rPr>
      </w:pPr>
    </w:p>
    <w:p w14:paraId="52F8716E" w14:textId="59623B5C" w:rsidR="00E7136F" w:rsidRPr="00AA2B8A" w:rsidRDefault="00E7136F" w:rsidP="003D234E">
      <w:pPr>
        <w:contextualSpacing/>
        <w:rPr>
          <w:rFonts w:ascii="Calibri" w:hAnsi="Calibri"/>
          <w:sz w:val="24"/>
          <w:szCs w:val="24"/>
        </w:rPr>
      </w:pPr>
      <w:r w:rsidRPr="00AA2B8A">
        <w:rPr>
          <w:rFonts w:ascii="Calibri" w:hAnsi="Calibri"/>
          <w:sz w:val="24"/>
          <w:szCs w:val="24"/>
        </w:rPr>
        <w:t xml:space="preserve">(NIOSH) National Institute for Occupational Safety and Health. </w:t>
      </w:r>
      <w:r w:rsidRPr="00AA2B8A">
        <w:rPr>
          <w:rFonts w:ascii="Calibri" w:hAnsi="Calibri"/>
          <w:bCs/>
          <w:sz w:val="24"/>
          <w:szCs w:val="24"/>
        </w:rPr>
        <w:t>Adult Blood Lead Epidemiology and Surveillance (ABLES) Program Description. Atlanta: 2015</w:t>
      </w:r>
      <w:r w:rsidR="0090628E" w:rsidRPr="00AA2B8A">
        <w:rPr>
          <w:rFonts w:ascii="Calibri" w:hAnsi="Calibri"/>
          <w:bCs/>
          <w:sz w:val="24"/>
          <w:szCs w:val="24"/>
        </w:rPr>
        <w:t>b</w:t>
      </w:r>
      <w:r w:rsidRPr="00AA2B8A">
        <w:rPr>
          <w:rFonts w:ascii="Calibri" w:hAnsi="Calibri"/>
          <w:bCs/>
          <w:sz w:val="24"/>
          <w:szCs w:val="24"/>
        </w:rPr>
        <w:t xml:space="preserve">, December. Internet site accessed 03/09/2017 at </w:t>
      </w:r>
      <w:hyperlink r:id="rId58" w:history="1">
        <w:r w:rsidRPr="00AA2B8A">
          <w:rPr>
            <w:rStyle w:val="Hyperlink"/>
            <w:rFonts w:ascii="Calibri" w:hAnsi="Calibri"/>
            <w:color w:val="auto"/>
            <w:sz w:val="24"/>
            <w:szCs w:val="24"/>
          </w:rPr>
          <w:t>https://www.cdc.gov/niosh/topics/ables/description.html</w:t>
        </w:r>
      </w:hyperlink>
      <w:r w:rsidRPr="00AA2B8A">
        <w:rPr>
          <w:rFonts w:ascii="Calibri" w:hAnsi="Calibri"/>
          <w:sz w:val="24"/>
          <w:szCs w:val="24"/>
        </w:rPr>
        <w:t>.</w:t>
      </w:r>
    </w:p>
    <w:p w14:paraId="77C9B11C" w14:textId="77777777" w:rsidR="00F72E43" w:rsidRPr="00AA2B8A" w:rsidRDefault="00F72E43" w:rsidP="003D234E">
      <w:pPr>
        <w:contextualSpacing/>
        <w:rPr>
          <w:rFonts w:ascii="Calibri" w:hAnsi="Calibri"/>
          <w:sz w:val="24"/>
          <w:szCs w:val="24"/>
        </w:rPr>
      </w:pPr>
    </w:p>
    <w:p w14:paraId="073D22C5" w14:textId="136F6A8E" w:rsidR="00D4341E" w:rsidRPr="00AA2B8A" w:rsidRDefault="00D4341E" w:rsidP="003D234E">
      <w:pPr>
        <w:contextualSpacing/>
        <w:rPr>
          <w:rFonts w:ascii="Calibri" w:hAnsi="Calibri"/>
          <w:sz w:val="24"/>
          <w:szCs w:val="24"/>
        </w:rPr>
      </w:pPr>
      <w:r w:rsidRPr="00AA2B8A">
        <w:rPr>
          <w:rFonts w:ascii="Calibri" w:hAnsi="Calibri"/>
          <w:sz w:val="24"/>
          <w:szCs w:val="24"/>
        </w:rPr>
        <w:t xml:space="preserve">(NTP) National Toxicology Program. </w:t>
      </w:r>
      <w:r w:rsidRPr="00AA2B8A">
        <w:rPr>
          <w:rFonts w:ascii="Calibri" w:hAnsi="Calibri"/>
          <w:bCs/>
          <w:sz w:val="24"/>
          <w:szCs w:val="24"/>
        </w:rPr>
        <w:t xml:space="preserve">NTP Monograph on Health Effects of Low-Level Lead. </w:t>
      </w:r>
      <w:r w:rsidR="00D2008B" w:rsidRPr="00AA2B8A">
        <w:rPr>
          <w:rFonts w:ascii="Calibri" w:hAnsi="Calibri"/>
          <w:bCs/>
          <w:sz w:val="24"/>
          <w:szCs w:val="24"/>
        </w:rPr>
        <w:t xml:space="preserve">Research Triangle Park: National Institute of Environmental Health Sciences (NIEHS), National Institutes of Health (NIH). </w:t>
      </w:r>
      <w:r w:rsidRPr="00AA2B8A">
        <w:rPr>
          <w:rFonts w:ascii="Calibri" w:hAnsi="Calibri"/>
          <w:sz w:val="24"/>
          <w:szCs w:val="24"/>
        </w:rPr>
        <w:t>2012</w:t>
      </w:r>
      <w:r w:rsidR="00D2008B" w:rsidRPr="00AA2B8A">
        <w:rPr>
          <w:rFonts w:ascii="Calibri" w:hAnsi="Calibri"/>
          <w:sz w:val="24"/>
          <w:szCs w:val="24"/>
        </w:rPr>
        <w:t>, June</w:t>
      </w:r>
      <w:r w:rsidRPr="00AA2B8A">
        <w:rPr>
          <w:rFonts w:ascii="Calibri" w:hAnsi="Calibri"/>
          <w:sz w:val="24"/>
          <w:szCs w:val="24"/>
        </w:rPr>
        <w:t>.</w:t>
      </w:r>
      <w:r w:rsidR="00D2008B" w:rsidRPr="00AA2B8A">
        <w:rPr>
          <w:rFonts w:ascii="Calibri" w:hAnsi="Calibri"/>
          <w:sz w:val="24"/>
          <w:szCs w:val="24"/>
        </w:rPr>
        <w:t xml:space="preserve"> Accessed 01/20/2017 at </w:t>
      </w:r>
      <w:hyperlink r:id="rId59" w:history="1">
        <w:r w:rsidR="00D2008B" w:rsidRPr="00AA2B8A">
          <w:rPr>
            <w:rStyle w:val="Hyperlink"/>
            <w:rFonts w:ascii="Calibri" w:hAnsi="Calibri"/>
            <w:color w:val="auto"/>
            <w:sz w:val="24"/>
            <w:szCs w:val="24"/>
          </w:rPr>
          <w:t>https://ntp.niehs.nih.gov/ntp/ohat/lead/final/monographhealtheffectslowlevellead_newissn_508.pdf</w:t>
        </w:r>
      </w:hyperlink>
      <w:r w:rsidR="00D2008B" w:rsidRPr="00AA2B8A">
        <w:rPr>
          <w:rFonts w:ascii="Calibri" w:hAnsi="Calibri"/>
          <w:sz w:val="24"/>
          <w:szCs w:val="24"/>
        </w:rPr>
        <w:t xml:space="preserve">. </w:t>
      </w:r>
    </w:p>
    <w:p w14:paraId="52920E2C" w14:textId="77777777" w:rsidR="00B23E15" w:rsidRPr="00AA2B8A" w:rsidRDefault="00B23E15" w:rsidP="003D234E">
      <w:pPr>
        <w:contextualSpacing/>
        <w:rPr>
          <w:rFonts w:ascii="Calibri" w:hAnsi="Calibri"/>
          <w:sz w:val="24"/>
          <w:szCs w:val="24"/>
        </w:rPr>
      </w:pPr>
    </w:p>
    <w:p w14:paraId="48E750BD" w14:textId="7A23C22F" w:rsidR="00B23E15" w:rsidRPr="00FA2043" w:rsidRDefault="00B23E15" w:rsidP="003D234E">
      <w:pPr>
        <w:contextualSpacing/>
        <w:rPr>
          <w:rStyle w:val="Hyperlink"/>
          <w:rFonts w:ascii="Calibri" w:hAnsi="Calibri"/>
          <w:color w:val="auto"/>
          <w:sz w:val="24"/>
          <w:szCs w:val="24"/>
        </w:rPr>
      </w:pPr>
      <w:r w:rsidRPr="00FA2043">
        <w:rPr>
          <w:rFonts w:ascii="Calibri" w:hAnsi="Calibri"/>
          <w:sz w:val="24"/>
          <w:szCs w:val="24"/>
        </w:rPr>
        <w:t xml:space="preserve">(OSHA) Occupational Safety and Health Administration. </w:t>
      </w:r>
      <w:r w:rsidR="00F92E40" w:rsidRPr="00FA2043">
        <w:rPr>
          <w:rFonts w:ascii="Calibri" w:hAnsi="Calibri" w:cs="Tahoma"/>
          <w:sz w:val="24"/>
          <w:szCs w:val="24"/>
        </w:rPr>
        <w:t>Lead: If You Work Around Lead, Don't Take it Home!</w:t>
      </w:r>
      <w:r w:rsidRPr="00FA2043">
        <w:rPr>
          <w:rFonts w:ascii="Calibri" w:hAnsi="Calibri" w:cs="Tahoma"/>
          <w:sz w:val="24"/>
          <w:szCs w:val="24"/>
        </w:rPr>
        <w:t xml:space="preserve"> OSHA QuickCard™ (Publication 3680), (2014, June). Accessed 01/20/2017 at </w:t>
      </w:r>
      <w:hyperlink r:id="rId60" w:history="1">
        <w:r w:rsidRPr="00FA2043">
          <w:rPr>
            <w:rStyle w:val="Hyperlink"/>
            <w:rFonts w:ascii="Calibri" w:hAnsi="Calibri"/>
            <w:color w:val="auto"/>
            <w:sz w:val="24"/>
            <w:szCs w:val="24"/>
          </w:rPr>
          <w:t>https://www.osha.gov/Publications/OSHA3680.pdf</w:t>
        </w:r>
      </w:hyperlink>
      <w:r w:rsidRPr="00FA2043">
        <w:rPr>
          <w:rStyle w:val="Hyperlink"/>
          <w:rFonts w:ascii="Calibri" w:hAnsi="Calibri"/>
          <w:color w:val="auto"/>
          <w:sz w:val="24"/>
          <w:szCs w:val="24"/>
        </w:rPr>
        <w:t>.</w:t>
      </w:r>
    </w:p>
    <w:p w14:paraId="73D60788" w14:textId="77777777" w:rsidR="001F1DA0" w:rsidRPr="00FA2043" w:rsidRDefault="001F1DA0" w:rsidP="003D234E">
      <w:pPr>
        <w:contextualSpacing/>
        <w:rPr>
          <w:rStyle w:val="Hyperlink"/>
          <w:rFonts w:ascii="Calibri" w:hAnsi="Calibri"/>
          <w:color w:val="auto"/>
          <w:sz w:val="24"/>
          <w:szCs w:val="24"/>
        </w:rPr>
      </w:pPr>
    </w:p>
    <w:p w14:paraId="671C16AF" w14:textId="6B766A92" w:rsidR="00482249" w:rsidRPr="00FA2043" w:rsidRDefault="00482249" w:rsidP="00482249">
      <w:pPr>
        <w:rPr>
          <w:sz w:val="24"/>
          <w:szCs w:val="24"/>
        </w:rPr>
      </w:pPr>
      <w:r w:rsidRPr="00FA2043">
        <w:rPr>
          <w:sz w:val="24"/>
          <w:szCs w:val="24"/>
        </w:rPr>
        <w:t>Pertowski C. Lead Poisoning. From Data to Action: CDC’s Public Health Surveillance for Women, Infants, and Children. Atlanta, GA: U.S. Department of Health and Human Services. Pp 311-9. 1994.</w:t>
      </w:r>
    </w:p>
    <w:p w14:paraId="24B4B5C1" w14:textId="73981E52" w:rsidR="005368FC" w:rsidRPr="00AA2B8A" w:rsidRDefault="005368FC" w:rsidP="00482249">
      <w:pPr>
        <w:contextualSpacing/>
        <w:rPr>
          <w:rStyle w:val="Hyperlink"/>
          <w:rFonts w:ascii="Calibri" w:hAnsi="Calibri"/>
          <w:color w:val="auto"/>
          <w:sz w:val="24"/>
          <w:szCs w:val="24"/>
          <w:u w:val="none"/>
        </w:rPr>
      </w:pPr>
      <w:r w:rsidRPr="00482249">
        <w:rPr>
          <w:rStyle w:val="Hyperlink"/>
          <w:rFonts w:ascii="Calibri" w:hAnsi="Calibri"/>
          <w:color w:val="auto"/>
          <w:sz w:val="24"/>
          <w:szCs w:val="24"/>
          <w:u w:val="none"/>
        </w:rPr>
        <w:t>Wengrovitz AM, Brown MJ. Recommendations for Blood Lead Screening</w:t>
      </w:r>
      <w:r w:rsidRPr="00AA2B8A">
        <w:rPr>
          <w:rStyle w:val="Hyperlink"/>
          <w:rFonts w:ascii="Calibri" w:hAnsi="Calibri"/>
          <w:color w:val="auto"/>
          <w:sz w:val="24"/>
          <w:szCs w:val="24"/>
          <w:u w:val="none"/>
        </w:rPr>
        <w:t xml:space="preserve"> of Medicaid-eligible Children aged 1-5 Years: an Updated Approach to Targeting a Group at High Risk. </w:t>
      </w:r>
      <w:r w:rsidR="00FD51A5" w:rsidRPr="00AA2B8A">
        <w:rPr>
          <w:rFonts w:ascii="Calibri" w:hAnsi="Calibri" w:cs="Arial"/>
          <w:sz w:val="24"/>
          <w:szCs w:val="24"/>
        </w:rPr>
        <w:t>MMWR Morb Mortal Wkly Rep. 2009 Aug 7;58(RR09)</w:t>
      </w:r>
      <w:r w:rsidRPr="00AA2B8A">
        <w:rPr>
          <w:rStyle w:val="Hyperlink"/>
          <w:rFonts w:ascii="Calibri" w:hAnsi="Calibri"/>
          <w:color w:val="auto"/>
          <w:sz w:val="24"/>
          <w:szCs w:val="24"/>
          <w:u w:val="none"/>
        </w:rPr>
        <w:t xml:space="preserve">:1-11. </w:t>
      </w:r>
      <w:r w:rsidR="00FD51A5" w:rsidRPr="00AA2B8A">
        <w:rPr>
          <w:rStyle w:val="Hyperlink"/>
          <w:rFonts w:ascii="Calibri" w:hAnsi="Calibri"/>
          <w:color w:val="auto"/>
          <w:sz w:val="24"/>
          <w:szCs w:val="24"/>
          <w:u w:val="none"/>
        </w:rPr>
        <w:t xml:space="preserve">Accessed 01/30/2017 at </w:t>
      </w:r>
      <w:hyperlink r:id="rId61" w:history="1">
        <w:r w:rsidR="00FD51A5" w:rsidRPr="00AA2B8A">
          <w:rPr>
            <w:rStyle w:val="Hyperlink"/>
            <w:rFonts w:ascii="Calibri" w:hAnsi="Calibri"/>
            <w:color w:val="auto"/>
            <w:sz w:val="24"/>
            <w:szCs w:val="24"/>
          </w:rPr>
          <w:t>https://www.cdc.gov/mmwr/pdf/rr/rr5809.pdf</w:t>
        </w:r>
      </w:hyperlink>
      <w:r w:rsidR="00FD51A5" w:rsidRPr="00AA2B8A">
        <w:rPr>
          <w:rStyle w:val="Hyperlink"/>
          <w:rFonts w:ascii="Calibri" w:hAnsi="Calibri"/>
          <w:color w:val="auto"/>
          <w:sz w:val="24"/>
          <w:szCs w:val="24"/>
          <w:u w:val="none"/>
        </w:rPr>
        <w:t xml:space="preserve">. </w:t>
      </w:r>
    </w:p>
    <w:p w14:paraId="65038365" w14:textId="77777777" w:rsidR="00B86ACB" w:rsidRPr="00AA2B8A" w:rsidRDefault="00B86ACB" w:rsidP="003D234E">
      <w:pPr>
        <w:contextualSpacing/>
        <w:rPr>
          <w:rStyle w:val="Hyperlink"/>
          <w:rFonts w:ascii="Calibri" w:hAnsi="Calibri"/>
          <w:color w:val="auto"/>
          <w:sz w:val="24"/>
          <w:szCs w:val="24"/>
          <w:u w:val="none"/>
        </w:rPr>
      </w:pPr>
    </w:p>
    <w:p w14:paraId="40D072B5" w14:textId="77777777" w:rsidR="00B86ACB" w:rsidRPr="00AA2B8A" w:rsidRDefault="00B86ACB" w:rsidP="003D234E">
      <w:pPr>
        <w:contextualSpacing/>
        <w:rPr>
          <w:rFonts w:ascii="Calibri" w:hAnsi="Calibri" w:cs="Arial"/>
          <w:sz w:val="24"/>
          <w:szCs w:val="24"/>
        </w:rPr>
      </w:pPr>
      <w:r w:rsidRPr="00AA2B8A">
        <w:rPr>
          <w:rFonts w:ascii="Calibri" w:hAnsi="Calibri"/>
          <w:sz w:val="24"/>
          <w:szCs w:val="24"/>
        </w:rPr>
        <w:t xml:space="preserve">Wheeler W. </w:t>
      </w:r>
      <w:r w:rsidRPr="00AA2B8A">
        <w:rPr>
          <w:rFonts w:ascii="Calibri" w:hAnsi="Calibri" w:cs="Arial"/>
          <w:sz w:val="24"/>
          <w:szCs w:val="24"/>
        </w:rPr>
        <w:t xml:space="preserve">Blood lead levels in children aged 1-5 years - United States, 1999-2010. </w:t>
      </w:r>
      <w:hyperlink r:id="rId62" w:tooltip="MMWR. Morbidity and mortality weekly report." w:history="1">
        <w:r w:rsidRPr="00AA2B8A">
          <w:rPr>
            <w:rFonts w:ascii="Calibri" w:hAnsi="Calibri" w:cs="Arial"/>
            <w:sz w:val="24"/>
            <w:szCs w:val="24"/>
            <w:u w:val="single"/>
          </w:rPr>
          <w:t>MMWR Morb Mortal Wkly Rep.</w:t>
        </w:r>
      </w:hyperlink>
      <w:r w:rsidRPr="00AA2B8A">
        <w:rPr>
          <w:rFonts w:ascii="Calibri" w:hAnsi="Calibri" w:cs="Arial"/>
          <w:sz w:val="24"/>
          <w:szCs w:val="24"/>
        </w:rPr>
        <w:t xml:space="preserve"> 2013 Apr 5;62(13):245-8. Accessed 03/03/2017 at </w:t>
      </w:r>
      <w:hyperlink r:id="rId63" w:history="1">
        <w:r w:rsidRPr="00AA2B8A">
          <w:rPr>
            <w:rStyle w:val="Hyperlink"/>
            <w:rFonts w:ascii="Calibri" w:hAnsi="Calibri" w:cs="Arial"/>
            <w:color w:val="auto"/>
            <w:sz w:val="24"/>
            <w:szCs w:val="24"/>
          </w:rPr>
          <w:t>https://www.cdc.gov/mmwr/preview/mmwrhtml/mm6213a3.htm</w:t>
        </w:r>
      </w:hyperlink>
      <w:r w:rsidRPr="00AA2B8A">
        <w:rPr>
          <w:rFonts w:ascii="Calibri" w:hAnsi="Calibri" w:cs="Arial"/>
          <w:sz w:val="24"/>
          <w:szCs w:val="24"/>
        </w:rPr>
        <w:t xml:space="preserve">. </w:t>
      </w:r>
    </w:p>
    <w:p w14:paraId="75826FFA" w14:textId="77777777" w:rsidR="0092359D" w:rsidRPr="00D74E8E" w:rsidRDefault="0092359D" w:rsidP="004F1820">
      <w:pPr>
        <w:pStyle w:val="Default"/>
        <w:rPr>
          <w:rStyle w:val="Hyperlink"/>
          <w:rFonts w:asciiTheme="minorHAnsi" w:hAnsiTheme="minorHAnsi"/>
          <w:color w:val="auto"/>
        </w:rPr>
      </w:pPr>
    </w:p>
    <w:p w14:paraId="0C0E2FEE" w14:textId="77777777" w:rsidR="00AC3B3C" w:rsidRPr="00D74E8E" w:rsidRDefault="00AC3B3C" w:rsidP="004F1820">
      <w:pPr>
        <w:pStyle w:val="Default"/>
        <w:rPr>
          <w:rStyle w:val="Hyperlink"/>
          <w:rFonts w:asciiTheme="minorHAnsi" w:hAnsiTheme="minorHAnsi"/>
          <w:color w:val="auto"/>
        </w:rPr>
      </w:pPr>
    </w:p>
    <w:p w14:paraId="426C72AC" w14:textId="77777777" w:rsidR="00201D68" w:rsidRDefault="00201D68">
      <w:r>
        <w:br w:type="page"/>
      </w:r>
    </w:p>
    <w:tbl>
      <w:tblPr>
        <w:tblStyle w:val="TableGrid"/>
        <w:tblW w:w="0" w:type="auto"/>
        <w:tblLook w:val="04A0" w:firstRow="1" w:lastRow="0" w:firstColumn="1" w:lastColumn="0" w:noHBand="0" w:noVBand="1"/>
      </w:tblPr>
      <w:tblGrid>
        <w:gridCol w:w="9350"/>
      </w:tblGrid>
      <w:tr w:rsidR="00D74E8E" w:rsidRPr="00D74E8E" w14:paraId="0DB9DE59" w14:textId="77777777" w:rsidTr="00AC3B3C">
        <w:tc>
          <w:tcPr>
            <w:tcW w:w="9350" w:type="dxa"/>
          </w:tcPr>
          <w:p w14:paraId="0C435252" w14:textId="14BD6F88" w:rsidR="00AC3B3C" w:rsidRPr="00D74E8E" w:rsidRDefault="00AC3B3C" w:rsidP="00E12066">
            <w:pPr>
              <w:rPr>
                <w:b/>
                <w:u w:val="single"/>
              </w:rPr>
            </w:pPr>
            <w:r w:rsidRPr="00D74E8E">
              <w:rPr>
                <w:b/>
                <w:sz w:val="24"/>
                <w:szCs w:val="24"/>
                <w:u w:val="single"/>
              </w:rPr>
              <w:t>2014-201</w:t>
            </w:r>
            <w:r w:rsidR="00E12066">
              <w:rPr>
                <w:b/>
                <w:sz w:val="24"/>
                <w:szCs w:val="24"/>
                <w:u w:val="single"/>
              </w:rPr>
              <w:t>7</w:t>
            </w:r>
            <w:r w:rsidRPr="00D74E8E">
              <w:rPr>
                <w:b/>
                <w:sz w:val="24"/>
                <w:szCs w:val="24"/>
                <w:u w:val="single"/>
              </w:rPr>
              <w:t xml:space="preserve"> HHLPPP Publications (n=1</w:t>
            </w:r>
            <w:r w:rsidR="00E12066">
              <w:rPr>
                <w:b/>
                <w:sz w:val="24"/>
                <w:szCs w:val="24"/>
                <w:u w:val="single"/>
              </w:rPr>
              <w:t>7</w:t>
            </w:r>
            <w:r w:rsidRPr="00D74E8E">
              <w:rPr>
                <w:b/>
                <w:sz w:val="24"/>
                <w:szCs w:val="24"/>
                <w:u w:val="single"/>
              </w:rPr>
              <w:t>)</w:t>
            </w:r>
          </w:p>
        </w:tc>
      </w:tr>
      <w:tr w:rsidR="00D74E8E" w:rsidRPr="00D74E8E" w14:paraId="71429B96" w14:textId="77777777" w:rsidTr="00AC3B3C">
        <w:tc>
          <w:tcPr>
            <w:tcW w:w="9350" w:type="dxa"/>
          </w:tcPr>
          <w:p w14:paraId="34B36A04" w14:textId="77777777" w:rsidR="00AC3B3C" w:rsidRPr="00D74E8E" w:rsidRDefault="00AC3B3C" w:rsidP="00864E6C">
            <w:pPr>
              <w:spacing w:before="240"/>
              <w:rPr>
                <w:sz w:val="24"/>
                <w:szCs w:val="24"/>
              </w:rPr>
            </w:pPr>
            <w:r w:rsidRPr="00D74E8E">
              <w:rPr>
                <w:sz w:val="24"/>
                <w:szCs w:val="24"/>
              </w:rPr>
              <w:t>2014 (n=4)</w:t>
            </w:r>
          </w:p>
          <w:p w14:paraId="10D21961" w14:textId="77777777" w:rsidR="00060770" w:rsidRPr="00D74E8E" w:rsidRDefault="00060770" w:rsidP="00060770">
            <w:pPr>
              <w:rPr>
                <w:sz w:val="24"/>
                <w:szCs w:val="24"/>
              </w:rPr>
            </w:pPr>
          </w:p>
          <w:p w14:paraId="61F6EAE0" w14:textId="77777777" w:rsidR="00AC3B3C" w:rsidRPr="00D74E8E" w:rsidRDefault="00AC3B3C" w:rsidP="00AC3B3C">
            <w:pPr>
              <w:rPr>
                <w:sz w:val="24"/>
                <w:szCs w:val="24"/>
              </w:rPr>
            </w:pPr>
            <w:r w:rsidRPr="00D74E8E">
              <w:rPr>
                <w:sz w:val="24"/>
                <w:szCs w:val="24"/>
              </w:rPr>
              <w:t xml:space="preserve">Basir M, Umar-Tsafe N, Getso K, Kaita IM, Nasidi A, Sani-Gwarzo N, et al. Assessment of blood lead levels among children aged ≤5 Years — Zamfara State, Nigeria, June–July 2012. Morbid Mortal Wkly Rep. 2014;63(15):325-7. Available at </w:t>
            </w:r>
            <w:hyperlink r:id="rId64" w:history="1">
              <w:r w:rsidRPr="00D74E8E">
                <w:rPr>
                  <w:rStyle w:val="Hyperlink"/>
                  <w:color w:val="auto"/>
                  <w:sz w:val="24"/>
                  <w:szCs w:val="24"/>
                </w:rPr>
                <w:t>http://www.cdc.gov/mmwr/preview/mmwrhtml/mm6315a2.htm?s_cid=mm6315a2_e</w:t>
              </w:r>
            </w:hyperlink>
            <w:r w:rsidRPr="00D74E8E">
              <w:rPr>
                <w:sz w:val="24"/>
                <w:szCs w:val="24"/>
              </w:rPr>
              <w:t xml:space="preserve"> [</w:t>
            </w:r>
            <w:r w:rsidRPr="00D74E8E">
              <w:rPr>
                <w:b/>
                <w:bCs/>
                <w:sz w:val="24"/>
                <w:szCs w:val="24"/>
              </w:rPr>
              <w:t>Brown MJ</w:t>
            </w:r>
            <w:r w:rsidRPr="00D74E8E">
              <w:rPr>
                <w:sz w:val="24"/>
                <w:szCs w:val="24"/>
              </w:rPr>
              <w:t>].</w:t>
            </w:r>
          </w:p>
          <w:p w14:paraId="589D81E5" w14:textId="77777777" w:rsidR="00AC3B3C" w:rsidRPr="00D74E8E" w:rsidRDefault="00AC3B3C" w:rsidP="00AC3B3C">
            <w:pPr>
              <w:rPr>
                <w:b/>
                <w:bCs/>
                <w:sz w:val="24"/>
                <w:szCs w:val="24"/>
              </w:rPr>
            </w:pPr>
          </w:p>
          <w:p w14:paraId="2D8D04F6" w14:textId="77777777" w:rsidR="00AC3B3C" w:rsidRPr="00D74E8E" w:rsidRDefault="00AC3B3C" w:rsidP="00AC3B3C">
            <w:pPr>
              <w:rPr>
                <w:sz w:val="24"/>
                <w:szCs w:val="24"/>
              </w:rPr>
            </w:pPr>
            <w:r w:rsidRPr="00D74E8E">
              <w:rPr>
                <w:b/>
                <w:bCs/>
                <w:sz w:val="24"/>
                <w:szCs w:val="24"/>
              </w:rPr>
              <w:t>Ponder-Brookins P</w:t>
            </w:r>
            <w:r w:rsidRPr="00D74E8E">
              <w:rPr>
                <w:sz w:val="24"/>
                <w:szCs w:val="24"/>
              </w:rPr>
              <w:t xml:space="preserve">, </w:t>
            </w:r>
            <w:r w:rsidRPr="00D74E8E">
              <w:rPr>
                <w:b/>
                <w:bCs/>
                <w:sz w:val="24"/>
                <w:szCs w:val="24"/>
              </w:rPr>
              <w:t>Witt J</w:t>
            </w:r>
            <w:r w:rsidRPr="00D74E8E">
              <w:rPr>
                <w:sz w:val="24"/>
                <w:szCs w:val="24"/>
              </w:rPr>
              <w:t xml:space="preserve">, Steward J, Greenwell D, </w:t>
            </w:r>
            <w:r w:rsidRPr="00D74E8E">
              <w:rPr>
                <w:b/>
                <w:bCs/>
                <w:sz w:val="24"/>
                <w:szCs w:val="24"/>
              </w:rPr>
              <w:t>Chew GL</w:t>
            </w:r>
            <w:r w:rsidRPr="00D74E8E">
              <w:rPr>
                <w:sz w:val="24"/>
                <w:szCs w:val="24"/>
              </w:rPr>
              <w:t>, Samuel Y, et al. Incorporating community-based participatory research principles into environmental health research: challenges and lessons learned from a housing pilot study. J Environ Health. 2014;76(10):8-17. [</w:t>
            </w:r>
            <w:r w:rsidRPr="00D74E8E">
              <w:rPr>
                <w:b/>
                <w:bCs/>
                <w:sz w:val="24"/>
                <w:szCs w:val="24"/>
              </w:rPr>
              <w:t>Kennedy C</w:t>
            </w:r>
            <w:r w:rsidRPr="00D74E8E">
              <w:rPr>
                <w:sz w:val="24"/>
                <w:szCs w:val="24"/>
              </w:rPr>
              <w:t xml:space="preserve">, </w:t>
            </w:r>
            <w:r w:rsidRPr="00D74E8E">
              <w:rPr>
                <w:b/>
                <w:bCs/>
                <w:sz w:val="24"/>
                <w:szCs w:val="24"/>
              </w:rPr>
              <w:t>Brown, MJ</w:t>
            </w:r>
            <w:r w:rsidRPr="00D74E8E">
              <w:rPr>
                <w:sz w:val="24"/>
                <w:szCs w:val="24"/>
              </w:rPr>
              <w:t xml:space="preserve">] Available at </w:t>
            </w:r>
            <w:hyperlink r:id="rId65" w:history="1">
              <w:r w:rsidRPr="00D74E8E">
                <w:rPr>
                  <w:rStyle w:val="Hyperlink"/>
                  <w:color w:val="auto"/>
                  <w:sz w:val="24"/>
                  <w:szCs w:val="24"/>
                </w:rPr>
                <w:t>https://www.ncbi.nlm.nih.gov/pubmed/24988659</w:t>
              </w:r>
            </w:hyperlink>
            <w:r w:rsidRPr="00D74E8E">
              <w:rPr>
                <w:sz w:val="24"/>
                <w:szCs w:val="24"/>
              </w:rPr>
              <w:t xml:space="preserve"> </w:t>
            </w:r>
          </w:p>
          <w:p w14:paraId="160411E2" w14:textId="77777777" w:rsidR="00AC3B3C" w:rsidRPr="00D74E8E" w:rsidRDefault="00AC3B3C" w:rsidP="00AC3B3C">
            <w:pPr>
              <w:rPr>
                <w:sz w:val="24"/>
                <w:szCs w:val="24"/>
              </w:rPr>
            </w:pPr>
          </w:p>
          <w:p w14:paraId="352ECDA4" w14:textId="77777777" w:rsidR="00AC3B3C" w:rsidRPr="00D74E8E" w:rsidRDefault="00AC3B3C" w:rsidP="00AC3B3C">
            <w:pPr>
              <w:rPr>
                <w:sz w:val="24"/>
                <w:szCs w:val="24"/>
              </w:rPr>
            </w:pPr>
            <w:r w:rsidRPr="00D74E8E">
              <w:rPr>
                <w:b/>
                <w:bCs/>
                <w:sz w:val="24"/>
                <w:szCs w:val="24"/>
              </w:rPr>
              <w:t xml:space="preserve">Raymond J, Wheeler W, Brown MJ. </w:t>
            </w:r>
            <w:r w:rsidRPr="00D74E8E">
              <w:rPr>
                <w:sz w:val="24"/>
                <w:szCs w:val="24"/>
              </w:rPr>
              <w:t xml:space="preserve">Lead screening and prevalence of blood lead levels in children aged 1–2 years—Child Blood Lead Surveillance System, United States, 2002–2010 and National Health and Nutrition Examination Survey, United States, 1999–2010 and National Health and Nutrition Examination Survey, United States, 1999–2010. In: Use of selected clinical preventive services to improve the health of infants, children, and adolescents—United States, 1999–2011. MMWR 2014;63(Suppl 2). Available at </w:t>
            </w:r>
            <w:hyperlink r:id="rId66" w:history="1">
              <w:r w:rsidRPr="00D74E8E">
                <w:rPr>
                  <w:rStyle w:val="Hyperlink"/>
                  <w:color w:val="auto"/>
                  <w:sz w:val="24"/>
                  <w:szCs w:val="24"/>
                </w:rPr>
                <w:t>http://www.cdc.gov/mmwr/preview/mmwrhtml/su6302a6.htm</w:t>
              </w:r>
            </w:hyperlink>
            <w:r w:rsidRPr="00D74E8E">
              <w:rPr>
                <w:sz w:val="24"/>
                <w:szCs w:val="24"/>
              </w:rPr>
              <w:t xml:space="preserve">. </w:t>
            </w:r>
          </w:p>
          <w:p w14:paraId="5F93CB71" w14:textId="77777777" w:rsidR="00AC3B3C" w:rsidRPr="00D74E8E" w:rsidRDefault="00AC3B3C" w:rsidP="00AC3B3C">
            <w:pPr>
              <w:rPr>
                <w:sz w:val="24"/>
                <w:szCs w:val="24"/>
              </w:rPr>
            </w:pPr>
          </w:p>
          <w:p w14:paraId="598D845F" w14:textId="77777777" w:rsidR="00AC3B3C" w:rsidRPr="00D74E8E" w:rsidRDefault="00AC3B3C" w:rsidP="00AC3B3C">
            <w:pPr>
              <w:pStyle w:val="Default"/>
              <w:rPr>
                <w:rStyle w:val="Hyperlink"/>
                <w:rFonts w:asciiTheme="minorHAnsi" w:hAnsiTheme="minorHAnsi"/>
                <w:color w:val="auto"/>
              </w:rPr>
            </w:pPr>
            <w:r w:rsidRPr="00D74E8E">
              <w:rPr>
                <w:rFonts w:asciiTheme="minorHAnsi" w:hAnsiTheme="minorHAnsi"/>
                <w:color w:val="auto"/>
              </w:rPr>
              <w:t xml:space="preserve">Thurtle N, Greig J, Cooney L, Amitai Y, Ariti C, </w:t>
            </w:r>
            <w:r w:rsidRPr="00D74E8E">
              <w:rPr>
                <w:rFonts w:asciiTheme="minorHAnsi" w:hAnsiTheme="minorHAnsi"/>
                <w:b/>
                <w:bCs/>
                <w:color w:val="auto"/>
              </w:rPr>
              <w:t>Brown MJ</w:t>
            </w:r>
            <w:r w:rsidRPr="00D74E8E">
              <w:rPr>
                <w:rFonts w:asciiTheme="minorHAnsi" w:hAnsiTheme="minorHAnsi"/>
                <w:color w:val="auto"/>
              </w:rPr>
              <w:t xml:space="preserve">, et al. Description of 3,180 courses of chelation with dimercaptosuccinic acid in children ≤5 y with severe lead poisoning in Zamfara, Northern Nigeria: A retrospective analysis of programme data. PLoS Med 11(10): e1001739. Available at </w:t>
            </w:r>
            <w:hyperlink r:id="rId67" w:history="1">
              <w:r w:rsidRPr="00D74E8E">
                <w:rPr>
                  <w:rStyle w:val="Hyperlink"/>
                  <w:rFonts w:asciiTheme="minorHAnsi" w:hAnsiTheme="minorHAnsi"/>
                  <w:color w:val="auto"/>
                </w:rPr>
                <w:t>http://journals.plos.org/plosmedicine/article?id=10.1371/journal.pmed.1001739</w:t>
              </w:r>
            </w:hyperlink>
          </w:p>
          <w:p w14:paraId="2E93A58B" w14:textId="43F0971A" w:rsidR="000E7633" w:rsidRPr="00D74E8E" w:rsidRDefault="000E7633" w:rsidP="00AC3B3C">
            <w:pPr>
              <w:pStyle w:val="Default"/>
              <w:rPr>
                <w:rFonts w:asciiTheme="minorHAnsi" w:hAnsiTheme="minorHAnsi"/>
                <w:color w:val="auto"/>
              </w:rPr>
            </w:pPr>
          </w:p>
        </w:tc>
      </w:tr>
      <w:tr w:rsidR="00D74E8E" w:rsidRPr="00D74E8E" w14:paraId="782F76DC" w14:textId="77777777" w:rsidTr="00AC3B3C">
        <w:tc>
          <w:tcPr>
            <w:tcW w:w="9350" w:type="dxa"/>
          </w:tcPr>
          <w:p w14:paraId="5EE56045" w14:textId="77777777" w:rsidR="00AC3B3C" w:rsidRPr="00D74E8E" w:rsidRDefault="00AC3B3C" w:rsidP="00864E6C">
            <w:pPr>
              <w:spacing w:before="240"/>
              <w:rPr>
                <w:sz w:val="24"/>
                <w:szCs w:val="24"/>
              </w:rPr>
            </w:pPr>
            <w:r w:rsidRPr="00D74E8E">
              <w:rPr>
                <w:sz w:val="24"/>
                <w:szCs w:val="24"/>
              </w:rPr>
              <w:t>2015 (n=6)</w:t>
            </w:r>
          </w:p>
          <w:p w14:paraId="20AB292F" w14:textId="77777777" w:rsidR="00AC3B3C" w:rsidRPr="00D74E8E" w:rsidRDefault="00AC3B3C" w:rsidP="00AC3B3C">
            <w:pPr>
              <w:rPr>
                <w:sz w:val="24"/>
                <w:szCs w:val="24"/>
              </w:rPr>
            </w:pPr>
          </w:p>
          <w:p w14:paraId="6157BC0D" w14:textId="77777777" w:rsidR="00AC3B3C" w:rsidRPr="00D74E8E" w:rsidRDefault="00AC3B3C" w:rsidP="00AC3B3C">
            <w:pPr>
              <w:autoSpaceDE w:val="0"/>
              <w:autoSpaceDN w:val="0"/>
              <w:adjustRightInd w:val="0"/>
              <w:rPr>
                <w:rFonts w:ascii="Calibri" w:hAnsi="Calibri" w:cs="Calibri"/>
                <w:sz w:val="24"/>
                <w:szCs w:val="24"/>
              </w:rPr>
            </w:pPr>
            <w:r w:rsidRPr="00D74E8E">
              <w:rPr>
                <w:rFonts w:ascii="Calibri" w:hAnsi="Calibri" w:cs="Calibri"/>
                <w:sz w:val="24"/>
                <w:szCs w:val="24"/>
              </w:rPr>
              <w:t>Educational Services for Children Affected by Lead Expert Panel. Educational interventions for children affected by lead. Atlanta: U.S. Department of Health and Human Services; 2015 [</w:t>
            </w:r>
            <w:r w:rsidRPr="00D74E8E">
              <w:rPr>
                <w:rFonts w:ascii="Calibri" w:hAnsi="Calibri" w:cs="Calibri"/>
                <w:b/>
                <w:bCs/>
                <w:sz w:val="24"/>
                <w:szCs w:val="24"/>
              </w:rPr>
              <w:t>Brown MJ</w:t>
            </w:r>
            <w:r w:rsidRPr="00D74E8E">
              <w:rPr>
                <w:rFonts w:ascii="Calibri" w:hAnsi="Calibri" w:cs="Calibri"/>
                <w:sz w:val="24"/>
                <w:szCs w:val="24"/>
              </w:rPr>
              <w:t xml:space="preserve">]. This publication is being used by numerous health agencies to collaborate and share with local Head Starts and school departments and education leaders. </w:t>
            </w:r>
          </w:p>
          <w:p w14:paraId="7DD61F9A" w14:textId="77777777" w:rsidR="00AC3B3C" w:rsidRPr="00D74E8E" w:rsidRDefault="00AC3B3C" w:rsidP="00AC3B3C">
            <w:pPr>
              <w:autoSpaceDE w:val="0"/>
              <w:autoSpaceDN w:val="0"/>
              <w:adjustRightInd w:val="0"/>
              <w:rPr>
                <w:rFonts w:ascii="Calibri" w:hAnsi="Calibri" w:cs="Calibri"/>
                <w:sz w:val="24"/>
                <w:szCs w:val="24"/>
              </w:rPr>
            </w:pPr>
          </w:p>
          <w:p w14:paraId="1A8751D5" w14:textId="77777777" w:rsidR="00AC3B3C" w:rsidRPr="00D74E8E" w:rsidRDefault="00AC3B3C" w:rsidP="00AC3B3C">
            <w:pPr>
              <w:autoSpaceDE w:val="0"/>
              <w:autoSpaceDN w:val="0"/>
              <w:adjustRightInd w:val="0"/>
              <w:rPr>
                <w:rFonts w:ascii="Calibri" w:hAnsi="Calibri" w:cs="Calibri"/>
                <w:sz w:val="24"/>
                <w:szCs w:val="24"/>
              </w:rPr>
            </w:pPr>
            <w:r w:rsidRPr="00D74E8E">
              <w:rPr>
                <w:rFonts w:ascii="Calibri" w:hAnsi="Calibri" w:cs="Calibri"/>
                <w:sz w:val="24"/>
                <w:szCs w:val="24"/>
              </w:rPr>
              <w:t>Childhood Blood Lead Surveillance System (CBLS) 2014 data on the lead website.</w:t>
            </w:r>
          </w:p>
          <w:p w14:paraId="545B07A8" w14:textId="77777777" w:rsidR="00AC3B3C" w:rsidRPr="00D74E8E" w:rsidRDefault="00AC3B3C" w:rsidP="00AC3B3C">
            <w:pPr>
              <w:autoSpaceDE w:val="0"/>
              <w:autoSpaceDN w:val="0"/>
              <w:adjustRightInd w:val="0"/>
              <w:rPr>
                <w:rFonts w:ascii="Calibri" w:hAnsi="Calibri" w:cs="Calibri"/>
                <w:sz w:val="24"/>
                <w:szCs w:val="24"/>
              </w:rPr>
            </w:pPr>
            <w:r w:rsidRPr="00D74E8E">
              <w:rPr>
                <w:rFonts w:ascii="Calibri" w:hAnsi="Calibri" w:cs="Calibri"/>
                <w:sz w:val="24"/>
                <w:szCs w:val="24"/>
              </w:rPr>
              <w:t xml:space="preserve"> </w:t>
            </w:r>
          </w:p>
          <w:p w14:paraId="4341A979" w14:textId="77777777" w:rsidR="00AC3B3C" w:rsidRPr="00D74E8E" w:rsidRDefault="00AC3B3C" w:rsidP="00AC3B3C">
            <w:pPr>
              <w:autoSpaceDE w:val="0"/>
              <w:autoSpaceDN w:val="0"/>
              <w:adjustRightInd w:val="0"/>
              <w:rPr>
                <w:rFonts w:ascii="Calibri" w:hAnsi="Calibri" w:cs="Calibri"/>
                <w:sz w:val="24"/>
                <w:szCs w:val="24"/>
              </w:rPr>
            </w:pPr>
            <w:r w:rsidRPr="00D74E8E">
              <w:rPr>
                <w:rFonts w:ascii="Calibri" w:hAnsi="Calibri" w:cs="Calibri"/>
                <w:b/>
                <w:bCs/>
                <w:sz w:val="24"/>
                <w:szCs w:val="24"/>
              </w:rPr>
              <w:t xml:space="preserve">Mason J, Wheeler W, Brown MJ. </w:t>
            </w:r>
            <w:r w:rsidRPr="00D74E8E">
              <w:rPr>
                <w:rFonts w:ascii="Calibri" w:hAnsi="Calibri" w:cs="Calibri"/>
                <w:sz w:val="24"/>
                <w:szCs w:val="24"/>
              </w:rPr>
              <w:t xml:space="preserve">The economic burden of exposure to secondhand smoke for child and adult never smokers residing in U.S. public housing. Public Health Rep. 2015 130(3):230–44. This publication was mentioned on NPR as validation for HUD smoke‐free activities in public housing. </w:t>
            </w:r>
          </w:p>
          <w:p w14:paraId="490F60F2" w14:textId="77777777" w:rsidR="00AC3B3C" w:rsidRPr="00D74E8E" w:rsidRDefault="00AC3B3C" w:rsidP="00AC3B3C">
            <w:pPr>
              <w:autoSpaceDE w:val="0"/>
              <w:autoSpaceDN w:val="0"/>
              <w:adjustRightInd w:val="0"/>
              <w:rPr>
                <w:rFonts w:ascii="Calibri" w:hAnsi="Calibri" w:cs="Calibri"/>
                <w:sz w:val="24"/>
                <w:szCs w:val="24"/>
              </w:rPr>
            </w:pPr>
          </w:p>
          <w:p w14:paraId="6E070385" w14:textId="77777777" w:rsidR="00AC3B3C" w:rsidRPr="00D74E8E" w:rsidRDefault="00AC3B3C" w:rsidP="00AC3B3C">
            <w:pPr>
              <w:autoSpaceDE w:val="0"/>
              <w:autoSpaceDN w:val="0"/>
              <w:adjustRightInd w:val="0"/>
              <w:rPr>
                <w:rFonts w:ascii="Calibri" w:hAnsi="Calibri" w:cs="Calibri"/>
                <w:sz w:val="24"/>
                <w:szCs w:val="24"/>
              </w:rPr>
            </w:pPr>
            <w:r w:rsidRPr="00D74E8E">
              <w:rPr>
                <w:rFonts w:ascii="Calibri" w:hAnsi="Calibri" w:cs="Calibri"/>
                <w:b/>
                <w:bCs/>
                <w:sz w:val="24"/>
                <w:szCs w:val="24"/>
              </w:rPr>
              <w:t xml:space="preserve">Raymond J, Brown MJ. </w:t>
            </w:r>
            <w:r w:rsidRPr="00D74E8E">
              <w:rPr>
                <w:rFonts w:ascii="Calibri" w:hAnsi="Calibri" w:cs="Calibri"/>
                <w:sz w:val="24"/>
                <w:szCs w:val="24"/>
              </w:rPr>
              <w:t xml:space="preserve">Childhood blood lead levels—United States, 2007–2012. MMWR Morb Mortal Wkly Rep 2015;62(54):76‐80. Errata in: MMWR Morb Mortal Wkly Rep 2015;42(45):1277. </w:t>
            </w:r>
          </w:p>
          <w:p w14:paraId="1E1EFCD4" w14:textId="77777777" w:rsidR="00AC3B3C" w:rsidRPr="00D74E8E" w:rsidRDefault="00AC3B3C" w:rsidP="00AC3B3C">
            <w:pPr>
              <w:autoSpaceDE w:val="0"/>
              <w:autoSpaceDN w:val="0"/>
              <w:adjustRightInd w:val="0"/>
              <w:rPr>
                <w:rFonts w:ascii="Calibri" w:hAnsi="Calibri" w:cs="Calibri"/>
                <w:sz w:val="24"/>
                <w:szCs w:val="24"/>
              </w:rPr>
            </w:pPr>
          </w:p>
          <w:p w14:paraId="25D62011" w14:textId="45FBFA59" w:rsidR="00AC3B3C" w:rsidRPr="00D74E8E" w:rsidRDefault="00AC3B3C" w:rsidP="00AC3B3C">
            <w:pPr>
              <w:autoSpaceDE w:val="0"/>
              <w:autoSpaceDN w:val="0"/>
              <w:adjustRightInd w:val="0"/>
              <w:rPr>
                <w:rFonts w:ascii="Calibri" w:hAnsi="Calibri" w:cs="Calibri"/>
                <w:sz w:val="24"/>
                <w:szCs w:val="24"/>
              </w:rPr>
            </w:pPr>
            <w:r w:rsidRPr="00D74E8E">
              <w:rPr>
                <w:rFonts w:ascii="Calibri" w:hAnsi="Calibri" w:cs="Calibri"/>
                <w:b/>
                <w:bCs/>
                <w:sz w:val="24"/>
                <w:szCs w:val="24"/>
              </w:rPr>
              <w:t>Kennedy C</w:t>
            </w:r>
            <w:r w:rsidRPr="00D74E8E">
              <w:rPr>
                <w:rFonts w:ascii="Calibri" w:hAnsi="Calibri" w:cs="Calibri"/>
                <w:sz w:val="24"/>
                <w:szCs w:val="24"/>
              </w:rPr>
              <w:t xml:space="preserve">, Lordo R, Sucosky MS, Boehm R, </w:t>
            </w:r>
            <w:r w:rsidRPr="00D74E8E">
              <w:rPr>
                <w:rFonts w:ascii="Calibri" w:hAnsi="Calibri" w:cs="Calibri"/>
                <w:b/>
                <w:bCs/>
                <w:sz w:val="24"/>
                <w:szCs w:val="24"/>
              </w:rPr>
              <w:t>Brown MJ</w:t>
            </w:r>
            <w:r w:rsidRPr="00D74E8E">
              <w:rPr>
                <w:rFonts w:ascii="Calibri" w:hAnsi="Calibri" w:cs="Calibri"/>
                <w:sz w:val="24"/>
                <w:szCs w:val="24"/>
              </w:rPr>
              <w:t xml:space="preserve">. Evaluating the effectiveness of state specific lead‐based paint hazard risk reduction laws in preventing recurring incidences of lead poisoning in children. Int J Hyg Environ Health. 2016;219(1):110–7. Epub 2015 Oct 9. </w:t>
            </w:r>
          </w:p>
          <w:p w14:paraId="6EBFF787" w14:textId="77777777" w:rsidR="003D234E" w:rsidRPr="00D74E8E" w:rsidRDefault="003D234E" w:rsidP="00AC3B3C">
            <w:pPr>
              <w:autoSpaceDE w:val="0"/>
              <w:autoSpaceDN w:val="0"/>
              <w:adjustRightInd w:val="0"/>
              <w:rPr>
                <w:rFonts w:ascii="Calibri" w:hAnsi="Calibri" w:cs="Calibri"/>
                <w:sz w:val="24"/>
                <w:szCs w:val="24"/>
              </w:rPr>
            </w:pPr>
          </w:p>
          <w:p w14:paraId="57EA7B6A" w14:textId="77777777" w:rsidR="00AC3B3C" w:rsidRPr="00D74E8E" w:rsidRDefault="00AC3B3C" w:rsidP="003D234E">
            <w:pPr>
              <w:rPr>
                <w:sz w:val="24"/>
                <w:szCs w:val="24"/>
              </w:rPr>
            </w:pPr>
            <w:r w:rsidRPr="00D74E8E">
              <w:rPr>
                <w:b/>
                <w:bCs/>
                <w:sz w:val="24"/>
                <w:szCs w:val="24"/>
              </w:rPr>
              <w:t>Dignam T</w:t>
            </w:r>
            <w:r w:rsidRPr="00D74E8E">
              <w:rPr>
                <w:sz w:val="24"/>
                <w:szCs w:val="24"/>
              </w:rPr>
              <w:t xml:space="preserve">, García BR, De León M, </w:t>
            </w:r>
            <w:r w:rsidRPr="00D74E8E">
              <w:rPr>
                <w:b/>
                <w:bCs/>
                <w:sz w:val="24"/>
                <w:szCs w:val="24"/>
              </w:rPr>
              <w:t>Curtis G</w:t>
            </w:r>
            <w:r w:rsidRPr="00D74E8E">
              <w:rPr>
                <w:sz w:val="24"/>
                <w:szCs w:val="24"/>
              </w:rPr>
              <w:t>, Creanga AA, Azofeifa A, et al. Prevalence of Elevated Blood Lead Levels and Risk Factors Among Residents Younger Than 6 Years, Puerto Rico‐2010. J Public Health Manag Pract. 2016;22(1):E22–35. doi: 10.1097/PHH.0000000000000224. [</w:t>
            </w:r>
            <w:r w:rsidRPr="00D74E8E">
              <w:rPr>
                <w:b/>
                <w:bCs/>
                <w:sz w:val="24"/>
                <w:szCs w:val="24"/>
              </w:rPr>
              <w:t>Kennedy C, Brown MJ</w:t>
            </w:r>
            <w:r w:rsidRPr="00D74E8E">
              <w:rPr>
                <w:sz w:val="24"/>
                <w:szCs w:val="24"/>
              </w:rPr>
              <w:t xml:space="preserve">] </w:t>
            </w:r>
          </w:p>
          <w:p w14:paraId="2357BE62" w14:textId="61695191" w:rsidR="000E7633" w:rsidRPr="00D74E8E" w:rsidRDefault="000E7633" w:rsidP="000E7633"/>
        </w:tc>
      </w:tr>
      <w:tr w:rsidR="00AC3B3C" w:rsidRPr="00D74E8E" w14:paraId="4029ED9C" w14:textId="77777777" w:rsidTr="00AC3B3C">
        <w:tc>
          <w:tcPr>
            <w:tcW w:w="9350" w:type="dxa"/>
          </w:tcPr>
          <w:p w14:paraId="031B215B" w14:textId="77777777" w:rsidR="00AC3B3C" w:rsidRPr="00CA1321" w:rsidRDefault="00AC3B3C" w:rsidP="00B21671">
            <w:pPr>
              <w:rPr>
                <w:sz w:val="24"/>
                <w:szCs w:val="24"/>
              </w:rPr>
            </w:pPr>
            <w:r w:rsidRPr="00CA1321">
              <w:rPr>
                <w:sz w:val="24"/>
                <w:szCs w:val="24"/>
              </w:rPr>
              <w:t>2016 (n=6)</w:t>
            </w:r>
          </w:p>
          <w:p w14:paraId="42DB4D77" w14:textId="77777777" w:rsidR="00AC3B3C" w:rsidRPr="00D74E8E" w:rsidRDefault="00AC3B3C" w:rsidP="00AC3B3C"/>
          <w:p w14:paraId="7237AAEB" w14:textId="77777777" w:rsidR="00AC3B3C" w:rsidRPr="00D74E8E" w:rsidRDefault="00AC3B3C" w:rsidP="00AC3B3C">
            <w:pPr>
              <w:autoSpaceDE w:val="0"/>
              <w:autoSpaceDN w:val="0"/>
              <w:adjustRightInd w:val="0"/>
              <w:rPr>
                <w:rFonts w:ascii="Calibri" w:hAnsi="Calibri" w:cs="Calibri"/>
                <w:sz w:val="24"/>
                <w:szCs w:val="24"/>
              </w:rPr>
            </w:pPr>
            <w:r w:rsidRPr="00D74E8E">
              <w:rPr>
                <w:rFonts w:ascii="Calibri" w:hAnsi="Calibri" w:cs="Calibri"/>
                <w:sz w:val="24"/>
                <w:szCs w:val="24"/>
              </w:rPr>
              <w:t xml:space="preserve">Childhood Blood Lead Surveillance System (CBLS) 2015 data on the lead website. </w:t>
            </w:r>
          </w:p>
          <w:p w14:paraId="5CA4DE4C" w14:textId="77777777" w:rsidR="00AC3B3C" w:rsidRPr="00D74E8E" w:rsidRDefault="00AC3B3C" w:rsidP="00AC3B3C">
            <w:pPr>
              <w:autoSpaceDE w:val="0"/>
              <w:autoSpaceDN w:val="0"/>
              <w:adjustRightInd w:val="0"/>
              <w:rPr>
                <w:rFonts w:ascii="Calibri" w:hAnsi="Calibri" w:cs="Calibri"/>
                <w:sz w:val="24"/>
                <w:szCs w:val="24"/>
              </w:rPr>
            </w:pPr>
          </w:p>
          <w:p w14:paraId="3BF0FD39" w14:textId="77777777" w:rsidR="00AC3B3C" w:rsidRPr="00D74E8E" w:rsidRDefault="00AC3B3C" w:rsidP="00AC3B3C">
            <w:pPr>
              <w:autoSpaceDE w:val="0"/>
              <w:autoSpaceDN w:val="0"/>
              <w:adjustRightInd w:val="0"/>
              <w:rPr>
                <w:rFonts w:ascii="Calibri" w:hAnsi="Calibri" w:cs="Calibri"/>
                <w:sz w:val="24"/>
                <w:szCs w:val="24"/>
              </w:rPr>
            </w:pPr>
            <w:r w:rsidRPr="00D74E8E">
              <w:rPr>
                <w:rFonts w:ascii="Calibri" w:hAnsi="Calibri" w:cs="Calibri"/>
                <w:b/>
                <w:bCs/>
                <w:sz w:val="24"/>
                <w:szCs w:val="24"/>
              </w:rPr>
              <w:t>Dignam T</w:t>
            </w:r>
            <w:r w:rsidRPr="00D74E8E">
              <w:rPr>
                <w:rFonts w:ascii="Calibri" w:hAnsi="Calibri" w:cs="Calibri"/>
                <w:sz w:val="24"/>
                <w:szCs w:val="24"/>
              </w:rPr>
              <w:t>, García BR, De León M, Curtis G, Creanga AA, Azofeifa A, et al. Prevalence of elevated blood lead levels and risk factors among residents younger than 6 years, Puerto Rico-2010. J Public Health Manag Pract. 2016;22(1):E22–35. [</w:t>
            </w:r>
            <w:r w:rsidRPr="00D74E8E">
              <w:rPr>
                <w:rFonts w:ascii="Calibri" w:hAnsi="Calibri" w:cs="Calibri"/>
                <w:b/>
                <w:bCs/>
                <w:sz w:val="24"/>
                <w:szCs w:val="24"/>
              </w:rPr>
              <w:t>Kennedy C, Brown MJ</w:t>
            </w:r>
            <w:r w:rsidRPr="00D74E8E">
              <w:rPr>
                <w:rFonts w:ascii="Calibri" w:hAnsi="Calibri" w:cs="Calibri"/>
                <w:sz w:val="24"/>
                <w:szCs w:val="24"/>
              </w:rPr>
              <w:t xml:space="preserve">]. </w:t>
            </w:r>
          </w:p>
          <w:p w14:paraId="272F57F7" w14:textId="77777777" w:rsidR="00AC3B3C" w:rsidRPr="00D74E8E" w:rsidRDefault="00AC3B3C" w:rsidP="00AC3B3C">
            <w:pPr>
              <w:autoSpaceDE w:val="0"/>
              <w:autoSpaceDN w:val="0"/>
              <w:adjustRightInd w:val="0"/>
              <w:rPr>
                <w:rFonts w:ascii="Calibri" w:hAnsi="Calibri" w:cs="Calibri"/>
                <w:sz w:val="24"/>
                <w:szCs w:val="24"/>
              </w:rPr>
            </w:pPr>
          </w:p>
          <w:p w14:paraId="5E4E538E" w14:textId="77777777" w:rsidR="00AC3B3C" w:rsidRPr="00D74E8E" w:rsidRDefault="00AC3B3C" w:rsidP="00AC3B3C">
            <w:pPr>
              <w:autoSpaceDE w:val="0"/>
              <w:autoSpaceDN w:val="0"/>
              <w:adjustRightInd w:val="0"/>
              <w:rPr>
                <w:rFonts w:ascii="Calibri" w:hAnsi="Calibri" w:cs="Calibri"/>
                <w:sz w:val="24"/>
                <w:szCs w:val="24"/>
              </w:rPr>
            </w:pPr>
            <w:r w:rsidRPr="00D74E8E">
              <w:rPr>
                <w:rFonts w:ascii="Calibri" w:hAnsi="Calibri" w:cs="Calibri"/>
                <w:sz w:val="24"/>
                <w:szCs w:val="24"/>
              </w:rPr>
              <w:t xml:space="preserve">Kaufman JA, </w:t>
            </w:r>
            <w:r w:rsidRPr="00D74E8E">
              <w:rPr>
                <w:rFonts w:ascii="Calibri" w:hAnsi="Calibri" w:cs="Calibri"/>
                <w:b/>
                <w:bCs/>
                <w:sz w:val="24"/>
                <w:szCs w:val="24"/>
              </w:rPr>
              <w:t>Brown MJ</w:t>
            </w:r>
            <w:r w:rsidRPr="00D74E8E">
              <w:rPr>
                <w:rFonts w:ascii="Calibri" w:hAnsi="Calibri" w:cs="Calibri"/>
                <w:sz w:val="24"/>
                <w:szCs w:val="24"/>
              </w:rPr>
              <w:t xml:space="preserve">, Umar-Tsafe NT, Adbullah MB, Getso KI, Kaita IM, et al. Prevalence and risk factors of elevated blood lead in children in gold ore processing communities, Zamfara, Nigeria, 2012. J Health Pollut. 2016;6(11):2–8. </w:t>
            </w:r>
          </w:p>
          <w:p w14:paraId="7DE84A98" w14:textId="77777777" w:rsidR="00AC3B3C" w:rsidRPr="00D74E8E" w:rsidRDefault="00AC3B3C" w:rsidP="00AC3B3C">
            <w:pPr>
              <w:autoSpaceDE w:val="0"/>
              <w:autoSpaceDN w:val="0"/>
              <w:adjustRightInd w:val="0"/>
              <w:rPr>
                <w:rFonts w:ascii="Calibri" w:hAnsi="Calibri" w:cs="Calibri"/>
                <w:sz w:val="24"/>
                <w:szCs w:val="24"/>
              </w:rPr>
            </w:pPr>
          </w:p>
          <w:p w14:paraId="5382AB85" w14:textId="77777777" w:rsidR="00AC3B3C" w:rsidRPr="00D74E8E" w:rsidRDefault="00AC3B3C" w:rsidP="00AC3B3C">
            <w:pPr>
              <w:autoSpaceDE w:val="0"/>
              <w:autoSpaceDN w:val="0"/>
              <w:adjustRightInd w:val="0"/>
              <w:rPr>
                <w:rFonts w:ascii="Calibri" w:hAnsi="Calibri" w:cs="Calibri"/>
                <w:sz w:val="24"/>
                <w:szCs w:val="24"/>
              </w:rPr>
            </w:pPr>
            <w:r w:rsidRPr="00D74E8E">
              <w:rPr>
                <w:rFonts w:ascii="Calibri" w:hAnsi="Calibri" w:cs="Calibri"/>
                <w:b/>
                <w:bCs/>
                <w:sz w:val="24"/>
                <w:szCs w:val="24"/>
              </w:rPr>
              <w:t>Kennedy C</w:t>
            </w:r>
            <w:r w:rsidRPr="00D74E8E">
              <w:rPr>
                <w:rFonts w:ascii="Calibri" w:hAnsi="Calibri" w:cs="Calibri"/>
                <w:sz w:val="24"/>
                <w:szCs w:val="24"/>
              </w:rPr>
              <w:t xml:space="preserve">, Lordo R, </w:t>
            </w:r>
            <w:r w:rsidRPr="00D74E8E">
              <w:rPr>
                <w:rFonts w:ascii="Calibri" w:hAnsi="Calibri" w:cs="Calibri"/>
                <w:b/>
                <w:bCs/>
                <w:sz w:val="24"/>
                <w:szCs w:val="24"/>
              </w:rPr>
              <w:t>Sucosky MS</w:t>
            </w:r>
            <w:r w:rsidRPr="00D74E8E">
              <w:rPr>
                <w:rFonts w:ascii="Calibri" w:hAnsi="Calibri" w:cs="Calibri"/>
                <w:sz w:val="24"/>
                <w:szCs w:val="24"/>
              </w:rPr>
              <w:t xml:space="preserve">, Boehm R, </w:t>
            </w:r>
            <w:r w:rsidRPr="00D74E8E">
              <w:rPr>
                <w:rFonts w:ascii="Calibri" w:hAnsi="Calibri" w:cs="Calibri"/>
                <w:b/>
                <w:bCs/>
                <w:sz w:val="24"/>
                <w:szCs w:val="24"/>
              </w:rPr>
              <w:t>Brown MJ</w:t>
            </w:r>
            <w:r w:rsidRPr="00D74E8E">
              <w:rPr>
                <w:rFonts w:ascii="Calibri" w:hAnsi="Calibri" w:cs="Calibri"/>
                <w:sz w:val="24"/>
                <w:szCs w:val="24"/>
              </w:rPr>
              <w:t xml:space="preserve">. Evaluating the effectiveness of state specific lead-based paint hazard risk reduction laws in preventing recurring incidences of lead poisoning in children. Int J Hyg Environ Health. 2016;219(1):110–7. Epub 2015 Oct 9. </w:t>
            </w:r>
          </w:p>
          <w:p w14:paraId="56FAE25C" w14:textId="77777777" w:rsidR="00AC3B3C" w:rsidRPr="00D74E8E" w:rsidRDefault="00AC3B3C" w:rsidP="00AC3B3C">
            <w:pPr>
              <w:autoSpaceDE w:val="0"/>
              <w:autoSpaceDN w:val="0"/>
              <w:adjustRightInd w:val="0"/>
              <w:rPr>
                <w:rFonts w:ascii="Calibri" w:hAnsi="Calibri" w:cs="Calibri"/>
                <w:sz w:val="24"/>
                <w:szCs w:val="24"/>
              </w:rPr>
            </w:pPr>
          </w:p>
          <w:p w14:paraId="71CAC37A" w14:textId="77777777" w:rsidR="00AC3B3C" w:rsidRPr="00D74E8E" w:rsidRDefault="00AC3B3C" w:rsidP="00AC3B3C">
            <w:pPr>
              <w:autoSpaceDE w:val="0"/>
              <w:autoSpaceDN w:val="0"/>
              <w:adjustRightInd w:val="0"/>
              <w:rPr>
                <w:rFonts w:ascii="Calibri" w:hAnsi="Calibri" w:cs="Calibri"/>
                <w:sz w:val="24"/>
                <w:szCs w:val="24"/>
              </w:rPr>
            </w:pPr>
            <w:r w:rsidRPr="00D74E8E">
              <w:rPr>
                <w:rFonts w:ascii="Calibri" w:hAnsi="Calibri" w:cs="Calibri"/>
                <w:sz w:val="24"/>
                <w:szCs w:val="24"/>
              </w:rPr>
              <w:t>Kennedy C, Yard E, Dignam T, et al. Blood lead levels among children aged &lt;6 Years—Flint, Michigan, 2013–2016. MMWR. 2016;65. [</w:t>
            </w:r>
            <w:r w:rsidRPr="00D74E8E">
              <w:rPr>
                <w:rFonts w:ascii="Calibri" w:hAnsi="Calibri" w:cs="Calibri"/>
                <w:b/>
                <w:bCs/>
                <w:sz w:val="24"/>
                <w:szCs w:val="24"/>
              </w:rPr>
              <w:t>Buchanan S, Brown MJ, Raymond J, Rogers HS, Sarisky J</w:t>
            </w:r>
            <w:r w:rsidRPr="00D74E8E">
              <w:rPr>
                <w:rFonts w:ascii="Calibri" w:hAnsi="Calibri" w:cs="Calibri"/>
                <w:sz w:val="24"/>
                <w:szCs w:val="24"/>
              </w:rPr>
              <w:t xml:space="preserve">] </w:t>
            </w:r>
          </w:p>
          <w:p w14:paraId="0ABA1A48" w14:textId="77777777" w:rsidR="00AC3B3C" w:rsidRPr="00D74E8E" w:rsidRDefault="00AC3B3C" w:rsidP="00AC3B3C">
            <w:pPr>
              <w:autoSpaceDE w:val="0"/>
              <w:autoSpaceDN w:val="0"/>
              <w:adjustRightInd w:val="0"/>
              <w:rPr>
                <w:rFonts w:ascii="Calibri" w:hAnsi="Calibri" w:cs="Calibri"/>
                <w:sz w:val="24"/>
                <w:szCs w:val="24"/>
              </w:rPr>
            </w:pPr>
          </w:p>
          <w:p w14:paraId="093985CA" w14:textId="77777777" w:rsidR="00AC3B3C" w:rsidRPr="00D74E8E" w:rsidRDefault="00AC3B3C" w:rsidP="00864E6C">
            <w:pPr>
              <w:autoSpaceDE w:val="0"/>
              <w:autoSpaceDN w:val="0"/>
              <w:adjustRightInd w:val="0"/>
              <w:rPr>
                <w:rFonts w:ascii="Calibri" w:hAnsi="Calibri" w:cs="Calibri"/>
                <w:sz w:val="24"/>
                <w:szCs w:val="24"/>
              </w:rPr>
            </w:pPr>
            <w:r w:rsidRPr="00D74E8E">
              <w:rPr>
                <w:rFonts w:ascii="Calibri" w:hAnsi="Calibri" w:cs="Calibri"/>
                <w:b/>
                <w:bCs/>
                <w:sz w:val="24"/>
                <w:szCs w:val="24"/>
              </w:rPr>
              <w:t>Raymond J, Brown MJ</w:t>
            </w:r>
            <w:r w:rsidRPr="00D74E8E">
              <w:rPr>
                <w:rFonts w:ascii="Calibri" w:hAnsi="Calibri" w:cs="Calibri"/>
                <w:sz w:val="24"/>
                <w:szCs w:val="24"/>
              </w:rPr>
              <w:t xml:space="preserve">. Blood lead levels in children aged &lt;5 years — United States, 2007–2013. MMWR. 2016;63:66–72. </w:t>
            </w:r>
          </w:p>
          <w:p w14:paraId="4FEFDE24" w14:textId="26F9269C" w:rsidR="00214F32" w:rsidRPr="00D74E8E" w:rsidRDefault="00214F32" w:rsidP="00864E6C">
            <w:pPr>
              <w:autoSpaceDE w:val="0"/>
              <w:autoSpaceDN w:val="0"/>
              <w:adjustRightInd w:val="0"/>
              <w:rPr>
                <w:rFonts w:ascii="Calibri" w:hAnsi="Calibri" w:cs="Calibri"/>
              </w:rPr>
            </w:pPr>
          </w:p>
        </w:tc>
      </w:tr>
      <w:tr w:rsidR="00CA1321" w:rsidRPr="00D74E8E" w14:paraId="5DB71ABA" w14:textId="77777777" w:rsidTr="00AC3B3C">
        <w:tc>
          <w:tcPr>
            <w:tcW w:w="9350" w:type="dxa"/>
          </w:tcPr>
          <w:p w14:paraId="0A22AB29" w14:textId="06EEB23E" w:rsidR="00CA1321" w:rsidRPr="000A0A0F" w:rsidRDefault="00CA1321" w:rsidP="00D74552">
            <w:pPr>
              <w:rPr>
                <w:sz w:val="24"/>
                <w:szCs w:val="24"/>
              </w:rPr>
            </w:pPr>
            <w:bookmarkStart w:id="23" w:name="_Toc493826789"/>
            <w:r w:rsidRPr="000A0A0F">
              <w:rPr>
                <w:sz w:val="24"/>
                <w:szCs w:val="24"/>
              </w:rPr>
              <w:t>2017 (n=1)</w:t>
            </w:r>
            <w:bookmarkEnd w:id="23"/>
          </w:p>
          <w:p w14:paraId="0E38A96D" w14:textId="77777777" w:rsidR="005D19AC" w:rsidRDefault="005D19AC" w:rsidP="00D74552"/>
          <w:p w14:paraId="1B4268B1" w14:textId="6F0CF57F" w:rsidR="00CA1321" w:rsidRPr="00CA1321" w:rsidRDefault="00CA1321" w:rsidP="00CA1321">
            <w:pPr>
              <w:rPr>
                <w:sz w:val="24"/>
                <w:szCs w:val="24"/>
              </w:rPr>
            </w:pPr>
            <w:r w:rsidRPr="00670339">
              <w:rPr>
                <w:rFonts w:ascii="Calibri" w:hAnsi="Calibri" w:cs="Calibri"/>
                <w:b/>
                <w:bCs/>
                <w:color w:val="000000"/>
                <w:sz w:val="24"/>
                <w:szCs w:val="24"/>
              </w:rPr>
              <w:t>Raymond J, Brown MJ.</w:t>
            </w:r>
            <w:r w:rsidRPr="00C65518">
              <w:rPr>
                <w:rFonts w:ascii="Helvetica" w:hAnsi="Helvetica"/>
                <w:color w:val="333333"/>
              </w:rPr>
              <w:t xml:space="preserve"> </w:t>
            </w:r>
            <w:hyperlink r:id="rId68" w:history="1">
              <w:r w:rsidRPr="00C65518">
                <w:rPr>
                  <w:rFonts w:ascii="Calibri" w:hAnsi="Calibri" w:cs="Calibri"/>
                  <w:color w:val="000000"/>
                  <w:sz w:val="24"/>
                  <w:szCs w:val="24"/>
                </w:rPr>
                <w:t>Childhood Blood Lead Levels in Children Aged &lt;5 Years — United States, 2007–2014</w:t>
              </w:r>
            </w:hyperlink>
            <w:r w:rsidRPr="00C65518">
              <w:rPr>
                <w:rFonts w:ascii="Calibri" w:hAnsi="Calibri" w:cs="Calibri"/>
                <w:color w:val="000000"/>
                <w:sz w:val="24"/>
                <w:szCs w:val="24"/>
              </w:rPr>
              <w:t>. MMW</w:t>
            </w:r>
            <w:r>
              <w:rPr>
                <w:rFonts w:ascii="Calibri" w:hAnsi="Calibri" w:cs="Calibri"/>
                <w:color w:val="000000"/>
                <w:sz w:val="24"/>
                <w:szCs w:val="24"/>
              </w:rPr>
              <w:t>R. January 20, 2017 / 66; 1-10.</w:t>
            </w:r>
          </w:p>
        </w:tc>
      </w:tr>
    </w:tbl>
    <w:p w14:paraId="280EB066" w14:textId="656E750F" w:rsidR="0092359D" w:rsidRPr="00D74E8E" w:rsidRDefault="0092359D" w:rsidP="004F1820">
      <w:pPr>
        <w:pStyle w:val="Default"/>
        <w:rPr>
          <w:rFonts w:asciiTheme="minorHAnsi" w:hAnsiTheme="minorHAnsi"/>
          <w:color w:val="auto"/>
        </w:rPr>
      </w:pPr>
    </w:p>
    <w:p w14:paraId="66F8BBAF" w14:textId="67069192" w:rsidR="00F17E73" w:rsidRPr="00D74E8E" w:rsidRDefault="00F17E73" w:rsidP="002E09B4"/>
    <w:p w14:paraId="5AFCFF41" w14:textId="0424A0D9" w:rsidR="00E84CAF" w:rsidRPr="00201D68" w:rsidRDefault="004B1183" w:rsidP="00201D68">
      <w:pPr>
        <w:spacing w:after="0" w:line="240" w:lineRule="auto"/>
        <w:rPr>
          <w:rFonts w:ascii="Verdana" w:hAnsi="Verdana"/>
          <w:sz w:val="24"/>
          <w:szCs w:val="24"/>
        </w:rPr>
      </w:pPr>
      <w:r w:rsidRPr="00D74E8E">
        <w:rPr>
          <w:sz w:val="24"/>
          <w:szCs w:val="24"/>
        </w:rPr>
        <w:t xml:space="preserve"> </w:t>
      </w:r>
      <w:r w:rsidR="00E84CAF" w:rsidRPr="00D74E8E">
        <w:rPr>
          <w:rFonts w:ascii="Cambria" w:hAnsi="Cambria"/>
        </w:rPr>
        <w:br w:type="page"/>
      </w:r>
    </w:p>
    <w:p w14:paraId="4AA67867" w14:textId="0FD78B05" w:rsidR="008C154D" w:rsidRPr="00D74E8E" w:rsidRDefault="008C154D" w:rsidP="008C154D">
      <w:pPr>
        <w:pStyle w:val="Heading1"/>
        <w:pBdr>
          <w:bottom w:val="none" w:sz="0" w:space="0" w:color="auto"/>
        </w:pBdr>
        <w:rPr>
          <w:rFonts w:ascii="Cambria" w:hAnsi="Cambria"/>
          <w:color w:val="auto"/>
        </w:rPr>
      </w:pPr>
      <w:bookmarkStart w:id="24" w:name="_Toc494815297"/>
      <w:r w:rsidRPr="00D74E8E">
        <w:rPr>
          <w:rFonts w:ascii="Cambria" w:hAnsi="Cambria"/>
          <w:color w:val="auto"/>
        </w:rPr>
        <w:t>L</w:t>
      </w:r>
      <w:r w:rsidR="00E278FC" w:rsidRPr="00D74E8E">
        <w:rPr>
          <w:rFonts w:ascii="Cambria" w:hAnsi="Cambria"/>
          <w:color w:val="auto"/>
        </w:rPr>
        <w:t>ist of</w:t>
      </w:r>
      <w:r w:rsidRPr="00D74E8E">
        <w:rPr>
          <w:rFonts w:ascii="Cambria" w:hAnsi="Cambria"/>
          <w:color w:val="auto"/>
        </w:rPr>
        <w:t xml:space="preserve"> Attachments</w:t>
      </w:r>
      <w:bookmarkEnd w:id="24"/>
    </w:p>
    <w:p w14:paraId="33B3298E" w14:textId="77777777" w:rsidR="008C154D" w:rsidRPr="00D74E8E" w:rsidRDefault="008C154D" w:rsidP="008C154D"/>
    <w:p w14:paraId="6C8120AE" w14:textId="68ED9967" w:rsidR="008C154D" w:rsidRPr="00D74E8E" w:rsidRDefault="008C154D" w:rsidP="0080091A">
      <w:pPr>
        <w:rPr>
          <w:rFonts w:cs="Times New Roman"/>
          <w:sz w:val="24"/>
          <w:szCs w:val="24"/>
        </w:rPr>
      </w:pPr>
      <w:r w:rsidRPr="00D74E8E">
        <w:rPr>
          <w:rFonts w:cs="Times New Roman"/>
          <w:sz w:val="24"/>
          <w:szCs w:val="24"/>
        </w:rPr>
        <w:t>Attachment 1. Authorizing Legislation</w:t>
      </w:r>
    </w:p>
    <w:p w14:paraId="28D3DA77" w14:textId="51F28D3D" w:rsidR="003C14E8" w:rsidRPr="00D74E8E" w:rsidRDefault="004232B4" w:rsidP="0080091A">
      <w:pPr>
        <w:rPr>
          <w:rFonts w:cs="Times New Roman"/>
          <w:sz w:val="24"/>
          <w:szCs w:val="24"/>
        </w:rPr>
      </w:pPr>
      <w:r w:rsidRPr="00D74E8E">
        <w:rPr>
          <w:rFonts w:cs="Times New Roman"/>
          <w:sz w:val="24"/>
          <w:szCs w:val="24"/>
        </w:rPr>
        <w:tab/>
        <w:t>1a</w:t>
      </w:r>
      <w:r w:rsidR="00A601B0" w:rsidRPr="00D74E8E">
        <w:rPr>
          <w:rFonts w:cs="Times New Roman"/>
          <w:sz w:val="24"/>
          <w:szCs w:val="24"/>
        </w:rPr>
        <w:t>.</w:t>
      </w:r>
      <w:r w:rsidR="00A601B0" w:rsidRPr="00D74E8E">
        <w:rPr>
          <w:rFonts w:cs="Times New Roman"/>
          <w:sz w:val="24"/>
          <w:szCs w:val="24"/>
        </w:rPr>
        <w:tab/>
        <w:t>NCEH Authority</w:t>
      </w:r>
    </w:p>
    <w:p w14:paraId="00CEFC5C" w14:textId="7767DB45" w:rsidR="00797992" w:rsidRPr="00D74E8E" w:rsidRDefault="00A601B0" w:rsidP="0080091A">
      <w:pPr>
        <w:rPr>
          <w:rFonts w:cs="Times New Roman"/>
          <w:sz w:val="24"/>
          <w:szCs w:val="24"/>
        </w:rPr>
      </w:pPr>
      <w:r w:rsidRPr="00D74E8E">
        <w:rPr>
          <w:rFonts w:cs="Times New Roman"/>
          <w:sz w:val="24"/>
          <w:szCs w:val="24"/>
        </w:rPr>
        <w:tab/>
        <w:t>1b.</w:t>
      </w:r>
      <w:r w:rsidRPr="00D74E8E">
        <w:rPr>
          <w:rFonts w:cs="Times New Roman"/>
          <w:sz w:val="24"/>
          <w:szCs w:val="24"/>
        </w:rPr>
        <w:tab/>
        <w:t>NIOSH Authority</w:t>
      </w:r>
    </w:p>
    <w:p w14:paraId="30CF9F8F" w14:textId="5C0EF9FA" w:rsidR="008C154D" w:rsidRPr="00D74E8E" w:rsidRDefault="008C154D" w:rsidP="0080091A">
      <w:pPr>
        <w:rPr>
          <w:rFonts w:cs="Times New Roman"/>
          <w:sz w:val="24"/>
          <w:szCs w:val="24"/>
        </w:rPr>
      </w:pPr>
      <w:r w:rsidRPr="00D74E8E">
        <w:rPr>
          <w:rFonts w:cs="Times New Roman"/>
          <w:sz w:val="24"/>
          <w:szCs w:val="24"/>
        </w:rPr>
        <w:t>Attachment 2. 60-day Federal Register Notice</w:t>
      </w:r>
    </w:p>
    <w:p w14:paraId="03CDB74F" w14:textId="44F23687" w:rsidR="003C14E8" w:rsidRPr="00D74E8E" w:rsidRDefault="003C14E8" w:rsidP="0080091A">
      <w:pPr>
        <w:rPr>
          <w:rFonts w:cs="Times New Roman"/>
          <w:sz w:val="24"/>
          <w:szCs w:val="24"/>
        </w:rPr>
      </w:pPr>
      <w:r w:rsidRPr="00D74E8E">
        <w:rPr>
          <w:rFonts w:cs="Times New Roman"/>
          <w:sz w:val="24"/>
          <w:szCs w:val="24"/>
        </w:rPr>
        <w:t>Attachment 3. Funding Opportunity Announcements</w:t>
      </w:r>
    </w:p>
    <w:p w14:paraId="7406A6D7" w14:textId="08DA7BFA" w:rsidR="005C3592" w:rsidRPr="00D74E8E" w:rsidRDefault="005C3592" w:rsidP="00D46D4F">
      <w:pPr>
        <w:ind w:firstLine="720"/>
        <w:rPr>
          <w:rFonts w:cs="Times New Roman"/>
          <w:sz w:val="24"/>
          <w:szCs w:val="24"/>
        </w:rPr>
      </w:pPr>
      <w:r w:rsidRPr="00D74E8E">
        <w:rPr>
          <w:rFonts w:cs="Times New Roman"/>
          <w:sz w:val="24"/>
          <w:szCs w:val="24"/>
        </w:rPr>
        <w:t>3a.</w:t>
      </w:r>
      <w:r w:rsidRPr="00D74E8E">
        <w:rPr>
          <w:rFonts w:cs="Times New Roman"/>
          <w:sz w:val="24"/>
          <w:szCs w:val="24"/>
        </w:rPr>
        <w:tab/>
      </w:r>
      <w:r w:rsidR="00F8509C" w:rsidRPr="00D74E8E">
        <w:rPr>
          <w:rFonts w:cs="Times New Roman"/>
          <w:sz w:val="24"/>
          <w:szCs w:val="24"/>
        </w:rPr>
        <w:t xml:space="preserve">FY17 NCEH CBLS FOA </w:t>
      </w:r>
    </w:p>
    <w:p w14:paraId="6FEAF343" w14:textId="74938285" w:rsidR="009621E9" w:rsidRPr="00D74E8E" w:rsidRDefault="005C3592" w:rsidP="00D46D4F">
      <w:pPr>
        <w:ind w:firstLine="720"/>
        <w:rPr>
          <w:rFonts w:cs="Times New Roman"/>
          <w:sz w:val="24"/>
          <w:szCs w:val="24"/>
        </w:rPr>
      </w:pPr>
      <w:r w:rsidRPr="00D74E8E">
        <w:rPr>
          <w:rFonts w:cs="Times New Roman"/>
          <w:sz w:val="24"/>
          <w:szCs w:val="24"/>
        </w:rPr>
        <w:t>3b</w:t>
      </w:r>
      <w:r w:rsidR="003C14E8" w:rsidRPr="00D74E8E">
        <w:rPr>
          <w:rFonts w:cs="Times New Roman"/>
          <w:sz w:val="24"/>
          <w:szCs w:val="24"/>
        </w:rPr>
        <w:t>.</w:t>
      </w:r>
      <w:r w:rsidR="003C14E8" w:rsidRPr="00D74E8E">
        <w:rPr>
          <w:rFonts w:cs="Times New Roman"/>
          <w:sz w:val="24"/>
          <w:szCs w:val="24"/>
        </w:rPr>
        <w:tab/>
      </w:r>
      <w:r w:rsidR="009621E9" w:rsidRPr="00D74E8E">
        <w:rPr>
          <w:rFonts w:cs="Times New Roman"/>
          <w:sz w:val="24"/>
          <w:szCs w:val="24"/>
        </w:rPr>
        <w:t>FY1</w:t>
      </w:r>
      <w:r w:rsidR="00F8509C" w:rsidRPr="00D74E8E">
        <w:rPr>
          <w:rFonts w:cs="Times New Roman"/>
          <w:sz w:val="24"/>
          <w:szCs w:val="24"/>
        </w:rPr>
        <w:t>4</w:t>
      </w:r>
      <w:r w:rsidR="009621E9" w:rsidRPr="00D74E8E">
        <w:rPr>
          <w:rFonts w:cs="Times New Roman"/>
          <w:sz w:val="24"/>
          <w:szCs w:val="24"/>
        </w:rPr>
        <w:t xml:space="preserve"> </w:t>
      </w:r>
      <w:r w:rsidR="003C14E8" w:rsidRPr="00D74E8E">
        <w:rPr>
          <w:rFonts w:cs="Times New Roman"/>
          <w:sz w:val="24"/>
          <w:szCs w:val="24"/>
        </w:rPr>
        <w:t xml:space="preserve">NCEH </w:t>
      </w:r>
      <w:r w:rsidR="00F8509C" w:rsidRPr="00D74E8E">
        <w:rPr>
          <w:rFonts w:cs="Times New Roman"/>
          <w:sz w:val="24"/>
          <w:szCs w:val="24"/>
        </w:rPr>
        <w:t>HHLPPP</w:t>
      </w:r>
      <w:r w:rsidR="009621E9" w:rsidRPr="00D74E8E">
        <w:rPr>
          <w:rFonts w:cs="Times New Roman"/>
          <w:sz w:val="24"/>
          <w:szCs w:val="24"/>
        </w:rPr>
        <w:t xml:space="preserve"> FOA </w:t>
      </w:r>
    </w:p>
    <w:p w14:paraId="448FCAD3" w14:textId="712A6B65" w:rsidR="009E0EDF" w:rsidRPr="00D74E8E" w:rsidRDefault="009E0EDF" w:rsidP="00D46D4F">
      <w:pPr>
        <w:ind w:firstLine="720"/>
        <w:rPr>
          <w:rFonts w:cs="Times New Roman"/>
          <w:sz w:val="24"/>
          <w:szCs w:val="24"/>
        </w:rPr>
      </w:pPr>
      <w:r w:rsidRPr="00D74E8E">
        <w:rPr>
          <w:rFonts w:cs="Times New Roman"/>
          <w:sz w:val="24"/>
          <w:szCs w:val="24"/>
        </w:rPr>
        <w:t>3</w:t>
      </w:r>
      <w:r w:rsidR="00CC0505" w:rsidRPr="00D74E8E">
        <w:rPr>
          <w:rFonts w:cs="Times New Roman"/>
          <w:sz w:val="24"/>
          <w:szCs w:val="24"/>
        </w:rPr>
        <w:t>c</w:t>
      </w:r>
      <w:r w:rsidRPr="00D74E8E">
        <w:rPr>
          <w:rFonts w:cs="Times New Roman"/>
          <w:sz w:val="24"/>
          <w:szCs w:val="24"/>
        </w:rPr>
        <w:t>.</w:t>
      </w:r>
      <w:r w:rsidRPr="00D74E8E">
        <w:rPr>
          <w:rFonts w:cs="Times New Roman"/>
          <w:sz w:val="24"/>
          <w:szCs w:val="24"/>
        </w:rPr>
        <w:tab/>
        <w:t>2015 HHLPSS Terms of Clearance</w:t>
      </w:r>
    </w:p>
    <w:p w14:paraId="453E8A08" w14:textId="54667715" w:rsidR="00636778" w:rsidRPr="00D74E8E" w:rsidRDefault="00636778" w:rsidP="0080091A">
      <w:pPr>
        <w:rPr>
          <w:rFonts w:cs="Times New Roman"/>
          <w:sz w:val="24"/>
          <w:szCs w:val="24"/>
        </w:rPr>
      </w:pPr>
      <w:r w:rsidRPr="00D74E8E">
        <w:rPr>
          <w:rFonts w:cs="Times New Roman"/>
          <w:sz w:val="24"/>
          <w:szCs w:val="24"/>
        </w:rPr>
        <w:t>Attachment 4. Summary Table CBLS-ABLES Program Activities</w:t>
      </w:r>
    </w:p>
    <w:p w14:paraId="012972B1" w14:textId="11A3142C" w:rsidR="003C14E8" w:rsidRPr="00D74E8E" w:rsidRDefault="006570C6" w:rsidP="0080091A">
      <w:pPr>
        <w:rPr>
          <w:rFonts w:cs="Times New Roman"/>
          <w:sz w:val="24"/>
          <w:szCs w:val="24"/>
        </w:rPr>
      </w:pPr>
      <w:r w:rsidRPr="00D74E8E">
        <w:rPr>
          <w:rFonts w:cs="Times New Roman"/>
          <w:sz w:val="24"/>
          <w:szCs w:val="24"/>
        </w:rPr>
        <w:t xml:space="preserve">Attachment </w:t>
      </w:r>
      <w:r w:rsidR="00F00B71" w:rsidRPr="00D74E8E">
        <w:rPr>
          <w:rFonts w:cs="Times New Roman"/>
          <w:sz w:val="24"/>
          <w:szCs w:val="24"/>
        </w:rPr>
        <w:t>5</w:t>
      </w:r>
      <w:r w:rsidR="003C14E8" w:rsidRPr="00D74E8E">
        <w:rPr>
          <w:rFonts w:cs="Times New Roman"/>
          <w:sz w:val="24"/>
          <w:szCs w:val="24"/>
        </w:rPr>
        <w:t>. Data Collection Forms</w:t>
      </w:r>
    </w:p>
    <w:p w14:paraId="5AB89949" w14:textId="632B0631" w:rsidR="00943FA0" w:rsidRPr="00D74E8E" w:rsidRDefault="00F00B71" w:rsidP="0093681D">
      <w:pPr>
        <w:ind w:firstLine="720"/>
        <w:rPr>
          <w:rFonts w:cs="Times New Roman"/>
          <w:sz w:val="24"/>
          <w:szCs w:val="24"/>
        </w:rPr>
      </w:pPr>
      <w:r w:rsidRPr="00D74E8E">
        <w:rPr>
          <w:rFonts w:cs="Times New Roman"/>
          <w:sz w:val="24"/>
          <w:szCs w:val="24"/>
        </w:rPr>
        <w:t>5</w:t>
      </w:r>
      <w:r w:rsidR="009621E9" w:rsidRPr="00D74E8E">
        <w:rPr>
          <w:rFonts w:cs="Times New Roman"/>
          <w:sz w:val="24"/>
          <w:szCs w:val="24"/>
        </w:rPr>
        <w:t>a</w:t>
      </w:r>
      <w:r w:rsidR="006570C6" w:rsidRPr="00D74E8E">
        <w:rPr>
          <w:rFonts w:cs="Times New Roman"/>
          <w:sz w:val="24"/>
          <w:szCs w:val="24"/>
        </w:rPr>
        <w:t>.</w:t>
      </w:r>
      <w:r w:rsidR="003C14E8" w:rsidRPr="00D74E8E">
        <w:rPr>
          <w:rFonts w:cs="Times New Roman"/>
          <w:sz w:val="24"/>
          <w:szCs w:val="24"/>
        </w:rPr>
        <w:tab/>
      </w:r>
      <w:r w:rsidR="009946FC" w:rsidRPr="00D74E8E">
        <w:rPr>
          <w:rFonts w:cs="Times New Roman"/>
          <w:sz w:val="24"/>
          <w:szCs w:val="24"/>
        </w:rPr>
        <w:t>CBL</w:t>
      </w:r>
      <w:r w:rsidR="009621E9" w:rsidRPr="00D74E8E">
        <w:rPr>
          <w:rFonts w:cs="Times New Roman"/>
          <w:sz w:val="24"/>
          <w:szCs w:val="24"/>
        </w:rPr>
        <w:t>S Variables</w:t>
      </w:r>
      <w:r w:rsidR="00D22031" w:rsidRPr="00D74E8E">
        <w:rPr>
          <w:rFonts w:cs="Times New Roman"/>
          <w:sz w:val="24"/>
          <w:szCs w:val="24"/>
        </w:rPr>
        <w:t xml:space="preserve"> – Text Files</w:t>
      </w:r>
    </w:p>
    <w:p w14:paraId="129BEC94" w14:textId="337D04DF" w:rsidR="00D22031" w:rsidRPr="00D74E8E" w:rsidRDefault="00F00B71" w:rsidP="00F31211">
      <w:pPr>
        <w:ind w:firstLine="720"/>
        <w:rPr>
          <w:rFonts w:cs="Times New Roman"/>
          <w:sz w:val="24"/>
          <w:szCs w:val="24"/>
        </w:rPr>
      </w:pPr>
      <w:r w:rsidRPr="00D74E8E">
        <w:rPr>
          <w:rFonts w:cs="Times New Roman"/>
          <w:sz w:val="24"/>
          <w:szCs w:val="24"/>
        </w:rPr>
        <w:t>5</w:t>
      </w:r>
      <w:r w:rsidR="003E7DE3" w:rsidRPr="00D74E8E">
        <w:rPr>
          <w:rFonts w:cs="Times New Roman"/>
          <w:sz w:val="24"/>
          <w:szCs w:val="24"/>
        </w:rPr>
        <w:t>b</w:t>
      </w:r>
      <w:r w:rsidR="00405CE1" w:rsidRPr="00D74E8E">
        <w:rPr>
          <w:rFonts w:cs="Times New Roman"/>
          <w:sz w:val="24"/>
          <w:szCs w:val="24"/>
        </w:rPr>
        <w:t>.</w:t>
      </w:r>
      <w:r w:rsidR="00405CE1" w:rsidRPr="00D74E8E">
        <w:rPr>
          <w:rFonts w:cs="Times New Roman"/>
          <w:sz w:val="24"/>
          <w:szCs w:val="24"/>
        </w:rPr>
        <w:tab/>
      </w:r>
      <w:r w:rsidR="0080234C" w:rsidRPr="00D74E8E">
        <w:rPr>
          <w:rFonts w:cs="Times New Roman"/>
          <w:sz w:val="24"/>
          <w:szCs w:val="24"/>
        </w:rPr>
        <w:t>CBLS Aggregate Record</w:t>
      </w:r>
      <w:r w:rsidR="007A07C5" w:rsidRPr="00D74E8E">
        <w:rPr>
          <w:rFonts w:cs="Times New Roman"/>
          <w:sz w:val="24"/>
          <w:szCs w:val="24"/>
        </w:rPr>
        <w:t>s</w:t>
      </w:r>
      <w:r w:rsidR="0080234C" w:rsidRPr="00D74E8E">
        <w:rPr>
          <w:rFonts w:cs="Times New Roman"/>
          <w:sz w:val="24"/>
          <w:szCs w:val="24"/>
        </w:rPr>
        <w:t xml:space="preserve"> Form</w:t>
      </w:r>
    </w:p>
    <w:p w14:paraId="4AAB132A" w14:textId="353BC9AF" w:rsidR="00F31211" w:rsidRPr="00D74E8E" w:rsidRDefault="00D22031" w:rsidP="00F31211">
      <w:pPr>
        <w:ind w:firstLine="720"/>
        <w:rPr>
          <w:rFonts w:cs="Times New Roman"/>
          <w:sz w:val="24"/>
          <w:szCs w:val="24"/>
        </w:rPr>
      </w:pPr>
      <w:r w:rsidRPr="00D74E8E">
        <w:rPr>
          <w:rFonts w:cs="Times New Roman"/>
          <w:sz w:val="24"/>
          <w:szCs w:val="24"/>
        </w:rPr>
        <w:t>5c.</w:t>
      </w:r>
      <w:r w:rsidRPr="00D74E8E">
        <w:rPr>
          <w:rFonts w:cs="Times New Roman"/>
          <w:sz w:val="24"/>
          <w:szCs w:val="24"/>
        </w:rPr>
        <w:tab/>
      </w:r>
      <w:r w:rsidR="00743CF1" w:rsidRPr="00D74E8E">
        <w:rPr>
          <w:rFonts w:cs="Times New Roman"/>
          <w:sz w:val="24"/>
          <w:szCs w:val="24"/>
        </w:rPr>
        <w:t xml:space="preserve">ABLES </w:t>
      </w:r>
      <w:r w:rsidR="00F31211" w:rsidRPr="00D74E8E">
        <w:rPr>
          <w:rFonts w:cs="Times New Roman"/>
          <w:sz w:val="24"/>
          <w:szCs w:val="24"/>
        </w:rPr>
        <w:t xml:space="preserve">Case Records </w:t>
      </w:r>
      <w:r w:rsidR="005B332D" w:rsidRPr="00D74E8E">
        <w:rPr>
          <w:rFonts w:cs="Times New Roman"/>
          <w:sz w:val="24"/>
          <w:szCs w:val="24"/>
        </w:rPr>
        <w:t xml:space="preserve">Form </w:t>
      </w:r>
      <w:r w:rsidR="00F31211" w:rsidRPr="00D74E8E">
        <w:rPr>
          <w:rFonts w:cs="Times New Roman"/>
          <w:sz w:val="24"/>
          <w:szCs w:val="24"/>
        </w:rPr>
        <w:t>and Brief Narrative Report</w:t>
      </w:r>
    </w:p>
    <w:p w14:paraId="11842A1D" w14:textId="7254CE24" w:rsidR="0080234C" w:rsidRPr="00D74E8E" w:rsidRDefault="0080234C" w:rsidP="00F31211">
      <w:pPr>
        <w:ind w:firstLine="720"/>
        <w:rPr>
          <w:rFonts w:cs="Times New Roman"/>
          <w:sz w:val="24"/>
          <w:szCs w:val="24"/>
        </w:rPr>
      </w:pPr>
      <w:r w:rsidRPr="00D74E8E">
        <w:rPr>
          <w:rFonts w:cs="Times New Roman"/>
          <w:sz w:val="24"/>
          <w:szCs w:val="24"/>
        </w:rPr>
        <w:tab/>
      </w:r>
      <w:r w:rsidR="0020519B" w:rsidRPr="00D74E8E">
        <w:rPr>
          <w:rFonts w:cs="Times New Roman"/>
          <w:sz w:val="24"/>
          <w:szCs w:val="24"/>
        </w:rPr>
        <w:t>5c1.</w:t>
      </w:r>
      <w:r w:rsidR="0020519B" w:rsidRPr="00D74E8E">
        <w:rPr>
          <w:rFonts w:cs="Times New Roman"/>
          <w:sz w:val="24"/>
          <w:szCs w:val="24"/>
        </w:rPr>
        <w:tab/>
      </w:r>
      <w:r w:rsidRPr="00D74E8E">
        <w:rPr>
          <w:rFonts w:cs="Times New Roman"/>
          <w:sz w:val="24"/>
          <w:szCs w:val="24"/>
        </w:rPr>
        <w:t>ABLES Case Records Format</w:t>
      </w:r>
    </w:p>
    <w:p w14:paraId="70FCDA92" w14:textId="4B083DA0" w:rsidR="00943FA0" w:rsidRPr="00D74E8E" w:rsidRDefault="00F00B71" w:rsidP="00D46D4F">
      <w:pPr>
        <w:ind w:firstLine="720"/>
        <w:rPr>
          <w:rFonts w:cs="Times New Roman"/>
          <w:sz w:val="24"/>
          <w:szCs w:val="24"/>
        </w:rPr>
      </w:pPr>
      <w:r w:rsidRPr="00D74E8E">
        <w:rPr>
          <w:rFonts w:cs="Times New Roman"/>
          <w:sz w:val="24"/>
          <w:szCs w:val="24"/>
        </w:rPr>
        <w:t>5</w:t>
      </w:r>
      <w:r w:rsidR="00D22031" w:rsidRPr="00D74E8E">
        <w:rPr>
          <w:rFonts w:cs="Times New Roman"/>
          <w:sz w:val="24"/>
          <w:szCs w:val="24"/>
        </w:rPr>
        <w:t>d</w:t>
      </w:r>
      <w:r w:rsidR="00943FA0" w:rsidRPr="00D74E8E">
        <w:rPr>
          <w:rFonts w:cs="Times New Roman"/>
          <w:sz w:val="24"/>
          <w:szCs w:val="24"/>
        </w:rPr>
        <w:t xml:space="preserve">. </w:t>
      </w:r>
      <w:r w:rsidR="00F31211" w:rsidRPr="00D74E8E">
        <w:rPr>
          <w:rFonts w:cs="Times New Roman"/>
          <w:sz w:val="24"/>
          <w:szCs w:val="24"/>
        </w:rPr>
        <w:tab/>
      </w:r>
      <w:r w:rsidR="00943FA0" w:rsidRPr="00D74E8E">
        <w:rPr>
          <w:rFonts w:cs="Times New Roman"/>
          <w:sz w:val="24"/>
          <w:szCs w:val="24"/>
        </w:rPr>
        <w:t xml:space="preserve">ABLES </w:t>
      </w:r>
      <w:r w:rsidR="00F31211" w:rsidRPr="00D74E8E">
        <w:rPr>
          <w:rFonts w:cs="Times New Roman"/>
          <w:sz w:val="24"/>
          <w:szCs w:val="24"/>
        </w:rPr>
        <w:t>Aggregate Records</w:t>
      </w:r>
      <w:r w:rsidR="005B332D" w:rsidRPr="00D74E8E">
        <w:rPr>
          <w:rFonts w:cs="Times New Roman"/>
          <w:sz w:val="24"/>
          <w:szCs w:val="24"/>
        </w:rPr>
        <w:t xml:space="preserve"> Form</w:t>
      </w:r>
      <w:r w:rsidR="00F31211" w:rsidRPr="00D74E8E">
        <w:rPr>
          <w:rFonts w:cs="Times New Roman"/>
          <w:sz w:val="24"/>
          <w:szCs w:val="24"/>
        </w:rPr>
        <w:t xml:space="preserve"> and Brief Narrative Report</w:t>
      </w:r>
    </w:p>
    <w:p w14:paraId="77C4B585" w14:textId="346AFF4A" w:rsidR="00F00B71" w:rsidRPr="00D74E8E" w:rsidRDefault="00F00B71" w:rsidP="00F00B71">
      <w:pPr>
        <w:rPr>
          <w:rFonts w:cs="Times New Roman"/>
          <w:sz w:val="24"/>
          <w:szCs w:val="24"/>
        </w:rPr>
      </w:pPr>
      <w:r w:rsidRPr="00D74E8E">
        <w:rPr>
          <w:rFonts w:cs="Times New Roman"/>
          <w:sz w:val="24"/>
          <w:szCs w:val="24"/>
        </w:rPr>
        <w:t xml:space="preserve">Attachment 6. Privacy Impact Assessment </w:t>
      </w:r>
    </w:p>
    <w:p w14:paraId="50749871" w14:textId="67DF9074" w:rsidR="00F00B71" w:rsidRPr="00D74E8E" w:rsidRDefault="00F00B71" w:rsidP="00F00B71">
      <w:pPr>
        <w:rPr>
          <w:rFonts w:cs="Times New Roman"/>
          <w:sz w:val="24"/>
          <w:szCs w:val="24"/>
        </w:rPr>
      </w:pPr>
      <w:r w:rsidRPr="00D74E8E">
        <w:rPr>
          <w:rFonts w:cs="Times New Roman"/>
          <w:sz w:val="24"/>
          <w:szCs w:val="24"/>
        </w:rPr>
        <w:tab/>
        <w:t>6a.</w:t>
      </w:r>
      <w:r w:rsidRPr="00D74E8E">
        <w:rPr>
          <w:rFonts w:cs="Times New Roman"/>
          <w:sz w:val="24"/>
          <w:szCs w:val="24"/>
        </w:rPr>
        <w:tab/>
        <w:t>CBLS PIA</w:t>
      </w:r>
    </w:p>
    <w:p w14:paraId="2408FAE6" w14:textId="026B1873" w:rsidR="00F00B71" w:rsidRPr="00D74E8E" w:rsidRDefault="00F00B71" w:rsidP="00F00B71">
      <w:pPr>
        <w:rPr>
          <w:rFonts w:cs="Times New Roman"/>
          <w:sz w:val="24"/>
          <w:szCs w:val="24"/>
        </w:rPr>
      </w:pPr>
      <w:r w:rsidRPr="00D74E8E">
        <w:rPr>
          <w:rFonts w:cs="Times New Roman"/>
          <w:sz w:val="24"/>
          <w:szCs w:val="24"/>
        </w:rPr>
        <w:tab/>
        <w:t>6b.</w:t>
      </w:r>
      <w:r w:rsidRPr="00D74E8E">
        <w:rPr>
          <w:rFonts w:cs="Times New Roman"/>
          <w:sz w:val="24"/>
          <w:szCs w:val="24"/>
        </w:rPr>
        <w:tab/>
        <w:t>ABLES PIA</w:t>
      </w:r>
    </w:p>
    <w:p w14:paraId="2023275A" w14:textId="18661987" w:rsidR="003C14E8" w:rsidRPr="00D74E8E" w:rsidRDefault="00901E43" w:rsidP="008C154D">
      <w:pPr>
        <w:rPr>
          <w:rFonts w:cs="Times New Roman"/>
          <w:sz w:val="24"/>
          <w:szCs w:val="24"/>
        </w:rPr>
      </w:pPr>
      <w:r w:rsidRPr="00D74E8E">
        <w:rPr>
          <w:rFonts w:cs="Times New Roman"/>
          <w:sz w:val="24"/>
          <w:szCs w:val="24"/>
        </w:rPr>
        <w:t xml:space="preserve">Attachment </w:t>
      </w:r>
      <w:r w:rsidR="00636778" w:rsidRPr="00D74E8E">
        <w:rPr>
          <w:rFonts w:cs="Times New Roman"/>
          <w:sz w:val="24"/>
          <w:szCs w:val="24"/>
        </w:rPr>
        <w:t>7</w:t>
      </w:r>
      <w:r w:rsidR="003C14E8" w:rsidRPr="00D74E8E">
        <w:rPr>
          <w:rFonts w:cs="Times New Roman"/>
          <w:sz w:val="24"/>
          <w:szCs w:val="24"/>
        </w:rPr>
        <w:t>. Research Determinations</w:t>
      </w:r>
    </w:p>
    <w:p w14:paraId="000E963E" w14:textId="1FEE1907" w:rsidR="008C154D" w:rsidRPr="00D74E8E" w:rsidRDefault="00636778" w:rsidP="00D46D4F">
      <w:pPr>
        <w:ind w:firstLine="720"/>
        <w:rPr>
          <w:rFonts w:cs="Times New Roman"/>
          <w:sz w:val="24"/>
          <w:szCs w:val="24"/>
        </w:rPr>
      </w:pPr>
      <w:r w:rsidRPr="00D74E8E">
        <w:rPr>
          <w:rFonts w:cs="Times New Roman"/>
          <w:sz w:val="24"/>
          <w:szCs w:val="24"/>
        </w:rPr>
        <w:t>7</w:t>
      </w:r>
      <w:r w:rsidR="003C14E8" w:rsidRPr="00D74E8E">
        <w:rPr>
          <w:rFonts w:cs="Times New Roman"/>
          <w:sz w:val="24"/>
          <w:szCs w:val="24"/>
        </w:rPr>
        <w:t>a.</w:t>
      </w:r>
      <w:r w:rsidR="003C14E8" w:rsidRPr="00D74E8E">
        <w:rPr>
          <w:rFonts w:cs="Times New Roman"/>
          <w:sz w:val="24"/>
          <w:szCs w:val="24"/>
        </w:rPr>
        <w:tab/>
      </w:r>
      <w:r w:rsidR="00044E5B" w:rsidRPr="00D74E8E">
        <w:rPr>
          <w:rFonts w:cs="Times New Roman"/>
          <w:sz w:val="24"/>
          <w:szCs w:val="24"/>
        </w:rPr>
        <w:t xml:space="preserve">NCEH </w:t>
      </w:r>
      <w:r w:rsidR="009E2249" w:rsidRPr="00D74E8E">
        <w:rPr>
          <w:rFonts w:cs="Times New Roman"/>
          <w:sz w:val="24"/>
          <w:szCs w:val="24"/>
        </w:rPr>
        <w:t>CBLS</w:t>
      </w:r>
      <w:r w:rsidR="009621E9" w:rsidRPr="00D74E8E">
        <w:rPr>
          <w:rFonts w:cs="Times New Roman"/>
          <w:sz w:val="24"/>
          <w:szCs w:val="24"/>
        </w:rPr>
        <w:t xml:space="preserve"> Research Determination</w:t>
      </w:r>
    </w:p>
    <w:p w14:paraId="06E2B1FD" w14:textId="0C42D1E0" w:rsidR="009621E9" w:rsidRPr="00D74E8E" w:rsidRDefault="00636778" w:rsidP="00D46D4F">
      <w:pPr>
        <w:ind w:firstLine="720"/>
        <w:rPr>
          <w:rFonts w:cs="Times New Roman"/>
          <w:sz w:val="24"/>
          <w:szCs w:val="24"/>
        </w:rPr>
      </w:pPr>
      <w:r w:rsidRPr="00D74E8E">
        <w:rPr>
          <w:rFonts w:cs="Times New Roman"/>
          <w:sz w:val="24"/>
          <w:szCs w:val="24"/>
        </w:rPr>
        <w:t>7</w:t>
      </w:r>
      <w:r w:rsidR="003C14E8" w:rsidRPr="00D74E8E">
        <w:rPr>
          <w:rFonts w:cs="Times New Roman"/>
          <w:sz w:val="24"/>
          <w:szCs w:val="24"/>
        </w:rPr>
        <w:t>b.</w:t>
      </w:r>
      <w:r w:rsidR="003C14E8" w:rsidRPr="00D74E8E">
        <w:rPr>
          <w:rFonts w:cs="Times New Roman"/>
          <w:sz w:val="24"/>
          <w:szCs w:val="24"/>
        </w:rPr>
        <w:tab/>
      </w:r>
      <w:r w:rsidR="00044E5B" w:rsidRPr="00D74E8E">
        <w:rPr>
          <w:rFonts w:cs="Times New Roman"/>
          <w:sz w:val="24"/>
          <w:szCs w:val="24"/>
        </w:rPr>
        <w:t xml:space="preserve">NIOSH </w:t>
      </w:r>
      <w:r w:rsidR="009621E9" w:rsidRPr="00D74E8E">
        <w:rPr>
          <w:rFonts w:cs="Times New Roman"/>
          <w:sz w:val="24"/>
          <w:szCs w:val="24"/>
        </w:rPr>
        <w:t>ABLES Research Determination</w:t>
      </w:r>
    </w:p>
    <w:sectPr w:rsidR="009621E9" w:rsidRPr="00D74E8E" w:rsidSect="00361B5A">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71393" w14:textId="77777777" w:rsidR="00D271EF" w:rsidRDefault="00D271EF" w:rsidP="008B5D54">
      <w:r>
        <w:separator/>
      </w:r>
    </w:p>
  </w:endnote>
  <w:endnote w:type="continuationSeparator" w:id="0">
    <w:p w14:paraId="2ED10293" w14:textId="77777777" w:rsidR="00D271EF" w:rsidRDefault="00D271EF" w:rsidP="008B5D54">
      <w:r>
        <w:continuationSeparator/>
      </w:r>
    </w:p>
  </w:endnote>
  <w:endnote w:type="continuationNotice" w:id="1">
    <w:p w14:paraId="7582A86E" w14:textId="77777777" w:rsidR="00D271EF" w:rsidRDefault="00D27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ITCFranklinGothicStd-Demi">
    <w:panose1 w:val="00000000000000000000"/>
    <w:charset w:val="00"/>
    <w:family w:val="swiss"/>
    <w:notTrueType/>
    <w:pitch w:val="default"/>
    <w:sig w:usb0="00000003" w:usb1="00000000" w:usb2="00000000" w:usb3="00000000" w:csb0="00000001" w:csb1="00000000"/>
  </w:font>
  <w:font w:name="ITCFranklinGothicStd-BookI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ITCFranklinGothicStd-BkCd">
    <w:panose1 w:val="00000000000000000000"/>
    <w:charset w:val="00"/>
    <w:family w:val="swiss"/>
    <w:notTrueType/>
    <w:pitch w:val="default"/>
    <w:sig w:usb0="00000003" w:usb1="00000000" w:usb2="00000000" w:usb3="00000000" w:csb0="00000001" w:csb1="00000000"/>
  </w:font>
  <w:font w:name="BulldogStd">
    <w:altName w:val="MS Mincho"/>
    <w:panose1 w:val="00000000000000000000"/>
    <w:charset w:val="80"/>
    <w:family w:val="auto"/>
    <w:notTrueType/>
    <w:pitch w:val="default"/>
    <w:sig w:usb0="00000000" w:usb1="08070000" w:usb2="00000010" w:usb3="00000000" w:csb0="00020000" w:csb1="00000000"/>
  </w:font>
  <w:font w:name="BulldogStd-Italic">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BerlinSansFBDem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611956"/>
      <w:docPartObj>
        <w:docPartGallery w:val="Page Numbers (Bottom of Page)"/>
        <w:docPartUnique/>
      </w:docPartObj>
    </w:sdtPr>
    <w:sdtEndPr>
      <w:rPr>
        <w:noProof/>
      </w:rPr>
    </w:sdtEndPr>
    <w:sdtContent>
      <w:p w14:paraId="211D658C" w14:textId="46BA0FAA" w:rsidR="00D271EF" w:rsidRDefault="00D271EF">
        <w:pPr>
          <w:pStyle w:val="Footer"/>
          <w:jc w:val="right"/>
        </w:pPr>
        <w:r>
          <w:fldChar w:fldCharType="begin"/>
        </w:r>
        <w:r>
          <w:instrText xml:space="preserve"> PAGE   \* MERGEFORMAT </w:instrText>
        </w:r>
        <w:r>
          <w:fldChar w:fldCharType="separate"/>
        </w:r>
        <w:r w:rsidR="005D4F7E">
          <w:rPr>
            <w:noProof/>
          </w:rPr>
          <w:t>1</w:t>
        </w:r>
        <w:r>
          <w:rPr>
            <w:noProof/>
          </w:rPr>
          <w:fldChar w:fldCharType="end"/>
        </w:r>
      </w:p>
    </w:sdtContent>
  </w:sdt>
  <w:p w14:paraId="6F28B409" w14:textId="77777777" w:rsidR="00D271EF" w:rsidRDefault="00D27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85285" w14:textId="77777777" w:rsidR="00D271EF" w:rsidRDefault="00D271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2E181" w14:textId="77777777" w:rsidR="00D271EF" w:rsidRDefault="00D271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E8F52" w14:textId="77777777" w:rsidR="00D271EF" w:rsidRDefault="00D27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18C44" w14:textId="77777777" w:rsidR="00D271EF" w:rsidRDefault="00D271EF" w:rsidP="008B5D54">
      <w:r>
        <w:separator/>
      </w:r>
    </w:p>
  </w:footnote>
  <w:footnote w:type="continuationSeparator" w:id="0">
    <w:p w14:paraId="3E700BD2" w14:textId="77777777" w:rsidR="00D271EF" w:rsidRDefault="00D271EF" w:rsidP="008B5D54">
      <w:r>
        <w:continuationSeparator/>
      </w:r>
    </w:p>
  </w:footnote>
  <w:footnote w:type="continuationNotice" w:id="1">
    <w:p w14:paraId="330555C4" w14:textId="77777777" w:rsidR="00D271EF" w:rsidRDefault="00D271EF">
      <w:pPr>
        <w:spacing w:after="0" w:line="240" w:lineRule="auto"/>
      </w:pPr>
    </w:p>
  </w:footnote>
  <w:footnote w:id="2">
    <w:p w14:paraId="1C6DE4A6" w14:textId="15152856" w:rsidR="00D271EF" w:rsidRPr="003D5008" w:rsidRDefault="00D271EF" w:rsidP="006A2B87">
      <w:pPr>
        <w:pStyle w:val="FootnoteText"/>
        <w:spacing w:after="120"/>
      </w:pPr>
      <w:r w:rsidRPr="003D5008">
        <w:rPr>
          <w:rStyle w:val="FootnoteReference"/>
        </w:rPr>
        <w:footnoteRef/>
      </w:r>
      <w:r w:rsidRPr="003D5008">
        <w:t xml:space="preserve"> </w:t>
      </w:r>
      <w:r>
        <w:rPr>
          <w:rFonts w:eastAsiaTheme="minorHAnsi" w:cs="Courier New"/>
        </w:rPr>
        <w:t>FOA No. CDC-RFA-EH14-1408PPHF14 is covered under “</w:t>
      </w:r>
      <w:r w:rsidRPr="003D5008">
        <w:rPr>
          <w:rFonts w:eastAsiaTheme="minorHAnsi" w:cs="Courier New"/>
        </w:rPr>
        <w:t>Healthy Home and Lead Poisoning Surveillance System (HHLPSS)</w:t>
      </w:r>
      <w:r>
        <w:rPr>
          <w:rFonts w:eastAsiaTheme="minorHAnsi" w:cs="Courier New"/>
        </w:rPr>
        <w:t>”</w:t>
      </w:r>
      <w:r w:rsidRPr="003D5008">
        <w:rPr>
          <w:rFonts w:eastAsiaTheme="minorHAnsi" w:cs="Courier New"/>
        </w:rPr>
        <w:t xml:space="preserve"> (OMB Control No. 0920-0931, expiration date 05/31/2018)</w:t>
      </w:r>
      <w:r>
        <w:rPr>
          <w:rFonts w:eastAsiaTheme="minorHAnsi" w:cs="Courier New"/>
        </w:rPr>
        <w:t xml:space="preserve">. </w:t>
      </w:r>
      <w:r w:rsidRPr="00994F3B">
        <w:rPr>
          <w:rFonts w:eastAsiaTheme="minorHAnsi" w:cs="Courier New"/>
        </w:rPr>
        <w:t xml:space="preserve">NCEH will submit an extension ICR to cover the fourth </w:t>
      </w:r>
      <w:r>
        <w:rPr>
          <w:rFonts w:eastAsiaTheme="minorHAnsi" w:cs="Courier New"/>
        </w:rPr>
        <w:t xml:space="preserve">and final </w:t>
      </w:r>
      <w:r w:rsidRPr="00994F3B">
        <w:rPr>
          <w:rFonts w:eastAsiaTheme="minorHAnsi" w:cs="Courier New"/>
        </w:rPr>
        <w:t xml:space="preserve">year of the </w:t>
      </w:r>
      <w:r>
        <w:rPr>
          <w:rFonts w:eastAsiaTheme="minorHAnsi" w:cs="Courier New"/>
        </w:rPr>
        <w:t>FY14 cooperative agreement. The HHLPSS ICR</w:t>
      </w:r>
      <w:r w:rsidRPr="00994F3B">
        <w:rPr>
          <w:rFonts w:eastAsiaTheme="minorHAnsi" w:cs="Courier New"/>
        </w:rPr>
        <w:t xml:space="preserve"> will be discontinued at the end of the program period.</w:t>
      </w:r>
      <w:r>
        <w:rPr>
          <w:rFonts w:eastAsiaTheme="minorHAnsi" w:cs="Courier New"/>
        </w:rPr>
        <w:t xml:space="preserve"> Partners who are awardees of both FY14 and FY17 programs, will report FY14 Year 4 data under the existing HHLPSS ICR, and FY17 Years 2 and 3, under this new ICR. Simultaneously, new FY17 program awardees will report all FY17 program data only under this new ICR.</w:t>
      </w:r>
    </w:p>
  </w:footnote>
  <w:footnote w:id="3">
    <w:p w14:paraId="41201252" w14:textId="77777777" w:rsidR="00D271EF" w:rsidRDefault="00D271EF" w:rsidP="001957F2">
      <w:pPr>
        <w:pStyle w:val="FootnoteText"/>
        <w:spacing w:after="120"/>
      </w:pPr>
      <w:r w:rsidRPr="00170EDA">
        <w:rPr>
          <w:rStyle w:val="FootnoteReference"/>
        </w:rPr>
        <w:footnoteRef/>
      </w:r>
      <w:r w:rsidRPr="00170EDA">
        <w:t xml:space="preserve"> </w:t>
      </w:r>
      <w:r w:rsidRPr="00D9054A">
        <w:rPr>
          <w:rFonts w:cs="Arial"/>
          <w:lang w:val="en"/>
        </w:rPr>
        <w:t xml:space="preserve">The 1988 Lead Contamination Control Act amended the Public Health Service Act to authorize the Secretary of Health and Human Services to make grants to state and local governments for the initiation and expansion of community programs designed to: (1) screen infants and children for elevated blood lead levels; (2) assure referral for treatment of, and environmental intervention for, infants and children with such blood lead levels; and (3) provide education about childhood lead poisoning. It requires that grant priority be given to programs which will serve areas with a high incidence of elevated blood levels in infants and children. </w:t>
      </w:r>
      <w:r w:rsidRPr="00170EDA">
        <w:t xml:space="preserve">Accessed 01/20/2017 at </w:t>
      </w:r>
      <w:hyperlink r:id="rId1" w:history="1">
        <w:r w:rsidRPr="00273256">
          <w:rPr>
            <w:rStyle w:val="Hyperlink"/>
          </w:rPr>
          <w:t>https://www.congress.gov/bill/100th-congress/house-bill/4939</w:t>
        </w:r>
      </w:hyperlink>
      <w:r w:rsidRPr="00273256">
        <w:t>.</w:t>
      </w:r>
    </w:p>
    <w:p w14:paraId="066B9CA0" w14:textId="77777777" w:rsidR="00D271EF" w:rsidRPr="00273256" w:rsidRDefault="00D271EF" w:rsidP="001957F2">
      <w:pPr>
        <w:pStyle w:val="FootnoteText"/>
      </w:pPr>
    </w:p>
  </w:footnote>
  <w:footnote w:id="4">
    <w:p w14:paraId="4A9C029A" w14:textId="4EE7888B" w:rsidR="00D271EF" w:rsidRPr="005E0FFF" w:rsidRDefault="00D271EF" w:rsidP="000F3B1D">
      <w:pPr>
        <w:pStyle w:val="Default"/>
        <w:rPr>
          <w:rFonts w:cs="Arial"/>
        </w:rPr>
      </w:pPr>
      <w:r w:rsidRPr="00465BD2">
        <w:rPr>
          <w:rStyle w:val="FootnoteReference"/>
          <w:rFonts w:asciiTheme="minorHAnsi" w:hAnsiTheme="minorHAnsi"/>
          <w:sz w:val="20"/>
          <w:szCs w:val="20"/>
        </w:rPr>
        <w:footnoteRef/>
      </w:r>
      <w:r w:rsidRPr="00465BD2">
        <w:rPr>
          <w:rFonts w:asciiTheme="minorHAnsi" w:hAnsiTheme="minorHAnsi"/>
          <w:sz w:val="20"/>
          <w:szCs w:val="20"/>
        </w:rPr>
        <w:t xml:space="preserve"> </w:t>
      </w:r>
      <w:r>
        <w:rPr>
          <w:rFonts w:asciiTheme="minorHAnsi" w:hAnsiTheme="minorHAnsi"/>
          <w:sz w:val="20"/>
          <w:szCs w:val="20"/>
        </w:rPr>
        <w:t>The Agency for Toxic Substances and Disease Registry (</w:t>
      </w:r>
      <w:r w:rsidRPr="00465BD2">
        <w:rPr>
          <w:rFonts w:asciiTheme="minorHAnsi" w:hAnsiTheme="minorHAnsi"/>
          <w:sz w:val="20"/>
          <w:szCs w:val="20"/>
        </w:rPr>
        <w:t>ATSDR</w:t>
      </w:r>
      <w:r>
        <w:rPr>
          <w:rFonts w:asciiTheme="minorHAnsi" w:hAnsiTheme="minorHAnsi"/>
          <w:sz w:val="20"/>
          <w:szCs w:val="20"/>
        </w:rPr>
        <w:t>)</w:t>
      </w:r>
      <w:r w:rsidRPr="00465BD2">
        <w:rPr>
          <w:rFonts w:asciiTheme="minorHAnsi" w:hAnsiTheme="minorHAnsi"/>
          <w:sz w:val="20"/>
          <w:szCs w:val="20"/>
        </w:rPr>
        <w:t xml:space="preserve"> has not developed Minimal Risk Levels (MRLs) for lead because a clear threshold for some of the more sensitive effects in humans has not been identified. </w:t>
      </w:r>
      <w:r w:rsidRPr="00465BD2">
        <w:rPr>
          <w:rFonts w:asciiTheme="minorHAnsi" w:hAnsiTheme="minorHAnsi" w:cs="Arial"/>
          <w:sz w:val="20"/>
          <w:szCs w:val="20"/>
        </w:rPr>
        <w:t>An MRL is "an estimate of the daily human exposure to a dose of a chemical that is likely to be without an appreciable risk of adverse, noncancerous effects over a specified dura</w:t>
      </w:r>
      <w:r w:rsidRPr="00DD3238">
        <w:rPr>
          <w:rFonts w:asciiTheme="minorHAnsi" w:hAnsiTheme="minorHAnsi" w:cs="Arial"/>
          <w:sz w:val="20"/>
          <w:szCs w:val="20"/>
        </w:rPr>
        <w:t>tion of exposure</w:t>
      </w:r>
      <w:r>
        <w:rPr>
          <w:rFonts w:asciiTheme="minorHAnsi" w:hAnsiTheme="minorHAnsi" w:cs="Arial"/>
          <w:sz w:val="20"/>
          <w:szCs w:val="20"/>
        </w:rPr>
        <w:t>.”</w:t>
      </w:r>
      <w:r w:rsidRPr="00465BD2">
        <w:rPr>
          <w:rFonts w:asciiTheme="minorHAnsi" w:hAnsiTheme="minorHAnsi" w:cs="Arial"/>
          <w:sz w:val="20"/>
          <w:szCs w:val="20"/>
        </w:rPr>
        <w:t xml:space="preserve"> </w:t>
      </w:r>
      <w:r w:rsidRPr="004F789E">
        <w:rPr>
          <w:rFonts w:asciiTheme="minorHAnsi" w:hAnsiTheme="minorHAnsi"/>
          <w:sz w:val="20"/>
          <w:szCs w:val="20"/>
        </w:rPr>
        <w:t>See “</w:t>
      </w:r>
      <w:r w:rsidRPr="00465BD2">
        <w:rPr>
          <w:rFonts w:asciiTheme="minorHAnsi" w:hAnsiTheme="minorHAnsi"/>
          <w:sz w:val="20"/>
          <w:szCs w:val="20"/>
        </w:rPr>
        <w:t xml:space="preserve">Section 2.3 – Lead Dose-Response Relationships” on page 31 and Appendix D on page D-1 from the ATSDR </w:t>
      </w:r>
      <w:r>
        <w:rPr>
          <w:rFonts w:asciiTheme="minorHAnsi" w:hAnsiTheme="minorHAnsi"/>
          <w:sz w:val="20"/>
          <w:szCs w:val="20"/>
        </w:rPr>
        <w:t>Toxicological Profile for Lead (2007)</w:t>
      </w:r>
      <w:r w:rsidRPr="00465BD2">
        <w:rPr>
          <w:rFonts w:asciiTheme="minorHAnsi" w:hAnsiTheme="minorHAnsi"/>
          <w:sz w:val="20"/>
          <w:szCs w:val="20"/>
        </w:rPr>
        <w:t xml:space="preserve"> at </w:t>
      </w:r>
      <w:hyperlink r:id="rId2" w:history="1">
        <w:r w:rsidRPr="00465BD2">
          <w:rPr>
            <w:rStyle w:val="Hyperlink"/>
            <w:rFonts w:asciiTheme="minorHAnsi" w:hAnsiTheme="minorHAnsi"/>
            <w:sz w:val="20"/>
            <w:szCs w:val="20"/>
          </w:rPr>
          <w:t>https://www.atsdr.cdc.gov/toxprofiles/tp13.pdf</w:t>
        </w:r>
      </w:hyperlink>
      <w:r>
        <w:rPr>
          <w:rFonts w:asciiTheme="minorHAnsi" w:hAnsiTheme="minorHAnsi"/>
          <w:sz w:val="20"/>
          <w:szCs w:val="20"/>
        </w:rPr>
        <w:t>.</w:t>
      </w:r>
      <w:r w:rsidRPr="007D2D52">
        <w:rPr>
          <w:rFonts w:asciiTheme="minorHAnsi" w:hAnsiTheme="minorHAnsi"/>
          <w:sz w:val="20"/>
          <w:szCs w:val="20"/>
        </w:rPr>
        <w:t xml:space="preserve"> </w:t>
      </w:r>
    </w:p>
  </w:footnote>
  <w:footnote w:id="5">
    <w:p w14:paraId="5C5E83D2" w14:textId="2D816AFC" w:rsidR="00D271EF" w:rsidRPr="002841FE" w:rsidRDefault="00D271EF" w:rsidP="00A30A76">
      <w:pPr>
        <w:autoSpaceDE w:val="0"/>
        <w:autoSpaceDN w:val="0"/>
        <w:adjustRightInd w:val="0"/>
        <w:spacing w:line="276" w:lineRule="auto"/>
        <w:ind w:left="360"/>
        <w:rPr>
          <w:rFonts w:cs="Times New Roman"/>
          <w:sz w:val="20"/>
          <w:szCs w:val="20"/>
        </w:rPr>
      </w:pPr>
      <w:r w:rsidRPr="002841FE">
        <w:rPr>
          <w:rStyle w:val="FootnoteReference"/>
          <w:sz w:val="20"/>
          <w:szCs w:val="20"/>
        </w:rPr>
        <w:footnoteRef/>
      </w:r>
      <w:r w:rsidRPr="002841FE">
        <w:rPr>
          <w:sz w:val="20"/>
          <w:szCs w:val="20"/>
        </w:rPr>
        <w:t xml:space="preserve"> </w:t>
      </w:r>
      <w:r w:rsidRPr="002841FE">
        <w:rPr>
          <w:rFonts w:cs="Times New Roman"/>
          <w:sz w:val="20"/>
          <w:szCs w:val="20"/>
        </w:rPr>
        <w:t xml:space="preserve"> See </w:t>
      </w:r>
      <w:hyperlink r:id="rId3" w:history="1">
        <w:r w:rsidRPr="002841FE">
          <w:rPr>
            <w:rStyle w:val="Hyperlink"/>
            <w:rFonts w:cs="Times New Roman"/>
            <w:sz w:val="20"/>
            <w:szCs w:val="20"/>
          </w:rPr>
          <w:t>https://wwwdev.cdc.gov/niosh/topics/ables/default.html</w:t>
        </w:r>
      </w:hyperlink>
      <w:r w:rsidRPr="002841FE">
        <w:rPr>
          <w:rFonts w:cs="Times New Roman"/>
          <w:sz w:val="20"/>
          <w:szCs w:val="20"/>
        </w:rPr>
        <w:t xml:space="preserve">. The most recent MMWR report can be found at: </w:t>
      </w:r>
      <w:hyperlink r:id="rId4" w:history="1">
        <w:r w:rsidRPr="002841FE">
          <w:rPr>
            <w:rStyle w:val="Hyperlink"/>
            <w:rFonts w:cs="Times New Roman"/>
            <w:sz w:val="20"/>
            <w:szCs w:val="20"/>
          </w:rPr>
          <w:t>https://www.cdc.gov/mmwr/volumes/63/wr/mm6355a5.htm</w:t>
        </w:r>
      </w:hyperlink>
      <w:r w:rsidRPr="002841FE">
        <w:rPr>
          <w:rFonts w:cs="Times New Roman"/>
          <w:sz w:val="20"/>
          <w:szCs w:val="20"/>
        </w:rPr>
        <w:t xml:space="preserve">. </w:t>
      </w:r>
    </w:p>
    <w:p w14:paraId="3579B665" w14:textId="3A012EDA" w:rsidR="00D271EF" w:rsidRDefault="00D271EF">
      <w:pPr>
        <w:pStyle w:val="FootnoteText"/>
      </w:pPr>
    </w:p>
  </w:footnote>
  <w:footnote w:id="6">
    <w:p w14:paraId="6FE38F15" w14:textId="371EA98F" w:rsidR="00D271EF" w:rsidRPr="00991F5B" w:rsidRDefault="00D271EF" w:rsidP="00864E6C">
      <w:pPr>
        <w:pStyle w:val="FootnoteText"/>
        <w:spacing w:after="240"/>
      </w:pPr>
      <w:r w:rsidRPr="00991F5B">
        <w:rPr>
          <w:rStyle w:val="FootnoteReference"/>
        </w:rPr>
        <w:footnoteRef/>
      </w:r>
      <w:r w:rsidRPr="00991F5B">
        <w:t xml:space="preserve"> </w:t>
      </w:r>
      <w:r w:rsidRPr="00864E6C">
        <w:rPr>
          <w:color w:val="333333"/>
        </w:rPr>
        <w:t>The National Electronic Disease Surveillance System (NEDSS) facilitates electronically transferring public health surveillance data from the healthcare system to public health departments.  It is a conduit for exchanging information that supports NNDSS.  Today, when states and territories voluntarily submit notifiable disease surveillance data electronically to CDC, they use data standards and electronic disease information systems and resources supported in part by NEDSS.  This ensures that state data shared with CDC are submitted quickly, securely and in an understandable form.</w:t>
      </w:r>
      <w:r>
        <w:rPr>
          <w:color w:val="333333"/>
        </w:rPr>
        <w:t xml:space="preserve"> Accessed 01/31/2017 at </w:t>
      </w:r>
      <w:hyperlink r:id="rId5" w:history="1">
        <w:r w:rsidRPr="00FB423F">
          <w:rPr>
            <w:rStyle w:val="Hyperlink"/>
          </w:rPr>
          <w:t>https://wwwn.cdc.gov/nndss/nedss.html</w:t>
        </w:r>
      </w:hyperlink>
      <w:r>
        <w:rPr>
          <w:color w:val="333333"/>
        </w:rPr>
        <w:t xml:space="preserve">. </w:t>
      </w:r>
    </w:p>
  </w:footnote>
  <w:footnote w:id="7">
    <w:p w14:paraId="5D723275" w14:textId="77777777" w:rsidR="00D271EF" w:rsidRDefault="00D271EF" w:rsidP="00F14E1D">
      <w:pPr>
        <w:pStyle w:val="FootnoteText"/>
        <w:spacing w:after="120"/>
      </w:pPr>
      <w:r>
        <w:rPr>
          <w:rStyle w:val="FootnoteReference"/>
        </w:rPr>
        <w:footnoteRef/>
      </w:r>
      <w:r>
        <w:t xml:space="preserve"> See Attachment 4b – Data Dictionary for Childhood Blood Lead Poisoning for the National Environmental Public Health Tracking Network at </w:t>
      </w:r>
      <w:hyperlink r:id="rId6" w:history="1">
        <w:r w:rsidRPr="00A616F2">
          <w:rPr>
            <w:rStyle w:val="Hyperlink"/>
          </w:rPr>
          <w:t>https://www.reginfo.gov/public/do/PRAViewICR?ref_nbr=201607-0920-005</w:t>
        </w:r>
      </w:hyperlink>
      <w:r>
        <w:t xml:space="preserve">. </w:t>
      </w:r>
    </w:p>
  </w:footnote>
  <w:footnote w:id="8">
    <w:p w14:paraId="51A04B27" w14:textId="77777777" w:rsidR="00D271EF" w:rsidRPr="00DF02B5" w:rsidRDefault="00D271EF" w:rsidP="00495B0B">
      <w:pPr>
        <w:pStyle w:val="FootnoteText"/>
      </w:pPr>
      <w:r w:rsidRPr="00DF02B5">
        <w:rPr>
          <w:rStyle w:val="FootnoteReference"/>
        </w:rPr>
        <w:footnoteRef/>
      </w:r>
      <w:r w:rsidRPr="00DF02B5">
        <w:t xml:space="preserve"> </w:t>
      </w:r>
      <w:r>
        <w:t xml:space="preserve">CMS: Accessed 01/27/2017 at </w:t>
      </w:r>
      <w:hyperlink r:id="rId7" w:history="1">
        <w:r w:rsidRPr="00864E6C">
          <w:rPr>
            <w:rStyle w:val="Hyperlink"/>
          </w:rPr>
          <w:t>https://www.medicaid.gov/federal-policy-guidance/downloads/cib113016.pdf</w:t>
        </w:r>
      </w:hyperlink>
      <w:r w:rsidRPr="00864E6C">
        <w:t xml:space="preserve"> </w:t>
      </w:r>
    </w:p>
  </w:footnote>
  <w:footnote w:id="9">
    <w:p w14:paraId="0D6FF043" w14:textId="77777777" w:rsidR="00D271EF" w:rsidRPr="00584F24" w:rsidRDefault="00D271EF" w:rsidP="00495B0B">
      <w:pPr>
        <w:pStyle w:val="FootnoteText"/>
      </w:pPr>
      <w:r>
        <w:rPr>
          <w:rStyle w:val="FootnoteReference"/>
        </w:rPr>
        <w:footnoteRef/>
      </w:r>
      <w:r>
        <w:t xml:space="preserve"> CMS: Accessed </w:t>
      </w:r>
      <w:r w:rsidRPr="00584F24">
        <w:t xml:space="preserve">01/27/2017 at </w:t>
      </w:r>
      <w:hyperlink r:id="rId8" w:history="1">
        <w:r w:rsidRPr="00584F24">
          <w:rPr>
            <w:rStyle w:val="Hyperlink"/>
          </w:rPr>
          <w:t>https://www.medicaid.gov/federal-policy-guidance/downloads/cib-06-22-12.pdf</w:t>
        </w:r>
      </w:hyperlink>
      <w:r w:rsidRPr="00584F24">
        <w:t xml:space="preserve"> </w:t>
      </w:r>
    </w:p>
  </w:footnote>
  <w:footnote w:id="10">
    <w:p w14:paraId="1A60ECB2" w14:textId="77777777" w:rsidR="00D271EF" w:rsidRPr="00584F24" w:rsidRDefault="00D271EF" w:rsidP="00495B0B">
      <w:pPr>
        <w:pStyle w:val="FootnoteText"/>
      </w:pPr>
      <w:r w:rsidRPr="00584F24">
        <w:rPr>
          <w:rStyle w:val="FootnoteReference"/>
        </w:rPr>
        <w:footnoteRef/>
      </w:r>
      <w:r w:rsidRPr="00584F24">
        <w:t xml:space="preserve"> CMS: Accessed 01/27/2017 at </w:t>
      </w:r>
      <w:hyperlink r:id="rId9" w:history="1">
        <w:r w:rsidRPr="00584F24">
          <w:rPr>
            <w:rStyle w:val="Hyperlink"/>
          </w:rPr>
          <w:t>https://www.cms.gov/Medicare/CMS-Forms/CMS-Forms/Downloads/CMS416.pdf</w:t>
        </w:r>
      </w:hyperlink>
      <w:r w:rsidRPr="00584F24">
        <w:t xml:space="preserve"> </w:t>
      </w:r>
    </w:p>
  </w:footnote>
  <w:footnote w:id="11">
    <w:p w14:paraId="23ECC832" w14:textId="7DEA0085" w:rsidR="00D271EF" w:rsidRPr="00864E6C" w:rsidRDefault="00D271EF" w:rsidP="00864E6C">
      <w:pPr>
        <w:autoSpaceDE w:val="0"/>
        <w:autoSpaceDN w:val="0"/>
        <w:adjustRightInd w:val="0"/>
        <w:spacing w:line="240" w:lineRule="auto"/>
        <w:rPr>
          <w:rFonts w:cs="Melior"/>
          <w:sz w:val="20"/>
          <w:szCs w:val="20"/>
        </w:rPr>
      </w:pPr>
      <w:r w:rsidRPr="00864E6C">
        <w:rPr>
          <w:rStyle w:val="FootnoteReference"/>
          <w:sz w:val="20"/>
          <w:szCs w:val="20"/>
        </w:rPr>
        <w:footnoteRef/>
      </w:r>
      <w:r w:rsidRPr="00864E6C">
        <w:rPr>
          <w:sz w:val="20"/>
          <w:szCs w:val="20"/>
        </w:rPr>
        <w:t xml:space="preserve"> </w:t>
      </w:r>
      <w:r>
        <w:rPr>
          <w:rFonts w:cs="Melior"/>
          <w:sz w:val="20"/>
          <w:szCs w:val="20"/>
        </w:rPr>
        <w:t>HUD’s</w:t>
      </w:r>
      <w:r w:rsidRPr="00864E6C">
        <w:rPr>
          <w:rFonts w:cs="Melior"/>
          <w:sz w:val="20"/>
          <w:szCs w:val="20"/>
        </w:rPr>
        <w:t xml:space="preserve"> </w:t>
      </w:r>
      <w:r>
        <w:rPr>
          <w:rFonts w:cs="Melior"/>
          <w:sz w:val="20"/>
          <w:szCs w:val="20"/>
        </w:rPr>
        <w:t>2017 final rule revises the agency’s</w:t>
      </w:r>
      <w:r w:rsidRPr="00864E6C">
        <w:rPr>
          <w:rFonts w:cs="Melior"/>
          <w:sz w:val="20"/>
          <w:szCs w:val="20"/>
        </w:rPr>
        <w:t xml:space="preserve"> criteria under the L</w:t>
      </w:r>
      <w:r>
        <w:rPr>
          <w:rFonts w:cs="Melior"/>
          <w:sz w:val="20"/>
          <w:szCs w:val="20"/>
        </w:rPr>
        <w:t xml:space="preserve">ead </w:t>
      </w:r>
      <w:r w:rsidRPr="00864E6C">
        <w:rPr>
          <w:rFonts w:cs="Melior"/>
          <w:sz w:val="20"/>
          <w:szCs w:val="20"/>
        </w:rPr>
        <w:t>S</w:t>
      </w:r>
      <w:r>
        <w:rPr>
          <w:rFonts w:cs="Melior"/>
          <w:sz w:val="20"/>
          <w:szCs w:val="20"/>
        </w:rPr>
        <w:t xml:space="preserve">afe </w:t>
      </w:r>
      <w:r w:rsidRPr="00864E6C">
        <w:rPr>
          <w:rFonts w:cs="Melior"/>
          <w:sz w:val="20"/>
          <w:szCs w:val="20"/>
        </w:rPr>
        <w:t>H</w:t>
      </w:r>
      <w:r>
        <w:rPr>
          <w:rFonts w:cs="Melior"/>
          <w:sz w:val="20"/>
          <w:szCs w:val="20"/>
        </w:rPr>
        <w:t xml:space="preserve">ousing </w:t>
      </w:r>
      <w:r w:rsidRPr="00864E6C">
        <w:rPr>
          <w:rFonts w:cs="Melior"/>
          <w:sz w:val="20"/>
          <w:szCs w:val="20"/>
        </w:rPr>
        <w:t>R</w:t>
      </w:r>
      <w:r>
        <w:rPr>
          <w:rFonts w:cs="Melior"/>
          <w:sz w:val="20"/>
          <w:szCs w:val="20"/>
        </w:rPr>
        <w:t>ule (LSHR)</w:t>
      </w:r>
      <w:r w:rsidRPr="00864E6C">
        <w:rPr>
          <w:rFonts w:cs="Melior"/>
          <w:sz w:val="20"/>
          <w:szCs w:val="20"/>
        </w:rPr>
        <w:t xml:space="preserve"> for responding to the identification of children</w:t>
      </w:r>
      <w:r>
        <w:rPr>
          <w:rFonts w:cs="Melior"/>
          <w:sz w:val="20"/>
          <w:szCs w:val="20"/>
        </w:rPr>
        <w:t>,</w:t>
      </w:r>
      <w:r w:rsidRPr="00864E6C">
        <w:rPr>
          <w:rFonts w:cs="Melior"/>
          <w:sz w:val="20"/>
          <w:szCs w:val="20"/>
        </w:rPr>
        <w:t xml:space="preserve"> under age six</w:t>
      </w:r>
      <w:r>
        <w:rPr>
          <w:rFonts w:cs="Melior"/>
          <w:sz w:val="20"/>
          <w:szCs w:val="20"/>
        </w:rPr>
        <w:t xml:space="preserve"> with elevated BLL</w:t>
      </w:r>
      <w:r w:rsidRPr="00864E6C">
        <w:rPr>
          <w:rFonts w:cs="Melior"/>
          <w:sz w:val="20"/>
          <w:szCs w:val="20"/>
        </w:rPr>
        <w:t>s</w:t>
      </w:r>
      <w:r>
        <w:rPr>
          <w:rFonts w:cs="Melior"/>
          <w:sz w:val="20"/>
          <w:szCs w:val="20"/>
        </w:rPr>
        <w:t>, who are</w:t>
      </w:r>
      <w:r w:rsidRPr="00864E6C">
        <w:rPr>
          <w:rFonts w:cs="Melior"/>
          <w:sz w:val="20"/>
          <w:szCs w:val="20"/>
        </w:rPr>
        <w:t xml:space="preserve"> residing in covered federally-assisted and federally-owned target housing. The final rule also addresses lead hazard evaluation and control for additional assisted housing units in the same properties as those in which children</w:t>
      </w:r>
      <w:r>
        <w:rPr>
          <w:rFonts w:cs="Melior"/>
          <w:sz w:val="20"/>
          <w:szCs w:val="20"/>
        </w:rPr>
        <w:t>,</w:t>
      </w:r>
      <w:r w:rsidRPr="00864E6C">
        <w:rPr>
          <w:rFonts w:cs="Melior"/>
          <w:sz w:val="20"/>
          <w:szCs w:val="20"/>
        </w:rPr>
        <w:t xml:space="preserve"> under age six w</w:t>
      </w:r>
      <w:r>
        <w:rPr>
          <w:rFonts w:cs="Melior"/>
          <w:sz w:val="20"/>
          <w:szCs w:val="20"/>
        </w:rPr>
        <w:t>ith elevated BLL</w:t>
      </w:r>
      <w:r w:rsidRPr="00864E6C">
        <w:rPr>
          <w:rFonts w:cs="Melior"/>
          <w:sz w:val="20"/>
          <w:szCs w:val="20"/>
        </w:rPr>
        <w:t>s</w:t>
      </w:r>
      <w:r>
        <w:rPr>
          <w:rFonts w:cs="Melior"/>
          <w:sz w:val="20"/>
          <w:szCs w:val="20"/>
        </w:rPr>
        <w:t>,</w:t>
      </w:r>
      <w:r w:rsidRPr="00864E6C">
        <w:rPr>
          <w:rFonts w:cs="Melior"/>
          <w:sz w:val="20"/>
          <w:szCs w:val="20"/>
        </w:rPr>
        <w:t xml:space="preserve"> have been discovered. The final rule adopts an approach </w:t>
      </w:r>
      <w:r>
        <w:rPr>
          <w:rFonts w:cs="Melior"/>
          <w:sz w:val="20"/>
          <w:szCs w:val="20"/>
        </w:rPr>
        <w:t xml:space="preserve">that is consistent with </w:t>
      </w:r>
      <w:r w:rsidRPr="00864E6C">
        <w:rPr>
          <w:rFonts w:cs="Melior"/>
          <w:sz w:val="20"/>
          <w:szCs w:val="20"/>
        </w:rPr>
        <w:t>the CDC’s refe</w:t>
      </w:r>
      <w:r>
        <w:rPr>
          <w:rFonts w:cs="Melior"/>
          <w:sz w:val="20"/>
          <w:szCs w:val="20"/>
        </w:rPr>
        <w:t>rence range value for BLLs in children</w:t>
      </w:r>
      <w:r w:rsidRPr="00864E6C">
        <w:rPr>
          <w:rFonts w:cs="Melior"/>
          <w:sz w:val="20"/>
          <w:szCs w:val="20"/>
        </w:rPr>
        <w:t>.</w:t>
      </w:r>
      <w:r>
        <w:rPr>
          <w:rFonts w:cs="Melior"/>
          <w:sz w:val="20"/>
          <w:szCs w:val="20"/>
        </w:rPr>
        <w:t xml:space="preserve"> </w:t>
      </w:r>
    </w:p>
    <w:p w14:paraId="73E2BCF0" w14:textId="65A36D9C" w:rsidR="00D271EF" w:rsidRDefault="00D271EF">
      <w:pPr>
        <w:pStyle w:val="FootnoteText"/>
      </w:pPr>
    </w:p>
  </w:footnote>
  <w:footnote w:id="12">
    <w:p w14:paraId="78A15B8F" w14:textId="1260E314" w:rsidR="00D271EF" w:rsidRDefault="00D271EF">
      <w:pPr>
        <w:pStyle w:val="FootnoteText"/>
      </w:pPr>
      <w:r>
        <w:rPr>
          <w:rStyle w:val="FootnoteReference"/>
        </w:rPr>
        <w:footnoteRef/>
      </w:r>
      <w:r>
        <w:t xml:space="preserve"> See </w:t>
      </w:r>
      <w:hyperlink r:id="rId10" w:history="1">
        <w:r w:rsidRPr="000668B4">
          <w:rPr>
            <w:rStyle w:val="Hyperlink"/>
          </w:rPr>
          <w:t>https://www.cdc.gov/SORNnotice/09-20-0136.htm</w:t>
        </w:r>
      </w:hyperlink>
      <w:r>
        <w:t xml:space="preserve">. </w:t>
      </w:r>
    </w:p>
  </w:footnote>
  <w:footnote w:id="13">
    <w:p w14:paraId="5E8D0085" w14:textId="0B956022" w:rsidR="00D271EF" w:rsidRPr="00864E6C" w:rsidRDefault="00D271EF" w:rsidP="00864E6C">
      <w:pPr>
        <w:spacing w:line="240" w:lineRule="auto"/>
        <w:rPr>
          <w:rStyle w:val="p1"/>
          <w:rFonts w:cs="Arial"/>
          <w:sz w:val="20"/>
          <w:szCs w:val="20"/>
          <w:u w:val="single"/>
        </w:rPr>
      </w:pPr>
      <w:r w:rsidRPr="00954A9D">
        <w:rPr>
          <w:rStyle w:val="FootnoteReference"/>
          <w:sz w:val="20"/>
          <w:szCs w:val="20"/>
        </w:rPr>
        <w:footnoteRef/>
      </w:r>
      <w:r w:rsidRPr="00954A9D">
        <w:rPr>
          <w:sz w:val="20"/>
          <w:szCs w:val="20"/>
        </w:rPr>
        <w:t xml:space="preserve"> </w:t>
      </w:r>
      <w:r w:rsidRPr="00954A9D">
        <w:rPr>
          <w:rStyle w:val="sectno"/>
          <w:rFonts w:cs="Arial"/>
          <w:sz w:val="20"/>
          <w:szCs w:val="20"/>
          <w:u w:val="single"/>
        </w:rPr>
        <w:t xml:space="preserve">5 CFR § 1320.3 </w:t>
      </w:r>
      <w:r>
        <w:rPr>
          <w:rStyle w:val="sectno"/>
          <w:rFonts w:cs="Arial"/>
          <w:sz w:val="20"/>
          <w:szCs w:val="20"/>
          <w:u w:val="single"/>
        </w:rPr>
        <w:t>–</w:t>
      </w:r>
      <w:r w:rsidRPr="00954A9D">
        <w:rPr>
          <w:rStyle w:val="sectno"/>
          <w:rFonts w:cs="Arial"/>
          <w:sz w:val="20"/>
          <w:szCs w:val="20"/>
          <w:u w:val="single"/>
        </w:rPr>
        <w:t xml:space="preserve"> Definitions</w:t>
      </w:r>
      <w:r w:rsidRPr="00864E6C">
        <w:rPr>
          <w:rStyle w:val="sectno"/>
          <w:rFonts w:cs="Arial"/>
          <w:sz w:val="20"/>
          <w:szCs w:val="20"/>
        </w:rPr>
        <w:t xml:space="preserve">: </w:t>
      </w:r>
      <w:r w:rsidRPr="00954A9D">
        <w:rPr>
          <w:rStyle w:val="p1"/>
          <w:rFonts w:cs="Arial"/>
          <w:sz w:val="20"/>
          <w:szCs w:val="20"/>
          <w:specVanish w:val="0"/>
        </w:rPr>
        <w:t>For purposes of im</w:t>
      </w:r>
      <w:r>
        <w:rPr>
          <w:rStyle w:val="p1"/>
          <w:rFonts w:cs="Arial"/>
          <w:sz w:val="20"/>
          <w:szCs w:val="20"/>
          <w:specVanish w:val="0"/>
        </w:rPr>
        <w:t>plementing the PRA</w:t>
      </w:r>
      <w:r w:rsidRPr="00954A9D">
        <w:rPr>
          <w:rStyle w:val="p1"/>
          <w:rFonts w:cs="Arial"/>
          <w:sz w:val="20"/>
          <w:szCs w:val="20"/>
          <w:specVanish w:val="0"/>
        </w:rPr>
        <w:t>, the following terms are defined as follows</w:t>
      </w:r>
      <w:r>
        <w:rPr>
          <w:rStyle w:val="p1"/>
          <w:rFonts w:cs="Arial"/>
          <w:sz w:val="20"/>
          <w:szCs w:val="20"/>
          <w:specVanish w:val="0"/>
        </w:rPr>
        <w:t xml:space="preserve"> in Paragraph (b)</w:t>
      </w:r>
      <w:r w:rsidRPr="00954A9D">
        <w:rPr>
          <w:rStyle w:val="p1"/>
          <w:rFonts w:cs="Arial"/>
          <w:sz w:val="20"/>
          <w:szCs w:val="20"/>
          <w:specVanish w:val="0"/>
        </w:rPr>
        <w:t xml:space="preserve">: </w:t>
      </w:r>
    </w:p>
    <w:p w14:paraId="6259E9CC" w14:textId="53478AFD" w:rsidR="00D271EF" w:rsidRPr="00864E6C" w:rsidRDefault="00D271EF" w:rsidP="00864E6C">
      <w:pPr>
        <w:spacing w:line="240" w:lineRule="auto"/>
        <w:rPr>
          <w:rStyle w:val="p1"/>
          <w:rFonts w:cs="Arial"/>
          <w:i/>
          <w:sz w:val="20"/>
          <w:szCs w:val="20"/>
        </w:rPr>
      </w:pPr>
      <w:r w:rsidRPr="00864E6C">
        <w:rPr>
          <w:rStyle w:val="p1"/>
          <w:rFonts w:cs="Arial"/>
          <w:i/>
          <w:sz w:val="20"/>
          <w:szCs w:val="20"/>
          <w:specVanish w:val="0"/>
        </w:rPr>
        <w:t>(2) The time, effort, and financial resources necessary to comply with a collection of information that would be incurred by persons in the normal course of their activities (e.g., in compiling and maintaining business records) will be excluded from the “burden” if the agency demonstrates that the reporting, recordkeeping, or disclosure activities needed to comply are usual and customary.</w:t>
      </w:r>
    </w:p>
    <w:p w14:paraId="2E6B1E23" w14:textId="7AABE78B" w:rsidR="00D271EF" w:rsidRPr="00864E6C" w:rsidRDefault="00D271EF" w:rsidP="00864E6C">
      <w:pPr>
        <w:spacing w:line="240" w:lineRule="auto"/>
        <w:rPr>
          <w:rFonts w:cs="Arial"/>
          <w:i/>
          <w:sz w:val="20"/>
          <w:szCs w:val="20"/>
        </w:rPr>
      </w:pPr>
      <w:r w:rsidRPr="00864E6C">
        <w:rPr>
          <w:rStyle w:val="p1"/>
          <w:rFonts w:cs="Arial"/>
          <w:i/>
          <w:sz w:val="20"/>
          <w:szCs w:val="20"/>
          <w:specVanish w:val="0"/>
        </w:rPr>
        <w:t>(3) A collection of information conducted or sponsored by a Federal agency that is also conducted or sponsored by a unit of State, local, or tribal government is presumed to impose a Federal burden except to the extent that the agency shows that such State, local, or tribal requirement would be imposed even in the absence of a Federal requirement.</w:t>
      </w:r>
    </w:p>
    <w:p w14:paraId="4DCE643E" w14:textId="4EDFB3A3" w:rsidR="00D271EF" w:rsidRDefault="00D271EF">
      <w:pPr>
        <w:pStyle w:val="FootnoteText"/>
      </w:pPr>
    </w:p>
  </w:footnote>
  <w:footnote w:id="14">
    <w:p w14:paraId="2520F8F7" w14:textId="161AD160" w:rsidR="00D271EF" w:rsidRPr="00313120" w:rsidRDefault="00D271EF">
      <w:pPr>
        <w:pStyle w:val="FootnoteText"/>
      </w:pPr>
      <w:r w:rsidRPr="00313120">
        <w:rPr>
          <w:rStyle w:val="FootnoteReference"/>
        </w:rPr>
        <w:footnoteRef/>
      </w:r>
      <w:r w:rsidRPr="00313120">
        <w:t xml:space="preserve"> </w:t>
      </w:r>
      <w:hyperlink r:id="rId11" w:tgtFrame="_self" w:history="1">
        <w:r w:rsidRPr="00313120">
          <w:rPr>
            <w:u w:val="single"/>
          </w:rPr>
          <w:t>The Lead Disclosure Rule (Title X, Section 1018)</w:t>
        </w:r>
      </w:hyperlink>
      <w:r w:rsidRPr="00313120">
        <w:t>. This law requires the disclosure of known information on lead-based paint and lead-based paint hazards before the sale or lease of most housing built before 1978. Source: U.S. HUD</w:t>
      </w:r>
    </w:p>
  </w:footnote>
  <w:footnote w:id="15">
    <w:p w14:paraId="0D1B7ED1" w14:textId="77777777" w:rsidR="00D271EF" w:rsidRDefault="00D271EF" w:rsidP="0000150C">
      <w:pPr>
        <w:pStyle w:val="FootnoteText"/>
      </w:pPr>
      <w:r w:rsidRPr="00313120">
        <w:rPr>
          <w:rStyle w:val="FootnoteReference"/>
        </w:rPr>
        <w:footnoteRef/>
      </w:r>
      <w:r w:rsidRPr="00313120">
        <w:t xml:space="preserve"> </w:t>
      </w:r>
      <w:hyperlink r:id="rId12" w:tgtFrame="_self" w:history="1">
        <w:r w:rsidRPr="00313120">
          <w:rPr>
            <w:u w:val="single"/>
          </w:rPr>
          <w:t>HUD’s Lead Safe Housing Rule</w:t>
        </w:r>
      </w:hyperlink>
      <w:r w:rsidRPr="00313120">
        <w:t>. The U.S. Department of Housing and Urban Development’s Lead Safe Housing Rule applies to all target housing that is federally owned and applies to target housing receiving federal assistance. Source: U.S. HUD</w:t>
      </w:r>
    </w:p>
  </w:footnote>
  <w:footnote w:id="16">
    <w:p w14:paraId="1C3F1536" w14:textId="77777777" w:rsidR="00D271EF" w:rsidRPr="00965A73" w:rsidRDefault="00D271EF" w:rsidP="00C83301">
      <w:pPr>
        <w:pStyle w:val="FootnoteText"/>
      </w:pPr>
      <w:r w:rsidRPr="00965A73">
        <w:rPr>
          <w:rStyle w:val="FootnoteReference"/>
        </w:rPr>
        <w:footnoteRef/>
      </w:r>
      <w:r w:rsidRPr="00965A73">
        <w:t xml:space="preserve"> See </w:t>
      </w:r>
      <w:hyperlink r:id="rId13" w:history="1">
        <w:r w:rsidRPr="00965A73">
          <w:rPr>
            <w:rStyle w:val="Hyperlink"/>
          </w:rPr>
          <w:t>https://www.cdc.gov/SORNnotice/09-20-0136.htm</w:t>
        </w:r>
      </w:hyperlink>
      <w:r w:rsidRPr="00965A73">
        <w:t xml:space="preserve">. </w:t>
      </w:r>
    </w:p>
  </w:footnote>
  <w:footnote w:id="17">
    <w:p w14:paraId="735B3680" w14:textId="45B12920" w:rsidR="00D271EF" w:rsidRDefault="00D271EF" w:rsidP="00864E6C">
      <w:pPr>
        <w:pStyle w:val="FootnoteText"/>
        <w:ind w:left="540" w:hanging="540"/>
      </w:pPr>
      <w:r w:rsidRPr="00965A73">
        <w:rPr>
          <w:rStyle w:val="FootnoteReference"/>
        </w:rPr>
        <w:footnoteRef/>
      </w:r>
      <w:r w:rsidRPr="00965A73">
        <w:t xml:space="preserve"> See </w:t>
      </w:r>
      <w:hyperlink r:id="rId14" w:history="1">
        <w:r w:rsidRPr="00AC1754">
          <w:rPr>
            <w:rStyle w:val="Hyperlink"/>
          </w:rPr>
          <w:t>https://www.gpo.gov/fdsys/pkg/CFR-2011-title45-vol1/pdf/CFR-2011-title45-vol1-sec164-512.pdf</w:t>
        </w:r>
      </w:hyperlink>
      <w:r>
        <w:t xml:space="preserve"> and the discussion of </w:t>
      </w:r>
      <w:r w:rsidRPr="00965A73">
        <w:t xml:space="preserve">45 CFR 164.512(b) </w:t>
      </w:r>
      <w:r>
        <w:t xml:space="preserve">at </w:t>
      </w:r>
      <w:hyperlink r:id="rId15" w:history="1">
        <w:r w:rsidRPr="00AC1754">
          <w:rPr>
            <w:rStyle w:val="Hyperlink"/>
          </w:rPr>
          <w:t>https://privacyruleandresearch.nih.gov/pdf/ocr_publichealth.pdf</w:t>
        </w:r>
      </w:hyperlink>
      <w:r>
        <w:t xml:space="preserve">. </w:t>
      </w:r>
    </w:p>
  </w:footnote>
  <w:footnote w:id="18">
    <w:p w14:paraId="074A3714" w14:textId="0D910715" w:rsidR="00D271EF" w:rsidRPr="00CD6CF2" w:rsidRDefault="00D271EF">
      <w:pPr>
        <w:pStyle w:val="FootnoteText"/>
      </w:pPr>
      <w:r w:rsidRPr="00CD6CF2">
        <w:rPr>
          <w:rStyle w:val="FootnoteReference"/>
        </w:rPr>
        <w:footnoteRef/>
      </w:r>
      <w:r w:rsidRPr="00CD6CF2">
        <w:t xml:space="preserve"> See </w:t>
      </w:r>
      <w:hyperlink r:id="rId16" w:history="1">
        <w:r w:rsidRPr="00CD6CF2">
          <w:rPr>
            <w:rStyle w:val="Hyperlink"/>
          </w:rPr>
          <w:t>https://www.cdc.gov/sornnotice/09-20-0147.htm</w:t>
        </w:r>
      </w:hyperlink>
      <w:r w:rsidRPr="00CD6CF2">
        <w:t>.</w:t>
      </w:r>
    </w:p>
  </w:footnote>
  <w:footnote w:id="19">
    <w:p w14:paraId="47B344F3" w14:textId="4CBC901C" w:rsidR="00D271EF" w:rsidRDefault="00D271EF">
      <w:pPr>
        <w:pStyle w:val="FootnoteText"/>
      </w:pPr>
      <w:r w:rsidRPr="00CD6CF2">
        <w:rPr>
          <w:rStyle w:val="FootnoteReference"/>
        </w:rPr>
        <w:footnoteRef/>
      </w:r>
      <w:r w:rsidRPr="00CD6CF2">
        <w:t xml:space="preserve"> </w:t>
      </w:r>
      <w:r>
        <w:t>NIOSH will track</w:t>
      </w:r>
      <w:r w:rsidRPr="00CD6CF2">
        <w:t xml:space="preserve"> BLLs </w:t>
      </w:r>
      <w:r>
        <w:t xml:space="preserve">≥5 </w:t>
      </w:r>
      <w:r w:rsidRPr="00CD6CF2">
        <w:rPr>
          <w:rFonts w:cs="Times New Roman"/>
        </w:rPr>
        <w:t>μg/dL</w:t>
      </w:r>
      <w:r w:rsidRPr="00CD6CF2">
        <w:t xml:space="preserve"> </w:t>
      </w:r>
      <w:r>
        <w:t xml:space="preserve">based on recent reference value adoption, and will continue to track BLLS </w:t>
      </w:r>
      <w:r w:rsidRPr="00CD6CF2">
        <w:t xml:space="preserve">≥10 and ≥25 </w:t>
      </w:r>
      <w:r w:rsidRPr="00CD6CF2">
        <w:rPr>
          <w:rFonts w:cs="Times New Roman"/>
        </w:rPr>
        <w:t>μg/dL</w:t>
      </w:r>
      <w:r w:rsidRPr="00CD6CF2">
        <w:t xml:space="preserve"> because there is now a need to monitor the historic trend</w:t>
      </w:r>
      <w:r>
        <w:t>s</w:t>
      </w:r>
      <w:r w:rsidRPr="00CD6CF2">
        <w:t xml:space="preserve"> of occupational lead exposure based on BLLs</w:t>
      </w:r>
      <w:r>
        <w:t xml:space="preserve"> </w:t>
      </w:r>
      <w:r w:rsidRPr="00CD6CF2">
        <w:t>≥25</w:t>
      </w:r>
      <w:r>
        <w:t xml:space="preserve"> </w:t>
      </w:r>
      <w:r w:rsidRPr="00CD6CF2">
        <w:rPr>
          <w:rFonts w:cs="Times New Roman"/>
        </w:rPr>
        <w:t>μg/dL</w:t>
      </w:r>
      <w:r w:rsidRPr="00CD6CF2">
        <w:t>. Prior to 2009, States were only obligated to report cases with BLL≥25</w:t>
      </w:r>
      <w:r>
        <w:t xml:space="preserve"> </w:t>
      </w:r>
      <w:r w:rsidRPr="00CD6CF2">
        <w:rPr>
          <w:rFonts w:cs="Times New Roman"/>
        </w:rPr>
        <w:t>μg/dL</w:t>
      </w:r>
      <w:r>
        <w:t>. C</w:t>
      </w:r>
      <w:r w:rsidRPr="00CD6CF2">
        <w:t xml:space="preserve">ases with BLL ≥10 </w:t>
      </w:r>
      <w:r w:rsidRPr="00CD6CF2">
        <w:rPr>
          <w:rFonts w:cs="Times New Roman"/>
        </w:rPr>
        <w:t>μg/dL</w:t>
      </w:r>
      <w:r w:rsidRPr="00CD6CF2">
        <w:t xml:space="preserve"> were not reported until 2009.</w:t>
      </w:r>
      <w:r>
        <w:t xml:space="preserve"> NIOSH will continue to work with reporting states to receive updated reporting standards as authorized by state regulations in the future.</w:t>
      </w:r>
    </w:p>
  </w:footnote>
  <w:footnote w:id="20">
    <w:p w14:paraId="52654F1D" w14:textId="77777777" w:rsidR="00D271EF" w:rsidRDefault="00D271EF" w:rsidP="0039708E">
      <w:pPr>
        <w:pStyle w:val="FootnoteText"/>
      </w:pPr>
      <w:r>
        <w:rPr>
          <w:rStyle w:val="FootnoteReference"/>
        </w:rPr>
        <w:footnoteRef/>
      </w:r>
      <w:r>
        <w:t xml:space="preserve"> Based on OPM Atlanta Locality Pay for Grade and Step 5 Salary Table at </w:t>
      </w:r>
      <w:hyperlink r:id="rId17" w:history="1">
        <w:r>
          <w:rPr>
            <w:rStyle w:val="Hyperlink"/>
          </w:rPr>
          <w:t>https://www.opm.gov/policy-data-oversight/pay-leave/salaries-wages/salary-tables/pdf/2017/ATL.pdf</w:t>
        </w:r>
      </w:hyperlink>
      <w:r>
        <w:t>.</w:t>
      </w:r>
    </w:p>
  </w:footnote>
  <w:footnote w:id="21">
    <w:p w14:paraId="3DA4EFD7" w14:textId="77777777" w:rsidR="00D271EF" w:rsidRPr="00D51098" w:rsidRDefault="00D271EF" w:rsidP="00946BB7">
      <w:pPr>
        <w:pStyle w:val="FootnoteText"/>
      </w:pPr>
      <w:r w:rsidRPr="00946BB7">
        <w:rPr>
          <w:rStyle w:val="FootnoteReference"/>
        </w:rPr>
        <w:footnoteRef/>
      </w:r>
      <w:r w:rsidRPr="00946BB7">
        <w:t xml:space="preserve"> National estimates are provided at </w:t>
      </w:r>
      <w:hyperlink r:id="rId18" w:history="1">
        <w:r w:rsidRPr="00946BB7">
          <w:rPr>
            <w:rStyle w:val="Hyperlink"/>
          </w:rPr>
          <w:t>https://www.cdc.gov/nceh/lead/data/Chart_Website_StateConfirmedByYear_1997_2015.pdf</w:t>
        </w:r>
      </w:hyperlink>
      <w:r w:rsidRPr="00946BB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E792E" w14:textId="77777777" w:rsidR="00D271EF" w:rsidRDefault="00D27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7D6EC" w14:textId="77777777" w:rsidR="00D271EF" w:rsidRDefault="00D271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12D1B" w14:textId="77777777" w:rsidR="00D271EF" w:rsidRDefault="00D27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2D1"/>
    <w:multiLevelType w:val="hybridMultilevel"/>
    <w:tmpl w:val="DEA63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98D4C"/>
    <w:multiLevelType w:val="hybridMultilevel"/>
    <w:tmpl w:val="249BE0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311B57"/>
    <w:multiLevelType w:val="hybridMultilevel"/>
    <w:tmpl w:val="137E482A"/>
    <w:lvl w:ilvl="0" w:tplc="CCB24256">
      <w:start w:val="1"/>
      <w:numFmt w:val="bullet"/>
      <w:lvlText w:val="•"/>
      <w:lvlJc w:val="left"/>
      <w:pPr>
        <w:tabs>
          <w:tab w:val="num" w:pos="720"/>
        </w:tabs>
        <w:ind w:left="720" w:hanging="360"/>
      </w:pPr>
      <w:rPr>
        <w:rFonts w:ascii="Arial" w:hAnsi="Arial" w:hint="default"/>
      </w:rPr>
    </w:lvl>
    <w:lvl w:ilvl="1" w:tplc="6CCAF816">
      <w:start w:val="1"/>
      <w:numFmt w:val="bullet"/>
      <w:lvlText w:val="•"/>
      <w:lvlJc w:val="left"/>
      <w:pPr>
        <w:tabs>
          <w:tab w:val="num" w:pos="1440"/>
        </w:tabs>
        <w:ind w:left="1440" w:hanging="360"/>
      </w:pPr>
      <w:rPr>
        <w:rFonts w:ascii="Arial" w:hAnsi="Arial" w:hint="default"/>
      </w:rPr>
    </w:lvl>
    <w:lvl w:ilvl="2" w:tplc="1F8465F8" w:tentative="1">
      <w:start w:val="1"/>
      <w:numFmt w:val="bullet"/>
      <w:lvlText w:val="•"/>
      <w:lvlJc w:val="left"/>
      <w:pPr>
        <w:tabs>
          <w:tab w:val="num" w:pos="2160"/>
        </w:tabs>
        <w:ind w:left="2160" w:hanging="360"/>
      </w:pPr>
      <w:rPr>
        <w:rFonts w:ascii="Arial" w:hAnsi="Arial" w:hint="default"/>
      </w:rPr>
    </w:lvl>
    <w:lvl w:ilvl="3" w:tplc="366092EC" w:tentative="1">
      <w:start w:val="1"/>
      <w:numFmt w:val="bullet"/>
      <w:lvlText w:val="•"/>
      <w:lvlJc w:val="left"/>
      <w:pPr>
        <w:tabs>
          <w:tab w:val="num" w:pos="2880"/>
        </w:tabs>
        <w:ind w:left="2880" w:hanging="360"/>
      </w:pPr>
      <w:rPr>
        <w:rFonts w:ascii="Arial" w:hAnsi="Arial" w:hint="default"/>
      </w:rPr>
    </w:lvl>
    <w:lvl w:ilvl="4" w:tplc="E3780D00" w:tentative="1">
      <w:start w:val="1"/>
      <w:numFmt w:val="bullet"/>
      <w:lvlText w:val="•"/>
      <w:lvlJc w:val="left"/>
      <w:pPr>
        <w:tabs>
          <w:tab w:val="num" w:pos="3600"/>
        </w:tabs>
        <w:ind w:left="3600" w:hanging="360"/>
      </w:pPr>
      <w:rPr>
        <w:rFonts w:ascii="Arial" w:hAnsi="Arial" w:hint="default"/>
      </w:rPr>
    </w:lvl>
    <w:lvl w:ilvl="5" w:tplc="23AA96F2" w:tentative="1">
      <w:start w:val="1"/>
      <w:numFmt w:val="bullet"/>
      <w:lvlText w:val="•"/>
      <w:lvlJc w:val="left"/>
      <w:pPr>
        <w:tabs>
          <w:tab w:val="num" w:pos="4320"/>
        </w:tabs>
        <w:ind w:left="4320" w:hanging="360"/>
      </w:pPr>
      <w:rPr>
        <w:rFonts w:ascii="Arial" w:hAnsi="Arial" w:hint="default"/>
      </w:rPr>
    </w:lvl>
    <w:lvl w:ilvl="6" w:tplc="34343BE2" w:tentative="1">
      <w:start w:val="1"/>
      <w:numFmt w:val="bullet"/>
      <w:lvlText w:val="•"/>
      <w:lvlJc w:val="left"/>
      <w:pPr>
        <w:tabs>
          <w:tab w:val="num" w:pos="5040"/>
        </w:tabs>
        <w:ind w:left="5040" w:hanging="360"/>
      </w:pPr>
      <w:rPr>
        <w:rFonts w:ascii="Arial" w:hAnsi="Arial" w:hint="default"/>
      </w:rPr>
    </w:lvl>
    <w:lvl w:ilvl="7" w:tplc="D6D66C60" w:tentative="1">
      <w:start w:val="1"/>
      <w:numFmt w:val="bullet"/>
      <w:lvlText w:val="•"/>
      <w:lvlJc w:val="left"/>
      <w:pPr>
        <w:tabs>
          <w:tab w:val="num" w:pos="5760"/>
        </w:tabs>
        <w:ind w:left="5760" w:hanging="360"/>
      </w:pPr>
      <w:rPr>
        <w:rFonts w:ascii="Arial" w:hAnsi="Arial" w:hint="default"/>
      </w:rPr>
    </w:lvl>
    <w:lvl w:ilvl="8" w:tplc="108C0F2C" w:tentative="1">
      <w:start w:val="1"/>
      <w:numFmt w:val="bullet"/>
      <w:lvlText w:val="•"/>
      <w:lvlJc w:val="left"/>
      <w:pPr>
        <w:tabs>
          <w:tab w:val="num" w:pos="6480"/>
        </w:tabs>
        <w:ind w:left="6480" w:hanging="360"/>
      </w:pPr>
      <w:rPr>
        <w:rFonts w:ascii="Arial" w:hAnsi="Arial" w:hint="default"/>
      </w:rPr>
    </w:lvl>
  </w:abstractNum>
  <w:abstractNum w:abstractNumId="3">
    <w:nsid w:val="07FB58B9"/>
    <w:multiLevelType w:val="hybridMultilevel"/>
    <w:tmpl w:val="DB58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A032B"/>
    <w:multiLevelType w:val="hybridMultilevel"/>
    <w:tmpl w:val="CAF25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765F6"/>
    <w:multiLevelType w:val="hybridMultilevel"/>
    <w:tmpl w:val="F6CA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57956"/>
    <w:multiLevelType w:val="hybridMultilevel"/>
    <w:tmpl w:val="CFF8E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BD16CE"/>
    <w:multiLevelType w:val="hybridMultilevel"/>
    <w:tmpl w:val="05EA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14EC7"/>
    <w:multiLevelType w:val="hybridMultilevel"/>
    <w:tmpl w:val="81C0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3FD7C5E"/>
    <w:multiLevelType w:val="hybridMultilevel"/>
    <w:tmpl w:val="D09A5FC8"/>
    <w:lvl w:ilvl="0" w:tplc="F2BCC452">
      <w:start w:val="1"/>
      <w:numFmt w:val="bullet"/>
      <w:lvlText w:val="•"/>
      <w:lvlJc w:val="left"/>
      <w:pPr>
        <w:tabs>
          <w:tab w:val="num" w:pos="720"/>
        </w:tabs>
        <w:ind w:left="720" w:hanging="360"/>
      </w:pPr>
      <w:rPr>
        <w:rFonts w:ascii="Arial" w:hAnsi="Arial" w:hint="default"/>
      </w:rPr>
    </w:lvl>
    <w:lvl w:ilvl="1" w:tplc="2222EA0A">
      <w:start w:val="1"/>
      <w:numFmt w:val="bullet"/>
      <w:lvlText w:val="•"/>
      <w:lvlJc w:val="left"/>
      <w:pPr>
        <w:tabs>
          <w:tab w:val="num" w:pos="1440"/>
        </w:tabs>
        <w:ind w:left="1440" w:hanging="360"/>
      </w:pPr>
      <w:rPr>
        <w:rFonts w:ascii="Arial" w:hAnsi="Arial" w:hint="default"/>
      </w:rPr>
    </w:lvl>
    <w:lvl w:ilvl="2" w:tplc="47002A18" w:tentative="1">
      <w:start w:val="1"/>
      <w:numFmt w:val="bullet"/>
      <w:lvlText w:val="•"/>
      <w:lvlJc w:val="left"/>
      <w:pPr>
        <w:tabs>
          <w:tab w:val="num" w:pos="2160"/>
        </w:tabs>
        <w:ind w:left="2160" w:hanging="360"/>
      </w:pPr>
      <w:rPr>
        <w:rFonts w:ascii="Arial" w:hAnsi="Arial" w:hint="default"/>
      </w:rPr>
    </w:lvl>
    <w:lvl w:ilvl="3" w:tplc="2EA62432" w:tentative="1">
      <w:start w:val="1"/>
      <w:numFmt w:val="bullet"/>
      <w:lvlText w:val="•"/>
      <w:lvlJc w:val="left"/>
      <w:pPr>
        <w:tabs>
          <w:tab w:val="num" w:pos="2880"/>
        </w:tabs>
        <w:ind w:left="2880" w:hanging="360"/>
      </w:pPr>
      <w:rPr>
        <w:rFonts w:ascii="Arial" w:hAnsi="Arial" w:hint="default"/>
      </w:rPr>
    </w:lvl>
    <w:lvl w:ilvl="4" w:tplc="0E4CC50A" w:tentative="1">
      <w:start w:val="1"/>
      <w:numFmt w:val="bullet"/>
      <w:lvlText w:val="•"/>
      <w:lvlJc w:val="left"/>
      <w:pPr>
        <w:tabs>
          <w:tab w:val="num" w:pos="3600"/>
        </w:tabs>
        <w:ind w:left="3600" w:hanging="360"/>
      </w:pPr>
      <w:rPr>
        <w:rFonts w:ascii="Arial" w:hAnsi="Arial" w:hint="default"/>
      </w:rPr>
    </w:lvl>
    <w:lvl w:ilvl="5" w:tplc="A1B673E2" w:tentative="1">
      <w:start w:val="1"/>
      <w:numFmt w:val="bullet"/>
      <w:lvlText w:val="•"/>
      <w:lvlJc w:val="left"/>
      <w:pPr>
        <w:tabs>
          <w:tab w:val="num" w:pos="4320"/>
        </w:tabs>
        <w:ind w:left="4320" w:hanging="360"/>
      </w:pPr>
      <w:rPr>
        <w:rFonts w:ascii="Arial" w:hAnsi="Arial" w:hint="default"/>
      </w:rPr>
    </w:lvl>
    <w:lvl w:ilvl="6" w:tplc="3C18B430" w:tentative="1">
      <w:start w:val="1"/>
      <w:numFmt w:val="bullet"/>
      <w:lvlText w:val="•"/>
      <w:lvlJc w:val="left"/>
      <w:pPr>
        <w:tabs>
          <w:tab w:val="num" w:pos="5040"/>
        </w:tabs>
        <w:ind w:left="5040" w:hanging="360"/>
      </w:pPr>
      <w:rPr>
        <w:rFonts w:ascii="Arial" w:hAnsi="Arial" w:hint="default"/>
      </w:rPr>
    </w:lvl>
    <w:lvl w:ilvl="7" w:tplc="48101100" w:tentative="1">
      <w:start w:val="1"/>
      <w:numFmt w:val="bullet"/>
      <w:lvlText w:val="•"/>
      <w:lvlJc w:val="left"/>
      <w:pPr>
        <w:tabs>
          <w:tab w:val="num" w:pos="5760"/>
        </w:tabs>
        <w:ind w:left="5760" w:hanging="360"/>
      </w:pPr>
      <w:rPr>
        <w:rFonts w:ascii="Arial" w:hAnsi="Arial" w:hint="default"/>
      </w:rPr>
    </w:lvl>
    <w:lvl w:ilvl="8" w:tplc="7F0EB27C" w:tentative="1">
      <w:start w:val="1"/>
      <w:numFmt w:val="bullet"/>
      <w:lvlText w:val="•"/>
      <w:lvlJc w:val="left"/>
      <w:pPr>
        <w:tabs>
          <w:tab w:val="num" w:pos="6480"/>
        </w:tabs>
        <w:ind w:left="6480" w:hanging="360"/>
      </w:pPr>
      <w:rPr>
        <w:rFonts w:ascii="Arial" w:hAnsi="Arial" w:hint="default"/>
      </w:rPr>
    </w:lvl>
  </w:abstractNum>
  <w:abstractNum w:abstractNumId="10">
    <w:nsid w:val="1D951D62"/>
    <w:multiLevelType w:val="hybridMultilevel"/>
    <w:tmpl w:val="0268B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E1A31"/>
    <w:multiLevelType w:val="hybridMultilevel"/>
    <w:tmpl w:val="F660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47562"/>
    <w:multiLevelType w:val="hybridMultilevel"/>
    <w:tmpl w:val="E4588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11A14"/>
    <w:multiLevelType w:val="hybridMultilevel"/>
    <w:tmpl w:val="5780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BA0625"/>
    <w:multiLevelType w:val="hybridMultilevel"/>
    <w:tmpl w:val="F5C8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A11B53"/>
    <w:multiLevelType w:val="hybridMultilevel"/>
    <w:tmpl w:val="FA50584A"/>
    <w:lvl w:ilvl="0" w:tplc="77C08D9C">
      <w:start w:val="1"/>
      <w:numFmt w:val="bullet"/>
      <w:lvlText w:val="•"/>
      <w:lvlJc w:val="left"/>
      <w:pPr>
        <w:tabs>
          <w:tab w:val="num" w:pos="720"/>
        </w:tabs>
        <w:ind w:left="720" w:hanging="360"/>
      </w:pPr>
      <w:rPr>
        <w:rFonts w:ascii="Arial" w:hAnsi="Arial" w:hint="default"/>
      </w:rPr>
    </w:lvl>
    <w:lvl w:ilvl="1" w:tplc="14542526">
      <w:start w:val="1"/>
      <w:numFmt w:val="bullet"/>
      <w:lvlText w:val="•"/>
      <w:lvlJc w:val="left"/>
      <w:pPr>
        <w:tabs>
          <w:tab w:val="num" w:pos="1440"/>
        </w:tabs>
        <w:ind w:left="1440" w:hanging="360"/>
      </w:pPr>
      <w:rPr>
        <w:rFonts w:ascii="Arial" w:hAnsi="Arial" w:hint="default"/>
      </w:rPr>
    </w:lvl>
    <w:lvl w:ilvl="2" w:tplc="A8D8EB1C" w:tentative="1">
      <w:start w:val="1"/>
      <w:numFmt w:val="bullet"/>
      <w:lvlText w:val="•"/>
      <w:lvlJc w:val="left"/>
      <w:pPr>
        <w:tabs>
          <w:tab w:val="num" w:pos="2160"/>
        </w:tabs>
        <w:ind w:left="2160" w:hanging="360"/>
      </w:pPr>
      <w:rPr>
        <w:rFonts w:ascii="Arial" w:hAnsi="Arial" w:hint="default"/>
      </w:rPr>
    </w:lvl>
    <w:lvl w:ilvl="3" w:tplc="4A9A80A2" w:tentative="1">
      <w:start w:val="1"/>
      <w:numFmt w:val="bullet"/>
      <w:lvlText w:val="•"/>
      <w:lvlJc w:val="left"/>
      <w:pPr>
        <w:tabs>
          <w:tab w:val="num" w:pos="2880"/>
        </w:tabs>
        <w:ind w:left="2880" w:hanging="360"/>
      </w:pPr>
      <w:rPr>
        <w:rFonts w:ascii="Arial" w:hAnsi="Arial" w:hint="default"/>
      </w:rPr>
    </w:lvl>
    <w:lvl w:ilvl="4" w:tplc="34E21ED2" w:tentative="1">
      <w:start w:val="1"/>
      <w:numFmt w:val="bullet"/>
      <w:lvlText w:val="•"/>
      <w:lvlJc w:val="left"/>
      <w:pPr>
        <w:tabs>
          <w:tab w:val="num" w:pos="3600"/>
        </w:tabs>
        <w:ind w:left="3600" w:hanging="360"/>
      </w:pPr>
      <w:rPr>
        <w:rFonts w:ascii="Arial" w:hAnsi="Arial" w:hint="default"/>
      </w:rPr>
    </w:lvl>
    <w:lvl w:ilvl="5" w:tplc="B856614C" w:tentative="1">
      <w:start w:val="1"/>
      <w:numFmt w:val="bullet"/>
      <w:lvlText w:val="•"/>
      <w:lvlJc w:val="left"/>
      <w:pPr>
        <w:tabs>
          <w:tab w:val="num" w:pos="4320"/>
        </w:tabs>
        <w:ind w:left="4320" w:hanging="360"/>
      </w:pPr>
      <w:rPr>
        <w:rFonts w:ascii="Arial" w:hAnsi="Arial" w:hint="default"/>
      </w:rPr>
    </w:lvl>
    <w:lvl w:ilvl="6" w:tplc="09B85704" w:tentative="1">
      <w:start w:val="1"/>
      <w:numFmt w:val="bullet"/>
      <w:lvlText w:val="•"/>
      <w:lvlJc w:val="left"/>
      <w:pPr>
        <w:tabs>
          <w:tab w:val="num" w:pos="5040"/>
        </w:tabs>
        <w:ind w:left="5040" w:hanging="360"/>
      </w:pPr>
      <w:rPr>
        <w:rFonts w:ascii="Arial" w:hAnsi="Arial" w:hint="default"/>
      </w:rPr>
    </w:lvl>
    <w:lvl w:ilvl="7" w:tplc="9654A25E" w:tentative="1">
      <w:start w:val="1"/>
      <w:numFmt w:val="bullet"/>
      <w:lvlText w:val="•"/>
      <w:lvlJc w:val="left"/>
      <w:pPr>
        <w:tabs>
          <w:tab w:val="num" w:pos="5760"/>
        </w:tabs>
        <w:ind w:left="5760" w:hanging="360"/>
      </w:pPr>
      <w:rPr>
        <w:rFonts w:ascii="Arial" w:hAnsi="Arial" w:hint="default"/>
      </w:rPr>
    </w:lvl>
    <w:lvl w:ilvl="8" w:tplc="87121E40" w:tentative="1">
      <w:start w:val="1"/>
      <w:numFmt w:val="bullet"/>
      <w:lvlText w:val="•"/>
      <w:lvlJc w:val="left"/>
      <w:pPr>
        <w:tabs>
          <w:tab w:val="num" w:pos="6480"/>
        </w:tabs>
        <w:ind w:left="6480" w:hanging="360"/>
      </w:pPr>
      <w:rPr>
        <w:rFonts w:ascii="Arial" w:hAnsi="Arial" w:hint="default"/>
      </w:rPr>
    </w:lvl>
  </w:abstractNum>
  <w:abstractNum w:abstractNumId="16">
    <w:nsid w:val="283C5246"/>
    <w:multiLevelType w:val="hybridMultilevel"/>
    <w:tmpl w:val="19A67D06"/>
    <w:lvl w:ilvl="0" w:tplc="F7646FAC">
      <w:start w:val="1"/>
      <w:numFmt w:val="bullet"/>
      <w:lvlText w:val="•"/>
      <w:lvlJc w:val="left"/>
      <w:pPr>
        <w:tabs>
          <w:tab w:val="num" w:pos="720"/>
        </w:tabs>
        <w:ind w:left="720" w:hanging="360"/>
      </w:pPr>
      <w:rPr>
        <w:rFonts w:ascii="Arial" w:hAnsi="Arial" w:hint="default"/>
      </w:rPr>
    </w:lvl>
    <w:lvl w:ilvl="1" w:tplc="9FC62102" w:tentative="1">
      <w:start w:val="1"/>
      <w:numFmt w:val="bullet"/>
      <w:lvlText w:val="•"/>
      <w:lvlJc w:val="left"/>
      <w:pPr>
        <w:tabs>
          <w:tab w:val="num" w:pos="1440"/>
        </w:tabs>
        <w:ind w:left="1440" w:hanging="360"/>
      </w:pPr>
      <w:rPr>
        <w:rFonts w:ascii="Arial" w:hAnsi="Arial" w:hint="default"/>
      </w:rPr>
    </w:lvl>
    <w:lvl w:ilvl="2" w:tplc="8FC87304">
      <w:start w:val="1"/>
      <w:numFmt w:val="bullet"/>
      <w:lvlText w:val="•"/>
      <w:lvlJc w:val="left"/>
      <w:pPr>
        <w:tabs>
          <w:tab w:val="num" w:pos="2160"/>
        </w:tabs>
        <w:ind w:left="2160" w:hanging="360"/>
      </w:pPr>
      <w:rPr>
        <w:rFonts w:ascii="Arial" w:hAnsi="Arial" w:hint="default"/>
      </w:rPr>
    </w:lvl>
    <w:lvl w:ilvl="3" w:tplc="E74A8BF0" w:tentative="1">
      <w:start w:val="1"/>
      <w:numFmt w:val="bullet"/>
      <w:lvlText w:val="•"/>
      <w:lvlJc w:val="left"/>
      <w:pPr>
        <w:tabs>
          <w:tab w:val="num" w:pos="2880"/>
        </w:tabs>
        <w:ind w:left="2880" w:hanging="360"/>
      </w:pPr>
      <w:rPr>
        <w:rFonts w:ascii="Arial" w:hAnsi="Arial" w:hint="default"/>
      </w:rPr>
    </w:lvl>
    <w:lvl w:ilvl="4" w:tplc="E8C8034C" w:tentative="1">
      <w:start w:val="1"/>
      <w:numFmt w:val="bullet"/>
      <w:lvlText w:val="•"/>
      <w:lvlJc w:val="left"/>
      <w:pPr>
        <w:tabs>
          <w:tab w:val="num" w:pos="3600"/>
        </w:tabs>
        <w:ind w:left="3600" w:hanging="360"/>
      </w:pPr>
      <w:rPr>
        <w:rFonts w:ascii="Arial" w:hAnsi="Arial" w:hint="default"/>
      </w:rPr>
    </w:lvl>
    <w:lvl w:ilvl="5" w:tplc="B60C7BA4" w:tentative="1">
      <w:start w:val="1"/>
      <w:numFmt w:val="bullet"/>
      <w:lvlText w:val="•"/>
      <w:lvlJc w:val="left"/>
      <w:pPr>
        <w:tabs>
          <w:tab w:val="num" w:pos="4320"/>
        </w:tabs>
        <w:ind w:left="4320" w:hanging="360"/>
      </w:pPr>
      <w:rPr>
        <w:rFonts w:ascii="Arial" w:hAnsi="Arial" w:hint="default"/>
      </w:rPr>
    </w:lvl>
    <w:lvl w:ilvl="6" w:tplc="D542F67A" w:tentative="1">
      <w:start w:val="1"/>
      <w:numFmt w:val="bullet"/>
      <w:lvlText w:val="•"/>
      <w:lvlJc w:val="left"/>
      <w:pPr>
        <w:tabs>
          <w:tab w:val="num" w:pos="5040"/>
        </w:tabs>
        <w:ind w:left="5040" w:hanging="360"/>
      </w:pPr>
      <w:rPr>
        <w:rFonts w:ascii="Arial" w:hAnsi="Arial" w:hint="default"/>
      </w:rPr>
    </w:lvl>
    <w:lvl w:ilvl="7" w:tplc="6F84742E" w:tentative="1">
      <w:start w:val="1"/>
      <w:numFmt w:val="bullet"/>
      <w:lvlText w:val="•"/>
      <w:lvlJc w:val="left"/>
      <w:pPr>
        <w:tabs>
          <w:tab w:val="num" w:pos="5760"/>
        </w:tabs>
        <w:ind w:left="5760" w:hanging="360"/>
      </w:pPr>
      <w:rPr>
        <w:rFonts w:ascii="Arial" w:hAnsi="Arial" w:hint="default"/>
      </w:rPr>
    </w:lvl>
    <w:lvl w:ilvl="8" w:tplc="71462C24" w:tentative="1">
      <w:start w:val="1"/>
      <w:numFmt w:val="bullet"/>
      <w:lvlText w:val="•"/>
      <w:lvlJc w:val="left"/>
      <w:pPr>
        <w:tabs>
          <w:tab w:val="num" w:pos="6480"/>
        </w:tabs>
        <w:ind w:left="6480" w:hanging="360"/>
      </w:pPr>
      <w:rPr>
        <w:rFonts w:ascii="Arial" w:hAnsi="Arial" w:hint="default"/>
      </w:rPr>
    </w:lvl>
  </w:abstractNum>
  <w:abstractNum w:abstractNumId="17">
    <w:nsid w:val="28EF228A"/>
    <w:multiLevelType w:val="hybridMultilevel"/>
    <w:tmpl w:val="84C2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2450E"/>
    <w:multiLevelType w:val="hybridMultilevel"/>
    <w:tmpl w:val="B34C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F44ED7"/>
    <w:multiLevelType w:val="hybridMultilevel"/>
    <w:tmpl w:val="D048D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34B8E"/>
    <w:multiLevelType w:val="hybridMultilevel"/>
    <w:tmpl w:val="6008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886740"/>
    <w:multiLevelType w:val="hybridMultilevel"/>
    <w:tmpl w:val="9BF44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B28224A"/>
    <w:multiLevelType w:val="hybridMultilevel"/>
    <w:tmpl w:val="71DC7A72"/>
    <w:lvl w:ilvl="0" w:tplc="04090001">
      <w:start w:val="1"/>
      <w:numFmt w:val="bullet"/>
      <w:lvlText w:val=""/>
      <w:lvlJc w:val="left"/>
      <w:pPr>
        <w:ind w:left="720" w:hanging="360"/>
      </w:pPr>
      <w:rPr>
        <w:rFonts w:ascii="Symbol" w:hAnsi="Symbol" w:hint="default"/>
      </w:rPr>
    </w:lvl>
    <w:lvl w:ilvl="1" w:tplc="E508036C">
      <w:start w:val="1"/>
      <w:numFmt w:val="lowerLetter"/>
      <w:lvlText w:val="(%2)"/>
      <w:lvlJc w:val="left"/>
      <w:pPr>
        <w:ind w:left="1440" w:hanging="360"/>
      </w:pPr>
      <w:rPr>
        <w:rFonts w:asciiTheme="minorHAnsi" w:eastAsiaTheme="minorEastAsia" w:hAnsiTheme="minorHAnsi" w:cs="ITCFranklinGothicStd-Book"/>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7C2ADD"/>
    <w:multiLevelType w:val="hybridMultilevel"/>
    <w:tmpl w:val="93CEB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713106"/>
    <w:multiLevelType w:val="hybridMultilevel"/>
    <w:tmpl w:val="BF026430"/>
    <w:lvl w:ilvl="0" w:tplc="E544185E">
      <w:start w:val="1"/>
      <w:numFmt w:val="bullet"/>
      <w:lvlText w:val="•"/>
      <w:lvlJc w:val="left"/>
      <w:pPr>
        <w:tabs>
          <w:tab w:val="num" w:pos="720"/>
        </w:tabs>
        <w:ind w:left="720" w:hanging="360"/>
      </w:pPr>
      <w:rPr>
        <w:rFonts w:ascii="Arial" w:hAnsi="Arial" w:hint="default"/>
      </w:rPr>
    </w:lvl>
    <w:lvl w:ilvl="1" w:tplc="552AA0CC">
      <w:start w:val="1"/>
      <w:numFmt w:val="bullet"/>
      <w:lvlText w:val="•"/>
      <w:lvlJc w:val="left"/>
      <w:pPr>
        <w:tabs>
          <w:tab w:val="num" w:pos="1440"/>
        </w:tabs>
        <w:ind w:left="1440" w:hanging="360"/>
      </w:pPr>
      <w:rPr>
        <w:rFonts w:ascii="Arial" w:hAnsi="Arial" w:hint="default"/>
      </w:rPr>
    </w:lvl>
    <w:lvl w:ilvl="2" w:tplc="61044EF6" w:tentative="1">
      <w:start w:val="1"/>
      <w:numFmt w:val="bullet"/>
      <w:lvlText w:val="•"/>
      <w:lvlJc w:val="left"/>
      <w:pPr>
        <w:tabs>
          <w:tab w:val="num" w:pos="2160"/>
        </w:tabs>
        <w:ind w:left="2160" w:hanging="360"/>
      </w:pPr>
      <w:rPr>
        <w:rFonts w:ascii="Arial" w:hAnsi="Arial" w:hint="default"/>
      </w:rPr>
    </w:lvl>
    <w:lvl w:ilvl="3" w:tplc="CD747350" w:tentative="1">
      <w:start w:val="1"/>
      <w:numFmt w:val="bullet"/>
      <w:lvlText w:val="•"/>
      <w:lvlJc w:val="left"/>
      <w:pPr>
        <w:tabs>
          <w:tab w:val="num" w:pos="2880"/>
        </w:tabs>
        <w:ind w:left="2880" w:hanging="360"/>
      </w:pPr>
      <w:rPr>
        <w:rFonts w:ascii="Arial" w:hAnsi="Arial" w:hint="default"/>
      </w:rPr>
    </w:lvl>
    <w:lvl w:ilvl="4" w:tplc="4FFAA40E" w:tentative="1">
      <w:start w:val="1"/>
      <w:numFmt w:val="bullet"/>
      <w:lvlText w:val="•"/>
      <w:lvlJc w:val="left"/>
      <w:pPr>
        <w:tabs>
          <w:tab w:val="num" w:pos="3600"/>
        </w:tabs>
        <w:ind w:left="3600" w:hanging="360"/>
      </w:pPr>
      <w:rPr>
        <w:rFonts w:ascii="Arial" w:hAnsi="Arial" w:hint="default"/>
      </w:rPr>
    </w:lvl>
    <w:lvl w:ilvl="5" w:tplc="5612733A" w:tentative="1">
      <w:start w:val="1"/>
      <w:numFmt w:val="bullet"/>
      <w:lvlText w:val="•"/>
      <w:lvlJc w:val="left"/>
      <w:pPr>
        <w:tabs>
          <w:tab w:val="num" w:pos="4320"/>
        </w:tabs>
        <w:ind w:left="4320" w:hanging="360"/>
      </w:pPr>
      <w:rPr>
        <w:rFonts w:ascii="Arial" w:hAnsi="Arial" w:hint="default"/>
      </w:rPr>
    </w:lvl>
    <w:lvl w:ilvl="6" w:tplc="DE68F5E0" w:tentative="1">
      <w:start w:val="1"/>
      <w:numFmt w:val="bullet"/>
      <w:lvlText w:val="•"/>
      <w:lvlJc w:val="left"/>
      <w:pPr>
        <w:tabs>
          <w:tab w:val="num" w:pos="5040"/>
        </w:tabs>
        <w:ind w:left="5040" w:hanging="360"/>
      </w:pPr>
      <w:rPr>
        <w:rFonts w:ascii="Arial" w:hAnsi="Arial" w:hint="default"/>
      </w:rPr>
    </w:lvl>
    <w:lvl w:ilvl="7" w:tplc="431AC234" w:tentative="1">
      <w:start w:val="1"/>
      <w:numFmt w:val="bullet"/>
      <w:lvlText w:val="•"/>
      <w:lvlJc w:val="left"/>
      <w:pPr>
        <w:tabs>
          <w:tab w:val="num" w:pos="5760"/>
        </w:tabs>
        <w:ind w:left="5760" w:hanging="360"/>
      </w:pPr>
      <w:rPr>
        <w:rFonts w:ascii="Arial" w:hAnsi="Arial" w:hint="default"/>
      </w:rPr>
    </w:lvl>
    <w:lvl w:ilvl="8" w:tplc="F5A2D2C6" w:tentative="1">
      <w:start w:val="1"/>
      <w:numFmt w:val="bullet"/>
      <w:lvlText w:val="•"/>
      <w:lvlJc w:val="left"/>
      <w:pPr>
        <w:tabs>
          <w:tab w:val="num" w:pos="6480"/>
        </w:tabs>
        <w:ind w:left="6480" w:hanging="360"/>
      </w:pPr>
      <w:rPr>
        <w:rFonts w:ascii="Arial" w:hAnsi="Arial" w:hint="default"/>
      </w:rPr>
    </w:lvl>
  </w:abstractNum>
  <w:abstractNum w:abstractNumId="26">
    <w:nsid w:val="417F695E"/>
    <w:multiLevelType w:val="hybridMultilevel"/>
    <w:tmpl w:val="096E1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6A4B29"/>
    <w:multiLevelType w:val="hybridMultilevel"/>
    <w:tmpl w:val="47D4F58A"/>
    <w:lvl w:ilvl="0" w:tplc="5360F226">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7A465B"/>
    <w:multiLevelType w:val="hybridMultilevel"/>
    <w:tmpl w:val="B04CD4AC"/>
    <w:lvl w:ilvl="0" w:tplc="518CC3AA">
      <w:start w:val="1"/>
      <w:numFmt w:val="bullet"/>
      <w:lvlText w:val="•"/>
      <w:lvlJc w:val="left"/>
      <w:pPr>
        <w:tabs>
          <w:tab w:val="num" w:pos="720"/>
        </w:tabs>
        <w:ind w:left="720" w:hanging="360"/>
      </w:pPr>
      <w:rPr>
        <w:rFonts w:ascii="Arial" w:hAnsi="Arial" w:hint="default"/>
      </w:rPr>
    </w:lvl>
    <w:lvl w:ilvl="1" w:tplc="D5803DB0" w:tentative="1">
      <w:start w:val="1"/>
      <w:numFmt w:val="bullet"/>
      <w:lvlText w:val="•"/>
      <w:lvlJc w:val="left"/>
      <w:pPr>
        <w:tabs>
          <w:tab w:val="num" w:pos="1440"/>
        </w:tabs>
        <w:ind w:left="1440" w:hanging="360"/>
      </w:pPr>
      <w:rPr>
        <w:rFonts w:ascii="Arial" w:hAnsi="Arial" w:hint="default"/>
      </w:rPr>
    </w:lvl>
    <w:lvl w:ilvl="2" w:tplc="E8A82052" w:tentative="1">
      <w:start w:val="1"/>
      <w:numFmt w:val="bullet"/>
      <w:lvlText w:val="•"/>
      <w:lvlJc w:val="left"/>
      <w:pPr>
        <w:tabs>
          <w:tab w:val="num" w:pos="2160"/>
        </w:tabs>
        <w:ind w:left="2160" w:hanging="360"/>
      </w:pPr>
      <w:rPr>
        <w:rFonts w:ascii="Arial" w:hAnsi="Arial" w:hint="default"/>
      </w:rPr>
    </w:lvl>
    <w:lvl w:ilvl="3" w:tplc="61102CB0" w:tentative="1">
      <w:start w:val="1"/>
      <w:numFmt w:val="bullet"/>
      <w:lvlText w:val="•"/>
      <w:lvlJc w:val="left"/>
      <w:pPr>
        <w:tabs>
          <w:tab w:val="num" w:pos="2880"/>
        </w:tabs>
        <w:ind w:left="2880" w:hanging="360"/>
      </w:pPr>
      <w:rPr>
        <w:rFonts w:ascii="Arial" w:hAnsi="Arial" w:hint="default"/>
      </w:rPr>
    </w:lvl>
    <w:lvl w:ilvl="4" w:tplc="B680FB06" w:tentative="1">
      <w:start w:val="1"/>
      <w:numFmt w:val="bullet"/>
      <w:lvlText w:val="•"/>
      <w:lvlJc w:val="left"/>
      <w:pPr>
        <w:tabs>
          <w:tab w:val="num" w:pos="3600"/>
        </w:tabs>
        <w:ind w:left="3600" w:hanging="360"/>
      </w:pPr>
      <w:rPr>
        <w:rFonts w:ascii="Arial" w:hAnsi="Arial" w:hint="default"/>
      </w:rPr>
    </w:lvl>
    <w:lvl w:ilvl="5" w:tplc="B944EA30" w:tentative="1">
      <w:start w:val="1"/>
      <w:numFmt w:val="bullet"/>
      <w:lvlText w:val="•"/>
      <w:lvlJc w:val="left"/>
      <w:pPr>
        <w:tabs>
          <w:tab w:val="num" w:pos="4320"/>
        </w:tabs>
        <w:ind w:left="4320" w:hanging="360"/>
      </w:pPr>
      <w:rPr>
        <w:rFonts w:ascii="Arial" w:hAnsi="Arial" w:hint="default"/>
      </w:rPr>
    </w:lvl>
    <w:lvl w:ilvl="6" w:tplc="F2AEAF56" w:tentative="1">
      <w:start w:val="1"/>
      <w:numFmt w:val="bullet"/>
      <w:lvlText w:val="•"/>
      <w:lvlJc w:val="left"/>
      <w:pPr>
        <w:tabs>
          <w:tab w:val="num" w:pos="5040"/>
        </w:tabs>
        <w:ind w:left="5040" w:hanging="360"/>
      </w:pPr>
      <w:rPr>
        <w:rFonts w:ascii="Arial" w:hAnsi="Arial" w:hint="default"/>
      </w:rPr>
    </w:lvl>
    <w:lvl w:ilvl="7" w:tplc="121E70B6" w:tentative="1">
      <w:start w:val="1"/>
      <w:numFmt w:val="bullet"/>
      <w:lvlText w:val="•"/>
      <w:lvlJc w:val="left"/>
      <w:pPr>
        <w:tabs>
          <w:tab w:val="num" w:pos="5760"/>
        </w:tabs>
        <w:ind w:left="5760" w:hanging="360"/>
      </w:pPr>
      <w:rPr>
        <w:rFonts w:ascii="Arial" w:hAnsi="Arial" w:hint="default"/>
      </w:rPr>
    </w:lvl>
    <w:lvl w:ilvl="8" w:tplc="755E206A" w:tentative="1">
      <w:start w:val="1"/>
      <w:numFmt w:val="bullet"/>
      <w:lvlText w:val="•"/>
      <w:lvlJc w:val="left"/>
      <w:pPr>
        <w:tabs>
          <w:tab w:val="num" w:pos="6480"/>
        </w:tabs>
        <w:ind w:left="6480" w:hanging="360"/>
      </w:pPr>
      <w:rPr>
        <w:rFonts w:ascii="Arial" w:hAnsi="Arial" w:hint="default"/>
      </w:rPr>
    </w:lvl>
  </w:abstractNum>
  <w:abstractNum w:abstractNumId="29">
    <w:nsid w:val="4B757FED"/>
    <w:multiLevelType w:val="hybridMultilevel"/>
    <w:tmpl w:val="15B8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883D3C"/>
    <w:multiLevelType w:val="multilevel"/>
    <w:tmpl w:val="B2F27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F913B4"/>
    <w:multiLevelType w:val="hybridMultilevel"/>
    <w:tmpl w:val="25EE9498"/>
    <w:lvl w:ilvl="0" w:tplc="2D92BDD6">
      <w:start w:val="1"/>
      <w:numFmt w:val="bullet"/>
      <w:lvlText w:val=""/>
      <w:lvlJc w:val="left"/>
      <w:pPr>
        <w:tabs>
          <w:tab w:val="num" w:pos="720"/>
        </w:tabs>
        <w:ind w:left="720" w:hanging="360"/>
      </w:pPr>
      <w:rPr>
        <w:rFonts w:ascii="Wingdings" w:hAnsi="Wingdings" w:hint="default"/>
      </w:rPr>
    </w:lvl>
    <w:lvl w:ilvl="1" w:tplc="61EAB792" w:tentative="1">
      <w:start w:val="1"/>
      <w:numFmt w:val="bullet"/>
      <w:lvlText w:val=""/>
      <w:lvlJc w:val="left"/>
      <w:pPr>
        <w:tabs>
          <w:tab w:val="num" w:pos="1440"/>
        </w:tabs>
        <w:ind w:left="1440" w:hanging="360"/>
      </w:pPr>
      <w:rPr>
        <w:rFonts w:ascii="Wingdings" w:hAnsi="Wingdings" w:hint="default"/>
      </w:rPr>
    </w:lvl>
    <w:lvl w:ilvl="2" w:tplc="D542E264" w:tentative="1">
      <w:start w:val="1"/>
      <w:numFmt w:val="bullet"/>
      <w:lvlText w:val=""/>
      <w:lvlJc w:val="left"/>
      <w:pPr>
        <w:tabs>
          <w:tab w:val="num" w:pos="2160"/>
        </w:tabs>
        <w:ind w:left="2160" w:hanging="360"/>
      </w:pPr>
      <w:rPr>
        <w:rFonts w:ascii="Wingdings" w:hAnsi="Wingdings" w:hint="default"/>
      </w:rPr>
    </w:lvl>
    <w:lvl w:ilvl="3" w:tplc="D3ACFA88" w:tentative="1">
      <w:start w:val="1"/>
      <w:numFmt w:val="bullet"/>
      <w:lvlText w:val=""/>
      <w:lvlJc w:val="left"/>
      <w:pPr>
        <w:tabs>
          <w:tab w:val="num" w:pos="2880"/>
        </w:tabs>
        <w:ind w:left="2880" w:hanging="360"/>
      </w:pPr>
      <w:rPr>
        <w:rFonts w:ascii="Wingdings" w:hAnsi="Wingdings" w:hint="default"/>
      </w:rPr>
    </w:lvl>
    <w:lvl w:ilvl="4" w:tplc="C5BC74C2" w:tentative="1">
      <w:start w:val="1"/>
      <w:numFmt w:val="bullet"/>
      <w:lvlText w:val=""/>
      <w:lvlJc w:val="left"/>
      <w:pPr>
        <w:tabs>
          <w:tab w:val="num" w:pos="3600"/>
        </w:tabs>
        <w:ind w:left="3600" w:hanging="360"/>
      </w:pPr>
      <w:rPr>
        <w:rFonts w:ascii="Wingdings" w:hAnsi="Wingdings" w:hint="default"/>
      </w:rPr>
    </w:lvl>
    <w:lvl w:ilvl="5" w:tplc="A2841AB8" w:tentative="1">
      <w:start w:val="1"/>
      <w:numFmt w:val="bullet"/>
      <w:lvlText w:val=""/>
      <w:lvlJc w:val="left"/>
      <w:pPr>
        <w:tabs>
          <w:tab w:val="num" w:pos="4320"/>
        </w:tabs>
        <w:ind w:left="4320" w:hanging="360"/>
      </w:pPr>
      <w:rPr>
        <w:rFonts w:ascii="Wingdings" w:hAnsi="Wingdings" w:hint="default"/>
      </w:rPr>
    </w:lvl>
    <w:lvl w:ilvl="6" w:tplc="8516350E" w:tentative="1">
      <w:start w:val="1"/>
      <w:numFmt w:val="bullet"/>
      <w:lvlText w:val=""/>
      <w:lvlJc w:val="left"/>
      <w:pPr>
        <w:tabs>
          <w:tab w:val="num" w:pos="5040"/>
        </w:tabs>
        <w:ind w:left="5040" w:hanging="360"/>
      </w:pPr>
      <w:rPr>
        <w:rFonts w:ascii="Wingdings" w:hAnsi="Wingdings" w:hint="default"/>
      </w:rPr>
    </w:lvl>
    <w:lvl w:ilvl="7" w:tplc="BD56294A" w:tentative="1">
      <w:start w:val="1"/>
      <w:numFmt w:val="bullet"/>
      <w:lvlText w:val=""/>
      <w:lvlJc w:val="left"/>
      <w:pPr>
        <w:tabs>
          <w:tab w:val="num" w:pos="5760"/>
        </w:tabs>
        <w:ind w:left="5760" w:hanging="360"/>
      </w:pPr>
      <w:rPr>
        <w:rFonts w:ascii="Wingdings" w:hAnsi="Wingdings" w:hint="default"/>
      </w:rPr>
    </w:lvl>
    <w:lvl w:ilvl="8" w:tplc="504ABC2A" w:tentative="1">
      <w:start w:val="1"/>
      <w:numFmt w:val="bullet"/>
      <w:lvlText w:val=""/>
      <w:lvlJc w:val="left"/>
      <w:pPr>
        <w:tabs>
          <w:tab w:val="num" w:pos="6480"/>
        </w:tabs>
        <w:ind w:left="6480" w:hanging="360"/>
      </w:pPr>
      <w:rPr>
        <w:rFonts w:ascii="Wingdings" w:hAnsi="Wingdings" w:hint="default"/>
      </w:rPr>
    </w:lvl>
  </w:abstractNum>
  <w:abstractNum w:abstractNumId="32">
    <w:nsid w:val="4F3B4978"/>
    <w:multiLevelType w:val="hybridMultilevel"/>
    <w:tmpl w:val="B00A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18F2DD3"/>
    <w:multiLevelType w:val="hybridMultilevel"/>
    <w:tmpl w:val="98BC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3A18FC1"/>
    <w:multiLevelType w:val="hybridMultilevel"/>
    <w:tmpl w:val="6677F0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C3C318C"/>
    <w:multiLevelType w:val="hybridMultilevel"/>
    <w:tmpl w:val="0542F462"/>
    <w:lvl w:ilvl="0" w:tplc="F8AA4AC2">
      <w:start w:val="1"/>
      <w:numFmt w:val="bullet"/>
      <w:lvlText w:val="•"/>
      <w:lvlJc w:val="left"/>
      <w:pPr>
        <w:tabs>
          <w:tab w:val="num" w:pos="720"/>
        </w:tabs>
        <w:ind w:left="720" w:hanging="360"/>
      </w:pPr>
      <w:rPr>
        <w:rFonts w:ascii="Arial" w:hAnsi="Arial" w:hint="default"/>
      </w:rPr>
    </w:lvl>
    <w:lvl w:ilvl="1" w:tplc="4346315A">
      <w:start w:val="64"/>
      <w:numFmt w:val="bullet"/>
      <w:lvlText w:val="•"/>
      <w:lvlJc w:val="left"/>
      <w:pPr>
        <w:tabs>
          <w:tab w:val="num" w:pos="1440"/>
        </w:tabs>
        <w:ind w:left="1440" w:hanging="360"/>
      </w:pPr>
      <w:rPr>
        <w:rFonts w:ascii="Arial" w:hAnsi="Arial" w:hint="default"/>
      </w:rPr>
    </w:lvl>
    <w:lvl w:ilvl="2" w:tplc="C268A734">
      <w:start w:val="64"/>
      <w:numFmt w:val="bullet"/>
      <w:lvlText w:val="•"/>
      <w:lvlJc w:val="left"/>
      <w:pPr>
        <w:tabs>
          <w:tab w:val="num" w:pos="2160"/>
        </w:tabs>
        <w:ind w:left="2160" w:hanging="360"/>
      </w:pPr>
      <w:rPr>
        <w:rFonts w:ascii="Arial" w:hAnsi="Arial" w:hint="default"/>
      </w:rPr>
    </w:lvl>
    <w:lvl w:ilvl="3" w:tplc="1298D0AA" w:tentative="1">
      <w:start w:val="1"/>
      <w:numFmt w:val="bullet"/>
      <w:lvlText w:val="•"/>
      <w:lvlJc w:val="left"/>
      <w:pPr>
        <w:tabs>
          <w:tab w:val="num" w:pos="2880"/>
        </w:tabs>
        <w:ind w:left="2880" w:hanging="360"/>
      </w:pPr>
      <w:rPr>
        <w:rFonts w:ascii="Arial" w:hAnsi="Arial" w:hint="default"/>
      </w:rPr>
    </w:lvl>
    <w:lvl w:ilvl="4" w:tplc="89FE78C6" w:tentative="1">
      <w:start w:val="1"/>
      <w:numFmt w:val="bullet"/>
      <w:lvlText w:val="•"/>
      <w:lvlJc w:val="left"/>
      <w:pPr>
        <w:tabs>
          <w:tab w:val="num" w:pos="3600"/>
        </w:tabs>
        <w:ind w:left="3600" w:hanging="360"/>
      </w:pPr>
      <w:rPr>
        <w:rFonts w:ascii="Arial" w:hAnsi="Arial" w:hint="default"/>
      </w:rPr>
    </w:lvl>
    <w:lvl w:ilvl="5" w:tplc="E7E62AB6" w:tentative="1">
      <w:start w:val="1"/>
      <w:numFmt w:val="bullet"/>
      <w:lvlText w:val="•"/>
      <w:lvlJc w:val="left"/>
      <w:pPr>
        <w:tabs>
          <w:tab w:val="num" w:pos="4320"/>
        </w:tabs>
        <w:ind w:left="4320" w:hanging="360"/>
      </w:pPr>
      <w:rPr>
        <w:rFonts w:ascii="Arial" w:hAnsi="Arial" w:hint="default"/>
      </w:rPr>
    </w:lvl>
    <w:lvl w:ilvl="6" w:tplc="F078DE64" w:tentative="1">
      <w:start w:val="1"/>
      <w:numFmt w:val="bullet"/>
      <w:lvlText w:val="•"/>
      <w:lvlJc w:val="left"/>
      <w:pPr>
        <w:tabs>
          <w:tab w:val="num" w:pos="5040"/>
        </w:tabs>
        <w:ind w:left="5040" w:hanging="360"/>
      </w:pPr>
      <w:rPr>
        <w:rFonts w:ascii="Arial" w:hAnsi="Arial" w:hint="default"/>
      </w:rPr>
    </w:lvl>
    <w:lvl w:ilvl="7" w:tplc="5B4AB6C4" w:tentative="1">
      <w:start w:val="1"/>
      <w:numFmt w:val="bullet"/>
      <w:lvlText w:val="•"/>
      <w:lvlJc w:val="left"/>
      <w:pPr>
        <w:tabs>
          <w:tab w:val="num" w:pos="5760"/>
        </w:tabs>
        <w:ind w:left="5760" w:hanging="360"/>
      </w:pPr>
      <w:rPr>
        <w:rFonts w:ascii="Arial" w:hAnsi="Arial" w:hint="default"/>
      </w:rPr>
    </w:lvl>
    <w:lvl w:ilvl="8" w:tplc="0B7CCF06" w:tentative="1">
      <w:start w:val="1"/>
      <w:numFmt w:val="bullet"/>
      <w:lvlText w:val="•"/>
      <w:lvlJc w:val="left"/>
      <w:pPr>
        <w:tabs>
          <w:tab w:val="num" w:pos="6480"/>
        </w:tabs>
        <w:ind w:left="6480" w:hanging="360"/>
      </w:pPr>
      <w:rPr>
        <w:rFonts w:ascii="Arial" w:hAnsi="Arial" w:hint="default"/>
      </w:rPr>
    </w:lvl>
  </w:abstractNum>
  <w:abstractNum w:abstractNumId="36">
    <w:nsid w:val="5D6C42A5"/>
    <w:multiLevelType w:val="hybridMultilevel"/>
    <w:tmpl w:val="2BDE7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F674464"/>
    <w:multiLevelType w:val="hybridMultilevel"/>
    <w:tmpl w:val="8276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087C0D"/>
    <w:multiLevelType w:val="hybridMultilevel"/>
    <w:tmpl w:val="C346C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32427C6"/>
    <w:multiLevelType w:val="hybridMultilevel"/>
    <w:tmpl w:val="FD12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2D6015"/>
    <w:multiLevelType w:val="hybridMultilevel"/>
    <w:tmpl w:val="B13E3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65743D"/>
    <w:multiLevelType w:val="hybridMultilevel"/>
    <w:tmpl w:val="A968A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4D53F6"/>
    <w:multiLevelType w:val="hybridMultilevel"/>
    <w:tmpl w:val="F0C4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9F3E9E"/>
    <w:multiLevelType w:val="hybridMultilevel"/>
    <w:tmpl w:val="7DB62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BD7546"/>
    <w:multiLevelType w:val="hybridMultilevel"/>
    <w:tmpl w:val="944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326DE1"/>
    <w:multiLevelType w:val="hybridMultilevel"/>
    <w:tmpl w:val="CF5A36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FE353D"/>
    <w:multiLevelType w:val="hybridMultilevel"/>
    <w:tmpl w:val="AA64604A"/>
    <w:lvl w:ilvl="0" w:tplc="49EEB1E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19"/>
  </w:num>
  <w:num w:numId="4">
    <w:abstractNumId w:val="46"/>
  </w:num>
  <w:num w:numId="5">
    <w:abstractNumId w:val="7"/>
  </w:num>
  <w:num w:numId="6">
    <w:abstractNumId w:val="21"/>
  </w:num>
  <w:num w:numId="7">
    <w:abstractNumId w:val="4"/>
  </w:num>
  <w:num w:numId="8">
    <w:abstractNumId w:val="5"/>
  </w:num>
  <w:num w:numId="9">
    <w:abstractNumId w:val="10"/>
  </w:num>
  <w:num w:numId="10">
    <w:abstractNumId w:val="17"/>
  </w:num>
  <w:num w:numId="11">
    <w:abstractNumId w:val="11"/>
  </w:num>
  <w:num w:numId="12">
    <w:abstractNumId w:val="12"/>
  </w:num>
  <w:num w:numId="13">
    <w:abstractNumId w:val="34"/>
  </w:num>
  <w:num w:numId="14">
    <w:abstractNumId w:val="1"/>
  </w:num>
  <w:num w:numId="15">
    <w:abstractNumId w:val="14"/>
  </w:num>
  <w:num w:numId="16">
    <w:abstractNumId w:val="24"/>
  </w:num>
  <w:num w:numId="17">
    <w:abstractNumId w:val="33"/>
  </w:num>
  <w:num w:numId="18">
    <w:abstractNumId w:val="13"/>
  </w:num>
  <w:num w:numId="19">
    <w:abstractNumId w:val="32"/>
  </w:num>
  <w:num w:numId="20">
    <w:abstractNumId w:val="29"/>
  </w:num>
  <w:num w:numId="21">
    <w:abstractNumId w:val="38"/>
  </w:num>
  <w:num w:numId="22">
    <w:abstractNumId w:val="43"/>
  </w:num>
  <w:num w:numId="23">
    <w:abstractNumId w:val="37"/>
  </w:num>
  <w:num w:numId="24">
    <w:abstractNumId w:val="27"/>
  </w:num>
  <w:num w:numId="25">
    <w:abstractNumId w:val="20"/>
  </w:num>
  <w:num w:numId="26">
    <w:abstractNumId w:val="40"/>
  </w:num>
  <w:num w:numId="27">
    <w:abstractNumId w:val="42"/>
  </w:num>
  <w:num w:numId="28">
    <w:abstractNumId w:val="36"/>
  </w:num>
  <w:num w:numId="29">
    <w:abstractNumId w:val="22"/>
  </w:num>
  <w:num w:numId="30">
    <w:abstractNumId w:val="35"/>
  </w:num>
  <w:num w:numId="31">
    <w:abstractNumId w:val="16"/>
  </w:num>
  <w:num w:numId="32">
    <w:abstractNumId w:val="25"/>
  </w:num>
  <w:num w:numId="33">
    <w:abstractNumId w:val="9"/>
  </w:num>
  <w:num w:numId="34">
    <w:abstractNumId w:val="15"/>
  </w:num>
  <w:num w:numId="35">
    <w:abstractNumId w:val="2"/>
  </w:num>
  <w:num w:numId="36">
    <w:abstractNumId w:val="28"/>
  </w:num>
  <w:num w:numId="37">
    <w:abstractNumId w:val="3"/>
  </w:num>
  <w:num w:numId="38">
    <w:abstractNumId w:val="31"/>
  </w:num>
  <w:num w:numId="39">
    <w:abstractNumId w:val="41"/>
  </w:num>
  <w:num w:numId="40">
    <w:abstractNumId w:val="44"/>
  </w:num>
  <w:num w:numId="41">
    <w:abstractNumId w:val="26"/>
  </w:num>
  <w:num w:numId="42">
    <w:abstractNumId w:val="6"/>
  </w:num>
  <w:num w:numId="43">
    <w:abstractNumId w:val="45"/>
  </w:num>
  <w:num w:numId="44">
    <w:abstractNumId w:val="0"/>
  </w:num>
  <w:num w:numId="45">
    <w:abstractNumId w:val="39"/>
  </w:num>
  <w:num w:numId="46">
    <w:abstractNumId w:val="30"/>
  </w:num>
  <w:num w:numId="47">
    <w:abstractNumId w:val="26"/>
  </w:num>
  <w:num w:numId="4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2"/>
    <w:rsid w:val="000007CB"/>
    <w:rsid w:val="0000150C"/>
    <w:rsid w:val="000015E0"/>
    <w:rsid w:val="00001F18"/>
    <w:rsid w:val="000020B8"/>
    <w:rsid w:val="00002B62"/>
    <w:rsid w:val="00002EF2"/>
    <w:rsid w:val="00004099"/>
    <w:rsid w:val="00006288"/>
    <w:rsid w:val="0000689D"/>
    <w:rsid w:val="00007161"/>
    <w:rsid w:val="000071D1"/>
    <w:rsid w:val="00007A31"/>
    <w:rsid w:val="00007EA8"/>
    <w:rsid w:val="000101AC"/>
    <w:rsid w:val="000115E1"/>
    <w:rsid w:val="00012132"/>
    <w:rsid w:val="00012BE6"/>
    <w:rsid w:val="00013896"/>
    <w:rsid w:val="0001399E"/>
    <w:rsid w:val="00013C19"/>
    <w:rsid w:val="00013CD6"/>
    <w:rsid w:val="00013D88"/>
    <w:rsid w:val="00013DB5"/>
    <w:rsid w:val="00013DBE"/>
    <w:rsid w:val="000149B1"/>
    <w:rsid w:val="00014A15"/>
    <w:rsid w:val="00014AE0"/>
    <w:rsid w:val="000159E7"/>
    <w:rsid w:val="000161B9"/>
    <w:rsid w:val="00016714"/>
    <w:rsid w:val="00017272"/>
    <w:rsid w:val="000205F6"/>
    <w:rsid w:val="00020BA2"/>
    <w:rsid w:val="0002168F"/>
    <w:rsid w:val="000218A9"/>
    <w:rsid w:val="00022117"/>
    <w:rsid w:val="00022750"/>
    <w:rsid w:val="0002311A"/>
    <w:rsid w:val="0002314F"/>
    <w:rsid w:val="00023417"/>
    <w:rsid w:val="000235E5"/>
    <w:rsid w:val="00023DE3"/>
    <w:rsid w:val="000243F6"/>
    <w:rsid w:val="00024BC8"/>
    <w:rsid w:val="0002533A"/>
    <w:rsid w:val="000258C8"/>
    <w:rsid w:val="00025910"/>
    <w:rsid w:val="00026584"/>
    <w:rsid w:val="00026800"/>
    <w:rsid w:val="00026ACE"/>
    <w:rsid w:val="000272AD"/>
    <w:rsid w:val="000273E9"/>
    <w:rsid w:val="000277A2"/>
    <w:rsid w:val="00027A60"/>
    <w:rsid w:val="00027B1B"/>
    <w:rsid w:val="00027EE5"/>
    <w:rsid w:val="00027FD3"/>
    <w:rsid w:val="000302E4"/>
    <w:rsid w:val="000303A5"/>
    <w:rsid w:val="000304FF"/>
    <w:rsid w:val="00030A38"/>
    <w:rsid w:val="000316D0"/>
    <w:rsid w:val="00032501"/>
    <w:rsid w:val="00033E55"/>
    <w:rsid w:val="00034154"/>
    <w:rsid w:val="0003469C"/>
    <w:rsid w:val="00035C15"/>
    <w:rsid w:val="00036B66"/>
    <w:rsid w:val="00037D3B"/>
    <w:rsid w:val="00040E13"/>
    <w:rsid w:val="00040F4A"/>
    <w:rsid w:val="0004407F"/>
    <w:rsid w:val="00044375"/>
    <w:rsid w:val="000443CA"/>
    <w:rsid w:val="000445A9"/>
    <w:rsid w:val="0004487B"/>
    <w:rsid w:val="00044E5B"/>
    <w:rsid w:val="00045A02"/>
    <w:rsid w:val="0004719B"/>
    <w:rsid w:val="00047490"/>
    <w:rsid w:val="0005151C"/>
    <w:rsid w:val="00051568"/>
    <w:rsid w:val="00051810"/>
    <w:rsid w:val="00051816"/>
    <w:rsid w:val="00051B38"/>
    <w:rsid w:val="00051EC3"/>
    <w:rsid w:val="0005282E"/>
    <w:rsid w:val="00052B63"/>
    <w:rsid w:val="00052FAB"/>
    <w:rsid w:val="000541D2"/>
    <w:rsid w:val="000542CF"/>
    <w:rsid w:val="00054F25"/>
    <w:rsid w:val="00055253"/>
    <w:rsid w:val="000558B4"/>
    <w:rsid w:val="000602B8"/>
    <w:rsid w:val="0006032D"/>
    <w:rsid w:val="00060770"/>
    <w:rsid w:val="00060C9E"/>
    <w:rsid w:val="00060DB4"/>
    <w:rsid w:val="000620E2"/>
    <w:rsid w:val="0006225D"/>
    <w:rsid w:val="0006228C"/>
    <w:rsid w:val="000633A2"/>
    <w:rsid w:val="0006417C"/>
    <w:rsid w:val="00064766"/>
    <w:rsid w:val="00064D96"/>
    <w:rsid w:val="00064F47"/>
    <w:rsid w:val="00065509"/>
    <w:rsid w:val="00065B92"/>
    <w:rsid w:val="00066A78"/>
    <w:rsid w:val="00070720"/>
    <w:rsid w:val="0007128D"/>
    <w:rsid w:val="000712F6"/>
    <w:rsid w:val="00071BD2"/>
    <w:rsid w:val="00072010"/>
    <w:rsid w:val="0007218D"/>
    <w:rsid w:val="00072789"/>
    <w:rsid w:val="000735CD"/>
    <w:rsid w:val="00074132"/>
    <w:rsid w:val="00074653"/>
    <w:rsid w:val="00074C0D"/>
    <w:rsid w:val="000752B0"/>
    <w:rsid w:val="0007565E"/>
    <w:rsid w:val="00075A8C"/>
    <w:rsid w:val="00075E30"/>
    <w:rsid w:val="0007646E"/>
    <w:rsid w:val="000767E3"/>
    <w:rsid w:val="00076C74"/>
    <w:rsid w:val="000771B9"/>
    <w:rsid w:val="0007753E"/>
    <w:rsid w:val="00077A0C"/>
    <w:rsid w:val="00077C3C"/>
    <w:rsid w:val="00077CE4"/>
    <w:rsid w:val="00077E9A"/>
    <w:rsid w:val="00081E2B"/>
    <w:rsid w:val="00082CB3"/>
    <w:rsid w:val="0008309D"/>
    <w:rsid w:val="00083F0E"/>
    <w:rsid w:val="0008407E"/>
    <w:rsid w:val="00084465"/>
    <w:rsid w:val="00085259"/>
    <w:rsid w:val="00085759"/>
    <w:rsid w:val="000861F0"/>
    <w:rsid w:val="00086390"/>
    <w:rsid w:val="000871AD"/>
    <w:rsid w:val="000906F0"/>
    <w:rsid w:val="00090897"/>
    <w:rsid w:val="00090D69"/>
    <w:rsid w:val="0009149F"/>
    <w:rsid w:val="000914A1"/>
    <w:rsid w:val="000921F2"/>
    <w:rsid w:val="0009358E"/>
    <w:rsid w:val="00093720"/>
    <w:rsid w:val="00094108"/>
    <w:rsid w:val="000944F8"/>
    <w:rsid w:val="00094797"/>
    <w:rsid w:val="00094E12"/>
    <w:rsid w:val="000951BA"/>
    <w:rsid w:val="0009588E"/>
    <w:rsid w:val="00097079"/>
    <w:rsid w:val="000970F0"/>
    <w:rsid w:val="000971D2"/>
    <w:rsid w:val="000A0A0F"/>
    <w:rsid w:val="000A16FA"/>
    <w:rsid w:val="000A204D"/>
    <w:rsid w:val="000A22D1"/>
    <w:rsid w:val="000A2470"/>
    <w:rsid w:val="000A30A8"/>
    <w:rsid w:val="000A30F3"/>
    <w:rsid w:val="000A4BD7"/>
    <w:rsid w:val="000A53FC"/>
    <w:rsid w:val="000A5AC6"/>
    <w:rsid w:val="000A5C86"/>
    <w:rsid w:val="000A692E"/>
    <w:rsid w:val="000A6DE2"/>
    <w:rsid w:val="000A6E0C"/>
    <w:rsid w:val="000A6E17"/>
    <w:rsid w:val="000A71BE"/>
    <w:rsid w:val="000A77B0"/>
    <w:rsid w:val="000B0014"/>
    <w:rsid w:val="000B0207"/>
    <w:rsid w:val="000B14F2"/>
    <w:rsid w:val="000B1D2D"/>
    <w:rsid w:val="000B1D92"/>
    <w:rsid w:val="000B2706"/>
    <w:rsid w:val="000B2CD9"/>
    <w:rsid w:val="000B3000"/>
    <w:rsid w:val="000B3596"/>
    <w:rsid w:val="000B363E"/>
    <w:rsid w:val="000B3FFD"/>
    <w:rsid w:val="000B429F"/>
    <w:rsid w:val="000B45FA"/>
    <w:rsid w:val="000B464A"/>
    <w:rsid w:val="000B49F7"/>
    <w:rsid w:val="000B51F8"/>
    <w:rsid w:val="000B5541"/>
    <w:rsid w:val="000B5CC5"/>
    <w:rsid w:val="000B5F12"/>
    <w:rsid w:val="000B61CD"/>
    <w:rsid w:val="000B74EF"/>
    <w:rsid w:val="000B7F72"/>
    <w:rsid w:val="000C0429"/>
    <w:rsid w:val="000C0D19"/>
    <w:rsid w:val="000C1707"/>
    <w:rsid w:val="000C1D86"/>
    <w:rsid w:val="000C1D8B"/>
    <w:rsid w:val="000C21AE"/>
    <w:rsid w:val="000C27F0"/>
    <w:rsid w:val="000C363B"/>
    <w:rsid w:val="000C3B05"/>
    <w:rsid w:val="000C3D87"/>
    <w:rsid w:val="000C468A"/>
    <w:rsid w:val="000C576B"/>
    <w:rsid w:val="000C66FE"/>
    <w:rsid w:val="000C6911"/>
    <w:rsid w:val="000C6DA2"/>
    <w:rsid w:val="000D011D"/>
    <w:rsid w:val="000D033A"/>
    <w:rsid w:val="000D081F"/>
    <w:rsid w:val="000D0A39"/>
    <w:rsid w:val="000D0BDB"/>
    <w:rsid w:val="000D111E"/>
    <w:rsid w:val="000D1432"/>
    <w:rsid w:val="000D173E"/>
    <w:rsid w:val="000D1FD2"/>
    <w:rsid w:val="000D244F"/>
    <w:rsid w:val="000D2753"/>
    <w:rsid w:val="000D2ACE"/>
    <w:rsid w:val="000D2C2A"/>
    <w:rsid w:val="000D2CCE"/>
    <w:rsid w:val="000D2E1B"/>
    <w:rsid w:val="000D408D"/>
    <w:rsid w:val="000D5481"/>
    <w:rsid w:val="000D624C"/>
    <w:rsid w:val="000D6D83"/>
    <w:rsid w:val="000D6E7A"/>
    <w:rsid w:val="000E123C"/>
    <w:rsid w:val="000E1271"/>
    <w:rsid w:val="000E13CC"/>
    <w:rsid w:val="000E1686"/>
    <w:rsid w:val="000E301F"/>
    <w:rsid w:val="000E4D45"/>
    <w:rsid w:val="000E4D7B"/>
    <w:rsid w:val="000E4E91"/>
    <w:rsid w:val="000E57D4"/>
    <w:rsid w:val="000E62D3"/>
    <w:rsid w:val="000E6840"/>
    <w:rsid w:val="000E6890"/>
    <w:rsid w:val="000E7469"/>
    <w:rsid w:val="000E7633"/>
    <w:rsid w:val="000E7FAD"/>
    <w:rsid w:val="000F03F8"/>
    <w:rsid w:val="000F0BFC"/>
    <w:rsid w:val="000F12C8"/>
    <w:rsid w:val="000F284F"/>
    <w:rsid w:val="000F2B55"/>
    <w:rsid w:val="000F3B1D"/>
    <w:rsid w:val="000F46F0"/>
    <w:rsid w:val="000F4782"/>
    <w:rsid w:val="000F4A88"/>
    <w:rsid w:val="000F4E99"/>
    <w:rsid w:val="000F5D39"/>
    <w:rsid w:val="000F6809"/>
    <w:rsid w:val="000F7369"/>
    <w:rsid w:val="00100D05"/>
    <w:rsid w:val="00100D0E"/>
    <w:rsid w:val="001018CE"/>
    <w:rsid w:val="0010380D"/>
    <w:rsid w:val="00103DFD"/>
    <w:rsid w:val="00104051"/>
    <w:rsid w:val="00104864"/>
    <w:rsid w:val="00105EE0"/>
    <w:rsid w:val="00106019"/>
    <w:rsid w:val="00106836"/>
    <w:rsid w:val="00106C64"/>
    <w:rsid w:val="00107437"/>
    <w:rsid w:val="00107476"/>
    <w:rsid w:val="001079DF"/>
    <w:rsid w:val="001104E2"/>
    <w:rsid w:val="00110D29"/>
    <w:rsid w:val="00112381"/>
    <w:rsid w:val="00112D00"/>
    <w:rsid w:val="0011321F"/>
    <w:rsid w:val="0011367A"/>
    <w:rsid w:val="00114A6E"/>
    <w:rsid w:val="0011597A"/>
    <w:rsid w:val="00116841"/>
    <w:rsid w:val="00116B26"/>
    <w:rsid w:val="00116CEB"/>
    <w:rsid w:val="001177F9"/>
    <w:rsid w:val="00117E66"/>
    <w:rsid w:val="001200C4"/>
    <w:rsid w:val="001222EB"/>
    <w:rsid w:val="00122347"/>
    <w:rsid w:val="00122B25"/>
    <w:rsid w:val="001232E4"/>
    <w:rsid w:val="00123A3D"/>
    <w:rsid w:val="00123BCA"/>
    <w:rsid w:val="00124561"/>
    <w:rsid w:val="00125716"/>
    <w:rsid w:val="0012629E"/>
    <w:rsid w:val="00131040"/>
    <w:rsid w:val="001314E9"/>
    <w:rsid w:val="001316C5"/>
    <w:rsid w:val="001317DF"/>
    <w:rsid w:val="0013196A"/>
    <w:rsid w:val="00131983"/>
    <w:rsid w:val="00131CCE"/>
    <w:rsid w:val="00131D61"/>
    <w:rsid w:val="00131E59"/>
    <w:rsid w:val="00132004"/>
    <w:rsid w:val="001324C6"/>
    <w:rsid w:val="00133264"/>
    <w:rsid w:val="00133907"/>
    <w:rsid w:val="00133BA2"/>
    <w:rsid w:val="001346BF"/>
    <w:rsid w:val="00134BEF"/>
    <w:rsid w:val="00134DA3"/>
    <w:rsid w:val="00135225"/>
    <w:rsid w:val="001352CE"/>
    <w:rsid w:val="00135737"/>
    <w:rsid w:val="00136699"/>
    <w:rsid w:val="0013683F"/>
    <w:rsid w:val="001372A4"/>
    <w:rsid w:val="001372DB"/>
    <w:rsid w:val="001375A9"/>
    <w:rsid w:val="0013764F"/>
    <w:rsid w:val="0013777E"/>
    <w:rsid w:val="00137978"/>
    <w:rsid w:val="00141045"/>
    <w:rsid w:val="0014145A"/>
    <w:rsid w:val="0014151A"/>
    <w:rsid w:val="001417E6"/>
    <w:rsid w:val="00141A3D"/>
    <w:rsid w:val="00141CFE"/>
    <w:rsid w:val="00142483"/>
    <w:rsid w:val="001434E8"/>
    <w:rsid w:val="0014463E"/>
    <w:rsid w:val="0014471E"/>
    <w:rsid w:val="00144970"/>
    <w:rsid w:val="001449B9"/>
    <w:rsid w:val="00146020"/>
    <w:rsid w:val="0014614D"/>
    <w:rsid w:val="001469D9"/>
    <w:rsid w:val="001479CF"/>
    <w:rsid w:val="00147AEA"/>
    <w:rsid w:val="00150025"/>
    <w:rsid w:val="00150987"/>
    <w:rsid w:val="00150BB7"/>
    <w:rsid w:val="00150CBD"/>
    <w:rsid w:val="0015103C"/>
    <w:rsid w:val="00151318"/>
    <w:rsid w:val="00151922"/>
    <w:rsid w:val="001527C5"/>
    <w:rsid w:val="00152EB6"/>
    <w:rsid w:val="001530E4"/>
    <w:rsid w:val="001537DD"/>
    <w:rsid w:val="00153FC7"/>
    <w:rsid w:val="00154573"/>
    <w:rsid w:val="00154659"/>
    <w:rsid w:val="00154E98"/>
    <w:rsid w:val="00155D0B"/>
    <w:rsid w:val="00156858"/>
    <w:rsid w:val="00156ED5"/>
    <w:rsid w:val="001571F5"/>
    <w:rsid w:val="0015724D"/>
    <w:rsid w:val="001573A7"/>
    <w:rsid w:val="00157CDE"/>
    <w:rsid w:val="00160A9B"/>
    <w:rsid w:val="00160B86"/>
    <w:rsid w:val="00161375"/>
    <w:rsid w:val="00161E25"/>
    <w:rsid w:val="001626E8"/>
    <w:rsid w:val="001635E4"/>
    <w:rsid w:val="00163C21"/>
    <w:rsid w:val="00164031"/>
    <w:rsid w:val="001659EB"/>
    <w:rsid w:val="00165CAD"/>
    <w:rsid w:val="00165D12"/>
    <w:rsid w:val="00166555"/>
    <w:rsid w:val="00167A15"/>
    <w:rsid w:val="00167E65"/>
    <w:rsid w:val="00167F85"/>
    <w:rsid w:val="00170B11"/>
    <w:rsid w:val="00170EDA"/>
    <w:rsid w:val="00171356"/>
    <w:rsid w:val="00171840"/>
    <w:rsid w:val="001727C1"/>
    <w:rsid w:val="00172910"/>
    <w:rsid w:val="001736DA"/>
    <w:rsid w:val="00174093"/>
    <w:rsid w:val="00176AF4"/>
    <w:rsid w:val="00176B24"/>
    <w:rsid w:val="00176F5B"/>
    <w:rsid w:val="00177ABE"/>
    <w:rsid w:val="00180517"/>
    <w:rsid w:val="001813E5"/>
    <w:rsid w:val="00182060"/>
    <w:rsid w:val="001821D6"/>
    <w:rsid w:val="00184843"/>
    <w:rsid w:val="00185386"/>
    <w:rsid w:val="001855E3"/>
    <w:rsid w:val="001863BC"/>
    <w:rsid w:val="001872E6"/>
    <w:rsid w:val="00187604"/>
    <w:rsid w:val="001901F3"/>
    <w:rsid w:val="00190B00"/>
    <w:rsid w:val="00190E9C"/>
    <w:rsid w:val="00190FC6"/>
    <w:rsid w:val="001928E2"/>
    <w:rsid w:val="00192A9F"/>
    <w:rsid w:val="00192D7A"/>
    <w:rsid w:val="00194385"/>
    <w:rsid w:val="00194938"/>
    <w:rsid w:val="00194B4C"/>
    <w:rsid w:val="00194DFF"/>
    <w:rsid w:val="00195685"/>
    <w:rsid w:val="001957F2"/>
    <w:rsid w:val="001963A2"/>
    <w:rsid w:val="0019651E"/>
    <w:rsid w:val="0019653B"/>
    <w:rsid w:val="0019662A"/>
    <w:rsid w:val="0019696B"/>
    <w:rsid w:val="00196C12"/>
    <w:rsid w:val="00196D95"/>
    <w:rsid w:val="00196EE2"/>
    <w:rsid w:val="001A0058"/>
    <w:rsid w:val="001A020D"/>
    <w:rsid w:val="001A0C88"/>
    <w:rsid w:val="001A15F9"/>
    <w:rsid w:val="001A1737"/>
    <w:rsid w:val="001A244F"/>
    <w:rsid w:val="001A2C5D"/>
    <w:rsid w:val="001A2D1F"/>
    <w:rsid w:val="001A2E20"/>
    <w:rsid w:val="001A3926"/>
    <w:rsid w:val="001A40EB"/>
    <w:rsid w:val="001A5A33"/>
    <w:rsid w:val="001A5D60"/>
    <w:rsid w:val="001A5EC6"/>
    <w:rsid w:val="001A6219"/>
    <w:rsid w:val="001A69A7"/>
    <w:rsid w:val="001A70BB"/>
    <w:rsid w:val="001A72AD"/>
    <w:rsid w:val="001A77B1"/>
    <w:rsid w:val="001A798A"/>
    <w:rsid w:val="001B00A6"/>
    <w:rsid w:val="001B1064"/>
    <w:rsid w:val="001B2712"/>
    <w:rsid w:val="001B30DC"/>
    <w:rsid w:val="001B3522"/>
    <w:rsid w:val="001B3EC2"/>
    <w:rsid w:val="001B519A"/>
    <w:rsid w:val="001B6084"/>
    <w:rsid w:val="001B64F5"/>
    <w:rsid w:val="001B667D"/>
    <w:rsid w:val="001B6FCD"/>
    <w:rsid w:val="001B7693"/>
    <w:rsid w:val="001B7A5E"/>
    <w:rsid w:val="001C0153"/>
    <w:rsid w:val="001C01C1"/>
    <w:rsid w:val="001C040F"/>
    <w:rsid w:val="001C066E"/>
    <w:rsid w:val="001C0A11"/>
    <w:rsid w:val="001C1222"/>
    <w:rsid w:val="001C1DD5"/>
    <w:rsid w:val="001C1E0C"/>
    <w:rsid w:val="001C268C"/>
    <w:rsid w:val="001C2706"/>
    <w:rsid w:val="001C27CC"/>
    <w:rsid w:val="001C303C"/>
    <w:rsid w:val="001C3EBE"/>
    <w:rsid w:val="001C4579"/>
    <w:rsid w:val="001C4E5F"/>
    <w:rsid w:val="001C5530"/>
    <w:rsid w:val="001C555F"/>
    <w:rsid w:val="001C5AC8"/>
    <w:rsid w:val="001C5B9D"/>
    <w:rsid w:val="001C68EB"/>
    <w:rsid w:val="001C6DD3"/>
    <w:rsid w:val="001D0C94"/>
    <w:rsid w:val="001D106A"/>
    <w:rsid w:val="001D3565"/>
    <w:rsid w:val="001D391B"/>
    <w:rsid w:val="001D4E44"/>
    <w:rsid w:val="001D5395"/>
    <w:rsid w:val="001D56E7"/>
    <w:rsid w:val="001D61ED"/>
    <w:rsid w:val="001D6231"/>
    <w:rsid w:val="001D6FE6"/>
    <w:rsid w:val="001D7141"/>
    <w:rsid w:val="001D75CC"/>
    <w:rsid w:val="001E063D"/>
    <w:rsid w:val="001E0A82"/>
    <w:rsid w:val="001E0F72"/>
    <w:rsid w:val="001E13DD"/>
    <w:rsid w:val="001E1465"/>
    <w:rsid w:val="001E14DB"/>
    <w:rsid w:val="001E1E2A"/>
    <w:rsid w:val="001E2639"/>
    <w:rsid w:val="001E27D7"/>
    <w:rsid w:val="001E36B4"/>
    <w:rsid w:val="001E3B0E"/>
    <w:rsid w:val="001E483B"/>
    <w:rsid w:val="001E4CC3"/>
    <w:rsid w:val="001E595A"/>
    <w:rsid w:val="001E6632"/>
    <w:rsid w:val="001E6709"/>
    <w:rsid w:val="001E6BD4"/>
    <w:rsid w:val="001E6EC8"/>
    <w:rsid w:val="001F12C8"/>
    <w:rsid w:val="001F19FD"/>
    <w:rsid w:val="001F1A1E"/>
    <w:rsid w:val="001F1D97"/>
    <w:rsid w:val="001F1DA0"/>
    <w:rsid w:val="001F23DF"/>
    <w:rsid w:val="001F3379"/>
    <w:rsid w:val="001F38A6"/>
    <w:rsid w:val="001F3995"/>
    <w:rsid w:val="001F4189"/>
    <w:rsid w:val="001F46D2"/>
    <w:rsid w:val="001F4FFA"/>
    <w:rsid w:val="001F53D2"/>
    <w:rsid w:val="001F59AC"/>
    <w:rsid w:val="001F5BDA"/>
    <w:rsid w:val="001F5DCC"/>
    <w:rsid w:val="001F60DE"/>
    <w:rsid w:val="001F73E6"/>
    <w:rsid w:val="001F7F92"/>
    <w:rsid w:val="00200E5B"/>
    <w:rsid w:val="00201308"/>
    <w:rsid w:val="0020187E"/>
    <w:rsid w:val="00201D68"/>
    <w:rsid w:val="00201FED"/>
    <w:rsid w:val="0020210E"/>
    <w:rsid w:val="00202126"/>
    <w:rsid w:val="0020265C"/>
    <w:rsid w:val="00202AE0"/>
    <w:rsid w:val="00203A62"/>
    <w:rsid w:val="00204DD3"/>
    <w:rsid w:val="00204E8B"/>
    <w:rsid w:val="0020519B"/>
    <w:rsid w:val="002051FD"/>
    <w:rsid w:val="00205CE4"/>
    <w:rsid w:val="00205D45"/>
    <w:rsid w:val="002064EF"/>
    <w:rsid w:val="00206A3D"/>
    <w:rsid w:val="00206AAE"/>
    <w:rsid w:val="00207E1F"/>
    <w:rsid w:val="0021004D"/>
    <w:rsid w:val="002106C4"/>
    <w:rsid w:val="00211B62"/>
    <w:rsid w:val="002138F5"/>
    <w:rsid w:val="00213C41"/>
    <w:rsid w:val="00214526"/>
    <w:rsid w:val="00214CDF"/>
    <w:rsid w:val="00214F32"/>
    <w:rsid w:val="00215202"/>
    <w:rsid w:val="0021523F"/>
    <w:rsid w:val="00216821"/>
    <w:rsid w:val="0021695F"/>
    <w:rsid w:val="00217293"/>
    <w:rsid w:val="002176EB"/>
    <w:rsid w:val="00217F48"/>
    <w:rsid w:val="002203E0"/>
    <w:rsid w:val="00220F04"/>
    <w:rsid w:val="002221A7"/>
    <w:rsid w:val="002223DA"/>
    <w:rsid w:val="00222C57"/>
    <w:rsid w:val="00223AC6"/>
    <w:rsid w:val="00224221"/>
    <w:rsid w:val="002251BE"/>
    <w:rsid w:val="0022603D"/>
    <w:rsid w:val="00226446"/>
    <w:rsid w:val="00227817"/>
    <w:rsid w:val="0023081C"/>
    <w:rsid w:val="002313B3"/>
    <w:rsid w:val="00231569"/>
    <w:rsid w:val="00231773"/>
    <w:rsid w:val="00231951"/>
    <w:rsid w:val="00231961"/>
    <w:rsid w:val="00232416"/>
    <w:rsid w:val="0023250D"/>
    <w:rsid w:val="0023314A"/>
    <w:rsid w:val="00234762"/>
    <w:rsid w:val="00235EC8"/>
    <w:rsid w:val="00236267"/>
    <w:rsid w:val="0023630E"/>
    <w:rsid w:val="002369DA"/>
    <w:rsid w:val="00236BE1"/>
    <w:rsid w:val="00236DA8"/>
    <w:rsid w:val="0023771C"/>
    <w:rsid w:val="002379B5"/>
    <w:rsid w:val="00237BEC"/>
    <w:rsid w:val="00240978"/>
    <w:rsid w:val="0024252E"/>
    <w:rsid w:val="00243684"/>
    <w:rsid w:val="00243843"/>
    <w:rsid w:val="0024393F"/>
    <w:rsid w:val="0024399D"/>
    <w:rsid w:val="00243CEA"/>
    <w:rsid w:val="00243DFC"/>
    <w:rsid w:val="00244F46"/>
    <w:rsid w:val="00245404"/>
    <w:rsid w:val="002455E4"/>
    <w:rsid w:val="00245771"/>
    <w:rsid w:val="00247EAF"/>
    <w:rsid w:val="00250C44"/>
    <w:rsid w:val="00250FAB"/>
    <w:rsid w:val="00251082"/>
    <w:rsid w:val="002524F0"/>
    <w:rsid w:val="0025287E"/>
    <w:rsid w:val="00253182"/>
    <w:rsid w:val="00253208"/>
    <w:rsid w:val="00253712"/>
    <w:rsid w:val="00253CAA"/>
    <w:rsid w:val="00254D86"/>
    <w:rsid w:val="002553FB"/>
    <w:rsid w:val="0025546E"/>
    <w:rsid w:val="002559F7"/>
    <w:rsid w:val="00256005"/>
    <w:rsid w:val="00256D52"/>
    <w:rsid w:val="002570DC"/>
    <w:rsid w:val="0025786F"/>
    <w:rsid w:val="0025799F"/>
    <w:rsid w:val="00257CB9"/>
    <w:rsid w:val="0026017A"/>
    <w:rsid w:val="002605A1"/>
    <w:rsid w:val="00260C4F"/>
    <w:rsid w:val="00261399"/>
    <w:rsid w:val="00263823"/>
    <w:rsid w:val="00265663"/>
    <w:rsid w:val="00266817"/>
    <w:rsid w:val="00267F35"/>
    <w:rsid w:val="00267FC4"/>
    <w:rsid w:val="0027079B"/>
    <w:rsid w:val="00270DBC"/>
    <w:rsid w:val="00270EBD"/>
    <w:rsid w:val="002711CC"/>
    <w:rsid w:val="0027182D"/>
    <w:rsid w:val="00271C0C"/>
    <w:rsid w:val="00272401"/>
    <w:rsid w:val="002724E8"/>
    <w:rsid w:val="00273256"/>
    <w:rsid w:val="00273B07"/>
    <w:rsid w:val="002747AC"/>
    <w:rsid w:val="00274D11"/>
    <w:rsid w:val="002750A8"/>
    <w:rsid w:val="002758DB"/>
    <w:rsid w:val="00275FEF"/>
    <w:rsid w:val="00276091"/>
    <w:rsid w:val="0027619F"/>
    <w:rsid w:val="002771FE"/>
    <w:rsid w:val="002808A8"/>
    <w:rsid w:val="00282452"/>
    <w:rsid w:val="00282798"/>
    <w:rsid w:val="00282D63"/>
    <w:rsid w:val="00283881"/>
    <w:rsid w:val="002841FE"/>
    <w:rsid w:val="0028491D"/>
    <w:rsid w:val="0028531D"/>
    <w:rsid w:val="002862C3"/>
    <w:rsid w:val="00286BB0"/>
    <w:rsid w:val="0028707E"/>
    <w:rsid w:val="00287A8C"/>
    <w:rsid w:val="00287AA0"/>
    <w:rsid w:val="00287AF4"/>
    <w:rsid w:val="00287B5A"/>
    <w:rsid w:val="00290006"/>
    <w:rsid w:val="002901BA"/>
    <w:rsid w:val="00290CAC"/>
    <w:rsid w:val="00290F85"/>
    <w:rsid w:val="0029135E"/>
    <w:rsid w:val="002915CA"/>
    <w:rsid w:val="00291A18"/>
    <w:rsid w:val="00291BEC"/>
    <w:rsid w:val="00291CBC"/>
    <w:rsid w:val="002928DF"/>
    <w:rsid w:val="00292F27"/>
    <w:rsid w:val="002930EC"/>
    <w:rsid w:val="00293AE3"/>
    <w:rsid w:val="00294E11"/>
    <w:rsid w:val="00294E63"/>
    <w:rsid w:val="00295D78"/>
    <w:rsid w:val="00297CAE"/>
    <w:rsid w:val="002A1225"/>
    <w:rsid w:val="002A1359"/>
    <w:rsid w:val="002A1AB0"/>
    <w:rsid w:val="002A2812"/>
    <w:rsid w:val="002A3112"/>
    <w:rsid w:val="002A32B4"/>
    <w:rsid w:val="002A3655"/>
    <w:rsid w:val="002A39D4"/>
    <w:rsid w:val="002A4F58"/>
    <w:rsid w:val="002A5242"/>
    <w:rsid w:val="002A5AB5"/>
    <w:rsid w:val="002A5DD8"/>
    <w:rsid w:val="002A620C"/>
    <w:rsid w:val="002A6BEF"/>
    <w:rsid w:val="002A7856"/>
    <w:rsid w:val="002A7CA8"/>
    <w:rsid w:val="002B02F3"/>
    <w:rsid w:val="002B05FC"/>
    <w:rsid w:val="002B0953"/>
    <w:rsid w:val="002B0E1C"/>
    <w:rsid w:val="002B0E4C"/>
    <w:rsid w:val="002B167B"/>
    <w:rsid w:val="002B177C"/>
    <w:rsid w:val="002B1D7C"/>
    <w:rsid w:val="002B22FC"/>
    <w:rsid w:val="002B34A1"/>
    <w:rsid w:val="002B392C"/>
    <w:rsid w:val="002B49A3"/>
    <w:rsid w:val="002B49B7"/>
    <w:rsid w:val="002B4BB9"/>
    <w:rsid w:val="002B7B48"/>
    <w:rsid w:val="002C06A1"/>
    <w:rsid w:val="002C06A6"/>
    <w:rsid w:val="002C0769"/>
    <w:rsid w:val="002C0A25"/>
    <w:rsid w:val="002C1279"/>
    <w:rsid w:val="002C143F"/>
    <w:rsid w:val="002C15A3"/>
    <w:rsid w:val="002C15F4"/>
    <w:rsid w:val="002C2A8D"/>
    <w:rsid w:val="002C4AC5"/>
    <w:rsid w:val="002C5124"/>
    <w:rsid w:val="002C5EF1"/>
    <w:rsid w:val="002C5FB6"/>
    <w:rsid w:val="002C645E"/>
    <w:rsid w:val="002C6753"/>
    <w:rsid w:val="002C6DB0"/>
    <w:rsid w:val="002C6F24"/>
    <w:rsid w:val="002C7B71"/>
    <w:rsid w:val="002D10D1"/>
    <w:rsid w:val="002D164E"/>
    <w:rsid w:val="002D216B"/>
    <w:rsid w:val="002D2699"/>
    <w:rsid w:val="002D302C"/>
    <w:rsid w:val="002D360B"/>
    <w:rsid w:val="002D3888"/>
    <w:rsid w:val="002D3A9E"/>
    <w:rsid w:val="002D3B65"/>
    <w:rsid w:val="002D4204"/>
    <w:rsid w:val="002D4235"/>
    <w:rsid w:val="002D456A"/>
    <w:rsid w:val="002D54D2"/>
    <w:rsid w:val="002D5C4F"/>
    <w:rsid w:val="002D6381"/>
    <w:rsid w:val="002D6386"/>
    <w:rsid w:val="002D6591"/>
    <w:rsid w:val="002D6715"/>
    <w:rsid w:val="002D68F3"/>
    <w:rsid w:val="002D694C"/>
    <w:rsid w:val="002D71E6"/>
    <w:rsid w:val="002E0348"/>
    <w:rsid w:val="002E0397"/>
    <w:rsid w:val="002E06CF"/>
    <w:rsid w:val="002E09B4"/>
    <w:rsid w:val="002E196D"/>
    <w:rsid w:val="002E2054"/>
    <w:rsid w:val="002E24A5"/>
    <w:rsid w:val="002E25E1"/>
    <w:rsid w:val="002E2E4E"/>
    <w:rsid w:val="002E368A"/>
    <w:rsid w:val="002E37EF"/>
    <w:rsid w:val="002E3C38"/>
    <w:rsid w:val="002E3C81"/>
    <w:rsid w:val="002E3FD8"/>
    <w:rsid w:val="002E4498"/>
    <w:rsid w:val="002E48A7"/>
    <w:rsid w:val="002E5203"/>
    <w:rsid w:val="002E55D7"/>
    <w:rsid w:val="002E57FB"/>
    <w:rsid w:val="002E5B21"/>
    <w:rsid w:val="002E62C5"/>
    <w:rsid w:val="002F02F2"/>
    <w:rsid w:val="002F032D"/>
    <w:rsid w:val="002F159C"/>
    <w:rsid w:val="002F1684"/>
    <w:rsid w:val="002F17FE"/>
    <w:rsid w:val="002F1EC0"/>
    <w:rsid w:val="002F2486"/>
    <w:rsid w:val="002F2CFA"/>
    <w:rsid w:val="002F3924"/>
    <w:rsid w:val="002F3A75"/>
    <w:rsid w:val="002F4883"/>
    <w:rsid w:val="002F4BBB"/>
    <w:rsid w:val="002F5B84"/>
    <w:rsid w:val="002F6D3C"/>
    <w:rsid w:val="002F7B13"/>
    <w:rsid w:val="00300D7F"/>
    <w:rsid w:val="00302C86"/>
    <w:rsid w:val="00302CC4"/>
    <w:rsid w:val="00303067"/>
    <w:rsid w:val="00303C3B"/>
    <w:rsid w:val="00305644"/>
    <w:rsid w:val="00305CE1"/>
    <w:rsid w:val="00306DDE"/>
    <w:rsid w:val="00307B02"/>
    <w:rsid w:val="00307FE7"/>
    <w:rsid w:val="003113D2"/>
    <w:rsid w:val="003124C0"/>
    <w:rsid w:val="003127FE"/>
    <w:rsid w:val="00312A63"/>
    <w:rsid w:val="00312CA2"/>
    <w:rsid w:val="00312FF7"/>
    <w:rsid w:val="00313120"/>
    <w:rsid w:val="003139CB"/>
    <w:rsid w:val="00313AFA"/>
    <w:rsid w:val="00313BDA"/>
    <w:rsid w:val="00313DE2"/>
    <w:rsid w:val="003148D4"/>
    <w:rsid w:val="00314906"/>
    <w:rsid w:val="003162F8"/>
    <w:rsid w:val="00316980"/>
    <w:rsid w:val="00316DEE"/>
    <w:rsid w:val="00317253"/>
    <w:rsid w:val="00320135"/>
    <w:rsid w:val="00320ABC"/>
    <w:rsid w:val="00320D99"/>
    <w:rsid w:val="003210B3"/>
    <w:rsid w:val="00321D14"/>
    <w:rsid w:val="00322AB3"/>
    <w:rsid w:val="00323C10"/>
    <w:rsid w:val="00323E95"/>
    <w:rsid w:val="003248A4"/>
    <w:rsid w:val="003249E2"/>
    <w:rsid w:val="00325EAE"/>
    <w:rsid w:val="00326098"/>
    <w:rsid w:val="003267A5"/>
    <w:rsid w:val="00326844"/>
    <w:rsid w:val="00326C8C"/>
    <w:rsid w:val="00327C9D"/>
    <w:rsid w:val="0033054C"/>
    <w:rsid w:val="00330703"/>
    <w:rsid w:val="00330EE6"/>
    <w:rsid w:val="00331141"/>
    <w:rsid w:val="00331628"/>
    <w:rsid w:val="00331EB5"/>
    <w:rsid w:val="003326F8"/>
    <w:rsid w:val="00332993"/>
    <w:rsid w:val="00332CB8"/>
    <w:rsid w:val="003330E5"/>
    <w:rsid w:val="00333606"/>
    <w:rsid w:val="0033469A"/>
    <w:rsid w:val="00334D53"/>
    <w:rsid w:val="003350D7"/>
    <w:rsid w:val="0033565F"/>
    <w:rsid w:val="0033666B"/>
    <w:rsid w:val="00336698"/>
    <w:rsid w:val="00336806"/>
    <w:rsid w:val="00336C33"/>
    <w:rsid w:val="00340152"/>
    <w:rsid w:val="00340E99"/>
    <w:rsid w:val="003417AE"/>
    <w:rsid w:val="00341F51"/>
    <w:rsid w:val="00342334"/>
    <w:rsid w:val="00342937"/>
    <w:rsid w:val="00342BA4"/>
    <w:rsid w:val="00343581"/>
    <w:rsid w:val="003443F3"/>
    <w:rsid w:val="00344859"/>
    <w:rsid w:val="00344979"/>
    <w:rsid w:val="00344D70"/>
    <w:rsid w:val="00345275"/>
    <w:rsid w:val="003452A1"/>
    <w:rsid w:val="003459FC"/>
    <w:rsid w:val="0034652E"/>
    <w:rsid w:val="00346C4C"/>
    <w:rsid w:val="00346E41"/>
    <w:rsid w:val="0034790D"/>
    <w:rsid w:val="003506B8"/>
    <w:rsid w:val="003507B3"/>
    <w:rsid w:val="003511BF"/>
    <w:rsid w:val="0035220C"/>
    <w:rsid w:val="00352E8A"/>
    <w:rsid w:val="00353BF7"/>
    <w:rsid w:val="00353E03"/>
    <w:rsid w:val="00354156"/>
    <w:rsid w:val="00354A4E"/>
    <w:rsid w:val="00354E0E"/>
    <w:rsid w:val="003555F0"/>
    <w:rsid w:val="00355B32"/>
    <w:rsid w:val="00355B97"/>
    <w:rsid w:val="00357674"/>
    <w:rsid w:val="003579E6"/>
    <w:rsid w:val="00357FB5"/>
    <w:rsid w:val="00360896"/>
    <w:rsid w:val="00360BBB"/>
    <w:rsid w:val="003610A0"/>
    <w:rsid w:val="00361201"/>
    <w:rsid w:val="003613DA"/>
    <w:rsid w:val="003618A2"/>
    <w:rsid w:val="00361ADA"/>
    <w:rsid w:val="00361AF0"/>
    <w:rsid w:val="00361B5A"/>
    <w:rsid w:val="00361F32"/>
    <w:rsid w:val="00362108"/>
    <w:rsid w:val="003621A6"/>
    <w:rsid w:val="00362314"/>
    <w:rsid w:val="00362671"/>
    <w:rsid w:val="00362D47"/>
    <w:rsid w:val="00362D7A"/>
    <w:rsid w:val="003648A2"/>
    <w:rsid w:val="00364AAF"/>
    <w:rsid w:val="00364CCC"/>
    <w:rsid w:val="0036566F"/>
    <w:rsid w:val="00365B89"/>
    <w:rsid w:val="003709DA"/>
    <w:rsid w:val="00370F1A"/>
    <w:rsid w:val="003710D1"/>
    <w:rsid w:val="003712EB"/>
    <w:rsid w:val="00371FBD"/>
    <w:rsid w:val="0037220A"/>
    <w:rsid w:val="00372563"/>
    <w:rsid w:val="00372A09"/>
    <w:rsid w:val="00373456"/>
    <w:rsid w:val="0037375F"/>
    <w:rsid w:val="003743D0"/>
    <w:rsid w:val="00374412"/>
    <w:rsid w:val="00374A8F"/>
    <w:rsid w:val="00375A7F"/>
    <w:rsid w:val="00375B38"/>
    <w:rsid w:val="0037690A"/>
    <w:rsid w:val="00376F9B"/>
    <w:rsid w:val="00377AC3"/>
    <w:rsid w:val="00377FCA"/>
    <w:rsid w:val="003800B5"/>
    <w:rsid w:val="00380F01"/>
    <w:rsid w:val="003810E2"/>
    <w:rsid w:val="0038131E"/>
    <w:rsid w:val="00381EF6"/>
    <w:rsid w:val="0038250D"/>
    <w:rsid w:val="00382E26"/>
    <w:rsid w:val="00382FF5"/>
    <w:rsid w:val="00383354"/>
    <w:rsid w:val="003836AB"/>
    <w:rsid w:val="00383848"/>
    <w:rsid w:val="00383E54"/>
    <w:rsid w:val="00384D27"/>
    <w:rsid w:val="003850B2"/>
    <w:rsid w:val="00385207"/>
    <w:rsid w:val="0038576B"/>
    <w:rsid w:val="00386579"/>
    <w:rsid w:val="00386C3A"/>
    <w:rsid w:val="0038763C"/>
    <w:rsid w:val="00387C4A"/>
    <w:rsid w:val="00390B2D"/>
    <w:rsid w:val="00391007"/>
    <w:rsid w:val="003911D8"/>
    <w:rsid w:val="00391972"/>
    <w:rsid w:val="003919A9"/>
    <w:rsid w:val="00391A04"/>
    <w:rsid w:val="00392467"/>
    <w:rsid w:val="003924FB"/>
    <w:rsid w:val="00392B2A"/>
    <w:rsid w:val="00393FEC"/>
    <w:rsid w:val="0039495B"/>
    <w:rsid w:val="00394EEF"/>
    <w:rsid w:val="00395F0E"/>
    <w:rsid w:val="003967F5"/>
    <w:rsid w:val="00396AA6"/>
    <w:rsid w:val="0039708E"/>
    <w:rsid w:val="003A007B"/>
    <w:rsid w:val="003A0349"/>
    <w:rsid w:val="003A03C6"/>
    <w:rsid w:val="003A10B6"/>
    <w:rsid w:val="003A1230"/>
    <w:rsid w:val="003A1EBB"/>
    <w:rsid w:val="003A226E"/>
    <w:rsid w:val="003A27E0"/>
    <w:rsid w:val="003A2F76"/>
    <w:rsid w:val="003A3122"/>
    <w:rsid w:val="003A3650"/>
    <w:rsid w:val="003A397E"/>
    <w:rsid w:val="003A4A0D"/>
    <w:rsid w:val="003A4B21"/>
    <w:rsid w:val="003A4B8F"/>
    <w:rsid w:val="003A599D"/>
    <w:rsid w:val="003A5DD1"/>
    <w:rsid w:val="003A6834"/>
    <w:rsid w:val="003A7A39"/>
    <w:rsid w:val="003A7F10"/>
    <w:rsid w:val="003B0FB8"/>
    <w:rsid w:val="003B1817"/>
    <w:rsid w:val="003B1968"/>
    <w:rsid w:val="003B1B93"/>
    <w:rsid w:val="003B1E29"/>
    <w:rsid w:val="003B2A57"/>
    <w:rsid w:val="003B2BBE"/>
    <w:rsid w:val="003B3057"/>
    <w:rsid w:val="003B38F2"/>
    <w:rsid w:val="003B3BDA"/>
    <w:rsid w:val="003B3E13"/>
    <w:rsid w:val="003B3FD9"/>
    <w:rsid w:val="003B4152"/>
    <w:rsid w:val="003B4FF1"/>
    <w:rsid w:val="003B4FF9"/>
    <w:rsid w:val="003B5212"/>
    <w:rsid w:val="003B554C"/>
    <w:rsid w:val="003B59A8"/>
    <w:rsid w:val="003B6552"/>
    <w:rsid w:val="003B6EE9"/>
    <w:rsid w:val="003C0795"/>
    <w:rsid w:val="003C08A3"/>
    <w:rsid w:val="003C0936"/>
    <w:rsid w:val="003C0CED"/>
    <w:rsid w:val="003C11C2"/>
    <w:rsid w:val="003C14E8"/>
    <w:rsid w:val="003C1A76"/>
    <w:rsid w:val="003C1A9A"/>
    <w:rsid w:val="003C21A1"/>
    <w:rsid w:val="003C4362"/>
    <w:rsid w:val="003C4731"/>
    <w:rsid w:val="003C4886"/>
    <w:rsid w:val="003C4A57"/>
    <w:rsid w:val="003C530B"/>
    <w:rsid w:val="003C5F84"/>
    <w:rsid w:val="003C6194"/>
    <w:rsid w:val="003C74FF"/>
    <w:rsid w:val="003C77AA"/>
    <w:rsid w:val="003C79C1"/>
    <w:rsid w:val="003D010B"/>
    <w:rsid w:val="003D084F"/>
    <w:rsid w:val="003D0BB1"/>
    <w:rsid w:val="003D0F2D"/>
    <w:rsid w:val="003D1043"/>
    <w:rsid w:val="003D123B"/>
    <w:rsid w:val="003D1A64"/>
    <w:rsid w:val="003D234E"/>
    <w:rsid w:val="003D2406"/>
    <w:rsid w:val="003D24C7"/>
    <w:rsid w:val="003D2873"/>
    <w:rsid w:val="003D2A50"/>
    <w:rsid w:val="003D2DF7"/>
    <w:rsid w:val="003D307B"/>
    <w:rsid w:val="003D3AB2"/>
    <w:rsid w:val="003D3E78"/>
    <w:rsid w:val="003D5008"/>
    <w:rsid w:val="003D632F"/>
    <w:rsid w:val="003D6B0F"/>
    <w:rsid w:val="003D702E"/>
    <w:rsid w:val="003D7244"/>
    <w:rsid w:val="003D7C7F"/>
    <w:rsid w:val="003E0221"/>
    <w:rsid w:val="003E092D"/>
    <w:rsid w:val="003E145F"/>
    <w:rsid w:val="003E17D3"/>
    <w:rsid w:val="003E194B"/>
    <w:rsid w:val="003E287E"/>
    <w:rsid w:val="003E2A16"/>
    <w:rsid w:val="003E2D3E"/>
    <w:rsid w:val="003E427D"/>
    <w:rsid w:val="003E4BBA"/>
    <w:rsid w:val="003E4BF5"/>
    <w:rsid w:val="003E57FF"/>
    <w:rsid w:val="003E688E"/>
    <w:rsid w:val="003E7716"/>
    <w:rsid w:val="003E7D3C"/>
    <w:rsid w:val="003E7DDC"/>
    <w:rsid w:val="003E7DE3"/>
    <w:rsid w:val="003F091E"/>
    <w:rsid w:val="003F0A70"/>
    <w:rsid w:val="003F113F"/>
    <w:rsid w:val="003F16D5"/>
    <w:rsid w:val="003F19CC"/>
    <w:rsid w:val="003F2787"/>
    <w:rsid w:val="003F2808"/>
    <w:rsid w:val="003F2C06"/>
    <w:rsid w:val="003F3F66"/>
    <w:rsid w:val="003F4186"/>
    <w:rsid w:val="003F425F"/>
    <w:rsid w:val="003F44E4"/>
    <w:rsid w:val="003F51BF"/>
    <w:rsid w:val="003F5336"/>
    <w:rsid w:val="003F6033"/>
    <w:rsid w:val="003F612D"/>
    <w:rsid w:val="003F615B"/>
    <w:rsid w:val="003F6A54"/>
    <w:rsid w:val="003F701C"/>
    <w:rsid w:val="003F7043"/>
    <w:rsid w:val="003F760E"/>
    <w:rsid w:val="00400C55"/>
    <w:rsid w:val="004015A1"/>
    <w:rsid w:val="00402181"/>
    <w:rsid w:val="0040594D"/>
    <w:rsid w:val="00405CE1"/>
    <w:rsid w:val="00405F42"/>
    <w:rsid w:val="00406399"/>
    <w:rsid w:val="004068B8"/>
    <w:rsid w:val="00406C9C"/>
    <w:rsid w:val="0040772A"/>
    <w:rsid w:val="00407B3E"/>
    <w:rsid w:val="0041061D"/>
    <w:rsid w:val="00410F86"/>
    <w:rsid w:val="00411101"/>
    <w:rsid w:val="004112B1"/>
    <w:rsid w:val="00411BD4"/>
    <w:rsid w:val="00411D9C"/>
    <w:rsid w:val="00413951"/>
    <w:rsid w:val="004154B7"/>
    <w:rsid w:val="00415840"/>
    <w:rsid w:val="00415907"/>
    <w:rsid w:val="00415A1C"/>
    <w:rsid w:val="00416242"/>
    <w:rsid w:val="00416917"/>
    <w:rsid w:val="004173D3"/>
    <w:rsid w:val="00420451"/>
    <w:rsid w:val="00420A77"/>
    <w:rsid w:val="00420C65"/>
    <w:rsid w:val="00421877"/>
    <w:rsid w:val="00421FA4"/>
    <w:rsid w:val="0042325A"/>
    <w:rsid w:val="004232B4"/>
    <w:rsid w:val="00423B5A"/>
    <w:rsid w:val="00424681"/>
    <w:rsid w:val="004246A9"/>
    <w:rsid w:val="0042509E"/>
    <w:rsid w:val="0042567B"/>
    <w:rsid w:val="00426BA3"/>
    <w:rsid w:val="004302E3"/>
    <w:rsid w:val="004302E8"/>
    <w:rsid w:val="004302E9"/>
    <w:rsid w:val="0043133A"/>
    <w:rsid w:val="00431F03"/>
    <w:rsid w:val="004320A3"/>
    <w:rsid w:val="004320C3"/>
    <w:rsid w:val="00432F98"/>
    <w:rsid w:val="004333BE"/>
    <w:rsid w:val="00434368"/>
    <w:rsid w:val="00434825"/>
    <w:rsid w:val="00434990"/>
    <w:rsid w:val="00434A3F"/>
    <w:rsid w:val="00435A15"/>
    <w:rsid w:val="00436064"/>
    <w:rsid w:val="004362BA"/>
    <w:rsid w:val="00436D17"/>
    <w:rsid w:val="0044037B"/>
    <w:rsid w:val="004407DA"/>
    <w:rsid w:val="004413B6"/>
    <w:rsid w:val="00441446"/>
    <w:rsid w:val="004417A7"/>
    <w:rsid w:val="00441874"/>
    <w:rsid w:val="00441D25"/>
    <w:rsid w:val="004425CE"/>
    <w:rsid w:val="00442C4D"/>
    <w:rsid w:val="00442E1E"/>
    <w:rsid w:val="00443B01"/>
    <w:rsid w:val="00444304"/>
    <w:rsid w:val="00444718"/>
    <w:rsid w:val="00444B06"/>
    <w:rsid w:val="0044521A"/>
    <w:rsid w:val="00445230"/>
    <w:rsid w:val="0044654D"/>
    <w:rsid w:val="00446994"/>
    <w:rsid w:val="0044707A"/>
    <w:rsid w:val="004477C1"/>
    <w:rsid w:val="004504E5"/>
    <w:rsid w:val="00450A22"/>
    <w:rsid w:val="0045164F"/>
    <w:rsid w:val="00451BBD"/>
    <w:rsid w:val="0045244B"/>
    <w:rsid w:val="00452897"/>
    <w:rsid w:val="00452A03"/>
    <w:rsid w:val="00453FF6"/>
    <w:rsid w:val="00455158"/>
    <w:rsid w:val="00455277"/>
    <w:rsid w:val="004558AD"/>
    <w:rsid w:val="004558B8"/>
    <w:rsid w:val="00455FC6"/>
    <w:rsid w:val="0045670F"/>
    <w:rsid w:val="004567ED"/>
    <w:rsid w:val="00456960"/>
    <w:rsid w:val="00456DA7"/>
    <w:rsid w:val="00457E2B"/>
    <w:rsid w:val="00457FDC"/>
    <w:rsid w:val="0046031D"/>
    <w:rsid w:val="004606A5"/>
    <w:rsid w:val="00460A0D"/>
    <w:rsid w:val="00462755"/>
    <w:rsid w:val="00462B1D"/>
    <w:rsid w:val="00462B2B"/>
    <w:rsid w:val="00462CB7"/>
    <w:rsid w:val="00463043"/>
    <w:rsid w:val="00463116"/>
    <w:rsid w:val="00463291"/>
    <w:rsid w:val="004650DD"/>
    <w:rsid w:val="004650E9"/>
    <w:rsid w:val="00465194"/>
    <w:rsid w:val="00465813"/>
    <w:rsid w:val="00466A7D"/>
    <w:rsid w:val="00466B93"/>
    <w:rsid w:val="004677EB"/>
    <w:rsid w:val="00467A9C"/>
    <w:rsid w:val="00467C0E"/>
    <w:rsid w:val="0047004C"/>
    <w:rsid w:val="00470B5A"/>
    <w:rsid w:val="00470B88"/>
    <w:rsid w:val="004716AD"/>
    <w:rsid w:val="004718F2"/>
    <w:rsid w:val="00472F77"/>
    <w:rsid w:val="00473C18"/>
    <w:rsid w:val="00474275"/>
    <w:rsid w:val="00474750"/>
    <w:rsid w:val="00475DD2"/>
    <w:rsid w:val="0047610D"/>
    <w:rsid w:val="00476284"/>
    <w:rsid w:val="00476A6C"/>
    <w:rsid w:val="00476B84"/>
    <w:rsid w:val="0047778A"/>
    <w:rsid w:val="004779AA"/>
    <w:rsid w:val="00477BB5"/>
    <w:rsid w:val="00480FC6"/>
    <w:rsid w:val="00481017"/>
    <w:rsid w:val="004812C1"/>
    <w:rsid w:val="00482249"/>
    <w:rsid w:val="004828B2"/>
    <w:rsid w:val="004828FB"/>
    <w:rsid w:val="004834F8"/>
    <w:rsid w:val="00483510"/>
    <w:rsid w:val="00483E2D"/>
    <w:rsid w:val="004853D8"/>
    <w:rsid w:val="004863C6"/>
    <w:rsid w:val="0048686F"/>
    <w:rsid w:val="0049091C"/>
    <w:rsid w:val="00490AF9"/>
    <w:rsid w:val="00490F15"/>
    <w:rsid w:val="00491326"/>
    <w:rsid w:val="00491817"/>
    <w:rsid w:val="00491CC1"/>
    <w:rsid w:val="004925DB"/>
    <w:rsid w:val="004927D8"/>
    <w:rsid w:val="00492900"/>
    <w:rsid w:val="004939F0"/>
    <w:rsid w:val="00494EE0"/>
    <w:rsid w:val="004952A6"/>
    <w:rsid w:val="00495632"/>
    <w:rsid w:val="00495827"/>
    <w:rsid w:val="00495B0B"/>
    <w:rsid w:val="00496470"/>
    <w:rsid w:val="00496C37"/>
    <w:rsid w:val="00496C55"/>
    <w:rsid w:val="004976CC"/>
    <w:rsid w:val="004A0060"/>
    <w:rsid w:val="004A07E3"/>
    <w:rsid w:val="004A0A7E"/>
    <w:rsid w:val="004A0C8C"/>
    <w:rsid w:val="004A1009"/>
    <w:rsid w:val="004A15F4"/>
    <w:rsid w:val="004A19C4"/>
    <w:rsid w:val="004A24D2"/>
    <w:rsid w:val="004A2842"/>
    <w:rsid w:val="004A2E37"/>
    <w:rsid w:val="004A32F7"/>
    <w:rsid w:val="004A36D5"/>
    <w:rsid w:val="004A3C34"/>
    <w:rsid w:val="004A4950"/>
    <w:rsid w:val="004A55C1"/>
    <w:rsid w:val="004A5699"/>
    <w:rsid w:val="004A57C8"/>
    <w:rsid w:val="004A5C65"/>
    <w:rsid w:val="004A6377"/>
    <w:rsid w:val="004A76BE"/>
    <w:rsid w:val="004A77F3"/>
    <w:rsid w:val="004A792A"/>
    <w:rsid w:val="004A7B18"/>
    <w:rsid w:val="004B091D"/>
    <w:rsid w:val="004B0AA5"/>
    <w:rsid w:val="004B0D4D"/>
    <w:rsid w:val="004B1183"/>
    <w:rsid w:val="004B1234"/>
    <w:rsid w:val="004B1388"/>
    <w:rsid w:val="004B1973"/>
    <w:rsid w:val="004B19A8"/>
    <w:rsid w:val="004B1BCB"/>
    <w:rsid w:val="004B1E79"/>
    <w:rsid w:val="004B2681"/>
    <w:rsid w:val="004B2746"/>
    <w:rsid w:val="004B277A"/>
    <w:rsid w:val="004B3399"/>
    <w:rsid w:val="004B3818"/>
    <w:rsid w:val="004B3C3C"/>
    <w:rsid w:val="004B4353"/>
    <w:rsid w:val="004B48E0"/>
    <w:rsid w:val="004B49F4"/>
    <w:rsid w:val="004B4DAE"/>
    <w:rsid w:val="004B51EE"/>
    <w:rsid w:val="004B69EF"/>
    <w:rsid w:val="004B70F2"/>
    <w:rsid w:val="004B7501"/>
    <w:rsid w:val="004B7E0F"/>
    <w:rsid w:val="004C0F26"/>
    <w:rsid w:val="004C1100"/>
    <w:rsid w:val="004C11E2"/>
    <w:rsid w:val="004C12B2"/>
    <w:rsid w:val="004C2924"/>
    <w:rsid w:val="004C2F74"/>
    <w:rsid w:val="004C2FF6"/>
    <w:rsid w:val="004C37C5"/>
    <w:rsid w:val="004C441F"/>
    <w:rsid w:val="004C6AAE"/>
    <w:rsid w:val="004C71AA"/>
    <w:rsid w:val="004C733C"/>
    <w:rsid w:val="004C77DB"/>
    <w:rsid w:val="004C78BB"/>
    <w:rsid w:val="004D02C2"/>
    <w:rsid w:val="004D0700"/>
    <w:rsid w:val="004D194E"/>
    <w:rsid w:val="004D21C9"/>
    <w:rsid w:val="004D2BE5"/>
    <w:rsid w:val="004D2C65"/>
    <w:rsid w:val="004D2D42"/>
    <w:rsid w:val="004D3245"/>
    <w:rsid w:val="004D3B21"/>
    <w:rsid w:val="004D4515"/>
    <w:rsid w:val="004D4F65"/>
    <w:rsid w:val="004D5144"/>
    <w:rsid w:val="004D586F"/>
    <w:rsid w:val="004D621C"/>
    <w:rsid w:val="004D643F"/>
    <w:rsid w:val="004D64B7"/>
    <w:rsid w:val="004D6A53"/>
    <w:rsid w:val="004D6B87"/>
    <w:rsid w:val="004D6EAE"/>
    <w:rsid w:val="004D7237"/>
    <w:rsid w:val="004D7AF5"/>
    <w:rsid w:val="004E0325"/>
    <w:rsid w:val="004E1145"/>
    <w:rsid w:val="004E1D4C"/>
    <w:rsid w:val="004E2707"/>
    <w:rsid w:val="004E2819"/>
    <w:rsid w:val="004E29A9"/>
    <w:rsid w:val="004E2AA9"/>
    <w:rsid w:val="004E2D02"/>
    <w:rsid w:val="004E2FD3"/>
    <w:rsid w:val="004E3771"/>
    <w:rsid w:val="004E3F14"/>
    <w:rsid w:val="004E40CE"/>
    <w:rsid w:val="004E4CB1"/>
    <w:rsid w:val="004E561E"/>
    <w:rsid w:val="004E580C"/>
    <w:rsid w:val="004E5B73"/>
    <w:rsid w:val="004E62B1"/>
    <w:rsid w:val="004E7710"/>
    <w:rsid w:val="004E77FB"/>
    <w:rsid w:val="004E7FB2"/>
    <w:rsid w:val="004F0165"/>
    <w:rsid w:val="004F02A6"/>
    <w:rsid w:val="004F0693"/>
    <w:rsid w:val="004F08E4"/>
    <w:rsid w:val="004F14D2"/>
    <w:rsid w:val="004F1820"/>
    <w:rsid w:val="004F1D6F"/>
    <w:rsid w:val="004F1DE3"/>
    <w:rsid w:val="004F2222"/>
    <w:rsid w:val="004F2267"/>
    <w:rsid w:val="004F2550"/>
    <w:rsid w:val="004F2B68"/>
    <w:rsid w:val="004F2D7E"/>
    <w:rsid w:val="004F3917"/>
    <w:rsid w:val="004F409D"/>
    <w:rsid w:val="004F42F5"/>
    <w:rsid w:val="004F4559"/>
    <w:rsid w:val="004F4914"/>
    <w:rsid w:val="004F52F4"/>
    <w:rsid w:val="004F558B"/>
    <w:rsid w:val="004F5E48"/>
    <w:rsid w:val="004F60D1"/>
    <w:rsid w:val="004F6C88"/>
    <w:rsid w:val="004F7591"/>
    <w:rsid w:val="004F789E"/>
    <w:rsid w:val="004F79A4"/>
    <w:rsid w:val="00500927"/>
    <w:rsid w:val="0050154A"/>
    <w:rsid w:val="00502475"/>
    <w:rsid w:val="00502857"/>
    <w:rsid w:val="00502C49"/>
    <w:rsid w:val="00502EAB"/>
    <w:rsid w:val="00503C8B"/>
    <w:rsid w:val="00504316"/>
    <w:rsid w:val="005061BC"/>
    <w:rsid w:val="0050688E"/>
    <w:rsid w:val="0050733F"/>
    <w:rsid w:val="005079C6"/>
    <w:rsid w:val="00507E15"/>
    <w:rsid w:val="00510385"/>
    <w:rsid w:val="0051297F"/>
    <w:rsid w:val="005133A9"/>
    <w:rsid w:val="00514F60"/>
    <w:rsid w:val="00515062"/>
    <w:rsid w:val="00515A19"/>
    <w:rsid w:val="00515AD9"/>
    <w:rsid w:val="005161A1"/>
    <w:rsid w:val="0051705B"/>
    <w:rsid w:val="005174EE"/>
    <w:rsid w:val="00517ABC"/>
    <w:rsid w:val="00517AD7"/>
    <w:rsid w:val="00517DE0"/>
    <w:rsid w:val="00521A89"/>
    <w:rsid w:val="0052280C"/>
    <w:rsid w:val="00523197"/>
    <w:rsid w:val="00523A2A"/>
    <w:rsid w:val="0052410E"/>
    <w:rsid w:val="00524785"/>
    <w:rsid w:val="00524D01"/>
    <w:rsid w:val="00525695"/>
    <w:rsid w:val="00525710"/>
    <w:rsid w:val="00526CC9"/>
    <w:rsid w:val="005277D5"/>
    <w:rsid w:val="00527B36"/>
    <w:rsid w:val="00530524"/>
    <w:rsid w:val="00530541"/>
    <w:rsid w:val="00531624"/>
    <w:rsid w:val="005336D6"/>
    <w:rsid w:val="00534115"/>
    <w:rsid w:val="0053475F"/>
    <w:rsid w:val="005348E9"/>
    <w:rsid w:val="00535259"/>
    <w:rsid w:val="00535475"/>
    <w:rsid w:val="00535FCA"/>
    <w:rsid w:val="00536252"/>
    <w:rsid w:val="005368FC"/>
    <w:rsid w:val="00537B7A"/>
    <w:rsid w:val="00537BD5"/>
    <w:rsid w:val="00540139"/>
    <w:rsid w:val="0054047D"/>
    <w:rsid w:val="0054053A"/>
    <w:rsid w:val="005407DB"/>
    <w:rsid w:val="00540D44"/>
    <w:rsid w:val="00540DCF"/>
    <w:rsid w:val="00541808"/>
    <w:rsid w:val="00541C6B"/>
    <w:rsid w:val="00543589"/>
    <w:rsid w:val="00543DC3"/>
    <w:rsid w:val="00543DCF"/>
    <w:rsid w:val="00544418"/>
    <w:rsid w:val="00544790"/>
    <w:rsid w:val="005451A0"/>
    <w:rsid w:val="00545618"/>
    <w:rsid w:val="005456C4"/>
    <w:rsid w:val="005459B7"/>
    <w:rsid w:val="005459BB"/>
    <w:rsid w:val="00546037"/>
    <w:rsid w:val="005460BF"/>
    <w:rsid w:val="00546C05"/>
    <w:rsid w:val="00546E1D"/>
    <w:rsid w:val="005470B1"/>
    <w:rsid w:val="0055030C"/>
    <w:rsid w:val="00550447"/>
    <w:rsid w:val="00550D3F"/>
    <w:rsid w:val="00551931"/>
    <w:rsid w:val="00551EB0"/>
    <w:rsid w:val="005534EE"/>
    <w:rsid w:val="005541C3"/>
    <w:rsid w:val="00554325"/>
    <w:rsid w:val="0055483C"/>
    <w:rsid w:val="00554F6F"/>
    <w:rsid w:val="005576E6"/>
    <w:rsid w:val="00557CD9"/>
    <w:rsid w:val="00557D50"/>
    <w:rsid w:val="00557E3E"/>
    <w:rsid w:val="00560E7C"/>
    <w:rsid w:val="00561520"/>
    <w:rsid w:val="00561ECA"/>
    <w:rsid w:val="005627C6"/>
    <w:rsid w:val="0056331C"/>
    <w:rsid w:val="00563BA2"/>
    <w:rsid w:val="005646A8"/>
    <w:rsid w:val="00564E57"/>
    <w:rsid w:val="00565296"/>
    <w:rsid w:val="005655A6"/>
    <w:rsid w:val="00565FF5"/>
    <w:rsid w:val="00566D2A"/>
    <w:rsid w:val="00567B7B"/>
    <w:rsid w:val="00571278"/>
    <w:rsid w:val="005712DB"/>
    <w:rsid w:val="005714C9"/>
    <w:rsid w:val="00571E96"/>
    <w:rsid w:val="00571EE5"/>
    <w:rsid w:val="00572450"/>
    <w:rsid w:val="005732B9"/>
    <w:rsid w:val="00573871"/>
    <w:rsid w:val="00573C7C"/>
    <w:rsid w:val="00574122"/>
    <w:rsid w:val="0057478A"/>
    <w:rsid w:val="00574970"/>
    <w:rsid w:val="005751AE"/>
    <w:rsid w:val="00575BA6"/>
    <w:rsid w:val="00576A37"/>
    <w:rsid w:val="005770B4"/>
    <w:rsid w:val="00577391"/>
    <w:rsid w:val="005773F6"/>
    <w:rsid w:val="0058040F"/>
    <w:rsid w:val="00580C8B"/>
    <w:rsid w:val="00580D72"/>
    <w:rsid w:val="00581066"/>
    <w:rsid w:val="0058118C"/>
    <w:rsid w:val="00581197"/>
    <w:rsid w:val="00581686"/>
    <w:rsid w:val="00581C29"/>
    <w:rsid w:val="00581F30"/>
    <w:rsid w:val="0058290A"/>
    <w:rsid w:val="00583B69"/>
    <w:rsid w:val="00584072"/>
    <w:rsid w:val="00584663"/>
    <w:rsid w:val="00584DD7"/>
    <w:rsid w:val="00584F24"/>
    <w:rsid w:val="00584FA2"/>
    <w:rsid w:val="00585152"/>
    <w:rsid w:val="005853E5"/>
    <w:rsid w:val="00586A8F"/>
    <w:rsid w:val="00586EA2"/>
    <w:rsid w:val="005876F7"/>
    <w:rsid w:val="00587BD5"/>
    <w:rsid w:val="00587C04"/>
    <w:rsid w:val="00587E1E"/>
    <w:rsid w:val="00587FE0"/>
    <w:rsid w:val="00590382"/>
    <w:rsid w:val="0059057B"/>
    <w:rsid w:val="005918F7"/>
    <w:rsid w:val="00592BFE"/>
    <w:rsid w:val="00592F47"/>
    <w:rsid w:val="00594475"/>
    <w:rsid w:val="00594EFF"/>
    <w:rsid w:val="0059580F"/>
    <w:rsid w:val="00595F45"/>
    <w:rsid w:val="005964CF"/>
    <w:rsid w:val="005965A7"/>
    <w:rsid w:val="005968B5"/>
    <w:rsid w:val="00596C50"/>
    <w:rsid w:val="0059701C"/>
    <w:rsid w:val="005971B2"/>
    <w:rsid w:val="00597B55"/>
    <w:rsid w:val="005A033A"/>
    <w:rsid w:val="005A1E38"/>
    <w:rsid w:val="005A34D5"/>
    <w:rsid w:val="005A518B"/>
    <w:rsid w:val="005A5FA1"/>
    <w:rsid w:val="005A5FD6"/>
    <w:rsid w:val="005A6165"/>
    <w:rsid w:val="005A64B8"/>
    <w:rsid w:val="005A6769"/>
    <w:rsid w:val="005A677D"/>
    <w:rsid w:val="005A6983"/>
    <w:rsid w:val="005A7BCA"/>
    <w:rsid w:val="005B03EC"/>
    <w:rsid w:val="005B07B8"/>
    <w:rsid w:val="005B09C0"/>
    <w:rsid w:val="005B0A54"/>
    <w:rsid w:val="005B158F"/>
    <w:rsid w:val="005B191C"/>
    <w:rsid w:val="005B1AD5"/>
    <w:rsid w:val="005B3149"/>
    <w:rsid w:val="005B332D"/>
    <w:rsid w:val="005B37A2"/>
    <w:rsid w:val="005B426E"/>
    <w:rsid w:val="005B4650"/>
    <w:rsid w:val="005B46CB"/>
    <w:rsid w:val="005B5CA3"/>
    <w:rsid w:val="005B610F"/>
    <w:rsid w:val="005B6E55"/>
    <w:rsid w:val="005B7771"/>
    <w:rsid w:val="005C1B9F"/>
    <w:rsid w:val="005C2A6E"/>
    <w:rsid w:val="005C2BBB"/>
    <w:rsid w:val="005C3309"/>
    <w:rsid w:val="005C33C7"/>
    <w:rsid w:val="005C34DF"/>
    <w:rsid w:val="005C3592"/>
    <w:rsid w:val="005C3DF4"/>
    <w:rsid w:val="005C4276"/>
    <w:rsid w:val="005C465C"/>
    <w:rsid w:val="005C50BA"/>
    <w:rsid w:val="005C6073"/>
    <w:rsid w:val="005C6643"/>
    <w:rsid w:val="005C73F7"/>
    <w:rsid w:val="005C77CE"/>
    <w:rsid w:val="005C7824"/>
    <w:rsid w:val="005C7BEE"/>
    <w:rsid w:val="005C7C04"/>
    <w:rsid w:val="005C7CF0"/>
    <w:rsid w:val="005D0BB9"/>
    <w:rsid w:val="005D1158"/>
    <w:rsid w:val="005D19AC"/>
    <w:rsid w:val="005D31AE"/>
    <w:rsid w:val="005D36D4"/>
    <w:rsid w:val="005D4117"/>
    <w:rsid w:val="005D4F7E"/>
    <w:rsid w:val="005D5660"/>
    <w:rsid w:val="005D5700"/>
    <w:rsid w:val="005D6934"/>
    <w:rsid w:val="005D7172"/>
    <w:rsid w:val="005D7F63"/>
    <w:rsid w:val="005D7F87"/>
    <w:rsid w:val="005E05F1"/>
    <w:rsid w:val="005E0997"/>
    <w:rsid w:val="005E0A7B"/>
    <w:rsid w:val="005E0AD5"/>
    <w:rsid w:val="005E0CF3"/>
    <w:rsid w:val="005E0FFF"/>
    <w:rsid w:val="005E1233"/>
    <w:rsid w:val="005E1648"/>
    <w:rsid w:val="005E209A"/>
    <w:rsid w:val="005E24DB"/>
    <w:rsid w:val="005E25B7"/>
    <w:rsid w:val="005E3A8E"/>
    <w:rsid w:val="005E470E"/>
    <w:rsid w:val="005E4C6A"/>
    <w:rsid w:val="005E56FE"/>
    <w:rsid w:val="005E5C78"/>
    <w:rsid w:val="005E664D"/>
    <w:rsid w:val="005E69D1"/>
    <w:rsid w:val="005E7243"/>
    <w:rsid w:val="005F0539"/>
    <w:rsid w:val="005F065A"/>
    <w:rsid w:val="005F0D28"/>
    <w:rsid w:val="005F145A"/>
    <w:rsid w:val="005F235F"/>
    <w:rsid w:val="005F2AFC"/>
    <w:rsid w:val="005F4560"/>
    <w:rsid w:val="005F77A5"/>
    <w:rsid w:val="005F7C9A"/>
    <w:rsid w:val="00600595"/>
    <w:rsid w:val="00601034"/>
    <w:rsid w:val="00601F1A"/>
    <w:rsid w:val="00602658"/>
    <w:rsid w:val="00603200"/>
    <w:rsid w:val="0060347C"/>
    <w:rsid w:val="00603C64"/>
    <w:rsid w:val="00604BAB"/>
    <w:rsid w:val="00605964"/>
    <w:rsid w:val="006065B9"/>
    <w:rsid w:val="00606634"/>
    <w:rsid w:val="006066EA"/>
    <w:rsid w:val="00607360"/>
    <w:rsid w:val="006104A8"/>
    <w:rsid w:val="006108A9"/>
    <w:rsid w:val="00610DFB"/>
    <w:rsid w:val="00611210"/>
    <w:rsid w:val="00611F76"/>
    <w:rsid w:val="00613ADC"/>
    <w:rsid w:val="00613C6A"/>
    <w:rsid w:val="00613FCC"/>
    <w:rsid w:val="006147F6"/>
    <w:rsid w:val="00614A15"/>
    <w:rsid w:val="00614ABC"/>
    <w:rsid w:val="006152B3"/>
    <w:rsid w:val="00615F6B"/>
    <w:rsid w:val="00617826"/>
    <w:rsid w:val="00617C0E"/>
    <w:rsid w:val="00617C81"/>
    <w:rsid w:val="006206E1"/>
    <w:rsid w:val="00621864"/>
    <w:rsid w:val="006223BF"/>
    <w:rsid w:val="00622886"/>
    <w:rsid w:val="00623105"/>
    <w:rsid w:val="00623106"/>
    <w:rsid w:val="00623EE7"/>
    <w:rsid w:val="006247DF"/>
    <w:rsid w:val="00624815"/>
    <w:rsid w:val="00624A1E"/>
    <w:rsid w:val="00624F19"/>
    <w:rsid w:val="0062508D"/>
    <w:rsid w:val="006253E1"/>
    <w:rsid w:val="0062560A"/>
    <w:rsid w:val="00626077"/>
    <w:rsid w:val="006265CB"/>
    <w:rsid w:val="00626A78"/>
    <w:rsid w:val="006278F1"/>
    <w:rsid w:val="00630732"/>
    <w:rsid w:val="0063114B"/>
    <w:rsid w:val="006311F9"/>
    <w:rsid w:val="0063132F"/>
    <w:rsid w:val="006316B5"/>
    <w:rsid w:val="00631EC2"/>
    <w:rsid w:val="006322DF"/>
    <w:rsid w:val="00632386"/>
    <w:rsid w:val="006326FF"/>
    <w:rsid w:val="00632B3E"/>
    <w:rsid w:val="00632F42"/>
    <w:rsid w:val="00632F55"/>
    <w:rsid w:val="006338BB"/>
    <w:rsid w:val="00634016"/>
    <w:rsid w:val="00634915"/>
    <w:rsid w:val="00635147"/>
    <w:rsid w:val="00635A22"/>
    <w:rsid w:val="0063667C"/>
    <w:rsid w:val="00636778"/>
    <w:rsid w:val="0063696C"/>
    <w:rsid w:val="00637DF7"/>
    <w:rsid w:val="0064011A"/>
    <w:rsid w:val="00640B99"/>
    <w:rsid w:val="00641218"/>
    <w:rsid w:val="0064122F"/>
    <w:rsid w:val="00641707"/>
    <w:rsid w:val="006426AF"/>
    <w:rsid w:val="006437E2"/>
    <w:rsid w:val="006437E4"/>
    <w:rsid w:val="00644209"/>
    <w:rsid w:val="0064474F"/>
    <w:rsid w:val="0064500A"/>
    <w:rsid w:val="006455FD"/>
    <w:rsid w:val="006465A0"/>
    <w:rsid w:val="0064662B"/>
    <w:rsid w:val="0064681A"/>
    <w:rsid w:val="006468A2"/>
    <w:rsid w:val="00647AB0"/>
    <w:rsid w:val="00647DC1"/>
    <w:rsid w:val="00647EBF"/>
    <w:rsid w:val="00650707"/>
    <w:rsid w:val="0065200B"/>
    <w:rsid w:val="006525E5"/>
    <w:rsid w:val="006538B0"/>
    <w:rsid w:val="00653EF3"/>
    <w:rsid w:val="00653F5D"/>
    <w:rsid w:val="00654756"/>
    <w:rsid w:val="00654A1D"/>
    <w:rsid w:val="006559F3"/>
    <w:rsid w:val="00656068"/>
    <w:rsid w:val="006562A8"/>
    <w:rsid w:val="006564F0"/>
    <w:rsid w:val="0065670B"/>
    <w:rsid w:val="00656774"/>
    <w:rsid w:val="006567F5"/>
    <w:rsid w:val="00656A8E"/>
    <w:rsid w:val="006570C6"/>
    <w:rsid w:val="00657E64"/>
    <w:rsid w:val="00657F63"/>
    <w:rsid w:val="0066038C"/>
    <w:rsid w:val="0066049F"/>
    <w:rsid w:val="0066061A"/>
    <w:rsid w:val="0066071A"/>
    <w:rsid w:val="00660760"/>
    <w:rsid w:val="00660B2A"/>
    <w:rsid w:val="00660F57"/>
    <w:rsid w:val="00661368"/>
    <w:rsid w:val="006618B4"/>
    <w:rsid w:val="00661BC2"/>
    <w:rsid w:val="00661CC4"/>
    <w:rsid w:val="00661D2C"/>
    <w:rsid w:val="00661E65"/>
    <w:rsid w:val="006636D6"/>
    <w:rsid w:val="006638D4"/>
    <w:rsid w:val="00663CC4"/>
    <w:rsid w:val="00664510"/>
    <w:rsid w:val="00664763"/>
    <w:rsid w:val="00664ABF"/>
    <w:rsid w:val="00665051"/>
    <w:rsid w:val="006650AB"/>
    <w:rsid w:val="00665528"/>
    <w:rsid w:val="00665AEA"/>
    <w:rsid w:val="00666272"/>
    <w:rsid w:val="0066648A"/>
    <w:rsid w:val="00667CAA"/>
    <w:rsid w:val="006708E2"/>
    <w:rsid w:val="00670B66"/>
    <w:rsid w:val="00671D47"/>
    <w:rsid w:val="00671FA1"/>
    <w:rsid w:val="00673689"/>
    <w:rsid w:val="006737E4"/>
    <w:rsid w:val="006737E8"/>
    <w:rsid w:val="00675C5F"/>
    <w:rsid w:val="00676D61"/>
    <w:rsid w:val="0067777D"/>
    <w:rsid w:val="0068040D"/>
    <w:rsid w:val="0068062A"/>
    <w:rsid w:val="006806D2"/>
    <w:rsid w:val="006813C4"/>
    <w:rsid w:val="006817F9"/>
    <w:rsid w:val="00681BC2"/>
    <w:rsid w:val="00681C81"/>
    <w:rsid w:val="00681E27"/>
    <w:rsid w:val="00681E6C"/>
    <w:rsid w:val="00682267"/>
    <w:rsid w:val="00683956"/>
    <w:rsid w:val="00684E9A"/>
    <w:rsid w:val="006851AD"/>
    <w:rsid w:val="006858C7"/>
    <w:rsid w:val="00687C49"/>
    <w:rsid w:val="00687E94"/>
    <w:rsid w:val="006915FE"/>
    <w:rsid w:val="006930A8"/>
    <w:rsid w:val="00693520"/>
    <w:rsid w:val="00693C90"/>
    <w:rsid w:val="006941BA"/>
    <w:rsid w:val="00694405"/>
    <w:rsid w:val="0069488E"/>
    <w:rsid w:val="00695018"/>
    <w:rsid w:val="006950EF"/>
    <w:rsid w:val="00695A08"/>
    <w:rsid w:val="00696847"/>
    <w:rsid w:val="00696A40"/>
    <w:rsid w:val="006971FA"/>
    <w:rsid w:val="0069768D"/>
    <w:rsid w:val="00697FC7"/>
    <w:rsid w:val="006A00B5"/>
    <w:rsid w:val="006A11F4"/>
    <w:rsid w:val="006A184D"/>
    <w:rsid w:val="006A18C5"/>
    <w:rsid w:val="006A1D99"/>
    <w:rsid w:val="006A2552"/>
    <w:rsid w:val="006A2B87"/>
    <w:rsid w:val="006A3B50"/>
    <w:rsid w:val="006A401C"/>
    <w:rsid w:val="006A40D4"/>
    <w:rsid w:val="006A489B"/>
    <w:rsid w:val="006A4EB9"/>
    <w:rsid w:val="006A5185"/>
    <w:rsid w:val="006A5C43"/>
    <w:rsid w:val="006A6435"/>
    <w:rsid w:val="006B0180"/>
    <w:rsid w:val="006B02F8"/>
    <w:rsid w:val="006B2205"/>
    <w:rsid w:val="006B3164"/>
    <w:rsid w:val="006B322B"/>
    <w:rsid w:val="006B3ACC"/>
    <w:rsid w:val="006B4052"/>
    <w:rsid w:val="006B486C"/>
    <w:rsid w:val="006B4CA1"/>
    <w:rsid w:val="006B564B"/>
    <w:rsid w:val="006B5B71"/>
    <w:rsid w:val="006B5E8B"/>
    <w:rsid w:val="006B6A68"/>
    <w:rsid w:val="006B6EB2"/>
    <w:rsid w:val="006B732F"/>
    <w:rsid w:val="006B7E68"/>
    <w:rsid w:val="006B7EBB"/>
    <w:rsid w:val="006C00B3"/>
    <w:rsid w:val="006C04FF"/>
    <w:rsid w:val="006C174A"/>
    <w:rsid w:val="006C2DFB"/>
    <w:rsid w:val="006C32E3"/>
    <w:rsid w:val="006C40A7"/>
    <w:rsid w:val="006C448B"/>
    <w:rsid w:val="006C4E72"/>
    <w:rsid w:val="006C4FDD"/>
    <w:rsid w:val="006C51A7"/>
    <w:rsid w:val="006C56AD"/>
    <w:rsid w:val="006C5CE3"/>
    <w:rsid w:val="006C6445"/>
    <w:rsid w:val="006C6578"/>
    <w:rsid w:val="006C6BA1"/>
    <w:rsid w:val="006C6F2C"/>
    <w:rsid w:val="006C6F41"/>
    <w:rsid w:val="006D03E8"/>
    <w:rsid w:val="006D0507"/>
    <w:rsid w:val="006D0885"/>
    <w:rsid w:val="006D0D84"/>
    <w:rsid w:val="006D1611"/>
    <w:rsid w:val="006D19F5"/>
    <w:rsid w:val="006D1B41"/>
    <w:rsid w:val="006D1DD1"/>
    <w:rsid w:val="006D285A"/>
    <w:rsid w:val="006D35F6"/>
    <w:rsid w:val="006D3D2C"/>
    <w:rsid w:val="006D3EE9"/>
    <w:rsid w:val="006D432C"/>
    <w:rsid w:val="006D476E"/>
    <w:rsid w:val="006D4B67"/>
    <w:rsid w:val="006D4BBC"/>
    <w:rsid w:val="006D4FB7"/>
    <w:rsid w:val="006D5A61"/>
    <w:rsid w:val="006D5FCB"/>
    <w:rsid w:val="006D6AAA"/>
    <w:rsid w:val="006D6B84"/>
    <w:rsid w:val="006D7B9D"/>
    <w:rsid w:val="006E15DA"/>
    <w:rsid w:val="006E253C"/>
    <w:rsid w:val="006E25A6"/>
    <w:rsid w:val="006E334B"/>
    <w:rsid w:val="006E3FF5"/>
    <w:rsid w:val="006E4779"/>
    <w:rsid w:val="006E4AD5"/>
    <w:rsid w:val="006E55A2"/>
    <w:rsid w:val="006E613C"/>
    <w:rsid w:val="006E68AB"/>
    <w:rsid w:val="006F1213"/>
    <w:rsid w:val="006F125A"/>
    <w:rsid w:val="006F1FC2"/>
    <w:rsid w:val="006F2B95"/>
    <w:rsid w:val="006F39E4"/>
    <w:rsid w:val="006F478F"/>
    <w:rsid w:val="006F4F9C"/>
    <w:rsid w:val="006F50B3"/>
    <w:rsid w:val="006F66B2"/>
    <w:rsid w:val="006F6D1E"/>
    <w:rsid w:val="006F77AB"/>
    <w:rsid w:val="006F7CCB"/>
    <w:rsid w:val="006F7F82"/>
    <w:rsid w:val="007001F0"/>
    <w:rsid w:val="00700B0B"/>
    <w:rsid w:val="00701C4C"/>
    <w:rsid w:val="007021A5"/>
    <w:rsid w:val="00702423"/>
    <w:rsid w:val="007024AC"/>
    <w:rsid w:val="0070277E"/>
    <w:rsid w:val="00702996"/>
    <w:rsid w:val="00702BFD"/>
    <w:rsid w:val="0070341B"/>
    <w:rsid w:val="00704AD3"/>
    <w:rsid w:val="007051A7"/>
    <w:rsid w:val="007060CD"/>
    <w:rsid w:val="00710A5B"/>
    <w:rsid w:val="007113F2"/>
    <w:rsid w:val="007123D2"/>
    <w:rsid w:val="00712D6D"/>
    <w:rsid w:val="0071357A"/>
    <w:rsid w:val="00713A4F"/>
    <w:rsid w:val="007142EC"/>
    <w:rsid w:val="0071566A"/>
    <w:rsid w:val="007157E4"/>
    <w:rsid w:val="00715F17"/>
    <w:rsid w:val="0071780C"/>
    <w:rsid w:val="00717B36"/>
    <w:rsid w:val="00717EC1"/>
    <w:rsid w:val="007207C0"/>
    <w:rsid w:val="0072106B"/>
    <w:rsid w:val="00721179"/>
    <w:rsid w:val="00721FE0"/>
    <w:rsid w:val="007225E0"/>
    <w:rsid w:val="0072371D"/>
    <w:rsid w:val="00723B68"/>
    <w:rsid w:val="0072405E"/>
    <w:rsid w:val="00724332"/>
    <w:rsid w:val="00724561"/>
    <w:rsid w:val="007250CC"/>
    <w:rsid w:val="00725912"/>
    <w:rsid w:val="00725E68"/>
    <w:rsid w:val="007267A9"/>
    <w:rsid w:val="00726E14"/>
    <w:rsid w:val="0072773B"/>
    <w:rsid w:val="00727E7E"/>
    <w:rsid w:val="00727EDB"/>
    <w:rsid w:val="00730766"/>
    <w:rsid w:val="00731BF4"/>
    <w:rsid w:val="00731D6E"/>
    <w:rsid w:val="00731EF3"/>
    <w:rsid w:val="00732577"/>
    <w:rsid w:val="007327B6"/>
    <w:rsid w:val="00732E8E"/>
    <w:rsid w:val="007334D9"/>
    <w:rsid w:val="00733881"/>
    <w:rsid w:val="00733B80"/>
    <w:rsid w:val="00734F65"/>
    <w:rsid w:val="00735F7D"/>
    <w:rsid w:val="00736FF6"/>
    <w:rsid w:val="00737197"/>
    <w:rsid w:val="0074061F"/>
    <w:rsid w:val="00740925"/>
    <w:rsid w:val="00740EDF"/>
    <w:rsid w:val="00741065"/>
    <w:rsid w:val="007411C0"/>
    <w:rsid w:val="007415D1"/>
    <w:rsid w:val="00742279"/>
    <w:rsid w:val="007432DA"/>
    <w:rsid w:val="007433A4"/>
    <w:rsid w:val="0074380E"/>
    <w:rsid w:val="00743CF1"/>
    <w:rsid w:val="00744F47"/>
    <w:rsid w:val="00745FD3"/>
    <w:rsid w:val="007463F8"/>
    <w:rsid w:val="00747078"/>
    <w:rsid w:val="007479BF"/>
    <w:rsid w:val="00747B1C"/>
    <w:rsid w:val="007504EA"/>
    <w:rsid w:val="0075071C"/>
    <w:rsid w:val="00751B2C"/>
    <w:rsid w:val="00751BB7"/>
    <w:rsid w:val="00752BF3"/>
    <w:rsid w:val="007532D4"/>
    <w:rsid w:val="00753632"/>
    <w:rsid w:val="00753A03"/>
    <w:rsid w:val="007541E5"/>
    <w:rsid w:val="00754B1B"/>
    <w:rsid w:val="00754C47"/>
    <w:rsid w:val="00754D98"/>
    <w:rsid w:val="00754F1A"/>
    <w:rsid w:val="00755987"/>
    <w:rsid w:val="007559B3"/>
    <w:rsid w:val="007560AD"/>
    <w:rsid w:val="007560BE"/>
    <w:rsid w:val="007565A5"/>
    <w:rsid w:val="00756732"/>
    <w:rsid w:val="007600DE"/>
    <w:rsid w:val="00760909"/>
    <w:rsid w:val="00760B52"/>
    <w:rsid w:val="00760D38"/>
    <w:rsid w:val="00761A1E"/>
    <w:rsid w:val="00762163"/>
    <w:rsid w:val="007634E4"/>
    <w:rsid w:val="0076376C"/>
    <w:rsid w:val="00764795"/>
    <w:rsid w:val="007648D8"/>
    <w:rsid w:val="007649C5"/>
    <w:rsid w:val="00765C40"/>
    <w:rsid w:val="00765D4C"/>
    <w:rsid w:val="00766A3D"/>
    <w:rsid w:val="00771A9A"/>
    <w:rsid w:val="00772727"/>
    <w:rsid w:val="00773577"/>
    <w:rsid w:val="007747CA"/>
    <w:rsid w:val="00774B1C"/>
    <w:rsid w:val="007756CB"/>
    <w:rsid w:val="00775B05"/>
    <w:rsid w:val="00775B68"/>
    <w:rsid w:val="007768E7"/>
    <w:rsid w:val="00777369"/>
    <w:rsid w:val="00777DEC"/>
    <w:rsid w:val="007815DA"/>
    <w:rsid w:val="007819AF"/>
    <w:rsid w:val="00781F0D"/>
    <w:rsid w:val="007829B4"/>
    <w:rsid w:val="00782A7B"/>
    <w:rsid w:val="0078300A"/>
    <w:rsid w:val="0078364E"/>
    <w:rsid w:val="00783896"/>
    <w:rsid w:val="0078419F"/>
    <w:rsid w:val="007849A3"/>
    <w:rsid w:val="00785863"/>
    <w:rsid w:val="00786203"/>
    <w:rsid w:val="0078711C"/>
    <w:rsid w:val="00790183"/>
    <w:rsid w:val="007908B8"/>
    <w:rsid w:val="00790966"/>
    <w:rsid w:val="00790A9C"/>
    <w:rsid w:val="00791D80"/>
    <w:rsid w:val="0079260A"/>
    <w:rsid w:val="00792F97"/>
    <w:rsid w:val="00794160"/>
    <w:rsid w:val="00794F05"/>
    <w:rsid w:val="00794F39"/>
    <w:rsid w:val="00795844"/>
    <w:rsid w:val="00795A1D"/>
    <w:rsid w:val="00796613"/>
    <w:rsid w:val="0079680C"/>
    <w:rsid w:val="00797992"/>
    <w:rsid w:val="00797B1C"/>
    <w:rsid w:val="007A024A"/>
    <w:rsid w:val="007A07C5"/>
    <w:rsid w:val="007A16CD"/>
    <w:rsid w:val="007A1D92"/>
    <w:rsid w:val="007A2363"/>
    <w:rsid w:val="007A23AF"/>
    <w:rsid w:val="007A2AEC"/>
    <w:rsid w:val="007A4066"/>
    <w:rsid w:val="007A4107"/>
    <w:rsid w:val="007A43DB"/>
    <w:rsid w:val="007A489B"/>
    <w:rsid w:val="007A4BAC"/>
    <w:rsid w:val="007A5A11"/>
    <w:rsid w:val="007A5A47"/>
    <w:rsid w:val="007A5E01"/>
    <w:rsid w:val="007A6021"/>
    <w:rsid w:val="007A6725"/>
    <w:rsid w:val="007A6E9C"/>
    <w:rsid w:val="007A720D"/>
    <w:rsid w:val="007A7A68"/>
    <w:rsid w:val="007A7A76"/>
    <w:rsid w:val="007A7C72"/>
    <w:rsid w:val="007A7EB7"/>
    <w:rsid w:val="007B0BE0"/>
    <w:rsid w:val="007B128F"/>
    <w:rsid w:val="007B1CC4"/>
    <w:rsid w:val="007B1E0A"/>
    <w:rsid w:val="007B2262"/>
    <w:rsid w:val="007B2CCE"/>
    <w:rsid w:val="007B325C"/>
    <w:rsid w:val="007B33CC"/>
    <w:rsid w:val="007B578A"/>
    <w:rsid w:val="007B5AA7"/>
    <w:rsid w:val="007B6BAF"/>
    <w:rsid w:val="007B6FDF"/>
    <w:rsid w:val="007B7B3A"/>
    <w:rsid w:val="007C041F"/>
    <w:rsid w:val="007C05EA"/>
    <w:rsid w:val="007C145D"/>
    <w:rsid w:val="007C164A"/>
    <w:rsid w:val="007C1FA8"/>
    <w:rsid w:val="007C22E4"/>
    <w:rsid w:val="007C23A9"/>
    <w:rsid w:val="007C25FE"/>
    <w:rsid w:val="007C4110"/>
    <w:rsid w:val="007C46F5"/>
    <w:rsid w:val="007C661B"/>
    <w:rsid w:val="007C6D6B"/>
    <w:rsid w:val="007C7310"/>
    <w:rsid w:val="007C7A53"/>
    <w:rsid w:val="007C7A58"/>
    <w:rsid w:val="007D0A8B"/>
    <w:rsid w:val="007D1977"/>
    <w:rsid w:val="007D206B"/>
    <w:rsid w:val="007D23EE"/>
    <w:rsid w:val="007D27D2"/>
    <w:rsid w:val="007D2AF5"/>
    <w:rsid w:val="007D2D52"/>
    <w:rsid w:val="007D32DF"/>
    <w:rsid w:val="007D351C"/>
    <w:rsid w:val="007D3BDD"/>
    <w:rsid w:val="007D4F53"/>
    <w:rsid w:val="007D5335"/>
    <w:rsid w:val="007D55AD"/>
    <w:rsid w:val="007D5B01"/>
    <w:rsid w:val="007D6B55"/>
    <w:rsid w:val="007D6F81"/>
    <w:rsid w:val="007D781A"/>
    <w:rsid w:val="007E0CC4"/>
    <w:rsid w:val="007E1133"/>
    <w:rsid w:val="007E1BAD"/>
    <w:rsid w:val="007E3401"/>
    <w:rsid w:val="007E36E8"/>
    <w:rsid w:val="007E3AF4"/>
    <w:rsid w:val="007E4BD9"/>
    <w:rsid w:val="007E4C31"/>
    <w:rsid w:val="007E52BB"/>
    <w:rsid w:val="007E6427"/>
    <w:rsid w:val="007E647A"/>
    <w:rsid w:val="007F048F"/>
    <w:rsid w:val="007F143B"/>
    <w:rsid w:val="007F1D07"/>
    <w:rsid w:val="007F1E55"/>
    <w:rsid w:val="007F2639"/>
    <w:rsid w:val="007F27BD"/>
    <w:rsid w:val="007F2A14"/>
    <w:rsid w:val="007F3091"/>
    <w:rsid w:val="007F3330"/>
    <w:rsid w:val="007F37F9"/>
    <w:rsid w:val="007F38AD"/>
    <w:rsid w:val="007F4098"/>
    <w:rsid w:val="007F446C"/>
    <w:rsid w:val="007F46DF"/>
    <w:rsid w:val="007F5B55"/>
    <w:rsid w:val="007F5BBD"/>
    <w:rsid w:val="007F60E7"/>
    <w:rsid w:val="007F6841"/>
    <w:rsid w:val="007F6BD7"/>
    <w:rsid w:val="007F6CB2"/>
    <w:rsid w:val="007F6FD5"/>
    <w:rsid w:val="007F76A4"/>
    <w:rsid w:val="007F7EC8"/>
    <w:rsid w:val="008006BE"/>
    <w:rsid w:val="0080091A"/>
    <w:rsid w:val="00801258"/>
    <w:rsid w:val="008012B4"/>
    <w:rsid w:val="008022DE"/>
    <w:rsid w:val="0080234C"/>
    <w:rsid w:val="008030EB"/>
    <w:rsid w:val="00803390"/>
    <w:rsid w:val="008033BD"/>
    <w:rsid w:val="008042C3"/>
    <w:rsid w:val="00804DA4"/>
    <w:rsid w:val="00804F0B"/>
    <w:rsid w:val="00805038"/>
    <w:rsid w:val="008051BC"/>
    <w:rsid w:val="00805822"/>
    <w:rsid w:val="00805A68"/>
    <w:rsid w:val="0080618C"/>
    <w:rsid w:val="0080657A"/>
    <w:rsid w:val="00806B6E"/>
    <w:rsid w:val="00807133"/>
    <w:rsid w:val="00807B97"/>
    <w:rsid w:val="008117CB"/>
    <w:rsid w:val="00811FCD"/>
    <w:rsid w:val="00812A69"/>
    <w:rsid w:val="0081343F"/>
    <w:rsid w:val="0081439C"/>
    <w:rsid w:val="00817179"/>
    <w:rsid w:val="00817403"/>
    <w:rsid w:val="008177CB"/>
    <w:rsid w:val="00820097"/>
    <w:rsid w:val="00820998"/>
    <w:rsid w:val="00820DBF"/>
    <w:rsid w:val="0082161A"/>
    <w:rsid w:val="0082222A"/>
    <w:rsid w:val="00822D62"/>
    <w:rsid w:val="00823059"/>
    <w:rsid w:val="008235B2"/>
    <w:rsid w:val="0082388A"/>
    <w:rsid w:val="008239FF"/>
    <w:rsid w:val="00823AB3"/>
    <w:rsid w:val="00824698"/>
    <w:rsid w:val="00824B22"/>
    <w:rsid w:val="00825367"/>
    <w:rsid w:val="00825565"/>
    <w:rsid w:val="008266BD"/>
    <w:rsid w:val="0082750C"/>
    <w:rsid w:val="00827D14"/>
    <w:rsid w:val="00827F35"/>
    <w:rsid w:val="008304E5"/>
    <w:rsid w:val="00830EB8"/>
    <w:rsid w:val="0083113E"/>
    <w:rsid w:val="008319B1"/>
    <w:rsid w:val="00831E07"/>
    <w:rsid w:val="00832C83"/>
    <w:rsid w:val="00833588"/>
    <w:rsid w:val="00834348"/>
    <w:rsid w:val="00835B2F"/>
    <w:rsid w:val="008372F1"/>
    <w:rsid w:val="00837C67"/>
    <w:rsid w:val="00837ECD"/>
    <w:rsid w:val="00840F22"/>
    <w:rsid w:val="00841E12"/>
    <w:rsid w:val="00841F6B"/>
    <w:rsid w:val="0084236E"/>
    <w:rsid w:val="008424F8"/>
    <w:rsid w:val="00845081"/>
    <w:rsid w:val="00845576"/>
    <w:rsid w:val="008458FA"/>
    <w:rsid w:val="00845F98"/>
    <w:rsid w:val="008465D5"/>
    <w:rsid w:val="0084680E"/>
    <w:rsid w:val="00846F82"/>
    <w:rsid w:val="00847831"/>
    <w:rsid w:val="00847DB7"/>
    <w:rsid w:val="00847EBA"/>
    <w:rsid w:val="0085070D"/>
    <w:rsid w:val="00850B01"/>
    <w:rsid w:val="008511D8"/>
    <w:rsid w:val="0085194F"/>
    <w:rsid w:val="008519D4"/>
    <w:rsid w:val="00852223"/>
    <w:rsid w:val="008525CF"/>
    <w:rsid w:val="00852757"/>
    <w:rsid w:val="00852B77"/>
    <w:rsid w:val="00852D19"/>
    <w:rsid w:val="00852F1C"/>
    <w:rsid w:val="00853428"/>
    <w:rsid w:val="00853C63"/>
    <w:rsid w:val="00854171"/>
    <w:rsid w:val="00855A06"/>
    <w:rsid w:val="00855C70"/>
    <w:rsid w:val="008560A0"/>
    <w:rsid w:val="00857831"/>
    <w:rsid w:val="00860AA2"/>
    <w:rsid w:val="00860E63"/>
    <w:rsid w:val="008612AC"/>
    <w:rsid w:val="00861BD4"/>
    <w:rsid w:val="00861D3A"/>
    <w:rsid w:val="00862B58"/>
    <w:rsid w:val="0086303B"/>
    <w:rsid w:val="0086311B"/>
    <w:rsid w:val="00863480"/>
    <w:rsid w:val="00863B03"/>
    <w:rsid w:val="00863BD4"/>
    <w:rsid w:val="00863D63"/>
    <w:rsid w:val="008649BA"/>
    <w:rsid w:val="00864E2C"/>
    <w:rsid w:val="00864E6C"/>
    <w:rsid w:val="00865326"/>
    <w:rsid w:val="00865AB9"/>
    <w:rsid w:val="0086645D"/>
    <w:rsid w:val="00866945"/>
    <w:rsid w:val="00866E8F"/>
    <w:rsid w:val="00867BFD"/>
    <w:rsid w:val="00870177"/>
    <w:rsid w:val="0087026F"/>
    <w:rsid w:val="008705D5"/>
    <w:rsid w:val="00870D5B"/>
    <w:rsid w:val="008734A9"/>
    <w:rsid w:val="008735D4"/>
    <w:rsid w:val="0087426A"/>
    <w:rsid w:val="008743BC"/>
    <w:rsid w:val="00874697"/>
    <w:rsid w:val="00874B35"/>
    <w:rsid w:val="0087511C"/>
    <w:rsid w:val="0087597D"/>
    <w:rsid w:val="00875A76"/>
    <w:rsid w:val="00875AF2"/>
    <w:rsid w:val="0087665B"/>
    <w:rsid w:val="0087799C"/>
    <w:rsid w:val="00877CCE"/>
    <w:rsid w:val="00877F7C"/>
    <w:rsid w:val="008805C8"/>
    <w:rsid w:val="00880D46"/>
    <w:rsid w:val="0088139E"/>
    <w:rsid w:val="00882409"/>
    <w:rsid w:val="00882793"/>
    <w:rsid w:val="00882C8D"/>
    <w:rsid w:val="008833A8"/>
    <w:rsid w:val="00883874"/>
    <w:rsid w:val="00883A06"/>
    <w:rsid w:val="00883C7D"/>
    <w:rsid w:val="0088416F"/>
    <w:rsid w:val="008856DE"/>
    <w:rsid w:val="008863BB"/>
    <w:rsid w:val="008868CC"/>
    <w:rsid w:val="00886AAA"/>
    <w:rsid w:val="00886C9C"/>
    <w:rsid w:val="00886F17"/>
    <w:rsid w:val="00887415"/>
    <w:rsid w:val="00890312"/>
    <w:rsid w:val="0089033D"/>
    <w:rsid w:val="00890565"/>
    <w:rsid w:val="00890762"/>
    <w:rsid w:val="008910CE"/>
    <w:rsid w:val="008938F7"/>
    <w:rsid w:val="008955FF"/>
    <w:rsid w:val="008960B8"/>
    <w:rsid w:val="0089651E"/>
    <w:rsid w:val="0089655A"/>
    <w:rsid w:val="008973FB"/>
    <w:rsid w:val="008974C9"/>
    <w:rsid w:val="00897664"/>
    <w:rsid w:val="008A0B18"/>
    <w:rsid w:val="008A11D3"/>
    <w:rsid w:val="008A133E"/>
    <w:rsid w:val="008A15E2"/>
    <w:rsid w:val="008A254B"/>
    <w:rsid w:val="008A3025"/>
    <w:rsid w:val="008A4364"/>
    <w:rsid w:val="008A4BC2"/>
    <w:rsid w:val="008A5741"/>
    <w:rsid w:val="008A588F"/>
    <w:rsid w:val="008A5DF2"/>
    <w:rsid w:val="008A61B8"/>
    <w:rsid w:val="008A6670"/>
    <w:rsid w:val="008A6723"/>
    <w:rsid w:val="008A6A4A"/>
    <w:rsid w:val="008A6EA6"/>
    <w:rsid w:val="008A7486"/>
    <w:rsid w:val="008A74EC"/>
    <w:rsid w:val="008A7870"/>
    <w:rsid w:val="008B0BF1"/>
    <w:rsid w:val="008B1643"/>
    <w:rsid w:val="008B24CB"/>
    <w:rsid w:val="008B29FB"/>
    <w:rsid w:val="008B43FA"/>
    <w:rsid w:val="008B4809"/>
    <w:rsid w:val="008B5029"/>
    <w:rsid w:val="008B51BD"/>
    <w:rsid w:val="008B584D"/>
    <w:rsid w:val="008B5A26"/>
    <w:rsid w:val="008B5BAC"/>
    <w:rsid w:val="008B5D54"/>
    <w:rsid w:val="008B6490"/>
    <w:rsid w:val="008B686F"/>
    <w:rsid w:val="008B6A7E"/>
    <w:rsid w:val="008B74EA"/>
    <w:rsid w:val="008C0677"/>
    <w:rsid w:val="008C0AC3"/>
    <w:rsid w:val="008C154D"/>
    <w:rsid w:val="008C264A"/>
    <w:rsid w:val="008C29FE"/>
    <w:rsid w:val="008C2B81"/>
    <w:rsid w:val="008C3523"/>
    <w:rsid w:val="008C36BB"/>
    <w:rsid w:val="008C4391"/>
    <w:rsid w:val="008C46E9"/>
    <w:rsid w:val="008C4A2E"/>
    <w:rsid w:val="008C4F12"/>
    <w:rsid w:val="008C5197"/>
    <w:rsid w:val="008C536A"/>
    <w:rsid w:val="008C55A6"/>
    <w:rsid w:val="008C57B4"/>
    <w:rsid w:val="008C5C54"/>
    <w:rsid w:val="008C6811"/>
    <w:rsid w:val="008C748E"/>
    <w:rsid w:val="008C760C"/>
    <w:rsid w:val="008D06A0"/>
    <w:rsid w:val="008D13CF"/>
    <w:rsid w:val="008D1784"/>
    <w:rsid w:val="008D1AE4"/>
    <w:rsid w:val="008D1C27"/>
    <w:rsid w:val="008D2E74"/>
    <w:rsid w:val="008D3794"/>
    <w:rsid w:val="008D39AC"/>
    <w:rsid w:val="008D678D"/>
    <w:rsid w:val="008E1058"/>
    <w:rsid w:val="008E1565"/>
    <w:rsid w:val="008E3A6C"/>
    <w:rsid w:val="008E3C12"/>
    <w:rsid w:val="008E460D"/>
    <w:rsid w:val="008E47E6"/>
    <w:rsid w:val="008E49FD"/>
    <w:rsid w:val="008E4C65"/>
    <w:rsid w:val="008E59B1"/>
    <w:rsid w:val="008E5BEB"/>
    <w:rsid w:val="008E5E8D"/>
    <w:rsid w:val="008E6D4E"/>
    <w:rsid w:val="008E79FD"/>
    <w:rsid w:val="008E7A31"/>
    <w:rsid w:val="008F027A"/>
    <w:rsid w:val="008F0655"/>
    <w:rsid w:val="008F0707"/>
    <w:rsid w:val="008F1466"/>
    <w:rsid w:val="008F153A"/>
    <w:rsid w:val="008F1E64"/>
    <w:rsid w:val="008F235E"/>
    <w:rsid w:val="008F26E1"/>
    <w:rsid w:val="008F2AF8"/>
    <w:rsid w:val="008F2FBD"/>
    <w:rsid w:val="008F35BB"/>
    <w:rsid w:val="008F38A9"/>
    <w:rsid w:val="008F42A2"/>
    <w:rsid w:val="008F4823"/>
    <w:rsid w:val="008F6451"/>
    <w:rsid w:val="008F6CA2"/>
    <w:rsid w:val="008F6D26"/>
    <w:rsid w:val="008F6E48"/>
    <w:rsid w:val="008F7AAB"/>
    <w:rsid w:val="008F7F59"/>
    <w:rsid w:val="0090078A"/>
    <w:rsid w:val="009007F2"/>
    <w:rsid w:val="00900E3B"/>
    <w:rsid w:val="00901018"/>
    <w:rsid w:val="00901328"/>
    <w:rsid w:val="0090150A"/>
    <w:rsid w:val="00901C38"/>
    <w:rsid w:val="00901C59"/>
    <w:rsid w:val="00901E43"/>
    <w:rsid w:val="00902236"/>
    <w:rsid w:val="0090286A"/>
    <w:rsid w:val="00902DE5"/>
    <w:rsid w:val="009031F6"/>
    <w:rsid w:val="0090377B"/>
    <w:rsid w:val="00903BD2"/>
    <w:rsid w:val="00904628"/>
    <w:rsid w:val="00904C67"/>
    <w:rsid w:val="00904FB6"/>
    <w:rsid w:val="0090515B"/>
    <w:rsid w:val="009051B7"/>
    <w:rsid w:val="00905AC0"/>
    <w:rsid w:val="0090617D"/>
    <w:rsid w:val="0090628E"/>
    <w:rsid w:val="00906B16"/>
    <w:rsid w:val="00906C3C"/>
    <w:rsid w:val="009073D5"/>
    <w:rsid w:val="009105E2"/>
    <w:rsid w:val="00911181"/>
    <w:rsid w:val="0091120B"/>
    <w:rsid w:val="00911CEC"/>
    <w:rsid w:val="00912132"/>
    <w:rsid w:val="009121F6"/>
    <w:rsid w:val="00912238"/>
    <w:rsid w:val="00912385"/>
    <w:rsid w:val="009125D3"/>
    <w:rsid w:val="0091320B"/>
    <w:rsid w:val="00913487"/>
    <w:rsid w:val="00913909"/>
    <w:rsid w:val="00913CBD"/>
    <w:rsid w:val="0091455C"/>
    <w:rsid w:val="00915629"/>
    <w:rsid w:val="00915FC2"/>
    <w:rsid w:val="009163A4"/>
    <w:rsid w:val="0091651D"/>
    <w:rsid w:val="00916603"/>
    <w:rsid w:val="00916F9C"/>
    <w:rsid w:val="0091738D"/>
    <w:rsid w:val="00917B52"/>
    <w:rsid w:val="00920440"/>
    <w:rsid w:val="00920D4D"/>
    <w:rsid w:val="009212A0"/>
    <w:rsid w:val="00921307"/>
    <w:rsid w:val="009215CA"/>
    <w:rsid w:val="00921DC6"/>
    <w:rsid w:val="00921F97"/>
    <w:rsid w:val="009220A2"/>
    <w:rsid w:val="00922D14"/>
    <w:rsid w:val="0092340C"/>
    <w:rsid w:val="0092359D"/>
    <w:rsid w:val="00924E6A"/>
    <w:rsid w:val="00925833"/>
    <w:rsid w:val="009259C6"/>
    <w:rsid w:val="00925F13"/>
    <w:rsid w:val="00926794"/>
    <w:rsid w:val="00926A4B"/>
    <w:rsid w:val="00926ADF"/>
    <w:rsid w:val="00927E84"/>
    <w:rsid w:val="00930830"/>
    <w:rsid w:val="00930D68"/>
    <w:rsid w:val="00932BF5"/>
    <w:rsid w:val="00934182"/>
    <w:rsid w:val="0093473A"/>
    <w:rsid w:val="00935C2E"/>
    <w:rsid w:val="00936084"/>
    <w:rsid w:val="009361F5"/>
    <w:rsid w:val="009363D4"/>
    <w:rsid w:val="0093681D"/>
    <w:rsid w:val="0093697F"/>
    <w:rsid w:val="009372F4"/>
    <w:rsid w:val="00937B9C"/>
    <w:rsid w:val="0094007D"/>
    <w:rsid w:val="00940376"/>
    <w:rsid w:val="00941180"/>
    <w:rsid w:val="009412AF"/>
    <w:rsid w:val="00941359"/>
    <w:rsid w:val="00941AAD"/>
    <w:rsid w:val="009423A9"/>
    <w:rsid w:val="00943072"/>
    <w:rsid w:val="00943AC1"/>
    <w:rsid w:val="00943FA0"/>
    <w:rsid w:val="00943FCF"/>
    <w:rsid w:val="00944B11"/>
    <w:rsid w:val="00945386"/>
    <w:rsid w:val="00945A09"/>
    <w:rsid w:val="00945D3C"/>
    <w:rsid w:val="00946BB7"/>
    <w:rsid w:val="00947B3D"/>
    <w:rsid w:val="00947B72"/>
    <w:rsid w:val="00947C82"/>
    <w:rsid w:val="00947D44"/>
    <w:rsid w:val="0095026E"/>
    <w:rsid w:val="0095044D"/>
    <w:rsid w:val="00950BFC"/>
    <w:rsid w:val="00951326"/>
    <w:rsid w:val="00952475"/>
    <w:rsid w:val="00952841"/>
    <w:rsid w:val="00952955"/>
    <w:rsid w:val="00952BF9"/>
    <w:rsid w:val="0095308E"/>
    <w:rsid w:val="009535EC"/>
    <w:rsid w:val="009537C0"/>
    <w:rsid w:val="009545FC"/>
    <w:rsid w:val="00954A9D"/>
    <w:rsid w:val="00955D44"/>
    <w:rsid w:val="0095630C"/>
    <w:rsid w:val="00957367"/>
    <w:rsid w:val="00957414"/>
    <w:rsid w:val="009575F9"/>
    <w:rsid w:val="009577A5"/>
    <w:rsid w:val="00957EDA"/>
    <w:rsid w:val="009604EF"/>
    <w:rsid w:val="009608F2"/>
    <w:rsid w:val="009614FB"/>
    <w:rsid w:val="009621E9"/>
    <w:rsid w:val="00962576"/>
    <w:rsid w:val="00962A73"/>
    <w:rsid w:val="00963230"/>
    <w:rsid w:val="009636B2"/>
    <w:rsid w:val="009639B8"/>
    <w:rsid w:val="00963A1F"/>
    <w:rsid w:val="00964363"/>
    <w:rsid w:val="009646A9"/>
    <w:rsid w:val="00964F8C"/>
    <w:rsid w:val="00965A73"/>
    <w:rsid w:val="00965C2A"/>
    <w:rsid w:val="0096669E"/>
    <w:rsid w:val="00966BF6"/>
    <w:rsid w:val="00967642"/>
    <w:rsid w:val="00967925"/>
    <w:rsid w:val="00970672"/>
    <w:rsid w:val="00970794"/>
    <w:rsid w:val="009713C4"/>
    <w:rsid w:val="009717B4"/>
    <w:rsid w:val="00971A06"/>
    <w:rsid w:val="00971DD1"/>
    <w:rsid w:val="00972C75"/>
    <w:rsid w:val="00972CD3"/>
    <w:rsid w:val="009740AA"/>
    <w:rsid w:val="0097488C"/>
    <w:rsid w:val="00974A32"/>
    <w:rsid w:val="00975121"/>
    <w:rsid w:val="00975897"/>
    <w:rsid w:val="009758DC"/>
    <w:rsid w:val="00975FF2"/>
    <w:rsid w:val="00976656"/>
    <w:rsid w:val="00976EBB"/>
    <w:rsid w:val="00980751"/>
    <w:rsid w:val="009812B0"/>
    <w:rsid w:val="00982CEF"/>
    <w:rsid w:val="009832AC"/>
    <w:rsid w:val="00985537"/>
    <w:rsid w:val="00985D6E"/>
    <w:rsid w:val="00986D05"/>
    <w:rsid w:val="00987184"/>
    <w:rsid w:val="00987806"/>
    <w:rsid w:val="00987E7B"/>
    <w:rsid w:val="00987F00"/>
    <w:rsid w:val="00990763"/>
    <w:rsid w:val="00990AB3"/>
    <w:rsid w:val="00991F5B"/>
    <w:rsid w:val="009926B7"/>
    <w:rsid w:val="00992F79"/>
    <w:rsid w:val="009932A3"/>
    <w:rsid w:val="00993AAD"/>
    <w:rsid w:val="00993D6D"/>
    <w:rsid w:val="00993E1A"/>
    <w:rsid w:val="009946FC"/>
    <w:rsid w:val="00994771"/>
    <w:rsid w:val="009948CC"/>
    <w:rsid w:val="00994BB3"/>
    <w:rsid w:val="00994F3B"/>
    <w:rsid w:val="00995A1E"/>
    <w:rsid w:val="00996A56"/>
    <w:rsid w:val="00996B3A"/>
    <w:rsid w:val="009977B4"/>
    <w:rsid w:val="00997BC2"/>
    <w:rsid w:val="009A0417"/>
    <w:rsid w:val="009A0519"/>
    <w:rsid w:val="009A0B9B"/>
    <w:rsid w:val="009A107B"/>
    <w:rsid w:val="009A262C"/>
    <w:rsid w:val="009A2961"/>
    <w:rsid w:val="009A2ECD"/>
    <w:rsid w:val="009A379F"/>
    <w:rsid w:val="009A446F"/>
    <w:rsid w:val="009A4E92"/>
    <w:rsid w:val="009A57A2"/>
    <w:rsid w:val="009A64C1"/>
    <w:rsid w:val="009A68F8"/>
    <w:rsid w:val="009B0122"/>
    <w:rsid w:val="009B0612"/>
    <w:rsid w:val="009B0CFA"/>
    <w:rsid w:val="009B1440"/>
    <w:rsid w:val="009B23B1"/>
    <w:rsid w:val="009B26BF"/>
    <w:rsid w:val="009B37D1"/>
    <w:rsid w:val="009B416A"/>
    <w:rsid w:val="009B46AF"/>
    <w:rsid w:val="009B4A3D"/>
    <w:rsid w:val="009B4E9B"/>
    <w:rsid w:val="009B5A28"/>
    <w:rsid w:val="009B624F"/>
    <w:rsid w:val="009B6B32"/>
    <w:rsid w:val="009B6C89"/>
    <w:rsid w:val="009B6DBA"/>
    <w:rsid w:val="009B765E"/>
    <w:rsid w:val="009C0397"/>
    <w:rsid w:val="009C336F"/>
    <w:rsid w:val="009C4626"/>
    <w:rsid w:val="009C49EF"/>
    <w:rsid w:val="009C4BD6"/>
    <w:rsid w:val="009C654B"/>
    <w:rsid w:val="009C684B"/>
    <w:rsid w:val="009C6FC8"/>
    <w:rsid w:val="009C744D"/>
    <w:rsid w:val="009C7ACF"/>
    <w:rsid w:val="009D0308"/>
    <w:rsid w:val="009D0A82"/>
    <w:rsid w:val="009D0E8F"/>
    <w:rsid w:val="009D0EA7"/>
    <w:rsid w:val="009D1447"/>
    <w:rsid w:val="009D2718"/>
    <w:rsid w:val="009D2B95"/>
    <w:rsid w:val="009D34EE"/>
    <w:rsid w:val="009D45C3"/>
    <w:rsid w:val="009D4C99"/>
    <w:rsid w:val="009D4E5B"/>
    <w:rsid w:val="009D6E64"/>
    <w:rsid w:val="009D6EBD"/>
    <w:rsid w:val="009D6F0D"/>
    <w:rsid w:val="009D78F2"/>
    <w:rsid w:val="009D7C50"/>
    <w:rsid w:val="009D7F7F"/>
    <w:rsid w:val="009E0C50"/>
    <w:rsid w:val="009E0EDF"/>
    <w:rsid w:val="009E0FCD"/>
    <w:rsid w:val="009E1235"/>
    <w:rsid w:val="009E151C"/>
    <w:rsid w:val="009E2249"/>
    <w:rsid w:val="009E2CE3"/>
    <w:rsid w:val="009E2E4A"/>
    <w:rsid w:val="009E2E75"/>
    <w:rsid w:val="009E313A"/>
    <w:rsid w:val="009E3215"/>
    <w:rsid w:val="009E3646"/>
    <w:rsid w:val="009E3CCF"/>
    <w:rsid w:val="009E3DEA"/>
    <w:rsid w:val="009E3F06"/>
    <w:rsid w:val="009E43E1"/>
    <w:rsid w:val="009E4B22"/>
    <w:rsid w:val="009E4F4F"/>
    <w:rsid w:val="009E5119"/>
    <w:rsid w:val="009E5C64"/>
    <w:rsid w:val="009E5E0E"/>
    <w:rsid w:val="009E7B1B"/>
    <w:rsid w:val="009E7DC8"/>
    <w:rsid w:val="009E7E3F"/>
    <w:rsid w:val="009E7E66"/>
    <w:rsid w:val="009F03FE"/>
    <w:rsid w:val="009F04DF"/>
    <w:rsid w:val="009F0843"/>
    <w:rsid w:val="009F0E31"/>
    <w:rsid w:val="009F1288"/>
    <w:rsid w:val="009F1BE6"/>
    <w:rsid w:val="009F290D"/>
    <w:rsid w:val="009F2E6B"/>
    <w:rsid w:val="009F40CF"/>
    <w:rsid w:val="009F4282"/>
    <w:rsid w:val="009F62BE"/>
    <w:rsid w:val="009F65A3"/>
    <w:rsid w:val="009F69BD"/>
    <w:rsid w:val="009F6F00"/>
    <w:rsid w:val="009F738D"/>
    <w:rsid w:val="009F75DB"/>
    <w:rsid w:val="00A00153"/>
    <w:rsid w:val="00A007C5"/>
    <w:rsid w:val="00A00E78"/>
    <w:rsid w:val="00A01072"/>
    <w:rsid w:val="00A04C49"/>
    <w:rsid w:val="00A05483"/>
    <w:rsid w:val="00A0613A"/>
    <w:rsid w:val="00A0622F"/>
    <w:rsid w:val="00A06B3E"/>
    <w:rsid w:val="00A06F3F"/>
    <w:rsid w:val="00A07A84"/>
    <w:rsid w:val="00A07CE3"/>
    <w:rsid w:val="00A07F36"/>
    <w:rsid w:val="00A105FC"/>
    <w:rsid w:val="00A10A8C"/>
    <w:rsid w:val="00A11598"/>
    <w:rsid w:val="00A1165A"/>
    <w:rsid w:val="00A1279D"/>
    <w:rsid w:val="00A131F4"/>
    <w:rsid w:val="00A14802"/>
    <w:rsid w:val="00A148A3"/>
    <w:rsid w:val="00A14A69"/>
    <w:rsid w:val="00A150EF"/>
    <w:rsid w:val="00A15153"/>
    <w:rsid w:val="00A156D3"/>
    <w:rsid w:val="00A15A45"/>
    <w:rsid w:val="00A15DCE"/>
    <w:rsid w:val="00A1645D"/>
    <w:rsid w:val="00A1714D"/>
    <w:rsid w:val="00A172BF"/>
    <w:rsid w:val="00A173C1"/>
    <w:rsid w:val="00A203BB"/>
    <w:rsid w:val="00A203D1"/>
    <w:rsid w:val="00A215EB"/>
    <w:rsid w:val="00A22372"/>
    <w:rsid w:val="00A22B44"/>
    <w:rsid w:val="00A22E60"/>
    <w:rsid w:val="00A2362C"/>
    <w:rsid w:val="00A244A0"/>
    <w:rsid w:val="00A246D7"/>
    <w:rsid w:val="00A2684D"/>
    <w:rsid w:val="00A2737B"/>
    <w:rsid w:val="00A27BB6"/>
    <w:rsid w:val="00A30192"/>
    <w:rsid w:val="00A30A76"/>
    <w:rsid w:val="00A3129E"/>
    <w:rsid w:val="00A321C9"/>
    <w:rsid w:val="00A329BF"/>
    <w:rsid w:val="00A33561"/>
    <w:rsid w:val="00A33C2B"/>
    <w:rsid w:val="00A34174"/>
    <w:rsid w:val="00A34637"/>
    <w:rsid w:val="00A34B03"/>
    <w:rsid w:val="00A35C3C"/>
    <w:rsid w:val="00A36242"/>
    <w:rsid w:val="00A36E40"/>
    <w:rsid w:val="00A36F9D"/>
    <w:rsid w:val="00A3759E"/>
    <w:rsid w:val="00A37AB3"/>
    <w:rsid w:val="00A37D75"/>
    <w:rsid w:val="00A40997"/>
    <w:rsid w:val="00A40E0B"/>
    <w:rsid w:val="00A412C0"/>
    <w:rsid w:val="00A414FE"/>
    <w:rsid w:val="00A41DF4"/>
    <w:rsid w:val="00A41E06"/>
    <w:rsid w:val="00A420D3"/>
    <w:rsid w:val="00A422B9"/>
    <w:rsid w:val="00A423F0"/>
    <w:rsid w:val="00A43652"/>
    <w:rsid w:val="00A43C9D"/>
    <w:rsid w:val="00A44694"/>
    <w:rsid w:val="00A446D4"/>
    <w:rsid w:val="00A45AE6"/>
    <w:rsid w:val="00A46D2C"/>
    <w:rsid w:val="00A46E18"/>
    <w:rsid w:val="00A472AF"/>
    <w:rsid w:val="00A47401"/>
    <w:rsid w:val="00A47A13"/>
    <w:rsid w:val="00A50F29"/>
    <w:rsid w:val="00A51051"/>
    <w:rsid w:val="00A51AA2"/>
    <w:rsid w:val="00A5213E"/>
    <w:rsid w:val="00A52F7C"/>
    <w:rsid w:val="00A53F63"/>
    <w:rsid w:val="00A54359"/>
    <w:rsid w:val="00A545A9"/>
    <w:rsid w:val="00A5484E"/>
    <w:rsid w:val="00A5524C"/>
    <w:rsid w:val="00A561BB"/>
    <w:rsid w:val="00A56BCC"/>
    <w:rsid w:val="00A57059"/>
    <w:rsid w:val="00A5774C"/>
    <w:rsid w:val="00A57E74"/>
    <w:rsid w:val="00A6012F"/>
    <w:rsid w:val="00A601B0"/>
    <w:rsid w:val="00A603CD"/>
    <w:rsid w:val="00A604E8"/>
    <w:rsid w:val="00A6098B"/>
    <w:rsid w:val="00A609A6"/>
    <w:rsid w:val="00A60FAF"/>
    <w:rsid w:val="00A6114C"/>
    <w:rsid w:val="00A613B5"/>
    <w:rsid w:val="00A6235C"/>
    <w:rsid w:val="00A62D49"/>
    <w:rsid w:val="00A635F0"/>
    <w:rsid w:val="00A636D4"/>
    <w:rsid w:val="00A63882"/>
    <w:rsid w:val="00A64299"/>
    <w:rsid w:val="00A64308"/>
    <w:rsid w:val="00A64AA4"/>
    <w:rsid w:val="00A65244"/>
    <w:rsid w:val="00A6592C"/>
    <w:rsid w:val="00A65BAD"/>
    <w:rsid w:val="00A65CB5"/>
    <w:rsid w:val="00A664B4"/>
    <w:rsid w:val="00A6676A"/>
    <w:rsid w:val="00A66870"/>
    <w:rsid w:val="00A66A3B"/>
    <w:rsid w:val="00A66E28"/>
    <w:rsid w:val="00A66E60"/>
    <w:rsid w:val="00A6728E"/>
    <w:rsid w:val="00A6783A"/>
    <w:rsid w:val="00A704BC"/>
    <w:rsid w:val="00A706D8"/>
    <w:rsid w:val="00A70A6F"/>
    <w:rsid w:val="00A71627"/>
    <w:rsid w:val="00A727D7"/>
    <w:rsid w:val="00A727F4"/>
    <w:rsid w:val="00A72CBC"/>
    <w:rsid w:val="00A7305D"/>
    <w:rsid w:val="00A73D13"/>
    <w:rsid w:val="00A74294"/>
    <w:rsid w:val="00A747B7"/>
    <w:rsid w:val="00A759B2"/>
    <w:rsid w:val="00A76963"/>
    <w:rsid w:val="00A8031A"/>
    <w:rsid w:val="00A80349"/>
    <w:rsid w:val="00A80505"/>
    <w:rsid w:val="00A80998"/>
    <w:rsid w:val="00A80CDC"/>
    <w:rsid w:val="00A819F8"/>
    <w:rsid w:val="00A81AAF"/>
    <w:rsid w:val="00A81E38"/>
    <w:rsid w:val="00A82420"/>
    <w:rsid w:val="00A8261D"/>
    <w:rsid w:val="00A83944"/>
    <w:rsid w:val="00A83A39"/>
    <w:rsid w:val="00A83F6D"/>
    <w:rsid w:val="00A841D6"/>
    <w:rsid w:val="00A84764"/>
    <w:rsid w:val="00A84859"/>
    <w:rsid w:val="00A85929"/>
    <w:rsid w:val="00A85F25"/>
    <w:rsid w:val="00A861BC"/>
    <w:rsid w:val="00A866D5"/>
    <w:rsid w:val="00A86950"/>
    <w:rsid w:val="00A86BED"/>
    <w:rsid w:val="00A87DC7"/>
    <w:rsid w:val="00A90469"/>
    <w:rsid w:val="00A91070"/>
    <w:rsid w:val="00A931CD"/>
    <w:rsid w:val="00A93264"/>
    <w:rsid w:val="00A94610"/>
    <w:rsid w:val="00A9579D"/>
    <w:rsid w:val="00A962EE"/>
    <w:rsid w:val="00A9650B"/>
    <w:rsid w:val="00A96576"/>
    <w:rsid w:val="00A969B5"/>
    <w:rsid w:val="00A96F70"/>
    <w:rsid w:val="00A9726B"/>
    <w:rsid w:val="00A97BE7"/>
    <w:rsid w:val="00AA03E9"/>
    <w:rsid w:val="00AA11DF"/>
    <w:rsid w:val="00AA1F09"/>
    <w:rsid w:val="00AA2343"/>
    <w:rsid w:val="00AA2B8A"/>
    <w:rsid w:val="00AA2C17"/>
    <w:rsid w:val="00AA2F28"/>
    <w:rsid w:val="00AA3163"/>
    <w:rsid w:val="00AA54F3"/>
    <w:rsid w:val="00AA55E6"/>
    <w:rsid w:val="00AA610E"/>
    <w:rsid w:val="00AA6C6C"/>
    <w:rsid w:val="00AA72A2"/>
    <w:rsid w:val="00AA7366"/>
    <w:rsid w:val="00AA7537"/>
    <w:rsid w:val="00AB0136"/>
    <w:rsid w:val="00AB01F2"/>
    <w:rsid w:val="00AB06C7"/>
    <w:rsid w:val="00AB09FF"/>
    <w:rsid w:val="00AB10CB"/>
    <w:rsid w:val="00AB117A"/>
    <w:rsid w:val="00AB12D6"/>
    <w:rsid w:val="00AB18A6"/>
    <w:rsid w:val="00AB1D18"/>
    <w:rsid w:val="00AB28CC"/>
    <w:rsid w:val="00AB2C13"/>
    <w:rsid w:val="00AB2DFE"/>
    <w:rsid w:val="00AB3C31"/>
    <w:rsid w:val="00AB3CEB"/>
    <w:rsid w:val="00AB46DB"/>
    <w:rsid w:val="00AB4915"/>
    <w:rsid w:val="00AB54E9"/>
    <w:rsid w:val="00AB6079"/>
    <w:rsid w:val="00AB6154"/>
    <w:rsid w:val="00AB6EED"/>
    <w:rsid w:val="00AB7233"/>
    <w:rsid w:val="00AC1270"/>
    <w:rsid w:val="00AC1E03"/>
    <w:rsid w:val="00AC37C9"/>
    <w:rsid w:val="00AC384A"/>
    <w:rsid w:val="00AC3B3C"/>
    <w:rsid w:val="00AC4C7D"/>
    <w:rsid w:val="00AC4D0A"/>
    <w:rsid w:val="00AC5BD1"/>
    <w:rsid w:val="00AC62CC"/>
    <w:rsid w:val="00AC62F9"/>
    <w:rsid w:val="00AC6430"/>
    <w:rsid w:val="00AC6D79"/>
    <w:rsid w:val="00AC6DB4"/>
    <w:rsid w:val="00AC71C8"/>
    <w:rsid w:val="00AC730E"/>
    <w:rsid w:val="00AC7455"/>
    <w:rsid w:val="00AC76C2"/>
    <w:rsid w:val="00AC7E76"/>
    <w:rsid w:val="00AD013C"/>
    <w:rsid w:val="00AD028B"/>
    <w:rsid w:val="00AD0F4F"/>
    <w:rsid w:val="00AD14BB"/>
    <w:rsid w:val="00AD1789"/>
    <w:rsid w:val="00AD17E3"/>
    <w:rsid w:val="00AD1B04"/>
    <w:rsid w:val="00AD280D"/>
    <w:rsid w:val="00AD33D4"/>
    <w:rsid w:val="00AD362D"/>
    <w:rsid w:val="00AD3DBA"/>
    <w:rsid w:val="00AD48CA"/>
    <w:rsid w:val="00AD4E9D"/>
    <w:rsid w:val="00AD51DD"/>
    <w:rsid w:val="00AD5DBB"/>
    <w:rsid w:val="00AD5E41"/>
    <w:rsid w:val="00AD665B"/>
    <w:rsid w:val="00AD6A63"/>
    <w:rsid w:val="00AD6C43"/>
    <w:rsid w:val="00AE0682"/>
    <w:rsid w:val="00AE1D9F"/>
    <w:rsid w:val="00AE345C"/>
    <w:rsid w:val="00AE3502"/>
    <w:rsid w:val="00AE454D"/>
    <w:rsid w:val="00AE49CF"/>
    <w:rsid w:val="00AE4BC7"/>
    <w:rsid w:val="00AE5246"/>
    <w:rsid w:val="00AE5D12"/>
    <w:rsid w:val="00AE6F44"/>
    <w:rsid w:val="00AE6F8D"/>
    <w:rsid w:val="00AE7272"/>
    <w:rsid w:val="00AE744A"/>
    <w:rsid w:val="00AE7FBD"/>
    <w:rsid w:val="00AF0689"/>
    <w:rsid w:val="00AF096C"/>
    <w:rsid w:val="00AF0E02"/>
    <w:rsid w:val="00AF22FE"/>
    <w:rsid w:val="00AF232B"/>
    <w:rsid w:val="00AF235B"/>
    <w:rsid w:val="00AF2ED7"/>
    <w:rsid w:val="00AF3134"/>
    <w:rsid w:val="00AF3668"/>
    <w:rsid w:val="00AF3796"/>
    <w:rsid w:val="00AF44C8"/>
    <w:rsid w:val="00AF4CF8"/>
    <w:rsid w:val="00AF669D"/>
    <w:rsid w:val="00AF69A8"/>
    <w:rsid w:val="00AF7690"/>
    <w:rsid w:val="00AF791F"/>
    <w:rsid w:val="00AF7C82"/>
    <w:rsid w:val="00AF7E84"/>
    <w:rsid w:val="00B001C2"/>
    <w:rsid w:val="00B00F44"/>
    <w:rsid w:val="00B04C37"/>
    <w:rsid w:val="00B04CD7"/>
    <w:rsid w:val="00B0574B"/>
    <w:rsid w:val="00B05B66"/>
    <w:rsid w:val="00B05C93"/>
    <w:rsid w:val="00B05CDF"/>
    <w:rsid w:val="00B0605F"/>
    <w:rsid w:val="00B06C9F"/>
    <w:rsid w:val="00B078A9"/>
    <w:rsid w:val="00B07EC9"/>
    <w:rsid w:val="00B10ADD"/>
    <w:rsid w:val="00B10E0C"/>
    <w:rsid w:val="00B11F2A"/>
    <w:rsid w:val="00B128A4"/>
    <w:rsid w:val="00B130CF"/>
    <w:rsid w:val="00B13157"/>
    <w:rsid w:val="00B14DC8"/>
    <w:rsid w:val="00B15E05"/>
    <w:rsid w:val="00B161ED"/>
    <w:rsid w:val="00B1782D"/>
    <w:rsid w:val="00B179D0"/>
    <w:rsid w:val="00B209BD"/>
    <w:rsid w:val="00B21097"/>
    <w:rsid w:val="00B21671"/>
    <w:rsid w:val="00B217F9"/>
    <w:rsid w:val="00B2234C"/>
    <w:rsid w:val="00B2287C"/>
    <w:rsid w:val="00B22B44"/>
    <w:rsid w:val="00B232B1"/>
    <w:rsid w:val="00B23E15"/>
    <w:rsid w:val="00B25415"/>
    <w:rsid w:val="00B25D5C"/>
    <w:rsid w:val="00B266F0"/>
    <w:rsid w:val="00B26758"/>
    <w:rsid w:val="00B26E98"/>
    <w:rsid w:val="00B271A1"/>
    <w:rsid w:val="00B30A29"/>
    <w:rsid w:val="00B31740"/>
    <w:rsid w:val="00B318D9"/>
    <w:rsid w:val="00B31B33"/>
    <w:rsid w:val="00B31CF8"/>
    <w:rsid w:val="00B3235B"/>
    <w:rsid w:val="00B32586"/>
    <w:rsid w:val="00B34230"/>
    <w:rsid w:val="00B34B67"/>
    <w:rsid w:val="00B34F24"/>
    <w:rsid w:val="00B35026"/>
    <w:rsid w:val="00B3565F"/>
    <w:rsid w:val="00B35AD3"/>
    <w:rsid w:val="00B362F9"/>
    <w:rsid w:val="00B368CB"/>
    <w:rsid w:val="00B37D5A"/>
    <w:rsid w:val="00B405D8"/>
    <w:rsid w:val="00B40C97"/>
    <w:rsid w:val="00B40DFF"/>
    <w:rsid w:val="00B4125E"/>
    <w:rsid w:val="00B41E7F"/>
    <w:rsid w:val="00B4226E"/>
    <w:rsid w:val="00B42D59"/>
    <w:rsid w:val="00B434CF"/>
    <w:rsid w:val="00B43DFD"/>
    <w:rsid w:val="00B44A1A"/>
    <w:rsid w:val="00B44ACF"/>
    <w:rsid w:val="00B45002"/>
    <w:rsid w:val="00B45779"/>
    <w:rsid w:val="00B459A6"/>
    <w:rsid w:val="00B462CB"/>
    <w:rsid w:val="00B468BD"/>
    <w:rsid w:val="00B4706E"/>
    <w:rsid w:val="00B47206"/>
    <w:rsid w:val="00B4734F"/>
    <w:rsid w:val="00B47569"/>
    <w:rsid w:val="00B477B9"/>
    <w:rsid w:val="00B502F5"/>
    <w:rsid w:val="00B5095A"/>
    <w:rsid w:val="00B50AD7"/>
    <w:rsid w:val="00B50DFB"/>
    <w:rsid w:val="00B50EA9"/>
    <w:rsid w:val="00B51147"/>
    <w:rsid w:val="00B5238A"/>
    <w:rsid w:val="00B53975"/>
    <w:rsid w:val="00B540F6"/>
    <w:rsid w:val="00B548C3"/>
    <w:rsid w:val="00B54F67"/>
    <w:rsid w:val="00B5562E"/>
    <w:rsid w:val="00B55735"/>
    <w:rsid w:val="00B55C46"/>
    <w:rsid w:val="00B55F84"/>
    <w:rsid w:val="00B5656C"/>
    <w:rsid w:val="00B56E8A"/>
    <w:rsid w:val="00B572CF"/>
    <w:rsid w:val="00B577CD"/>
    <w:rsid w:val="00B6003D"/>
    <w:rsid w:val="00B60104"/>
    <w:rsid w:val="00B606D1"/>
    <w:rsid w:val="00B608AC"/>
    <w:rsid w:val="00B610E2"/>
    <w:rsid w:val="00B61F1A"/>
    <w:rsid w:val="00B62148"/>
    <w:rsid w:val="00B6225C"/>
    <w:rsid w:val="00B642AC"/>
    <w:rsid w:val="00B64339"/>
    <w:rsid w:val="00B6437A"/>
    <w:rsid w:val="00B64A2A"/>
    <w:rsid w:val="00B655CA"/>
    <w:rsid w:val="00B65B14"/>
    <w:rsid w:val="00B65C2F"/>
    <w:rsid w:val="00B65C54"/>
    <w:rsid w:val="00B665B3"/>
    <w:rsid w:val="00B67D13"/>
    <w:rsid w:val="00B70436"/>
    <w:rsid w:val="00B70518"/>
    <w:rsid w:val="00B70587"/>
    <w:rsid w:val="00B70F16"/>
    <w:rsid w:val="00B7111D"/>
    <w:rsid w:val="00B71899"/>
    <w:rsid w:val="00B721C7"/>
    <w:rsid w:val="00B72A13"/>
    <w:rsid w:val="00B73002"/>
    <w:rsid w:val="00B73981"/>
    <w:rsid w:val="00B746B3"/>
    <w:rsid w:val="00B74BC1"/>
    <w:rsid w:val="00B7589A"/>
    <w:rsid w:val="00B7674F"/>
    <w:rsid w:val="00B77605"/>
    <w:rsid w:val="00B80A46"/>
    <w:rsid w:val="00B80BB1"/>
    <w:rsid w:val="00B81631"/>
    <w:rsid w:val="00B81D20"/>
    <w:rsid w:val="00B81E22"/>
    <w:rsid w:val="00B82B61"/>
    <w:rsid w:val="00B82F5D"/>
    <w:rsid w:val="00B8339F"/>
    <w:rsid w:val="00B841DD"/>
    <w:rsid w:val="00B84B8E"/>
    <w:rsid w:val="00B855BC"/>
    <w:rsid w:val="00B86ACB"/>
    <w:rsid w:val="00B87E09"/>
    <w:rsid w:val="00B909F9"/>
    <w:rsid w:val="00B9184D"/>
    <w:rsid w:val="00B9186E"/>
    <w:rsid w:val="00B91890"/>
    <w:rsid w:val="00B91A9F"/>
    <w:rsid w:val="00B91B41"/>
    <w:rsid w:val="00B92120"/>
    <w:rsid w:val="00B92563"/>
    <w:rsid w:val="00B92BFB"/>
    <w:rsid w:val="00B930E8"/>
    <w:rsid w:val="00B9370C"/>
    <w:rsid w:val="00B93EBA"/>
    <w:rsid w:val="00B94100"/>
    <w:rsid w:val="00B95682"/>
    <w:rsid w:val="00B95AC7"/>
    <w:rsid w:val="00B95D90"/>
    <w:rsid w:val="00B95F94"/>
    <w:rsid w:val="00B964B5"/>
    <w:rsid w:val="00B967F6"/>
    <w:rsid w:val="00B97785"/>
    <w:rsid w:val="00B97C3B"/>
    <w:rsid w:val="00BA0CB2"/>
    <w:rsid w:val="00BA0E4C"/>
    <w:rsid w:val="00BA1042"/>
    <w:rsid w:val="00BA16F0"/>
    <w:rsid w:val="00BA186C"/>
    <w:rsid w:val="00BA265E"/>
    <w:rsid w:val="00BA26A2"/>
    <w:rsid w:val="00BA2D35"/>
    <w:rsid w:val="00BA2DBE"/>
    <w:rsid w:val="00BA39A3"/>
    <w:rsid w:val="00BA3FA3"/>
    <w:rsid w:val="00BA4616"/>
    <w:rsid w:val="00BA4A65"/>
    <w:rsid w:val="00BA4FEA"/>
    <w:rsid w:val="00BA50FA"/>
    <w:rsid w:val="00BA56E5"/>
    <w:rsid w:val="00BA58B2"/>
    <w:rsid w:val="00BA5D26"/>
    <w:rsid w:val="00BA60FD"/>
    <w:rsid w:val="00BA6BB7"/>
    <w:rsid w:val="00BA78FF"/>
    <w:rsid w:val="00BA7AE0"/>
    <w:rsid w:val="00BA7B6B"/>
    <w:rsid w:val="00BA7F8C"/>
    <w:rsid w:val="00BB0332"/>
    <w:rsid w:val="00BB0825"/>
    <w:rsid w:val="00BB0E8E"/>
    <w:rsid w:val="00BB0EBE"/>
    <w:rsid w:val="00BB128F"/>
    <w:rsid w:val="00BB1DDD"/>
    <w:rsid w:val="00BB2CA7"/>
    <w:rsid w:val="00BB3447"/>
    <w:rsid w:val="00BB375A"/>
    <w:rsid w:val="00BB3D35"/>
    <w:rsid w:val="00BB3E0E"/>
    <w:rsid w:val="00BB4248"/>
    <w:rsid w:val="00BB4853"/>
    <w:rsid w:val="00BB4B72"/>
    <w:rsid w:val="00BB58AE"/>
    <w:rsid w:val="00BB5AE3"/>
    <w:rsid w:val="00BB5D0C"/>
    <w:rsid w:val="00BB6956"/>
    <w:rsid w:val="00BB6B8E"/>
    <w:rsid w:val="00BB6F8E"/>
    <w:rsid w:val="00BB7B17"/>
    <w:rsid w:val="00BC022D"/>
    <w:rsid w:val="00BC1699"/>
    <w:rsid w:val="00BC17AA"/>
    <w:rsid w:val="00BC18EC"/>
    <w:rsid w:val="00BC2D99"/>
    <w:rsid w:val="00BC3177"/>
    <w:rsid w:val="00BC3D66"/>
    <w:rsid w:val="00BC4450"/>
    <w:rsid w:val="00BC51CD"/>
    <w:rsid w:val="00BC5214"/>
    <w:rsid w:val="00BC54C7"/>
    <w:rsid w:val="00BC5825"/>
    <w:rsid w:val="00BC62BB"/>
    <w:rsid w:val="00BC6C9E"/>
    <w:rsid w:val="00BD062C"/>
    <w:rsid w:val="00BD0797"/>
    <w:rsid w:val="00BD0B3B"/>
    <w:rsid w:val="00BD1D99"/>
    <w:rsid w:val="00BD24A8"/>
    <w:rsid w:val="00BD430C"/>
    <w:rsid w:val="00BD4653"/>
    <w:rsid w:val="00BD4D06"/>
    <w:rsid w:val="00BD4D7F"/>
    <w:rsid w:val="00BD5BFB"/>
    <w:rsid w:val="00BD677F"/>
    <w:rsid w:val="00BD6931"/>
    <w:rsid w:val="00BD6FE1"/>
    <w:rsid w:val="00BD70C4"/>
    <w:rsid w:val="00BD7198"/>
    <w:rsid w:val="00BE035C"/>
    <w:rsid w:val="00BE0C83"/>
    <w:rsid w:val="00BE13BC"/>
    <w:rsid w:val="00BE14E2"/>
    <w:rsid w:val="00BE223E"/>
    <w:rsid w:val="00BE3120"/>
    <w:rsid w:val="00BE4844"/>
    <w:rsid w:val="00BE4BA4"/>
    <w:rsid w:val="00BE533F"/>
    <w:rsid w:val="00BE5BD0"/>
    <w:rsid w:val="00BE6013"/>
    <w:rsid w:val="00BE6F95"/>
    <w:rsid w:val="00BE7DF2"/>
    <w:rsid w:val="00BE7F98"/>
    <w:rsid w:val="00BF04B2"/>
    <w:rsid w:val="00BF0501"/>
    <w:rsid w:val="00BF1595"/>
    <w:rsid w:val="00BF1D7C"/>
    <w:rsid w:val="00BF2604"/>
    <w:rsid w:val="00BF2B80"/>
    <w:rsid w:val="00BF379A"/>
    <w:rsid w:val="00BF3886"/>
    <w:rsid w:val="00BF3E5B"/>
    <w:rsid w:val="00BF41F7"/>
    <w:rsid w:val="00BF49C7"/>
    <w:rsid w:val="00BF4B19"/>
    <w:rsid w:val="00BF686B"/>
    <w:rsid w:val="00BF6C67"/>
    <w:rsid w:val="00BF6DB5"/>
    <w:rsid w:val="00BF743A"/>
    <w:rsid w:val="00BF7507"/>
    <w:rsid w:val="00C000CD"/>
    <w:rsid w:val="00C00DE8"/>
    <w:rsid w:val="00C029FF"/>
    <w:rsid w:val="00C02E3D"/>
    <w:rsid w:val="00C03179"/>
    <w:rsid w:val="00C0357E"/>
    <w:rsid w:val="00C03695"/>
    <w:rsid w:val="00C0417E"/>
    <w:rsid w:val="00C04572"/>
    <w:rsid w:val="00C0500E"/>
    <w:rsid w:val="00C0561A"/>
    <w:rsid w:val="00C06348"/>
    <w:rsid w:val="00C069D0"/>
    <w:rsid w:val="00C06E8B"/>
    <w:rsid w:val="00C0734D"/>
    <w:rsid w:val="00C10248"/>
    <w:rsid w:val="00C10594"/>
    <w:rsid w:val="00C10829"/>
    <w:rsid w:val="00C10AE3"/>
    <w:rsid w:val="00C1136E"/>
    <w:rsid w:val="00C116A4"/>
    <w:rsid w:val="00C11A03"/>
    <w:rsid w:val="00C11E84"/>
    <w:rsid w:val="00C125AE"/>
    <w:rsid w:val="00C125D3"/>
    <w:rsid w:val="00C1323F"/>
    <w:rsid w:val="00C1355B"/>
    <w:rsid w:val="00C13936"/>
    <w:rsid w:val="00C13959"/>
    <w:rsid w:val="00C1396A"/>
    <w:rsid w:val="00C14297"/>
    <w:rsid w:val="00C14779"/>
    <w:rsid w:val="00C14957"/>
    <w:rsid w:val="00C14D05"/>
    <w:rsid w:val="00C14F0F"/>
    <w:rsid w:val="00C14F6B"/>
    <w:rsid w:val="00C152F8"/>
    <w:rsid w:val="00C156FE"/>
    <w:rsid w:val="00C15A2A"/>
    <w:rsid w:val="00C15B69"/>
    <w:rsid w:val="00C17718"/>
    <w:rsid w:val="00C17A31"/>
    <w:rsid w:val="00C220A5"/>
    <w:rsid w:val="00C2254C"/>
    <w:rsid w:val="00C22D3B"/>
    <w:rsid w:val="00C234BD"/>
    <w:rsid w:val="00C235B8"/>
    <w:rsid w:val="00C23716"/>
    <w:rsid w:val="00C24428"/>
    <w:rsid w:val="00C25459"/>
    <w:rsid w:val="00C256B1"/>
    <w:rsid w:val="00C25D82"/>
    <w:rsid w:val="00C25F47"/>
    <w:rsid w:val="00C26766"/>
    <w:rsid w:val="00C26C0A"/>
    <w:rsid w:val="00C27804"/>
    <w:rsid w:val="00C278D6"/>
    <w:rsid w:val="00C27925"/>
    <w:rsid w:val="00C302AF"/>
    <w:rsid w:val="00C30D62"/>
    <w:rsid w:val="00C30FBF"/>
    <w:rsid w:val="00C312F0"/>
    <w:rsid w:val="00C314B6"/>
    <w:rsid w:val="00C322D7"/>
    <w:rsid w:val="00C32985"/>
    <w:rsid w:val="00C3386F"/>
    <w:rsid w:val="00C34039"/>
    <w:rsid w:val="00C35009"/>
    <w:rsid w:val="00C3593C"/>
    <w:rsid w:val="00C35C22"/>
    <w:rsid w:val="00C35D42"/>
    <w:rsid w:val="00C36241"/>
    <w:rsid w:val="00C36650"/>
    <w:rsid w:val="00C3683B"/>
    <w:rsid w:val="00C36899"/>
    <w:rsid w:val="00C36D6B"/>
    <w:rsid w:val="00C36D9E"/>
    <w:rsid w:val="00C3703F"/>
    <w:rsid w:val="00C409FC"/>
    <w:rsid w:val="00C41345"/>
    <w:rsid w:val="00C4153E"/>
    <w:rsid w:val="00C41C37"/>
    <w:rsid w:val="00C42887"/>
    <w:rsid w:val="00C433BC"/>
    <w:rsid w:val="00C4418E"/>
    <w:rsid w:val="00C45A8C"/>
    <w:rsid w:val="00C4631C"/>
    <w:rsid w:val="00C46856"/>
    <w:rsid w:val="00C4755D"/>
    <w:rsid w:val="00C47F30"/>
    <w:rsid w:val="00C50231"/>
    <w:rsid w:val="00C50474"/>
    <w:rsid w:val="00C50B14"/>
    <w:rsid w:val="00C50C0B"/>
    <w:rsid w:val="00C50FD7"/>
    <w:rsid w:val="00C5274C"/>
    <w:rsid w:val="00C5279B"/>
    <w:rsid w:val="00C5375D"/>
    <w:rsid w:val="00C53DBE"/>
    <w:rsid w:val="00C53E9C"/>
    <w:rsid w:val="00C53ED1"/>
    <w:rsid w:val="00C541C1"/>
    <w:rsid w:val="00C54298"/>
    <w:rsid w:val="00C54414"/>
    <w:rsid w:val="00C54D82"/>
    <w:rsid w:val="00C55429"/>
    <w:rsid w:val="00C55E0E"/>
    <w:rsid w:val="00C56058"/>
    <w:rsid w:val="00C564AD"/>
    <w:rsid w:val="00C56C35"/>
    <w:rsid w:val="00C57635"/>
    <w:rsid w:val="00C57914"/>
    <w:rsid w:val="00C610F6"/>
    <w:rsid w:val="00C6192C"/>
    <w:rsid w:val="00C63466"/>
    <w:rsid w:val="00C63A84"/>
    <w:rsid w:val="00C63AD7"/>
    <w:rsid w:val="00C64312"/>
    <w:rsid w:val="00C6495D"/>
    <w:rsid w:val="00C6511F"/>
    <w:rsid w:val="00C66211"/>
    <w:rsid w:val="00C663CF"/>
    <w:rsid w:val="00C665A6"/>
    <w:rsid w:val="00C70072"/>
    <w:rsid w:val="00C702E4"/>
    <w:rsid w:val="00C70E48"/>
    <w:rsid w:val="00C70F7A"/>
    <w:rsid w:val="00C71461"/>
    <w:rsid w:val="00C716DB"/>
    <w:rsid w:val="00C722B6"/>
    <w:rsid w:val="00C72A5B"/>
    <w:rsid w:val="00C72C51"/>
    <w:rsid w:val="00C733AA"/>
    <w:rsid w:val="00C73971"/>
    <w:rsid w:val="00C739CE"/>
    <w:rsid w:val="00C74AE9"/>
    <w:rsid w:val="00C75374"/>
    <w:rsid w:val="00C75857"/>
    <w:rsid w:val="00C75A8F"/>
    <w:rsid w:val="00C76C61"/>
    <w:rsid w:val="00C773A9"/>
    <w:rsid w:val="00C7748F"/>
    <w:rsid w:val="00C80A5C"/>
    <w:rsid w:val="00C80B66"/>
    <w:rsid w:val="00C8175E"/>
    <w:rsid w:val="00C817BA"/>
    <w:rsid w:val="00C81C94"/>
    <w:rsid w:val="00C81ED4"/>
    <w:rsid w:val="00C825C0"/>
    <w:rsid w:val="00C829E4"/>
    <w:rsid w:val="00C83174"/>
    <w:rsid w:val="00C83301"/>
    <w:rsid w:val="00C836A1"/>
    <w:rsid w:val="00C83C37"/>
    <w:rsid w:val="00C8484B"/>
    <w:rsid w:val="00C8494F"/>
    <w:rsid w:val="00C849D7"/>
    <w:rsid w:val="00C85C5F"/>
    <w:rsid w:val="00C86F21"/>
    <w:rsid w:val="00C87E07"/>
    <w:rsid w:val="00C90CA9"/>
    <w:rsid w:val="00C9162E"/>
    <w:rsid w:val="00C91FD2"/>
    <w:rsid w:val="00C929D2"/>
    <w:rsid w:val="00C92BCB"/>
    <w:rsid w:val="00C930CB"/>
    <w:rsid w:val="00C93581"/>
    <w:rsid w:val="00C93E5A"/>
    <w:rsid w:val="00C9431A"/>
    <w:rsid w:val="00C95873"/>
    <w:rsid w:val="00C970D2"/>
    <w:rsid w:val="00CA0E13"/>
    <w:rsid w:val="00CA1321"/>
    <w:rsid w:val="00CA16D9"/>
    <w:rsid w:val="00CA19D1"/>
    <w:rsid w:val="00CA1F11"/>
    <w:rsid w:val="00CA2658"/>
    <w:rsid w:val="00CA271A"/>
    <w:rsid w:val="00CA3D3D"/>
    <w:rsid w:val="00CA4658"/>
    <w:rsid w:val="00CA49C3"/>
    <w:rsid w:val="00CA49D9"/>
    <w:rsid w:val="00CA5B6B"/>
    <w:rsid w:val="00CA5D10"/>
    <w:rsid w:val="00CA62A9"/>
    <w:rsid w:val="00CA72CD"/>
    <w:rsid w:val="00CA736B"/>
    <w:rsid w:val="00CB01C7"/>
    <w:rsid w:val="00CB03FB"/>
    <w:rsid w:val="00CB071A"/>
    <w:rsid w:val="00CB08C9"/>
    <w:rsid w:val="00CB0BD9"/>
    <w:rsid w:val="00CB0D68"/>
    <w:rsid w:val="00CB0E01"/>
    <w:rsid w:val="00CB14BD"/>
    <w:rsid w:val="00CB17F2"/>
    <w:rsid w:val="00CB18A3"/>
    <w:rsid w:val="00CB2333"/>
    <w:rsid w:val="00CB28E8"/>
    <w:rsid w:val="00CB2F52"/>
    <w:rsid w:val="00CB3995"/>
    <w:rsid w:val="00CB40D3"/>
    <w:rsid w:val="00CB417E"/>
    <w:rsid w:val="00CB44F2"/>
    <w:rsid w:val="00CB4B3C"/>
    <w:rsid w:val="00CB60B0"/>
    <w:rsid w:val="00CB60BF"/>
    <w:rsid w:val="00CB747C"/>
    <w:rsid w:val="00CB774F"/>
    <w:rsid w:val="00CB7D9A"/>
    <w:rsid w:val="00CC0505"/>
    <w:rsid w:val="00CC0C9C"/>
    <w:rsid w:val="00CC2C7D"/>
    <w:rsid w:val="00CC380C"/>
    <w:rsid w:val="00CC3F59"/>
    <w:rsid w:val="00CC4BD8"/>
    <w:rsid w:val="00CC4F30"/>
    <w:rsid w:val="00CC5377"/>
    <w:rsid w:val="00CC537C"/>
    <w:rsid w:val="00CC5406"/>
    <w:rsid w:val="00CC5AE3"/>
    <w:rsid w:val="00CC7CCC"/>
    <w:rsid w:val="00CC7D55"/>
    <w:rsid w:val="00CD06CB"/>
    <w:rsid w:val="00CD11AD"/>
    <w:rsid w:val="00CD184F"/>
    <w:rsid w:val="00CD20D9"/>
    <w:rsid w:val="00CD2300"/>
    <w:rsid w:val="00CD337C"/>
    <w:rsid w:val="00CD397D"/>
    <w:rsid w:val="00CD445B"/>
    <w:rsid w:val="00CD49D9"/>
    <w:rsid w:val="00CD5D3C"/>
    <w:rsid w:val="00CD6A34"/>
    <w:rsid w:val="00CD6CF2"/>
    <w:rsid w:val="00CD73A1"/>
    <w:rsid w:val="00CD799C"/>
    <w:rsid w:val="00CD7A35"/>
    <w:rsid w:val="00CE04DD"/>
    <w:rsid w:val="00CE053E"/>
    <w:rsid w:val="00CE05DF"/>
    <w:rsid w:val="00CE088D"/>
    <w:rsid w:val="00CE332B"/>
    <w:rsid w:val="00CE43ED"/>
    <w:rsid w:val="00CE45D6"/>
    <w:rsid w:val="00CE4B47"/>
    <w:rsid w:val="00CE590C"/>
    <w:rsid w:val="00CE5E92"/>
    <w:rsid w:val="00CE68AF"/>
    <w:rsid w:val="00CE70D0"/>
    <w:rsid w:val="00CE71F8"/>
    <w:rsid w:val="00CE72E6"/>
    <w:rsid w:val="00CE75EE"/>
    <w:rsid w:val="00CE7692"/>
    <w:rsid w:val="00CE76C1"/>
    <w:rsid w:val="00CF0267"/>
    <w:rsid w:val="00CF0317"/>
    <w:rsid w:val="00CF05D3"/>
    <w:rsid w:val="00CF07CA"/>
    <w:rsid w:val="00CF0AB8"/>
    <w:rsid w:val="00CF0CFB"/>
    <w:rsid w:val="00CF1BC6"/>
    <w:rsid w:val="00CF24E4"/>
    <w:rsid w:val="00CF296B"/>
    <w:rsid w:val="00CF2C2F"/>
    <w:rsid w:val="00CF30D1"/>
    <w:rsid w:val="00CF42AD"/>
    <w:rsid w:val="00CF4D8F"/>
    <w:rsid w:val="00CF52B2"/>
    <w:rsid w:val="00CF546C"/>
    <w:rsid w:val="00CF603B"/>
    <w:rsid w:val="00CF7455"/>
    <w:rsid w:val="00CF766A"/>
    <w:rsid w:val="00D00259"/>
    <w:rsid w:val="00D00836"/>
    <w:rsid w:val="00D00E09"/>
    <w:rsid w:val="00D01949"/>
    <w:rsid w:val="00D02999"/>
    <w:rsid w:val="00D03023"/>
    <w:rsid w:val="00D03487"/>
    <w:rsid w:val="00D035DE"/>
    <w:rsid w:val="00D035F8"/>
    <w:rsid w:val="00D05AF8"/>
    <w:rsid w:val="00D062BC"/>
    <w:rsid w:val="00D077A2"/>
    <w:rsid w:val="00D07CF5"/>
    <w:rsid w:val="00D07DE6"/>
    <w:rsid w:val="00D07EA8"/>
    <w:rsid w:val="00D10C3A"/>
    <w:rsid w:val="00D1182A"/>
    <w:rsid w:val="00D12B9C"/>
    <w:rsid w:val="00D13B48"/>
    <w:rsid w:val="00D148CE"/>
    <w:rsid w:val="00D14962"/>
    <w:rsid w:val="00D149E4"/>
    <w:rsid w:val="00D150A8"/>
    <w:rsid w:val="00D160BA"/>
    <w:rsid w:val="00D16129"/>
    <w:rsid w:val="00D16304"/>
    <w:rsid w:val="00D16598"/>
    <w:rsid w:val="00D167E8"/>
    <w:rsid w:val="00D16B84"/>
    <w:rsid w:val="00D16D39"/>
    <w:rsid w:val="00D1779C"/>
    <w:rsid w:val="00D179EA"/>
    <w:rsid w:val="00D17D09"/>
    <w:rsid w:val="00D2008B"/>
    <w:rsid w:val="00D20211"/>
    <w:rsid w:val="00D2041B"/>
    <w:rsid w:val="00D20532"/>
    <w:rsid w:val="00D20D9F"/>
    <w:rsid w:val="00D20E9C"/>
    <w:rsid w:val="00D2121F"/>
    <w:rsid w:val="00D21504"/>
    <w:rsid w:val="00D21A13"/>
    <w:rsid w:val="00D21E72"/>
    <w:rsid w:val="00D22031"/>
    <w:rsid w:val="00D22285"/>
    <w:rsid w:val="00D2278E"/>
    <w:rsid w:val="00D22A94"/>
    <w:rsid w:val="00D22B78"/>
    <w:rsid w:val="00D2321B"/>
    <w:rsid w:val="00D234B1"/>
    <w:rsid w:val="00D235F4"/>
    <w:rsid w:val="00D23F20"/>
    <w:rsid w:val="00D25E2A"/>
    <w:rsid w:val="00D25EDB"/>
    <w:rsid w:val="00D264A4"/>
    <w:rsid w:val="00D2657B"/>
    <w:rsid w:val="00D268FE"/>
    <w:rsid w:val="00D26A88"/>
    <w:rsid w:val="00D26B47"/>
    <w:rsid w:val="00D271EF"/>
    <w:rsid w:val="00D277EB"/>
    <w:rsid w:val="00D30BDF"/>
    <w:rsid w:val="00D31277"/>
    <w:rsid w:val="00D312D8"/>
    <w:rsid w:val="00D31E44"/>
    <w:rsid w:val="00D32500"/>
    <w:rsid w:val="00D32E55"/>
    <w:rsid w:val="00D33E20"/>
    <w:rsid w:val="00D35FF9"/>
    <w:rsid w:val="00D3620D"/>
    <w:rsid w:val="00D36E01"/>
    <w:rsid w:val="00D373B5"/>
    <w:rsid w:val="00D375BD"/>
    <w:rsid w:val="00D37D59"/>
    <w:rsid w:val="00D40167"/>
    <w:rsid w:val="00D401FF"/>
    <w:rsid w:val="00D407DF"/>
    <w:rsid w:val="00D408B1"/>
    <w:rsid w:val="00D40D1B"/>
    <w:rsid w:val="00D4173E"/>
    <w:rsid w:val="00D41D62"/>
    <w:rsid w:val="00D41E61"/>
    <w:rsid w:val="00D41E7C"/>
    <w:rsid w:val="00D42A73"/>
    <w:rsid w:val="00D42D29"/>
    <w:rsid w:val="00D431BD"/>
    <w:rsid w:val="00D432B4"/>
    <w:rsid w:val="00D4341E"/>
    <w:rsid w:val="00D4351F"/>
    <w:rsid w:val="00D457D8"/>
    <w:rsid w:val="00D46D4F"/>
    <w:rsid w:val="00D46E96"/>
    <w:rsid w:val="00D476FA"/>
    <w:rsid w:val="00D4788B"/>
    <w:rsid w:val="00D51098"/>
    <w:rsid w:val="00D51234"/>
    <w:rsid w:val="00D51816"/>
    <w:rsid w:val="00D51B3E"/>
    <w:rsid w:val="00D5249F"/>
    <w:rsid w:val="00D52549"/>
    <w:rsid w:val="00D526B3"/>
    <w:rsid w:val="00D540DF"/>
    <w:rsid w:val="00D5424F"/>
    <w:rsid w:val="00D546D4"/>
    <w:rsid w:val="00D549D0"/>
    <w:rsid w:val="00D54C0F"/>
    <w:rsid w:val="00D553DE"/>
    <w:rsid w:val="00D5582A"/>
    <w:rsid w:val="00D55837"/>
    <w:rsid w:val="00D5583A"/>
    <w:rsid w:val="00D55B3B"/>
    <w:rsid w:val="00D60783"/>
    <w:rsid w:val="00D61737"/>
    <w:rsid w:val="00D618D9"/>
    <w:rsid w:val="00D62EE3"/>
    <w:rsid w:val="00D63194"/>
    <w:rsid w:val="00D639BA"/>
    <w:rsid w:val="00D6426D"/>
    <w:rsid w:val="00D6587B"/>
    <w:rsid w:val="00D66A3F"/>
    <w:rsid w:val="00D66CBA"/>
    <w:rsid w:val="00D67B08"/>
    <w:rsid w:val="00D70474"/>
    <w:rsid w:val="00D709C4"/>
    <w:rsid w:val="00D709E2"/>
    <w:rsid w:val="00D70F0F"/>
    <w:rsid w:val="00D711CD"/>
    <w:rsid w:val="00D7148A"/>
    <w:rsid w:val="00D71BD0"/>
    <w:rsid w:val="00D71E67"/>
    <w:rsid w:val="00D7219D"/>
    <w:rsid w:val="00D72772"/>
    <w:rsid w:val="00D72EA8"/>
    <w:rsid w:val="00D735B2"/>
    <w:rsid w:val="00D737A0"/>
    <w:rsid w:val="00D74552"/>
    <w:rsid w:val="00D747E6"/>
    <w:rsid w:val="00D74993"/>
    <w:rsid w:val="00D74B1E"/>
    <w:rsid w:val="00D74E8E"/>
    <w:rsid w:val="00D75256"/>
    <w:rsid w:val="00D755F0"/>
    <w:rsid w:val="00D757F4"/>
    <w:rsid w:val="00D77377"/>
    <w:rsid w:val="00D77497"/>
    <w:rsid w:val="00D77A86"/>
    <w:rsid w:val="00D77EF6"/>
    <w:rsid w:val="00D802A9"/>
    <w:rsid w:val="00D8056B"/>
    <w:rsid w:val="00D80860"/>
    <w:rsid w:val="00D8093F"/>
    <w:rsid w:val="00D81031"/>
    <w:rsid w:val="00D8132E"/>
    <w:rsid w:val="00D815D4"/>
    <w:rsid w:val="00D816CA"/>
    <w:rsid w:val="00D81DEF"/>
    <w:rsid w:val="00D82237"/>
    <w:rsid w:val="00D82409"/>
    <w:rsid w:val="00D8365F"/>
    <w:rsid w:val="00D83A5F"/>
    <w:rsid w:val="00D844E5"/>
    <w:rsid w:val="00D84506"/>
    <w:rsid w:val="00D84F5D"/>
    <w:rsid w:val="00D8515C"/>
    <w:rsid w:val="00D85C22"/>
    <w:rsid w:val="00D85CD8"/>
    <w:rsid w:val="00D87431"/>
    <w:rsid w:val="00D9054A"/>
    <w:rsid w:val="00D90925"/>
    <w:rsid w:val="00D90AE6"/>
    <w:rsid w:val="00D90C83"/>
    <w:rsid w:val="00D91657"/>
    <w:rsid w:val="00D91CA2"/>
    <w:rsid w:val="00D91D4C"/>
    <w:rsid w:val="00D938F7"/>
    <w:rsid w:val="00D94688"/>
    <w:rsid w:val="00D9476D"/>
    <w:rsid w:val="00D947EA"/>
    <w:rsid w:val="00D94E7F"/>
    <w:rsid w:val="00D95014"/>
    <w:rsid w:val="00D9512F"/>
    <w:rsid w:val="00D9562E"/>
    <w:rsid w:val="00D95935"/>
    <w:rsid w:val="00D9692B"/>
    <w:rsid w:val="00D97B23"/>
    <w:rsid w:val="00DA0291"/>
    <w:rsid w:val="00DA09A5"/>
    <w:rsid w:val="00DA176B"/>
    <w:rsid w:val="00DA1FD9"/>
    <w:rsid w:val="00DA218A"/>
    <w:rsid w:val="00DA2BC4"/>
    <w:rsid w:val="00DA4945"/>
    <w:rsid w:val="00DA4DAD"/>
    <w:rsid w:val="00DA54A6"/>
    <w:rsid w:val="00DA5A96"/>
    <w:rsid w:val="00DA6118"/>
    <w:rsid w:val="00DA66CD"/>
    <w:rsid w:val="00DA7957"/>
    <w:rsid w:val="00DA79AE"/>
    <w:rsid w:val="00DB0819"/>
    <w:rsid w:val="00DB0907"/>
    <w:rsid w:val="00DB1282"/>
    <w:rsid w:val="00DB2341"/>
    <w:rsid w:val="00DB2D7A"/>
    <w:rsid w:val="00DB30E1"/>
    <w:rsid w:val="00DB3391"/>
    <w:rsid w:val="00DB3424"/>
    <w:rsid w:val="00DB40A8"/>
    <w:rsid w:val="00DB4709"/>
    <w:rsid w:val="00DB52DC"/>
    <w:rsid w:val="00DB563E"/>
    <w:rsid w:val="00DB5A1D"/>
    <w:rsid w:val="00DB5DF4"/>
    <w:rsid w:val="00DB6A45"/>
    <w:rsid w:val="00DB73F4"/>
    <w:rsid w:val="00DB7EE0"/>
    <w:rsid w:val="00DC08D8"/>
    <w:rsid w:val="00DC0F98"/>
    <w:rsid w:val="00DC1707"/>
    <w:rsid w:val="00DC1D9C"/>
    <w:rsid w:val="00DC2253"/>
    <w:rsid w:val="00DC2286"/>
    <w:rsid w:val="00DC264A"/>
    <w:rsid w:val="00DC2DB7"/>
    <w:rsid w:val="00DC352E"/>
    <w:rsid w:val="00DC39C4"/>
    <w:rsid w:val="00DC3AAC"/>
    <w:rsid w:val="00DC3C1E"/>
    <w:rsid w:val="00DC4F77"/>
    <w:rsid w:val="00DC5149"/>
    <w:rsid w:val="00DC57CC"/>
    <w:rsid w:val="00DC58E6"/>
    <w:rsid w:val="00DC5B87"/>
    <w:rsid w:val="00DC627D"/>
    <w:rsid w:val="00DC6AC3"/>
    <w:rsid w:val="00DC750B"/>
    <w:rsid w:val="00DC7E2A"/>
    <w:rsid w:val="00DC7EC7"/>
    <w:rsid w:val="00DD0467"/>
    <w:rsid w:val="00DD046B"/>
    <w:rsid w:val="00DD0479"/>
    <w:rsid w:val="00DD12F0"/>
    <w:rsid w:val="00DD160E"/>
    <w:rsid w:val="00DD26DD"/>
    <w:rsid w:val="00DD3043"/>
    <w:rsid w:val="00DD30E1"/>
    <w:rsid w:val="00DD30EF"/>
    <w:rsid w:val="00DD3238"/>
    <w:rsid w:val="00DD3453"/>
    <w:rsid w:val="00DD34C4"/>
    <w:rsid w:val="00DD5C03"/>
    <w:rsid w:val="00DD68FB"/>
    <w:rsid w:val="00DD705E"/>
    <w:rsid w:val="00DD7989"/>
    <w:rsid w:val="00DD7ABB"/>
    <w:rsid w:val="00DD7F98"/>
    <w:rsid w:val="00DE0E6C"/>
    <w:rsid w:val="00DE0F90"/>
    <w:rsid w:val="00DE0FB1"/>
    <w:rsid w:val="00DE1A12"/>
    <w:rsid w:val="00DE1C08"/>
    <w:rsid w:val="00DE23F4"/>
    <w:rsid w:val="00DE3ACA"/>
    <w:rsid w:val="00DE3B3B"/>
    <w:rsid w:val="00DE49AC"/>
    <w:rsid w:val="00DE525A"/>
    <w:rsid w:val="00DE5708"/>
    <w:rsid w:val="00DE5A21"/>
    <w:rsid w:val="00DE61FD"/>
    <w:rsid w:val="00DE6240"/>
    <w:rsid w:val="00DE756C"/>
    <w:rsid w:val="00DE7915"/>
    <w:rsid w:val="00DF02B5"/>
    <w:rsid w:val="00DF124E"/>
    <w:rsid w:val="00DF13EB"/>
    <w:rsid w:val="00DF1914"/>
    <w:rsid w:val="00DF1C04"/>
    <w:rsid w:val="00DF283E"/>
    <w:rsid w:val="00DF2BF4"/>
    <w:rsid w:val="00DF3847"/>
    <w:rsid w:val="00DF4E55"/>
    <w:rsid w:val="00DF5F5A"/>
    <w:rsid w:val="00DF606C"/>
    <w:rsid w:val="00DF6518"/>
    <w:rsid w:val="00DF6F70"/>
    <w:rsid w:val="00DF6FAE"/>
    <w:rsid w:val="00DF7A04"/>
    <w:rsid w:val="00DF7CDF"/>
    <w:rsid w:val="00DF7F65"/>
    <w:rsid w:val="00E0075A"/>
    <w:rsid w:val="00E00AE5"/>
    <w:rsid w:val="00E00EAC"/>
    <w:rsid w:val="00E0266B"/>
    <w:rsid w:val="00E033A4"/>
    <w:rsid w:val="00E03BD3"/>
    <w:rsid w:val="00E0492E"/>
    <w:rsid w:val="00E05DA7"/>
    <w:rsid w:val="00E05F07"/>
    <w:rsid w:val="00E066BC"/>
    <w:rsid w:val="00E070B2"/>
    <w:rsid w:val="00E073FF"/>
    <w:rsid w:val="00E07FC8"/>
    <w:rsid w:val="00E10920"/>
    <w:rsid w:val="00E113DD"/>
    <w:rsid w:val="00E11F63"/>
    <w:rsid w:val="00E12066"/>
    <w:rsid w:val="00E129F7"/>
    <w:rsid w:val="00E13583"/>
    <w:rsid w:val="00E14288"/>
    <w:rsid w:val="00E14373"/>
    <w:rsid w:val="00E14781"/>
    <w:rsid w:val="00E15390"/>
    <w:rsid w:val="00E158BA"/>
    <w:rsid w:val="00E15CC0"/>
    <w:rsid w:val="00E16047"/>
    <w:rsid w:val="00E16A33"/>
    <w:rsid w:val="00E16C19"/>
    <w:rsid w:val="00E16E4C"/>
    <w:rsid w:val="00E16EBD"/>
    <w:rsid w:val="00E20628"/>
    <w:rsid w:val="00E2133E"/>
    <w:rsid w:val="00E21934"/>
    <w:rsid w:val="00E2199F"/>
    <w:rsid w:val="00E2271F"/>
    <w:rsid w:val="00E2281A"/>
    <w:rsid w:val="00E22E3A"/>
    <w:rsid w:val="00E237E4"/>
    <w:rsid w:val="00E238AA"/>
    <w:rsid w:val="00E243DC"/>
    <w:rsid w:val="00E25679"/>
    <w:rsid w:val="00E25AB9"/>
    <w:rsid w:val="00E26A98"/>
    <w:rsid w:val="00E26D57"/>
    <w:rsid w:val="00E2725E"/>
    <w:rsid w:val="00E278FC"/>
    <w:rsid w:val="00E27B41"/>
    <w:rsid w:val="00E302CF"/>
    <w:rsid w:val="00E3080F"/>
    <w:rsid w:val="00E308BD"/>
    <w:rsid w:val="00E3108A"/>
    <w:rsid w:val="00E32CFE"/>
    <w:rsid w:val="00E3466E"/>
    <w:rsid w:val="00E34732"/>
    <w:rsid w:val="00E36076"/>
    <w:rsid w:val="00E3698C"/>
    <w:rsid w:val="00E3707E"/>
    <w:rsid w:val="00E376D6"/>
    <w:rsid w:val="00E37B94"/>
    <w:rsid w:val="00E37CB9"/>
    <w:rsid w:val="00E40272"/>
    <w:rsid w:val="00E42589"/>
    <w:rsid w:val="00E429B1"/>
    <w:rsid w:val="00E43118"/>
    <w:rsid w:val="00E43DF5"/>
    <w:rsid w:val="00E43F4F"/>
    <w:rsid w:val="00E443DB"/>
    <w:rsid w:val="00E444A8"/>
    <w:rsid w:val="00E448A4"/>
    <w:rsid w:val="00E44C4F"/>
    <w:rsid w:val="00E45E35"/>
    <w:rsid w:val="00E46E9C"/>
    <w:rsid w:val="00E471E8"/>
    <w:rsid w:val="00E47907"/>
    <w:rsid w:val="00E47940"/>
    <w:rsid w:val="00E47C0A"/>
    <w:rsid w:val="00E47C56"/>
    <w:rsid w:val="00E502BD"/>
    <w:rsid w:val="00E50DA4"/>
    <w:rsid w:val="00E5114F"/>
    <w:rsid w:val="00E515C8"/>
    <w:rsid w:val="00E51CD7"/>
    <w:rsid w:val="00E52761"/>
    <w:rsid w:val="00E52E00"/>
    <w:rsid w:val="00E53CD8"/>
    <w:rsid w:val="00E54CE2"/>
    <w:rsid w:val="00E55110"/>
    <w:rsid w:val="00E556EE"/>
    <w:rsid w:val="00E5597D"/>
    <w:rsid w:val="00E560E9"/>
    <w:rsid w:val="00E569A3"/>
    <w:rsid w:val="00E56B2A"/>
    <w:rsid w:val="00E57BB1"/>
    <w:rsid w:val="00E60B27"/>
    <w:rsid w:val="00E61312"/>
    <w:rsid w:val="00E615DF"/>
    <w:rsid w:val="00E6217F"/>
    <w:rsid w:val="00E623AE"/>
    <w:rsid w:val="00E63255"/>
    <w:rsid w:val="00E64C21"/>
    <w:rsid w:val="00E64CBA"/>
    <w:rsid w:val="00E65379"/>
    <w:rsid w:val="00E6537C"/>
    <w:rsid w:val="00E669A8"/>
    <w:rsid w:val="00E6772B"/>
    <w:rsid w:val="00E70A92"/>
    <w:rsid w:val="00E7136F"/>
    <w:rsid w:val="00E713CF"/>
    <w:rsid w:val="00E716E0"/>
    <w:rsid w:val="00E71A5F"/>
    <w:rsid w:val="00E71FC5"/>
    <w:rsid w:val="00E726C5"/>
    <w:rsid w:val="00E733C0"/>
    <w:rsid w:val="00E73437"/>
    <w:rsid w:val="00E73B15"/>
    <w:rsid w:val="00E73BE0"/>
    <w:rsid w:val="00E740A3"/>
    <w:rsid w:val="00E747E6"/>
    <w:rsid w:val="00E7528A"/>
    <w:rsid w:val="00E7598A"/>
    <w:rsid w:val="00E75AD9"/>
    <w:rsid w:val="00E75B19"/>
    <w:rsid w:val="00E77E81"/>
    <w:rsid w:val="00E80EA9"/>
    <w:rsid w:val="00E81682"/>
    <w:rsid w:val="00E816CC"/>
    <w:rsid w:val="00E81EE3"/>
    <w:rsid w:val="00E827F9"/>
    <w:rsid w:val="00E82C63"/>
    <w:rsid w:val="00E82E51"/>
    <w:rsid w:val="00E84B46"/>
    <w:rsid w:val="00E84CAF"/>
    <w:rsid w:val="00E85070"/>
    <w:rsid w:val="00E85215"/>
    <w:rsid w:val="00E857BB"/>
    <w:rsid w:val="00E875BC"/>
    <w:rsid w:val="00E87BD9"/>
    <w:rsid w:val="00E87CF1"/>
    <w:rsid w:val="00E94B8F"/>
    <w:rsid w:val="00E94F56"/>
    <w:rsid w:val="00E950F1"/>
    <w:rsid w:val="00E95798"/>
    <w:rsid w:val="00E9584D"/>
    <w:rsid w:val="00E95B8D"/>
    <w:rsid w:val="00E95E60"/>
    <w:rsid w:val="00EA0521"/>
    <w:rsid w:val="00EA0849"/>
    <w:rsid w:val="00EA0C4B"/>
    <w:rsid w:val="00EA2617"/>
    <w:rsid w:val="00EA2AFC"/>
    <w:rsid w:val="00EA2CE1"/>
    <w:rsid w:val="00EA3339"/>
    <w:rsid w:val="00EA3BAE"/>
    <w:rsid w:val="00EA4504"/>
    <w:rsid w:val="00EA52EC"/>
    <w:rsid w:val="00EA538D"/>
    <w:rsid w:val="00EA55C0"/>
    <w:rsid w:val="00EA5D2C"/>
    <w:rsid w:val="00EA7430"/>
    <w:rsid w:val="00EA75E5"/>
    <w:rsid w:val="00EA7BB4"/>
    <w:rsid w:val="00EB0B5C"/>
    <w:rsid w:val="00EB1E76"/>
    <w:rsid w:val="00EB246C"/>
    <w:rsid w:val="00EB24E0"/>
    <w:rsid w:val="00EB293D"/>
    <w:rsid w:val="00EB339C"/>
    <w:rsid w:val="00EB43A5"/>
    <w:rsid w:val="00EB45BA"/>
    <w:rsid w:val="00EB588F"/>
    <w:rsid w:val="00EB58D7"/>
    <w:rsid w:val="00EB7976"/>
    <w:rsid w:val="00EB7F22"/>
    <w:rsid w:val="00EC01D7"/>
    <w:rsid w:val="00EC06F2"/>
    <w:rsid w:val="00EC0B8C"/>
    <w:rsid w:val="00EC19FA"/>
    <w:rsid w:val="00EC1C17"/>
    <w:rsid w:val="00EC1C3E"/>
    <w:rsid w:val="00EC1D86"/>
    <w:rsid w:val="00EC2191"/>
    <w:rsid w:val="00EC33C6"/>
    <w:rsid w:val="00EC3B78"/>
    <w:rsid w:val="00EC46DA"/>
    <w:rsid w:val="00EC5352"/>
    <w:rsid w:val="00EC5746"/>
    <w:rsid w:val="00EC5B26"/>
    <w:rsid w:val="00EC5E2E"/>
    <w:rsid w:val="00EC64FB"/>
    <w:rsid w:val="00EC6B64"/>
    <w:rsid w:val="00ED0D0E"/>
    <w:rsid w:val="00ED1C62"/>
    <w:rsid w:val="00ED37C0"/>
    <w:rsid w:val="00ED3F26"/>
    <w:rsid w:val="00ED40B8"/>
    <w:rsid w:val="00ED4142"/>
    <w:rsid w:val="00ED4628"/>
    <w:rsid w:val="00ED565C"/>
    <w:rsid w:val="00ED5F62"/>
    <w:rsid w:val="00ED614F"/>
    <w:rsid w:val="00ED72E9"/>
    <w:rsid w:val="00ED73C0"/>
    <w:rsid w:val="00ED759E"/>
    <w:rsid w:val="00ED7B78"/>
    <w:rsid w:val="00ED7D5A"/>
    <w:rsid w:val="00EE08F8"/>
    <w:rsid w:val="00EE1F94"/>
    <w:rsid w:val="00EE2130"/>
    <w:rsid w:val="00EE2348"/>
    <w:rsid w:val="00EE240D"/>
    <w:rsid w:val="00EE2425"/>
    <w:rsid w:val="00EE2F29"/>
    <w:rsid w:val="00EE3CF9"/>
    <w:rsid w:val="00EE3EB5"/>
    <w:rsid w:val="00EE492B"/>
    <w:rsid w:val="00EE558F"/>
    <w:rsid w:val="00EE6323"/>
    <w:rsid w:val="00EE6C9D"/>
    <w:rsid w:val="00EE719C"/>
    <w:rsid w:val="00EE764E"/>
    <w:rsid w:val="00EE7CF9"/>
    <w:rsid w:val="00EE7DC5"/>
    <w:rsid w:val="00EF0F12"/>
    <w:rsid w:val="00EF0F25"/>
    <w:rsid w:val="00EF1ECD"/>
    <w:rsid w:val="00EF219C"/>
    <w:rsid w:val="00EF2460"/>
    <w:rsid w:val="00EF2BC4"/>
    <w:rsid w:val="00EF36AF"/>
    <w:rsid w:val="00EF4047"/>
    <w:rsid w:val="00EF674C"/>
    <w:rsid w:val="00EF703F"/>
    <w:rsid w:val="00EF7D54"/>
    <w:rsid w:val="00F00661"/>
    <w:rsid w:val="00F00B71"/>
    <w:rsid w:val="00F0210B"/>
    <w:rsid w:val="00F02197"/>
    <w:rsid w:val="00F024E8"/>
    <w:rsid w:val="00F03276"/>
    <w:rsid w:val="00F035F5"/>
    <w:rsid w:val="00F039A1"/>
    <w:rsid w:val="00F03AB4"/>
    <w:rsid w:val="00F040A0"/>
    <w:rsid w:val="00F04319"/>
    <w:rsid w:val="00F0475F"/>
    <w:rsid w:val="00F048E2"/>
    <w:rsid w:val="00F04907"/>
    <w:rsid w:val="00F0526B"/>
    <w:rsid w:val="00F05E0A"/>
    <w:rsid w:val="00F05E4A"/>
    <w:rsid w:val="00F066A9"/>
    <w:rsid w:val="00F069B0"/>
    <w:rsid w:val="00F06A62"/>
    <w:rsid w:val="00F06C21"/>
    <w:rsid w:val="00F10B83"/>
    <w:rsid w:val="00F11062"/>
    <w:rsid w:val="00F1182A"/>
    <w:rsid w:val="00F12690"/>
    <w:rsid w:val="00F1275B"/>
    <w:rsid w:val="00F1279E"/>
    <w:rsid w:val="00F1288B"/>
    <w:rsid w:val="00F12AD6"/>
    <w:rsid w:val="00F1306D"/>
    <w:rsid w:val="00F13451"/>
    <w:rsid w:val="00F1350F"/>
    <w:rsid w:val="00F13C15"/>
    <w:rsid w:val="00F141C4"/>
    <w:rsid w:val="00F14E1D"/>
    <w:rsid w:val="00F15C5E"/>
    <w:rsid w:val="00F15D57"/>
    <w:rsid w:val="00F1603C"/>
    <w:rsid w:val="00F16DA0"/>
    <w:rsid w:val="00F16DE6"/>
    <w:rsid w:val="00F1710D"/>
    <w:rsid w:val="00F1754F"/>
    <w:rsid w:val="00F17E73"/>
    <w:rsid w:val="00F20B48"/>
    <w:rsid w:val="00F20BE9"/>
    <w:rsid w:val="00F20EDB"/>
    <w:rsid w:val="00F21082"/>
    <w:rsid w:val="00F21468"/>
    <w:rsid w:val="00F215FC"/>
    <w:rsid w:val="00F2176D"/>
    <w:rsid w:val="00F219A6"/>
    <w:rsid w:val="00F226AD"/>
    <w:rsid w:val="00F2332F"/>
    <w:rsid w:val="00F235E6"/>
    <w:rsid w:val="00F23A4F"/>
    <w:rsid w:val="00F2476B"/>
    <w:rsid w:val="00F24E21"/>
    <w:rsid w:val="00F262CE"/>
    <w:rsid w:val="00F26331"/>
    <w:rsid w:val="00F26A8E"/>
    <w:rsid w:val="00F27506"/>
    <w:rsid w:val="00F27E9E"/>
    <w:rsid w:val="00F30919"/>
    <w:rsid w:val="00F30C4B"/>
    <w:rsid w:val="00F31211"/>
    <w:rsid w:val="00F329ED"/>
    <w:rsid w:val="00F32FA5"/>
    <w:rsid w:val="00F33B65"/>
    <w:rsid w:val="00F33FA2"/>
    <w:rsid w:val="00F370AF"/>
    <w:rsid w:val="00F370BE"/>
    <w:rsid w:val="00F37F01"/>
    <w:rsid w:val="00F42841"/>
    <w:rsid w:val="00F42C96"/>
    <w:rsid w:val="00F43028"/>
    <w:rsid w:val="00F432F9"/>
    <w:rsid w:val="00F43B30"/>
    <w:rsid w:val="00F43BE9"/>
    <w:rsid w:val="00F43D53"/>
    <w:rsid w:val="00F443FC"/>
    <w:rsid w:val="00F46554"/>
    <w:rsid w:val="00F46D2F"/>
    <w:rsid w:val="00F47D9A"/>
    <w:rsid w:val="00F47DDF"/>
    <w:rsid w:val="00F503CD"/>
    <w:rsid w:val="00F507E0"/>
    <w:rsid w:val="00F510BB"/>
    <w:rsid w:val="00F511BA"/>
    <w:rsid w:val="00F5125D"/>
    <w:rsid w:val="00F5181F"/>
    <w:rsid w:val="00F5293B"/>
    <w:rsid w:val="00F52E2E"/>
    <w:rsid w:val="00F52E47"/>
    <w:rsid w:val="00F5389B"/>
    <w:rsid w:val="00F53FC2"/>
    <w:rsid w:val="00F546BB"/>
    <w:rsid w:val="00F54E9B"/>
    <w:rsid w:val="00F55293"/>
    <w:rsid w:val="00F5546E"/>
    <w:rsid w:val="00F557E4"/>
    <w:rsid w:val="00F55BE6"/>
    <w:rsid w:val="00F55F25"/>
    <w:rsid w:val="00F57133"/>
    <w:rsid w:val="00F6029C"/>
    <w:rsid w:val="00F60527"/>
    <w:rsid w:val="00F60A31"/>
    <w:rsid w:val="00F60A90"/>
    <w:rsid w:val="00F61266"/>
    <w:rsid w:val="00F614BE"/>
    <w:rsid w:val="00F61671"/>
    <w:rsid w:val="00F620B1"/>
    <w:rsid w:val="00F62871"/>
    <w:rsid w:val="00F63607"/>
    <w:rsid w:val="00F63C8D"/>
    <w:rsid w:val="00F63FAF"/>
    <w:rsid w:val="00F64016"/>
    <w:rsid w:val="00F643DD"/>
    <w:rsid w:val="00F65D35"/>
    <w:rsid w:val="00F661E5"/>
    <w:rsid w:val="00F66B31"/>
    <w:rsid w:val="00F70B42"/>
    <w:rsid w:val="00F715BE"/>
    <w:rsid w:val="00F71763"/>
    <w:rsid w:val="00F71BFD"/>
    <w:rsid w:val="00F7214F"/>
    <w:rsid w:val="00F72E43"/>
    <w:rsid w:val="00F72E86"/>
    <w:rsid w:val="00F739E7"/>
    <w:rsid w:val="00F73C5A"/>
    <w:rsid w:val="00F7597D"/>
    <w:rsid w:val="00F75AFB"/>
    <w:rsid w:val="00F76176"/>
    <w:rsid w:val="00F77A1E"/>
    <w:rsid w:val="00F77C21"/>
    <w:rsid w:val="00F80125"/>
    <w:rsid w:val="00F8030A"/>
    <w:rsid w:val="00F80B43"/>
    <w:rsid w:val="00F80CAA"/>
    <w:rsid w:val="00F80D80"/>
    <w:rsid w:val="00F81313"/>
    <w:rsid w:val="00F82376"/>
    <w:rsid w:val="00F82AF2"/>
    <w:rsid w:val="00F837FA"/>
    <w:rsid w:val="00F84436"/>
    <w:rsid w:val="00F84FB5"/>
    <w:rsid w:val="00F8509C"/>
    <w:rsid w:val="00F85A46"/>
    <w:rsid w:val="00F86031"/>
    <w:rsid w:val="00F860AB"/>
    <w:rsid w:val="00F8684C"/>
    <w:rsid w:val="00F86B2F"/>
    <w:rsid w:val="00F86B72"/>
    <w:rsid w:val="00F87514"/>
    <w:rsid w:val="00F90B3E"/>
    <w:rsid w:val="00F90B8D"/>
    <w:rsid w:val="00F91542"/>
    <w:rsid w:val="00F916B5"/>
    <w:rsid w:val="00F91C38"/>
    <w:rsid w:val="00F91F72"/>
    <w:rsid w:val="00F92990"/>
    <w:rsid w:val="00F92E40"/>
    <w:rsid w:val="00F92FA3"/>
    <w:rsid w:val="00F94BBD"/>
    <w:rsid w:val="00F94C40"/>
    <w:rsid w:val="00F95DD8"/>
    <w:rsid w:val="00F95E50"/>
    <w:rsid w:val="00F96076"/>
    <w:rsid w:val="00F96506"/>
    <w:rsid w:val="00F96862"/>
    <w:rsid w:val="00F97335"/>
    <w:rsid w:val="00FA029C"/>
    <w:rsid w:val="00FA08A7"/>
    <w:rsid w:val="00FA1B89"/>
    <w:rsid w:val="00FA2043"/>
    <w:rsid w:val="00FA2120"/>
    <w:rsid w:val="00FA238C"/>
    <w:rsid w:val="00FA2EB9"/>
    <w:rsid w:val="00FA3B29"/>
    <w:rsid w:val="00FA4342"/>
    <w:rsid w:val="00FA4368"/>
    <w:rsid w:val="00FA4B96"/>
    <w:rsid w:val="00FA4DE0"/>
    <w:rsid w:val="00FA58E3"/>
    <w:rsid w:val="00FA5D75"/>
    <w:rsid w:val="00FA5F88"/>
    <w:rsid w:val="00FA5FC8"/>
    <w:rsid w:val="00FA6DA2"/>
    <w:rsid w:val="00FA7736"/>
    <w:rsid w:val="00FA77F8"/>
    <w:rsid w:val="00FB171A"/>
    <w:rsid w:val="00FB25EB"/>
    <w:rsid w:val="00FB2B8F"/>
    <w:rsid w:val="00FB3333"/>
    <w:rsid w:val="00FB3980"/>
    <w:rsid w:val="00FB3A0E"/>
    <w:rsid w:val="00FB46F9"/>
    <w:rsid w:val="00FB4F38"/>
    <w:rsid w:val="00FB6BD6"/>
    <w:rsid w:val="00FB7E6F"/>
    <w:rsid w:val="00FB7EC7"/>
    <w:rsid w:val="00FC00C2"/>
    <w:rsid w:val="00FC08F6"/>
    <w:rsid w:val="00FC0ABA"/>
    <w:rsid w:val="00FC1352"/>
    <w:rsid w:val="00FC287A"/>
    <w:rsid w:val="00FC2983"/>
    <w:rsid w:val="00FC2B23"/>
    <w:rsid w:val="00FC2D7F"/>
    <w:rsid w:val="00FC2F2A"/>
    <w:rsid w:val="00FC37A3"/>
    <w:rsid w:val="00FC3CFB"/>
    <w:rsid w:val="00FC5B5A"/>
    <w:rsid w:val="00FC621E"/>
    <w:rsid w:val="00FC780F"/>
    <w:rsid w:val="00FC78DD"/>
    <w:rsid w:val="00FD00E5"/>
    <w:rsid w:val="00FD05A2"/>
    <w:rsid w:val="00FD07A6"/>
    <w:rsid w:val="00FD0C5F"/>
    <w:rsid w:val="00FD1A73"/>
    <w:rsid w:val="00FD1AD4"/>
    <w:rsid w:val="00FD1E5A"/>
    <w:rsid w:val="00FD21AB"/>
    <w:rsid w:val="00FD2A94"/>
    <w:rsid w:val="00FD3205"/>
    <w:rsid w:val="00FD35B0"/>
    <w:rsid w:val="00FD4D47"/>
    <w:rsid w:val="00FD51A5"/>
    <w:rsid w:val="00FD5761"/>
    <w:rsid w:val="00FD58A1"/>
    <w:rsid w:val="00FD6178"/>
    <w:rsid w:val="00FD6C92"/>
    <w:rsid w:val="00FE082B"/>
    <w:rsid w:val="00FE096F"/>
    <w:rsid w:val="00FE1123"/>
    <w:rsid w:val="00FE1FD9"/>
    <w:rsid w:val="00FE3F77"/>
    <w:rsid w:val="00FE435C"/>
    <w:rsid w:val="00FE53C8"/>
    <w:rsid w:val="00FE5650"/>
    <w:rsid w:val="00FE5AEA"/>
    <w:rsid w:val="00FE60FC"/>
    <w:rsid w:val="00FE7E63"/>
    <w:rsid w:val="00FF05B9"/>
    <w:rsid w:val="00FF0EDB"/>
    <w:rsid w:val="00FF19DC"/>
    <w:rsid w:val="00FF1A0E"/>
    <w:rsid w:val="00FF22D1"/>
    <w:rsid w:val="00FF2F05"/>
    <w:rsid w:val="00FF41F4"/>
    <w:rsid w:val="00FF48AD"/>
    <w:rsid w:val="00FF5438"/>
    <w:rsid w:val="00FF61AE"/>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15F8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26794"/>
    <w:pPr>
      <w:tabs>
        <w:tab w:val="right" w:leader="dot" w:pos="9350"/>
      </w:tabs>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styleId="BodyTextIndent3">
    <w:name w:val="Body Text Indent 3"/>
    <w:basedOn w:val="Normal"/>
    <w:link w:val="BodyTextIndent3Char"/>
    <w:rsid w:val="008022DE"/>
    <w:pPr>
      <w:widowControl w:val="0"/>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022DE"/>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495632"/>
  </w:style>
  <w:style w:type="character" w:customStyle="1" w:styleId="BodyTextChar">
    <w:name w:val="Body Text Char"/>
    <w:basedOn w:val="DefaultParagraphFont"/>
    <w:link w:val="BodyText"/>
    <w:uiPriority w:val="99"/>
    <w:rsid w:val="00495632"/>
  </w:style>
  <w:style w:type="paragraph" w:customStyle="1" w:styleId="NormalOMB">
    <w:name w:val="Normal OMB"/>
    <w:basedOn w:val="Normal"/>
    <w:rsid w:val="007411C0"/>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rPr>
  </w:style>
  <w:style w:type="paragraph" w:customStyle="1" w:styleId="Default">
    <w:name w:val="Default"/>
    <w:rsid w:val="007411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0">
    <w:name w:val="A0"/>
    <w:rsid w:val="007411C0"/>
    <w:rPr>
      <w:color w:val="000000"/>
      <w:sz w:val="20"/>
    </w:rPr>
  </w:style>
  <w:style w:type="paragraph" w:styleId="Revision">
    <w:name w:val="Revision"/>
    <w:hidden/>
    <w:uiPriority w:val="99"/>
    <w:semiHidden/>
    <w:rsid w:val="00395F0E"/>
    <w:pPr>
      <w:spacing w:after="0" w:line="240" w:lineRule="auto"/>
    </w:pPr>
  </w:style>
  <w:style w:type="paragraph" w:styleId="FootnoteText">
    <w:name w:val="footnote text"/>
    <w:basedOn w:val="Normal"/>
    <w:link w:val="FootnoteTextChar"/>
    <w:uiPriority w:val="99"/>
    <w:semiHidden/>
    <w:unhideWhenUsed/>
    <w:rsid w:val="00EB5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8D7"/>
    <w:rPr>
      <w:sz w:val="20"/>
      <w:szCs w:val="20"/>
    </w:rPr>
  </w:style>
  <w:style w:type="character" w:styleId="FootnoteReference">
    <w:name w:val="footnote reference"/>
    <w:basedOn w:val="DefaultParagraphFont"/>
    <w:uiPriority w:val="99"/>
    <w:semiHidden/>
    <w:unhideWhenUsed/>
    <w:rsid w:val="00EB58D7"/>
    <w:rPr>
      <w:vertAlign w:val="superscript"/>
    </w:rPr>
  </w:style>
  <w:style w:type="paragraph" w:customStyle="1" w:styleId="Pa15">
    <w:name w:val="Pa15"/>
    <w:basedOn w:val="Default"/>
    <w:next w:val="Default"/>
    <w:uiPriority w:val="99"/>
    <w:rsid w:val="000F4A88"/>
    <w:pPr>
      <w:spacing w:line="221" w:lineRule="atLeast"/>
    </w:pPr>
    <w:rPr>
      <w:rFonts w:ascii="Calibri" w:eastAsiaTheme="minorEastAsia" w:hAnsi="Calibri" w:cstheme="minorBidi"/>
      <w:color w:val="auto"/>
    </w:rPr>
  </w:style>
  <w:style w:type="paragraph" w:customStyle="1" w:styleId="Pa29">
    <w:name w:val="Pa29"/>
    <w:basedOn w:val="Default"/>
    <w:next w:val="Default"/>
    <w:uiPriority w:val="99"/>
    <w:rsid w:val="00831E07"/>
    <w:pPr>
      <w:spacing w:line="201" w:lineRule="atLeast"/>
    </w:pPr>
    <w:rPr>
      <w:rFonts w:ascii="Calibri" w:eastAsiaTheme="minorEastAsia" w:hAnsi="Calibri" w:cstheme="minorBidi"/>
      <w:color w:val="auto"/>
    </w:rPr>
  </w:style>
  <w:style w:type="character" w:customStyle="1" w:styleId="A4">
    <w:name w:val="A4"/>
    <w:uiPriority w:val="99"/>
    <w:rsid w:val="00831E07"/>
    <w:rPr>
      <w:rFonts w:cs="Calibri"/>
      <w:color w:val="000000"/>
      <w:sz w:val="19"/>
      <w:szCs w:val="19"/>
    </w:rPr>
  </w:style>
  <w:style w:type="paragraph" w:customStyle="1" w:styleId="Pa30">
    <w:name w:val="Pa30"/>
    <w:basedOn w:val="Default"/>
    <w:next w:val="Default"/>
    <w:uiPriority w:val="99"/>
    <w:rsid w:val="00831E07"/>
    <w:pPr>
      <w:spacing w:line="201" w:lineRule="atLeast"/>
    </w:pPr>
    <w:rPr>
      <w:rFonts w:ascii="Calibri" w:eastAsiaTheme="minorEastAsia" w:hAnsi="Calibri" w:cstheme="minorBidi"/>
      <w:color w:val="auto"/>
    </w:rPr>
  </w:style>
  <w:style w:type="character" w:customStyle="1" w:styleId="field-content9">
    <w:name w:val="field-content9"/>
    <w:basedOn w:val="DefaultParagraphFont"/>
    <w:rsid w:val="00333606"/>
  </w:style>
  <w:style w:type="character" w:customStyle="1" w:styleId="enumxml1">
    <w:name w:val="enumxml1"/>
    <w:basedOn w:val="DefaultParagraphFont"/>
    <w:rsid w:val="001434E8"/>
    <w:rPr>
      <w:b/>
      <w:bCs/>
    </w:rPr>
  </w:style>
  <w:style w:type="character" w:customStyle="1" w:styleId="hidden-one">
    <w:name w:val="hidden-one"/>
    <w:basedOn w:val="DefaultParagraphFont"/>
    <w:rsid w:val="00972C75"/>
  </w:style>
  <w:style w:type="character" w:customStyle="1" w:styleId="highlight2">
    <w:name w:val="highlight2"/>
    <w:basedOn w:val="DefaultParagraphFont"/>
    <w:rsid w:val="002570DC"/>
  </w:style>
  <w:style w:type="paragraph" w:customStyle="1" w:styleId="CM1">
    <w:name w:val="CM1"/>
    <w:basedOn w:val="Default"/>
    <w:next w:val="Default"/>
    <w:uiPriority w:val="99"/>
    <w:rsid w:val="00B73002"/>
    <w:pPr>
      <w:spacing w:line="268" w:lineRule="atLeast"/>
    </w:pPr>
    <w:rPr>
      <w:rFonts w:ascii="Cambria" w:eastAsiaTheme="minorEastAsia" w:hAnsi="Cambria" w:cstheme="minorBidi"/>
      <w:color w:val="auto"/>
    </w:rPr>
  </w:style>
  <w:style w:type="paragraph" w:customStyle="1" w:styleId="CM15">
    <w:name w:val="CM15"/>
    <w:basedOn w:val="Default"/>
    <w:next w:val="Default"/>
    <w:uiPriority w:val="99"/>
    <w:rsid w:val="00B73002"/>
    <w:rPr>
      <w:rFonts w:ascii="Cambria" w:eastAsiaTheme="minorEastAsia" w:hAnsi="Cambria" w:cstheme="minorBidi"/>
      <w:color w:val="auto"/>
    </w:rPr>
  </w:style>
  <w:style w:type="paragraph" w:customStyle="1" w:styleId="Pa1">
    <w:name w:val="Pa1"/>
    <w:basedOn w:val="Default"/>
    <w:next w:val="Default"/>
    <w:uiPriority w:val="99"/>
    <w:rsid w:val="005D4117"/>
    <w:pPr>
      <w:spacing w:line="241" w:lineRule="atLeast"/>
    </w:pPr>
    <w:rPr>
      <w:rFonts w:eastAsiaTheme="minorEastAsia"/>
      <w:color w:val="auto"/>
    </w:rPr>
  </w:style>
  <w:style w:type="character" w:customStyle="1" w:styleId="A1">
    <w:name w:val="A1"/>
    <w:uiPriority w:val="99"/>
    <w:rsid w:val="005D4117"/>
    <w:rPr>
      <w:color w:val="000000"/>
    </w:rPr>
  </w:style>
  <w:style w:type="character" w:customStyle="1" w:styleId="p1">
    <w:name w:val="p1"/>
    <w:basedOn w:val="DefaultParagraphFont"/>
    <w:rsid w:val="003452A1"/>
    <w:rPr>
      <w:vanish w:val="0"/>
      <w:webHidden w:val="0"/>
      <w:specVanish w:val="0"/>
    </w:rPr>
  </w:style>
  <w:style w:type="character" w:customStyle="1" w:styleId="e-031">
    <w:name w:val="e-031"/>
    <w:basedOn w:val="DefaultParagraphFont"/>
    <w:rsid w:val="003452A1"/>
    <w:rPr>
      <w:i/>
      <w:iCs/>
    </w:rPr>
  </w:style>
  <w:style w:type="character" w:customStyle="1" w:styleId="sectno">
    <w:name w:val="sectno"/>
    <w:basedOn w:val="DefaultParagraphFont"/>
    <w:rsid w:val="00345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26794"/>
    <w:pPr>
      <w:tabs>
        <w:tab w:val="right" w:leader="dot" w:pos="9350"/>
      </w:tabs>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styleId="BodyTextIndent3">
    <w:name w:val="Body Text Indent 3"/>
    <w:basedOn w:val="Normal"/>
    <w:link w:val="BodyTextIndent3Char"/>
    <w:rsid w:val="008022DE"/>
    <w:pPr>
      <w:widowControl w:val="0"/>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022DE"/>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495632"/>
  </w:style>
  <w:style w:type="character" w:customStyle="1" w:styleId="BodyTextChar">
    <w:name w:val="Body Text Char"/>
    <w:basedOn w:val="DefaultParagraphFont"/>
    <w:link w:val="BodyText"/>
    <w:uiPriority w:val="99"/>
    <w:rsid w:val="00495632"/>
  </w:style>
  <w:style w:type="paragraph" w:customStyle="1" w:styleId="NormalOMB">
    <w:name w:val="Normal OMB"/>
    <w:basedOn w:val="Normal"/>
    <w:rsid w:val="007411C0"/>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rPr>
  </w:style>
  <w:style w:type="paragraph" w:customStyle="1" w:styleId="Default">
    <w:name w:val="Default"/>
    <w:rsid w:val="007411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0">
    <w:name w:val="A0"/>
    <w:rsid w:val="007411C0"/>
    <w:rPr>
      <w:color w:val="000000"/>
      <w:sz w:val="20"/>
    </w:rPr>
  </w:style>
  <w:style w:type="paragraph" w:styleId="Revision">
    <w:name w:val="Revision"/>
    <w:hidden/>
    <w:uiPriority w:val="99"/>
    <w:semiHidden/>
    <w:rsid w:val="00395F0E"/>
    <w:pPr>
      <w:spacing w:after="0" w:line="240" w:lineRule="auto"/>
    </w:pPr>
  </w:style>
  <w:style w:type="paragraph" w:styleId="FootnoteText">
    <w:name w:val="footnote text"/>
    <w:basedOn w:val="Normal"/>
    <w:link w:val="FootnoteTextChar"/>
    <w:uiPriority w:val="99"/>
    <w:semiHidden/>
    <w:unhideWhenUsed/>
    <w:rsid w:val="00EB5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8D7"/>
    <w:rPr>
      <w:sz w:val="20"/>
      <w:szCs w:val="20"/>
    </w:rPr>
  </w:style>
  <w:style w:type="character" w:styleId="FootnoteReference">
    <w:name w:val="footnote reference"/>
    <w:basedOn w:val="DefaultParagraphFont"/>
    <w:uiPriority w:val="99"/>
    <w:semiHidden/>
    <w:unhideWhenUsed/>
    <w:rsid w:val="00EB58D7"/>
    <w:rPr>
      <w:vertAlign w:val="superscript"/>
    </w:rPr>
  </w:style>
  <w:style w:type="paragraph" w:customStyle="1" w:styleId="Pa15">
    <w:name w:val="Pa15"/>
    <w:basedOn w:val="Default"/>
    <w:next w:val="Default"/>
    <w:uiPriority w:val="99"/>
    <w:rsid w:val="000F4A88"/>
    <w:pPr>
      <w:spacing w:line="221" w:lineRule="atLeast"/>
    </w:pPr>
    <w:rPr>
      <w:rFonts w:ascii="Calibri" w:eastAsiaTheme="minorEastAsia" w:hAnsi="Calibri" w:cstheme="minorBidi"/>
      <w:color w:val="auto"/>
    </w:rPr>
  </w:style>
  <w:style w:type="paragraph" w:customStyle="1" w:styleId="Pa29">
    <w:name w:val="Pa29"/>
    <w:basedOn w:val="Default"/>
    <w:next w:val="Default"/>
    <w:uiPriority w:val="99"/>
    <w:rsid w:val="00831E07"/>
    <w:pPr>
      <w:spacing w:line="201" w:lineRule="atLeast"/>
    </w:pPr>
    <w:rPr>
      <w:rFonts w:ascii="Calibri" w:eastAsiaTheme="minorEastAsia" w:hAnsi="Calibri" w:cstheme="minorBidi"/>
      <w:color w:val="auto"/>
    </w:rPr>
  </w:style>
  <w:style w:type="character" w:customStyle="1" w:styleId="A4">
    <w:name w:val="A4"/>
    <w:uiPriority w:val="99"/>
    <w:rsid w:val="00831E07"/>
    <w:rPr>
      <w:rFonts w:cs="Calibri"/>
      <w:color w:val="000000"/>
      <w:sz w:val="19"/>
      <w:szCs w:val="19"/>
    </w:rPr>
  </w:style>
  <w:style w:type="paragraph" w:customStyle="1" w:styleId="Pa30">
    <w:name w:val="Pa30"/>
    <w:basedOn w:val="Default"/>
    <w:next w:val="Default"/>
    <w:uiPriority w:val="99"/>
    <w:rsid w:val="00831E07"/>
    <w:pPr>
      <w:spacing w:line="201" w:lineRule="atLeast"/>
    </w:pPr>
    <w:rPr>
      <w:rFonts w:ascii="Calibri" w:eastAsiaTheme="minorEastAsia" w:hAnsi="Calibri" w:cstheme="minorBidi"/>
      <w:color w:val="auto"/>
    </w:rPr>
  </w:style>
  <w:style w:type="character" w:customStyle="1" w:styleId="field-content9">
    <w:name w:val="field-content9"/>
    <w:basedOn w:val="DefaultParagraphFont"/>
    <w:rsid w:val="00333606"/>
  </w:style>
  <w:style w:type="character" w:customStyle="1" w:styleId="enumxml1">
    <w:name w:val="enumxml1"/>
    <w:basedOn w:val="DefaultParagraphFont"/>
    <w:rsid w:val="001434E8"/>
    <w:rPr>
      <w:b/>
      <w:bCs/>
    </w:rPr>
  </w:style>
  <w:style w:type="character" w:customStyle="1" w:styleId="hidden-one">
    <w:name w:val="hidden-one"/>
    <w:basedOn w:val="DefaultParagraphFont"/>
    <w:rsid w:val="00972C75"/>
  </w:style>
  <w:style w:type="character" w:customStyle="1" w:styleId="highlight2">
    <w:name w:val="highlight2"/>
    <w:basedOn w:val="DefaultParagraphFont"/>
    <w:rsid w:val="002570DC"/>
  </w:style>
  <w:style w:type="paragraph" w:customStyle="1" w:styleId="CM1">
    <w:name w:val="CM1"/>
    <w:basedOn w:val="Default"/>
    <w:next w:val="Default"/>
    <w:uiPriority w:val="99"/>
    <w:rsid w:val="00B73002"/>
    <w:pPr>
      <w:spacing w:line="268" w:lineRule="atLeast"/>
    </w:pPr>
    <w:rPr>
      <w:rFonts w:ascii="Cambria" w:eastAsiaTheme="minorEastAsia" w:hAnsi="Cambria" w:cstheme="minorBidi"/>
      <w:color w:val="auto"/>
    </w:rPr>
  </w:style>
  <w:style w:type="paragraph" w:customStyle="1" w:styleId="CM15">
    <w:name w:val="CM15"/>
    <w:basedOn w:val="Default"/>
    <w:next w:val="Default"/>
    <w:uiPriority w:val="99"/>
    <w:rsid w:val="00B73002"/>
    <w:rPr>
      <w:rFonts w:ascii="Cambria" w:eastAsiaTheme="minorEastAsia" w:hAnsi="Cambria" w:cstheme="minorBidi"/>
      <w:color w:val="auto"/>
    </w:rPr>
  </w:style>
  <w:style w:type="paragraph" w:customStyle="1" w:styleId="Pa1">
    <w:name w:val="Pa1"/>
    <w:basedOn w:val="Default"/>
    <w:next w:val="Default"/>
    <w:uiPriority w:val="99"/>
    <w:rsid w:val="005D4117"/>
    <w:pPr>
      <w:spacing w:line="241" w:lineRule="atLeast"/>
    </w:pPr>
    <w:rPr>
      <w:rFonts w:eastAsiaTheme="minorEastAsia"/>
      <w:color w:val="auto"/>
    </w:rPr>
  </w:style>
  <w:style w:type="character" w:customStyle="1" w:styleId="A1">
    <w:name w:val="A1"/>
    <w:uiPriority w:val="99"/>
    <w:rsid w:val="005D4117"/>
    <w:rPr>
      <w:color w:val="000000"/>
    </w:rPr>
  </w:style>
  <w:style w:type="character" w:customStyle="1" w:styleId="p1">
    <w:name w:val="p1"/>
    <w:basedOn w:val="DefaultParagraphFont"/>
    <w:rsid w:val="003452A1"/>
    <w:rPr>
      <w:vanish w:val="0"/>
      <w:webHidden w:val="0"/>
      <w:specVanish w:val="0"/>
    </w:rPr>
  </w:style>
  <w:style w:type="character" w:customStyle="1" w:styleId="e-031">
    <w:name w:val="e-031"/>
    <w:basedOn w:val="DefaultParagraphFont"/>
    <w:rsid w:val="003452A1"/>
    <w:rPr>
      <w:i/>
      <w:iCs/>
    </w:rPr>
  </w:style>
  <w:style w:type="character" w:customStyle="1" w:styleId="sectno">
    <w:name w:val="sectno"/>
    <w:basedOn w:val="DefaultParagraphFont"/>
    <w:rsid w:val="0034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04094">
      <w:bodyDiv w:val="1"/>
      <w:marLeft w:val="0"/>
      <w:marRight w:val="0"/>
      <w:marTop w:val="0"/>
      <w:marBottom w:val="0"/>
      <w:divBdr>
        <w:top w:val="none" w:sz="0" w:space="0" w:color="auto"/>
        <w:left w:val="none" w:sz="0" w:space="0" w:color="auto"/>
        <w:bottom w:val="none" w:sz="0" w:space="0" w:color="auto"/>
        <w:right w:val="none" w:sz="0" w:space="0" w:color="auto"/>
      </w:divBdr>
      <w:divsChild>
        <w:div w:id="1804080666">
          <w:marLeft w:val="360"/>
          <w:marRight w:val="0"/>
          <w:marTop w:val="200"/>
          <w:marBottom w:val="0"/>
          <w:divBdr>
            <w:top w:val="none" w:sz="0" w:space="0" w:color="auto"/>
            <w:left w:val="none" w:sz="0" w:space="0" w:color="auto"/>
            <w:bottom w:val="none" w:sz="0" w:space="0" w:color="auto"/>
            <w:right w:val="none" w:sz="0" w:space="0" w:color="auto"/>
          </w:divBdr>
        </w:div>
        <w:div w:id="680281136">
          <w:marLeft w:val="360"/>
          <w:marRight w:val="0"/>
          <w:marTop w:val="200"/>
          <w:marBottom w:val="0"/>
          <w:divBdr>
            <w:top w:val="none" w:sz="0" w:space="0" w:color="auto"/>
            <w:left w:val="none" w:sz="0" w:space="0" w:color="auto"/>
            <w:bottom w:val="none" w:sz="0" w:space="0" w:color="auto"/>
            <w:right w:val="none" w:sz="0" w:space="0" w:color="auto"/>
          </w:divBdr>
        </w:div>
        <w:div w:id="1032419528">
          <w:marLeft w:val="360"/>
          <w:marRight w:val="0"/>
          <w:marTop w:val="200"/>
          <w:marBottom w:val="0"/>
          <w:divBdr>
            <w:top w:val="none" w:sz="0" w:space="0" w:color="auto"/>
            <w:left w:val="none" w:sz="0" w:space="0" w:color="auto"/>
            <w:bottom w:val="none" w:sz="0" w:space="0" w:color="auto"/>
            <w:right w:val="none" w:sz="0" w:space="0" w:color="auto"/>
          </w:divBdr>
        </w:div>
        <w:div w:id="1359627465">
          <w:marLeft w:val="360"/>
          <w:marRight w:val="0"/>
          <w:marTop w:val="200"/>
          <w:marBottom w:val="0"/>
          <w:divBdr>
            <w:top w:val="none" w:sz="0" w:space="0" w:color="auto"/>
            <w:left w:val="none" w:sz="0" w:space="0" w:color="auto"/>
            <w:bottom w:val="none" w:sz="0" w:space="0" w:color="auto"/>
            <w:right w:val="none" w:sz="0" w:space="0" w:color="auto"/>
          </w:divBdr>
        </w:div>
        <w:div w:id="442766721">
          <w:marLeft w:val="360"/>
          <w:marRight w:val="0"/>
          <w:marTop w:val="200"/>
          <w:marBottom w:val="0"/>
          <w:divBdr>
            <w:top w:val="none" w:sz="0" w:space="0" w:color="auto"/>
            <w:left w:val="none" w:sz="0" w:space="0" w:color="auto"/>
            <w:bottom w:val="none" w:sz="0" w:space="0" w:color="auto"/>
            <w:right w:val="none" w:sz="0" w:space="0" w:color="auto"/>
          </w:divBdr>
        </w:div>
        <w:div w:id="2062049483">
          <w:marLeft w:val="360"/>
          <w:marRight w:val="0"/>
          <w:marTop w:val="200"/>
          <w:marBottom w:val="0"/>
          <w:divBdr>
            <w:top w:val="none" w:sz="0" w:space="0" w:color="auto"/>
            <w:left w:val="none" w:sz="0" w:space="0" w:color="auto"/>
            <w:bottom w:val="none" w:sz="0" w:space="0" w:color="auto"/>
            <w:right w:val="none" w:sz="0" w:space="0" w:color="auto"/>
          </w:divBdr>
        </w:div>
      </w:divsChild>
    </w:div>
    <w:div w:id="63453575">
      <w:bodyDiv w:val="1"/>
      <w:marLeft w:val="0"/>
      <w:marRight w:val="0"/>
      <w:marTop w:val="0"/>
      <w:marBottom w:val="0"/>
      <w:divBdr>
        <w:top w:val="none" w:sz="0" w:space="0" w:color="auto"/>
        <w:left w:val="none" w:sz="0" w:space="0" w:color="auto"/>
        <w:bottom w:val="none" w:sz="0" w:space="0" w:color="auto"/>
        <w:right w:val="none" w:sz="0" w:space="0" w:color="auto"/>
      </w:divBdr>
      <w:divsChild>
        <w:div w:id="271087928">
          <w:marLeft w:val="0"/>
          <w:marRight w:val="1"/>
          <w:marTop w:val="0"/>
          <w:marBottom w:val="0"/>
          <w:divBdr>
            <w:top w:val="none" w:sz="0" w:space="0" w:color="auto"/>
            <w:left w:val="none" w:sz="0" w:space="0" w:color="auto"/>
            <w:bottom w:val="none" w:sz="0" w:space="0" w:color="auto"/>
            <w:right w:val="none" w:sz="0" w:space="0" w:color="auto"/>
          </w:divBdr>
          <w:divsChild>
            <w:div w:id="598365994">
              <w:marLeft w:val="0"/>
              <w:marRight w:val="0"/>
              <w:marTop w:val="0"/>
              <w:marBottom w:val="0"/>
              <w:divBdr>
                <w:top w:val="none" w:sz="0" w:space="0" w:color="auto"/>
                <w:left w:val="none" w:sz="0" w:space="0" w:color="auto"/>
                <w:bottom w:val="none" w:sz="0" w:space="0" w:color="auto"/>
                <w:right w:val="none" w:sz="0" w:space="0" w:color="auto"/>
              </w:divBdr>
              <w:divsChild>
                <w:div w:id="1915551778">
                  <w:marLeft w:val="0"/>
                  <w:marRight w:val="1"/>
                  <w:marTop w:val="0"/>
                  <w:marBottom w:val="0"/>
                  <w:divBdr>
                    <w:top w:val="none" w:sz="0" w:space="0" w:color="auto"/>
                    <w:left w:val="none" w:sz="0" w:space="0" w:color="auto"/>
                    <w:bottom w:val="none" w:sz="0" w:space="0" w:color="auto"/>
                    <w:right w:val="none" w:sz="0" w:space="0" w:color="auto"/>
                  </w:divBdr>
                  <w:divsChild>
                    <w:div w:id="1583220142">
                      <w:marLeft w:val="0"/>
                      <w:marRight w:val="0"/>
                      <w:marTop w:val="0"/>
                      <w:marBottom w:val="0"/>
                      <w:divBdr>
                        <w:top w:val="none" w:sz="0" w:space="0" w:color="auto"/>
                        <w:left w:val="none" w:sz="0" w:space="0" w:color="auto"/>
                        <w:bottom w:val="none" w:sz="0" w:space="0" w:color="auto"/>
                        <w:right w:val="none" w:sz="0" w:space="0" w:color="auto"/>
                      </w:divBdr>
                      <w:divsChild>
                        <w:div w:id="1350644905">
                          <w:marLeft w:val="0"/>
                          <w:marRight w:val="0"/>
                          <w:marTop w:val="0"/>
                          <w:marBottom w:val="0"/>
                          <w:divBdr>
                            <w:top w:val="none" w:sz="0" w:space="0" w:color="auto"/>
                            <w:left w:val="none" w:sz="0" w:space="0" w:color="auto"/>
                            <w:bottom w:val="none" w:sz="0" w:space="0" w:color="auto"/>
                            <w:right w:val="none" w:sz="0" w:space="0" w:color="auto"/>
                          </w:divBdr>
                          <w:divsChild>
                            <w:div w:id="954336735">
                              <w:marLeft w:val="0"/>
                              <w:marRight w:val="0"/>
                              <w:marTop w:val="120"/>
                              <w:marBottom w:val="360"/>
                              <w:divBdr>
                                <w:top w:val="none" w:sz="0" w:space="0" w:color="auto"/>
                                <w:left w:val="none" w:sz="0" w:space="0" w:color="auto"/>
                                <w:bottom w:val="none" w:sz="0" w:space="0" w:color="auto"/>
                                <w:right w:val="none" w:sz="0" w:space="0" w:color="auto"/>
                              </w:divBdr>
                              <w:divsChild>
                                <w:div w:id="1245578238">
                                  <w:marLeft w:val="0"/>
                                  <w:marRight w:val="0"/>
                                  <w:marTop w:val="0"/>
                                  <w:marBottom w:val="0"/>
                                  <w:divBdr>
                                    <w:top w:val="none" w:sz="0" w:space="0" w:color="auto"/>
                                    <w:left w:val="none" w:sz="0" w:space="0" w:color="auto"/>
                                    <w:bottom w:val="none" w:sz="0" w:space="0" w:color="auto"/>
                                    <w:right w:val="none" w:sz="0" w:space="0" w:color="auto"/>
                                  </w:divBdr>
                                </w:div>
                                <w:div w:id="9101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936338">
      <w:bodyDiv w:val="1"/>
      <w:marLeft w:val="0"/>
      <w:marRight w:val="0"/>
      <w:marTop w:val="0"/>
      <w:marBottom w:val="0"/>
      <w:divBdr>
        <w:top w:val="none" w:sz="0" w:space="0" w:color="auto"/>
        <w:left w:val="none" w:sz="0" w:space="0" w:color="auto"/>
        <w:bottom w:val="none" w:sz="0" w:space="0" w:color="auto"/>
        <w:right w:val="none" w:sz="0" w:space="0" w:color="auto"/>
      </w:divBdr>
      <w:divsChild>
        <w:div w:id="1461068262">
          <w:marLeft w:val="0"/>
          <w:marRight w:val="0"/>
          <w:marTop w:val="0"/>
          <w:marBottom w:val="0"/>
          <w:divBdr>
            <w:top w:val="single" w:sz="36" w:space="0" w:color="075290"/>
            <w:left w:val="none" w:sz="0" w:space="0" w:color="auto"/>
            <w:bottom w:val="none" w:sz="0" w:space="0" w:color="auto"/>
            <w:right w:val="none" w:sz="0" w:space="0" w:color="auto"/>
          </w:divBdr>
          <w:divsChild>
            <w:div w:id="1943222168">
              <w:marLeft w:val="0"/>
              <w:marRight w:val="0"/>
              <w:marTop w:val="0"/>
              <w:marBottom w:val="0"/>
              <w:divBdr>
                <w:top w:val="none" w:sz="0" w:space="0" w:color="auto"/>
                <w:left w:val="none" w:sz="0" w:space="0" w:color="auto"/>
                <w:bottom w:val="none" w:sz="0" w:space="0" w:color="auto"/>
                <w:right w:val="none" w:sz="0" w:space="0" w:color="auto"/>
              </w:divBdr>
              <w:divsChild>
                <w:div w:id="1442069298">
                  <w:marLeft w:val="0"/>
                  <w:marRight w:val="0"/>
                  <w:marTop w:val="150"/>
                  <w:marBottom w:val="0"/>
                  <w:divBdr>
                    <w:top w:val="none" w:sz="0" w:space="0" w:color="auto"/>
                    <w:left w:val="none" w:sz="0" w:space="0" w:color="auto"/>
                    <w:bottom w:val="none" w:sz="0" w:space="0" w:color="auto"/>
                    <w:right w:val="none" w:sz="0" w:space="0" w:color="auto"/>
                  </w:divBdr>
                  <w:divsChild>
                    <w:div w:id="490411041">
                      <w:marLeft w:val="-150"/>
                      <w:marRight w:val="0"/>
                      <w:marTop w:val="0"/>
                      <w:marBottom w:val="0"/>
                      <w:divBdr>
                        <w:top w:val="none" w:sz="0" w:space="0" w:color="auto"/>
                        <w:left w:val="none" w:sz="0" w:space="0" w:color="auto"/>
                        <w:bottom w:val="none" w:sz="0" w:space="0" w:color="auto"/>
                        <w:right w:val="none" w:sz="0" w:space="0" w:color="auto"/>
                      </w:divBdr>
                      <w:divsChild>
                        <w:div w:id="1247618385">
                          <w:marLeft w:val="0"/>
                          <w:marRight w:val="0"/>
                          <w:marTop w:val="0"/>
                          <w:marBottom w:val="0"/>
                          <w:divBdr>
                            <w:top w:val="none" w:sz="0" w:space="0" w:color="auto"/>
                            <w:left w:val="none" w:sz="0" w:space="0" w:color="auto"/>
                            <w:bottom w:val="none" w:sz="0" w:space="0" w:color="auto"/>
                            <w:right w:val="none" w:sz="0" w:space="0" w:color="auto"/>
                          </w:divBdr>
                          <w:divsChild>
                            <w:div w:id="19462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091471">
      <w:bodyDiv w:val="1"/>
      <w:marLeft w:val="0"/>
      <w:marRight w:val="0"/>
      <w:marTop w:val="0"/>
      <w:marBottom w:val="0"/>
      <w:divBdr>
        <w:top w:val="none" w:sz="0" w:space="0" w:color="auto"/>
        <w:left w:val="none" w:sz="0" w:space="0" w:color="auto"/>
        <w:bottom w:val="none" w:sz="0" w:space="0" w:color="auto"/>
        <w:right w:val="none" w:sz="0" w:space="0" w:color="auto"/>
      </w:divBdr>
      <w:divsChild>
        <w:div w:id="627859036">
          <w:marLeft w:val="0"/>
          <w:marRight w:val="0"/>
          <w:marTop w:val="0"/>
          <w:marBottom w:val="0"/>
          <w:divBdr>
            <w:top w:val="none" w:sz="0" w:space="0" w:color="auto"/>
            <w:left w:val="none" w:sz="0" w:space="0" w:color="auto"/>
            <w:bottom w:val="none" w:sz="0" w:space="0" w:color="auto"/>
            <w:right w:val="none" w:sz="0" w:space="0" w:color="auto"/>
          </w:divBdr>
          <w:divsChild>
            <w:div w:id="1295016584">
              <w:marLeft w:val="0"/>
              <w:marRight w:val="0"/>
              <w:marTop w:val="0"/>
              <w:marBottom w:val="0"/>
              <w:divBdr>
                <w:top w:val="none" w:sz="0" w:space="0" w:color="auto"/>
                <w:left w:val="none" w:sz="0" w:space="0" w:color="auto"/>
                <w:bottom w:val="none" w:sz="0" w:space="0" w:color="auto"/>
                <w:right w:val="none" w:sz="0" w:space="0" w:color="auto"/>
              </w:divBdr>
              <w:divsChild>
                <w:div w:id="1267039066">
                  <w:marLeft w:val="0"/>
                  <w:marRight w:val="0"/>
                  <w:marTop w:val="0"/>
                  <w:marBottom w:val="0"/>
                  <w:divBdr>
                    <w:top w:val="none" w:sz="0" w:space="0" w:color="auto"/>
                    <w:left w:val="none" w:sz="0" w:space="0" w:color="auto"/>
                    <w:bottom w:val="none" w:sz="0" w:space="0" w:color="auto"/>
                    <w:right w:val="none" w:sz="0" w:space="0" w:color="auto"/>
                  </w:divBdr>
                  <w:divsChild>
                    <w:div w:id="940337208">
                      <w:marLeft w:val="0"/>
                      <w:marRight w:val="0"/>
                      <w:marTop w:val="0"/>
                      <w:marBottom w:val="0"/>
                      <w:divBdr>
                        <w:top w:val="none" w:sz="0" w:space="0" w:color="auto"/>
                        <w:left w:val="none" w:sz="0" w:space="0" w:color="auto"/>
                        <w:bottom w:val="none" w:sz="0" w:space="0" w:color="auto"/>
                        <w:right w:val="none" w:sz="0" w:space="0" w:color="auto"/>
                      </w:divBdr>
                      <w:divsChild>
                        <w:div w:id="151216773">
                          <w:marLeft w:val="0"/>
                          <w:marRight w:val="0"/>
                          <w:marTop w:val="0"/>
                          <w:marBottom w:val="0"/>
                          <w:divBdr>
                            <w:top w:val="none" w:sz="0" w:space="0" w:color="auto"/>
                            <w:left w:val="none" w:sz="0" w:space="0" w:color="auto"/>
                            <w:bottom w:val="none" w:sz="0" w:space="0" w:color="auto"/>
                            <w:right w:val="none" w:sz="0" w:space="0" w:color="auto"/>
                          </w:divBdr>
                          <w:divsChild>
                            <w:div w:id="870845821">
                              <w:marLeft w:val="0"/>
                              <w:marRight w:val="0"/>
                              <w:marTop w:val="0"/>
                              <w:marBottom w:val="0"/>
                              <w:divBdr>
                                <w:top w:val="none" w:sz="0" w:space="0" w:color="auto"/>
                                <w:left w:val="none" w:sz="0" w:space="0" w:color="auto"/>
                                <w:bottom w:val="none" w:sz="0" w:space="0" w:color="auto"/>
                                <w:right w:val="none" w:sz="0" w:space="0" w:color="auto"/>
                              </w:divBdr>
                              <w:divsChild>
                                <w:div w:id="933829442">
                                  <w:marLeft w:val="0"/>
                                  <w:marRight w:val="0"/>
                                  <w:marTop w:val="0"/>
                                  <w:marBottom w:val="0"/>
                                  <w:divBdr>
                                    <w:top w:val="none" w:sz="0" w:space="0" w:color="auto"/>
                                    <w:left w:val="none" w:sz="0" w:space="0" w:color="auto"/>
                                    <w:bottom w:val="none" w:sz="0" w:space="0" w:color="auto"/>
                                    <w:right w:val="none" w:sz="0" w:space="0" w:color="auto"/>
                                  </w:divBdr>
                                  <w:divsChild>
                                    <w:div w:id="15749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591728">
      <w:bodyDiv w:val="1"/>
      <w:marLeft w:val="0"/>
      <w:marRight w:val="0"/>
      <w:marTop w:val="0"/>
      <w:marBottom w:val="0"/>
      <w:divBdr>
        <w:top w:val="none" w:sz="0" w:space="0" w:color="auto"/>
        <w:left w:val="none" w:sz="0" w:space="0" w:color="auto"/>
        <w:bottom w:val="none" w:sz="0" w:space="0" w:color="auto"/>
        <w:right w:val="none" w:sz="0" w:space="0" w:color="auto"/>
      </w:divBdr>
    </w:div>
    <w:div w:id="366873515">
      <w:bodyDiv w:val="1"/>
      <w:marLeft w:val="0"/>
      <w:marRight w:val="0"/>
      <w:marTop w:val="0"/>
      <w:marBottom w:val="0"/>
      <w:divBdr>
        <w:top w:val="none" w:sz="0" w:space="0" w:color="auto"/>
        <w:left w:val="none" w:sz="0" w:space="0" w:color="auto"/>
        <w:bottom w:val="none" w:sz="0" w:space="0" w:color="auto"/>
        <w:right w:val="none" w:sz="0" w:space="0" w:color="auto"/>
      </w:divBdr>
    </w:div>
    <w:div w:id="385253068">
      <w:bodyDiv w:val="1"/>
      <w:marLeft w:val="0"/>
      <w:marRight w:val="0"/>
      <w:marTop w:val="0"/>
      <w:marBottom w:val="0"/>
      <w:divBdr>
        <w:top w:val="none" w:sz="0" w:space="0" w:color="auto"/>
        <w:left w:val="none" w:sz="0" w:space="0" w:color="auto"/>
        <w:bottom w:val="none" w:sz="0" w:space="0" w:color="auto"/>
        <w:right w:val="none" w:sz="0" w:space="0" w:color="auto"/>
      </w:divBdr>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869000">
      <w:bodyDiv w:val="1"/>
      <w:marLeft w:val="0"/>
      <w:marRight w:val="0"/>
      <w:marTop w:val="0"/>
      <w:marBottom w:val="0"/>
      <w:divBdr>
        <w:top w:val="none" w:sz="0" w:space="0" w:color="auto"/>
        <w:left w:val="none" w:sz="0" w:space="0" w:color="auto"/>
        <w:bottom w:val="none" w:sz="0" w:space="0" w:color="auto"/>
        <w:right w:val="none" w:sz="0" w:space="0" w:color="auto"/>
      </w:divBdr>
    </w:div>
    <w:div w:id="683899904">
      <w:bodyDiv w:val="1"/>
      <w:marLeft w:val="0"/>
      <w:marRight w:val="0"/>
      <w:marTop w:val="0"/>
      <w:marBottom w:val="0"/>
      <w:divBdr>
        <w:top w:val="none" w:sz="0" w:space="0" w:color="auto"/>
        <w:left w:val="none" w:sz="0" w:space="0" w:color="auto"/>
        <w:bottom w:val="none" w:sz="0" w:space="0" w:color="auto"/>
        <w:right w:val="none" w:sz="0" w:space="0" w:color="auto"/>
      </w:divBdr>
    </w:div>
    <w:div w:id="684139923">
      <w:bodyDiv w:val="1"/>
      <w:marLeft w:val="0"/>
      <w:marRight w:val="0"/>
      <w:marTop w:val="0"/>
      <w:marBottom w:val="0"/>
      <w:divBdr>
        <w:top w:val="none" w:sz="0" w:space="0" w:color="auto"/>
        <w:left w:val="none" w:sz="0" w:space="0" w:color="auto"/>
        <w:bottom w:val="none" w:sz="0" w:space="0" w:color="auto"/>
        <w:right w:val="none" w:sz="0" w:space="0" w:color="auto"/>
      </w:divBdr>
    </w:div>
    <w:div w:id="721445547">
      <w:bodyDiv w:val="1"/>
      <w:marLeft w:val="0"/>
      <w:marRight w:val="0"/>
      <w:marTop w:val="0"/>
      <w:marBottom w:val="0"/>
      <w:divBdr>
        <w:top w:val="none" w:sz="0" w:space="0" w:color="auto"/>
        <w:left w:val="none" w:sz="0" w:space="0" w:color="auto"/>
        <w:bottom w:val="none" w:sz="0" w:space="0" w:color="auto"/>
        <w:right w:val="none" w:sz="0" w:space="0" w:color="auto"/>
      </w:divBdr>
      <w:divsChild>
        <w:div w:id="463425516">
          <w:marLeft w:val="0"/>
          <w:marRight w:val="0"/>
          <w:marTop w:val="0"/>
          <w:marBottom w:val="0"/>
          <w:divBdr>
            <w:top w:val="none" w:sz="0" w:space="0" w:color="auto"/>
            <w:left w:val="none" w:sz="0" w:space="0" w:color="auto"/>
            <w:bottom w:val="none" w:sz="0" w:space="0" w:color="auto"/>
            <w:right w:val="none" w:sz="0" w:space="0" w:color="auto"/>
          </w:divBdr>
          <w:divsChild>
            <w:div w:id="1933315384">
              <w:marLeft w:val="0"/>
              <w:marRight w:val="0"/>
              <w:marTop w:val="0"/>
              <w:marBottom w:val="0"/>
              <w:divBdr>
                <w:top w:val="none" w:sz="0" w:space="0" w:color="auto"/>
                <w:left w:val="none" w:sz="0" w:space="0" w:color="auto"/>
                <w:bottom w:val="none" w:sz="0" w:space="0" w:color="auto"/>
                <w:right w:val="none" w:sz="0" w:space="0" w:color="auto"/>
              </w:divBdr>
              <w:divsChild>
                <w:div w:id="267349680">
                  <w:marLeft w:val="0"/>
                  <w:marRight w:val="0"/>
                  <w:marTop w:val="0"/>
                  <w:marBottom w:val="0"/>
                  <w:divBdr>
                    <w:top w:val="none" w:sz="0" w:space="0" w:color="auto"/>
                    <w:left w:val="none" w:sz="0" w:space="0" w:color="auto"/>
                    <w:bottom w:val="none" w:sz="0" w:space="0" w:color="auto"/>
                    <w:right w:val="none" w:sz="0" w:space="0" w:color="auto"/>
                  </w:divBdr>
                  <w:divsChild>
                    <w:div w:id="971518900">
                      <w:marLeft w:val="0"/>
                      <w:marRight w:val="0"/>
                      <w:marTop w:val="0"/>
                      <w:marBottom w:val="0"/>
                      <w:divBdr>
                        <w:top w:val="none" w:sz="0" w:space="0" w:color="auto"/>
                        <w:left w:val="none" w:sz="0" w:space="0" w:color="auto"/>
                        <w:bottom w:val="none" w:sz="0" w:space="0" w:color="auto"/>
                        <w:right w:val="none" w:sz="0" w:space="0" w:color="auto"/>
                      </w:divBdr>
                      <w:divsChild>
                        <w:div w:id="241523620">
                          <w:marLeft w:val="0"/>
                          <w:marRight w:val="0"/>
                          <w:marTop w:val="0"/>
                          <w:marBottom w:val="0"/>
                          <w:divBdr>
                            <w:top w:val="none" w:sz="0" w:space="0" w:color="auto"/>
                            <w:left w:val="none" w:sz="0" w:space="0" w:color="auto"/>
                            <w:bottom w:val="none" w:sz="0" w:space="0" w:color="auto"/>
                            <w:right w:val="none" w:sz="0" w:space="0" w:color="auto"/>
                          </w:divBdr>
                          <w:divsChild>
                            <w:div w:id="325282760">
                              <w:marLeft w:val="0"/>
                              <w:marRight w:val="0"/>
                              <w:marTop w:val="0"/>
                              <w:marBottom w:val="0"/>
                              <w:divBdr>
                                <w:top w:val="none" w:sz="0" w:space="0" w:color="auto"/>
                                <w:left w:val="none" w:sz="0" w:space="0" w:color="auto"/>
                                <w:bottom w:val="none" w:sz="0" w:space="0" w:color="auto"/>
                                <w:right w:val="none" w:sz="0" w:space="0" w:color="auto"/>
                              </w:divBdr>
                              <w:divsChild>
                                <w:div w:id="1520781161">
                                  <w:marLeft w:val="0"/>
                                  <w:marRight w:val="0"/>
                                  <w:marTop w:val="0"/>
                                  <w:marBottom w:val="0"/>
                                  <w:divBdr>
                                    <w:top w:val="none" w:sz="0" w:space="0" w:color="auto"/>
                                    <w:left w:val="none" w:sz="0" w:space="0" w:color="auto"/>
                                    <w:bottom w:val="none" w:sz="0" w:space="0" w:color="auto"/>
                                    <w:right w:val="none" w:sz="0" w:space="0" w:color="auto"/>
                                  </w:divBdr>
                                  <w:divsChild>
                                    <w:div w:id="2061516249">
                                      <w:marLeft w:val="0"/>
                                      <w:marRight w:val="0"/>
                                      <w:marTop w:val="0"/>
                                      <w:marBottom w:val="0"/>
                                      <w:divBdr>
                                        <w:top w:val="none" w:sz="0" w:space="0" w:color="auto"/>
                                        <w:left w:val="none" w:sz="0" w:space="0" w:color="auto"/>
                                        <w:bottom w:val="none" w:sz="0" w:space="0" w:color="auto"/>
                                        <w:right w:val="none" w:sz="0" w:space="0" w:color="auto"/>
                                      </w:divBdr>
                                      <w:divsChild>
                                        <w:div w:id="914361401">
                                          <w:marLeft w:val="0"/>
                                          <w:marRight w:val="0"/>
                                          <w:marTop w:val="0"/>
                                          <w:marBottom w:val="0"/>
                                          <w:divBdr>
                                            <w:top w:val="none" w:sz="0" w:space="0" w:color="auto"/>
                                            <w:left w:val="none" w:sz="0" w:space="0" w:color="auto"/>
                                            <w:bottom w:val="none" w:sz="0" w:space="0" w:color="auto"/>
                                            <w:right w:val="none" w:sz="0" w:space="0" w:color="auto"/>
                                          </w:divBdr>
                                          <w:divsChild>
                                            <w:div w:id="1287084833">
                                              <w:marLeft w:val="0"/>
                                              <w:marRight w:val="0"/>
                                              <w:marTop w:val="0"/>
                                              <w:marBottom w:val="0"/>
                                              <w:divBdr>
                                                <w:top w:val="none" w:sz="0" w:space="0" w:color="auto"/>
                                                <w:left w:val="none" w:sz="0" w:space="0" w:color="auto"/>
                                                <w:bottom w:val="none" w:sz="0" w:space="0" w:color="auto"/>
                                                <w:right w:val="none" w:sz="0" w:space="0" w:color="auto"/>
                                              </w:divBdr>
                                              <w:divsChild>
                                                <w:div w:id="1473790095">
                                                  <w:marLeft w:val="0"/>
                                                  <w:marRight w:val="0"/>
                                                  <w:marTop w:val="0"/>
                                                  <w:marBottom w:val="0"/>
                                                  <w:divBdr>
                                                    <w:top w:val="none" w:sz="0" w:space="0" w:color="auto"/>
                                                    <w:left w:val="none" w:sz="0" w:space="0" w:color="auto"/>
                                                    <w:bottom w:val="none" w:sz="0" w:space="0" w:color="auto"/>
                                                    <w:right w:val="none" w:sz="0" w:space="0" w:color="auto"/>
                                                  </w:divBdr>
                                                  <w:divsChild>
                                                    <w:div w:id="303588471">
                                                      <w:marLeft w:val="0"/>
                                                      <w:marRight w:val="0"/>
                                                      <w:marTop w:val="0"/>
                                                      <w:marBottom w:val="0"/>
                                                      <w:divBdr>
                                                        <w:top w:val="none" w:sz="0" w:space="0" w:color="auto"/>
                                                        <w:left w:val="none" w:sz="0" w:space="0" w:color="auto"/>
                                                        <w:bottom w:val="none" w:sz="0" w:space="0" w:color="auto"/>
                                                        <w:right w:val="none" w:sz="0" w:space="0" w:color="auto"/>
                                                      </w:divBdr>
                                                      <w:divsChild>
                                                        <w:div w:id="637536821">
                                                          <w:marLeft w:val="0"/>
                                                          <w:marRight w:val="0"/>
                                                          <w:marTop w:val="0"/>
                                                          <w:marBottom w:val="0"/>
                                                          <w:divBdr>
                                                            <w:top w:val="none" w:sz="0" w:space="0" w:color="auto"/>
                                                            <w:left w:val="none" w:sz="0" w:space="0" w:color="auto"/>
                                                            <w:bottom w:val="none" w:sz="0" w:space="0" w:color="auto"/>
                                                            <w:right w:val="none" w:sz="0" w:space="0" w:color="auto"/>
                                                          </w:divBdr>
                                                          <w:divsChild>
                                                            <w:div w:id="1594245612">
                                                              <w:marLeft w:val="0"/>
                                                              <w:marRight w:val="0"/>
                                                              <w:marTop w:val="0"/>
                                                              <w:marBottom w:val="0"/>
                                                              <w:divBdr>
                                                                <w:top w:val="none" w:sz="0" w:space="0" w:color="auto"/>
                                                                <w:left w:val="none" w:sz="0" w:space="0" w:color="auto"/>
                                                                <w:bottom w:val="none" w:sz="0" w:space="0" w:color="auto"/>
                                                                <w:right w:val="none" w:sz="0" w:space="0" w:color="auto"/>
                                                              </w:divBdr>
                                                              <w:divsChild>
                                                                <w:div w:id="8872556">
                                                                  <w:marLeft w:val="0"/>
                                                                  <w:marRight w:val="0"/>
                                                                  <w:marTop w:val="0"/>
                                                                  <w:marBottom w:val="0"/>
                                                                  <w:divBdr>
                                                                    <w:top w:val="none" w:sz="0" w:space="0" w:color="auto"/>
                                                                    <w:left w:val="none" w:sz="0" w:space="0" w:color="auto"/>
                                                                    <w:bottom w:val="none" w:sz="0" w:space="0" w:color="auto"/>
                                                                    <w:right w:val="none" w:sz="0" w:space="0" w:color="auto"/>
                                                                  </w:divBdr>
                                                                  <w:divsChild>
                                                                    <w:div w:id="879977005">
                                                                      <w:marLeft w:val="0"/>
                                                                      <w:marRight w:val="0"/>
                                                                      <w:marTop w:val="0"/>
                                                                      <w:marBottom w:val="0"/>
                                                                      <w:divBdr>
                                                                        <w:top w:val="none" w:sz="0" w:space="0" w:color="auto"/>
                                                                        <w:left w:val="none" w:sz="0" w:space="0" w:color="auto"/>
                                                                        <w:bottom w:val="none" w:sz="0" w:space="0" w:color="auto"/>
                                                                        <w:right w:val="none" w:sz="0" w:space="0" w:color="auto"/>
                                                                      </w:divBdr>
                                                                      <w:divsChild>
                                                                        <w:div w:id="179130295">
                                                                          <w:marLeft w:val="0"/>
                                                                          <w:marRight w:val="0"/>
                                                                          <w:marTop w:val="0"/>
                                                                          <w:marBottom w:val="0"/>
                                                                          <w:divBdr>
                                                                            <w:top w:val="none" w:sz="0" w:space="0" w:color="auto"/>
                                                                            <w:left w:val="none" w:sz="0" w:space="0" w:color="auto"/>
                                                                            <w:bottom w:val="none" w:sz="0" w:space="0" w:color="auto"/>
                                                                            <w:right w:val="none" w:sz="0" w:space="0" w:color="auto"/>
                                                                          </w:divBdr>
                                                                          <w:divsChild>
                                                                            <w:div w:id="1084646080">
                                                                              <w:marLeft w:val="0"/>
                                                                              <w:marRight w:val="0"/>
                                                                              <w:marTop w:val="0"/>
                                                                              <w:marBottom w:val="0"/>
                                                                              <w:divBdr>
                                                                                <w:top w:val="none" w:sz="0" w:space="0" w:color="auto"/>
                                                                                <w:left w:val="none" w:sz="0" w:space="0" w:color="auto"/>
                                                                                <w:bottom w:val="none" w:sz="0" w:space="0" w:color="auto"/>
                                                                                <w:right w:val="none" w:sz="0" w:space="0" w:color="auto"/>
                                                                              </w:divBdr>
                                                                              <w:divsChild>
                                                                                <w:div w:id="430128291">
                                                                                  <w:marLeft w:val="0"/>
                                                                                  <w:marRight w:val="0"/>
                                                                                  <w:marTop w:val="0"/>
                                                                                  <w:marBottom w:val="0"/>
                                                                                  <w:divBdr>
                                                                                    <w:top w:val="none" w:sz="0" w:space="0" w:color="auto"/>
                                                                                    <w:left w:val="none" w:sz="0" w:space="0" w:color="auto"/>
                                                                                    <w:bottom w:val="none" w:sz="0" w:space="0" w:color="auto"/>
                                                                                    <w:right w:val="none" w:sz="0" w:space="0" w:color="auto"/>
                                                                                  </w:divBdr>
                                                                                  <w:divsChild>
                                                                                    <w:div w:id="1761754193">
                                                                                      <w:marLeft w:val="0"/>
                                                                                      <w:marRight w:val="0"/>
                                                                                      <w:marTop w:val="0"/>
                                                                                      <w:marBottom w:val="0"/>
                                                                                      <w:divBdr>
                                                                                        <w:top w:val="none" w:sz="0" w:space="0" w:color="auto"/>
                                                                                        <w:left w:val="none" w:sz="0" w:space="0" w:color="auto"/>
                                                                                        <w:bottom w:val="none" w:sz="0" w:space="0" w:color="auto"/>
                                                                                        <w:right w:val="none" w:sz="0" w:space="0" w:color="auto"/>
                                                                                      </w:divBdr>
                                                                                      <w:divsChild>
                                                                                        <w:div w:id="656685593">
                                                                                          <w:marLeft w:val="0"/>
                                                                                          <w:marRight w:val="0"/>
                                                                                          <w:marTop w:val="0"/>
                                                                                          <w:marBottom w:val="0"/>
                                                                                          <w:divBdr>
                                                                                            <w:top w:val="none" w:sz="0" w:space="0" w:color="auto"/>
                                                                                            <w:left w:val="none" w:sz="0" w:space="0" w:color="auto"/>
                                                                                            <w:bottom w:val="none" w:sz="0" w:space="0" w:color="auto"/>
                                                                                            <w:right w:val="none" w:sz="0" w:space="0" w:color="auto"/>
                                                                                          </w:divBdr>
                                                                                          <w:divsChild>
                                                                                            <w:div w:id="424569758">
                                                                                              <w:marLeft w:val="0"/>
                                                                                              <w:marRight w:val="0"/>
                                                                                              <w:marTop w:val="0"/>
                                                                                              <w:marBottom w:val="0"/>
                                                                                              <w:divBdr>
                                                                                                <w:top w:val="none" w:sz="0" w:space="0" w:color="auto"/>
                                                                                                <w:left w:val="none" w:sz="0" w:space="0" w:color="auto"/>
                                                                                                <w:bottom w:val="none" w:sz="0" w:space="0" w:color="auto"/>
                                                                                                <w:right w:val="none" w:sz="0" w:space="0" w:color="auto"/>
                                                                                              </w:divBdr>
                                                                                              <w:divsChild>
                                                                                                <w:div w:id="17201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809228">
      <w:bodyDiv w:val="1"/>
      <w:marLeft w:val="0"/>
      <w:marRight w:val="0"/>
      <w:marTop w:val="0"/>
      <w:marBottom w:val="0"/>
      <w:divBdr>
        <w:top w:val="none" w:sz="0" w:space="0" w:color="auto"/>
        <w:left w:val="none" w:sz="0" w:space="0" w:color="auto"/>
        <w:bottom w:val="none" w:sz="0" w:space="0" w:color="auto"/>
        <w:right w:val="none" w:sz="0" w:space="0" w:color="auto"/>
      </w:divBdr>
      <w:divsChild>
        <w:div w:id="1111584197">
          <w:marLeft w:val="1800"/>
          <w:marRight w:val="0"/>
          <w:marTop w:val="100"/>
          <w:marBottom w:val="0"/>
          <w:divBdr>
            <w:top w:val="none" w:sz="0" w:space="0" w:color="auto"/>
            <w:left w:val="none" w:sz="0" w:space="0" w:color="auto"/>
            <w:bottom w:val="none" w:sz="0" w:space="0" w:color="auto"/>
            <w:right w:val="none" w:sz="0" w:space="0" w:color="auto"/>
          </w:divBdr>
        </w:div>
        <w:div w:id="341393493">
          <w:marLeft w:val="1800"/>
          <w:marRight w:val="0"/>
          <w:marTop w:val="100"/>
          <w:marBottom w:val="0"/>
          <w:divBdr>
            <w:top w:val="none" w:sz="0" w:space="0" w:color="auto"/>
            <w:left w:val="none" w:sz="0" w:space="0" w:color="auto"/>
            <w:bottom w:val="none" w:sz="0" w:space="0" w:color="auto"/>
            <w:right w:val="none" w:sz="0" w:space="0" w:color="auto"/>
          </w:divBdr>
        </w:div>
        <w:div w:id="887448043">
          <w:marLeft w:val="1800"/>
          <w:marRight w:val="0"/>
          <w:marTop w:val="100"/>
          <w:marBottom w:val="0"/>
          <w:divBdr>
            <w:top w:val="none" w:sz="0" w:space="0" w:color="auto"/>
            <w:left w:val="none" w:sz="0" w:space="0" w:color="auto"/>
            <w:bottom w:val="none" w:sz="0" w:space="0" w:color="auto"/>
            <w:right w:val="none" w:sz="0" w:space="0" w:color="auto"/>
          </w:divBdr>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577840">
      <w:bodyDiv w:val="1"/>
      <w:marLeft w:val="0"/>
      <w:marRight w:val="0"/>
      <w:marTop w:val="0"/>
      <w:marBottom w:val="0"/>
      <w:divBdr>
        <w:top w:val="none" w:sz="0" w:space="0" w:color="auto"/>
        <w:left w:val="none" w:sz="0" w:space="0" w:color="auto"/>
        <w:bottom w:val="none" w:sz="0" w:space="0" w:color="auto"/>
        <w:right w:val="none" w:sz="0" w:space="0" w:color="auto"/>
      </w:divBdr>
      <w:divsChild>
        <w:div w:id="1625622520">
          <w:marLeft w:val="0"/>
          <w:marRight w:val="0"/>
          <w:marTop w:val="0"/>
          <w:marBottom w:val="150"/>
          <w:divBdr>
            <w:top w:val="single" w:sz="12" w:space="0" w:color="FFFFFF"/>
            <w:left w:val="single" w:sz="12" w:space="0" w:color="FFFFFF"/>
            <w:bottom w:val="none" w:sz="0" w:space="0" w:color="auto"/>
            <w:right w:val="single" w:sz="12" w:space="0" w:color="FFFFFF"/>
          </w:divBdr>
          <w:divsChild>
            <w:div w:id="116947779">
              <w:marLeft w:val="0"/>
              <w:marRight w:val="0"/>
              <w:marTop w:val="0"/>
              <w:marBottom w:val="0"/>
              <w:divBdr>
                <w:top w:val="none" w:sz="0" w:space="0" w:color="auto"/>
                <w:left w:val="none" w:sz="0" w:space="0" w:color="auto"/>
                <w:bottom w:val="none" w:sz="0" w:space="0" w:color="auto"/>
                <w:right w:val="none" w:sz="0" w:space="0" w:color="auto"/>
              </w:divBdr>
              <w:divsChild>
                <w:div w:id="722677366">
                  <w:marLeft w:val="0"/>
                  <w:marRight w:val="0"/>
                  <w:marTop w:val="0"/>
                  <w:marBottom w:val="0"/>
                  <w:divBdr>
                    <w:top w:val="none" w:sz="0" w:space="0" w:color="auto"/>
                    <w:left w:val="none" w:sz="0" w:space="0" w:color="auto"/>
                    <w:bottom w:val="none" w:sz="0" w:space="0" w:color="auto"/>
                    <w:right w:val="none" w:sz="0" w:space="0" w:color="auto"/>
                  </w:divBdr>
                  <w:divsChild>
                    <w:div w:id="1395474251">
                      <w:marLeft w:val="0"/>
                      <w:marRight w:val="0"/>
                      <w:marTop w:val="0"/>
                      <w:marBottom w:val="375"/>
                      <w:divBdr>
                        <w:top w:val="none" w:sz="0" w:space="0" w:color="auto"/>
                        <w:left w:val="none" w:sz="0" w:space="0" w:color="auto"/>
                        <w:bottom w:val="none" w:sz="0" w:space="0" w:color="auto"/>
                        <w:right w:val="none" w:sz="0" w:space="0" w:color="auto"/>
                      </w:divBdr>
                      <w:divsChild>
                        <w:div w:id="1819493550">
                          <w:marLeft w:val="0"/>
                          <w:marRight w:val="0"/>
                          <w:marTop w:val="300"/>
                          <w:marBottom w:val="300"/>
                          <w:divBdr>
                            <w:top w:val="single" w:sz="6" w:space="15" w:color="E2E2E2"/>
                            <w:left w:val="none" w:sz="0" w:space="0" w:color="auto"/>
                            <w:bottom w:val="none" w:sz="0" w:space="0" w:color="auto"/>
                            <w:right w:val="none" w:sz="0" w:space="0" w:color="auto"/>
                          </w:divBdr>
                        </w:div>
                      </w:divsChild>
                    </w:div>
                  </w:divsChild>
                </w:div>
              </w:divsChild>
            </w:div>
          </w:divsChild>
        </w:div>
      </w:divsChild>
    </w:div>
    <w:div w:id="955604935">
      <w:bodyDiv w:val="1"/>
      <w:marLeft w:val="0"/>
      <w:marRight w:val="0"/>
      <w:marTop w:val="0"/>
      <w:marBottom w:val="0"/>
      <w:divBdr>
        <w:top w:val="none" w:sz="0" w:space="0" w:color="auto"/>
        <w:left w:val="none" w:sz="0" w:space="0" w:color="auto"/>
        <w:bottom w:val="none" w:sz="0" w:space="0" w:color="auto"/>
        <w:right w:val="none" w:sz="0" w:space="0" w:color="auto"/>
      </w:divBdr>
      <w:divsChild>
        <w:div w:id="1366254170">
          <w:marLeft w:val="0"/>
          <w:marRight w:val="0"/>
          <w:marTop w:val="0"/>
          <w:marBottom w:val="0"/>
          <w:divBdr>
            <w:top w:val="none" w:sz="0" w:space="0" w:color="auto"/>
            <w:left w:val="none" w:sz="0" w:space="0" w:color="auto"/>
            <w:bottom w:val="none" w:sz="0" w:space="0" w:color="auto"/>
            <w:right w:val="none" w:sz="0" w:space="0" w:color="auto"/>
          </w:divBdr>
          <w:divsChild>
            <w:div w:id="102382491">
              <w:marLeft w:val="0"/>
              <w:marRight w:val="0"/>
              <w:marTop w:val="0"/>
              <w:marBottom w:val="0"/>
              <w:divBdr>
                <w:top w:val="none" w:sz="0" w:space="0" w:color="auto"/>
                <w:left w:val="none" w:sz="0" w:space="0" w:color="auto"/>
                <w:bottom w:val="none" w:sz="0" w:space="0" w:color="auto"/>
                <w:right w:val="none" w:sz="0" w:space="0" w:color="auto"/>
              </w:divBdr>
              <w:divsChild>
                <w:div w:id="764961662">
                  <w:marLeft w:val="0"/>
                  <w:marRight w:val="0"/>
                  <w:marTop w:val="0"/>
                  <w:marBottom w:val="0"/>
                  <w:divBdr>
                    <w:top w:val="none" w:sz="0" w:space="0" w:color="auto"/>
                    <w:left w:val="none" w:sz="0" w:space="0" w:color="auto"/>
                    <w:bottom w:val="none" w:sz="0" w:space="0" w:color="auto"/>
                    <w:right w:val="none" w:sz="0" w:space="0" w:color="auto"/>
                  </w:divBdr>
                  <w:divsChild>
                    <w:div w:id="51391505">
                      <w:marLeft w:val="0"/>
                      <w:marRight w:val="0"/>
                      <w:marTop w:val="0"/>
                      <w:marBottom w:val="0"/>
                      <w:divBdr>
                        <w:top w:val="none" w:sz="0" w:space="0" w:color="auto"/>
                        <w:left w:val="none" w:sz="0" w:space="0" w:color="auto"/>
                        <w:bottom w:val="none" w:sz="0" w:space="0" w:color="auto"/>
                        <w:right w:val="none" w:sz="0" w:space="0" w:color="auto"/>
                      </w:divBdr>
                      <w:divsChild>
                        <w:div w:id="1193885534">
                          <w:marLeft w:val="0"/>
                          <w:marRight w:val="0"/>
                          <w:marTop w:val="0"/>
                          <w:marBottom w:val="0"/>
                          <w:divBdr>
                            <w:top w:val="none" w:sz="0" w:space="0" w:color="auto"/>
                            <w:left w:val="none" w:sz="0" w:space="0" w:color="auto"/>
                            <w:bottom w:val="none" w:sz="0" w:space="0" w:color="auto"/>
                            <w:right w:val="none" w:sz="0" w:space="0" w:color="auto"/>
                          </w:divBdr>
                          <w:divsChild>
                            <w:div w:id="9740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09017">
      <w:bodyDiv w:val="1"/>
      <w:marLeft w:val="0"/>
      <w:marRight w:val="0"/>
      <w:marTop w:val="0"/>
      <w:marBottom w:val="0"/>
      <w:divBdr>
        <w:top w:val="none" w:sz="0" w:space="0" w:color="auto"/>
        <w:left w:val="none" w:sz="0" w:space="0" w:color="auto"/>
        <w:bottom w:val="none" w:sz="0" w:space="0" w:color="auto"/>
        <w:right w:val="none" w:sz="0" w:space="0" w:color="auto"/>
      </w:divBdr>
      <w:divsChild>
        <w:div w:id="1543858862">
          <w:marLeft w:val="1080"/>
          <w:marRight w:val="0"/>
          <w:marTop w:val="100"/>
          <w:marBottom w:val="0"/>
          <w:divBdr>
            <w:top w:val="none" w:sz="0" w:space="0" w:color="auto"/>
            <w:left w:val="none" w:sz="0" w:space="0" w:color="auto"/>
            <w:bottom w:val="none" w:sz="0" w:space="0" w:color="auto"/>
            <w:right w:val="none" w:sz="0" w:space="0" w:color="auto"/>
          </w:divBdr>
        </w:div>
        <w:div w:id="1678269601">
          <w:marLeft w:val="1080"/>
          <w:marRight w:val="0"/>
          <w:marTop w:val="100"/>
          <w:marBottom w:val="0"/>
          <w:divBdr>
            <w:top w:val="none" w:sz="0" w:space="0" w:color="auto"/>
            <w:left w:val="none" w:sz="0" w:space="0" w:color="auto"/>
            <w:bottom w:val="none" w:sz="0" w:space="0" w:color="auto"/>
            <w:right w:val="none" w:sz="0" w:space="0" w:color="auto"/>
          </w:divBdr>
        </w:div>
        <w:div w:id="395589193">
          <w:marLeft w:val="1080"/>
          <w:marRight w:val="0"/>
          <w:marTop w:val="100"/>
          <w:marBottom w:val="0"/>
          <w:divBdr>
            <w:top w:val="none" w:sz="0" w:space="0" w:color="auto"/>
            <w:left w:val="none" w:sz="0" w:space="0" w:color="auto"/>
            <w:bottom w:val="none" w:sz="0" w:space="0" w:color="auto"/>
            <w:right w:val="none" w:sz="0" w:space="0" w:color="auto"/>
          </w:divBdr>
        </w:div>
        <w:div w:id="559168750">
          <w:marLeft w:val="1080"/>
          <w:marRight w:val="0"/>
          <w:marTop w:val="100"/>
          <w:marBottom w:val="0"/>
          <w:divBdr>
            <w:top w:val="none" w:sz="0" w:space="0" w:color="auto"/>
            <w:left w:val="none" w:sz="0" w:space="0" w:color="auto"/>
            <w:bottom w:val="none" w:sz="0" w:space="0" w:color="auto"/>
            <w:right w:val="none" w:sz="0" w:space="0" w:color="auto"/>
          </w:divBdr>
        </w:div>
        <w:div w:id="1895699095">
          <w:marLeft w:val="1080"/>
          <w:marRight w:val="0"/>
          <w:marTop w:val="100"/>
          <w:marBottom w:val="0"/>
          <w:divBdr>
            <w:top w:val="none" w:sz="0" w:space="0" w:color="auto"/>
            <w:left w:val="none" w:sz="0" w:space="0" w:color="auto"/>
            <w:bottom w:val="none" w:sz="0" w:space="0" w:color="auto"/>
            <w:right w:val="none" w:sz="0" w:space="0" w:color="auto"/>
          </w:divBdr>
        </w:div>
      </w:divsChild>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196045156">
      <w:bodyDiv w:val="1"/>
      <w:marLeft w:val="0"/>
      <w:marRight w:val="0"/>
      <w:marTop w:val="0"/>
      <w:marBottom w:val="0"/>
      <w:divBdr>
        <w:top w:val="none" w:sz="0" w:space="0" w:color="auto"/>
        <w:left w:val="none" w:sz="0" w:space="0" w:color="auto"/>
        <w:bottom w:val="none" w:sz="0" w:space="0" w:color="auto"/>
        <w:right w:val="none" w:sz="0" w:space="0" w:color="auto"/>
      </w:divBdr>
      <w:divsChild>
        <w:div w:id="614291978">
          <w:marLeft w:val="0"/>
          <w:marRight w:val="0"/>
          <w:marTop w:val="0"/>
          <w:marBottom w:val="0"/>
          <w:divBdr>
            <w:top w:val="single" w:sz="36" w:space="0" w:color="075290"/>
            <w:left w:val="none" w:sz="0" w:space="0" w:color="auto"/>
            <w:bottom w:val="none" w:sz="0" w:space="0" w:color="auto"/>
            <w:right w:val="none" w:sz="0" w:space="0" w:color="auto"/>
          </w:divBdr>
          <w:divsChild>
            <w:div w:id="1652444029">
              <w:marLeft w:val="0"/>
              <w:marRight w:val="0"/>
              <w:marTop w:val="0"/>
              <w:marBottom w:val="0"/>
              <w:divBdr>
                <w:top w:val="none" w:sz="0" w:space="0" w:color="auto"/>
                <w:left w:val="none" w:sz="0" w:space="0" w:color="auto"/>
                <w:bottom w:val="none" w:sz="0" w:space="0" w:color="auto"/>
                <w:right w:val="none" w:sz="0" w:space="0" w:color="auto"/>
              </w:divBdr>
              <w:divsChild>
                <w:div w:id="236014023">
                  <w:marLeft w:val="0"/>
                  <w:marRight w:val="0"/>
                  <w:marTop w:val="150"/>
                  <w:marBottom w:val="0"/>
                  <w:divBdr>
                    <w:top w:val="none" w:sz="0" w:space="0" w:color="auto"/>
                    <w:left w:val="none" w:sz="0" w:space="0" w:color="auto"/>
                    <w:bottom w:val="none" w:sz="0" w:space="0" w:color="auto"/>
                    <w:right w:val="none" w:sz="0" w:space="0" w:color="auto"/>
                  </w:divBdr>
                  <w:divsChild>
                    <w:div w:id="2045641088">
                      <w:marLeft w:val="-150"/>
                      <w:marRight w:val="0"/>
                      <w:marTop w:val="0"/>
                      <w:marBottom w:val="0"/>
                      <w:divBdr>
                        <w:top w:val="none" w:sz="0" w:space="0" w:color="auto"/>
                        <w:left w:val="none" w:sz="0" w:space="0" w:color="auto"/>
                        <w:bottom w:val="none" w:sz="0" w:space="0" w:color="auto"/>
                        <w:right w:val="none" w:sz="0" w:space="0" w:color="auto"/>
                      </w:divBdr>
                      <w:divsChild>
                        <w:div w:id="2032611051">
                          <w:marLeft w:val="0"/>
                          <w:marRight w:val="0"/>
                          <w:marTop w:val="0"/>
                          <w:marBottom w:val="0"/>
                          <w:divBdr>
                            <w:top w:val="none" w:sz="0" w:space="0" w:color="auto"/>
                            <w:left w:val="none" w:sz="0" w:space="0" w:color="auto"/>
                            <w:bottom w:val="none" w:sz="0" w:space="0" w:color="auto"/>
                            <w:right w:val="none" w:sz="0" w:space="0" w:color="auto"/>
                          </w:divBdr>
                          <w:divsChild>
                            <w:div w:id="46078083">
                              <w:marLeft w:val="0"/>
                              <w:marRight w:val="0"/>
                              <w:marTop w:val="0"/>
                              <w:marBottom w:val="0"/>
                              <w:divBdr>
                                <w:top w:val="none" w:sz="0" w:space="0" w:color="auto"/>
                                <w:left w:val="none" w:sz="0" w:space="0" w:color="auto"/>
                                <w:bottom w:val="none" w:sz="0" w:space="0" w:color="auto"/>
                                <w:right w:val="none" w:sz="0" w:space="0" w:color="auto"/>
                              </w:divBdr>
                              <w:divsChild>
                                <w:div w:id="1275673564">
                                  <w:marLeft w:val="0"/>
                                  <w:marRight w:val="0"/>
                                  <w:marTop w:val="0"/>
                                  <w:marBottom w:val="0"/>
                                  <w:divBdr>
                                    <w:top w:val="none" w:sz="0" w:space="0" w:color="auto"/>
                                    <w:left w:val="none" w:sz="0" w:space="0" w:color="auto"/>
                                    <w:bottom w:val="none" w:sz="0" w:space="0" w:color="auto"/>
                                    <w:right w:val="none" w:sz="0" w:space="0" w:color="auto"/>
                                  </w:divBdr>
                                  <w:divsChild>
                                    <w:div w:id="6980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043392">
      <w:bodyDiv w:val="1"/>
      <w:marLeft w:val="0"/>
      <w:marRight w:val="0"/>
      <w:marTop w:val="0"/>
      <w:marBottom w:val="0"/>
      <w:divBdr>
        <w:top w:val="none" w:sz="0" w:space="0" w:color="auto"/>
        <w:left w:val="none" w:sz="0" w:space="0" w:color="auto"/>
        <w:bottom w:val="none" w:sz="0" w:space="0" w:color="auto"/>
        <w:right w:val="none" w:sz="0" w:space="0" w:color="auto"/>
      </w:divBdr>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38312">
      <w:bodyDiv w:val="1"/>
      <w:marLeft w:val="0"/>
      <w:marRight w:val="0"/>
      <w:marTop w:val="0"/>
      <w:marBottom w:val="0"/>
      <w:divBdr>
        <w:top w:val="none" w:sz="0" w:space="0" w:color="auto"/>
        <w:left w:val="none" w:sz="0" w:space="0" w:color="auto"/>
        <w:bottom w:val="none" w:sz="0" w:space="0" w:color="auto"/>
        <w:right w:val="none" w:sz="0" w:space="0" w:color="auto"/>
      </w:divBdr>
    </w:div>
    <w:div w:id="1372922149">
      <w:bodyDiv w:val="1"/>
      <w:marLeft w:val="0"/>
      <w:marRight w:val="0"/>
      <w:marTop w:val="0"/>
      <w:marBottom w:val="0"/>
      <w:divBdr>
        <w:top w:val="none" w:sz="0" w:space="0" w:color="auto"/>
        <w:left w:val="none" w:sz="0" w:space="0" w:color="auto"/>
        <w:bottom w:val="none" w:sz="0" w:space="0" w:color="auto"/>
        <w:right w:val="none" w:sz="0" w:space="0" w:color="auto"/>
      </w:divBdr>
      <w:divsChild>
        <w:div w:id="1738630811">
          <w:marLeft w:val="360"/>
          <w:marRight w:val="0"/>
          <w:marTop w:val="115"/>
          <w:marBottom w:val="0"/>
          <w:divBdr>
            <w:top w:val="none" w:sz="0" w:space="0" w:color="auto"/>
            <w:left w:val="none" w:sz="0" w:space="0" w:color="auto"/>
            <w:bottom w:val="none" w:sz="0" w:space="0" w:color="auto"/>
            <w:right w:val="none" w:sz="0" w:space="0" w:color="auto"/>
          </w:divBdr>
        </w:div>
        <w:div w:id="420882898">
          <w:marLeft w:val="360"/>
          <w:marRight w:val="0"/>
          <w:marTop w:val="115"/>
          <w:marBottom w:val="0"/>
          <w:divBdr>
            <w:top w:val="none" w:sz="0" w:space="0" w:color="auto"/>
            <w:left w:val="none" w:sz="0" w:space="0" w:color="auto"/>
            <w:bottom w:val="none" w:sz="0" w:space="0" w:color="auto"/>
            <w:right w:val="none" w:sz="0" w:space="0" w:color="auto"/>
          </w:divBdr>
        </w:div>
        <w:div w:id="1235237597">
          <w:marLeft w:val="360"/>
          <w:marRight w:val="0"/>
          <w:marTop w:val="115"/>
          <w:marBottom w:val="0"/>
          <w:divBdr>
            <w:top w:val="none" w:sz="0" w:space="0" w:color="auto"/>
            <w:left w:val="none" w:sz="0" w:space="0" w:color="auto"/>
            <w:bottom w:val="none" w:sz="0" w:space="0" w:color="auto"/>
            <w:right w:val="none" w:sz="0" w:space="0" w:color="auto"/>
          </w:divBdr>
        </w:div>
      </w:divsChild>
    </w:div>
    <w:div w:id="1392147531">
      <w:bodyDiv w:val="1"/>
      <w:marLeft w:val="0"/>
      <w:marRight w:val="0"/>
      <w:marTop w:val="0"/>
      <w:marBottom w:val="0"/>
      <w:divBdr>
        <w:top w:val="none" w:sz="0" w:space="0" w:color="auto"/>
        <w:left w:val="none" w:sz="0" w:space="0" w:color="auto"/>
        <w:bottom w:val="none" w:sz="0" w:space="0" w:color="auto"/>
        <w:right w:val="none" w:sz="0" w:space="0" w:color="auto"/>
      </w:divBdr>
      <w:divsChild>
        <w:div w:id="1894848659">
          <w:marLeft w:val="1080"/>
          <w:marRight w:val="0"/>
          <w:marTop w:val="100"/>
          <w:marBottom w:val="0"/>
          <w:divBdr>
            <w:top w:val="none" w:sz="0" w:space="0" w:color="auto"/>
            <w:left w:val="none" w:sz="0" w:space="0" w:color="auto"/>
            <w:bottom w:val="none" w:sz="0" w:space="0" w:color="auto"/>
            <w:right w:val="none" w:sz="0" w:space="0" w:color="auto"/>
          </w:divBdr>
        </w:div>
        <w:div w:id="940185808">
          <w:marLeft w:val="1080"/>
          <w:marRight w:val="0"/>
          <w:marTop w:val="100"/>
          <w:marBottom w:val="0"/>
          <w:divBdr>
            <w:top w:val="none" w:sz="0" w:space="0" w:color="auto"/>
            <w:left w:val="none" w:sz="0" w:space="0" w:color="auto"/>
            <w:bottom w:val="none" w:sz="0" w:space="0" w:color="auto"/>
            <w:right w:val="none" w:sz="0" w:space="0" w:color="auto"/>
          </w:divBdr>
        </w:div>
        <w:div w:id="2078242215">
          <w:marLeft w:val="1080"/>
          <w:marRight w:val="0"/>
          <w:marTop w:val="100"/>
          <w:marBottom w:val="0"/>
          <w:divBdr>
            <w:top w:val="none" w:sz="0" w:space="0" w:color="auto"/>
            <w:left w:val="none" w:sz="0" w:space="0" w:color="auto"/>
            <w:bottom w:val="none" w:sz="0" w:space="0" w:color="auto"/>
            <w:right w:val="none" w:sz="0" w:space="0" w:color="auto"/>
          </w:divBdr>
        </w:div>
        <w:div w:id="34548161">
          <w:marLeft w:val="1080"/>
          <w:marRight w:val="0"/>
          <w:marTop w:val="100"/>
          <w:marBottom w:val="0"/>
          <w:divBdr>
            <w:top w:val="none" w:sz="0" w:space="0" w:color="auto"/>
            <w:left w:val="none" w:sz="0" w:space="0" w:color="auto"/>
            <w:bottom w:val="none" w:sz="0" w:space="0" w:color="auto"/>
            <w:right w:val="none" w:sz="0" w:space="0" w:color="auto"/>
          </w:divBdr>
        </w:div>
        <w:div w:id="751778402">
          <w:marLeft w:val="1080"/>
          <w:marRight w:val="0"/>
          <w:marTop w:val="100"/>
          <w:marBottom w:val="0"/>
          <w:divBdr>
            <w:top w:val="none" w:sz="0" w:space="0" w:color="auto"/>
            <w:left w:val="none" w:sz="0" w:space="0" w:color="auto"/>
            <w:bottom w:val="none" w:sz="0" w:space="0" w:color="auto"/>
            <w:right w:val="none" w:sz="0" w:space="0" w:color="auto"/>
          </w:divBdr>
        </w:div>
      </w:divsChild>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78899">
      <w:bodyDiv w:val="1"/>
      <w:marLeft w:val="0"/>
      <w:marRight w:val="0"/>
      <w:marTop w:val="0"/>
      <w:marBottom w:val="0"/>
      <w:divBdr>
        <w:top w:val="none" w:sz="0" w:space="0" w:color="auto"/>
        <w:left w:val="none" w:sz="0" w:space="0" w:color="auto"/>
        <w:bottom w:val="none" w:sz="0" w:space="0" w:color="auto"/>
        <w:right w:val="none" w:sz="0" w:space="0" w:color="auto"/>
      </w:divBdr>
      <w:divsChild>
        <w:div w:id="1977954833">
          <w:marLeft w:val="0"/>
          <w:marRight w:val="1"/>
          <w:marTop w:val="0"/>
          <w:marBottom w:val="0"/>
          <w:divBdr>
            <w:top w:val="none" w:sz="0" w:space="0" w:color="auto"/>
            <w:left w:val="none" w:sz="0" w:space="0" w:color="auto"/>
            <w:bottom w:val="none" w:sz="0" w:space="0" w:color="auto"/>
            <w:right w:val="none" w:sz="0" w:space="0" w:color="auto"/>
          </w:divBdr>
          <w:divsChild>
            <w:div w:id="993265180">
              <w:marLeft w:val="0"/>
              <w:marRight w:val="0"/>
              <w:marTop w:val="0"/>
              <w:marBottom w:val="0"/>
              <w:divBdr>
                <w:top w:val="none" w:sz="0" w:space="0" w:color="auto"/>
                <w:left w:val="none" w:sz="0" w:space="0" w:color="auto"/>
                <w:bottom w:val="none" w:sz="0" w:space="0" w:color="auto"/>
                <w:right w:val="none" w:sz="0" w:space="0" w:color="auto"/>
              </w:divBdr>
              <w:divsChild>
                <w:div w:id="1031536905">
                  <w:marLeft w:val="0"/>
                  <w:marRight w:val="1"/>
                  <w:marTop w:val="0"/>
                  <w:marBottom w:val="0"/>
                  <w:divBdr>
                    <w:top w:val="none" w:sz="0" w:space="0" w:color="auto"/>
                    <w:left w:val="none" w:sz="0" w:space="0" w:color="auto"/>
                    <w:bottom w:val="none" w:sz="0" w:space="0" w:color="auto"/>
                    <w:right w:val="none" w:sz="0" w:space="0" w:color="auto"/>
                  </w:divBdr>
                  <w:divsChild>
                    <w:div w:id="130245233">
                      <w:marLeft w:val="0"/>
                      <w:marRight w:val="0"/>
                      <w:marTop w:val="0"/>
                      <w:marBottom w:val="0"/>
                      <w:divBdr>
                        <w:top w:val="none" w:sz="0" w:space="0" w:color="auto"/>
                        <w:left w:val="none" w:sz="0" w:space="0" w:color="auto"/>
                        <w:bottom w:val="none" w:sz="0" w:space="0" w:color="auto"/>
                        <w:right w:val="none" w:sz="0" w:space="0" w:color="auto"/>
                      </w:divBdr>
                      <w:divsChild>
                        <w:div w:id="3165900">
                          <w:marLeft w:val="0"/>
                          <w:marRight w:val="0"/>
                          <w:marTop w:val="0"/>
                          <w:marBottom w:val="0"/>
                          <w:divBdr>
                            <w:top w:val="none" w:sz="0" w:space="0" w:color="auto"/>
                            <w:left w:val="none" w:sz="0" w:space="0" w:color="auto"/>
                            <w:bottom w:val="none" w:sz="0" w:space="0" w:color="auto"/>
                            <w:right w:val="none" w:sz="0" w:space="0" w:color="auto"/>
                          </w:divBdr>
                          <w:divsChild>
                            <w:div w:id="9085">
                              <w:marLeft w:val="0"/>
                              <w:marRight w:val="0"/>
                              <w:marTop w:val="120"/>
                              <w:marBottom w:val="360"/>
                              <w:divBdr>
                                <w:top w:val="none" w:sz="0" w:space="0" w:color="auto"/>
                                <w:left w:val="none" w:sz="0" w:space="0" w:color="auto"/>
                                <w:bottom w:val="none" w:sz="0" w:space="0" w:color="auto"/>
                                <w:right w:val="none" w:sz="0" w:space="0" w:color="auto"/>
                              </w:divBdr>
                              <w:divsChild>
                                <w:div w:id="35811616">
                                  <w:marLeft w:val="0"/>
                                  <w:marRight w:val="0"/>
                                  <w:marTop w:val="0"/>
                                  <w:marBottom w:val="0"/>
                                  <w:divBdr>
                                    <w:top w:val="none" w:sz="0" w:space="0" w:color="auto"/>
                                    <w:left w:val="none" w:sz="0" w:space="0" w:color="auto"/>
                                    <w:bottom w:val="none" w:sz="0" w:space="0" w:color="auto"/>
                                    <w:right w:val="none" w:sz="0" w:space="0" w:color="auto"/>
                                  </w:divBdr>
                                </w:div>
                                <w:div w:id="19409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459228">
      <w:bodyDiv w:val="1"/>
      <w:marLeft w:val="0"/>
      <w:marRight w:val="0"/>
      <w:marTop w:val="0"/>
      <w:marBottom w:val="0"/>
      <w:divBdr>
        <w:top w:val="none" w:sz="0" w:space="0" w:color="auto"/>
        <w:left w:val="none" w:sz="0" w:space="0" w:color="auto"/>
        <w:bottom w:val="none" w:sz="0" w:space="0" w:color="auto"/>
        <w:right w:val="none" w:sz="0" w:space="0" w:color="auto"/>
      </w:divBdr>
      <w:divsChild>
        <w:div w:id="831221236">
          <w:marLeft w:val="360"/>
          <w:marRight w:val="0"/>
          <w:marTop w:val="200"/>
          <w:marBottom w:val="0"/>
          <w:divBdr>
            <w:top w:val="none" w:sz="0" w:space="0" w:color="auto"/>
            <w:left w:val="none" w:sz="0" w:space="0" w:color="auto"/>
            <w:bottom w:val="none" w:sz="0" w:space="0" w:color="auto"/>
            <w:right w:val="none" w:sz="0" w:space="0" w:color="auto"/>
          </w:divBdr>
        </w:div>
        <w:div w:id="1313291697">
          <w:marLeft w:val="360"/>
          <w:marRight w:val="0"/>
          <w:marTop w:val="200"/>
          <w:marBottom w:val="0"/>
          <w:divBdr>
            <w:top w:val="none" w:sz="0" w:space="0" w:color="auto"/>
            <w:left w:val="none" w:sz="0" w:space="0" w:color="auto"/>
            <w:bottom w:val="none" w:sz="0" w:space="0" w:color="auto"/>
            <w:right w:val="none" w:sz="0" w:space="0" w:color="auto"/>
          </w:divBdr>
        </w:div>
        <w:div w:id="1083259412">
          <w:marLeft w:val="360"/>
          <w:marRight w:val="0"/>
          <w:marTop w:val="200"/>
          <w:marBottom w:val="0"/>
          <w:divBdr>
            <w:top w:val="none" w:sz="0" w:space="0" w:color="auto"/>
            <w:left w:val="none" w:sz="0" w:space="0" w:color="auto"/>
            <w:bottom w:val="none" w:sz="0" w:space="0" w:color="auto"/>
            <w:right w:val="none" w:sz="0" w:space="0" w:color="auto"/>
          </w:divBdr>
        </w:div>
        <w:div w:id="1260874165">
          <w:marLeft w:val="360"/>
          <w:marRight w:val="0"/>
          <w:marTop w:val="200"/>
          <w:marBottom w:val="0"/>
          <w:divBdr>
            <w:top w:val="none" w:sz="0" w:space="0" w:color="auto"/>
            <w:left w:val="none" w:sz="0" w:space="0" w:color="auto"/>
            <w:bottom w:val="none" w:sz="0" w:space="0" w:color="auto"/>
            <w:right w:val="none" w:sz="0" w:space="0" w:color="auto"/>
          </w:divBdr>
        </w:div>
        <w:div w:id="328295424">
          <w:marLeft w:val="360"/>
          <w:marRight w:val="0"/>
          <w:marTop w:val="200"/>
          <w:marBottom w:val="0"/>
          <w:divBdr>
            <w:top w:val="none" w:sz="0" w:space="0" w:color="auto"/>
            <w:left w:val="none" w:sz="0" w:space="0" w:color="auto"/>
            <w:bottom w:val="none" w:sz="0" w:space="0" w:color="auto"/>
            <w:right w:val="none" w:sz="0" w:space="0" w:color="auto"/>
          </w:divBdr>
        </w:div>
        <w:div w:id="287198933">
          <w:marLeft w:val="360"/>
          <w:marRight w:val="0"/>
          <w:marTop w:val="200"/>
          <w:marBottom w:val="0"/>
          <w:divBdr>
            <w:top w:val="none" w:sz="0" w:space="0" w:color="auto"/>
            <w:left w:val="none" w:sz="0" w:space="0" w:color="auto"/>
            <w:bottom w:val="none" w:sz="0" w:space="0" w:color="auto"/>
            <w:right w:val="none" w:sz="0" w:space="0" w:color="auto"/>
          </w:divBdr>
        </w:div>
      </w:divsChild>
    </w:div>
    <w:div w:id="1652247172">
      <w:bodyDiv w:val="1"/>
      <w:marLeft w:val="0"/>
      <w:marRight w:val="0"/>
      <w:marTop w:val="0"/>
      <w:marBottom w:val="0"/>
      <w:divBdr>
        <w:top w:val="none" w:sz="0" w:space="0" w:color="auto"/>
        <w:left w:val="none" w:sz="0" w:space="0" w:color="auto"/>
        <w:bottom w:val="none" w:sz="0" w:space="0" w:color="auto"/>
        <w:right w:val="none" w:sz="0" w:space="0" w:color="auto"/>
      </w:divBdr>
      <w:divsChild>
        <w:div w:id="69885736">
          <w:marLeft w:val="360"/>
          <w:marRight w:val="0"/>
          <w:marTop w:val="200"/>
          <w:marBottom w:val="0"/>
          <w:divBdr>
            <w:top w:val="none" w:sz="0" w:space="0" w:color="auto"/>
            <w:left w:val="none" w:sz="0" w:space="0" w:color="auto"/>
            <w:bottom w:val="none" w:sz="0" w:space="0" w:color="auto"/>
            <w:right w:val="none" w:sz="0" w:space="0" w:color="auto"/>
          </w:divBdr>
        </w:div>
        <w:div w:id="1578513503">
          <w:marLeft w:val="1080"/>
          <w:marRight w:val="0"/>
          <w:marTop w:val="100"/>
          <w:marBottom w:val="0"/>
          <w:divBdr>
            <w:top w:val="none" w:sz="0" w:space="0" w:color="auto"/>
            <w:left w:val="none" w:sz="0" w:space="0" w:color="auto"/>
            <w:bottom w:val="none" w:sz="0" w:space="0" w:color="auto"/>
            <w:right w:val="none" w:sz="0" w:space="0" w:color="auto"/>
          </w:divBdr>
        </w:div>
        <w:div w:id="303850093">
          <w:marLeft w:val="1800"/>
          <w:marRight w:val="0"/>
          <w:marTop w:val="100"/>
          <w:marBottom w:val="0"/>
          <w:divBdr>
            <w:top w:val="none" w:sz="0" w:space="0" w:color="auto"/>
            <w:left w:val="none" w:sz="0" w:space="0" w:color="auto"/>
            <w:bottom w:val="none" w:sz="0" w:space="0" w:color="auto"/>
            <w:right w:val="none" w:sz="0" w:space="0" w:color="auto"/>
          </w:divBdr>
        </w:div>
        <w:div w:id="1875926247">
          <w:marLeft w:val="1800"/>
          <w:marRight w:val="0"/>
          <w:marTop w:val="100"/>
          <w:marBottom w:val="0"/>
          <w:divBdr>
            <w:top w:val="none" w:sz="0" w:space="0" w:color="auto"/>
            <w:left w:val="none" w:sz="0" w:space="0" w:color="auto"/>
            <w:bottom w:val="none" w:sz="0" w:space="0" w:color="auto"/>
            <w:right w:val="none" w:sz="0" w:space="0" w:color="auto"/>
          </w:divBdr>
        </w:div>
        <w:div w:id="2111774554">
          <w:marLeft w:val="1800"/>
          <w:marRight w:val="0"/>
          <w:marTop w:val="100"/>
          <w:marBottom w:val="0"/>
          <w:divBdr>
            <w:top w:val="none" w:sz="0" w:space="0" w:color="auto"/>
            <w:left w:val="none" w:sz="0" w:space="0" w:color="auto"/>
            <w:bottom w:val="none" w:sz="0" w:space="0" w:color="auto"/>
            <w:right w:val="none" w:sz="0" w:space="0" w:color="auto"/>
          </w:divBdr>
        </w:div>
      </w:divsChild>
    </w:div>
    <w:div w:id="1668940998">
      <w:bodyDiv w:val="1"/>
      <w:marLeft w:val="0"/>
      <w:marRight w:val="0"/>
      <w:marTop w:val="0"/>
      <w:marBottom w:val="0"/>
      <w:divBdr>
        <w:top w:val="none" w:sz="0" w:space="0" w:color="auto"/>
        <w:left w:val="none" w:sz="0" w:space="0" w:color="auto"/>
        <w:bottom w:val="none" w:sz="0" w:space="0" w:color="auto"/>
        <w:right w:val="none" w:sz="0" w:space="0" w:color="auto"/>
      </w:divBdr>
    </w:div>
    <w:div w:id="1695616891">
      <w:bodyDiv w:val="1"/>
      <w:marLeft w:val="0"/>
      <w:marRight w:val="0"/>
      <w:marTop w:val="0"/>
      <w:marBottom w:val="0"/>
      <w:divBdr>
        <w:top w:val="none" w:sz="0" w:space="0" w:color="auto"/>
        <w:left w:val="none" w:sz="0" w:space="0" w:color="auto"/>
        <w:bottom w:val="none" w:sz="0" w:space="0" w:color="auto"/>
        <w:right w:val="none" w:sz="0" w:space="0" w:color="auto"/>
      </w:divBdr>
    </w:div>
    <w:div w:id="1857115031">
      <w:bodyDiv w:val="1"/>
      <w:marLeft w:val="0"/>
      <w:marRight w:val="0"/>
      <w:marTop w:val="0"/>
      <w:marBottom w:val="0"/>
      <w:divBdr>
        <w:top w:val="none" w:sz="0" w:space="0" w:color="auto"/>
        <w:left w:val="none" w:sz="0" w:space="0" w:color="auto"/>
        <w:bottom w:val="none" w:sz="0" w:space="0" w:color="auto"/>
        <w:right w:val="none" w:sz="0" w:space="0" w:color="auto"/>
      </w:divBdr>
      <w:divsChild>
        <w:div w:id="1861550253">
          <w:marLeft w:val="0"/>
          <w:marRight w:val="0"/>
          <w:marTop w:val="0"/>
          <w:marBottom w:val="0"/>
          <w:divBdr>
            <w:top w:val="single" w:sz="36" w:space="0" w:color="075290"/>
            <w:left w:val="none" w:sz="0" w:space="0" w:color="auto"/>
            <w:bottom w:val="none" w:sz="0" w:space="0" w:color="auto"/>
            <w:right w:val="none" w:sz="0" w:space="0" w:color="auto"/>
          </w:divBdr>
          <w:divsChild>
            <w:div w:id="1493832882">
              <w:marLeft w:val="0"/>
              <w:marRight w:val="0"/>
              <w:marTop w:val="0"/>
              <w:marBottom w:val="0"/>
              <w:divBdr>
                <w:top w:val="none" w:sz="0" w:space="0" w:color="auto"/>
                <w:left w:val="none" w:sz="0" w:space="0" w:color="auto"/>
                <w:bottom w:val="none" w:sz="0" w:space="0" w:color="auto"/>
                <w:right w:val="none" w:sz="0" w:space="0" w:color="auto"/>
              </w:divBdr>
              <w:divsChild>
                <w:div w:id="1775830609">
                  <w:marLeft w:val="0"/>
                  <w:marRight w:val="0"/>
                  <w:marTop w:val="150"/>
                  <w:marBottom w:val="0"/>
                  <w:divBdr>
                    <w:top w:val="none" w:sz="0" w:space="0" w:color="auto"/>
                    <w:left w:val="none" w:sz="0" w:space="0" w:color="auto"/>
                    <w:bottom w:val="none" w:sz="0" w:space="0" w:color="auto"/>
                    <w:right w:val="none" w:sz="0" w:space="0" w:color="auto"/>
                  </w:divBdr>
                  <w:divsChild>
                    <w:div w:id="645663294">
                      <w:marLeft w:val="-150"/>
                      <w:marRight w:val="0"/>
                      <w:marTop w:val="0"/>
                      <w:marBottom w:val="0"/>
                      <w:divBdr>
                        <w:top w:val="none" w:sz="0" w:space="0" w:color="auto"/>
                        <w:left w:val="none" w:sz="0" w:space="0" w:color="auto"/>
                        <w:bottom w:val="none" w:sz="0" w:space="0" w:color="auto"/>
                        <w:right w:val="none" w:sz="0" w:space="0" w:color="auto"/>
                      </w:divBdr>
                      <w:divsChild>
                        <w:div w:id="2026788971">
                          <w:marLeft w:val="0"/>
                          <w:marRight w:val="0"/>
                          <w:marTop w:val="0"/>
                          <w:marBottom w:val="0"/>
                          <w:divBdr>
                            <w:top w:val="none" w:sz="0" w:space="0" w:color="auto"/>
                            <w:left w:val="none" w:sz="0" w:space="0" w:color="auto"/>
                            <w:bottom w:val="none" w:sz="0" w:space="0" w:color="auto"/>
                            <w:right w:val="none" w:sz="0" w:space="0" w:color="auto"/>
                          </w:divBdr>
                          <w:divsChild>
                            <w:div w:id="1008869591">
                              <w:marLeft w:val="0"/>
                              <w:marRight w:val="0"/>
                              <w:marTop w:val="0"/>
                              <w:marBottom w:val="0"/>
                              <w:divBdr>
                                <w:top w:val="none" w:sz="0" w:space="0" w:color="auto"/>
                                <w:left w:val="none" w:sz="0" w:space="0" w:color="auto"/>
                                <w:bottom w:val="none" w:sz="0" w:space="0" w:color="auto"/>
                                <w:right w:val="none" w:sz="0" w:space="0" w:color="auto"/>
                              </w:divBdr>
                              <w:divsChild>
                                <w:div w:id="2084797547">
                                  <w:marLeft w:val="0"/>
                                  <w:marRight w:val="0"/>
                                  <w:marTop w:val="0"/>
                                  <w:marBottom w:val="0"/>
                                  <w:divBdr>
                                    <w:top w:val="none" w:sz="0" w:space="0" w:color="auto"/>
                                    <w:left w:val="none" w:sz="0" w:space="0" w:color="auto"/>
                                    <w:bottom w:val="none" w:sz="0" w:space="0" w:color="auto"/>
                                    <w:right w:val="none" w:sz="0" w:space="0" w:color="auto"/>
                                  </w:divBdr>
                                  <w:divsChild>
                                    <w:div w:id="10984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340212">
      <w:bodyDiv w:val="1"/>
      <w:marLeft w:val="0"/>
      <w:marRight w:val="0"/>
      <w:marTop w:val="0"/>
      <w:marBottom w:val="0"/>
      <w:divBdr>
        <w:top w:val="none" w:sz="0" w:space="0" w:color="auto"/>
        <w:left w:val="none" w:sz="0" w:space="0" w:color="auto"/>
        <w:bottom w:val="none" w:sz="0" w:space="0" w:color="auto"/>
        <w:right w:val="none" w:sz="0" w:space="0" w:color="auto"/>
      </w:divBdr>
      <w:divsChild>
        <w:div w:id="1170145676">
          <w:marLeft w:val="1080"/>
          <w:marRight w:val="0"/>
          <w:marTop w:val="100"/>
          <w:marBottom w:val="0"/>
          <w:divBdr>
            <w:top w:val="none" w:sz="0" w:space="0" w:color="auto"/>
            <w:left w:val="none" w:sz="0" w:space="0" w:color="auto"/>
            <w:bottom w:val="none" w:sz="0" w:space="0" w:color="auto"/>
            <w:right w:val="none" w:sz="0" w:space="0" w:color="auto"/>
          </w:divBdr>
        </w:div>
        <w:div w:id="568349050">
          <w:marLeft w:val="1080"/>
          <w:marRight w:val="0"/>
          <w:marTop w:val="100"/>
          <w:marBottom w:val="0"/>
          <w:divBdr>
            <w:top w:val="none" w:sz="0" w:space="0" w:color="auto"/>
            <w:left w:val="none" w:sz="0" w:space="0" w:color="auto"/>
            <w:bottom w:val="none" w:sz="0" w:space="0" w:color="auto"/>
            <w:right w:val="none" w:sz="0" w:space="0" w:color="auto"/>
          </w:divBdr>
        </w:div>
        <w:div w:id="1643079614">
          <w:marLeft w:val="1080"/>
          <w:marRight w:val="0"/>
          <w:marTop w:val="100"/>
          <w:marBottom w:val="0"/>
          <w:divBdr>
            <w:top w:val="none" w:sz="0" w:space="0" w:color="auto"/>
            <w:left w:val="none" w:sz="0" w:space="0" w:color="auto"/>
            <w:bottom w:val="none" w:sz="0" w:space="0" w:color="auto"/>
            <w:right w:val="none" w:sz="0" w:space="0" w:color="auto"/>
          </w:divBdr>
        </w:div>
        <w:div w:id="272594135">
          <w:marLeft w:val="1080"/>
          <w:marRight w:val="0"/>
          <w:marTop w:val="100"/>
          <w:marBottom w:val="0"/>
          <w:divBdr>
            <w:top w:val="none" w:sz="0" w:space="0" w:color="auto"/>
            <w:left w:val="none" w:sz="0" w:space="0" w:color="auto"/>
            <w:bottom w:val="none" w:sz="0" w:space="0" w:color="auto"/>
            <w:right w:val="none" w:sz="0" w:space="0" w:color="auto"/>
          </w:divBdr>
        </w:div>
        <w:div w:id="2046366333">
          <w:marLeft w:val="1080"/>
          <w:marRight w:val="0"/>
          <w:marTop w:val="100"/>
          <w:marBottom w:val="0"/>
          <w:divBdr>
            <w:top w:val="none" w:sz="0" w:space="0" w:color="auto"/>
            <w:left w:val="none" w:sz="0" w:space="0" w:color="auto"/>
            <w:bottom w:val="none" w:sz="0" w:space="0" w:color="auto"/>
            <w:right w:val="none" w:sz="0" w:space="0" w:color="auto"/>
          </w:divBdr>
        </w:div>
        <w:div w:id="2043045371">
          <w:marLeft w:val="1080"/>
          <w:marRight w:val="0"/>
          <w:marTop w:val="100"/>
          <w:marBottom w:val="0"/>
          <w:divBdr>
            <w:top w:val="none" w:sz="0" w:space="0" w:color="auto"/>
            <w:left w:val="none" w:sz="0" w:space="0" w:color="auto"/>
            <w:bottom w:val="none" w:sz="0" w:space="0" w:color="auto"/>
            <w:right w:val="none" w:sz="0" w:space="0" w:color="auto"/>
          </w:divBdr>
        </w:div>
        <w:div w:id="393552304">
          <w:marLeft w:val="1080"/>
          <w:marRight w:val="0"/>
          <w:marTop w:val="100"/>
          <w:marBottom w:val="0"/>
          <w:divBdr>
            <w:top w:val="none" w:sz="0" w:space="0" w:color="auto"/>
            <w:left w:val="none" w:sz="0" w:space="0" w:color="auto"/>
            <w:bottom w:val="none" w:sz="0" w:space="0" w:color="auto"/>
            <w:right w:val="none" w:sz="0" w:space="0" w:color="auto"/>
          </w:divBdr>
        </w:div>
      </w:divsChild>
    </w:div>
    <w:div w:id="1900239131">
      <w:bodyDiv w:val="1"/>
      <w:marLeft w:val="0"/>
      <w:marRight w:val="0"/>
      <w:marTop w:val="0"/>
      <w:marBottom w:val="0"/>
      <w:divBdr>
        <w:top w:val="none" w:sz="0" w:space="0" w:color="auto"/>
        <w:left w:val="none" w:sz="0" w:space="0" w:color="auto"/>
        <w:bottom w:val="none" w:sz="0" w:space="0" w:color="auto"/>
        <w:right w:val="none" w:sz="0" w:space="0" w:color="auto"/>
      </w:divBdr>
      <w:divsChild>
        <w:div w:id="204562483">
          <w:marLeft w:val="1080"/>
          <w:marRight w:val="0"/>
          <w:marTop w:val="100"/>
          <w:marBottom w:val="0"/>
          <w:divBdr>
            <w:top w:val="none" w:sz="0" w:space="0" w:color="auto"/>
            <w:left w:val="none" w:sz="0" w:space="0" w:color="auto"/>
            <w:bottom w:val="none" w:sz="0" w:space="0" w:color="auto"/>
            <w:right w:val="none" w:sz="0" w:space="0" w:color="auto"/>
          </w:divBdr>
        </w:div>
        <w:div w:id="1501458468">
          <w:marLeft w:val="1080"/>
          <w:marRight w:val="0"/>
          <w:marTop w:val="100"/>
          <w:marBottom w:val="0"/>
          <w:divBdr>
            <w:top w:val="none" w:sz="0" w:space="0" w:color="auto"/>
            <w:left w:val="none" w:sz="0" w:space="0" w:color="auto"/>
            <w:bottom w:val="none" w:sz="0" w:space="0" w:color="auto"/>
            <w:right w:val="none" w:sz="0" w:space="0" w:color="auto"/>
          </w:divBdr>
        </w:div>
        <w:div w:id="824587684">
          <w:marLeft w:val="1080"/>
          <w:marRight w:val="0"/>
          <w:marTop w:val="100"/>
          <w:marBottom w:val="0"/>
          <w:divBdr>
            <w:top w:val="none" w:sz="0" w:space="0" w:color="auto"/>
            <w:left w:val="none" w:sz="0" w:space="0" w:color="auto"/>
            <w:bottom w:val="none" w:sz="0" w:space="0" w:color="auto"/>
            <w:right w:val="none" w:sz="0" w:space="0" w:color="auto"/>
          </w:divBdr>
        </w:div>
        <w:div w:id="886988986">
          <w:marLeft w:val="1080"/>
          <w:marRight w:val="0"/>
          <w:marTop w:val="100"/>
          <w:marBottom w:val="0"/>
          <w:divBdr>
            <w:top w:val="none" w:sz="0" w:space="0" w:color="auto"/>
            <w:left w:val="none" w:sz="0" w:space="0" w:color="auto"/>
            <w:bottom w:val="none" w:sz="0" w:space="0" w:color="auto"/>
            <w:right w:val="none" w:sz="0" w:space="0" w:color="auto"/>
          </w:divBdr>
        </w:div>
        <w:div w:id="1618753714">
          <w:marLeft w:val="1080"/>
          <w:marRight w:val="0"/>
          <w:marTop w:val="100"/>
          <w:marBottom w:val="0"/>
          <w:divBdr>
            <w:top w:val="none" w:sz="0" w:space="0" w:color="auto"/>
            <w:left w:val="none" w:sz="0" w:space="0" w:color="auto"/>
            <w:bottom w:val="none" w:sz="0" w:space="0" w:color="auto"/>
            <w:right w:val="none" w:sz="0" w:space="0" w:color="auto"/>
          </w:divBdr>
        </w:div>
        <w:div w:id="2136756042">
          <w:marLeft w:val="1080"/>
          <w:marRight w:val="0"/>
          <w:marTop w:val="100"/>
          <w:marBottom w:val="0"/>
          <w:divBdr>
            <w:top w:val="none" w:sz="0" w:space="0" w:color="auto"/>
            <w:left w:val="none" w:sz="0" w:space="0" w:color="auto"/>
            <w:bottom w:val="none" w:sz="0" w:space="0" w:color="auto"/>
            <w:right w:val="none" w:sz="0" w:space="0" w:color="auto"/>
          </w:divBdr>
        </w:div>
      </w:divsChild>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736356">
      <w:bodyDiv w:val="1"/>
      <w:marLeft w:val="0"/>
      <w:marRight w:val="0"/>
      <w:marTop w:val="0"/>
      <w:marBottom w:val="0"/>
      <w:divBdr>
        <w:top w:val="none" w:sz="0" w:space="0" w:color="auto"/>
        <w:left w:val="none" w:sz="0" w:space="0" w:color="auto"/>
        <w:bottom w:val="none" w:sz="0" w:space="0" w:color="auto"/>
        <w:right w:val="none" w:sz="0" w:space="0" w:color="auto"/>
      </w:divBdr>
      <w:divsChild>
        <w:div w:id="615796404">
          <w:marLeft w:val="0"/>
          <w:marRight w:val="0"/>
          <w:marTop w:val="0"/>
          <w:marBottom w:val="0"/>
          <w:divBdr>
            <w:top w:val="single" w:sz="36" w:space="0" w:color="075290"/>
            <w:left w:val="none" w:sz="0" w:space="0" w:color="auto"/>
            <w:bottom w:val="none" w:sz="0" w:space="0" w:color="auto"/>
            <w:right w:val="none" w:sz="0" w:space="0" w:color="auto"/>
          </w:divBdr>
          <w:divsChild>
            <w:div w:id="888805632">
              <w:marLeft w:val="0"/>
              <w:marRight w:val="0"/>
              <w:marTop w:val="0"/>
              <w:marBottom w:val="0"/>
              <w:divBdr>
                <w:top w:val="none" w:sz="0" w:space="0" w:color="auto"/>
                <w:left w:val="none" w:sz="0" w:space="0" w:color="auto"/>
                <w:bottom w:val="none" w:sz="0" w:space="0" w:color="auto"/>
                <w:right w:val="none" w:sz="0" w:space="0" w:color="auto"/>
              </w:divBdr>
              <w:divsChild>
                <w:div w:id="495657023">
                  <w:marLeft w:val="0"/>
                  <w:marRight w:val="0"/>
                  <w:marTop w:val="150"/>
                  <w:marBottom w:val="0"/>
                  <w:divBdr>
                    <w:top w:val="none" w:sz="0" w:space="0" w:color="auto"/>
                    <w:left w:val="none" w:sz="0" w:space="0" w:color="auto"/>
                    <w:bottom w:val="none" w:sz="0" w:space="0" w:color="auto"/>
                    <w:right w:val="none" w:sz="0" w:space="0" w:color="auto"/>
                  </w:divBdr>
                  <w:divsChild>
                    <w:div w:id="1949267053">
                      <w:marLeft w:val="0"/>
                      <w:marRight w:val="0"/>
                      <w:marTop w:val="450"/>
                      <w:marBottom w:val="0"/>
                      <w:divBdr>
                        <w:top w:val="single" w:sz="6" w:space="0" w:color="E5E5E5"/>
                        <w:left w:val="none" w:sz="0" w:space="0" w:color="auto"/>
                        <w:bottom w:val="none" w:sz="0" w:space="0" w:color="auto"/>
                        <w:right w:val="none" w:sz="0" w:space="0" w:color="auto"/>
                      </w:divBdr>
                      <w:divsChild>
                        <w:div w:id="525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945337">
      <w:bodyDiv w:val="1"/>
      <w:marLeft w:val="0"/>
      <w:marRight w:val="0"/>
      <w:marTop w:val="0"/>
      <w:marBottom w:val="0"/>
      <w:divBdr>
        <w:top w:val="none" w:sz="0" w:space="0" w:color="auto"/>
        <w:left w:val="none" w:sz="0" w:space="0" w:color="auto"/>
        <w:bottom w:val="none" w:sz="0" w:space="0" w:color="auto"/>
        <w:right w:val="none" w:sz="0" w:space="0" w:color="auto"/>
      </w:divBdr>
    </w:div>
    <w:div w:id="2001228635">
      <w:bodyDiv w:val="1"/>
      <w:marLeft w:val="0"/>
      <w:marRight w:val="0"/>
      <w:marTop w:val="0"/>
      <w:marBottom w:val="0"/>
      <w:divBdr>
        <w:top w:val="none" w:sz="0" w:space="0" w:color="auto"/>
        <w:left w:val="none" w:sz="0" w:space="0" w:color="auto"/>
        <w:bottom w:val="none" w:sz="0" w:space="0" w:color="auto"/>
        <w:right w:val="none" w:sz="0" w:space="0" w:color="auto"/>
      </w:divBdr>
    </w:div>
    <w:div w:id="2081555128">
      <w:bodyDiv w:val="1"/>
      <w:marLeft w:val="0"/>
      <w:marRight w:val="0"/>
      <w:marTop w:val="0"/>
      <w:marBottom w:val="0"/>
      <w:divBdr>
        <w:top w:val="none" w:sz="0" w:space="0" w:color="auto"/>
        <w:left w:val="none" w:sz="0" w:space="0" w:color="auto"/>
        <w:bottom w:val="none" w:sz="0" w:space="0" w:color="auto"/>
        <w:right w:val="none" w:sz="0" w:space="0" w:color="auto"/>
      </w:divBdr>
      <w:divsChild>
        <w:div w:id="2106413799">
          <w:marLeft w:val="0"/>
          <w:marRight w:val="1"/>
          <w:marTop w:val="0"/>
          <w:marBottom w:val="0"/>
          <w:divBdr>
            <w:top w:val="none" w:sz="0" w:space="0" w:color="auto"/>
            <w:left w:val="none" w:sz="0" w:space="0" w:color="auto"/>
            <w:bottom w:val="none" w:sz="0" w:space="0" w:color="auto"/>
            <w:right w:val="none" w:sz="0" w:space="0" w:color="auto"/>
          </w:divBdr>
          <w:divsChild>
            <w:div w:id="751660103">
              <w:marLeft w:val="0"/>
              <w:marRight w:val="0"/>
              <w:marTop w:val="0"/>
              <w:marBottom w:val="0"/>
              <w:divBdr>
                <w:top w:val="none" w:sz="0" w:space="0" w:color="auto"/>
                <w:left w:val="none" w:sz="0" w:space="0" w:color="auto"/>
                <w:bottom w:val="none" w:sz="0" w:space="0" w:color="auto"/>
                <w:right w:val="none" w:sz="0" w:space="0" w:color="auto"/>
              </w:divBdr>
              <w:divsChild>
                <w:div w:id="426117222">
                  <w:marLeft w:val="0"/>
                  <w:marRight w:val="1"/>
                  <w:marTop w:val="0"/>
                  <w:marBottom w:val="0"/>
                  <w:divBdr>
                    <w:top w:val="none" w:sz="0" w:space="0" w:color="auto"/>
                    <w:left w:val="none" w:sz="0" w:space="0" w:color="auto"/>
                    <w:bottom w:val="none" w:sz="0" w:space="0" w:color="auto"/>
                    <w:right w:val="none" w:sz="0" w:space="0" w:color="auto"/>
                  </w:divBdr>
                  <w:divsChild>
                    <w:div w:id="943532342">
                      <w:marLeft w:val="0"/>
                      <w:marRight w:val="0"/>
                      <w:marTop w:val="0"/>
                      <w:marBottom w:val="0"/>
                      <w:divBdr>
                        <w:top w:val="none" w:sz="0" w:space="0" w:color="auto"/>
                        <w:left w:val="none" w:sz="0" w:space="0" w:color="auto"/>
                        <w:bottom w:val="none" w:sz="0" w:space="0" w:color="auto"/>
                        <w:right w:val="none" w:sz="0" w:space="0" w:color="auto"/>
                      </w:divBdr>
                      <w:divsChild>
                        <w:div w:id="842936084">
                          <w:marLeft w:val="0"/>
                          <w:marRight w:val="0"/>
                          <w:marTop w:val="0"/>
                          <w:marBottom w:val="0"/>
                          <w:divBdr>
                            <w:top w:val="none" w:sz="0" w:space="0" w:color="auto"/>
                            <w:left w:val="none" w:sz="0" w:space="0" w:color="auto"/>
                            <w:bottom w:val="none" w:sz="0" w:space="0" w:color="auto"/>
                            <w:right w:val="none" w:sz="0" w:space="0" w:color="auto"/>
                          </w:divBdr>
                          <w:divsChild>
                            <w:div w:id="1703893179">
                              <w:marLeft w:val="0"/>
                              <w:marRight w:val="0"/>
                              <w:marTop w:val="120"/>
                              <w:marBottom w:val="360"/>
                              <w:divBdr>
                                <w:top w:val="none" w:sz="0" w:space="0" w:color="auto"/>
                                <w:left w:val="none" w:sz="0" w:space="0" w:color="auto"/>
                                <w:bottom w:val="none" w:sz="0" w:space="0" w:color="auto"/>
                                <w:right w:val="none" w:sz="0" w:space="0" w:color="auto"/>
                              </w:divBdr>
                              <w:divsChild>
                                <w:div w:id="1122070854">
                                  <w:marLeft w:val="0"/>
                                  <w:marRight w:val="0"/>
                                  <w:marTop w:val="0"/>
                                  <w:marBottom w:val="0"/>
                                  <w:divBdr>
                                    <w:top w:val="none" w:sz="0" w:space="0" w:color="auto"/>
                                    <w:left w:val="none" w:sz="0" w:space="0" w:color="auto"/>
                                    <w:bottom w:val="none" w:sz="0" w:space="0" w:color="auto"/>
                                    <w:right w:val="none" w:sz="0" w:space="0" w:color="auto"/>
                                  </w:divBdr>
                                </w:div>
                                <w:div w:id="8894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244659">
      <w:bodyDiv w:val="1"/>
      <w:marLeft w:val="0"/>
      <w:marRight w:val="0"/>
      <w:marTop w:val="0"/>
      <w:marBottom w:val="0"/>
      <w:divBdr>
        <w:top w:val="none" w:sz="0" w:space="0" w:color="auto"/>
        <w:left w:val="none" w:sz="0" w:space="0" w:color="auto"/>
        <w:bottom w:val="none" w:sz="0" w:space="0" w:color="auto"/>
        <w:right w:val="none" w:sz="0" w:space="0" w:color="auto"/>
      </w:divBdr>
    </w:div>
    <w:div w:id="2099709416">
      <w:bodyDiv w:val="1"/>
      <w:marLeft w:val="0"/>
      <w:marRight w:val="0"/>
      <w:marTop w:val="0"/>
      <w:marBottom w:val="0"/>
      <w:divBdr>
        <w:top w:val="none" w:sz="0" w:space="0" w:color="auto"/>
        <w:left w:val="none" w:sz="0" w:space="0" w:color="auto"/>
        <w:bottom w:val="none" w:sz="0" w:space="0" w:color="auto"/>
        <w:right w:val="none" w:sz="0" w:space="0" w:color="auto"/>
      </w:divBdr>
      <w:divsChild>
        <w:div w:id="1533884223">
          <w:marLeft w:val="0"/>
          <w:marRight w:val="0"/>
          <w:marTop w:val="0"/>
          <w:marBottom w:val="0"/>
          <w:divBdr>
            <w:top w:val="single" w:sz="36" w:space="0" w:color="075290"/>
            <w:left w:val="none" w:sz="0" w:space="0" w:color="auto"/>
            <w:bottom w:val="none" w:sz="0" w:space="0" w:color="auto"/>
            <w:right w:val="none" w:sz="0" w:space="0" w:color="auto"/>
          </w:divBdr>
          <w:divsChild>
            <w:div w:id="210963939">
              <w:marLeft w:val="0"/>
              <w:marRight w:val="0"/>
              <w:marTop w:val="0"/>
              <w:marBottom w:val="0"/>
              <w:divBdr>
                <w:top w:val="none" w:sz="0" w:space="0" w:color="auto"/>
                <w:left w:val="none" w:sz="0" w:space="0" w:color="auto"/>
                <w:bottom w:val="none" w:sz="0" w:space="0" w:color="auto"/>
                <w:right w:val="none" w:sz="0" w:space="0" w:color="auto"/>
              </w:divBdr>
              <w:divsChild>
                <w:div w:id="1418403215">
                  <w:marLeft w:val="0"/>
                  <w:marRight w:val="0"/>
                  <w:marTop w:val="150"/>
                  <w:marBottom w:val="0"/>
                  <w:divBdr>
                    <w:top w:val="none" w:sz="0" w:space="0" w:color="auto"/>
                    <w:left w:val="none" w:sz="0" w:space="0" w:color="auto"/>
                    <w:bottom w:val="none" w:sz="0" w:space="0" w:color="auto"/>
                    <w:right w:val="none" w:sz="0" w:space="0" w:color="auto"/>
                  </w:divBdr>
                  <w:divsChild>
                    <w:div w:id="1589265618">
                      <w:marLeft w:val="-150"/>
                      <w:marRight w:val="0"/>
                      <w:marTop w:val="0"/>
                      <w:marBottom w:val="0"/>
                      <w:divBdr>
                        <w:top w:val="none" w:sz="0" w:space="0" w:color="auto"/>
                        <w:left w:val="none" w:sz="0" w:space="0" w:color="auto"/>
                        <w:bottom w:val="none" w:sz="0" w:space="0" w:color="auto"/>
                        <w:right w:val="none" w:sz="0" w:space="0" w:color="auto"/>
                      </w:divBdr>
                      <w:divsChild>
                        <w:div w:id="578180061">
                          <w:marLeft w:val="0"/>
                          <w:marRight w:val="0"/>
                          <w:marTop w:val="0"/>
                          <w:marBottom w:val="0"/>
                          <w:divBdr>
                            <w:top w:val="none" w:sz="0" w:space="0" w:color="auto"/>
                            <w:left w:val="none" w:sz="0" w:space="0" w:color="auto"/>
                            <w:bottom w:val="none" w:sz="0" w:space="0" w:color="auto"/>
                            <w:right w:val="none" w:sz="0" w:space="0" w:color="auto"/>
                          </w:divBdr>
                          <w:divsChild>
                            <w:div w:id="1902863998">
                              <w:marLeft w:val="0"/>
                              <w:marRight w:val="0"/>
                              <w:marTop w:val="0"/>
                              <w:marBottom w:val="0"/>
                              <w:divBdr>
                                <w:top w:val="none" w:sz="0" w:space="0" w:color="auto"/>
                                <w:left w:val="none" w:sz="0" w:space="0" w:color="auto"/>
                                <w:bottom w:val="none" w:sz="0" w:space="0" w:color="auto"/>
                                <w:right w:val="none" w:sz="0" w:space="0" w:color="auto"/>
                              </w:divBdr>
                              <w:divsChild>
                                <w:div w:id="1911191793">
                                  <w:marLeft w:val="0"/>
                                  <w:marRight w:val="0"/>
                                  <w:marTop w:val="0"/>
                                  <w:marBottom w:val="0"/>
                                  <w:divBdr>
                                    <w:top w:val="none" w:sz="0" w:space="0" w:color="auto"/>
                                    <w:left w:val="none" w:sz="0" w:space="0" w:color="auto"/>
                                    <w:bottom w:val="none" w:sz="0" w:space="0" w:color="auto"/>
                                    <w:right w:val="none" w:sz="0" w:space="0" w:color="auto"/>
                                  </w:divBdr>
                                  <w:divsChild>
                                    <w:div w:id="624894848">
                                      <w:marLeft w:val="0"/>
                                      <w:marRight w:val="0"/>
                                      <w:marTop w:val="0"/>
                                      <w:marBottom w:val="0"/>
                                      <w:divBdr>
                                        <w:top w:val="none" w:sz="0" w:space="0" w:color="auto"/>
                                        <w:left w:val="none" w:sz="0" w:space="0" w:color="auto"/>
                                        <w:bottom w:val="none" w:sz="0" w:space="0" w:color="auto"/>
                                        <w:right w:val="none" w:sz="0" w:space="0" w:color="auto"/>
                                      </w:divBdr>
                                      <w:divsChild>
                                        <w:div w:id="2117402892">
                                          <w:marLeft w:val="0"/>
                                          <w:marRight w:val="0"/>
                                          <w:marTop w:val="0"/>
                                          <w:marBottom w:val="0"/>
                                          <w:divBdr>
                                            <w:top w:val="none" w:sz="0" w:space="0" w:color="auto"/>
                                            <w:left w:val="none" w:sz="0" w:space="0" w:color="auto"/>
                                            <w:bottom w:val="none" w:sz="0" w:space="0" w:color="auto"/>
                                            <w:right w:val="none" w:sz="0" w:space="0" w:color="auto"/>
                                          </w:divBdr>
                                          <w:divsChild>
                                            <w:div w:id="17735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da.gov/Safety/MedWatch/SafetyInformation/SafetyAlertsforHumanMedicalProducts/ucm416441.htm" TargetMode="External"/><Relationship Id="rId18" Type="http://schemas.openxmlformats.org/officeDocument/2006/relationships/image" Target="media/image1.emf"/><Relationship Id="rId26" Type="http://schemas.openxmlformats.org/officeDocument/2006/relationships/header" Target="header3.xml"/><Relationship Id="rId39" Type="http://schemas.openxmlformats.org/officeDocument/2006/relationships/hyperlink" Target="https://www.cdc.gov/nceh/lead/acclpp/cdc_response_lead_exposure_recs.pdf" TargetMode="External"/><Relationship Id="rId21" Type="http://schemas.openxmlformats.org/officeDocument/2006/relationships/hyperlink" Target="https://www.cdc.gov/sornnotice/09-20-0147.htm" TargetMode="External"/><Relationship Id="rId34" Type="http://schemas.openxmlformats.org/officeDocument/2006/relationships/hyperlink" Target="https://www.atsdr.cdc.gov/ToxProfiles/TP.asp?id=96&amp;tid=22" TargetMode="External"/><Relationship Id="rId42" Type="http://schemas.openxmlformats.org/officeDocument/2006/relationships/hyperlink" Target="https://wwwn.cdc.gov/nndss/" TargetMode="External"/><Relationship Id="rId47" Type="http://schemas.openxmlformats.org/officeDocument/2006/relationships/hyperlink" Target="http://intranet.cdc.gov/ophss/csels/od/adc/docs/leadership_meetings/2015/CDC%20Senior%20Leadership%20Meeting%20Bullets%202015-10-02.pdf" TargetMode="External"/><Relationship Id="rId50" Type="http://schemas.openxmlformats.org/officeDocument/2006/relationships/hyperlink" Target="http://files.eric.ed.gov/fulltext/ED344700.pdf" TargetMode="External"/><Relationship Id="rId55" Type="http://schemas.openxmlformats.org/officeDocument/2006/relationships/hyperlink" Target="https://www.cdc.gov/niosh/docs/95-123/pdfs/95-123.pdf" TargetMode="External"/><Relationship Id="rId63" Type="http://schemas.openxmlformats.org/officeDocument/2006/relationships/hyperlink" Target="https://www.cdc.gov/mmwr/preview/mmwrhtml/mm6213a3.htm" TargetMode="External"/><Relationship Id="rId68" Type="http://schemas.openxmlformats.org/officeDocument/2006/relationships/hyperlink" Target="https://www.cdc.gov/mmwr/volumes/66/ss/ss6603a1.ht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tsdr.cdc.gov/science/members.html" TargetMode="External"/><Relationship Id="rId29" Type="http://schemas.openxmlformats.org/officeDocument/2006/relationships/hyperlink" Target="https://www.cdc.gov/nceh/lead/acclpp/final_document_0307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ymcdn.com/sites/www.cste.org/resource/resmgr/2015PS/2015PSFinal/15-EH-01.pdf" TargetMode="External"/><Relationship Id="rId24" Type="http://schemas.openxmlformats.org/officeDocument/2006/relationships/footer" Target="footer2.xml"/><Relationship Id="rId32" Type="http://schemas.openxmlformats.org/officeDocument/2006/relationships/hyperlink" Target="http://dx.doi.org/10.15585/mmwr.mm6355a5" TargetMode="External"/><Relationship Id="rId37" Type="http://schemas.openxmlformats.org/officeDocument/2006/relationships/hyperlink" Target="https://www.cdc.gov/nceh/lead/publications/prevleadpoisoning.pdf" TargetMode="External"/><Relationship Id="rId40" Type="http://schemas.openxmlformats.org/officeDocument/2006/relationships/hyperlink" Target="https://www.cdc.gov/nchs/data/nhanes/nhanes_13_14/2013-14_overview_brochure.pdf" TargetMode="External"/><Relationship Id="rId45" Type="http://schemas.openxmlformats.org/officeDocument/2006/relationships/hyperlink" Target="http://www.cdph.ca.gov/programs/olppp/Documents/medgdln.pdf" TargetMode="External"/><Relationship Id="rId53" Type="http://schemas.openxmlformats.org/officeDocument/2006/relationships/hyperlink" Target="https://www.ncbi.nlm.nih.gov/pubmed/?term=Oza%20A%5BAuthor%5D&amp;cauthor=true&amp;cauthor_uid=26182192" TargetMode="External"/><Relationship Id="rId58" Type="http://schemas.openxmlformats.org/officeDocument/2006/relationships/hyperlink" Target="https://www.cdc.gov/niosh/topics/ables/description.html" TargetMode="External"/><Relationship Id="rId66" Type="http://schemas.openxmlformats.org/officeDocument/2006/relationships/hyperlink" Target="http://www.cdc.gov/mmwr/preview/mmwrhtml/su6302a6.htm" TargetMode="External"/><Relationship Id="rId5" Type="http://schemas.openxmlformats.org/officeDocument/2006/relationships/settings" Target="settings.xml"/><Relationship Id="rId15" Type="http://schemas.openxmlformats.org/officeDocument/2006/relationships/hyperlink" Target="http://wwwn.cdc.gov/nndss/conditions/lead-elevated-blood-levels/case-definition/2016/" TargetMode="External"/><Relationship Id="rId23" Type="http://schemas.openxmlformats.org/officeDocument/2006/relationships/header" Target="header2.xml"/><Relationship Id="rId28" Type="http://schemas.openxmlformats.org/officeDocument/2006/relationships/hyperlink" Target="http://www.bls.gov/oes/current/oes151131.htm" TargetMode="External"/><Relationship Id="rId36" Type="http://schemas.openxmlformats.org/officeDocument/2006/relationships/hyperlink" Target="https://www.cdc.gov/nceh/lead/casemanagement/managingEBLLs.pdf" TargetMode="External"/><Relationship Id="rId49" Type="http://schemas.openxmlformats.org/officeDocument/2006/relationships/hyperlink" Target="http://c.ymcdn.com/sites/www.cste.org/resource/resmgr/PS1/15-EH-01_revised_12.4.15.pdf" TargetMode="External"/><Relationship Id="rId57" Type="http://schemas.openxmlformats.org/officeDocument/2006/relationships/hyperlink" Target="http://www.cdc.gov/niosh/topics/ABLES/description.html" TargetMode="External"/><Relationship Id="rId61" Type="http://schemas.openxmlformats.org/officeDocument/2006/relationships/hyperlink" Target="https://www.cdc.gov/mmwr/pdf/rr/rr5809.pdf" TargetMode="External"/><Relationship Id="rId10" Type="http://schemas.openxmlformats.org/officeDocument/2006/relationships/hyperlink" Target="https://www.healthypeople.gov/" TargetMode="External"/><Relationship Id="rId19" Type="http://schemas.openxmlformats.org/officeDocument/2006/relationships/image" Target="media/image2.emf"/><Relationship Id="rId31" Type="http://schemas.openxmlformats.org/officeDocument/2006/relationships/hyperlink" Target="https://www.cdc.gov/mmwr/preview/mmwrhtml/mm6254a4.htm" TargetMode="External"/><Relationship Id="rId44" Type="http://schemas.openxmlformats.org/officeDocument/2006/relationships/hyperlink" Target="https://wwwn.cdc.gov/nndss/" TargetMode="External"/><Relationship Id="rId52" Type="http://schemas.openxmlformats.org/officeDocument/2006/relationships/hyperlink" Target="http://www.ncsl.org/documents/environ/stlaws10.pdf" TargetMode="External"/><Relationship Id="rId60" Type="http://schemas.openxmlformats.org/officeDocument/2006/relationships/hyperlink" Target="https://www.osha.gov/Publications/OSHA3680.pdf" TargetMode="External"/><Relationship Id="rId65" Type="http://schemas.openxmlformats.org/officeDocument/2006/relationships/hyperlink" Target="https://www.ncbi.nlm.nih.gov/pubmed/2498865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ymcdn.com/sites/www.cste.org/resource/resmgr/2015PS/2015PSFinal/15-EH-01.pdf"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hyperlink" Target="http://www.acog.org/Resources-And-Publications/Committee-Opinions/Committee-on-Obstetric-Practice/Lead-Screening-During-Pregnancy-and-Lactation" TargetMode="External"/><Relationship Id="rId35" Type="http://schemas.openxmlformats.org/officeDocument/2006/relationships/hyperlink" Target="https://www.atsdr.cdc.gov/toxprofiles/tp13.pdf" TargetMode="External"/><Relationship Id="rId43" Type="http://schemas.openxmlformats.org/officeDocument/2006/relationships/hyperlink" Target="https://wwwn.cdc.gov/nndss/conditions/lead-elevated-blood-levels/case-definition/2016/" TargetMode="External"/><Relationship Id="rId48" Type="http://schemas.openxmlformats.org/officeDocument/2006/relationships/hyperlink" Target="http://c.ymcdn.com/sites/www.cste.org/resource/resmgr/OccupationalHealth/ManagementGuidelinesforAdult.pdf" TargetMode="External"/><Relationship Id="rId56" Type="http://schemas.openxmlformats.org/officeDocument/2006/relationships/hyperlink" Target="https://www.cdc.gov/niosh/docs/2002-113/pdfs/2002-113.pdf" TargetMode="External"/><Relationship Id="rId64" Type="http://schemas.openxmlformats.org/officeDocument/2006/relationships/hyperlink" Target="http://www.cdc.gov/mmwr/preview/mmwrhtml/mm6315a2.htm?s_cid=mm6315a2_e"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gpo.gov/fdsys/pkg/FR-2017-01-13/pdf/2017-00261.pdf" TargetMode="External"/><Relationship Id="rId3" Type="http://schemas.openxmlformats.org/officeDocument/2006/relationships/styles" Target="styles.xml"/><Relationship Id="rId12" Type="http://schemas.openxmlformats.org/officeDocument/2006/relationships/hyperlink" Target="http://wwwn.cdc.gov/nndss/conditions/lead-elevated-blood-levels/case-definition/2016/" TargetMode="External"/><Relationship Id="rId17" Type="http://schemas.openxmlformats.org/officeDocument/2006/relationships/hyperlink" Target="http://www.cdc.gov/SORNnotice/09-20-0136.htm" TargetMode="External"/><Relationship Id="rId25" Type="http://schemas.openxmlformats.org/officeDocument/2006/relationships/footer" Target="footer3.xml"/><Relationship Id="rId33" Type="http://schemas.openxmlformats.org/officeDocument/2006/relationships/hyperlink" Target="http://www.aoec.org/documents/positions/mmg_revision_with_cste_2013.pdf" TargetMode="External"/><Relationship Id="rId38" Type="http://schemas.openxmlformats.org/officeDocument/2006/relationships/hyperlink" Target="https://www.cdc.gov/nceh/lead/publications/leadandpregnancy2010.pdf" TargetMode="External"/><Relationship Id="rId46" Type="http://schemas.openxmlformats.org/officeDocument/2006/relationships/hyperlink" Target="https://www.medicaid.gov/federal-policy-guidance/downloads/cib113016.pdf" TargetMode="External"/><Relationship Id="rId59" Type="http://schemas.openxmlformats.org/officeDocument/2006/relationships/hyperlink" Target="https://ntp.niehs.nih.gov/ntp/ohat/lead/final/monographhealtheffectslowlevellead_newissn_508.pdf" TargetMode="External"/><Relationship Id="rId67" Type="http://schemas.openxmlformats.org/officeDocument/2006/relationships/hyperlink" Target="http://journals.plos.org/plosmedicine/article?id=10.1371/journal.pmed.1001739" TargetMode="External"/><Relationship Id="rId20" Type="http://schemas.openxmlformats.org/officeDocument/2006/relationships/hyperlink" Target="http://www.cdc.gov/SORNnotice/09-20-0136.htm" TargetMode="External"/><Relationship Id="rId41" Type="http://schemas.openxmlformats.org/officeDocument/2006/relationships/hyperlink" Target="https://www.cdc.gov/biomonitoring/pdf/FourthReport_UpdatedTables_Feb2015.pdf" TargetMode="External"/><Relationship Id="rId54" Type="http://schemas.openxmlformats.org/officeDocument/2006/relationships/hyperlink" Target="https://www.cdc.gov/mmwr/pdf/wk/mm6427.pdf" TargetMode="External"/><Relationship Id="rId62" Type="http://schemas.openxmlformats.org/officeDocument/2006/relationships/hyperlink" Target="https://www.ncbi.nlm.nih.gov/pubmed/23552225"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edicaid.gov/federal-policy-guidance/downloads/cib-06-22-12.pdf" TargetMode="External"/><Relationship Id="rId13" Type="http://schemas.openxmlformats.org/officeDocument/2006/relationships/hyperlink" Target="https://www.cdc.gov/SORNnotice/09-20-0136.htm" TargetMode="External"/><Relationship Id="rId18" Type="http://schemas.openxmlformats.org/officeDocument/2006/relationships/hyperlink" Target="https://www.cdc.gov/nceh/lead/data/Chart_Website_StateConfirmedByYear_1997_2015.pdf" TargetMode="External"/><Relationship Id="rId3" Type="http://schemas.openxmlformats.org/officeDocument/2006/relationships/hyperlink" Target="https://wwwdev.cdc.gov/niosh/topics/ables/default.html" TargetMode="External"/><Relationship Id="rId7" Type="http://schemas.openxmlformats.org/officeDocument/2006/relationships/hyperlink" Target="https://www.medicaid.gov/federal-policy-guidance/downloads/cib113016.pdf" TargetMode="External"/><Relationship Id="rId12" Type="http://schemas.openxmlformats.org/officeDocument/2006/relationships/hyperlink" Target="http://www.hud.gov/offices/lead/enforcement/lshr.cfm" TargetMode="External"/><Relationship Id="rId17" Type="http://schemas.openxmlformats.org/officeDocument/2006/relationships/hyperlink" Target="https://www.opm.gov/policy-data-oversight/pay-leave/salaries-wages/salary-tables/pdf/2017/ATL.pdf" TargetMode="External"/><Relationship Id="rId2" Type="http://schemas.openxmlformats.org/officeDocument/2006/relationships/hyperlink" Target="https://www.atsdr.cdc.gov/toxprofiles/tp13.pdf" TargetMode="External"/><Relationship Id="rId16" Type="http://schemas.openxmlformats.org/officeDocument/2006/relationships/hyperlink" Target="https://www.cdc.gov/sornnotice/09-20-0147.htm" TargetMode="External"/><Relationship Id="rId1" Type="http://schemas.openxmlformats.org/officeDocument/2006/relationships/hyperlink" Target="https://www.congress.gov/bill/100th-congress/house-bill/4939" TargetMode="External"/><Relationship Id="rId6" Type="http://schemas.openxmlformats.org/officeDocument/2006/relationships/hyperlink" Target="https://www.reginfo.gov/public/do/PRAViewICR?ref_nbr=201607-0920-005" TargetMode="External"/><Relationship Id="rId11" Type="http://schemas.openxmlformats.org/officeDocument/2006/relationships/hyperlink" Target="http://www.hud.gov/offices/lead/enforcement/disclosure.cfm" TargetMode="External"/><Relationship Id="rId5" Type="http://schemas.openxmlformats.org/officeDocument/2006/relationships/hyperlink" Target="https://wwwn.cdc.gov/nndss/nedss.html" TargetMode="External"/><Relationship Id="rId15" Type="http://schemas.openxmlformats.org/officeDocument/2006/relationships/hyperlink" Target="https://privacyruleandresearch.nih.gov/pdf/ocr_publichealth.pdf" TargetMode="External"/><Relationship Id="rId10" Type="http://schemas.openxmlformats.org/officeDocument/2006/relationships/hyperlink" Target="https://www.cdc.gov/SORNnotice/09-20-0136.htm" TargetMode="External"/><Relationship Id="rId4" Type="http://schemas.openxmlformats.org/officeDocument/2006/relationships/hyperlink" Target="https://www.cdc.gov/mmwr/volumes/63/wr/mm6355a5.htm" TargetMode="External"/><Relationship Id="rId9" Type="http://schemas.openxmlformats.org/officeDocument/2006/relationships/hyperlink" Target="https://www.cms.gov/Medicare/CMS-Forms/CMS-Forms/Downloads/CMS416.pdf" TargetMode="External"/><Relationship Id="rId14" Type="http://schemas.openxmlformats.org/officeDocument/2006/relationships/hyperlink" Target="https://www.gpo.gov/fdsys/pkg/CFR-2011-title45-vol1/pdf/CFR-2011-title45-vol1-sec164-5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B640-0DDB-4D0C-BDE1-BC3F1F27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15922</Words>
  <Characters>90760</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Stephanie I. (CDC/ONDIEH/NCEH)</dc:creator>
  <cp:keywords/>
  <dc:description/>
  <cp:lastModifiedBy>SYSTEM</cp:lastModifiedBy>
  <cp:revision>2</cp:revision>
  <cp:lastPrinted>2017-10-18T11:37:00Z</cp:lastPrinted>
  <dcterms:created xsi:type="dcterms:W3CDTF">2017-11-07T18:48:00Z</dcterms:created>
  <dcterms:modified xsi:type="dcterms:W3CDTF">2017-11-07T18:48:00Z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-747821133</vt:i4>
  </property>
</Properties>
</file>