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5DC" w:rsidRPr="009865DC" w:rsidRDefault="00DB0B45" w:rsidP="009865DC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Addendum to the Supporting Statement for </w:t>
      </w:r>
      <w:r w:rsidR="009865DC" w:rsidRPr="009865DC">
        <w:rPr>
          <w:b/>
          <w:sz w:val="24"/>
          <w:szCs w:val="24"/>
        </w:rPr>
        <w:t>Form HA-L90</w:t>
      </w:r>
    </w:p>
    <w:p w:rsidR="009865DC" w:rsidRPr="009865DC" w:rsidRDefault="009865DC" w:rsidP="009865DC">
      <w:pPr>
        <w:jc w:val="center"/>
        <w:rPr>
          <w:b/>
          <w:sz w:val="24"/>
          <w:szCs w:val="24"/>
        </w:rPr>
      </w:pPr>
      <w:r w:rsidRPr="009865DC">
        <w:rPr>
          <w:b/>
          <w:sz w:val="24"/>
          <w:szCs w:val="24"/>
        </w:rPr>
        <w:t>Request to Show Cause for Failure to Appear</w:t>
      </w:r>
    </w:p>
    <w:p w:rsidR="009865DC" w:rsidRPr="009865DC" w:rsidRDefault="009865DC" w:rsidP="009865DC">
      <w:pPr>
        <w:jc w:val="center"/>
        <w:rPr>
          <w:b/>
          <w:sz w:val="24"/>
          <w:szCs w:val="24"/>
        </w:rPr>
      </w:pPr>
      <w:r w:rsidRPr="009865DC">
        <w:rPr>
          <w:b/>
          <w:sz w:val="24"/>
          <w:szCs w:val="24"/>
        </w:rPr>
        <w:t>20 CFR 404.938, 20 CFR 416.1438, and 20 CFR 404.957(a)(ii)</w:t>
      </w:r>
    </w:p>
    <w:p w:rsidR="00DB0B45" w:rsidRPr="009865DC" w:rsidRDefault="009865DC" w:rsidP="009865DC">
      <w:pPr>
        <w:jc w:val="center"/>
        <w:rPr>
          <w:b/>
          <w:sz w:val="24"/>
          <w:szCs w:val="24"/>
        </w:rPr>
      </w:pPr>
      <w:r w:rsidRPr="009865DC">
        <w:rPr>
          <w:b/>
          <w:sz w:val="24"/>
          <w:szCs w:val="24"/>
        </w:rPr>
        <w:t>OMB No. 0960-0794</w:t>
      </w:r>
    </w:p>
    <w:p w:rsidR="00DB0B45" w:rsidRDefault="00DB0B45">
      <w:pPr>
        <w:tabs>
          <w:tab w:val="left" w:pos="-720"/>
          <w:tab w:val="left" w:pos="0"/>
        </w:tabs>
        <w:ind w:left="720" w:right="-720" w:hanging="720"/>
        <w:rPr>
          <w:sz w:val="24"/>
          <w:szCs w:val="24"/>
        </w:rPr>
      </w:pPr>
    </w:p>
    <w:p w:rsidR="009865DC" w:rsidRDefault="009865DC">
      <w:pPr>
        <w:tabs>
          <w:tab w:val="left" w:pos="-720"/>
          <w:tab w:val="left" w:pos="0"/>
        </w:tabs>
        <w:ind w:left="720" w:right="-720" w:hanging="720"/>
        <w:rPr>
          <w:sz w:val="24"/>
          <w:szCs w:val="24"/>
        </w:rPr>
      </w:pPr>
    </w:p>
    <w:p w:rsidR="00DB0B45" w:rsidRPr="00275D32" w:rsidRDefault="00DB0B45">
      <w:pPr>
        <w:rPr>
          <w:b/>
          <w:sz w:val="24"/>
          <w:szCs w:val="24"/>
          <w:u w:val="single"/>
        </w:rPr>
      </w:pPr>
      <w:r w:rsidRPr="00275D32">
        <w:rPr>
          <w:b/>
          <w:sz w:val="24"/>
          <w:szCs w:val="24"/>
          <w:u w:val="single"/>
        </w:rPr>
        <w:t>Revisions to the Collection Instrument</w:t>
      </w:r>
    </w:p>
    <w:p w:rsidR="00091C62" w:rsidRPr="00275D32" w:rsidRDefault="00091C62" w:rsidP="00091C62">
      <w:pPr>
        <w:rPr>
          <w:sz w:val="24"/>
          <w:szCs w:val="24"/>
        </w:rPr>
      </w:pPr>
    </w:p>
    <w:p w:rsidR="00275D32" w:rsidRDefault="00275D32" w:rsidP="00275D32">
      <w:pPr>
        <w:numPr>
          <w:ilvl w:val="0"/>
          <w:numId w:val="1"/>
        </w:numPr>
        <w:suppressAutoHyphens w:val="0"/>
        <w:rPr>
          <w:sz w:val="24"/>
          <w:szCs w:val="24"/>
        </w:rPr>
      </w:pPr>
      <w:r w:rsidRPr="00275D32">
        <w:rPr>
          <w:b/>
          <w:sz w:val="24"/>
          <w:szCs w:val="24"/>
          <w:u w:val="single"/>
        </w:rPr>
        <w:t>Change #1</w:t>
      </w:r>
      <w:r w:rsidRPr="00275D32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We are including a new version of the HA-L90, the HA-L90-OP1 in this information collection request.</w:t>
      </w:r>
    </w:p>
    <w:p w:rsidR="00275D32" w:rsidRDefault="00275D32" w:rsidP="00275D32">
      <w:pPr>
        <w:suppressAutoHyphens w:val="0"/>
        <w:ind w:left="360"/>
        <w:rPr>
          <w:sz w:val="24"/>
          <w:szCs w:val="24"/>
        </w:rPr>
      </w:pPr>
    </w:p>
    <w:p w:rsidR="00275D32" w:rsidRDefault="00275D32" w:rsidP="00275D32">
      <w:pPr>
        <w:suppressAutoHyphens w:val="0"/>
        <w:ind w:left="36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Justification #1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We will use the HA-L90-OP1 when a claimant or their representative requests to establish good cause for rescheduling a redetermination hearing.  Our </w:t>
      </w:r>
      <w:r w:rsidR="00B100AB">
        <w:rPr>
          <w:sz w:val="24"/>
          <w:szCs w:val="24"/>
        </w:rPr>
        <w:t>administrative law judges (ALJ) use a different process for redeterminations, in that we can use the evidence on file and the prior determination to make a decision, if the ALJ is not able to establish good cause.  Since the HA-L90 does not explain that process fully, and because we have fewer requests to establish good cause for redeterminations, we decided to create the HA-L90-OP1.  The HA-L90-OP1 includes information to let the claimant or their representative know that, if the ALJ does not determine good cause for missing the redetermination hearing, the ALJ will make a redetermination decision based on the evidence on file.  Other than the inclusion of that information, the HA-L90-OP1 does not differ from the HA-L90.</w:t>
      </w:r>
    </w:p>
    <w:p w:rsidR="00275D32" w:rsidRPr="00275D32" w:rsidRDefault="00275D32" w:rsidP="00275D32">
      <w:pPr>
        <w:suppressAutoHyphens w:val="0"/>
        <w:ind w:left="360"/>
        <w:rPr>
          <w:sz w:val="24"/>
          <w:szCs w:val="24"/>
        </w:rPr>
      </w:pPr>
    </w:p>
    <w:p w:rsidR="00275D32" w:rsidRPr="00275D32" w:rsidRDefault="00275D32" w:rsidP="00275D32">
      <w:pPr>
        <w:numPr>
          <w:ilvl w:val="0"/>
          <w:numId w:val="1"/>
        </w:numPr>
        <w:suppressAutoHyphens w:val="0"/>
        <w:rPr>
          <w:sz w:val="24"/>
          <w:szCs w:val="24"/>
        </w:rPr>
      </w:pPr>
      <w:r w:rsidRPr="00275D32">
        <w:rPr>
          <w:b/>
          <w:sz w:val="24"/>
          <w:szCs w:val="24"/>
          <w:u w:val="single"/>
        </w:rPr>
        <w:t>Change #2</w:t>
      </w:r>
      <w:r w:rsidRPr="00275D32">
        <w:rPr>
          <w:b/>
          <w:sz w:val="24"/>
          <w:szCs w:val="24"/>
        </w:rPr>
        <w:t>:</w:t>
      </w:r>
      <w:r w:rsidRPr="00275D32">
        <w:rPr>
          <w:sz w:val="24"/>
          <w:szCs w:val="24"/>
        </w:rPr>
        <w:t xml:space="preserve">  We are revising t</w:t>
      </w:r>
      <w:r w:rsidR="00B100AB">
        <w:rPr>
          <w:sz w:val="24"/>
          <w:szCs w:val="24"/>
        </w:rPr>
        <w:t>he Privacy Act Statement on these</w:t>
      </w:r>
      <w:r w:rsidRPr="00275D32">
        <w:rPr>
          <w:sz w:val="24"/>
          <w:szCs w:val="24"/>
        </w:rPr>
        <w:t xml:space="preserve"> form</w:t>
      </w:r>
      <w:r w:rsidR="00B100AB">
        <w:rPr>
          <w:sz w:val="24"/>
          <w:szCs w:val="24"/>
        </w:rPr>
        <w:t>s</w:t>
      </w:r>
      <w:r w:rsidRPr="00275D32">
        <w:rPr>
          <w:sz w:val="24"/>
          <w:szCs w:val="24"/>
        </w:rPr>
        <w:t>.</w:t>
      </w:r>
    </w:p>
    <w:p w:rsidR="00275D32" w:rsidRPr="00275D32" w:rsidRDefault="00275D32" w:rsidP="00275D32">
      <w:pPr>
        <w:ind w:left="360"/>
        <w:rPr>
          <w:sz w:val="24"/>
          <w:szCs w:val="24"/>
        </w:rPr>
      </w:pPr>
    </w:p>
    <w:p w:rsidR="00DB0B45" w:rsidRPr="00275D32" w:rsidRDefault="00275D32" w:rsidP="00275D32">
      <w:pPr>
        <w:ind w:left="360"/>
        <w:rPr>
          <w:sz w:val="24"/>
          <w:szCs w:val="24"/>
        </w:rPr>
      </w:pPr>
      <w:r w:rsidRPr="00275D32">
        <w:rPr>
          <w:b/>
          <w:sz w:val="24"/>
          <w:szCs w:val="24"/>
          <w:u w:val="single"/>
        </w:rPr>
        <w:t>Justification #2</w:t>
      </w:r>
      <w:r w:rsidRPr="00275D32">
        <w:rPr>
          <w:b/>
          <w:sz w:val="24"/>
          <w:szCs w:val="24"/>
        </w:rPr>
        <w:t xml:space="preserve">: </w:t>
      </w:r>
      <w:r w:rsidRPr="00275D32">
        <w:rPr>
          <w:sz w:val="24"/>
          <w:szCs w:val="24"/>
        </w:rPr>
        <w:t xml:space="preserve"> SSA’s Office of the General Counsel is conducting a systematic review of SSA’s Privacy Act Statements on agency forms.  As a result, SSA is updating the Privacy Act Statement on the</w:t>
      </w:r>
      <w:r w:rsidR="00B100AB">
        <w:rPr>
          <w:sz w:val="24"/>
          <w:szCs w:val="24"/>
        </w:rPr>
        <w:t>se</w:t>
      </w:r>
      <w:r w:rsidRPr="00275D32">
        <w:rPr>
          <w:sz w:val="24"/>
          <w:szCs w:val="24"/>
        </w:rPr>
        <w:t xml:space="preserve"> form</w:t>
      </w:r>
      <w:r w:rsidR="00B100AB">
        <w:rPr>
          <w:sz w:val="24"/>
          <w:szCs w:val="24"/>
        </w:rPr>
        <w:t>s</w:t>
      </w:r>
      <w:r w:rsidRPr="00275D32">
        <w:rPr>
          <w:sz w:val="24"/>
          <w:szCs w:val="24"/>
        </w:rPr>
        <w:t>.</w:t>
      </w:r>
    </w:p>
    <w:sectPr w:rsidR="00DB0B45" w:rsidRPr="00275D32">
      <w:footerReference w:type="default" r:id="rId8"/>
      <w:footnotePr>
        <w:pos w:val="beneathText"/>
      </w:footnotePr>
      <w:pgSz w:w="12240" w:h="15840"/>
      <w:pgMar w:top="1440" w:right="1440" w:bottom="1496" w:left="1440" w:header="720" w:footer="14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D0D" w:rsidRDefault="00347D0D" w:rsidP="00DB0B45">
      <w:r>
        <w:separator/>
      </w:r>
    </w:p>
  </w:endnote>
  <w:endnote w:type="continuationSeparator" w:id="0">
    <w:p w:rsidR="00347D0D" w:rsidRDefault="00347D0D" w:rsidP="00DB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B45" w:rsidRDefault="00DB0B45">
    <w:pPr>
      <w:pStyle w:val="Footer"/>
    </w:pPr>
  </w:p>
  <w:p w:rsidR="00DB0B45" w:rsidRDefault="00DB0B45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D0D" w:rsidRDefault="00347D0D" w:rsidP="00DB0B45">
      <w:r>
        <w:separator/>
      </w:r>
    </w:p>
  </w:footnote>
  <w:footnote w:type="continuationSeparator" w:id="0">
    <w:p w:rsidR="00347D0D" w:rsidRDefault="00347D0D" w:rsidP="00DB0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0D7"/>
    <w:rsid w:val="0002531A"/>
    <w:rsid w:val="00076564"/>
    <w:rsid w:val="00091C62"/>
    <w:rsid w:val="00275D32"/>
    <w:rsid w:val="00347D0D"/>
    <w:rsid w:val="00930C63"/>
    <w:rsid w:val="009353AF"/>
    <w:rsid w:val="009865DC"/>
    <w:rsid w:val="00B100AB"/>
    <w:rsid w:val="00B841DF"/>
    <w:rsid w:val="00BB6982"/>
    <w:rsid w:val="00C35DE8"/>
    <w:rsid w:val="00CF2463"/>
    <w:rsid w:val="00CF72F3"/>
    <w:rsid w:val="00DB0B45"/>
    <w:rsid w:val="00DE20D7"/>
    <w:rsid w:val="00E65DF4"/>
    <w:rsid w:val="00F8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865DC"/>
    <w:pPr>
      <w:keepNext/>
      <w:widowControl w:val="0"/>
      <w:tabs>
        <w:tab w:val="center" w:pos="4680"/>
      </w:tabs>
      <w:jc w:val="center"/>
      <w:outlineLvl w:val="0"/>
    </w:pPr>
    <w:rPr>
      <w:b/>
      <w:bCs/>
      <w:snapToGrid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sz w:val="24"/>
    </w:rPr>
  </w:style>
  <w:style w:type="character" w:customStyle="1" w:styleId="WW8Num4z0">
    <w:name w:val="WW8Num4z0"/>
    <w:rPr>
      <w:strike w:val="0"/>
      <w:dstrike w:val="0"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dnoteText">
    <w:name w:val="endnote text"/>
    <w:basedOn w:val="Normal"/>
    <w:semiHidden/>
    <w:pPr>
      <w:widowControl w:val="0"/>
    </w:pPr>
    <w:rPr>
      <w:rFonts w:ascii="Courier New" w:hAnsi="Courier New" w:cs="Courier New"/>
      <w:sz w:val="24"/>
      <w:szCs w:val="24"/>
    </w:rPr>
  </w:style>
  <w:style w:type="paragraph" w:styleId="BodyTextIndent">
    <w:name w:val="Body Text Indent"/>
    <w:basedOn w:val="Normal"/>
    <w:semiHidden/>
    <w:pPr>
      <w:widowControl w:val="0"/>
      <w:tabs>
        <w:tab w:val="left" w:pos="-720"/>
        <w:tab w:val="left" w:pos="0"/>
        <w:tab w:val="left" w:pos="720"/>
      </w:tabs>
      <w:ind w:left="1440" w:hanging="1440"/>
    </w:pPr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</w:pPr>
    <w:rPr>
      <w:rFonts w:ascii="Courier New" w:hAnsi="Courier New" w:cs="Courier New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Style1">
    <w:name w:val="Style 1"/>
    <w:basedOn w:val="Normal"/>
    <w:pPr>
      <w:spacing w:before="252"/>
      <w:ind w:left="1440" w:hanging="720"/>
    </w:pPr>
  </w:style>
  <w:style w:type="character" w:customStyle="1" w:styleId="Heading1Char">
    <w:name w:val="Heading 1 Char"/>
    <w:basedOn w:val="DefaultParagraphFont"/>
    <w:link w:val="Heading1"/>
    <w:rsid w:val="009865DC"/>
    <w:rPr>
      <w:b/>
      <w:bCs/>
      <w:snapToGrid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865DC"/>
    <w:pPr>
      <w:keepNext/>
      <w:widowControl w:val="0"/>
      <w:tabs>
        <w:tab w:val="center" w:pos="4680"/>
      </w:tabs>
      <w:jc w:val="center"/>
      <w:outlineLvl w:val="0"/>
    </w:pPr>
    <w:rPr>
      <w:b/>
      <w:bCs/>
      <w:snapToGrid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sz w:val="24"/>
    </w:rPr>
  </w:style>
  <w:style w:type="character" w:customStyle="1" w:styleId="WW8Num4z0">
    <w:name w:val="WW8Num4z0"/>
    <w:rPr>
      <w:strike w:val="0"/>
      <w:dstrike w:val="0"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dnoteText">
    <w:name w:val="endnote text"/>
    <w:basedOn w:val="Normal"/>
    <w:semiHidden/>
    <w:pPr>
      <w:widowControl w:val="0"/>
    </w:pPr>
    <w:rPr>
      <w:rFonts w:ascii="Courier New" w:hAnsi="Courier New" w:cs="Courier New"/>
      <w:sz w:val="24"/>
      <w:szCs w:val="24"/>
    </w:rPr>
  </w:style>
  <w:style w:type="paragraph" w:styleId="BodyTextIndent">
    <w:name w:val="Body Text Indent"/>
    <w:basedOn w:val="Normal"/>
    <w:semiHidden/>
    <w:pPr>
      <w:widowControl w:val="0"/>
      <w:tabs>
        <w:tab w:val="left" w:pos="-720"/>
        <w:tab w:val="left" w:pos="0"/>
        <w:tab w:val="left" w:pos="720"/>
      </w:tabs>
      <w:ind w:left="1440" w:hanging="1440"/>
    </w:pPr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</w:pPr>
    <w:rPr>
      <w:rFonts w:ascii="Courier New" w:hAnsi="Courier New" w:cs="Courier New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Style1">
    <w:name w:val="Style 1"/>
    <w:basedOn w:val="Normal"/>
    <w:pPr>
      <w:spacing w:before="252"/>
      <w:ind w:left="1440" w:hanging="720"/>
    </w:pPr>
  </w:style>
  <w:style w:type="character" w:customStyle="1" w:styleId="Heading1Char">
    <w:name w:val="Heading 1 Char"/>
    <w:basedOn w:val="DefaultParagraphFont"/>
    <w:link w:val="Heading1"/>
    <w:rsid w:val="009865DC"/>
    <w:rPr>
      <w:b/>
      <w:bCs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Form HA-539, Notice Regarding Substitution of Party Upon Death of Claimant</vt:lpstr>
    </vt:vector>
  </TitlesOfParts>
  <Company>Social Security Administration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Form HA-539, Notice Regarding Substitution of Party Upon Death of Claimant</dc:title>
  <dc:creator>689830</dc:creator>
  <cp:lastModifiedBy>SYSTEM</cp:lastModifiedBy>
  <cp:revision>2</cp:revision>
  <cp:lastPrinted>2009-08-19T13:25:00Z</cp:lastPrinted>
  <dcterms:created xsi:type="dcterms:W3CDTF">2018-02-07T21:59:00Z</dcterms:created>
  <dcterms:modified xsi:type="dcterms:W3CDTF">2018-02-07T21:59:00Z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Expiration Notice:  0960-0794 HA-L90</vt:lpwstr>
  </property>
  <property fmtid="{D5CDD505-2E9C-101B-9397-08002B2CF9AE}" pid="3" name="_AuthorEmail">
    <vt:lpwstr>Jeffrey.Carle@ssa.gov</vt:lpwstr>
  </property>
  <property fmtid="{D5CDD505-2E9C-101B-9397-08002B2CF9AE}" pid="4" name="_AuthorEmailDisplayName">
    <vt:lpwstr>Carle, Jeffrey</vt:lpwstr>
  </property>
  <property fmtid="{D5CDD505-2E9C-101B-9397-08002B2CF9AE}" pid="5" name="_PreviousAdHocReviewCycleID">
    <vt:i4>1039756544</vt:i4>
  </property>
  <property fmtid="{D5CDD505-2E9C-101B-9397-08002B2CF9AE}" pid="6" name="_AdHocReviewCycleID">
    <vt:i4>1076963083</vt:i4>
  </property>
  <property fmtid="{D5CDD505-2E9C-101B-9397-08002B2CF9AE}" pid="7" name="_NewReviewCycle">
    <vt:lpwstr/>
  </property>
  <property fmtid="{D5CDD505-2E9C-101B-9397-08002B2CF9AE}" pid="8" name="_ReviewingToolsShownOnce">
    <vt:lpwstr/>
  </property>
</Properties>
</file>