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5D" w:rsidRDefault="0048565D" w:rsidP="0048565D">
      <w:pPr>
        <w:jc w:val="center"/>
        <w:rPr>
          <w:rFonts w:asciiTheme="minorHAnsi" w:hAnsiTheme="minorHAnsi"/>
          <w:b/>
          <w:sz w:val="24"/>
          <w:szCs w:val="24"/>
        </w:rPr>
      </w:pPr>
      <w:bookmarkStart w:id="0" w:name="_GoBack"/>
      <w:bookmarkEnd w:id="0"/>
      <w:r>
        <w:rPr>
          <w:rFonts w:asciiTheme="minorHAnsi" w:hAnsiTheme="minorHAnsi"/>
          <w:b/>
          <w:sz w:val="24"/>
          <w:szCs w:val="24"/>
        </w:rPr>
        <w:t>Section 704 Annual Performance Report (Parts I and II)</w:t>
      </w:r>
    </w:p>
    <w:p w:rsidR="0048565D" w:rsidRDefault="0048565D" w:rsidP="0048565D">
      <w:pPr>
        <w:jc w:val="center"/>
        <w:rPr>
          <w:rFonts w:asciiTheme="minorHAnsi" w:hAnsiTheme="minorHAnsi"/>
          <w:sz w:val="24"/>
          <w:szCs w:val="24"/>
        </w:rPr>
      </w:pPr>
      <w:r>
        <w:rPr>
          <w:rFonts w:asciiTheme="minorHAnsi" w:hAnsiTheme="minorHAnsi"/>
          <w:sz w:val="24"/>
          <w:szCs w:val="24"/>
        </w:rPr>
        <w:t>ICR Number 0985-0043</w:t>
      </w:r>
    </w:p>
    <w:p w:rsidR="0048565D" w:rsidRDefault="0048565D" w:rsidP="0048565D">
      <w:pPr>
        <w:jc w:val="center"/>
        <w:rPr>
          <w:rFonts w:asciiTheme="minorHAnsi" w:hAnsiTheme="minorHAnsi"/>
          <w:sz w:val="24"/>
          <w:szCs w:val="24"/>
        </w:rPr>
      </w:pPr>
    </w:p>
    <w:p w:rsidR="00A06D02" w:rsidRPr="00AC2443" w:rsidRDefault="00AD1F5C" w:rsidP="00C13C86">
      <w:pPr>
        <w:ind w:left="720"/>
        <w:rPr>
          <w:rFonts w:asciiTheme="minorHAnsi" w:hAnsiTheme="minorHAnsi"/>
          <w:sz w:val="24"/>
          <w:szCs w:val="24"/>
        </w:rPr>
      </w:pPr>
      <w:r w:rsidRPr="00AC2443">
        <w:rPr>
          <w:rFonts w:asciiTheme="minorHAnsi" w:hAnsiTheme="minorHAnsi"/>
          <w:sz w:val="24"/>
          <w:szCs w:val="24"/>
        </w:rPr>
        <w:t xml:space="preserve">  </w:t>
      </w:r>
    </w:p>
    <w:p w:rsidR="0048565D" w:rsidRDefault="0048565D" w:rsidP="0048565D">
      <w:pPr>
        <w:pStyle w:val="ListParagraph"/>
        <w:numPr>
          <w:ilvl w:val="0"/>
          <w:numId w:val="5"/>
        </w:numPr>
        <w:rPr>
          <w:b/>
          <w:bCs/>
          <w:sz w:val="24"/>
          <w:szCs w:val="24"/>
        </w:rPr>
      </w:pPr>
      <w:r>
        <w:rPr>
          <w:b/>
          <w:bCs/>
          <w:sz w:val="24"/>
          <w:szCs w:val="24"/>
        </w:rPr>
        <w:t>Please provide additional information on ACLReporting.  Supporting Statement A (page 2) states that grantees submit the 704 Report “directly through the ACLReporting” is this an online portal or some other web-based system? If so, do grantees fill out the Word file? Or is there a web-based form available?</w:t>
      </w:r>
    </w:p>
    <w:p w:rsidR="0048565D" w:rsidRDefault="0048565D" w:rsidP="0048565D">
      <w:pPr>
        <w:ind w:left="720"/>
        <w:rPr>
          <w:sz w:val="24"/>
          <w:szCs w:val="24"/>
        </w:rPr>
      </w:pPr>
    </w:p>
    <w:p w:rsidR="0048565D" w:rsidRDefault="0048565D" w:rsidP="0048565D">
      <w:pPr>
        <w:ind w:left="720"/>
        <w:rPr>
          <w:sz w:val="24"/>
          <w:szCs w:val="24"/>
        </w:rPr>
      </w:pPr>
      <w:r>
        <w:rPr>
          <w:sz w:val="24"/>
          <w:szCs w:val="24"/>
        </w:rPr>
        <w:t xml:space="preserve">ACLReporting is a secure, accessible, and user‐friendly web-based system that supports the submission of state plans and performance reports for a number of ACL programs, including the Independent Living program. The Independent Living grantees use web-based forms in ACLReporting to complete the 704 Report and submit it to ACL. The Microsoft Word file posted on acl.gov is a hard-copy Word file of the template for the revised 704 Report. It is provided for review and approval purposes only and will not be used to complete and submit the revised 704 Report.  The 704 Report and other draft forms for information collection by the Independent Living program are posted on the ACL website at  </w:t>
      </w:r>
      <w:hyperlink r:id="rId8" w:history="1">
        <w:r>
          <w:rPr>
            <w:rStyle w:val="Hyperlink"/>
            <w:sz w:val="24"/>
            <w:szCs w:val="24"/>
          </w:rPr>
          <w:t>https://www.acl.gov/about-acl/policy-and-regulations</w:t>
        </w:r>
      </w:hyperlink>
      <w:r>
        <w:rPr>
          <w:sz w:val="24"/>
          <w:szCs w:val="24"/>
        </w:rPr>
        <w:t xml:space="preserve">.  </w:t>
      </w:r>
    </w:p>
    <w:p w:rsidR="0048565D" w:rsidRDefault="0048565D" w:rsidP="0048565D"/>
    <w:p w:rsidR="008346C2" w:rsidRDefault="008346C2" w:rsidP="0048565D"/>
    <w:p w:rsidR="00A01BC2" w:rsidRPr="00AC2443" w:rsidRDefault="00A01BC2" w:rsidP="00AC2443">
      <w:pPr>
        <w:pStyle w:val="ListParagraph"/>
        <w:numPr>
          <w:ilvl w:val="0"/>
          <w:numId w:val="4"/>
        </w:numPr>
        <w:rPr>
          <w:rFonts w:asciiTheme="minorHAnsi" w:hAnsiTheme="minorHAnsi"/>
          <w:sz w:val="24"/>
          <w:szCs w:val="24"/>
        </w:rPr>
      </w:pPr>
      <w:r w:rsidRPr="00AC2443">
        <w:rPr>
          <w:rFonts w:asciiTheme="minorHAnsi" w:hAnsiTheme="minorHAnsi"/>
          <w:b/>
          <w:sz w:val="24"/>
          <w:szCs w:val="24"/>
        </w:rPr>
        <w:t>Please provide a more robust summary of comments received during the notice and comment periods. This summary can be included as a supplemental document, or a fuller discussion can be added to the Supporting Statement.</w:t>
      </w:r>
      <w:r w:rsidR="000027D5" w:rsidRPr="00AC2443">
        <w:rPr>
          <w:rFonts w:asciiTheme="minorHAnsi" w:hAnsiTheme="minorHAnsi"/>
          <w:b/>
          <w:sz w:val="24"/>
          <w:szCs w:val="24"/>
        </w:rPr>
        <w:t xml:space="preserve">  </w:t>
      </w:r>
      <w:r w:rsidRPr="00AC2443">
        <w:rPr>
          <w:rFonts w:asciiTheme="minorHAnsi" w:hAnsiTheme="minorHAnsi"/>
          <w:b/>
          <w:sz w:val="24"/>
          <w:szCs w:val="24"/>
        </w:rPr>
        <w:t>In particular, Supporting Statement A (page 4) states that, “The majority of the comments that ACL received expressed concerns over inclusion of sexual orientation and gender identity questions in the reporting instrument and asked that those questions be removed.”  Questions on these topics do not appear in the submitted instruments; does this mean that they were deleted in response to public comment?</w:t>
      </w:r>
      <w:r w:rsidRPr="00AC2443">
        <w:rPr>
          <w:rFonts w:asciiTheme="minorHAnsi" w:hAnsiTheme="minorHAnsi"/>
          <w:sz w:val="24"/>
          <w:szCs w:val="24"/>
        </w:rPr>
        <w:t xml:space="preserve"> </w:t>
      </w:r>
    </w:p>
    <w:p w:rsidR="00A053FB" w:rsidRPr="00AC2443" w:rsidRDefault="00A053FB" w:rsidP="00A053FB">
      <w:pPr>
        <w:rPr>
          <w:rFonts w:asciiTheme="minorHAnsi" w:hAnsiTheme="minorHAnsi"/>
          <w:sz w:val="24"/>
          <w:szCs w:val="24"/>
        </w:rPr>
      </w:pPr>
    </w:p>
    <w:p w:rsidR="00A053FB" w:rsidRPr="00AC2443" w:rsidRDefault="006C23B1" w:rsidP="00AC2443">
      <w:pPr>
        <w:ind w:left="720"/>
        <w:rPr>
          <w:rFonts w:asciiTheme="minorHAnsi" w:hAnsiTheme="minorHAnsi"/>
          <w:sz w:val="24"/>
          <w:szCs w:val="24"/>
        </w:rPr>
      </w:pPr>
      <w:r w:rsidRPr="00AC2443">
        <w:rPr>
          <w:rFonts w:asciiTheme="minorHAnsi" w:hAnsiTheme="minorHAnsi"/>
          <w:sz w:val="24"/>
          <w:szCs w:val="24"/>
        </w:rPr>
        <w:t xml:space="preserve">Sections 704(m)(4)(D), 706(d), 721(b)(3) and 725(c) of the Act and the corresponding regulations at 45 CFR 1329 require centers for independent living (CILs), designated State entities (DSEs), and Statewide Independent Living Councils (SILCs) to submit an annual performance report </w:t>
      </w:r>
      <w:r w:rsidR="004E225F" w:rsidRPr="00AC2443">
        <w:rPr>
          <w:rFonts w:asciiTheme="minorHAnsi" w:hAnsiTheme="minorHAnsi"/>
          <w:sz w:val="24"/>
          <w:szCs w:val="24"/>
        </w:rPr>
        <w:t xml:space="preserve">(APR) </w:t>
      </w:r>
      <w:r w:rsidRPr="00AC2443">
        <w:rPr>
          <w:rFonts w:asciiTheme="minorHAnsi" w:hAnsiTheme="minorHAnsi"/>
          <w:sz w:val="24"/>
          <w:szCs w:val="24"/>
        </w:rPr>
        <w:t xml:space="preserve">to the Administrator of the Administration for Community Living (ACL) to receive funding under the ILS (IL Part B and IL Part C) programs.  ACL’s approval of grantee </w:t>
      </w:r>
      <w:r w:rsidR="004E225F" w:rsidRPr="00AC2443">
        <w:rPr>
          <w:rFonts w:asciiTheme="minorHAnsi" w:hAnsiTheme="minorHAnsi"/>
          <w:sz w:val="24"/>
          <w:szCs w:val="24"/>
        </w:rPr>
        <w:t>APRs</w:t>
      </w:r>
      <w:r w:rsidRPr="00AC2443">
        <w:rPr>
          <w:rFonts w:asciiTheme="minorHAnsi" w:hAnsiTheme="minorHAnsi"/>
          <w:sz w:val="24"/>
          <w:szCs w:val="24"/>
        </w:rPr>
        <w:t xml:space="preserve"> is the major prerequisite for granting annual IL Part B (formula) and IL Part C (continuation) funding.</w:t>
      </w:r>
    </w:p>
    <w:p w:rsidR="005A59A6" w:rsidRPr="00AC2443" w:rsidRDefault="005A59A6" w:rsidP="005A59A6">
      <w:pPr>
        <w:rPr>
          <w:rFonts w:asciiTheme="minorHAnsi" w:hAnsiTheme="minorHAnsi"/>
          <w:sz w:val="24"/>
          <w:szCs w:val="24"/>
        </w:rPr>
      </w:pPr>
    </w:p>
    <w:p w:rsidR="004E225F" w:rsidRPr="00AC2443" w:rsidRDefault="004E225F" w:rsidP="00AC2443">
      <w:pPr>
        <w:pStyle w:val="ListParagraph"/>
        <w:rPr>
          <w:rFonts w:asciiTheme="minorHAnsi" w:hAnsiTheme="minorHAnsi"/>
          <w:sz w:val="24"/>
          <w:szCs w:val="24"/>
        </w:rPr>
      </w:pPr>
      <w:r w:rsidRPr="00AC2443">
        <w:rPr>
          <w:rFonts w:asciiTheme="minorHAnsi" w:hAnsiTheme="minorHAnsi"/>
          <w:sz w:val="24"/>
          <w:szCs w:val="24"/>
        </w:rPr>
        <w:t>ACL published a</w:t>
      </w:r>
      <w:r w:rsidR="003F480F" w:rsidRPr="00AC2443">
        <w:rPr>
          <w:rFonts w:asciiTheme="minorHAnsi" w:hAnsiTheme="minorHAnsi"/>
          <w:sz w:val="24"/>
          <w:szCs w:val="24"/>
        </w:rPr>
        <w:t xml:space="preserve"> 60-Day notice </w:t>
      </w:r>
      <w:r w:rsidRPr="00AC2443">
        <w:rPr>
          <w:rFonts w:asciiTheme="minorHAnsi" w:hAnsiTheme="minorHAnsi"/>
          <w:sz w:val="24"/>
          <w:szCs w:val="24"/>
        </w:rPr>
        <w:t>in</w:t>
      </w:r>
      <w:r w:rsidR="003F480F" w:rsidRPr="00AC2443">
        <w:rPr>
          <w:rFonts w:asciiTheme="minorHAnsi" w:hAnsiTheme="minorHAnsi"/>
          <w:sz w:val="24"/>
          <w:szCs w:val="24"/>
        </w:rPr>
        <w:t xml:space="preserve"> the Federal Register in Vol. 82, No. 35, pg.</w:t>
      </w:r>
      <w:r w:rsidR="00003C0C">
        <w:rPr>
          <w:rFonts w:asciiTheme="minorHAnsi" w:hAnsiTheme="minorHAnsi"/>
          <w:sz w:val="24"/>
          <w:szCs w:val="24"/>
        </w:rPr>
        <w:t xml:space="preserve"> </w:t>
      </w:r>
      <w:r w:rsidR="003F480F" w:rsidRPr="00AC2443">
        <w:rPr>
          <w:rFonts w:asciiTheme="minorHAnsi" w:hAnsiTheme="minorHAnsi"/>
          <w:sz w:val="24"/>
          <w:szCs w:val="24"/>
        </w:rPr>
        <w:t>11471 on February 23rd, 2017. A Notice of Correction was published in the Federal Register in Vol. 82, No. 42 pg.12610 on March 6</w:t>
      </w:r>
      <w:r w:rsidR="003F480F" w:rsidRPr="00AC2443">
        <w:rPr>
          <w:rFonts w:asciiTheme="minorHAnsi" w:hAnsiTheme="minorHAnsi"/>
          <w:sz w:val="24"/>
          <w:szCs w:val="24"/>
          <w:vertAlign w:val="superscript"/>
        </w:rPr>
        <w:t>th</w:t>
      </w:r>
      <w:r w:rsidR="003F480F" w:rsidRPr="00AC2443">
        <w:rPr>
          <w:rFonts w:asciiTheme="minorHAnsi" w:hAnsiTheme="minorHAnsi"/>
          <w:sz w:val="24"/>
          <w:szCs w:val="24"/>
        </w:rPr>
        <w:t xml:space="preserve">, 2017, announcing that ACL had made changes to the submission instructions, the public comments closing date, the public comments email box, and </w:t>
      </w:r>
      <w:r w:rsidRPr="00AC2443">
        <w:rPr>
          <w:rFonts w:asciiTheme="minorHAnsi" w:hAnsiTheme="minorHAnsi"/>
          <w:sz w:val="24"/>
          <w:szCs w:val="24"/>
        </w:rPr>
        <w:t xml:space="preserve">statement of </w:t>
      </w:r>
      <w:r w:rsidR="003F480F" w:rsidRPr="00AC2443">
        <w:rPr>
          <w:rFonts w:asciiTheme="minorHAnsi" w:hAnsiTheme="minorHAnsi"/>
          <w:sz w:val="24"/>
          <w:szCs w:val="24"/>
        </w:rPr>
        <w:t>the core services</w:t>
      </w:r>
      <w:r w:rsidR="00DC7D54" w:rsidRPr="00AC2443">
        <w:rPr>
          <w:rFonts w:asciiTheme="minorHAnsi" w:hAnsiTheme="minorHAnsi"/>
          <w:sz w:val="24"/>
          <w:szCs w:val="24"/>
        </w:rPr>
        <w:t>.</w:t>
      </w:r>
      <w:r w:rsidRPr="00AC2443">
        <w:rPr>
          <w:rFonts w:asciiTheme="minorHAnsi" w:hAnsiTheme="minorHAnsi"/>
          <w:sz w:val="24"/>
          <w:szCs w:val="24"/>
        </w:rPr>
        <w:t xml:space="preserve">  </w:t>
      </w:r>
      <w:r w:rsidR="005A59A6" w:rsidRPr="00AC2443">
        <w:rPr>
          <w:rFonts w:asciiTheme="minorHAnsi" w:hAnsiTheme="minorHAnsi"/>
          <w:sz w:val="24"/>
          <w:szCs w:val="24"/>
        </w:rPr>
        <w:t xml:space="preserve">ACL received comments </w:t>
      </w:r>
      <w:r w:rsidRPr="00AC2443">
        <w:rPr>
          <w:rFonts w:asciiTheme="minorHAnsi" w:hAnsiTheme="minorHAnsi"/>
          <w:sz w:val="24"/>
          <w:szCs w:val="24"/>
        </w:rPr>
        <w:t xml:space="preserve">on the notice </w:t>
      </w:r>
      <w:r w:rsidR="005A59A6" w:rsidRPr="00AC2443">
        <w:rPr>
          <w:rFonts w:asciiTheme="minorHAnsi" w:hAnsiTheme="minorHAnsi"/>
          <w:sz w:val="24"/>
          <w:szCs w:val="24"/>
        </w:rPr>
        <w:t xml:space="preserve">from 50 (Fifty) organizations that provided 221 (Two Hundred and Twenty-One) individual comments about the proposed information collection. </w:t>
      </w:r>
    </w:p>
    <w:p w:rsidR="004E225F" w:rsidRPr="00AC2443" w:rsidRDefault="004E225F" w:rsidP="00AC2443">
      <w:pPr>
        <w:pStyle w:val="ListParagraph"/>
        <w:ind w:left="360"/>
        <w:rPr>
          <w:rFonts w:asciiTheme="minorHAnsi" w:hAnsiTheme="minorHAnsi"/>
          <w:sz w:val="24"/>
          <w:szCs w:val="24"/>
        </w:rPr>
      </w:pPr>
    </w:p>
    <w:p w:rsidR="005A59A6" w:rsidRPr="00AC2443" w:rsidRDefault="005A59A6" w:rsidP="00AC2443">
      <w:pPr>
        <w:pStyle w:val="ListParagraph"/>
        <w:rPr>
          <w:rFonts w:asciiTheme="minorHAnsi" w:hAnsiTheme="minorHAnsi"/>
          <w:sz w:val="24"/>
          <w:szCs w:val="24"/>
        </w:rPr>
      </w:pPr>
      <w:r w:rsidRPr="00AC2443">
        <w:rPr>
          <w:rFonts w:asciiTheme="minorHAnsi" w:hAnsiTheme="minorHAnsi"/>
          <w:sz w:val="24"/>
          <w:szCs w:val="24"/>
        </w:rPr>
        <w:t>ACL reviewed all of the comments. The majority of the comments that ACL received expressed concerns over inclusion of sexual orientation</w:t>
      </w:r>
      <w:r w:rsidR="00DC7D54" w:rsidRPr="00AC2443">
        <w:rPr>
          <w:rFonts w:asciiTheme="minorHAnsi" w:hAnsiTheme="minorHAnsi"/>
          <w:sz w:val="24"/>
          <w:szCs w:val="24"/>
        </w:rPr>
        <w:t xml:space="preserve"> (gay, lesbian, straight, bisexual, and something else)</w:t>
      </w:r>
      <w:r w:rsidRPr="00AC2443">
        <w:rPr>
          <w:rFonts w:asciiTheme="minorHAnsi" w:hAnsiTheme="minorHAnsi"/>
          <w:sz w:val="24"/>
          <w:szCs w:val="24"/>
        </w:rPr>
        <w:t xml:space="preserve"> and gender identity </w:t>
      </w:r>
      <w:r w:rsidR="00DC7D54" w:rsidRPr="00AC2443">
        <w:rPr>
          <w:rFonts w:asciiTheme="minorHAnsi" w:hAnsiTheme="minorHAnsi"/>
          <w:sz w:val="24"/>
          <w:szCs w:val="24"/>
        </w:rPr>
        <w:t xml:space="preserve">(female, male, transgender, and gender unknown) </w:t>
      </w:r>
      <w:r w:rsidRPr="00AC2443">
        <w:rPr>
          <w:rFonts w:asciiTheme="minorHAnsi" w:hAnsiTheme="minorHAnsi"/>
          <w:sz w:val="24"/>
          <w:szCs w:val="24"/>
        </w:rPr>
        <w:t>questions in the reporting instrument and asked that those questions be removed</w:t>
      </w:r>
      <w:r w:rsidR="00DC7D54" w:rsidRPr="00AC2443">
        <w:rPr>
          <w:rFonts w:asciiTheme="minorHAnsi" w:hAnsiTheme="minorHAnsi"/>
          <w:sz w:val="24"/>
          <w:szCs w:val="24"/>
        </w:rPr>
        <w:t xml:space="preserve">.  There also were comments related to </w:t>
      </w:r>
      <w:r w:rsidRPr="00AC2443">
        <w:rPr>
          <w:rFonts w:asciiTheme="minorHAnsi" w:hAnsiTheme="minorHAnsi"/>
          <w:sz w:val="24"/>
          <w:szCs w:val="24"/>
        </w:rPr>
        <w:t xml:space="preserve">the demographics </w:t>
      </w:r>
      <w:r w:rsidR="0023039A" w:rsidRPr="00AC2443">
        <w:rPr>
          <w:rFonts w:asciiTheme="minorHAnsi" w:hAnsiTheme="minorHAnsi"/>
          <w:sz w:val="24"/>
          <w:szCs w:val="24"/>
        </w:rPr>
        <w:t xml:space="preserve">data, listing of </w:t>
      </w:r>
      <w:r w:rsidRPr="00AC2443">
        <w:rPr>
          <w:rFonts w:asciiTheme="minorHAnsi" w:hAnsiTheme="minorHAnsi"/>
          <w:sz w:val="24"/>
          <w:szCs w:val="24"/>
        </w:rPr>
        <w:t>services provided to individuals with significant disabilities</w:t>
      </w:r>
      <w:r w:rsidR="00DC7D54" w:rsidRPr="00AC2443">
        <w:rPr>
          <w:rFonts w:asciiTheme="minorHAnsi" w:hAnsiTheme="minorHAnsi"/>
          <w:sz w:val="24"/>
          <w:szCs w:val="24"/>
        </w:rPr>
        <w:t>,</w:t>
      </w:r>
      <w:r w:rsidRPr="00AC2443">
        <w:rPr>
          <w:rFonts w:asciiTheme="minorHAnsi" w:hAnsiTheme="minorHAnsi"/>
          <w:sz w:val="24"/>
          <w:szCs w:val="24"/>
        </w:rPr>
        <w:t xml:space="preserve"> the need for clarification o</w:t>
      </w:r>
      <w:r w:rsidR="00DC7D54" w:rsidRPr="00AC2443">
        <w:rPr>
          <w:rFonts w:asciiTheme="minorHAnsi" w:hAnsiTheme="minorHAnsi"/>
          <w:sz w:val="24"/>
          <w:szCs w:val="24"/>
        </w:rPr>
        <w:t>f</w:t>
      </w:r>
      <w:r w:rsidRPr="00AC2443">
        <w:rPr>
          <w:rFonts w:asciiTheme="minorHAnsi" w:hAnsiTheme="minorHAnsi"/>
          <w:sz w:val="24"/>
          <w:szCs w:val="24"/>
        </w:rPr>
        <w:t xml:space="preserve"> the definitions and instructions</w:t>
      </w:r>
      <w:r w:rsidR="00DC7D54" w:rsidRPr="00AC2443">
        <w:rPr>
          <w:rFonts w:asciiTheme="minorHAnsi" w:hAnsiTheme="minorHAnsi"/>
          <w:sz w:val="24"/>
          <w:szCs w:val="24"/>
        </w:rPr>
        <w:t>,</w:t>
      </w:r>
      <w:r w:rsidRPr="00AC2443">
        <w:rPr>
          <w:rFonts w:asciiTheme="minorHAnsi" w:hAnsiTheme="minorHAnsi"/>
          <w:sz w:val="24"/>
          <w:szCs w:val="24"/>
        </w:rPr>
        <w:t xml:space="preserve"> </w:t>
      </w:r>
      <w:r w:rsidR="00DC7D54" w:rsidRPr="00AC2443">
        <w:rPr>
          <w:rFonts w:asciiTheme="minorHAnsi" w:hAnsiTheme="minorHAnsi"/>
          <w:sz w:val="24"/>
          <w:szCs w:val="24"/>
        </w:rPr>
        <w:t xml:space="preserve">and </w:t>
      </w:r>
      <w:r w:rsidRPr="00AC2443">
        <w:rPr>
          <w:rFonts w:asciiTheme="minorHAnsi" w:hAnsiTheme="minorHAnsi"/>
          <w:sz w:val="24"/>
          <w:szCs w:val="24"/>
        </w:rPr>
        <w:t xml:space="preserve">revisions </w:t>
      </w:r>
      <w:r w:rsidR="0023039A" w:rsidRPr="00AC2443">
        <w:rPr>
          <w:rFonts w:asciiTheme="minorHAnsi" w:hAnsiTheme="minorHAnsi"/>
          <w:sz w:val="24"/>
          <w:szCs w:val="24"/>
        </w:rPr>
        <w:t xml:space="preserve">related </w:t>
      </w:r>
      <w:r w:rsidRPr="00AC2443">
        <w:rPr>
          <w:rFonts w:asciiTheme="minorHAnsi" w:hAnsiTheme="minorHAnsi"/>
          <w:sz w:val="24"/>
          <w:szCs w:val="24"/>
        </w:rPr>
        <w:t xml:space="preserve">to the IL core services and additional services sections of the updated reporting instrument. </w:t>
      </w:r>
      <w:r w:rsidR="0023039A" w:rsidRPr="00AC2443">
        <w:rPr>
          <w:rFonts w:asciiTheme="minorHAnsi" w:hAnsiTheme="minorHAnsi"/>
          <w:sz w:val="24"/>
          <w:szCs w:val="24"/>
        </w:rPr>
        <w:t xml:space="preserve"> ACL determined that extensive </w:t>
      </w:r>
      <w:r w:rsidRPr="00AC2443">
        <w:rPr>
          <w:rFonts w:asciiTheme="minorHAnsi" w:hAnsiTheme="minorHAnsi"/>
          <w:sz w:val="24"/>
          <w:szCs w:val="24"/>
        </w:rPr>
        <w:t xml:space="preserve">deliberation is needed to ensure that we appropriately address all of the concerns.  This work will </w:t>
      </w:r>
      <w:r w:rsidRPr="00AC2443">
        <w:rPr>
          <w:rFonts w:asciiTheme="minorHAnsi" w:hAnsiTheme="minorHAnsi"/>
          <w:sz w:val="24"/>
          <w:szCs w:val="24"/>
        </w:rPr>
        <w:lastRenderedPageBreak/>
        <w:t>inform a redesign of the proposed information collection forms prior to the expiration of the extension.</w:t>
      </w:r>
    </w:p>
    <w:p w:rsidR="005A59A6" w:rsidRPr="00AC2443" w:rsidRDefault="005A59A6" w:rsidP="00AC2443">
      <w:pPr>
        <w:pStyle w:val="ListParagraph"/>
        <w:ind w:left="360"/>
        <w:rPr>
          <w:rFonts w:asciiTheme="minorHAnsi" w:hAnsiTheme="minorHAnsi"/>
          <w:sz w:val="24"/>
          <w:szCs w:val="24"/>
        </w:rPr>
      </w:pPr>
    </w:p>
    <w:p w:rsidR="0023039A" w:rsidRPr="00AC2443" w:rsidRDefault="003F480F" w:rsidP="00AC2443">
      <w:pPr>
        <w:pStyle w:val="ListParagraph"/>
        <w:rPr>
          <w:rFonts w:asciiTheme="minorHAnsi" w:hAnsiTheme="minorHAnsi"/>
          <w:sz w:val="24"/>
          <w:szCs w:val="24"/>
        </w:rPr>
      </w:pPr>
      <w:r w:rsidRPr="00AC2443">
        <w:rPr>
          <w:rFonts w:asciiTheme="minorHAnsi" w:hAnsiTheme="minorHAnsi"/>
          <w:sz w:val="24"/>
          <w:szCs w:val="24"/>
        </w:rPr>
        <w:t xml:space="preserve">The original FR notice, which was published back in </w:t>
      </w:r>
      <w:r w:rsidR="00F84206" w:rsidRPr="00AC2443">
        <w:rPr>
          <w:rFonts w:asciiTheme="minorHAnsi" w:hAnsiTheme="minorHAnsi"/>
          <w:sz w:val="24"/>
          <w:szCs w:val="24"/>
        </w:rPr>
        <w:t>March</w:t>
      </w:r>
      <w:r w:rsidRPr="00AC2443">
        <w:rPr>
          <w:rFonts w:asciiTheme="minorHAnsi" w:hAnsiTheme="minorHAnsi"/>
          <w:sz w:val="24"/>
          <w:szCs w:val="24"/>
        </w:rPr>
        <w:t xml:space="preserve">, included the addition of sexual orientation and gender identity questions in the reporting instrument.  The package at OMB </w:t>
      </w:r>
      <w:r w:rsidR="0023039A" w:rsidRPr="00AC2443">
        <w:rPr>
          <w:rFonts w:asciiTheme="minorHAnsi" w:hAnsiTheme="minorHAnsi"/>
          <w:sz w:val="24"/>
          <w:szCs w:val="24"/>
        </w:rPr>
        <w:t xml:space="preserve">that you are reviewing </w:t>
      </w:r>
      <w:r w:rsidRPr="00AC2443">
        <w:rPr>
          <w:rFonts w:asciiTheme="minorHAnsi" w:hAnsiTheme="minorHAnsi"/>
          <w:sz w:val="24"/>
          <w:szCs w:val="24"/>
        </w:rPr>
        <w:t>does not include these questions because it is a</w:t>
      </w:r>
      <w:r w:rsidR="001144BC">
        <w:rPr>
          <w:rFonts w:asciiTheme="minorHAnsi" w:hAnsiTheme="minorHAnsi"/>
          <w:sz w:val="24"/>
          <w:szCs w:val="24"/>
        </w:rPr>
        <w:t xml:space="preserve"> reinstatement without change of a previously approved data collection</w:t>
      </w:r>
      <w:r w:rsidRPr="00AC2443">
        <w:rPr>
          <w:rFonts w:asciiTheme="minorHAnsi" w:hAnsiTheme="minorHAnsi"/>
          <w:sz w:val="24"/>
          <w:szCs w:val="24"/>
        </w:rPr>
        <w:t xml:space="preserve"> </w:t>
      </w:r>
      <w:r w:rsidR="00B14127" w:rsidRPr="00AC2443">
        <w:rPr>
          <w:rFonts w:asciiTheme="minorHAnsi" w:hAnsiTheme="minorHAnsi"/>
          <w:sz w:val="24"/>
          <w:szCs w:val="24"/>
        </w:rPr>
        <w:t xml:space="preserve">(ICR </w:t>
      </w:r>
      <w:r w:rsidR="001144BC">
        <w:rPr>
          <w:rFonts w:asciiTheme="minorHAnsi" w:hAnsiTheme="minorHAnsi"/>
          <w:sz w:val="24"/>
          <w:szCs w:val="24"/>
        </w:rPr>
        <w:t xml:space="preserve">Rein w/o Chg, </w:t>
      </w:r>
      <w:r w:rsidR="00B14127" w:rsidRPr="00AC2443">
        <w:rPr>
          <w:rFonts w:asciiTheme="minorHAnsi" w:hAnsiTheme="minorHAnsi"/>
          <w:sz w:val="24"/>
          <w:szCs w:val="24"/>
        </w:rPr>
        <w:t xml:space="preserve">OMB approval number 0985-0023).  This will allow ACL to </w:t>
      </w:r>
      <w:r w:rsidR="0023039A" w:rsidRPr="00AC2443">
        <w:rPr>
          <w:rFonts w:asciiTheme="minorHAnsi" w:hAnsiTheme="minorHAnsi"/>
          <w:sz w:val="24"/>
          <w:szCs w:val="24"/>
        </w:rPr>
        <w:t xml:space="preserve">use the existing forms </w:t>
      </w:r>
      <w:r w:rsidR="00B14127" w:rsidRPr="00AC2443">
        <w:rPr>
          <w:rFonts w:asciiTheme="minorHAnsi" w:hAnsiTheme="minorHAnsi"/>
          <w:sz w:val="24"/>
          <w:szCs w:val="24"/>
        </w:rPr>
        <w:t>to</w:t>
      </w:r>
      <w:r w:rsidR="0023039A" w:rsidRPr="00AC2443">
        <w:rPr>
          <w:rFonts w:asciiTheme="minorHAnsi" w:hAnsiTheme="minorHAnsi"/>
          <w:sz w:val="24"/>
          <w:szCs w:val="24"/>
        </w:rPr>
        <w:t xml:space="preserve"> collect statutorily required data while we are working on the revisions to the data collection.  </w:t>
      </w:r>
      <w:r w:rsidRPr="00AC2443">
        <w:rPr>
          <w:rFonts w:asciiTheme="minorHAnsi" w:hAnsiTheme="minorHAnsi"/>
          <w:sz w:val="24"/>
          <w:szCs w:val="24"/>
        </w:rPr>
        <w:t xml:space="preserve">ACL </w:t>
      </w:r>
      <w:r w:rsidR="001144BC">
        <w:rPr>
          <w:rFonts w:asciiTheme="minorHAnsi" w:hAnsiTheme="minorHAnsi"/>
          <w:sz w:val="24"/>
          <w:szCs w:val="24"/>
        </w:rPr>
        <w:t>has requested a</w:t>
      </w:r>
      <w:r w:rsidRPr="00AC2443">
        <w:rPr>
          <w:rFonts w:asciiTheme="minorHAnsi" w:hAnsiTheme="minorHAnsi"/>
          <w:sz w:val="24"/>
          <w:szCs w:val="24"/>
        </w:rPr>
        <w:t xml:space="preserve"> one-year extension of the current forms so it c</w:t>
      </w:r>
      <w:r w:rsidR="00B14127" w:rsidRPr="00AC2443">
        <w:rPr>
          <w:rFonts w:asciiTheme="minorHAnsi" w:hAnsiTheme="minorHAnsi"/>
          <w:sz w:val="24"/>
          <w:szCs w:val="24"/>
        </w:rPr>
        <w:t>an continue to</w:t>
      </w:r>
      <w:r w:rsidRPr="00AC2443">
        <w:rPr>
          <w:rFonts w:asciiTheme="minorHAnsi" w:hAnsiTheme="minorHAnsi"/>
          <w:sz w:val="24"/>
          <w:szCs w:val="24"/>
        </w:rPr>
        <w:t xml:space="preserve"> work on </w:t>
      </w:r>
      <w:r w:rsidR="0023039A" w:rsidRPr="00AC2443">
        <w:rPr>
          <w:rFonts w:asciiTheme="minorHAnsi" w:hAnsiTheme="minorHAnsi"/>
          <w:sz w:val="24"/>
          <w:szCs w:val="24"/>
        </w:rPr>
        <w:t>revising the forms</w:t>
      </w:r>
      <w:r w:rsidRPr="00AC2443">
        <w:rPr>
          <w:rFonts w:asciiTheme="minorHAnsi" w:hAnsiTheme="minorHAnsi"/>
          <w:sz w:val="24"/>
          <w:szCs w:val="24"/>
        </w:rPr>
        <w:t>.</w:t>
      </w:r>
      <w:r w:rsidR="0023039A" w:rsidRPr="00AC2443">
        <w:rPr>
          <w:rFonts w:asciiTheme="minorHAnsi" w:hAnsiTheme="minorHAnsi"/>
          <w:sz w:val="24"/>
          <w:szCs w:val="24"/>
        </w:rPr>
        <w:t xml:space="preserve">  Approval of the one-year extension would allow us time </w:t>
      </w:r>
      <w:r w:rsidR="00E66854">
        <w:rPr>
          <w:rFonts w:asciiTheme="minorHAnsi" w:hAnsiTheme="minorHAnsi"/>
          <w:sz w:val="24"/>
          <w:szCs w:val="24"/>
        </w:rPr>
        <w:t xml:space="preserve">to implement </w:t>
      </w:r>
      <w:r w:rsidR="0023039A" w:rsidRPr="00AC2443">
        <w:rPr>
          <w:rFonts w:asciiTheme="minorHAnsi" w:hAnsiTheme="minorHAnsi"/>
          <w:sz w:val="24"/>
          <w:szCs w:val="24"/>
        </w:rPr>
        <w:t xml:space="preserve">a thoughtful review </w:t>
      </w:r>
      <w:r w:rsidR="00E66854">
        <w:rPr>
          <w:rFonts w:asciiTheme="minorHAnsi" w:hAnsiTheme="minorHAnsi"/>
          <w:sz w:val="24"/>
          <w:szCs w:val="24"/>
        </w:rPr>
        <w:t xml:space="preserve">and revision process </w:t>
      </w:r>
      <w:r w:rsidR="0023039A" w:rsidRPr="00AC2443">
        <w:rPr>
          <w:rFonts w:asciiTheme="minorHAnsi" w:hAnsiTheme="minorHAnsi"/>
          <w:sz w:val="24"/>
          <w:szCs w:val="24"/>
        </w:rPr>
        <w:t xml:space="preserve">and to </w:t>
      </w:r>
      <w:r w:rsidR="00B03CA8" w:rsidRPr="00AC2443">
        <w:rPr>
          <w:rFonts w:asciiTheme="minorHAnsi" w:hAnsiTheme="minorHAnsi"/>
          <w:sz w:val="24"/>
          <w:szCs w:val="24"/>
        </w:rPr>
        <w:t xml:space="preserve">put </w:t>
      </w:r>
      <w:r w:rsidR="00E66854">
        <w:rPr>
          <w:rFonts w:asciiTheme="minorHAnsi" w:hAnsiTheme="minorHAnsi"/>
          <w:sz w:val="24"/>
          <w:szCs w:val="24"/>
        </w:rPr>
        <w:t xml:space="preserve">a new information collection request with </w:t>
      </w:r>
      <w:r w:rsidR="00B03CA8" w:rsidRPr="00AC2443">
        <w:rPr>
          <w:rFonts w:asciiTheme="minorHAnsi" w:hAnsiTheme="minorHAnsi"/>
          <w:sz w:val="24"/>
          <w:szCs w:val="24"/>
        </w:rPr>
        <w:t>the revised</w:t>
      </w:r>
      <w:r w:rsidR="0023039A" w:rsidRPr="00AC2443">
        <w:rPr>
          <w:rFonts w:asciiTheme="minorHAnsi" w:hAnsiTheme="minorHAnsi"/>
          <w:sz w:val="24"/>
          <w:szCs w:val="24"/>
        </w:rPr>
        <w:t xml:space="preserve"> </w:t>
      </w:r>
      <w:r w:rsidR="00B03CA8" w:rsidRPr="00AC2443">
        <w:rPr>
          <w:rFonts w:asciiTheme="minorHAnsi" w:hAnsiTheme="minorHAnsi"/>
          <w:sz w:val="24"/>
          <w:szCs w:val="24"/>
        </w:rPr>
        <w:t>forms into PRA clearance</w:t>
      </w:r>
      <w:r w:rsidR="0023039A" w:rsidRPr="00AC2443">
        <w:rPr>
          <w:rFonts w:asciiTheme="minorHAnsi" w:hAnsiTheme="minorHAnsi"/>
          <w:sz w:val="24"/>
          <w:szCs w:val="24"/>
        </w:rPr>
        <w:t xml:space="preserve">.  </w:t>
      </w:r>
    </w:p>
    <w:p w:rsidR="0023039A" w:rsidRPr="00AC2443" w:rsidRDefault="0023039A" w:rsidP="00CF6986">
      <w:pPr>
        <w:pStyle w:val="ListParagraph"/>
        <w:rPr>
          <w:rFonts w:asciiTheme="minorHAnsi" w:hAnsiTheme="minorHAnsi"/>
          <w:sz w:val="24"/>
          <w:szCs w:val="24"/>
        </w:rPr>
      </w:pPr>
    </w:p>
    <w:p w:rsidR="005A59A6" w:rsidRPr="00CF6986" w:rsidRDefault="005A59A6" w:rsidP="00AC2443">
      <w:pPr>
        <w:pStyle w:val="ListParagraph"/>
        <w:rPr>
          <w:rFonts w:asciiTheme="minorHAnsi" w:hAnsiTheme="minorHAnsi"/>
          <w:sz w:val="24"/>
          <w:szCs w:val="24"/>
        </w:rPr>
      </w:pPr>
      <w:r w:rsidRPr="00AC2443">
        <w:rPr>
          <w:rFonts w:asciiTheme="minorHAnsi" w:hAnsiTheme="minorHAnsi"/>
          <w:sz w:val="24"/>
          <w:szCs w:val="24"/>
        </w:rPr>
        <w:t xml:space="preserve">The </w:t>
      </w:r>
      <w:r w:rsidR="00003C0C">
        <w:rPr>
          <w:rFonts w:asciiTheme="minorHAnsi" w:hAnsiTheme="minorHAnsi"/>
          <w:sz w:val="24"/>
          <w:szCs w:val="24"/>
        </w:rPr>
        <w:t>d</w:t>
      </w:r>
      <w:r w:rsidRPr="00AC2443">
        <w:rPr>
          <w:rFonts w:asciiTheme="minorHAnsi" w:hAnsiTheme="minorHAnsi"/>
          <w:sz w:val="24"/>
          <w:szCs w:val="24"/>
        </w:rPr>
        <w:t xml:space="preserve">eadline for </w:t>
      </w:r>
      <w:r w:rsidR="0023039A" w:rsidRPr="00AC2443">
        <w:rPr>
          <w:rFonts w:asciiTheme="minorHAnsi" w:hAnsiTheme="minorHAnsi"/>
          <w:sz w:val="24"/>
          <w:szCs w:val="24"/>
        </w:rPr>
        <w:t xml:space="preserve">grantees to submit </w:t>
      </w:r>
      <w:r w:rsidRPr="00AC2443">
        <w:rPr>
          <w:rFonts w:asciiTheme="minorHAnsi" w:hAnsiTheme="minorHAnsi"/>
          <w:sz w:val="24"/>
          <w:szCs w:val="24"/>
        </w:rPr>
        <w:t>the</w:t>
      </w:r>
      <w:r w:rsidR="0023039A" w:rsidRPr="00AC2443">
        <w:rPr>
          <w:rFonts w:asciiTheme="minorHAnsi" w:hAnsiTheme="minorHAnsi"/>
          <w:sz w:val="24"/>
          <w:szCs w:val="24"/>
        </w:rPr>
        <w:t>ir</w:t>
      </w:r>
      <w:r w:rsidRPr="00AC2443">
        <w:rPr>
          <w:rFonts w:asciiTheme="minorHAnsi" w:hAnsiTheme="minorHAnsi"/>
          <w:sz w:val="24"/>
          <w:szCs w:val="24"/>
        </w:rPr>
        <w:t xml:space="preserve"> FY 2017 704 reports is December 31, 2017. </w:t>
      </w:r>
      <w:r w:rsidR="0023039A" w:rsidRPr="00AC2443">
        <w:rPr>
          <w:rFonts w:asciiTheme="minorHAnsi" w:hAnsiTheme="minorHAnsi"/>
          <w:sz w:val="24"/>
          <w:szCs w:val="24"/>
        </w:rPr>
        <w:t xml:space="preserve">However, we do not have an approved data collection instrument. </w:t>
      </w:r>
      <w:r w:rsidRPr="00AC2443">
        <w:rPr>
          <w:rFonts w:asciiTheme="minorHAnsi" w:hAnsiTheme="minorHAnsi"/>
          <w:sz w:val="24"/>
          <w:szCs w:val="24"/>
        </w:rPr>
        <w:t xml:space="preserve"> The current 704 report is identical to the one which OMB approved in 2014.   ACL is seeking OMB approval</w:t>
      </w:r>
      <w:r w:rsidR="001144BC">
        <w:rPr>
          <w:rFonts w:asciiTheme="minorHAnsi" w:hAnsiTheme="minorHAnsi"/>
          <w:sz w:val="24"/>
          <w:szCs w:val="24"/>
        </w:rPr>
        <w:t xml:space="preserve"> to use the existing </w:t>
      </w:r>
      <w:r w:rsidRPr="00AC2443">
        <w:rPr>
          <w:rFonts w:asciiTheme="minorHAnsi" w:hAnsiTheme="minorHAnsi"/>
          <w:sz w:val="24"/>
          <w:szCs w:val="24"/>
        </w:rPr>
        <w:t>704 report</w:t>
      </w:r>
      <w:r w:rsidR="001144BC">
        <w:rPr>
          <w:rFonts w:asciiTheme="minorHAnsi" w:hAnsiTheme="minorHAnsi"/>
          <w:sz w:val="24"/>
          <w:szCs w:val="24"/>
        </w:rPr>
        <w:t xml:space="preserve"> form</w:t>
      </w:r>
      <w:r w:rsidRPr="00AC2443">
        <w:rPr>
          <w:rFonts w:asciiTheme="minorHAnsi" w:hAnsiTheme="minorHAnsi"/>
          <w:sz w:val="24"/>
          <w:szCs w:val="24"/>
        </w:rPr>
        <w:t xml:space="preserve"> </w:t>
      </w:r>
      <w:r w:rsidR="00C26384" w:rsidRPr="00AC2443">
        <w:rPr>
          <w:rFonts w:asciiTheme="minorHAnsi" w:hAnsiTheme="minorHAnsi"/>
          <w:sz w:val="24"/>
          <w:szCs w:val="24"/>
        </w:rPr>
        <w:t xml:space="preserve">for one year to allow us to collect the 2017 data and work on a </w:t>
      </w:r>
      <w:r w:rsidR="00E66854">
        <w:rPr>
          <w:rFonts w:asciiTheme="minorHAnsi" w:hAnsiTheme="minorHAnsi"/>
          <w:sz w:val="24"/>
          <w:szCs w:val="24"/>
        </w:rPr>
        <w:t xml:space="preserve">separate </w:t>
      </w:r>
      <w:r w:rsidR="00C26384" w:rsidRPr="00AC2443">
        <w:rPr>
          <w:rFonts w:asciiTheme="minorHAnsi" w:hAnsiTheme="minorHAnsi"/>
          <w:sz w:val="24"/>
          <w:szCs w:val="24"/>
        </w:rPr>
        <w:t>submission that addresses the comments</w:t>
      </w:r>
      <w:r w:rsidR="00B03CA8" w:rsidRPr="00AC2443">
        <w:rPr>
          <w:rFonts w:asciiTheme="minorHAnsi" w:hAnsiTheme="minorHAnsi"/>
          <w:sz w:val="24"/>
          <w:szCs w:val="24"/>
        </w:rPr>
        <w:t xml:space="preserve"> and input from the new political leadership at ACL</w:t>
      </w:r>
      <w:r w:rsidR="00C26384" w:rsidRPr="00AC2443">
        <w:rPr>
          <w:rFonts w:asciiTheme="minorHAnsi" w:hAnsiTheme="minorHAnsi"/>
          <w:sz w:val="24"/>
          <w:szCs w:val="24"/>
        </w:rPr>
        <w:t xml:space="preserve">.  </w:t>
      </w:r>
      <w:r w:rsidR="00CF6986" w:rsidRPr="00CF6986">
        <w:rPr>
          <w:rFonts w:asciiTheme="minorHAnsi" w:hAnsiTheme="minorHAnsi"/>
          <w:sz w:val="24"/>
          <w:szCs w:val="24"/>
        </w:rPr>
        <w:t xml:space="preserve">It should also be noted that all work on revisions to the 704 Parts I and II reports has ceased; and that a new work group </w:t>
      </w:r>
      <w:r w:rsidR="009842BE">
        <w:rPr>
          <w:rFonts w:asciiTheme="minorHAnsi" w:hAnsiTheme="minorHAnsi"/>
          <w:sz w:val="24"/>
          <w:szCs w:val="24"/>
        </w:rPr>
        <w:t>has been</w:t>
      </w:r>
      <w:r w:rsidR="00CF6986" w:rsidRPr="00CF6986">
        <w:rPr>
          <w:rFonts w:asciiTheme="minorHAnsi" w:hAnsiTheme="minorHAnsi"/>
          <w:sz w:val="24"/>
          <w:szCs w:val="24"/>
        </w:rPr>
        <w:t xml:space="preserve"> established to handle that project.  </w:t>
      </w:r>
      <w:r w:rsidR="009842BE">
        <w:rPr>
          <w:rFonts w:asciiTheme="minorHAnsi" w:hAnsiTheme="minorHAnsi"/>
          <w:sz w:val="24"/>
          <w:szCs w:val="24"/>
        </w:rPr>
        <w:t>When it is ready, t</w:t>
      </w:r>
      <w:r w:rsidR="00C26384" w:rsidRPr="00AC2443">
        <w:rPr>
          <w:rFonts w:asciiTheme="minorHAnsi" w:hAnsiTheme="minorHAnsi"/>
          <w:sz w:val="24"/>
          <w:szCs w:val="24"/>
        </w:rPr>
        <w:t>h</w:t>
      </w:r>
      <w:r w:rsidR="00E66854">
        <w:rPr>
          <w:rFonts w:asciiTheme="minorHAnsi" w:hAnsiTheme="minorHAnsi"/>
          <w:sz w:val="24"/>
          <w:szCs w:val="24"/>
        </w:rPr>
        <w:t>e</w:t>
      </w:r>
      <w:r w:rsidR="00C26384" w:rsidRPr="00AC2443">
        <w:rPr>
          <w:rFonts w:asciiTheme="minorHAnsi" w:hAnsiTheme="minorHAnsi"/>
          <w:sz w:val="24"/>
          <w:szCs w:val="24"/>
        </w:rPr>
        <w:t xml:space="preserve"> revision will </w:t>
      </w:r>
      <w:r w:rsidR="00B03CA8" w:rsidRPr="00AC2443">
        <w:rPr>
          <w:rFonts w:asciiTheme="minorHAnsi" w:hAnsiTheme="minorHAnsi"/>
          <w:sz w:val="24"/>
          <w:szCs w:val="24"/>
        </w:rPr>
        <w:t>go through the full PRA clearance process, including</w:t>
      </w:r>
      <w:r w:rsidR="00C26384" w:rsidRPr="00AC2443">
        <w:rPr>
          <w:rFonts w:asciiTheme="minorHAnsi" w:hAnsiTheme="minorHAnsi"/>
          <w:sz w:val="24"/>
          <w:szCs w:val="24"/>
        </w:rPr>
        <w:t xml:space="preserve"> public comment and </w:t>
      </w:r>
      <w:r w:rsidR="00B03CA8" w:rsidRPr="00AC2443">
        <w:rPr>
          <w:rFonts w:asciiTheme="minorHAnsi" w:hAnsiTheme="minorHAnsi"/>
          <w:sz w:val="24"/>
          <w:szCs w:val="24"/>
        </w:rPr>
        <w:t xml:space="preserve">submission to </w:t>
      </w:r>
      <w:r w:rsidR="00C26384" w:rsidRPr="00AC2443">
        <w:rPr>
          <w:rFonts w:asciiTheme="minorHAnsi" w:hAnsiTheme="minorHAnsi"/>
          <w:sz w:val="24"/>
          <w:szCs w:val="24"/>
        </w:rPr>
        <w:t xml:space="preserve">OMB </w:t>
      </w:r>
      <w:r w:rsidR="00B03CA8" w:rsidRPr="00AC2443">
        <w:rPr>
          <w:rFonts w:asciiTheme="minorHAnsi" w:hAnsiTheme="minorHAnsi"/>
          <w:sz w:val="24"/>
          <w:szCs w:val="24"/>
        </w:rPr>
        <w:t>for approval</w:t>
      </w:r>
      <w:r w:rsidR="00C26384" w:rsidRPr="00AC2443">
        <w:rPr>
          <w:rFonts w:asciiTheme="minorHAnsi" w:hAnsiTheme="minorHAnsi"/>
          <w:sz w:val="24"/>
          <w:szCs w:val="24"/>
        </w:rPr>
        <w:t xml:space="preserve">.  </w:t>
      </w:r>
    </w:p>
    <w:p w:rsidR="00B03CA8" w:rsidRPr="00CF6986" w:rsidRDefault="00B03CA8" w:rsidP="00CF6986">
      <w:pPr>
        <w:pStyle w:val="ListParagraph"/>
        <w:rPr>
          <w:rFonts w:asciiTheme="minorHAnsi" w:hAnsiTheme="minorHAnsi"/>
          <w:sz w:val="24"/>
          <w:szCs w:val="24"/>
        </w:rPr>
      </w:pPr>
    </w:p>
    <w:p w:rsidR="00951D0B" w:rsidRPr="00AC2443" w:rsidRDefault="00A01BC2" w:rsidP="00AC2443">
      <w:pPr>
        <w:pStyle w:val="ListParagraph"/>
        <w:numPr>
          <w:ilvl w:val="0"/>
          <w:numId w:val="4"/>
        </w:numPr>
        <w:rPr>
          <w:rFonts w:asciiTheme="minorHAnsi" w:hAnsiTheme="minorHAnsi"/>
          <w:b/>
          <w:sz w:val="24"/>
          <w:szCs w:val="24"/>
        </w:rPr>
      </w:pPr>
      <w:r w:rsidRPr="00AC2443">
        <w:rPr>
          <w:rFonts w:asciiTheme="minorHAnsi" w:hAnsiTheme="minorHAnsi"/>
          <w:b/>
          <w:sz w:val="24"/>
          <w:szCs w:val="24"/>
        </w:rPr>
        <w:t xml:space="preserve">The ICR data associated with the individual ICs indicates that the “Line of Business” is “Education” and the “Subfunction” is Elementary, Secondary, and Vocational Education (this is the case for both ICs).  Is this categorization correct?  If not, please update. </w:t>
      </w:r>
    </w:p>
    <w:p w:rsidR="00951D0B" w:rsidRPr="00AC2443" w:rsidRDefault="00951D0B" w:rsidP="006C23B1">
      <w:pPr>
        <w:ind w:left="360"/>
        <w:rPr>
          <w:rFonts w:asciiTheme="minorHAnsi" w:hAnsiTheme="minorHAnsi"/>
          <w:b/>
          <w:sz w:val="24"/>
          <w:szCs w:val="24"/>
        </w:rPr>
      </w:pPr>
    </w:p>
    <w:p w:rsidR="00FC4DC1" w:rsidRPr="00AC2443" w:rsidRDefault="00FC4DC1" w:rsidP="00AC2443">
      <w:pPr>
        <w:ind w:left="720"/>
        <w:rPr>
          <w:rFonts w:asciiTheme="minorHAnsi" w:hAnsiTheme="minorHAnsi"/>
          <w:sz w:val="24"/>
          <w:szCs w:val="24"/>
        </w:rPr>
      </w:pPr>
      <w:r w:rsidRPr="00AC2443">
        <w:rPr>
          <w:rFonts w:asciiTheme="minorHAnsi" w:hAnsiTheme="minorHAnsi"/>
          <w:sz w:val="24"/>
          <w:szCs w:val="24"/>
        </w:rPr>
        <w:t xml:space="preserve">The forms were carried forward without change from the last approval, which was when the program was administered by the Department of Education.  These should have been changed to reflect the transfer of the program to HHS.  </w:t>
      </w:r>
      <w:r w:rsidR="009842BE">
        <w:rPr>
          <w:rFonts w:asciiTheme="minorHAnsi" w:hAnsiTheme="minorHAnsi"/>
          <w:sz w:val="24"/>
          <w:szCs w:val="24"/>
        </w:rPr>
        <w:t>Adjustments have been made in ROCIS to reflect the correct categorization</w:t>
      </w:r>
      <w:r w:rsidR="00AC2443" w:rsidRPr="00AC2443">
        <w:rPr>
          <w:rFonts w:asciiTheme="minorHAnsi" w:hAnsiTheme="minorHAnsi"/>
          <w:sz w:val="24"/>
          <w:szCs w:val="24"/>
        </w:rPr>
        <w:t>.</w:t>
      </w:r>
      <w:r w:rsidRPr="00AC2443">
        <w:rPr>
          <w:rFonts w:asciiTheme="minorHAnsi" w:hAnsiTheme="minorHAnsi"/>
          <w:sz w:val="24"/>
          <w:szCs w:val="24"/>
        </w:rPr>
        <w:t xml:space="preserve"> </w:t>
      </w:r>
    </w:p>
    <w:p w:rsidR="00951D0B" w:rsidRPr="00AC2443" w:rsidRDefault="00951D0B" w:rsidP="006C23B1">
      <w:pPr>
        <w:ind w:left="360"/>
        <w:rPr>
          <w:rFonts w:asciiTheme="minorHAnsi" w:hAnsiTheme="minorHAnsi"/>
          <w:b/>
          <w:sz w:val="24"/>
          <w:szCs w:val="24"/>
        </w:rPr>
      </w:pPr>
    </w:p>
    <w:p w:rsidR="00A01BC2" w:rsidRPr="00AC2443" w:rsidRDefault="00A01BC2" w:rsidP="00AC2443">
      <w:pPr>
        <w:pStyle w:val="ListParagraph"/>
        <w:numPr>
          <w:ilvl w:val="0"/>
          <w:numId w:val="4"/>
        </w:numPr>
        <w:rPr>
          <w:rFonts w:asciiTheme="minorHAnsi" w:hAnsiTheme="minorHAnsi"/>
          <w:b/>
          <w:sz w:val="24"/>
          <w:szCs w:val="24"/>
        </w:rPr>
      </w:pPr>
      <w:r w:rsidRPr="00AC2443">
        <w:rPr>
          <w:rFonts w:asciiTheme="minorHAnsi" w:hAnsiTheme="minorHAnsi"/>
          <w:b/>
          <w:sz w:val="24"/>
          <w:szCs w:val="24"/>
        </w:rPr>
        <w:t xml:space="preserve">Please provide additional information on the changes that will be needed related to WIOA. </w:t>
      </w:r>
    </w:p>
    <w:p w:rsidR="00951D0B" w:rsidRPr="00AC2443" w:rsidRDefault="00951D0B" w:rsidP="006C23B1">
      <w:pPr>
        <w:ind w:left="360"/>
        <w:rPr>
          <w:rFonts w:asciiTheme="minorHAnsi" w:hAnsiTheme="minorHAnsi"/>
          <w:b/>
          <w:sz w:val="24"/>
          <w:szCs w:val="24"/>
        </w:rPr>
      </w:pPr>
    </w:p>
    <w:p w:rsidR="00A17C63" w:rsidRPr="00AC2443" w:rsidRDefault="00A17C63" w:rsidP="00AC2443">
      <w:pPr>
        <w:pStyle w:val="ListParagraph"/>
        <w:rPr>
          <w:rFonts w:asciiTheme="minorHAnsi" w:hAnsiTheme="minorHAnsi"/>
          <w:sz w:val="24"/>
          <w:szCs w:val="24"/>
        </w:rPr>
      </w:pPr>
      <w:r w:rsidRPr="00AC2443">
        <w:rPr>
          <w:rFonts w:asciiTheme="minorHAnsi" w:hAnsiTheme="minorHAnsi"/>
          <w:sz w:val="24"/>
          <w:szCs w:val="24"/>
        </w:rPr>
        <w:t>The Workforce Innovation and Opportunity Act</w:t>
      </w:r>
      <w:r w:rsidR="00B03CA8" w:rsidRPr="00AC2443">
        <w:rPr>
          <w:rFonts w:asciiTheme="minorHAnsi" w:hAnsiTheme="minorHAnsi"/>
          <w:sz w:val="24"/>
          <w:szCs w:val="24"/>
        </w:rPr>
        <w:t xml:space="preserve"> of 2014</w:t>
      </w:r>
      <w:r w:rsidRPr="00AC2443">
        <w:rPr>
          <w:rFonts w:asciiTheme="minorHAnsi" w:hAnsiTheme="minorHAnsi"/>
          <w:sz w:val="24"/>
          <w:szCs w:val="24"/>
        </w:rPr>
        <w:t xml:space="preserve"> (WIOA), enacted on July 22, 2014, </w:t>
      </w:r>
      <w:r w:rsidR="00B03CA8" w:rsidRPr="00AC2443">
        <w:rPr>
          <w:rFonts w:asciiTheme="minorHAnsi" w:hAnsiTheme="minorHAnsi"/>
          <w:bCs/>
          <w:sz w:val="24"/>
          <w:szCs w:val="24"/>
        </w:rPr>
        <w:t xml:space="preserve">created the Independent Living Administration and placed it in the Administration on Disabilities within ACL.  It also </w:t>
      </w:r>
      <w:r w:rsidRPr="00AC2443">
        <w:rPr>
          <w:rFonts w:asciiTheme="minorHAnsi" w:hAnsiTheme="minorHAnsi"/>
          <w:sz w:val="24"/>
          <w:szCs w:val="24"/>
        </w:rPr>
        <w:t xml:space="preserve">added a new core service to the list of “independent living core services” that ACL funded Centers for Independent Living (CILs) are required to provide.  </w:t>
      </w:r>
      <w:r w:rsidRPr="00AC2443">
        <w:rPr>
          <w:rFonts w:asciiTheme="minorHAnsi" w:hAnsiTheme="minorHAnsi"/>
          <w:noProof/>
          <w:sz w:val="24"/>
          <w:szCs w:val="24"/>
        </w:rPr>
        <w:t>Prior to WIOA, CILs were required to provide four core independent living services:  (1) information and referral services; (2) independent living skills training; (3) peer counseling, including cross-disability peer counseling;</w:t>
      </w:r>
      <w:r w:rsidR="00B03CA8" w:rsidRPr="00AC2443">
        <w:rPr>
          <w:rFonts w:asciiTheme="minorHAnsi" w:hAnsiTheme="minorHAnsi"/>
          <w:noProof/>
          <w:sz w:val="24"/>
          <w:szCs w:val="24"/>
        </w:rPr>
        <w:t xml:space="preserve"> and</w:t>
      </w:r>
      <w:r w:rsidRPr="00AC2443">
        <w:rPr>
          <w:rFonts w:asciiTheme="minorHAnsi" w:hAnsiTheme="minorHAnsi"/>
          <w:noProof/>
          <w:sz w:val="24"/>
          <w:szCs w:val="24"/>
        </w:rPr>
        <w:t xml:space="preserve"> (4) and individual and systems advocacy.  WIOA added a fifth core service for “transition services.”  </w:t>
      </w:r>
      <w:r w:rsidRPr="00AC2443">
        <w:rPr>
          <w:rFonts w:asciiTheme="minorHAnsi" w:hAnsiTheme="minorHAnsi"/>
          <w:sz w:val="24"/>
          <w:szCs w:val="24"/>
        </w:rPr>
        <w:t xml:space="preserve"> </w:t>
      </w:r>
      <w:r w:rsidRPr="00AC2443">
        <w:rPr>
          <w:rFonts w:asciiTheme="minorHAnsi" w:hAnsiTheme="minorHAnsi"/>
          <w:noProof/>
          <w:sz w:val="24"/>
          <w:szCs w:val="24"/>
        </w:rPr>
        <w:t>Th</w:t>
      </w:r>
      <w:r w:rsidR="00E66854">
        <w:rPr>
          <w:rFonts w:asciiTheme="minorHAnsi" w:hAnsiTheme="minorHAnsi"/>
          <w:noProof/>
          <w:sz w:val="24"/>
          <w:szCs w:val="24"/>
        </w:rPr>
        <w:t>e</w:t>
      </w:r>
      <w:r w:rsidRPr="00AC2443">
        <w:rPr>
          <w:rFonts w:asciiTheme="minorHAnsi" w:hAnsiTheme="minorHAnsi"/>
          <w:noProof/>
          <w:sz w:val="24"/>
          <w:szCs w:val="24"/>
        </w:rPr>
        <w:t xml:space="preserve"> new core service has three components</w:t>
      </w:r>
      <w:r w:rsidR="00E66854">
        <w:rPr>
          <w:rFonts w:asciiTheme="minorHAnsi" w:hAnsiTheme="minorHAnsi"/>
          <w:noProof/>
          <w:sz w:val="24"/>
          <w:szCs w:val="24"/>
        </w:rPr>
        <w:t xml:space="preserve"> that require CILS to</w:t>
      </w:r>
      <w:r w:rsidRPr="00AC2443">
        <w:rPr>
          <w:rFonts w:asciiTheme="minorHAnsi" w:hAnsiTheme="minorHAnsi"/>
          <w:noProof/>
          <w:sz w:val="24"/>
          <w:szCs w:val="24"/>
        </w:rPr>
        <w:t xml:space="preserve">: </w:t>
      </w:r>
    </w:p>
    <w:p w:rsidR="00A17C63" w:rsidRPr="00AC2443" w:rsidRDefault="00A17C63" w:rsidP="00AC2443">
      <w:pPr>
        <w:pStyle w:val="ListParagraph"/>
        <w:numPr>
          <w:ilvl w:val="0"/>
          <w:numId w:val="3"/>
        </w:numPr>
        <w:spacing w:before="120" w:after="120"/>
        <w:ind w:left="1080"/>
        <w:rPr>
          <w:rFonts w:asciiTheme="minorHAnsi" w:hAnsiTheme="minorHAnsi"/>
          <w:sz w:val="24"/>
          <w:szCs w:val="24"/>
        </w:rPr>
      </w:pPr>
      <w:r w:rsidRPr="00AC2443">
        <w:rPr>
          <w:rFonts w:asciiTheme="minorHAnsi" w:hAnsiTheme="minorHAnsi"/>
          <w:sz w:val="24"/>
          <w:szCs w:val="24"/>
        </w:rPr>
        <w:t xml:space="preserve">Facilitate the transition of individuals with significant disabilities from nursing homes and other institutions to home- and community-based residences, with the requisite supports and services; </w:t>
      </w:r>
    </w:p>
    <w:p w:rsidR="00A17C63" w:rsidRPr="00AC2443" w:rsidRDefault="00A17C63" w:rsidP="00AC2443">
      <w:pPr>
        <w:pStyle w:val="ListParagraph"/>
        <w:numPr>
          <w:ilvl w:val="0"/>
          <w:numId w:val="3"/>
        </w:numPr>
        <w:spacing w:before="120" w:after="120"/>
        <w:ind w:left="1080"/>
        <w:rPr>
          <w:rFonts w:asciiTheme="minorHAnsi" w:hAnsiTheme="minorHAnsi"/>
          <w:sz w:val="24"/>
          <w:szCs w:val="24"/>
        </w:rPr>
      </w:pPr>
      <w:r w:rsidRPr="00AC2443">
        <w:rPr>
          <w:rFonts w:asciiTheme="minorHAnsi" w:hAnsiTheme="minorHAnsi"/>
          <w:sz w:val="24"/>
          <w:szCs w:val="24"/>
        </w:rPr>
        <w:t>Provide assistance to individuals with significant disabilities who are at risk of entering institutions so that the individuals remain in the community; and</w:t>
      </w:r>
    </w:p>
    <w:p w:rsidR="00A17C63" w:rsidRPr="00AC2443" w:rsidRDefault="00A17C63" w:rsidP="00AC2443">
      <w:pPr>
        <w:pStyle w:val="ListParagraph"/>
        <w:numPr>
          <w:ilvl w:val="0"/>
          <w:numId w:val="3"/>
        </w:numPr>
        <w:spacing w:before="120" w:after="120"/>
        <w:ind w:left="1080"/>
        <w:rPr>
          <w:rFonts w:asciiTheme="minorHAnsi" w:hAnsiTheme="minorHAnsi"/>
          <w:sz w:val="24"/>
          <w:szCs w:val="24"/>
        </w:rPr>
      </w:pPr>
      <w:r w:rsidRPr="00AC2443">
        <w:rPr>
          <w:rFonts w:asciiTheme="minorHAnsi" w:hAnsiTheme="minorHAnsi"/>
          <w:sz w:val="24"/>
          <w:szCs w:val="24"/>
        </w:rPr>
        <w:lastRenderedPageBreak/>
        <w:t xml:space="preserve">Facilitate the transition of youth with significant disabilities, who were eligible for individualized education programs (IEPs) under Section 614(d) of the Individuals with Disabilities Education Act, and who have completed their secondary education or otherwise left school to post-secondary life. </w:t>
      </w:r>
    </w:p>
    <w:p w:rsidR="00F84206" w:rsidRPr="00AC2443" w:rsidRDefault="00A17C63" w:rsidP="00AC2443">
      <w:pPr>
        <w:pStyle w:val="ListParagraph"/>
        <w:rPr>
          <w:rFonts w:asciiTheme="minorHAnsi" w:hAnsiTheme="minorHAnsi"/>
          <w:sz w:val="24"/>
          <w:szCs w:val="24"/>
        </w:rPr>
      </w:pPr>
      <w:r w:rsidRPr="00AC2443">
        <w:rPr>
          <w:rFonts w:asciiTheme="minorHAnsi" w:hAnsiTheme="minorHAnsi"/>
          <w:sz w:val="24"/>
          <w:szCs w:val="24"/>
        </w:rPr>
        <w:t>The new core service</w:t>
      </w:r>
      <w:r w:rsidR="00B03CA8" w:rsidRPr="00AC2443">
        <w:rPr>
          <w:rFonts w:asciiTheme="minorHAnsi" w:hAnsiTheme="minorHAnsi"/>
          <w:sz w:val="24"/>
          <w:szCs w:val="24"/>
        </w:rPr>
        <w:t xml:space="preserve"> domain</w:t>
      </w:r>
      <w:r w:rsidRPr="00AC2443">
        <w:rPr>
          <w:rFonts w:asciiTheme="minorHAnsi" w:hAnsiTheme="minorHAnsi"/>
          <w:sz w:val="24"/>
          <w:szCs w:val="24"/>
        </w:rPr>
        <w:t xml:space="preserve"> promote</w:t>
      </w:r>
      <w:r w:rsidR="00B03CA8" w:rsidRPr="00AC2443">
        <w:rPr>
          <w:rFonts w:asciiTheme="minorHAnsi" w:hAnsiTheme="minorHAnsi"/>
          <w:sz w:val="24"/>
          <w:szCs w:val="24"/>
        </w:rPr>
        <w:t>s</w:t>
      </w:r>
      <w:r w:rsidRPr="00AC2443">
        <w:rPr>
          <w:rFonts w:asciiTheme="minorHAnsi" w:hAnsiTheme="minorHAnsi"/>
          <w:sz w:val="24"/>
          <w:szCs w:val="24"/>
        </w:rPr>
        <w:t xml:space="preserve"> full access to community living, which is in keeping with the Americans with Disabilities Act, the Supreme Court ruling in Olmstead v. L.C., and subsequent legislation and regulations. These critical services also align with the core of ACL’s mission</w:t>
      </w:r>
      <w:r w:rsidR="00CF6986">
        <w:rPr>
          <w:rFonts w:asciiTheme="minorHAnsi" w:hAnsiTheme="minorHAnsi"/>
          <w:sz w:val="24"/>
          <w:szCs w:val="24"/>
        </w:rPr>
        <w:t xml:space="preserve"> and will be incorporated into the revised data collection forms that will be provided in a separate package</w:t>
      </w:r>
      <w:r w:rsidRPr="00AC2443">
        <w:rPr>
          <w:rFonts w:asciiTheme="minorHAnsi" w:hAnsiTheme="minorHAnsi"/>
          <w:sz w:val="24"/>
          <w:szCs w:val="24"/>
        </w:rPr>
        <w:t xml:space="preserve">. </w:t>
      </w:r>
    </w:p>
    <w:p w:rsidR="00F84206" w:rsidRPr="00AC2443" w:rsidRDefault="00F84206" w:rsidP="00A17C63">
      <w:pPr>
        <w:pStyle w:val="ListParagraph"/>
        <w:ind w:left="0"/>
        <w:rPr>
          <w:rFonts w:asciiTheme="minorHAnsi" w:hAnsiTheme="minorHAnsi"/>
          <w:sz w:val="24"/>
          <w:szCs w:val="24"/>
        </w:rPr>
      </w:pPr>
    </w:p>
    <w:p w:rsidR="00A01BC2" w:rsidRPr="00AC2443" w:rsidRDefault="00A01BC2" w:rsidP="00AC2443">
      <w:pPr>
        <w:pStyle w:val="ListParagraph"/>
        <w:numPr>
          <w:ilvl w:val="0"/>
          <w:numId w:val="4"/>
        </w:numPr>
        <w:rPr>
          <w:rFonts w:asciiTheme="minorHAnsi" w:hAnsiTheme="minorHAnsi"/>
          <w:b/>
          <w:sz w:val="24"/>
          <w:szCs w:val="24"/>
        </w:rPr>
      </w:pPr>
      <w:r w:rsidRPr="00AC2443">
        <w:rPr>
          <w:rFonts w:asciiTheme="minorHAnsi" w:hAnsiTheme="minorHAnsi"/>
          <w:b/>
          <w:sz w:val="24"/>
          <w:szCs w:val="24"/>
        </w:rPr>
        <w:t>Why do the instructions and burden statements indicate that this is a collection sponsored by the Department of Education and that information must be submitted to RSA (within ED)?</w:t>
      </w:r>
    </w:p>
    <w:p w:rsidR="00A01BC2" w:rsidRPr="00AC2443" w:rsidRDefault="00A01BC2" w:rsidP="00A01BC2">
      <w:pPr>
        <w:ind w:firstLine="360"/>
        <w:rPr>
          <w:rFonts w:asciiTheme="minorHAnsi" w:hAnsiTheme="minorHAnsi"/>
          <w:sz w:val="24"/>
          <w:szCs w:val="24"/>
        </w:rPr>
      </w:pPr>
    </w:p>
    <w:p w:rsidR="000027D5" w:rsidRPr="00AC2443" w:rsidRDefault="00F84206" w:rsidP="00AC2443">
      <w:pPr>
        <w:ind w:left="720"/>
        <w:rPr>
          <w:rFonts w:asciiTheme="minorHAnsi" w:hAnsiTheme="minorHAnsi"/>
          <w:sz w:val="24"/>
          <w:szCs w:val="24"/>
        </w:rPr>
      </w:pPr>
      <w:r w:rsidRPr="00AC2443">
        <w:rPr>
          <w:rFonts w:asciiTheme="minorHAnsi" w:hAnsiTheme="minorHAnsi"/>
          <w:sz w:val="24"/>
          <w:szCs w:val="24"/>
        </w:rPr>
        <w:t xml:space="preserve">This is a carryover from the existing form.  The </w:t>
      </w:r>
      <w:r w:rsidR="009842BE">
        <w:rPr>
          <w:rFonts w:asciiTheme="minorHAnsi" w:hAnsiTheme="minorHAnsi"/>
          <w:sz w:val="24"/>
          <w:szCs w:val="24"/>
        </w:rPr>
        <w:t xml:space="preserve">Part I and Part II </w:t>
      </w:r>
      <w:r w:rsidRPr="00AC2443">
        <w:rPr>
          <w:rFonts w:asciiTheme="minorHAnsi" w:hAnsiTheme="minorHAnsi"/>
          <w:sz w:val="24"/>
          <w:szCs w:val="24"/>
        </w:rPr>
        <w:t xml:space="preserve">instructions </w:t>
      </w:r>
      <w:r w:rsidR="00AC2443" w:rsidRPr="00AC2443">
        <w:rPr>
          <w:rFonts w:asciiTheme="minorHAnsi" w:hAnsiTheme="minorHAnsi"/>
          <w:sz w:val="24"/>
          <w:szCs w:val="24"/>
        </w:rPr>
        <w:t>have been revised and are attached.</w:t>
      </w:r>
    </w:p>
    <w:p w:rsidR="000027D5" w:rsidRPr="00AC2443" w:rsidRDefault="000027D5">
      <w:pPr>
        <w:ind w:firstLine="360"/>
        <w:rPr>
          <w:rFonts w:asciiTheme="minorHAnsi" w:hAnsiTheme="minorHAnsi"/>
          <w:sz w:val="24"/>
          <w:szCs w:val="24"/>
        </w:rPr>
      </w:pPr>
    </w:p>
    <w:sectPr w:rsidR="000027D5" w:rsidRPr="00AC2443" w:rsidSect="00140ACB">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5D" w:rsidRDefault="0032265D" w:rsidP="0048565D">
      <w:r>
        <w:separator/>
      </w:r>
    </w:p>
  </w:endnote>
  <w:endnote w:type="continuationSeparator" w:id="0">
    <w:p w:rsidR="0032265D" w:rsidRDefault="0032265D" w:rsidP="0048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5D" w:rsidRDefault="0032265D" w:rsidP="0048565D">
      <w:r>
        <w:separator/>
      </w:r>
    </w:p>
  </w:footnote>
  <w:footnote w:type="continuationSeparator" w:id="0">
    <w:p w:rsidR="0032265D" w:rsidRDefault="0032265D" w:rsidP="00485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3344"/>
    <w:multiLevelType w:val="hybridMultilevel"/>
    <w:tmpl w:val="C6E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97865"/>
    <w:multiLevelType w:val="hybridMultilevel"/>
    <w:tmpl w:val="CB565882"/>
    <w:lvl w:ilvl="0" w:tplc="04090001">
      <w:start w:val="1"/>
      <w:numFmt w:val="bullet"/>
      <w:lvlText w:val=""/>
      <w:lvlJc w:val="left"/>
      <w:pPr>
        <w:ind w:left="1080" w:hanging="360"/>
      </w:pPr>
      <w:rPr>
        <w:rFonts w:ascii="Symbol" w:hAnsi="Symbol" w:hint="default"/>
      </w:rPr>
    </w:lvl>
    <w:lvl w:ilvl="1" w:tplc="107248C6">
      <w:numFmt w:val="bullet"/>
      <w:lvlText w:val="·"/>
      <w:lvlJc w:val="left"/>
      <w:pPr>
        <w:ind w:left="2235" w:hanging="795"/>
      </w:pPr>
      <w:rPr>
        <w:rFonts w:ascii="Calibri" w:eastAsiaTheme="minorHAnsi"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BA3BDE"/>
    <w:multiLevelType w:val="hybridMultilevel"/>
    <w:tmpl w:val="4C248302"/>
    <w:lvl w:ilvl="0" w:tplc="4322F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33B4B"/>
    <w:multiLevelType w:val="hybridMultilevel"/>
    <w:tmpl w:val="F82091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235" w:hanging="795"/>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C2"/>
    <w:rsid w:val="000027D5"/>
    <w:rsid w:val="00003C0C"/>
    <w:rsid w:val="000A7E77"/>
    <w:rsid w:val="001144BC"/>
    <w:rsid w:val="00140ACB"/>
    <w:rsid w:val="00166C0F"/>
    <w:rsid w:val="0023039A"/>
    <w:rsid w:val="0032265D"/>
    <w:rsid w:val="003F480F"/>
    <w:rsid w:val="00445FC5"/>
    <w:rsid w:val="0048565D"/>
    <w:rsid w:val="004E225F"/>
    <w:rsid w:val="00517E0C"/>
    <w:rsid w:val="005A59A6"/>
    <w:rsid w:val="005D1A7C"/>
    <w:rsid w:val="00654C34"/>
    <w:rsid w:val="006C23B1"/>
    <w:rsid w:val="008346C2"/>
    <w:rsid w:val="00951D0B"/>
    <w:rsid w:val="009842BE"/>
    <w:rsid w:val="009E7F45"/>
    <w:rsid w:val="00A01BC2"/>
    <w:rsid w:val="00A053FB"/>
    <w:rsid w:val="00A06D02"/>
    <w:rsid w:val="00A17C63"/>
    <w:rsid w:val="00A744EB"/>
    <w:rsid w:val="00AC2443"/>
    <w:rsid w:val="00AD1F5C"/>
    <w:rsid w:val="00B03CA8"/>
    <w:rsid w:val="00B14127"/>
    <w:rsid w:val="00B46A82"/>
    <w:rsid w:val="00C13C86"/>
    <w:rsid w:val="00C26384"/>
    <w:rsid w:val="00CD376A"/>
    <w:rsid w:val="00CF6986"/>
    <w:rsid w:val="00D84137"/>
    <w:rsid w:val="00DC7D54"/>
    <w:rsid w:val="00DD4ADD"/>
    <w:rsid w:val="00E66854"/>
    <w:rsid w:val="00F84206"/>
    <w:rsid w:val="00FC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BC2"/>
    <w:pPr>
      <w:ind w:left="720"/>
    </w:pPr>
  </w:style>
  <w:style w:type="paragraph" w:styleId="NormalWeb">
    <w:name w:val="Normal (Web)"/>
    <w:basedOn w:val="Normal"/>
    <w:uiPriority w:val="99"/>
    <w:semiHidden/>
    <w:unhideWhenUsed/>
    <w:rsid w:val="00A06D02"/>
    <w:pPr>
      <w:spacing w:after="150"/>
    </w:pPr>
    <w:rPr>
      <w:rFonts w:ascii="Times New Roman" w:eastAsia="Times New Roman" w:hAnsi="Times New Roman"/>
      <w:sz w:val="24"/>
      <w:szCs w:val="24"/>
    </w:rPr>
  </w:style>
  <w:style w:type="table" w:styleId="TableGrid">
    <w:name w:val="Table Grid"/>
    <w:basedOn w:val="TableNormal"/>
    <w:uiPriority w:val="59"/>
    <w:rsid w:val="00DC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À"/>
    <w:uiPriority w:val="99"/>
    <w:rsid w:val="00A17C63"/>
    <w:rPr>
      <w:rFonts w:cs="Times New Roman"/>
    </w:rPr>
  </w:style>
  <w:style w:type="character" w:styleId="Hyperlink">
    <w:name w:val="Hyperlink"/>
    <w:basedOn w:val="DefaultParagraphFont"/>
    <w:uiPriority w:val="99"/>
    <w:unhideWhenUsed/>
    <w:rsid w:val="00A744EB"/>
    <w:rPr>
      <w:color w:val="0000FF" w:themeColor="hyperlink"/>
      <w:u w:val="single"/>
    </w:rPr>
  </w:style>
  <w:style w:type="paragraph" w:styleId="Header">
    <w:name w:val="header"/>
    <w:basedOn w:val="Normal"/>
    <w:link w:val="HeaderChar"/>
    <w:uiPriority w:val="99"/>
    <w:unhideWhenUsed/>
    <w:rsid w:val="0048565D"/>
    <w:pPr>
      <w:tabs>
        <w:tab w:val="center" w:pos="4680"/>
        <w:tab w:val="right" w:pos="9360"/>
      </w:tabs>
    </w:pPr>
  </w:style>
  <w:style w:type="character" w:customStyle="1" w:styleId="HeaderChar">
    <w:name w:val="Header Char"/>
    <w:basedOn w:val="DefaultParagraphFont"/>
    <w:link w:val="Header"/>
    <w:uiPriority w:val="99"/>
    <w:rsid w:val="0048565D"/>
    <w:rPr>
      <w:rFonts w:ascii="Calibri" w:hAnsi="Calibri" w:cs="Times New Roman"/>
    </w:rPr>
  </w:style>
  <w:style w:type="paragraph" w:styleId="Footer">
    <w:name w:val="footer"/>
    <w:basedOn w:val="Normal"/>
    <w:link w:val="FooterChar"/>
    <w:uiPriority w:val="99"/>
    <w:unhideWhenUsed/>
    <w:rsid w:val="0048565D"/>
    <w:pPr>
      <w:tabs>
        <w:tab w:val="center" w:pos="4680"/>
        <w:tab w:val="right" w:pos="9360"/>
      </w:tabs>
    </w:pPr>
  </w:style>
  <w:style w:type="character" w:customStyle="1" w:styleId="FooterChar">
    <w:name w:val="Footer Char"/>
    <w:basedOn w:val="DefaultParagraphFont"/>
    <w:link w:val="Footer"/>
    <w:uiPriority w:val="99"/>
    <w:rsid w:val="0048565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BC2"/>
    <w:pPr>
      <w:ind w:left="720"/>
    </w:pPr>
  </w:style>
  <w:style w:type="paragraph" w:styleId="NormalWeb">
    <w:name w:val="Normal (Web)"/>
    <w:basedOn w:val="Normal"/>
    <w:uiPriority w:val="99"/>
    <w:semiHidden/>
    <w:unhideWhenUsed/>
    <w:rsid w:val="00A06D02"/>
    <w:pPr>
      <w:spacing w:after="150"/>
    </w:pPr>
    <w:rPr>
      <w:rFonts w:ascii="Times New Roman" w:eastAsia="Times New Roman" w:hAnsi="Times New Roman"/>
      <w:sz w:val="24"/>
      <w:szCs w:val="24"/>
    </w:rPr>
  </w:style>
  <w:style w:type="table" w:styleId="TableGrid">
    <w:name w:val="Table Grid"/>
    <w:basedOn w:val="TableNormal"/>
    <w:uiPriority w:val="59"/>
    <w:rsid w:val="00DC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À"/>
    <w:uiPriority w:val="99"/>
    <w:rsid w:val="00A17C63"/>
    <w:rPr>
      <w:rFonts w:cs="Times New Roman"/>
    </w:rPr>
  </w:style>
  <w:style w:type="character" w:styleId="Hyperlink">
    <w:name w:val="Hyperlink"/>
    <w:basedOn w:val="DefaultParagraphFont"/>
    <w:uiPriority w:val="99"/>
    <w:unhideWhenUsed/>
    <w:rsid w:val="00A744EB"/>
    <w:rPr>
      <w:color w:val="0000FF" w:themeColor="hyperlink"/>
      <w:u w:val="single"/>
    </w:rPr>
  </w:style>
  <w:style w:type="paragraph" w:styleId="Header">
    <w:name w:val="header"/>
    <w:basedOn w:val="Normal"/>
    <w:link w:val="HeaderChar"/>
    <w:uiPriority w:val="99"/>
    <w:unhideWhenUsed/>
    <w:rsid w:val="0048565D"/>
    <w:pPr>
      <w:tabs>
        <w:tab w:val="center" w:pos="4680"/>
        <w:tab w:val="right" w:pos="9360"/>
      </w:tabs>
    </w:pPr>
  </w:style>
  <w:style w:type="character" w:customStyle="1" w:styleId="HeaderChar">
    <w:name w:val="Header Char"/>
    <w:basedOn w:val="DefaultParagraphFont"/>
    <w:link w:val="Header"/>
    <w:uiPriority w:val="99"/>
    <w:rsid w:val="0048565D"/>
    <w:rPr>
      <w:rFonts w:ascii="Calibri" w:hAnsi="Calibri" w:cs="Times New Roman"/>
    </w:rPr>
  </w:style>
  <w:style w:type="paragraph" w:styleId="Footer">
    <w:name w:val="footer"/>
    <w:basedOn w:val="Normal"/>
    <w:link w:val="FooterChar"/>
    <w:uiPriority w:val="99"/>
    <w:unhideWhenUsed/>
    <w:rsid w:val="0048565D"/>
    <w:pPr>
      <w:tabs>
        <w:tab w:val="center" w:pos="4680"/>
        <w:tab w:val="right" w:pos="9360"/>
      </w:tabs>
    </w:pPr>
  </w:style>
  <w:style w:type="character" w:customStyle="1" w:styleId="FooterChar">
    <w:name w:val="Footer Char"/>
    <w:basedOn w:val="DefaultParagraphFont"/>
    <w:link w:val="Footer"/>
    <w:uiPriority w:val="99"/>
    <w:rsid w:val="0048565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4264">
      <w:bodyDiv w:val="1"/>
      <w:marLeft w:val="0"/>
      <w:marRight w:val="0"/>
      <w:marTop w:val="0"/>
      <w:marBottom w:val="0"/>
      <w:divBdr>
        <w:top w:val="none" w:sz="0" w:space="0" w:color="auto"/>
        <w:left w:val="none" w:sz="0" w:space="0" w:color="auto"/>
        <w:bottom w:val="none" w:sz="0" w:space="0" w:color="auto"/>
        <w:right w:val="none" w:sz="0" w:space="0" w:color="auto"/>
      </w:divBdr>
    </w:div>
    <w:div w:id="1128355436">
      <w:bodyDiv w:val="1"/>
      <w:marLeft w:val="0"/>
      <w:marRight w:val="0"/>
      <w:marTop w:val="0"/>
      <w:marBottom w:val="0"/>
      <w:divBdr>
        <w:top w:val="none" w:sz="0" w:space="0" w:color="auto"/>
        <w:left w:val="none" w:sz="0" w:space="0" w:color="auto"/>
        <w:bottom w:val="none" w:sz="0" w:space="0" w:color="auto"/>
        <w:right w:val="none" w:sz="0" w:space="0" w:color="auto"/>
      </w:divBdr>
    </w:div>
    <w:div w:id="1129128928">
      <w:bodyDiv w:val="1"/>
      <w:marLeft w:val="0"/>
      <w:marRight w:val="0"/>
      <w:marTop w:val="0"/>
      <w:marBottom w:val="0"/>
      <w:divBdr>
        <w:top w:val="none" w:sz="0" w:space="0" w:color="auto"/>
        <w:left w:val="none" w:sz="0" w:space="0" w:color="auto"/>
        <w:bottom w:val="none" w:sz="0" w:space="0" w:color="auto"/>
        <w:right w:val="none" w:sz="0" w:space="0" w:color="auto"/>
      </w:divBdr>
    </w:div>
    <w:div w:id="1405689718">
      <w:bodyDiv w:val="1"/>
      <w:marLeft w:val="0"/>
      <w:marRight w:val="0"/>
      <w:marTop w:val="0"/>
      <w:marBottom w:val="0"/>
      <w:divBdr>
        <w:top w:val="none" w:sz="0" w:space="0" w:color="auto"/>
        <w:left w:val="none" w:sz="0" w:space="0" w:color="auto"/>
        <w:bottom w:val="none" w:sz="0" w:space="0" w:color="auto"/>
        <w:right w:val="none" w:sz="0" w:space="0" w:color="auto"/>
      </w:divBdr>
    </w:div>
    <w:div w:id="1801610944">
      <w:bodyDiv w:val="1"/>
      <w:marLeft w:val="0"/>
      <w:marRight w:val="0"/>
      <w:marTop w:val="0"/>
      <w:marBottom w:val="0"/>
      <w:divBdr>
        <w:top w:val="none" w:sz="0" w:space="0" w:color="auto"/>
        <w:left w:val="none" w:sz="0" w:space="0" w:color="auto"/>
        <w:bottom w:val="none" w:sz="0" w:space="0" w:color="auto"/>
        <w:right w:val="none" w:sz="0" w:space="0" w:color="auto"/>
      </w:divBdr>
    </w:div>
    <w:div w:id="1848009790">
      <w:bodyDiv w:val="1"/>
      <w:marLeft w:val="0"/>
      <w:marRight w:val="0"/>
      <w:marTop w:val="0"/>
      <w:marBottom w:val="0"/>
      <w:divBdr>
        <w:top w:val="none" w:sz="0" w:space="0" w:color="auto"/>
        <w:left w:val="none" w:sz="0" w:space="0" w:color="auto"/>
        <w:bottom w:val="none" w:sz="0" w:space="0" w:color="auto"/>
        <w:right w:val="none" w:sz="0" w:space="0" w:color="auto"/>
      </w:divBdr>
      <w:divsChild>
        <w:div w:id="183323583">
          <w:marLeft w:val="0"/>
          <w:marRight w:val="0"/>
          <w:marTop w:val="0"/>
          <w:marBottom w:val="0"/>
          <w:divBdr>
            <w:top w:val="none" w:sz="0" w:space="0" w:color="auto"/>
            <w:left w:val="none" w:sz="0" w:space="0" w:color="auto"/>
            <w:bottom w:val="none" w:sz="0" w:space="0" w:color="auto"/>
            <w:right w:val="none" w:sz="0" w:space="0" w:color="auto"/>
          </w:divBdr>
          <w:divsChild>
            <w:div w:id="588269907">
              <w:marLeft w:val="-225"/>
              <w:marRight w:val="-225"/>
              <w:marTop w:val="0"/>
              <w:marBottom w:val="0"/>
              <w:divBdr>
                <w:top w:val="none" w:sz="0" w:space="0" w:color="auto"/>
                <w:left w:val="none" w:sz="0" w:space="0" w:color="auto"/>
                <w:bottom w:val="none" w:sz="0" w:space="0" w:color="auto"/>
                <w:right w:val="none" w:sz="0" w:space="0" w:color="auto"/>
              </w:divBdr>
              <w:divsChild>
                <w:div w:id="30034403">
                  <w:marLeft w:val="0"/>
                  <w:marRight w:val="0"/>
                  <w:marTop w:val="0"/>
                  <w:marBottom w:val="0"/>
                  <w:divBdr>
                    <w:top w:val="none" w:sz="0" w:space="0" w:color="auto"/>
                    <w:left w:val="none" w:sz="0" w:space="0" w:color="auto"/>
                    <w:bottom w:val="none" w:sz="0" w:space="0" w:color="auto"/>
                    <w:right w:val="none" w:sz="0" w:space="0" w:color="auto"/>
                  </w:divBdr>
                  <w:divsChild>
                    <w:div w:id="2109500584">
                      <w:marLeft w:val="0"/>
                      <w:marRight w:val="0"/>
                      <w:marTop w:val="0"/>
                      <w:marBottom w:val="0"/>
                      <w:divBdr>
                        <w:top w:val="none" w:sz="0" w:space="0" w:color="auto"/>
                        <w:left w:val="none" w:sz="0" w:space="0" w:color="auto"/>
                        <w:bottom w:val="none" w:sz="0" w:space="0" w:color="auto"/>
                        <w:right w:val="none" w:sz="0" w:space="0" w:color="auto"/>
                      </w:divBdr>
                      <w:divsChild>
                        <w:div w:id="621499368">
                          <w:marLeft w:val="0"/>
                          <w:marRight w:val="0"/>
                          <w:marTop w:val="0"/>
                          <w:marBottom w:val="0"/>
                          <w:divBdr>
                            <w:top w:val="none" w:sz="0" w:space="0" w:color="auto"/>
                            <w:left w:val="none" w:sz="0" w:space="0" w:color="auto"/>
                            <w:bottom w:val="none" w:sz="0" w:space="0" w:color="auto"/>
                            <w:right w:val="none" w:sz="0" w:space="0" w:color="auto"/>
                          </w:divBdr>
                          <w:divsChild>
                            <w:div w:id="13666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l.gov/about-acl/policy-and-regula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Snyderman</dc:creator>
  <cp:lastModifiedBy>SYSTEM</cp:lastModifiedBy>
  <cp:revision>2</cp:revision>
  <cp:lastPrinted>2017-11-14T22:25:00Z</cp:lastPrinted>
  <dcterms:created xsi:type="dcterms:W3CDTF">2017-12-04T20:02:00Z</dcterms:created>
  <dcterms:modified xsi:type="dcterms:W3CDTF">2017-12-04T20:02:00Z</dcterms:modified>
</cp:coreProperties>
</file>