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E848C" w14:textId="77777777" w:rsidR="005604AB" w:rsidRDefault="005604AB" w:rsidP="00C92F8A">
      <w:pPr>
        <w:widowControl/>
        <w:tabs>
          <w:tab w:val="center" w:pos="4680"/>
        </w:tabs>
      </w:pPr>
      <w:bookmarkStart w:id="0" w:name="_GoBack"/>
      <w:bookmarkEnd w:id="0"/>
      <w:r>
        <w:tab/>
        <w:t>SUPPORTING STATEMENT</w:t>
      </w:r>
    </w:p>
    <w:p w14:paraId="569FB3B8" w14:textId="77777777" w:rsidR="005604AB" w:rsidRDefault="005604AB">
      <w:pPr>
        <w:widowControl/>
        <w:tabs>
          <w:tab w:val="left" w:pos="-1260"/>
        </w:tabs>
        <w:rPr>
          <w:b/>
        </w:rPr>
      </w:pPr>
    </w:p>
    <w:p w14:paraId="47BE70E9" w14:textId="77777777" w:rsidR="005604AB" w:rsidRDefault="005604AB">
      <w:pPr>
        <w:widowControl/>
        <w:tabs>
          <w:tab w:val="left" w:pos="0"/>
          <w:tab w:val="left" w:pos="450"/>
          <w:tab w:val="left" w:pos="810"/>
          <w:tab w:val="left" w:pos="117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450" w:hanging="450"/>
      </w:pPr>
      <w:r>
        <w:rPr>
          <w:b/>
        </w:rPr>
        <w:t>A.</w:t>
      </w:r>
      <w:r>
        <w:rPr>
          <w:b/>
        </w:rPr>
        <w:tab/>
      </w:r>
      <w:r>
        <w:rPr>
          <w:b/>
          <w:u w:val="single"/>
        </w:rPr>
        <w:t>Justification</w:t>
      </w:r>
    </w:p>
    <w:p w14:paraId="6FFE7707" w14:textId="77777777" w:rsidR="005604AB" w:rsidRDefault="005604AB">
      <w:pPr>
        <w:widowControl/>
        <w:tabs>
          <w:tab w:val="left" w:pos="0"/>
          <w:tab w:val="left" w:pos="450"/>
          <w:tab w:val="left" w:pos="810"/>
          <w:tab w:val="left" w:pos="117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678F5138" w14:textId="77777777" w:rsidR="00496DA5" w:rsidRDefault="005604AB" w:rsidP="00496DA5">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446"/>
      </w:pPr>
      <w:r w:rsidRPr="006851F8">
        <w:t>1.</w:t>
      </w:r>
      <w:r w:rsidRPr="006851F8">
        <w:tab/>
      </w:r>
      <w:r w:rsidR="00FF5B39" w:rsidRPr="006851F8">
        <w:rPr>
          <w:u w:val="single"/>
        </w:rPr>
        <w:t>Necessity of the Information Collected</w:t>
      </w:r>
      <w:r w:rsidR="00FF5B39" w:rsidRPr="006851F8">
        <w:t xml:space="preserve"> </w:t>
      </w:r>
    </w:p>
    <w:p w14:paraId="27BD36EB" w14:textId="77777777" w:rsidR="00496DA5" w:rsidRDefault="00496DA5" w:rsidP="000D307D">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446"/>
        <w:jc w:val="center"/>
      </w:pPr>
    </w:p>
    <w:p w14:paraId="24969258" w14:textId="0DEE2D55" w:rsidR="00496DA5" w:rsidRDefault="005604AB" w:rsidP="00496DA5">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7"/>
      </w:pPr>
      <w:r w:rsidRPr="006851F8">
        <w:t xml:space="preserve">The purpose of this request is </w:t>
      </w:r>
      <w:r w:rsidR="00784521" w:rsidRPr="006851F8">
        <w:t xml:space="preserve">to obtain </w:t>
      </w:r>
      <w:r w:rsidR="005E5443">
        <w:t xml:space="preserve">OMB </w:t>
      </w:r>
      <w:r w:rsidR="00784521" w:rsidRPr="006851F8">
        <w:t xml:space="preserve">clearance for </w:t>
      </w:r>
      <w:r w:rsidR="00784521" w:rsidRPr="00A85422">
        <w:t>the 20</w:t>
      </w:r>
      <w:r w:rsidR="00E27F08" w:rsidRPr="00A85422">
        <w:t>1</w:t>
      </w:r>
      <w:r w:rsidR="000E5D10">
        <w:t>8</w:t>
      </w:r>
      <w:r w:rsidR="00784521" w:rsidRPr="00A85422">
        <w:t>-20</w:t>
      </w:r>
      <w:r w:rsidR="000E5D10">
        <w:t>20</w:t>
      </w:r>
      <w:r w:rsidRPr="00A85422">
        <w:t xml:space="preserve"> Telephone Point-of-Purchase Survey</w:t>
      </w:r>
      <w:r w:rsidR="006A7C1A" w:rsidRPr="00A85422">
        <w:t xml:space="preserve"> (TPOPS)</w:t>
      </w:r>
      <w:r w:rsidRPr="00A85422">
        <w:t>.</w:t>
      </w:r>
      <w:r w:rsidR="00AA61C2">
        <w:t xml:space="preserve"> </w:t>
      </w:r>
      <w:r w:rsidRPr="00A85422">
        <w:t>The information to be collected represents a continua</w:t>
      </w:r>
      <w:r w:rsidR="005E5443">
        <w:t>tion</w:t>
      </w:r>
      <w:r w:rsidRPr="00A85422">
        <w:t xml:space="preserve"> of a currently approved collection</w:t>
      </w:r>
      <w:r w:rsidR="00EB16BF">
        <w:t xml:space="preserve">, </w:t>
      </w:r>
      <w:r w:rsidRPr="00A85422">
        <w:t>OMB control numb</w:t>
      </w:r>
      <w:r w:rsidR="000F76FC" w:rsidRPr="00A85422">
        <w:t>er 1220-0044</w:t>
      </w:r>
      <w:r w:rsidR="00EB16BF">
        <w:t>, which</w:t>
      </w:r>
      <w:r w:rsidR="007F0132" w:rsidRPr="00A85422">
        <w:t xml:space="preserve"> expires on </w:t>
      </w:r>
      <w:r w:rsidR="00C92F8A" w:rsidRPr="00B15DE8">
        <w:t>March 31, 2018.</w:t>
      </w:r>
    </w:p>
    <w:p w14:paraId="1A7B9E85" w14:textId="3F78F670" w:rsidR="005604AB" w:rsidRDefault="006B1495">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r>
        <w:t xml:space="preserve"> </w:t>
      </w:r>
    </w:p>
    <w:p w14:paraId="137D08EB" w14:textId="22AA4F33"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Census Bureau conducts the ongoing </w:t>
      </w:r>
      <w:r w:rsidR="006A7C1A">
        <w:t>TPOPS</w:t>
      </w:r>
      <w:r>
        <w:t xml:space="preserve"> for the Bureau of Labor Statistics (BLS) as part of the Consumer Price Index (CPI) program. The purpose of the survey is to develop and maintain a timely list of retail, wholesale, and service establishments at which urban consumers shop for specified items.</w:t>
      </w:r>
      <w:r w:rsidR="00AA61C2">
        <w:t xml:space="preserve"> </w:t>
      </w:r>
      <w:r>
        <w:t xml:space="preserve">The list of establishments produced from the survey serves as </w:t>
      </w:r>
      <w:r w:rsidR="00EB16BF">
        <w:t xml:space="preserve">BLS’s </w:t>
      </w:r>
      <w:r>
        <w:t xml:space="preserve">sampling frame </w:t>
      </w:r>
      <w:r w:rsidR="00EB16BF">
        <w:t>used</w:t>
      </w:r>
      <w:r>
        <w:t xml:space="preserve"> in pricing goods and services in the CPI.</w:t>
      </w:r>
      <w:r w:rsidR="00AA61C2">
        <w:t xml:space="preserve"> </w:t>
      </w:r>
      <w:r>
        <w:t>The information collected in the survey also provides BLS with basic expenditure estimates that are used to weight unique items that are priced.</w:t>
      </w:r>
      <w:r w:rsidR="00AA61C2">
        <w:t xml:space="preserve"> </w:t>
      </w:r>
      <w:r>
        <w:t>Without this information, the BLS would not have a statistically accurate list of current establishments visited by consumers, and therefore, could neither collect prices as needed for the CPI nor weight specific items properly</w:t>
      </w:r>
      <w:r w:rsidR="00EB16BF">
        <w:t xml:space="preserve"> without significant measurement error and bias</w:t>
      </w:r>
      <w:r>
        <w:t>.</w:t>
      </w:r>
    </w:p>
    <w:p w14:paraId="3ECBE67A"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2F55BE9F" w14:textId="6463BE72"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BLS is authorized to collect these data under Title 29, Section 2, of the Unit</w:t>
      </w:r>
      <w:r w:rsidR="00B759D4">
        <w:t xml:space="preserve">ed States Code (see Attachment </w:t>
      </w:r>
      <w:r w:rsidR="00BF5065">
        <w:t>B</w:t>
      </w:r>
      <w:r>
        <w:t>).</w:t>
      </w:r>
      <w:r w:rsidR="00AA61C2">
        <w:t xml:space="preserve"> </w:t>
      </w:r>
      <w:r>
        <w:t xml:space="preserve">On </w:t>
      </w:r>
      <w:smartTag w:uri="urn:schemas-microsoft-com:office:smarttags" w:element="date">
        <w:smartTagPr>
          <w:attr w:name="Year" w:val="1976"/>
          <w:attr w:name="Day" w:val="30"/>
          <w:attr w:name="Month" w:val="9"/>
        </w:smartTagPr>
        <w:r>
          <w:t>September 30, 1976</w:t>
        </w:r>
      </w:smartTag>
      <w:r>
        <w:t>, Congress enacted Public Law 94-439 (H.R. 14232) to appropriate funds for revisions to the CPI.</w:t>
      </w:r>
      <w:r w:rsidR="00AA61C2">
        <w:t xml:space="preserve"> </w:t>
      </w:r>
      <w:r>
        <w:t>Within this appropriation is financial support for an ongoing Point-of-Purchase Survey.</w:t>
      </w:r>
      <w:r w:rsidR="00AA61C2">
        <w:t xml:space="preserve"> </w:t>
      </w:r>
      <w:r>
        <w:t xml:space="preserve">The Census Bureau collects information in the </w:t>
      </w:r>
      <w:r w:rsidR="006A7C1A">
        <w:t>TPOPS</w:t>
      </w:r>
      <w:r>
        <w:t xml:space="preserve"> for the BLS under the authority of Title </w:t>
      </w:r>
      <w:r w:rsidR="006851F8">
        <w:t>13</w:t>
      </w:r>
      <w:r>
        <w:t>, United States Code</w:t>
      </w:r>
      <w:r w:rsidR="006851F8">
        <w:t xml:space="preserve"> Section 8(b)</w:t>
      </w:r>
      <w:r w:rsidR="006A7C1A">
        <w:t>,</w:t>
      </w:r>
      <w:r>
        <w:t xml:space="preserve"> which allows the Census Bureau to undertake surveys for </w:t>
      </w:r>
      <w:r w:rsidR="006A33C8">
        <w:t xml:space="preserve">other agencies (see Attachment </w:t>
      </w:r>
      <w:r w:rsidR="00BF5065">
        <w:t>C</w:t>
      </w:r>
      <w:r>
        <w:t>).</w:t>
      </w:r>
    </w:p>
    <w:p w14:paraId="077EAD9C"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120D90D7" w14:textId="33926554" w:rsidR="008B4844"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current TPOPS has</w:t>
      </w:r>
      <w:r w:rsidR="006A7C1A">
        <w:t xml:space="preserve"> </w:t>
      </w:r>
      <w:r>
        <w:t>been conducted via computer-assisted telephone interviewing (CATI) since 1997.</w:t>
      </w:r>
      <w:r w:rsidR="00AA61C2">
        <w:t xml:space="preserve"> A</w:t>
      </w:r>
      <w:r w:rsidR="000F76FC">
        <w:t>dvance letter</w:t>
      </w:r>
      <w:r w:rsidR="007F0132">
        <w:t>s are sent to every household for which an address can be obtained.</w:t>
      </w:r>
      <w:r w:rsidR="00AA61C2">
        <w:t xml:space="preserve"> </w:t>
      </w:r>
      <w:r w:rsidR="000F76FC">
        <w:t>Respondents are contacted within a few days of receiving the letter</w:t>
      </w:r>
      <w:r>
        <w:t>.</w:t>
      </w:r>
      <w:r w:rsidR="00AA61C2">
        <w:t xml:space="preserve"> </w:t>
      </w:r>
      <w:r w:rsidR="00F21988">
        <w:t>During the first interview,</w:t>
      </w:r>
      <w:r w:rsidR="003F411B">
        <w:t xml:space="preserve"> the respondents’ addresses </w:t>
      </w:r>
      <w:r w:rsidR="00E166F8">
        <w:t>are</w:t>
      </w:r>
      <w:r w:rsidR="003F411B">
        <w:t xml:space="preserve"> collected so that advance letters/postcards</w:t>
      </w:r>
      <w:r w:rsidR="00E81DD8" w:rsidRPr="00E81DD8">
        <w:rPr>
          <w:rStyle w:val="FootnoteReference"/>
          <w:vertAlign w:val="superscript"/>
        </w:rPr>
        <w:footnoteReference w:id="1"/>
      </w:r>
      <w:r w:rsidR="003F411B">
        <w:t xml:space="preserve"> can be sent </w:t>
      </w:r>
      <w:r w:rsidR="00B759D4">
        <w:t>before subsequent scheduled interviews</w:t>
      </w:r>
      <w:r w:rsidR="003F411B">
        <w:t>.</w:t>
      </w:r>
      <w:r w:rsidR="00AA61C2">
        <w:t xml:space="preserve"> </w:t>
      </w:r>
      <w:r w:rsidR="00B678BB">
        <w:t>F</w:t>
      </w:r>
      <w:r w:rsidR="007141E3">
        <w:t xml:space="preserve">ollow up letters </w:t>
      </w:r>
      <w:r w:rsidR="00B678BB">
        <w:t xml:space="preserve">are also </w:t>
      </w:r>
      <w:r w:rsidR="007141E3">
        <w:t xml:space="preserve">sent to respondents initially unwilling to participate during the 5 week interviewing period. </w:t>
      </w:r>
      <w:r w:rsidR="001D6FF4">
        <w:t xml:space="preserve">Eligible respondents who did not complete a survey in the first interview receive a postcard. </w:t>
      </w:r>
      <w:r w:rsidR="001A375C">
        <w:t xml:space="preserve">Hard refusals receive a </w:t>
      </w:r>
      <w:r w:rsidR="007141E3">
        <w:t xml:space="preserve">letter during the interviewing </w:t>
      </w:r>
      <w:r w:rsidR="007141E3">
        <w:lastRenderedPageBreak/>
        <w:t xml:space="preserve">period to </w:t>
      </w:r>
      <w:r w:rsidR="001A375C">
        <w:t>encourage participation, with an</w:t>
      </w:r>
      <w:r w:rsidR="00AA61C2">
        <w:t xml:space="preserve"> </w:t>
      </w:r>
      <w:r w:rsidR="00353F33">
        <w:t xml:space="preserve">average conversion rate </w:t>
      </w:r>
      <w:r w:rsidR="001A375C">
        <w:t xml:space="preserve">of </w:t>
      </w:r>
      <w:r w:rsidR="00353F33">
        <w:t>12.2%.</w:t>
      </w:r>
      <w:r w:rsidR="00BF5065">
        <w:t xml:space="preserve">  For the set of letters that may be sent to respondents, see Attachment D.</w:t>
      </w:r>
    </w:p>
    <w:p w14:paraId="2D7A5283" w14:textId="77777777" w:rsidR="008B4844" w:rsidRDefault="008B4844">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48BC2D3A"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Generally speaking, the</w:t>
      </w:r>
      <w:r w:rsidR="00BF58BB">
        <w:t xml:space="preserve"> TPOPS</w:t>
      </w:r>
      <w:r>
        <w:t xml:space="preserve"> interview is divided into three parts: </w:t>
      </w:r>
    </w:p>
    <w:p w14:paraId="761FE867"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123AB8F" w14:textId="6830702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r w:rsidR="00E166F8" w:rsidRPr="008B4855">
        <w:t>The</w:t>
      </w:r>
      <w:r w:rsidRPr="008B4855">
        <w:t xml:space="preserve"> </w:t>
      </w:r>
      <w:r w:rsidRPr="008B4855">
        <w:rPr>
          <w:u w:val="single"/>
        </w:rPr>
        <w:t>front</w:t>
      </w:r>
      <w:r w:rsidRPr="008B4855">
        <w:t xml:space="preserve"> portion of the interview is designed to identify eligible sample units and to scr</w:t>
      </w:r>
      <w:r w:rsidR="008B7CD3">
        <w:t>een-out ineligible units (e.g.,</w:t>
      </w:r>
      <w:r w:rsidR="005E5443">
        <w:t xml:space="preserve"> </w:t>
      </w:r>
      <w:r w:rsidRPr="008B4855">
        <w:t>businesses).</w:t>
      </w:r>
      <w:r w:rsidR="00AA61C2">
        <w:t xml:space="preserve"> </w:t>
      </w:r>
      <w:r w:rsidR="00115B79">
        <w:t>Respondents using mobile phones are asked to</w:t>
      </w:r>
      <w:r w:rsidR="007141E3">
        <w:t xml:space="preserve"> verify </w:t>
      </w:r>
      <w:r w:rsidR="00115B79">
        <w:t>they are no</w:t>
      </w:r>
      <w:r w:rsidR="007141E3">
        <w:t xml:space="preserve">t driving </w:t>
      </w:r>
      <w:r w:rsidR="00115B79">
        <w:t xml:space="preserve">at the time of </w:t>
      </w:r>
      <w:r w:rsidR="007141E3">
        <w:t>the interview.</w:t>
      </w:r>
    </w:p>
    <w:p w14:paraId="10795568"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19CE4310" w14:textId="51F9358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r w:rsidR="00E166F8">
        <w:t>The</w:t>
      </w:r>
      <w:r>
        <w:t xml:space="preserve"> </w:t>
      </w:r>
      <w:r>
        <w:rPr>
          <w:u w:val="single"/>
        </w:rPr>
        <w:t>middle</w:t>
      </w:r>
      <w:r>
        <w:t xml:space="preserve"> portion of the interview contains questions about purchases of selected consumer items made </w:t>
      </w:r>
      <w:r w:rsidR="001C21A9">
        <w:t>by members</w:t>
      </w:r>
      <w:r>
        <w:t xml:space="preserve"> of the sample unit.</w:t>
      </w:r>
      <w:r w:rsidR="00AA61C2">
        <w:t xml:space="preserve"> </w:t>
      </w:r>
      <w:r>
        <w:t>If the sample unit incurred expenses for the specific item in question during the specified recall period, then (a) the amount of each expenditure and (b) the name and address of each outlet where the item was purchased is collected.</w:t>
      </w:r>
    </w:p>
    <w:p w14:paraId="18EF6CD8"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342F5E81" w14:textId="42D9D211"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r w:rsidR="00E166F8">
        <w:t>The</w:t>
      </w:r>
      <w:r>
        <w:t xml:space="preserve"> </w:t>
      </w:r>
      <w:r>
        <w:rPr>
          <w:u w:val="single"/>
        </w:rPr>
        <w:t>back</w:t>
      </w:r>
      <w:r>
        <w:t xml:space="preserve"> portion of the instrument is designed to collect demographic characteristics and contains administrative questions for scheduling </w:t>
      </w:r>
      <w:r w:rsidR="00115B79">
        <w:t xml:space="preserve">subsequent </w:t>
      </w:r>
      <w:r>
        <w:t>interviews.</w:t>
      </w:r>
      <w:r w:rsidR="00AA61C2">
        <w:t xml:space="preserve"> </w:t>
      </w:r>
    </w:p>
    <w:p w14:paraId="18495202"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FDBD3B8" w14:textId="7C4FDB4A"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instrument specifications, which contain the actual questions asked, are provided in Attachment </w:t>
      </w:r>
      <w:r w:rsidR="00BF5065">
        <w:t>E</w:t>
      </w:r>
      <w:r>
        <w:t>.</w:t>
      </w:r>
    </w:p>
    <w:p w14:paraId="3F560E23" w14:textId="77777777" w:rsidR="00A21D60" w:rsidRDefault="00A21D6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63693BD0" w14:textId="343556FD" w:rsidR="001539BD" w:rsidRDefault="001539BD" w:rsidP="001539BD">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9A418B">
        <w:t>To address potential coverage bias</w:t>
      </w:r>
      <w:r w:rsidR="00EB16BF">
        <w:t xml:space="preserve"> in the frame</w:t>
      </w:r>
      <w:r w:rsidR="007C57C6">
        <w:t xml:space="preserve"> </w:t>
      </w:r>
      <w:r w:rsidR="00EB16BF">
        <w:t xml:space="preserve">resulting from the omission of </w:t>
      </w:r>
      <w:r w:rsidR="007C57C6">
        <w:t xml:space="preserve">households in the U.S. </w:t>
      </w:r>
      <w:r w:rsidR="00EB16BF">
        <w:t>exclusively using</w:t>
      </w:r>
      <w:r w:rsidR="001C21A9">
        <w:t xml:space="preserve"> cell</w:t>
      </w:r>
      <w:r w:rsidR="00EB16BF">
        <w:t>ular</w:t>
      </w:r>
      <w:r w:rsidR="007C57C6">
        <w:t xml:space="preserve"> phone service</w:t>
      </w:r>
      <w:r w:rsidR="00115B79">
        <w:t>,</w:t>
      </w:r>
      <w:r w:rsidR="00115B79" w:rsidRPr="00115B79">
        <w:t xml:space="preserve"> </w:t>
      </w:r>
      <w:r w:rsidR="00115B79" w:rsidRPr="009A418B">
        <w:t xml:space="preserve">a cell phone number frame </w:t>
      </w:r>
      <w:r w:rsidR="00115B79">
        <w:t>was</w:t>
      </w:r>
      <w:r w:rsidR="00115B79" w:rsidRPr="009A418B">
        <w:t xml:space="preserve"> added to TPOPS</w:t>
      </w:r>
      <w:r w:rsidR="00115B79">
        <w:t xml:space="preserve"> </w:t>
      </w:r>
      <w:r w:rsidR="00115B79" w:rsidRPr="009A418B">
        <w:t xml:space="preserve">in </w:t>
      </w:r>
      <w:r w:rsidR="00115B79">
        <w:t xml:space="preserve">April </w:t>
      </w:r>
      <w:r w:rsidR="00115B79" w:rsidRPr="009A418B">
        <w:t>201</w:t>
      </w:r>
      <w:r w:rsidR="00115B79">
        <w:t>2.</w:t>
      </w:r>
      <w:r w:rsidR="00AA61C2">
        <w:t xml:space="preserve"> </w:t>
      </w:r>
      <w:r w:rsidR="008C0B06">
        <w:t>The target</w:t>
      </w:r>
      <w:r w:rsidR="00EB16BF">
        <w:t xml:space="preserve"> distribution of</w:t>
      </w:r>
      <w:r w:rsidR="008C0B06">
        <w:t xml:space="preserve"> </w:t>
      </w:r>
      <w:r w:rsidR="00EB16BF">
        <w:t xml:space="preserve">total </w:t>
      </w:r>
      <w:r w:rsidR="008C0B06">
        <w:t xml:space="preserve">interviews </w:t>
      </w:r>
      <w:r w:rsidR="000E3C78">
        <w:t xml:space="preserve">between the two frames was set at 75% landline and 25% cell phone, which closely </w:t>
      </w:r>
      <w:r w:rsidR="00BD40F8">
        <w:t xml:space="preserve">reflected </w:t>
      </w:r>
      <w:r w:rsidR="000E3C78">
        <w:t xml:space="preserve">the telephone usage </w:t>
      </w:r>
      <w:r w:rsidR="00EB16BF">
        <w:t xml:space="preserve">of </w:t>
      </w:r>
      <w:r w:rsidR="000E3C78">
        <w:t>U.S. households</w:t>
      </w:r>
      <w:r w:rsidR="00BD40F8">
        <w:t xml:space="preserve"> at that time</w:t>
      </w:r>
      <w:r w:rsidR="000E3C78">
        <w:t>.</w:t>
      </w:r>
      <w:r w:rsidR="005C04A4" w:rsidRPr="005C04A4">
        <w:rPr>
          <w:rStyle w:val="FootnoteReference"/>
          <w:vertAlign w:val="superscript"/>
        </w:rPr>
        <w:t xml:space="preserve"> </w:t>
      </w:r>
      <w:r w:rsidR="005C04A4" w:rsidRPr="00100DD9">
        <w:rPr>
          <w:rStyle w:val="FootnoteReference"/>
          <w:vertAlign w:val="superscript"/>
        </w:rPr>
        <w:footnoteReference w:id="2"/>
      </w:r>
      <w:r w:rsidR="00170F73" w:rsidRPr="005C04A4">
        <w:rPr>
          <w:color w:val="FFFFFF" w:themeColor="background1"/>
          <w:vertAlign w:val="superscript"/>
        </w:rPr>
        <w:t>1</w:t>
      </w:r>
    </w:p>
    <w:p w14:paraId="5728985E" w14:textId="77777777" w:rsidR="00A21D60" w:rsidRDefault="00A21D6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4B6A2703" w14:textId="259F0684" w:rsidR="00ED7EBE" w:rsidRPr="00B15DE8" w:rsidRDefault="00ED7EBE">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B15DE8">
        <w:t xml:space="preserve">BLS </w:t>
      </w:r>
      <w:r w:rsidR="00B91445" w:rsidRPr="00B15DE8">
        <w:t xml:space="preserve">has continued to evaluate </w:t>
      </w:r>
      <w:r w:rsidRPr="00B15DE8">
        <w:t xml:space="preserve">alternative </w:t>
      </w:r>
      <w:r w:rsidR="001C21A9" w:rsidRPr="00B15DE8">
        <w:t>sources of</w:t>
      </w:r>
      <w:r w:rsidR="007B683D" w:rsidRPr="00B15DE8">
        <w:t xml:space="preserve"> </w:t>
      </w:r>
      <w:r w:rsidRPr="00B15DE8">
        <w:t xml:space="preserve">outlet frame </w:t>
      </w:r>
      <w:r w:rsidR="007B683D" w:rsidRPr="00B15DE8">
        <w:t>data.</w:t>
      </w:r>
      <w:r w:rsidR="00AA61C2">
        <w:t xml:space="preserve"> </w:t>
      </w:r>
      <w:r w:rsidR="007B683D" w:rsidRPr="00B15DE8">
        <w:t xml:space="preserve">BLS </w:t>
      </w:r>
      <w:r w:rsidR="000E5D10">
        <w:t xml:space="preserve">continues to find </w:t>
      </w:r>
      <w:r w:rsidRPr="00B15DE8">
        <w:t xml:space="preserve">no single source of outlet data </w:t>
      </w:r>
      <w:r w:rsidR="00AA61C2">
        <w:t>exists</w:t>
      </w:r>
      <w:r w:rsidR="007B683D" w:rsidRPr="00B15DE8">
        <w:t xml:space="preserve"> that </w:t>
      </w:r>
      <w:r w:rsidRPr="00B15DE8">
        <w:t>m</w:t>
      </w:r>
      <w:r w:rsidR="000E5D10">
        <w:t>e</w:t>
      </w:r>
      <w:r w:rsidRPr="00B15DE8">
        <w:t>et</w:t>
      </w:r>
      <w:r w:rsidR="00AA61C2">
        <w:t>s</w:t>
      </w:r>
      <w:r w:rsidRPr="00B15DE8">
        <w:t xml:space="preserve"> </w:t>
      </w:r>
      <w:r w:rsidR="007B683D" w:rsidRPr="00B15DE8">
        <w:t>all requirements</w:t>
      </w:r>
      <w:r w:rsidRPr="00B15DE8">
        <w:t xml:space="preserve"> of the CPI</w:t>
      </w:r>
      <w:r w:rsidR="002A455F" w:rsidRPr="00B15DE8">
        <w:t>:</w:t>
      </w:r>
    </w:p>
    <w:p w14:paraId="42678843" w14:textId="77777777" w:rsidR="007C57C6" w:rsidRPr="0095798A" w:rsidRDefault="007C57C6">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highlight w:val="yellow"/>
        </w:rPr>
      </w:pPr>
    </w:p>
    <w:p w14:paraId="18E35AF1" w14:textId="71039154" w:rsidR="005556F1" w:rsidRPr="00B15DE8" w:rsidRDefault="00F86DD3">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The sampling</w:t>
      </w:r>
      <w:r w:rsidR="002A455F" w:rsidRPr="00B15DE8">
        <w:t xml:space="preserve"> frame must target </w:t>
      </w:r>
      <w:r w:rsidR="004F0125">
        <w:t xml:space="preserve">where </w:t>
      </w:r>
      <w:r w:rsidR="002A455F" w:rsidRPr="00B15DE8">
        <w:t xml:space="preserve">urban consumers </w:t>
      </w:r>
      <w:r w:rsidR="004F0125">
        <w:t xml:space="preserve">living </w:t>
      </w:r>
      <w:r w:rsidR="002A455F" w:rsidRPr="00B15DE8">
        <w:t>in the primary sampling units defined in the CPI survey</w:t>
      </w:r>
      <w:r w:rsidR="004F0125">
        <w:t xml:space="preserve"> shop</w:t>
      </w:r>
      <w:r w:rsidR="002A455F" w:rsidRPr="00B15DE8">
        <w:t>.</w:t>
      </w:r>
    </w:p>
    <w:p w14:paraId="652498E7" w14:textId="77777777" w:rsidR="005556F1" w:rsidRPr="00B15DE8" w:rsidRDefault="002A455F">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rsidRPr="00B15DE8">
        <w:t>In order for the source of outlet information to be useful</w:t>
      </w:r>
      <w:r w:rsidR="007B683D" w:rsidRPr="00B15DE8">
        <w:t>,</w:t>
      </w:r>
      <w:r w:rsidRPr="00B15DE8">
        <w:t xml:space="preserve"> the lag between its collection and use in the CPI should be minimized.</w:t>
      </w:r>
    </w:p>
    <w:p w14:paraId="480ACF74" w14:textId="77777777" w:rsidR="005556F1" w:rsidRPr="00B15DE8" w:rsidRDefault="002A455F">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rsidRPr="00B15DE8">
        <w:t xml:space="preserve">The CPI Pricing </w:t>
      </w:r>
      <w:r w:rsidR="007B683D" w:rsidRPr="00B15DE8">
        <w:t xml:space="preserve">Survey </w:t>
      </w:r>
      <w:r w:rsidR="00962903" w:rsidRPr="00B15DE8">
        <w:t xml:space="preserve">requires </w:t>
      </w:r>
      <w:r w:rsidR="001C21A9" w:rsidRPr="00B15DE8">
        <w:t>identifiable independent frames that match</w:t>
      </w:r>
      <w:r w:rsidR="00962903" w:rsidRPr="00B15DE8">
        <w:t xml:space="preserve"> its structure of</w:t>
      </w:r>
      <w:r w:rsidR="002A3EE8" w:rsidRPr="00B15DE8">
        <w:t xml:space="preserve"> 180</w:t>
      </w:r>
      <w:r w:rsidR="00962903" w:rsidRPr="00B15DE8">
        <w:t xml:space="preserve"> good</w:t>
      </w:r>
      <w:r w:rsidR="00E85542" w:rsidRPr="00B15DE8">
        <w:t>s</w:t>
      </w:r>
      <w:r w:rsidR="002A3EE8" w:rsidRPr="00B15DE8">
        <w:t xml:space="preserve"> and services.</w:t>
      </w:r>
    </w:p>
    <w:p w14:paraId="61C56071" w14:textId="77777777" w:rsidR="005556F1" w:rsidRPr="00B15DE8" w:rsidRDefault="002A455F">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rsidRPr="00B15DE8">
        <w:t>The source should be unbiased and accurate.</w:t>
      </w:r>
    </w:p>
    <w:p w14:paraId="6C11BDF1" w14:textId="77777777" w:rsidR="005556F1" w:rsidRPr="00B15DE8" w:rsidRDefault="000B6790">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rsidRPr="00B15DE8">
        <w:lastRenderedPageBreak/>
        <w:t>The data should be safeguarded and comply with BLS confidentiality guidelines and security measures.</w:t>
      </w:r>
    </w:p>
    <w:p w14:paraId="7FB0C028" w14:textId="77777777" w:rsidR="008B4855" w:rsidRPr="0095798A" w:rsidRDefault="008B4855">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620"/>
        <w:rPr>
          <w:highlight w:val="yellow"/>
        </w:rPr>
      </w:pPr>
    </w:p>
    <w:p w14:paraId="19180036" w14:textId="3CEE35B7" w:rsidR="00BD40F8" w:rsidRPr="00D83550" w:rsidRDefault="00BD40F8" w:rsidP="00BD40F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In 2012, the BLS evaluated the Census of Retail Trade, Knowledge Networks, A.C. Nielson, and the Center for Medicare and Medicaid Services Survey as potential sources of retail store information for use by the CPI.</w:t>
      </w:r>
      <w:r w:rsidR="00AA61C2">
        <w:t xml:space="preserve"> </w:t>
      </w:r>
      <w:r>
        <w:t>None of these met the criteria outlined above.</w:t>
      </w:r>
      <w:r w:rsidRPr="00BD40F8">
        <w:rPr>
          <w:rStyle w:val="FootnoteReference"/>
          <w:vertAlign w:val="superscript"/>
        </w:rPr>
        <w:t xml:space="preserve"> </w:t>
      </w:r>
      <w:r w:rsidRPr="00D83550">
        <w:rPr>
          <w:rStyle w:val="FootnoteReference"/>
          <w:vertAlign w:val="superscript"/>
        </w:rPr>
        <w:footnoteReference w:id="3"/>
      </w:r>
    </w:p>
    <w:p w14:paraId="2BE26893" w14:textId="77777777" w:rsidR="00BD40F8" w:rsidRDefault="00BD40F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56B3ACB4" w14:textId="77777777" w:rsidR="00BD40F8" w:rsidRDefault="00BD40F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205D9C11" w14:textId="508367B1" w:rsidR="005556F1" w:rsidRPr="00B15DE8" w:rsidRDefault="00BD40F8" w:rsidP="00B15DE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Currently, </w:t>
      </w:r>
      <w:r w:rsidR="004F0125">
        <w:t>BLS</w:t>
      </w:r>
      <w:r>
        <w:t xml:space="preserve"> </w:t>
      </w:r>
      <w:r w:rsidR="004F0125">
        <w:t>is</w:t>
      </w:r>
      <w:r>
        <w:t xml:space="preserve"> evaluating </w:t>
      </w:r>
      <w:r w:rsidR="004F0125">
        <w:t xml:space="preserve">using the database of establishments generated by the Quarterly Census of Employment and Wages (QCEW). This is a business register created </w:t>
      </w:r>
      <w:r w:rsidR="00EB16BF">
        <w:t>from</w:t>
      </w:r>
      <w:r w:rsidR="004F0125">
        <w:t xml:space="preserve"> state unemployment insurance tax files, and is a listing of nine million businesses, their NAICS code, address information, and data on employment and wages. QCEW data lack two required data elements to use as a frame source for most CPI items: information about what items sold at the establishments (i.e. a concordance between NAICS and the CPI item structure), and information about where consumers who shop at the establishments reside. BLS is investigating possible uses of QCEW data </w:t>
      </w:r>
      <w:r w:rsidR="009855E3">
        <w:t xml:space="preserve">to supplement household survey data and reduce overall respondent burden. For example, the business register might be sufficient </w:t>
      </w:r>
      <w:r w:rsidR="004F0125">
        <w:t>as a frame for a small subset of item categories</w:t>
      </w:r>
      <w:r w:rsidR="009855E3">
        <w:t xml:space="preserve">, or could be used to </w:t>
      </w:r>
      <w:r>
        <w:t>refine TPOPS address data during its processing.</w:t>
      </w:r>
    </w:p>
    <w:p w14:paraId="42390AAC" w14:textId="77777777" w:rsidR="008B4855" w:rsidRPr="0095798A" w:rsidRDefault="008B4855">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620"/>
        <w:rPr>
          <w:highlight w:val="yellow"/>
        </w:rPr>
      </w:pPr>
    </w:p>
    <w:p w14:paraId="0F8B8320" w14:textId="701A4245" w:rsidR="00750746" w:rsidRDefault="00413CF8" w:rsidP="00750746">
      <w:pPr>
        <w:pStyle w:val="ListParagraph"/>
        <w:ind w:left="900"/>
        <w:rPr>
          <w:snapToGrid/>
        </w:rPr>
      </w:pPr>
      <w:r>
        <w:t xml:space="preserve">The BLS is also conducting tests to evaluate the </w:t>
      </w:r>
      <w:r w:rsidR="005A6038" w:rsidRPr="00B15DE8">
        <w:t>inclusion of outlet question</w:t>
      </w:r>
      <w:r w:rsidR="001B5E2A" w:rsidRPr="00B15DE8">
        <w:t>s</w:t>
      </w:r>
      <w:r w:rsidR="005A6038" w:rsidRPr="00B15DE8">
        <w:t xml:space="preserve"> in the </w:t>
      </w:r>
      <w:r w:rsidR="001B5E2A" w:rsidRPr="00B15DE8">
        <w:t>Consumer Expenditure</w:t>
      </w:r>
      <w:r w:rsidR="005A6038" w:rsidRPr="00B15DE8">
        <w:t xml:space="preserve"> </w:t>
      </w:r>
      <w:r w:rsidR="001B5E2A" w:rsidRPr="00B15DE8">
        <w:t>Survey</w:t>
      </w:r>
      <w:r w:rsidR="00507A83">
        <w:t>s</w:t>
      </w:r>
      <w:r w:rsidR="001B5E2A" w:rsidRPr="00B15DE8">
        <w:t xml:space="preserve"> (CE)</w:t>
      </w:r>
      <w:r w:rsidR="005A6038" w:rsidRPr="00B15DE8">
        <w:t>.</w:t>
      </w:r>
      <w:r w:rsidR="00AA61C2">
        <w:t xml:space="preserve"> </w:t>
      </w:r>
      <w:r>
        <w:t>With the 2018 geographic revision, all but one of CE’s areas are included in the CPI, overcoming the biggest hurdle for its use in outlet frames</w:t>
      </w:r>
      <w:r w:rsidRPr="00750746">
        <w:t xml:space="preserve">. </w:t>
      </w:r>
      <w:r w:rsidR="00750746">
        <w:t>BLS plans to source its CPI outlet frame requirements from CE, thereby eliminating TPOPS.</w:t>
      </w:r>
    </w:p>
    <w:p w14:paraId="215B41CD" w14:textId="1DFE17F0" w:rsidR="008B4855" w:rsidRDefault="00EB16BF">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w:t>
      </w:r>
    </w:p>
    <w:p w14:paraId="44F81CBB" w14:textId="77777777" w:rsidR="008B4855" w:rsidRDefault="008B4855">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7D7301CE"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0192DCD" w14:textId="4A25C38C" w:rsidR="005604AB" w:rsidRDefault="005604AB" w:rsidP="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2.</w:t>
      </w:r>
      <w:r>
        <w:tab/>
      </w:r>
      <w:r w:rsidR="00FF5B39">
        <w:rPr>
          <w:u w:val="single"/>
        </w:rPr>
        <w:t>Needs and Uses</w:t>
      </w:r>
      <w:r w:rsidR="00FF5B39">
        <w:t xml:space="preserve"> </w:t>
      </w:r>
      <w:r w:rsidR="00FF5B39">
        <w:br/>
      </w:r>
      <w:r w:rsidR="00FF5B39">
        <w:br/>
      </w:r>
      <w:r>
        <w:t>The BLS will use information collected in TPOPS to select establishments for pricing market basket items needed for CPI calculations.</w:t>
      </w:r>
      <w:r w:rsidR="00AA61C2">
        <w:t xml:space="preserve"> </w:t>
      </w:r>
      <w:r w:rsidRPr="005458FB">
        <w:t xml:space="preserve">Information received from the currently approved TPOPS collection has been used to select new establishments in geographic areas </w:t>
      </w:r>
      <w:r w:rsidR="007637E7" w:rsidRPr="005458FB">
        <w:t>f</w:t>
      </w:r>
      <w:r w:rsidR="007637E7">
        <w:t>or the transition to the 201</w:t>
      </w:r>
      <w:r w:rsidR="003F054D">
        <w:t>8</w:t>
      </w:r>
      <w:r w:rsidR="007637E7">
        <w:t xml:space="preserve"> Revision CPI Sample.</w:t>
      </w:r>
      <w:r w:rsidR="00AA61C2">
        <w:t xml:space="preserve"> </w:t>
      </w:r>
      <w:r w:rsidRPr="005458FB">
        <w:t xml:space="preserve">Pricing at these establishments was initiated in February </w:t>
      </w:r>
      <w:r w:rsidR="007637E7">
        <w:t xml:space="preserve">2017 </w:t>
      </w:r>
      <w:r w:rsidRPr="005458FB">
        <w:t>as part of the ongoing Consumer Price Index Commodities and Services Survey, OMB control number 1220-0039</w:t>
      </w:r>
      <w:r w:rsidRPr="00B91445">
        <w:t>.</w:t>
      </w:r>
      <w:r w:rsidR="00AA61C2">
        <w:t xml:space="preserve"> </w:t>
      </w:r>
      <w:r w:rsidR="00B678BB" w:rsidRPr="00B15DE8">
        <w:t xml:space="preserve">Information received from future TPOPS collection will </w:t>
      </w:r>
      <w:r w:rsidR="007637E7">
        <w:t xml:space="preserve">continue to </w:t>
      </w:r>
      <w:r w:rsidR="00B678BB" w:rsidRPr="00B15DE8">
        <w:t>be used to select new establishments in geographic areas from the 2018</w:t>
      </w:r>
      <w:r w:rsidR="003F054D">
        <w:t xml:space="preserve"> Revision CPI S</w:t>
      </w:r>
      <w:r w:rsidR="00251942" w:rsidRPr="00B15DE8">
        <w:t xml:space="preserve">ample. </w:t>
      </w:r>
      <w:r w:rsidR="00B91445">
        <w:t>The new geographic areas are being brought in over the course of several years.</w:t>
      </w:r>
      <w:r w:rsidR="00AA61C2">
        <w:t xml:space="preserve"> </w:t>
      </w:r>
      <w:r w:rsidR="00B91445">
        <w:t>The full implementation will be completed in FY</w:t>
      </w:r>
      <w:r w:rsidR="00FD578F">
        <w:t>20</w:t>
      </w:r>
      <w:r w:rsidR="00B91445">
        <w:t>2</w:t>
      </w:r>
      <w:r w:rsidR="00507A83">
        <w:t>3</w:t>
      </w:r>
      <w:r w:rsidR="00B91445">
        <w:t>.</w:t>
      </w:r>
    </w:p>
    <w:p w14:paraId="20FEF5F4"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702E5B5E"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p>
    <w:p w14:paraId="3D741B29" w14:textId="05979341"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3.</w:t>
      </w:r>
      <w:r>
        <w:tab/>
      </w:r>
      <w:r w:rsidR="00FF5B39">
        <w:rPr>
          <w:u w:val="single"/>
        </w:rPr>
        <w:t>Use of Information Technology</w:t>
      </w:r>
      <w:r w:rsidR="00FF5B39">
        <w:t xml:space="preserve"> </w:t>
      </w:r>
      <w:r w:rsidR="00FF5B39">
        <w:br/>
      </w:r>
      <w:r w:rsidR="00FF5B39">
        <w:br/>
      </w:r>
      <w:r>
        <w:t>The collection of information for TPOPS is fully automated.</w:t>
      </w:r>
      <w:r w:rsidR="00AA61C2">
        <w:t xml:space="preserve"> </w:t>
      </w:r>
      <w:r>
        <w:t>Under the CATI environment, interviewing in all CPI geographic sampling areas or primary sampling units (PSUs) occurs from three central locations.</w:t>
      </w:r>
      <w:r w:rsidR="00AA61C2">
        <w:t xml:space="preserve"> </w:t>
      </w:r>
      <w:r>
        <w:t xml:space="preserve">Specifically, the Census Bureau operates telephone interviewing facilities in </w:t>
      </w:r>
      <w:smartTag w:uri="urn:schemas-microsoft-com:office:smarttags" w:element="City">
        <w:r>
          <w:t>Hagerstown</w:t>
        </w:r>
      </w:smartTag>
      <w:r>
        <w:t xml:space="preserve">, </w:t>
      </w:r>
      <w:smartTag w:uri="urn:schemas-microsoft-com:office:smarttags" w:element="State">
        <w:r>
          <w:t>MD</w:t>
        </w:r>
      </w:smartTag>
      <w:r>
        <w:t xml:space="preserve">; </w:t>
      </w:r>
      <w:smartTag w:uri="urn:schemas-microsoft-com:office:smarttags" w:element="City">
        <w:r>
          <w:t>Jeffersonville</w:t>
        </w:r>
      </w:smartTag>
      <w:r>
        <w:t xml:space="preserve">, </w:t>
      </w:r>
      <w:smartTag w:uri="urn:schemas-microsoft-com:office:smarttags" w:element="State">
        <w:r>
          <w:t>IN</w:t>
        </w:r>
      </w:smartTag>
      <w:r>
        <w:t xml:space="preserve">; and </w:t>
      </w:r>
      <w:smartTag w:uri="urn:schemas-microsoft-com:office:smarttags" w:element="City">
        <w:r>
          <w:t>Tucson</w:t>
        </w:r>
      </w:smartTag>
      <w:r>
        <w:t>, AZ.</w:t>
      </w:r>
      <w:r w:rsidR="00AA61C2">
        <w:t xml:space="preserve"> </w:t>
      </w:r>
      <w:r>
        <w:t>Interviewers dial a telephone number obtained from a queue of randomly selected telephone numbers for each geographic area, and then conduct the interview over the telephone.</w:t>
      </w:r>
      <w:r w:rsidR="00AA61C2">
        <w:t xml:space="preserve"> </w:t>
      </w:r>
      <w:r>
        <w:t>Responses are keyed directly via the computer and stored electronically by the CATI instrument.</w:t>
      </w:r>
      <w:r w:rsidR="00AA61C2">
        <w:t xml:space="preserve"> </w:t>
      </w:r>
      <w:r>
        <w:t xml:space="preserve">Sample units are identified and interviewed once per quarter, over </w:t>
      </w:r>
      <w:r w:rsidR="0095798A">
        <w:t xml:space="preserve">eight </w:t>
      </w:r>
      <w:r>
        <w:t>consecutive quarters.</w:t>
      </w:r>
      <w:r w:rsidR="00AA61C2">
        <w:t xml:space="preserve"> </w:t>
      </w:r>
      <w:r>
        <w:t>Th</w:t>
      </w:r>
      <w:r w:rsidR="00251942">
        <w:t>e split-panel</w:t>
      </w:r>
      <w:r>
        <w:t xml:space="preserve"> design minimizes the total number of calls that must be made to obtain a sufficient sample size.</w:t>
      </w:r>
      <w:r w:rsidR="00AA61C2">
        <w:t xml:space="preserve"> </w:t>
      </w:r>
      <w:r w:rsidR="00251942">
        <w:t>Increasing the number of interviews per sample unit minimizes the number of sample units needed to obtain a sufficient sample size.</w:t>
      </w:r>
    </w:p>
    <w:p w14:paraId="2A42D108"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6059F147"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4.</w:t>
      </w:r>
      <w:r>
        <w:tab/>
      </w:r>
      <w:r w:rsidR="00FF5B39">
        <w:rPr>
          <w:u w:val="single"/>
        </w:rPr>
        <w:t>Efforts to Identify Duplication</w:t>
      </w:r>
      <w:r w:rsidR="00FF5B39">
        <w:t xml:space="preserve"> </w:t>
      </w:r>
      <w:r w:rsidR="00FF5B39">
        <w:br/>
      </w:r>
      <w:r w:rsidR="00FF5B39">
        <w:br/>
      </w:r>
      <w:r>
        <w:t>To our knowledge, no other Federal agency is collecting this information.</w:t>
      </w:r>
    </w:p>
    <w:p w14:paraId="758A14AB"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D47E931" w14:textId="414727DA"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5.</w:t>
      </w:r>
      <w:r>
        <w:tab/>
      </w:r>
      <w:r w:rsidR="00FF5B39">
        <w:rPr>
          <w:u w:val="single"/>
        </w:rPr>
        <w:t>Minimizing Burden to Small Entities</w:t>
      </w:r>
      <w:r w:rsidR="00FF5B39">
        <w:t xml:space="preserve"> </w:t>
      </w:r>
      <w:r w:rsidR="00FF5B39">
        <w:br/>
      </w:r>
      <w:r w:rsidR="00FF5B39">
        <w:br/>
      </w:r>
      <w:r>
        <w:t>Not applicable.</w:t>
      </w:r>
      <w:r w:rsidR="00AA61C2">
        <w:t xml:space="preserve"> </w:t>
      </w:r>
      <w:r>
        <w:t>The collection of information in TPOPS involves individuals, not small businesses.</w:t>
      </w:r>
    </w:p>
    <w:p w14:paraId="5AC9ED6B"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0FA5FBF0" w14:textId="1F514BAF" w:rsidR="00FF5B39" w:rsidRDefault="005604AB" w:rsidP="00FF5B39">
      <w:pPr>
        <w:ind w:left="450"/>
      </w:pPr>
      <w:r>
        <w:t>6.</w:t>
      </w:r>
      <w:r>
        <w:tab/>
      </w:r>
      <w:r w:rsidR="00AA61C2">
        <w:t xml:space="preserve"> </w:t>
      </w:r>
      <w:r w:rsidR="00FF5B39">
        <w:rPr>
          <w:u w:val="single"/>
        </w:rPr>
        <w:t>Consequences of Less Frequent Collection</w:t>
      </w:r>
      <w:r w:rsidR="00FF5B39">
        <w:rPr>
          <w:u w:val="single"/>
        </w:rPr>
        <w:br/>
      </w:r>
    </w:p>
    <w:p w14:paraId="6DBEE666" w14:textId="67434B0F" w:rsidR="005604AB" w:rsidRDefault="00FF5B39">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ab/>
      </w:r>
      <w:r w:rsidR="005604AB">
        <w:t xml:space="preserve">The </w:t>
      </w:r>
      <w:r w:rsidR="001B5E2A">
        <w:t xml:space="preserve">continuous, </w:t>
      </w:r>
      <w:r w:rsidR="005604AB">
        <w:t>quarter</w:t>
      </w:r>
      <w:r w:rsidR="00BE3D61">
        <w:t>ly collection of these data</w:t>
      </w:r>
      <w:r w:rsidR="005604AB">
        <w:t xml:space="preserve"> </w:t>
      </w:r>
      <w:r w:rsidR="002C1C9A">
        <w:t xml:space="preserve">enables BLS to </w:t>
      </w:r>
      <w:r w:rsidR="005604AB">
        <w:t xml:space="preserve">reflect </w:t>
      </w:r>
      <w:r w:rsidR="001B5E2A">
        <w:t xml:space="preserve">current </w:t>
      </w:r>
      <w:r w:rsidR="005604AB">
        <w:t xml:space="preserve">consumer purchasing behavior </w:t>
      </w:r>
      <w:r w:rsidR="002C1C9A">
        <w:t>in its sampling algorithms for the CPI.</w:t>
      </w:r>
      <w:r w:rsidR="00AA61C2">
        <w:t xml:space="preserve"> </w:t>
      </w:r>
      <w:r w:rsidR="005604AB">
        <w:t xml:space="preserve">If </w:t>
      </w:r>
      <w:r w:rsidR="00E374B8">
        <w:t>the BLS</w:t>
      </w:r>
      <w:r w:rsidR="005604AB">
        <w:t xml:space="preserve"> did not conduct TPOPS, </w:t>
      </w:r>
      <w:r w:rsidR="00E374B8">
        <w:t>BLS</w:t>
      </w:r>
      <w:r w:rsidR="005604AB">
        <w:t xml:space="preserve"> would not be able to update and replenish the sample of establishments where pricing agents are sent to verify the price of goods in the market basket.</w:t>
      </w:r>
      <w:r w:rsidR="00AA61C2">
        <w:t xml:space="preserve"> </w:t>
      </w:r>
      <w:r w:rsidR="005604AB">
        <w:t>The CPI sample would become out of date and unreflective of current prices faced by urban consumers.</w:t>
      </w:r>
      <w:r w:rsidR="00AA61C2">
        <w:t xml:space="preserve"> </w:t>
      </w:r>
      <w:r w:rsidR="005604AB">
        <w:t>The consequence to both the Federal and private sectors, which rely on the CPI as the primary indicator of inflation, would be far-reaching and have serious repercussions on Federal government policy and institutions.</w:t>
      </w:r>
      <w:r w:rsidR="00AA61C2">
        <w:t xml:space="preserve"> </w:t>
      </w:r>
      <w:r w:rsidR="005604AB">
        <w:t xml:space="preserve">For example, Federal fiscal and monetary policies would be hampered due to the lack of accurate information on price changes. </w:t>
      </w:r>
    </w:p>
    <w:p w14:paraId="4F99CA72"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59F846C3"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If collection were conducted less frequently, the timeliness and accuracy of the CPI would be significantly </w:t>
      </w:r>
      <w:r w:rsidR="001B5E2A">
        <w:t>compromised</w:t>
      </w:r>
      <w:r>
        <w:t>.</w:t>
      </w:r>
    </w:p>
    <w:p w14:paraId="24BF8E65"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63C66D37" w14:textId="00D158BD"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7.</w:t>
      </w:r>
      <w:r>
        <w:tab/>
      </w:r>
      <w:r w:rsidR="00FF5B39">
        <w:rPr>
          <w:u w:val="single"/>
        </w:rPr>
        <w:t>Special Circumstances</w:t>
      </w:r>
      <w:r w:rsidR="00FF5B39">
        <w:t xml:space="preserve"> </w:t>
      </w:r>
      <w:r w:rsidR="00FF5B39">
        <w:br/>
      </w:r>
      <w:r w:rsidR="00FF5B39">
        <w:br/>
      </w:r>
      <w:r w:rsidR="009C5B01">
        <w:t xml:space="preserve">There are no special circumstances. </w:t>
      </w:r>
      <w:r>
        <w:t>The Census Bureau will collect these data in a manner consistent with the guidelines in 5</w:t>
      </w:r>
      <w:r w:rsidR="00281640">
        <w:t xml:space="preserve"> </w:t>
      </w:r>
      <w:r>
        <w:t>CFR 1320.5.</w:t>
      </w:r>
      <w:r w:rsidR="00170F73" w:rsidRPr="00170F73">
        <w:rPr>
          <w:rStyle w:val="FootnoteReference"/>
          <w:vertAlign w:val="superscript"/>
        </w:rPr>
        <w:t xml:space="preserve"> </w:t>
      </w:r>
      <w:r w:rsidR="00170F73" w:rsidRPr="00503A23">
        <w:rPr>
          <w:rStyle w:val="FootnoteReference"/>
          <w:vertAlign w:val="superscript"/>
        </w:rPr>
        <w:footnoteReference w:id="4"/>
      </w:r>
    </w:p>
    <w:p w14:paraId="4E58BD7B"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6A83B1F8" w14:textId="1FACD331" w:rsidR="005604AB" w:rsidRDefault="005604AB" w:rsidP="00F21988">
      <w:pPr>
        <w:autoSpaceDE w:val="0"/>
        <w:autoSpaceDN w:val="0"/>
        <w:adjustRightInd w:val="0"/>
        <w:ind w:left="432"/>
      </w:pPr>
      <w:r>
        <w:t>8.</w:t>
      </w:r>
      <w:r>
        <w:tab/>
      </w:r>
      <w:r w:rsidR="00FF5B39">
        <w:t>Federal Register Notice/</w:t>
      </w:r>
      <w:r w:rsidR="00FF5B39">
        <w:rPr>
          <w:u w:val="single"/>
        </w:rPr>
        <w:t>Consultation Outside the Agency</w:t>
      </w:r>
      <w:r w:rsidR="00FF5B39">
        <w:t xml:space="preserve"> </w:t>
      </w:r>
      <w:r w:rsidR="00FF5B39">
        <w:br/>
      </w:r>
    </w:p>
    <w:p w14:paraId="4465BFE9" w14:textId="04F842BA" w:rsidR="007A204F" w:rsidRDefault="00FD578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BLS received a letter of support from the Bureau of Economic Analysis in response to the Federal Register notice published on </w:t>
      </w:r>
      <w:r w:rsidRPr="007E4CC3">
        <w:t>August 31, 2017 in 82 FR 41431.</w:t>
      </w:r>
      <w:r>
        <w:t xml:space="preserve"> </w:t>
      </w:r>
      <w:r w:rsidR="007A204F">
        <w:t xml:space="preserve">No </w:t>
      </w:r>
      <w:r>
        <w:t>other comments were received.</w:t>
      </w:r>
    </w:p>
    <w:p w14:paraId="0E80259D" w14:textId="77777777" w:rsidR="007A204F" w:rsidRDefault="007A204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594F5581"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During the past 2 years, </w:t>
      </w:r>
      <w:r w:rsidR="00E374B8">
        <w:t>the BLS has</w:t>
      </w:r>
      <w:r>
        <w:t xml:space="preserve"> consulted with the following persons and </w:t>
      </w:r>
      <w:r w:rsidR="00E166F8">
        <w:t>continues</w:t>
      </w:r>
      <w:r>
        <w:t xml:space="preserve"> to do so as specific problems arise:</w:t>
      </w:r>
    </w:p>
    <w:p w14:paraId="53900A9B"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57F3C6DB" w14:textId="30480FE7" w:rsidR="005604AB" w:rsidRDefault="00E27F08">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8077" w:hanging="6817"/>
      </w:pPr>
      <w:r>
        <w:t>M</w:t>
      </w:r>
      <w:r w:rsidR="009855E3">
        <w:t>s</w:t>
      </w:r>
      <w:r>
        <w:t xml:space="preserve">. </w:t>
      </w:r>
      <w:r w:rsidR="009855E3">
        <w:t>Jennifer Epps</w:t>
      </w:r>
    </w:p>
    <w:p w14:paraId="3E20A4A3" w14:textId="77777777" w:rsidR="005604AB" w:rsidRDefault="005604AB">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5226" w:hanging="3966"/>
      </w:pPr>
      <w:r>
        <w:t>Demographic Surveys Division</w:t>
      </w:r>
    </w:p>
    <w:p w14:paraId="0558DC55" w14:textId="77777777" w:rsidR="005604AB" w:rsidRDefault="005604AB">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7602" w:hanging="6342"/>
      </w:pPr>
      <w:r>
        <w:t>Bureau of the Census</w:t>
      </w:r>
      <w:r>
        <w:tab/>
      </w:r>
    </w:p>
    <w:p w14:paraId="3D09578F" w14:textId="5796D8A0" w:rsidR="005604AB" w:rsidRDefault="00C304C6">
      <w:pPr>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5226" w:hanging="3966"/>
      </w:pPr>
      <w:r>
        <w:t>(301) 763-</w:t>
      </w:r>
      <w:r w:rsidR="009855E3">
        <w:t>4281</w:t>
      </w:r>
    </w:p>
    <w:p w14:paraId="2A70E902"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8A7C652" w14:textId="77777777"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Mr. Stephen Ash</w:t>
      </w:r>
    </w:p>
    <w:p w14:paraId="67701466" w14:textId="77777777"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Statistical Methods Division</w:t>
      </w:r>
    </w:p>
    <w:p w14:paraId="51CB7A60" w14:textId="77777777"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Bureau of the Census</w:t>
      </w:r>
    </w:p>
    <w:p w14:paraId="06228F3E" w14:textId="77777777" w:rsidR="005604AB" w:rsidRDefault="005F31F6" w:rsidP="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(301) 763-4294</w:t>
      </w:r>
    </w:p>
    <w:p w14:paraId="76DDF33E"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3BC99ACB" w14:textId="7B41E21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Due to the CPI’s high visibility, the data collection methodology used for its construction is under constant scrutiny by individuals and organizations within and outside the U.S. Government.</w:t>
      </w:r>
      <w:r w:rsidR="00AA61C2">
        <w:t xml:space="preserve"> </w:t>
      </w:r>
      <w:r>
        <w:t>Members of the CPI staff in Washington</w:t>
      </w:r>
      <w:r w:rsidR="00281640">
        <w:t>, D</w:t>
      </w:r>
      <w:r w:rsidR="000C5C1B">
        <w:t>.</w:t>
      </w:r>
      <w:r w:rsidR="00281640">
        <w:t>C</w:t>
      </w:r>
      <w:r w:rsidR="000C5C1B">
        <w:t>.</w:t>
      </w:r>
      <w:r>
        <w:t xml:space="preserve"> have participated in various economic association meetings to discuss CPI surveys, including methodological and procedural aspects of the data collection process.</w:t>
      </w:r>
      <w:r w:rsidR="00AA61C2">
        <w:t xml:space="preserve"> </w:t>
      </w:r>
      <w:r>
        <w:t>The BLS Commissioner and Associate Commissioners report on a monthly basis to the Congressi</w:t>
      </w:r>
      <w:r w:rsidR="008C1A7C">
        <w:t>onal Joint Economic Committee</w:t>
      </w:r>
      <w:r w:rsidR="007A204F">
        <w:t>.</w:t>
      </w:r>
      <w:r w:rsidR="00AA61C2">
        <w:t xml:space="preserve"> </w:t>
      </w:r>
      <w:r w:rsidRPr="00C92F8A">
        <w:t>Past criticisms of the CPI included its inability to incorporate new products and new outlets into the sample in a timely manner and the belief that the outlets in sample were too old.</w:t>
      </w:r>
      <w:r w:rsidR="00AA61C2">
        <w:t xml:space="preserve"> </w:t>
      </w:r>
      <w:r w:rsidRPr="00C92F8A">
        <w:t xml:space="preserve">The current design of TPOPS allows the flexibility to add new products and to select outlets on a continuous basis </w:t>
      </w:r>
      <w:r w:rsidR="001E4279" w:rsidRPr="00C92F8A">
        <w:t xml:space="preserve">in all sampling areas in a </w:t>
      </w:r>
      <w:r w:rsidRPr="00C92F8A">
        <w:t>timely manner.</w:t>
      </w:r>
    </w:p>
    <w:p w14:paraId="40442E98"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2A38CA24" w14:textId="77777777" w:rsidR="00BE4316"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9.</w:t>
      </w:r>
      <w:r>
        <w:tab/>
      </w:r>
      <w:r w:rsidR="00F7633B">
        <w:rPr>
          <w:u w:val="single"/>
        </w:rPr>
        <w:t>Paying Respondents</w:t>
      </w:r>
    </w:p>
    <w:p w14:paraId="12BC56B0" w14:textId="6B8CF947" w:rsidR="005604AB" w:rsidRDefault="00F7633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br/>
      </w:r>
      <w:r w:rsidR="005604AB">
        <w:t>Cooperation by the respondents to supply data for TPOPS is voluntary and no remuneration, payment, or gift is provided.</w:t>
      </w:r>
    </w:p>
    <w:p w14:paraId="5E564CC4"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2FCBE933" w14:textId="30EC5071" w:rsidR="00FF5B39" w:rsidRDefault="005604AB" w:rsidP="00FF5B39">
      <w:pPr>
        <w:ind w:left="900" w:hanging="450"/>
        <w:rPr>
          <w:color w:val="000000"/>
        </w:rPr>
      </w:pPr>
      <w:r>
        <w:t>10.</w:t>
      </w:r>
      <w:r w:rsidR="00AA61C2">
        <w:t xml:space="preserve"> </w:t>
      </w:r>
      <w:r w:rsidR="00F7633B">
        <w:rPr>
          <w:u w:val="single"/>
        </w:rPr>
        <w:t>Assurance of Confidentiality</w:t>
      </w:r>
      <w:r w:rsidR="00F7633B">
        <w:rPr>
          <w:u w:val="single"/>
        </w:rPr>
        <w:br/>
      </w:r>
      <w:r w:rsidR="00F7633B">
        <w:rPr>
          <w:u w:val="single"/>
        </w:rPr>
        <w:br/>
      </w:r>
      <w:r w:rsidR="00FF5B39" w:rsidRPr="00461BCD">
        <w:t>The Confidential Information Protection and Statistical Efficiency Act of 2002 (CIPSEA)</w:t>
      </w:r>
      <w:r w:rsidR="00AA61C2">
        <w:t xml:space="preserve"> </w:t>
      </w:r>
      <w:r w:rsidR="00FF5B39" w:rsidRPr="0008705B">
        <w:rPr>
          <w:color w:val="000000"/>
        </w:rPr>
        <w:t>safeguards the confidentiality of individually identifiable information acquired under a pledge of confidentiality for exclusively statistical purposes by controlling access to, and uses made of, such information.</w:t>
      </w:r>
      <w:r w:rsidR="00AA61C2">
        <w:rPr>
          <w:color w:val="000000"/>
        </w:rPr>
        <w:t xml:space="preserve"> </w:t>
      </w:r>
      <w:r w:rsidR="00FF5B39" w:rsidRPr="0008705B">
        <w:rPr>
          <w:color w:val="000000"/>
        </w:rPr>
        <w:t>CIPSEA includes fines and penalties for any knowing and willful disclosure of individually identifiable information by an officer, employee, or agent of the BLS.</w:t>
      </w:r>
    </w:p>
    <w:p w14:paraId="3CBE15E1" w14:textId="77777777" w:rsidR="00FF5B39" w:rsidRDefault="00FF5B39" w:rsidP="00FF5B39">
      <w:pPr>
        <w:rPr>
          <w:color w:val="000000"/>
        </w:rPr>
      </w:pPr>
    </w:p>
    <w:p w14:paraId="16DA435D" w14:textId="77777777" w:rsidR="00336EEB" w:rsidRPr="00336EEB" w:rsidRDefault="00336EEB" w:rsidP="00336EEB">
      <w:pPr>
        <w:ind w:left="907"/>
        <w:rPr>
          <w:szCs w:val="24"/>
        </w:rPr>
      </w:pPr>
      <w:r w:rsidRPr="00336EEB">
        <w:rPr>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4E56F7F0" w14:textId="77777777" w:rsidR="00290B38" w:rsidRDefault="00290B38" w:rsidP="000B1B22">
      <w:pPr>
        <w:pStyle w:val="NormalWeb"/>
        <w:spacing w:before="0" w:beforeAutospacing="0" w:after="0" w:afterAutospacing="0"/>
      </w:pPr>
    </w:p>
    <w:p w14:paraId="79729205" w14:textId="77777777" w:rsidR="00D81FC4" w:rsidRDefault="00D81FC4" w:rsidP="00D81FC4">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Census Bureau performs this work under the authority of </w:t>
      </w:r>
      <w:r w:rsidR="00A85422">
        <w:t xml:space="preserve">13 </w:t>
      </w:r>
      <w:r>
        <w:t xml:space="preserve">USC </w:t>
      </w:r>
      <w:r w:rsidR="00AA451C">
        <w:t xml:space="preserve">Section </w:t>
      </w:r>
      <w:r w:rsidR="000E3C78">
        <w:t>8 (b)</w:t>
      </w:r>
      <w:r w:rsidR="000B1B22">
        <w:t>.</w:t>
      </w:r>
    </w:p>
    <w:p w14:paraId="3B58AFDF"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545FC0C6" w14:textId="4A8DC4FC" w:rsidR="005604AB" w:rsidRDefault="007E56CC">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Respondents for whom an address can be obtained receive an advance letter that assures confidentiality.</w:t>
      </w:r>
      <w:r w:rsidR="00AA61C2">
        <w:t xml:space="preserve"> </w:t>
      </w:r>
      <w:r>
        <w:t>If an address is unavailable at the beginning of the telephone interview</w:t>
      </w:r>
      <w:r w:rsidR="005604AB">
        <w:t xml:space="preserve">, </w:t>
      </w:r>
      <w:r>
        <w:t>the interviewer</w:t>
      </w:r>
      <w:r w:rsidR="005604AB">
        <w:t xml:space="preserve"> </w:t>
      </w:r>
      <w:r w:rsidR="008A0D67">
        <w:t xml:space="preserve">reads the following statement to respondents who did not receive a letter:  “This survey is conducted quarterly.  It will take about 10 to 20 minutes to complete and is voluntary. Without Office of Management and Budget approval under project 1220-0044, we could not conduct this survey.  The BLS and the Census Bureau will use the information you provide for statistical purposes only.  We will protect the confidentiality of the information in accordance with the Privacy Act of 1974 and the Confidential Information Protection and Statistical Efficiency Act of 2002. Title 29, Section 2 and Title 13 of the United States Code authorize us to conduct this survey.” </w:t>
      </w:r>
    </w:p>
    <w:p w14:paraId="78733FB2"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785F92B6"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11.</w:t>
      </w:r>
      <w:r>
        <w:tab/>
      </w:r>
      <w:r w:rsidR="00F7633B">
        <w:rPr>
          <w:u w:val="single"/>
        </w:rPr>
        <w:t>Justification for Sensitive Questions</w:t>
      </w:r>
      <w:r w:rsidR="00F7633B">
        <w:t xml:space="preserve"> </w:t>
      </w:r>
      <w:r w:rsidR="00F7633B">
        <w:br/>
      </w:r>
      <w:r w:rsidR="00F7633B">
        <w:br/>
      </w:r>
      <w:r>
        <w:t>TPOPS does not include any questions of a sensitive nature.</w:t>
      </w:r>
    </w:p>
    <w:p w14:paraId="058C447C"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712BFFF7" w14:textId="1FDDCB15" w:rsidR="00454291" w:rsidRPr="008B1CC1" w:rsidRDefault="005604AB"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12.</w:t>
      </w:r>
      <w:r>
        <w:tab/>
      </w:r>
      <w:r w:rsidR="00F7633B">
        <w:rPr>
          <w:u w:val="single"/>
        </w:rPr>
        <w:t>Estimate of Respondent Burden</w:t>
      </w:r>
      <w:r w:rsidR="00F7633B">
        <w:rPr>
          <w:u w:val="single"/>
        </w:rPr>
        <w:br/>
      </w:r>
      <w:r w:rsidR="00F7633B">
        <w:rPr>
          <w:u w:val="single"/>
        </w:rPr>
        <w:br/>
      </w:r>
      <w:r w:rsidR="00454291" w:rsidRPr="00C92F8A">
        <w:t>The collection of infor</w:t>
      </w:r>
      <w:r w:rsidR="00E166F8" w:rsidRPr="00C92F8A">
        <w:t>mation for TPOPS occur</w:t>
      </w:r>
      <w:r w:rsidR="00251942" w:rsidRPr="00C92F8A">
        <w:t>s</w:t>
      </w:r>
      <w:r w:rsidR="00E166F8" w:rsidRPr="00C92F8A">
        <w:t xml:space="preserve"> in </w:t>
      </w:r>
      <w:r w:rsidR="00C92F8A" w:rsidRPr="00B15DE8">
        <w:t>75</w:t>
      </w:r>
      <w:r w:rsidR="00E27F08" w:rsidRPr="00C92F8A">
        <w:t xml:space="preserve"> </w:t>
      </w:r>
      <w:r w:rsidR="00454291" w:rsidRPr="00C92F8A">
        <w:t>geographic areas, or primary sampling units (PSUs)</w:t>
      </w:r>
      <w:r w:rsidR="00251942" w:rsidRPr="00C92F8A">
        <w:t xml:space="preserve"> under the </w:t>
      </w:r>
      <w:r w:rsidR="00C92F8A" w:rsidRPr="00B15DE8">
        <w:t>2018</w:t>
      </w:r>
      <w:r w:rsidR="00251942" w:rsidRPr="00C92F8A">
        <w:t xml:space="preserve"> geographic design</w:t>
      </w:r>
      <w:r w:rsidR="00454291" w:rsidRPr="00C92F8A">
        <w:t>.</w:t>
      </w:r>
      <w:r w:rsidR="00AA61C2">
        <w:t xml:space="preserve"> </w:t>
      </w:r>
    </w:p>
    <w:p w14:paraId="4007AC67" w14:textId="77777777" w:rsidR="00454291" w:rsidRPr="008B1CC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6B7A438B" w14:textId="5F173C4B" w:rsidR="00454291" w:rsidRDefault="00454291" w:rsidP="00B15DE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8B1CC1">
        <w:t>TPOPS has a quarterly rotating panel design.</w:t>
      </w:r>
      <w:r w:rsidR="00AA61C2">
        <w:t xml:space="preserve"> </w:t>
      </w:r>
      <w:r w:rsidRPr="008B1CC1">
        <w:t xml:space="preserve">Once a household has been selected and identified as an eligible unit, it remains in </w:t>
      </w:r>
      <w:r w:rsidR="00281640" w:rsidRPr="008B1CC1">
        <w:t xml:space="preserve">the </w:t>
      </w:r>
      <w:r w:rsidRPr="008B1CC1">
        <w:t xml:space="preserve">sample for </w:t>
      </w:r>
      <w:r w:rsidR="0095798A">
        <w:t>eight</w:t>
      </w:r>
      <w:r w:rsidR="0095798A" w:rsidRPr="008B1CC1">
        <w:t xml:space="preserve"> </w:t>
      </w:r>
      <w:r w:rsidRPr="008B1CC1">
        <w:t>consecutive quarters.</w:t>
      </w:r>
      <w:r w:rsidR="00AA61C2">
        <w:t xml:space="preserve"> </w:t>
      </w:r>
      <w:r w:rsidRPr="008B1CC1">
        <w:t>The total sample in each PSU is divided</w:t>
      </w:r>
      <w:r w:rsidR="002C1C9A">
        <w:t xml:space="preserve"> into eight</w:t>
      </w:r>
      <w:r w:rsidR="000C484B">
        <w:t xml:space="preserve"> </w:t>
      </w:r>
      <w:r w:rsidRPr="008B1CC1">
        <w:t>panels</w:t>
      </w:r>
      <w:r w:rsidRPr="002479D9">
        <w:t>.</w:t>
      </w:r>
      <w:r w:rsidR="00AA61C2">
        <w:t xml:space="preserve"> </w:t>
      </w:r>
      <w:r w:rsidRPr="002479D9">
        <w:t xml:space="preserve">During any given quarter, one panel is administered their first interview, one panel is administered their second interview, </w:t>
      </w:r>
      <w:r w:rsidR="00C92F8A" w:rsidRPr="00B15DE8">
        <w:t>etc., through their eighth interview</w:t>
      </w:r>
      <w:r w:rsidRPr="002479D9">
        <w:t>.</w:t>
      </w:r>
      <w:r w:rsidR="000C484B" w:rsidRPr="002479D9">
        <w:t xml:space="preserve"> </w:t>
      </w:r>
    </w:p>
    <w:p w14:paraId="3DD8AB10" w14:textId="77777777" w:rsidR="001A375C" w:rsidRPr="008B1CC1" w:rsidRDefault="001A375C" w:rsidP="00B15DE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4C7E1512" w14:textId="3432477D" w:rsidR="00454291" w:rsidRPr="00C768E4" w:rsidRDefault="00454291" w:rsidP="00454291">
      <w:pPr>
        <w:widowControl/>
        <w:tabs>
          <w:tab w:val="left" w:pos="0"/>
          <w:tab w:val="left" w:pos="450"/>
          <w:tab w:val="left" w:pos="90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2479D9">
        <w:t xml:space="preserve">The sample design outlined above was used to estimate burden hours for the collection of information in the </w:t>
      </w:r>
      <w:r w:rsidR="002479D9" w:rsidRPr="002479D9">
        <w:t>201</w:t>
      </w:r>
      <w:r w:rsidR="002479D9" w:rsidRPr="00B15DE8">
        <w:t>8</w:t>
      </w:r>
      <w:r w:rsidR="002479D9" w:rsidRPr="002479D9">
        <w:t xml:space="preserve"> </w:t>
      </w:r>
      <w:r w:rsidRPr="002479D9">
        <w:t xml:space="preserve">through </w:t>
      </w:r>
      <w:r w:rsidR="002479D9" w:rsidRPr="002479D9">
        <w:t>20</w:t>
      </w:r>
      <w:r w:rsidR="002479D9" w:rsidRPr="00B15DE8">
        <w:t>20</w:t>
      </w:r>
      <w:r w:rsidR="002479D9" w:rsidRPr="002479D9">
        <w:t xml:space="preserve"> </w:t>
      </w:r>
      <w:r w:rsidR="008C1A7C" w:rsidRPr="002479D9">
        <w:t>TPOPS surveys.</w:t>
      </w:r>
      <w:r w:rsidR="00AA61C2">
        <w:t xml:space="preserve"> </w:t>
      </w:r>
      <w:r w:rsidR="00E374B8" w:rsidRPr="002479D9">
        <w:t xml:space="preserve">The BLS </w:t>
      </w:r>
      <w:r w:rsidRPr="002479D9">
        <w:t>estimate</w:t>
      </w:r>
      <w:r w:rsidR="00E374B8" w:rsidRPr="002479D9">
        <w:t>s</w:t>
      </w:r>
      <w:r w:rsidRPr="002479D9">
        <w:t xml:space="preserve"> th</w:t>
      </w:r>
      <w:r w:rsidR="00D81FC4" w:rsidRPr="002479D9">
        <w:t xml:space="preserve">at </w:t>
      </w:r>
      <w:r w:rsidR="008B1CC1" w:rsidRPr="002479D9">
        <w:t xml:space="preserve">it will take approximately </w:t>
      </w:r>
      <w:r w:rsidR="0048241E">
        <w:t>12.65</w:t>
      </w:r>
      <w:r w:rsidR="000E3C78" w:rsidRPr="002479D9">
        <w:t xml:space="preserve"> </w:t>
      </w:r>
      <w:r w:rsidRPr="002479D9">
        <w:t xml:space="preserve">minutes on average to </w:t>
      </w:r>
      <w:r w:rsidR="00A70774" w:rsidRPr="002479D9">
        <w:t>interview eligible respondents</w:t>
      </w:r>
      <w:r w:rsidR="00423BC1" w:rsidRPr="002479D9">
        <w:t xml:space="preserve"> </w:t>
      </w:r>
      <w:r w:rsidR="00A70774" w:rsidRPr="002479D9">
        <w:t>during</w:t>
      </w:r>
      <w:r w:rsidR="00FD1543" w:rsidRPr="002479D9">
        <w:t xml:space="preserve"> the </w:t>
      </w:r>
      <w:r w:rsidR="000E3C78" w:rsidRPr="002479D9">
        <w:t>201</w:t>
      </w:r>
      <w:r w:rsidR="002479D9" w:rsidRPr="00B15DE8">
        <w:t>8</w:t>
      </w:r>
      <w:r w:rsidR="00FD1543" w:rsidRPr="002479D9">
        <w:t>-</w:t>
      </w:r>
      <w:r w:rsidR="002479D9" w:rsidRPr="002479D9">
        <w:t>20</w:t>
      </w:r>
      <w:r w:rsidR="002479D9" w:rsidRPr="00B15DE8">
        <w:t>20</w:t>
      </w:r>
      <w:r w:rsidR="002479D9" w:rsidRPr="002479D9">
        <w:t xml:space="preserve"> </w:t>
      </w:r>
      <w:r w:rsidR="00FD1543" w:rsidRPr="002479D9">
        <w:t>time</w:t>
      </w:r>
      <w:r w:rsidR="00230ADE" w:rsidRPr="002479D9">
        <w:t>frame</w:t>
      </w:r>
      <w:r w:rsidR="002A46F2" w:rsidRPr="00C768E4">
        <w:t>.</w:t>
      </w:r>
      <w:r w:rsidR="00AA61C2">
        <w:t xml:space="preserve"> </w:t>
      </w:r>
      <w:r w:rsidR="001C21A9" w:rsidRPr="00C768E4">
        <w:t>An estimate of average interview time is</w:t>
      </w:r>
      <w:r w:rsidR="00A70774" w:rsidRPr="00C768E4">
        <w:t xml:space="preserve"> b</w:t>
      </w:r>
      <w:r w:rsidRPr="00C768E4">
        <w:t xml:space="preserve">ased </w:t>
      </w:r>
      <w:r w:rsidR="00A70774" w:rsidRPr="00C768E4">
        <w:t>on collection results from</w:t>
      </w:r>
      <w:r w:rsidR="00514976" w:rsidRPr="00C768E4">
        <w:t xml:space="preserve"> </w:t>
      </w:r>
      <w:r w:rsidR="00C768E4" w:rsidRPr="00C768E4">
        <w:t>the second quarter of 201</w:t>
      </w:r>
      <w:r w:rsidR="0048241E">
        <w:t>5</w:t>
      </w:r>
      <w:r w:rsidR="00F04BD9" w:rsidRPr="00C768E4">
        <w:t xml:space="preserve"> through the first quarter of 2017</w:t>
      </w:r>
      <w:r w:rsidR="00170F73" w:rsidRPr="00C768E4">
        <w:t>;</w:t>
      </w:r>
      <w:r w:rsidRPr="00C768E4">
        <w:t xml:space="preserve"> Table 1 </w:t>
      </w:r>
      <w:r w:rsidR="00AA61C2">
        <w:t xml:space="preserve">reports </w:t>
      </w:r>
      <w:r w:rsidR="002A5C77">
        <w:t>respondent burden hours by year and a dollar estimate of respondents’ opportunity costs.</w:t>
      </w:r>
    </w:p>
    <w:p w14:paraId="3E4F33EC" w14:textId="77777777" w:rsidR="00F04BD9" w:rsidRDefault="00F04BD9" w:rsidP="00454291">
      <w:pPr>
        <w:widowControl/>
        <w:tabs>
          <w:tab w:val="left" w:pos="0"/>
          <w:tab w:val="left" w:pos="450"/>
          <w:tab w:val="left" w:pos="90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highlight w:val="yellow"/>
        </w:rPr>
      </w:pPr>
    </w:p>
    <w:p w14:paraId="19CAD79E" w14:textId="77777777" w:rsidR="00517141" w:rsidRPr="00C768E4" w:rsidRDefault="00517141" w:rsidP="00B41FC1">
      <w:pPr>
        <w:keepNext/>
        <w:keepLines/>
        <w:widowControl/>
        <w:tabs>
          <w:tab w:val="left" w:pos="0"/>
          <w:tab w:val="left" w:pos="450"/>
          <w:tab w:val="left" w:pos="90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b/>
        </w:rPr>
      </w:pPr>
      <w:r w:rsidRPr="00C768E4">
        <w:rPr>
          <w:b/>
        </w:rPr>
        <w:t>Table 1</w:t>
      </w:r>
    </w:p>
    <w:p w14:paraId="15BE8A90" w14:textId="77777777" w:rsidR="00517141" w:rsidRPr="00C768E4" w:rsidRDefault="00517141" w:rsidP="00B41FC1">
      <w:pPr>
        <w:keepNext/>
        <w:keepLines/>
        <w:widowControl/>
        <w:tabs>
          <w:tab w:val="left" w:pos="0"/>
          <w:tab w:val="left" w:pos="450"/>
          <w:tab w:val="left" w:pos="90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b/>
        </w:rPr>
      </w:pPr>
    </w:p>
    <w:tbl>
      <w:tblPr>
        <w:tblW w:w="0" w:type="auto"/>
        <w:jc w:val="center"/>
        <w:tblLayout w:type="fixed"/>
        <w:tblCellMar>
          <w:left w:w="150" w:type="dxa"/>
          <w:right w:w="150" w:type="dxa"/>
        </w:tblCellMar>
        <w:tblLook w:val="0000" w:firstRow="0" w:lastRow="0" w:firstColumn="0" w:lastColumn="0" w:noHBand="0" w:noVBand="0"/>
      </w:tblPr>
      <w:tblGrid>
        <w:gridCol w:w="3420"/>
        <w:gridCol w:w="1972"/>
      </w:tblGrid>
      <w:tr w:rsidR="00517141" w:rsidRPr="00A5652C" w14:paraId="33BA0EB8" w14:textId="77777777" w:rsidTr="001A5B3A">
        <w:trPr>
          <w:jc w:val="center"/>
        </w:trPr>
        <w:tc>
          <w:tcPr>
            <w:tcW w:w="5392" w:type="dxa"/>
            <w:gridSpan w:val="2"/>
            <w:tcBorders>
              <w:top w:val="single" w:sz="6" w:space="0" w:color="000000"/>
              <w:left w:val="single" w:sz="6" w:space="0" w:color="000000"/>
              <w:bottom w:val="double" w:sz="6" w:space="0" w:color="000000"/>
              <w:right w:val="single" w:sz="6" w:space="0" w:color="000000"/>
            </w:tcBorders>
          </w:tcPr>
          <w:p w14:paraId="49D678B3" w14:textId="77777777" w:rsidR="00517141" w:rsidRDefault="00517141" w:rsidP="00B41FC1">
            <w:pPr>
              <w:keepNext/>
              <w:keepLines/>
              <w:widowControl/>
              <w:jc w:val="center"/>
              <w:rPr>
                <w:i/>
                <w:iCs/>
              </w:rPr>
            </w:pPr>
            <w:r w:rsidRPr="008B1CC1">
              <w:rPr>
                <w:i/>
                <w:iCs/>
              </w:rPr>
              <w:t xml:space="preserve">Estimates of </w:t>
            </w:r>
            <w:r>
              <w:rPr>
                <w:i/>
                <w:iCs/>
              </w:rPr>
              <w:t xml:space="preserve">Annual </w:t>
            </w:r>
            <w:r w:rsidRPr="008B1CC1">
              <w:rPr>
                <w:i/>
                <w:iCs/>
              </w:rPr>
              <w:t>Response Burden</w:t>
            </w:r>
          </w:p>
          <w:p w14:paraId="43E14252" w14:textId="77777777" w:rsidR="00517141" w:rsidRPr="008B1CC1" w:rsidRDefault="00517141" w:rsidP="00B41FC1">
            <w:pPr>
              <w:keepNext/>
              <w:keepLines/>
              <w:widowControl/>
              <w:jc w:val="center"/>
              <w:rPr>
                <w:b/>
                <w:i/>
                <w:iCs/>
              </w:rPr>
            </w:pPr>
            <w:r>
              <w:rPr>
                <w:i/>
                <w:iCs/>
              </w:rPr>
              <w:t>2018-2020</w:t>
            </w:r>
          </w:p>
        </w:tc>
      </w:tr>
      <w:tr w:rsidR="00517141" w:rsidRPr="00A5652C" w14:paraId="27563F65" w14:textId="77777777" w:rsidTr="001A5B3A">
        <w:trPr>
          <w:jc w:val="center"/>
        </w:trPr>
        <w:tc>
          <w:tcPr>
            <w:tcW w:w="3420" w:type="dxa"/>
            <w:tcBorders>
              <w:top w:val="single" w:sz="6" w:space="0" w:color="000000"/>
              <w:left w:val="single" w:sz="6" w:space="0" w:color="000000"/>
              <w:bottom w:val="single" w:sz="6" w:space="0" w:color="000000"/>
              <w:right w:val="single" w:sz="6" w:space="0" w:color="000000"/>
            </w:tcBorders>
          </w:tcPr>
          <w:p w14:paraId="03D374E6" w14:textId="77777777" w:rsidR="00517141" w:rsidRPr="008B1CC1" w:rsidRDefault="00517141" w:rsidP="00B41FC1">
            <w:pPr>
              <w:keepNext/>
              <w:keepLines/>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t>Number of respondents</w:t>
            </w:r>
          </w:p>
        </w:tc>
        <w:tc>
          <w:tcPr>
            <w:tcW w:w="1972" w:type="dxa"/>
            <w:tcBorders>
              <w:top w:val="single" w:sz="6" w:space="0" w:color="000000"/>
              <w:left w:val="single" w:sz="6" w:space="0" w:color="000000"/>
              <w:bottom w:val="single" w:sz="6" w:space="0" w:color="000000"/>
              <w:right w:val="single" w:sz="6" w:space="0" w:color="000000"/>
            </w:tcBorders>
          </w:tcPr>
          <w:p w14:paraId="62385D0A" w14:textId="77777777" w:rsidR="00517141" w:rsidRPr="008B1CC1" w:rsidRDefault="00517141" w:rsidP="00B41FC1">
            <w:pPr>
              <w:keepNext/>
              <w:keepLines/>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10,183</w:t>
            </w:r>
          </w:p>
        </w:tc>
      </w:tr>
      <w:tr w:rsidR="00517141" w:rsidRPr="00A5652C" w14:paraId="74965E3A" w14:textId="77777777" w:rsidTr="001A5B3A">
        <w:trPr>
          <w:jc w:val="center"/>
        </w:trPr>
        <w:tc>
          <w:tcPr>
            <w:tcW w:w="3420" w:type="dxa"/>
            <w:tcBorders>
              <w:top w:val="single" w:sz="6" w:space="0" w:color="000000"/>
              <w:left w:val="single" w:sz="6" w:space="0" w:color="000000"/>
              <w:bottom w:val="single" w:sz="6" w:space="0" w:color="000000"/>
              <w:right w:val="single" w:sz="6" w:space="0" w:color="000000"/>
            </w:tcBorders>
          </w:tcPr>
          <w:p w14:paraId="32CADBB6" w14:textId="77777777" w:rsidR="00517141" w:rsidRPr="008B1CC1" w:rsidRDefault="00517141" w:rsidP="00B41FC1">
            <w:pPr>
              <w:keepNext/>
              <w:keepLines/>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t>Average number of responses</w:t>
            </w:r>
          </w:p>
        </w:tc>
        <w:tc>
          <w:tcPr>
            <w:tcW w:w="1972" w:type="dxa"/>
            <w:tcBorders>
              <w:top w:val="single" w:sz="6" w:space="0" w:color="000000"/>
              <w:left w:val="single" w:sz="6" w:space="0" w:color="000000"/>
              <w:bottom w:val="single" w:sz="6" w:space="0" w:color="000000"/>
              <w:right w:val="single" w:sz="6" w:space="0" w:color="000000"/>
            </w:tcBorders>
          </w:tcPr>
          <w:p w14:paraId="2B5B9CAD" w14:textId="77777777" w:rsidR="00517141" w:rsidRPr="008B1CC1" w:rsidRDefault="00517141" w:rsidP="00B41FC1">
            <w:pPr>
              <w:keepNext/>
              <w:keepLines/>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2.94</w:t>
            </w:r>
          </w:p>
        </w:tc>
      </w:tr>
      <w:tr w:rsidR="00517141" w:rsidRPr="00A5652C" w14:paraId="6968518D" w14:textId="77777777" w:rsidTr="001A5B3A">
        <w:trPr>
          <w:jc w:val="center"/>
        </w:trPr>
        <w:tc>
          <w:tcPr>
            <w:tcW w:w="3420" w:type="dxa"/>
            <w:tcBorders>
              <w:top w:val="single" w:sz="6" w:space="0" w:color="000000"/>
              <w:left w:val="single" w:sz="6" w:space="0" w:color="000000"/>
              <w:bottom w:val="single" w:sz="6" w:space="0" w:color="000000"/>
              <w:right w:val="single" w:sz="6" w:space="0" w:color="000000"/>
            </w:tcBorders>
          </w:tcPr>
          <w:p w14:paraId="47A9DEEA" w14:textId="77777777" w:rsidR="00517141" w:rsidRPr="008B1CC1" w:rsidRDefault="00517141" w:rsidP="00B41FC1">
            <w:pPr>
              <w:keepNext/>
              <w:keepLines/>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t>Total number of responses</w:t>
            </w:r>
          </w:p>
        </w:tc>
        <w:tc>
          <w:tcPr>
            <w:tcW w:w="1972" w:type="dxa"/>
            <w:tcBorders>
              <w:top w:val="single" w:sz="6" w:space="0" w:color="000000"/>
              <w:left w:val="single" w:sz="6" w:space="0" w:color="000000"/>
              <w:bottom w:val="single" w:sz="6" w:space="0" w:color="000000"/>
              <w:right w:val="single" w:sz="6" w:space="0" w:color="000000"/>
            </w:tcBorders>
          </w:tcPr>
          <w:p w14:paraId="5AD99CFC" w14:textId="77777777" w:rsidR="00517141" w:rsidRPr="008B1CC1" w:rsidRDefault="00517141" w:rsidP="00B41FC1">
            <w:pPr>
              <w:keepNext/>
              <w:keepLines/>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29,938</w:t>
            </w:r>
          </w:p>
        </w:tc>
      </w:tr>
      <w:tr w:rsidR="00517141" w:rsidRPr="00A5652C" w14:paraId="66A328A2" w14:textId="77777777" w:rsidTr="001A5B3A">
        <w:trPr>
          <w:jc w:val="center"/>
        </w:trPr>
        <w:tc>
          <w:tcPr>
            <w:tcW w:w="3420" w:type="dxa"/>
            <w:tcBorders>
              <w:top w:val="single" w:sz="6" w:space="0" w:color="000000"/>
              <w:left w:val="single" w:sz="6" w:space="0" w:color="000000"/>
              <w:bottom w:val="single" w:sz="6" w:space="0" w:color="000000"/>
              <w:right w:val="single" w:sz="6" w:space="0" w:color="000000"/>
            </w:tcBorders>
          </w:tcPr>
          <w:p w14:paraId="620D7E8A" w14:textId="77777777" w:rsidR="00517141" w:rsidRPr="008B1CC1" w:rsidRDefault="00517141" w:rsidP="00B41FC1">
            <w:pPr>
              <w:keepNext/>
              <w:keepLines/>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t>Minutes per response</w:t>
            </w:r>
          </w:p>
        </w:tc>
        <w:tc>
          <w:tcPr>
            <w:tcW w:w="1972" w:type="dxa"/>
            <w:tcBorders>
              <w:top w:val="single" w:sz="6" w:space="0" w:color="000000"/>
              <w:left w:val="single" w:sz="6" w:space="0" w:color="000000"/>
              <w:bottom w:val="single" w:sz="6" w:space="0" w:color="000000"/>
              <w:right w:val="single" w:sz="6" w:space="0" w:color="000000"/>
            </w:tcBorders>
          </w:tcPr>
          <w:p w14:paraId="3ABC58B0" w14:textId="77777777" w:rsidR="00517141" w:rsidRPr="008B1CC1" w:rsidRDefault="00517141" w:rsidP="00B41FC1">
            <w:pPr>
              <w:keepNext/>
              <w:keepLines/>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12.65</w:t>
            </w:r>
          </w:p>
        </w:tc>
      </w:tr>
      <w:tr w:rsidR="00517141" w:rsidRPr="00A5652C" w14:paraId="1EE773C0" w14:textId="77777777" w:rsidTr="001A5B3A">
        <w:trPr>
          <w:jc w:val="center"/>
        </w:trPr>
        <w:tc>
          <w:tcPr>
            <w:tcW w:w="3420" w:type="dxa"/>
            <w:tcBorders>
              <w:top w:val="single" w:sz="6" w:space="0" w:color="000000"/>
              <w:left w:val="single" w:sz="6" w:space="0" w:color="000000"/>
              <w:bottom w:val="double" w:sz="6" w:space="0" w:color="000000"/>
              <w:right w:val="single" w:sz="6" w:space="0" w:color="000000"/>
            </w:tcBorders>
          </w:tcPr>
          <w:p w14:paraId="1C5AC0BF" w14:textId="77777777" w:rsidR="00517141" w:rsidRPr="008B1CC1" w:rsidRDefault="00517141" w:rsidP="00B41FC1">
            <w:pPr>
              <w:keepNext/>
              <w:keepLines/>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t>Total minutes</w:t>
            </w:r>
          </w:p>
        </w:tc>
        <w:tc>
          <w:tcPr>
            <w:tcW w:w="1972" w:type="dxa"/>
            <w:tcBorders>
              <w:top w:val="single" w:sz="6" w:space="0" w:color="000000"/>
              <w:left w:val="single" w:sz="6" w:space="0" w:color="000000"/>
              <w:bottom w:val="double" w:sz="6" w:space="0" w:color="000000"/>
              <w:right w:val="single" w:sz="6" w:space="0" w:color="000000"/>
            </w:tcBorders>
          </w:tcPr>
          <w:p w14:paraId="60A11675" w14:textId="77777777" w:rsidR="00517141" w:rsidRPr="008B1CC1" w:rsidRDefault="00517141" w:rsidP="00B41FC1">
            <w:pPr>
              <w:keepNext/>
              <w:keepLines/>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378,716</w:t>
            </w:r>
          </w:p>
        </w:tc>
      </w:tr>
      <w:tr w:rsidR="00517141" w:rsidRPr="00A5652C" w14:paraId="12B401D7" w14:textId="77777777" w:rsidTr="001A5B3A">
        <w:trPr>
          <w:jc w:val="center"/>
        </w:trPr>
        <w:tc>
          <w:tcPr>
            <w:tcW w:w="3420" w:type="dxa"/>
            <w:tcBorders>
              <w:top w:val="single" w:sz="6" w:space="0" w:color="000000"/>
              <w:left w:val="single" w:sz="6" w:space="0" w:color="000000"/>
              <w:bottom w:val="single" w:sz="6" w:space="0" w:color="000000"/>
              <w:right w:val="single" w:sz="6" w:space="0" w:color="000000"/>
            </w:tcBorders>
          </w:tcPr>
          <w:p w14:paraId="30506025" w14:textId="77777777" w:rsidR="00517141" w:rsidRPr="008B1CC1" w:rsidRDefault="00517141" w:rsidP="00B41FC1">
            <w:pPr>
              <w:keepNext/>
              <w:keepLines/>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rPr>
                <w:b/>
              </w:rPr>
              <w:t>Total hours</w:t>
            </w:r>
          </w:p>
        </w:tc>
        <w:tc>
          <w:tcPr>
            <w:tcW w:w="1972" w:type="dxa"/>
            <w:tcBorders>
              <w:top w:val="single" w:sz="6" w:space="0" w:color="000000"/>
              <w:left w:val="single" w:sz="6" w:space="0" w:color="000000"/>
              <w:bottom w:val="single" w:sz="6" w:space="0" w:color="000000"/>
              <w:right w:val="single" w:sz="6" w:space="0" w:color="000000"/>
            </w:tcBorders>
          </w:tcPr>
          <w:p w14:paraId="16854BA7" w14:textId="77777777" w:rsidR="00517141" w:rsidRPr="008B1CC1" w:rsidRDefault="00517141" w:rsidP="00B41FC1">
            <w:pPr>
              <w:keepNext/>
              <w:keepLines/>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rPr>
                <w:b/>
              </w:rPr>
            </w:pPr>
            <w:r>
              <w:rPr>
                <w:b/>
              </w:rPr>
              <w:t>6,312</w:t>
            </w:r>
          </w:p>
        </w:tc>
      </w:tr>
      <w:tr w:rsidR="00517141" w:rsidRPr="00A5652C" w14:paraId="626958D8" w14:textId="77777777" w:rsidTr="001A5B3A">
        <w:trPr>
          <w:jc w:val="center"/>
        </w:trPr>
        <w:tc>
          <w:tcPr>
            <w:tcW w:w="3420" w:type="dxa"/>
            <w:tcBorders>
              <w:top w:val="single" w:sz="6" w:space="0" w:color="000000"/>
              <w:left w:val="single" w:sz="6" w:space="0" w:color="000000"/>
              <w:bottom w:val="single" w:sz="6" w:space="0" w:color="000000"/>
              <w:right w:val="single" w:sz="6" w:space="0" w:color="000000"/>
            </w:tcBorders>
          </w:tcPr>
          <w:p w14:paraId="1EB7431D" w14:textId="77777777" w:rsidR="00517141" w:rsidRPr="001A5B3A" w:rsidRDefault="00517141" w:rsidP="00B41FC1">
            <w:pPr>
              <w:keepNext/>
              <w:keepLines/>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1A5B3A">
              <w:t>Mean average hourly wage</w:t>
            </w:r>
            <w:r w:rsidRPr="001A5B3A">
              <w:rPr>
                <w:vertAlign w:val="superscript"/>
              </w:rPr>
              <w:t>2</w:t>
            </w:r>
          </w:p>
        </w:tc>
        <w:tc>
          <w:tcPr>
            <w:tcW w:w="1972" w:type="dxa"/>
            <w:tcBorders>
              <w:top w:val="single" w:sz="6" w:space="0" w:color="000000"/>
              <w:left w:val="single" w:sz="6" w:space="0" w:color="000000"/>
              <w:bottom w:val="single" w:sz="6" w:space="0" w:color="000000"/>
              <w:right w:val="single" w:sz="6" w:space="0" w:color="000000"/>
            </w:tcBorders>
          </w:tcPr>
          <w:p w14:paraId="7796773D" w14:textId="77777777" w:rsidR="00517141" w:rsidRDefault="00517141" w:rsidP="00B41FC1">
            <w:pPr>
              <w:keepNext/>
              <w:keepLines/>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rPr>
                <w:b/>
              </w:rPr>
            </w:pPr>
            <w:r>
              <w:rPr>
                <w:b/>
              </w:rPr>
              <w:t>$23.86</w:t>
            </w:r>
          </w:p>
        </w:tc>
      </w:tr>
      <w:tr w:rsidR="00517141" w:rsidRPr="00A5652C" w14:paraId="6B747EEC" w14:textId="77777777" w:rsidTr="001A5B3A">
        <w:trPr>
          <w:jc w:val="center"/>
        </w:trPr>
        <w:tc>
          <w:tcPr>
            <w:tcW w:w="3420" w:type="dxa"/>
            <w:tcBorders>
              <w:top w:val="single" w:sz="6" w:space="0" w:color="000000"/>
              <w:left w:val="single" w:sz="6" w:space="0" w:color="000000"/>
              <w:bottom w:val="single" w:sz="6" w:space="0" w:color="000000"/>
              <w:right w:val="single" w:sz="6" w:space="0" w:color="000000"/>
            </w:tcBorders>
          </w:tcPr>
          <w:p w14:paraId="7E822FB4" w14:textId="77777777" w:rsidR="00517141" w:rsidRDefault="00517141" w:rsidP="00B41FC1">
            <w:pPr>
              <w:keepNext/>
              <w:keepLines/>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rPr>
                <w:b/>
              </w:rPr>
            </w:pPr>
            <w:r>
              <w:rPr>
                <w:b/>
              </w:rPr>
              <w:t xml:space="preserve">Total </w:t>
            </w:r>
          </w:p>
        </w:tc>
        <w:tc>
          <w:tcPr>
            <w:tcW w:w="1972" w:type="dxa"/>
            <w:tcBorders>
              <w:top w:val="single" w:sz="6" w:space="0" w:color="000000"/>
              <w:left w:val="single" w:sz="6" w:space="0" w:color="000000"/>
              <w:bottom w:val="single" w:sz="6" w:space="0" w:color="000000"/>
              <w:right w:val="single" w:sz="6" w:space="0" w:color="000000"/>
            </w:tcBorders>
          </w:tcPr>
          <w:p w14:paraId="636D1967" w14:textId="77777777" w:rsidR="00517141" w:rsidRDefault="00517141" w:rsidP="00B41FC1">
            <w:pPr>
              <w:keepNext/>
              <w:keepLines/>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rPr>
                <w:b/>
              </w:rPr>
            </w:pPr>
            <w:r>
              <w:rPr>
                <w:b/>
              </w:rPr>
              <w:t>$150,603</w:t>
            </w:r>
          </w:p>
        </w:tc>
      </w:tr>
    </w:tbl>
    <w:p w14:paraId="6F362343" w14:textId="77777777" w:rsidR="00517141" w:rsidRDefault="00517141" w:rsidP="00B41FC1">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sz w:val="18"/>
        </w:rPr>
      </w:pPr>
    </w:p>
    <w:p w14:paraId="0AF3A12D" w14:textId="1D13C46B" w:rsidR="00517141" w:rsidRPr="005A7A08" w:rsidRDefault="00517141" w:rsidP="00B41FC1">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sz w:val="18"/>
        </w:rPr>
      </w:pPr>
      <w:r w:rsidRPr="00C768E4">
        <w:rPr>
          <w:sz w:val="18"/>
        </w:rPr>
        <w:t xml:space="preserve">1 – Estimates based on </w:t>
      </w:r>
      <w:r>
        <w:rPr>
          <w:sz w:val="18"/>
        </w:rPr>
        <w:t>average of 2015Q2-20</w:t>
      </w:r>
      <w:r w:rsidR="001A6BEB">
        <w:rPr>
          <w:sz w:val="18"/>
        </w:rPr>
        <w:t xml:space="preserve">17Q1, adjusted for new PSUs in </w:t>
      </w:r>
      <w:r>
        <w:rPr>
          <w:sz w:val="18"/>
        </w:rPr>
        <w:t>2019</w:t>
      </w:r>
      <w:r w:rsidR="001A6BEB">
        <w:rPr>
          <w:sz w:val="18"/>
        </w:rPr>
        <w:t>Q2.</w:t>
      </w:r>
    </w:p>
    <w:p w14:paraId="3F7AFB1D" w14:textId="77777777" w:rsidR="00517141" w:rsidRPr="00C768E4" w:rsidRDefault="00517141" w:rsidP="00B41FC1">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sz w:val="18"/>
        </w:rPr>
      </w:pPr>
      <w:r>
        <w:rPr>
          <w:sz w:val="18"/>
          <w:szCs w:val="18"/>
        </w:rPr>
        <w:tab/>
      </w:r>
      <w:r>
        <w:rPr>
          <w:sz w:val="18"/>
          <w:szCs w:val="18"/>
        </w:rPr>
        <w:tab/>
      </w:r>
      <w:r w:rsidRPr="001A5B3A">
        <w:rPr>
          <w:sz w:val="18"/>
          <w:szCs w:val="18"/>
        </w:rPr>
        <w:t>2 – Based on mean hourly wage from BLS’ Occupational Employment Statistics May 2016.</w:t>
      </w:r>
    </w:p>
    <w:p w14:paraId="6C00511D" w14:textId="77777777" w:rsidR="00517141" w:rsidRPr="00B15DE8" w:rsidRDefault="00517141" w:rsidP="0051714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highlight w:val="yellow"/>
        </w:rPr>
      </w:pPr>
    </w:p>
    <w:p w14:paraId="75FFCFF7" w14:textId="77777777" w:rsidR="005A7A08" w:rsidRPr="00B15DE8" w:rsidRDefault="005A7A08" w:rsidP="00F34E6A">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highlight w:val="yellow"/>
        </w:rPr>
      </w:pPr>
    </w:p>
    <w:p w14:paraId="23159095" w14:textId="4C778AFA"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11"/>
        <w:ind w:left="900" w:hanging="450"/>
      </w:pPr>
      <w:r>
        <w:t>13.</w:t>
      </w:r>
      <w:r>
        <w:tab/>
      </w:r>
      <w:r w:rsidR="00F7633B">
        <w:rPr>
          <w:u w:val="single"/>
        </w:rPr>
        <w:t>Estimate of Cost Burden</w:t>
      </w:r>
      <w:r w:rsidR="00F7633B">
        <w:t xml:space="preserve"> </w:t>
      </w:r>
      <w:r w:rsidR="00F7633B">
        <w:br/>
      </w:r>
      <w:r w:rsidR="00F7633B">
        <w:br/>
      </w:r>
      <w:r>
        <w:t xml:space="preserve">The total annual cost burden to respondents resulting from the collection of information </w:t>
      </w:r>
      <w:r w:rsidR="008E0788">
        <w:t xml:space="preserve">from the landline frame </w:t>
      </w:r>
      <w:r>
        <w:t>is $0.</w:t>
      </w:r>
      <w:r w:rsidR="00AA61C2">
        <w:t xml:space="preserve"> </w:t>
      </w:r>
      <w:r w:rsidR="008E0788">
        <w:t>The cost associated with the cell phone frame is measured by the utilization of minutes</w:t>
      </w:r>
      <w:r w:rsidR="00127885">
        <w:t xml:space="preserve"> and is assumed to be negligible</w:t>
      </w:r>
      <w:r w:rsidR="008E0788" w:rsidRPr="00127885">
        <w:t>.</w:t>
      </w:r>
      <w:r w:rsidR="00AA61C2">
        <w:t xml:space="preserve"> </w:t>
      </w:r>
      <w:r>
        <w:t xml:space="preserve">There are </w:t>
      </w:r>
      <w:r w:rsidR="001940D5">
        <w:t xml:space="preserve">no </w:t>
      </w:r>
      <w:r>
        <w:t>capital</w:t>
      </w:r>
      <w:r w:rsidR="001940D5">
        <w:t>,</w:t>
      </w:r>
      <w:r w:rsidR="00AA451C">
        <w:t xml:space="preserve"> </w:t>
      </w:r>
      <w:r>
        <w:t>start-up</w:t>
      </w:r>
      <w:r w:rsidR="001940D5">
        <w:t>,</w:t>
      </w:r>
      <w:r>
        <w:t xml:space="preserve"> operational, maintenance, or service costs required of respondents.</w:t>
      </w:r>
    </w:p>
    <w:p w14:paraId="0D585942" w14:textId="77777777"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1164E423" w14:textId="2B35820B"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t>14.</w:t>
      </w:r>
      <w:r>
        <w:tab/>
      </w:r>
      <w:r w:rsidR="00F7633B">
        <w:rPr>
          <w:u w:val="single"/>
        </w:rPr>
        <w:t>Cost to the Federal Government</w:t>
      </w:r>
      <w:r w:rsidR="00F7633B" w:rsidRPr="007A6D40">
        <w:rPr>
          <w:color w:val="000000"/>
        </w:rPr>
        <w:t xml:space="preserve"> </w:t>
      </w:r>
      <w:r w:rsidR="00F7633B">
        <w:rPr>
          <w:color w:val="000000"/>
        </w:rPr>
        <w:br/>
      </w:r>
      <w:r w:rsidR="00F7633B">
        <w:rPr>
          <w:color w:val="000000"/>
        </w:rPr>
        <w:br/>
      </w:r>
      <w:r w:rsidRPr="007A6D40">
        <w:rPr>
          <w:color w:val="000000"/>
        </w:rPr>
        <w:t>The annual cost to the Federal Government of collecting, processing, and reviewing the data collected in TPOPS is expected to be</w:t>
      </w:r>
      <w:r w:rsidR="006A7C1A">
        <w:rPr>
          <w:color w:val="000000"/>
        </w:rPr>
        <w:t xml:space="preserve"> </w:t>
      </w:r>
      <w:r w:rsidR="000C4E6C">
        <w:rPr>
          <w:color w:val="000000"/>
        </w:rPr>
        <w:t xml:space="preserve">about </w:t>
      </w:r>
      <w:r w:rsidRPr="007A6D40">
        <w:rPr>
          <w:color w:val="000000"/>
        </w:rPr>
        <w:t>$</w:t>
      </w:r>
      <w:r w:rsidR="00E230A2">
        <w:rPr>
          <w:color w:val="000000"/>
        </w:rPr>
        <w:t>4</w:t>
      </w:r>
      <w:r w:rsidR="00F55B39">
        <w:rPr>
          <w:color w:val="000000"/>
        </w:rPr>
        <w:t>.5</w:t>
      </w:r>
      <w:r w:rsidRPr="007A6D40">
        <w:rPr>
          <w:color w:val="000000"/>
        </w:rPr>
        <w:t xml:space="preserve"> </w:t>
      </w:r>
      <w:r w:rsidR="000C4E6C">
        <w:rPr>
          <w:color w:val="000000"/>
        </w:rPr>
        <w:t xml:space="preserve">million </w:t>
      </w:r>
      <w:r w:rsidRPr="007A6D40">
        <w:rPr>
          <w:color w:val="000000"/>
        </w:rPr>
        <w:t>in fisca</w:t>
      </w:r>
      <w:r w:rsidR="00E166F8">
        <w:rPr>
          <w:color w:val="000000"/>
        </w:rPr>
        <w:t xml:space="preserve">l year </w:t>
      </w:r>
      <w:r w:rsidR="00E230A2">
        <w:rPr>
          <w:color w:val="000000"/>
        </w:rPr>
        <w:t>2018</w:t>
      </w:r>
      <w:r w:rsidRPr="007A6D40">
        <w:rPr>
          <w:color w:val="000000"/>
        </w:rPr>
        <w:t>.</w:t>
      </w:r>
      <w:r w:rsidR="00AA61C2">
        <w:rPr>
          <w:color w:val="000000"/>
        </w:rPr>
        <w:t xml:space="preserve"> </w:t>
      </w:r>
      <w:r w:rsidR="00320CFF">
        <w:rPr>
          <w:color w:val="000000"/>
        </w:rPr>
        <w:t>This figure</w:t>
      </w:r>
      <w:r w:rsidR="00017E27">
        <w:rPr>
          <w:color w:val="000000"/>
        </w:rPr>
        <w:t xml:space="preserve"> </w:t>
      </w:r>
      <w:r w:rsidRPr="007A6D40">
        <w:rPr>
          <w:color w:val="000000"/>
        </w:rPr>
        <w:t xml:space="preserve">includes </w:t>
      </w:r>
      <w:r w:rsidR="000C4E6C">
        <w:rPr>
          <w:color w:val="000000"/>
        </w:rPr>
        <w:t xml:space="preserve">about </w:t>
      </w:r>
      <w:r w:rsidRPr="007A6D40">
        <w:rPr>
          <w:color w:val="000000"/>
        </w:rPr>
        <w:t>$</w:t>
      </w:r>
      <w:r w:rsidR="00F55B39">
        <w:rPr>
          <w:color w:val="000000"/>
        </w:rPr>
        <w:t xml:space="preserve">4.0 million </w:t>
      </w:r>
      <w:r w:rsidRPr="007A6D40">
        <w:rPr>
          <w:color w:val="000000"/>
        </w:rPr>
        <w:t xml:space="preserve">in costs incurred by the Census Bureau for collecting and processing the </w:t>
      </w:r>
      <w:r w:rsidR="00017E27">
        <w:rPr>
          <w:color w:val="000000"/>
        </w:rPr>
        <w:t xml:space="preserve">production </w:t>
      </w:r>
      <w:r w:rsidR="00F55B39">
        <w:rPr>
          <w:color w:val="000000"/>
        </w:rPr>
        <w:t xml:space="preserve">data and </w:t>
      </w:r>
      <w:r w:rsidRPr="007A6D40">
        <w:rPr>
          <w:color w:val="000000"/>
        </w:rPr>
        <w:t>other operational costs associated with maintaining t</w:t>
      </w:r>
      <w:r w:rsidR="00320CFF">
        <w:rPr>
          <w:color w:val="000000"/>
        </w:rPr>
        <w:t xml:space="preserve">he </w:t>
      </w:r>
      <w:r w:rsidR="008B4844">
        <w:rPr>
          <w:color w:val="000000"/>
        </w:rPr>
        <w:t>survey</w:t>
      </w:r>
      <w:r w:rsidR="00E71963">
        <w:rPr>
          <w:color w:val="000000"/>
        </w:rPr>
        <w:t>.</w:t>
      </w:r>
      <w:r w:rsidR="00AA61C2">
        <w:rPr>
          <w:color w:val="000000"/>
        </w:rPr>
        <w:t xml:space="preserve"> </w:t>
      </w:r>
      <w:r w:rsidR="00017E27">
        <w:rPr>
          <w:color w:val="000000"/>
        </w:rPr>
        <w:t xml:space="preserve">It </w:t>
      </w:r>
      <w:r w:rsidR="00787683" w:rsidRPr="007A6D40">
        <w:rPr>
          <w:color w:val="000000"/>
        </w:rPr>
        <w:t xml:space="preserve">also includes </w:t>
      </w:r>
      <w:r w:rsidR="000C4E6C">
        <w:rPr>
          <w:color w:val="000000"/>
        </w:rPr>
        <w:t>about $</w:t>
      </w:r>
      <w:r w:rsidR="00FF4382">
        <w:rPr>
          <w:color w:val="000000"/>
        </w:rPr>
        <w:t>5</w:t>
      </w:r>
      <w:r w:rsidR="00F55B39">
        <w:rPr>
          <w:color w:val="000000"/>
        </w:rPr>
        <w:t>0</w:t>
      </w:r>
      <w:r w:rsidR="00FF4382">
        <w:rPr>
          <w:color w:val="000000"/>
        </w:rPr>
        <w:t>0</w:t>
      </w:r>
      <w:r w:rsidR="00701BE8">
        <w:rPr>
          <w:color w:val="000000"/>
        </w:rPr>
        <w:t xml:space="preserve"> thousand</w:t>
      </w:r>
      <w:r w:rsidR="00FF4382">
        <w:rPr>
          <w:color w:val="000000"/>
        </w:rPr>
        <w:t xml:space="preserve"> </w:t>
      </w:r>
      <w:r w:rsidRPr="007A6D40">
        <w:rPr>
          <w:color w:val="000000"/>
        </w:rPr>
        <w:t>in personnel and computer-related costs appropriated by BLS to manage the survey and process the data upon receipt from the Census Bureau</w:t>
      </w:r>
      <w:r w:rsidR="00551FAE" w:rsidRPr="007A6D40">
        <w:rPr>
          <w:color w:val="000000"/>
        </w:rPr>
        <w:t>.</w:t>
      </w:r>
    </w:p>
    <w:p w14:paraId="6690DE2A" w14:textId="77777777" w:rsidR="008D17FC" w:rsidRDefault="008D17F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p>
    <w:p w14:paraId="49110E6E" w14:textId="77777777" w:rsidR="00AA451C" w:rsidRDefault="009B3AEE">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rPr>
          <w:color w:val="000000"/>
        </w:rPr>
        <w:tab/>
      </w:r>
      <w:r w:rsidR="00AE40CB">
        <w:rPr>
          <w:color w:val="000000"/>
        </w:rPr>
        <w:t>In the TPOPS</w:t>
      </w:r>
      <w:r w:rsidR="00496F83">
        <w:rPr>
          <w:color w:val="000000"/>
        </w:rPr>
        <w:t>,</w:t>
      </w:r>
      <w:r w:rsidR="00AE40CB">
        <w:rPr>
          <w:color w:val="000000"/>
        </w:rPr>
        <w:t xml:space="preserve"> </w:t>
      </w:r>
      <w:r w:rsidR="00170F73">
        <w:rPr>
          <w:color w:val="000000"/>
        </w:rPr>
        <w:t>s</w:t>
      </w:r>
      <w:r w:rsidR="00AE40CB">
        <w:rPr>
          <w:color w:val="000000"/>
        </w:rPr>
        <w:t>ub-sampling is done to panel one phone numbers which are found to have the lowest response rates in subsequent panels.</w:t>
      </w:r>
      <w:r w:rsidR="00AE40CB" w:rsidRPr="00AE40CB">
        <w:rPr>
          <w:color w:val="000000"/>
        </w:rPr>
        <w:t xml:space="preserve"> </w:t>
      </w:r>
      <w:r w:rsidR="00AE40CB">
        <w:rPr>
          <w:color w:val="000000"/>
        </w:rPr>
        <w:t>Starting in FY2013 sub-sampling was expanded to include unknown eligible cases from the first panel.</w:t>
      </w:r>
    </w:p>
    <w:p w14:paraId="2E636475" w14:textId="77777777" w:rsidR="008B4855" w:rsidRDefault="008B4855" w:rsidP="005963A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p>
    <w:p w14:paraId="3611B5D2" w14:textId="77777777" w:rsidR="00C62830" w:rsidRDefault="00C62830" w:rsidP="00C62830">
      <w:pPr>
        <w:pStyle w:val="ListParagraph"/>
        <w:widowControl/>
        <w:numPr>
          <w:ilvl w:val="0"/>
          <w:numId w:val="9"/>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color w:val="000000"/>
        </w:rPr>
      </w:pPr>
      <w:r>
        <w:rPr>
          <w:color w:val="000000"/>
        </w:rPr>
        <w:t xml:space="preserve">Phone numbers where respondent eligibility could not be confirmed </w:t>
      </w:r>
      <w:r w:rsidR="00C21FD8">
        <w:rPr>
          <w:color w:val="000000"/>
        </w:rPr>
        <w:t xml:space="preserve">(AAPOR codes 300-314 and 320-365) </w:t>
      </w:r>
      <w:r w:rsidR="00170F73">
        <w:rPr>
          <w:color w:val="000000"/>
        </w:rPr>
        <w:t>are</w:t>
      </w:r>
      <w:r>
        <w:rPr>
          <w:color w:val="000000"/>
        </w:rPr>
        <w:t xml:space="preserve"> sub</w:t>
      </w:r>
      <w:r w:rsidR="00C21FD8">
        <w:rPr>
          <w:color w:val="000000"/>
        </w:rPr>
        <w:t>-</w:t>
      </w:r>
      <w:r>
        <w:rPr>
          <w:color w:val="000000"/>
        </w:rPr>
        <w:t>sampled at a rate of 25% for panel 2.</w:t>
      </w:r>
      <w:r w:rsidR="00F73599" w:rsidRPr="00F73599">
        <w:rPr>
          <w:rStyle w:val="FootnoteReference"/>
          <w:color w:val="000000"/>
          <w:vertAlign w:val="superscript"/>
        </w:rPr>
        <w:footnoteReference w:id="5"/>
      </w:r>
    </w:p>
    <w:p w14:paraId="6079008B" w14:textId="21A463BC" w:rsidR="008B4855" w:rsidRDefault="00AE40CB">
      <w:pPr>
        <w:pStyle w:val="ListParagraph"/>
        <w:widowControl/>
        <w:numPr>
          <w:ilvl w:val="0"/>
          <w:numId w:val="9"/>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color w:val="000000"/>
        </w:rPr>
      </w:pPr>
      <w:r>
        <w:rPr>
          <w:color w:val="000000"/>
        </w:rPr>
        <w:t xml:space="preserve">Phone numbers called during panel one </w:t>
      </w:r>
      <w:r w:rsidR="00496F83">
        <w:rPr>
          <w:color w:val="000000"/>
        </w:rPr>
        <w:t>which</w:t>
      </w:r>
      <w:r>
        <w:rPr>
          <w:color w:val="000000"/>
        </w:rPr>
        <w:t xml:space="preserve"> never </w:t>
      </w:r>
      <w:r w:rsidR="001C21A9">
        <w:rPr>
          <w:color w:val="000000"/>
        </w:rPr>
        <w:t>results</w:t>
      </w:r>
      <w:r>
        <w:rPr>
          <w:color w:val="000000"/>
        </w:rPr>
        <w:t xml:space="preserve"> in an answer</w:t>
      </w:r>
      <w:r w:rsidR="00C21FD8">
        <w:rPr>
          <w:color w:val="000000"/>
        </w:rPr>
        <w:t xml:space="preserve"> (AAPOR codes 380 and 385)</w:t>
      </w:r>
      <w:r>
        <w:rPr>
          <w:color w:val="000000"/>
        </w:rPr>
        <w:t xml:space="preserve"> </w:t>
      </w:r>
      <w:r w:rsidR="00170F73">
        <w:rPr>
          <w:color w:val="000000"/>
        </w:rPr>
        <w:t>are</w:t>
      </w:r>
      <w:r w:rsidR="00836302">
        <w:rPr>
          <w:color w:val="000000"/>
        </w:rPr>
        <w:t xml:space="preserve"> </w:t>
      </w:r>
      <w:r>
        <w:rPr>
          <w:color w:val="000000"/>
        </w:rPr>
        <w:t>sub</w:t>
      </w:r>
      <w:r w:rsidR="00C62830">
        <w:rPr>
          <w:color w:val="000000"/>
        </w:rPr>
        <w:t>-</w:t>
      </w:r>
      <w:r>
        <w:rPr>
          <w:color w:val="000000"/>
        </w:rPr>
        <w:t>sampled at</w:t>
      </w:r>
      <w:r w:rsidR="00C62830">
        <w:rPr>
          <w:color w:val="000000"/>
        </w:rPr>
        <w:t xml:space="preserve"> a rate of</w:t>
      </w:r>
      <w:r>
        <w:rPr>
          <w:color w:val="000000"/>
        </w:rPr>
        <w:t xml:space="preserve"> 10%</w:t>
      </w:r>
      <w:r w:rsidR="00C62830">
        <w:rPr>
          <w:color w:val="000000"/>
        </w:rPr>
        <w:t xml:space="preserve"> for panel 2</w:t>
      </w:r>
      <w:r w:rsidR="00CB052E">
        <w:rPr>
          <w:color w:val="000000"/>
        </w:rPr>
        <w:t>.</w:t>
      </w:r>
    </w:p>
    <w:p w14:paraId="1D16CABC" w14:textId="77777777" w:rsidR="008B4855" w:rsidRDefault="008B4855">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color w:val="000000"/>
        </w:rPr>
      </w:pPr>
    </w:p>
    <w:p w14:paraId="0E6C59E7" w14:textId="0D83AC30" w:rsidR="000C484B" w:rsidRDefault="000C484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r>
        <w:rPr>
          <w:color w:val="000000"/>
        </w:rPr>
        <w:t xml:space="preserve">The eight-panel design </w:t>
      </w:r>
      <w:r w:rsidR="0095798A">
        <w:rPr>
          <w:color w:val="000000"/>
        </w:rPr>
        <w:t>was</w:t>
      </w:r>
      <w:r>
        <w:rPr>
          <w:color w:val="000000"/>
        </w:rPr>
        <w:t xml:space="preserve"> implemented to effect a reduction in costs. Extending the number of interviews for survey responders </w:t>
      </w:r>
      <w:r w:rsidR="00E6148B">
        <w:rPr>
          <w:color w:val="000000"/>
        </w:rPr>
        <w:t xml:space="preserve">to eight </w:t>
      </w:r>
      <w:r>
        <w:rPr>
          <w:color w:val="000000"/>
        </w:rPr>
        <w:t xml:space="preserve">reduces the number of new responders that must be obtained every quarter. </w:t>
      </w:r>
      <w:r w:rsidRPr="000620E7">
        <w:rPr>
          <w:color w:val="000000"/>
        </w:rPr>
        <w:t xml:space="preserve">Since obtaining new responders is more costly than re-interviewing previous responders, the expectation </w:t>
      </w:r>
      <w:r w:rsidR="00D90977" w:rsidRPr="000620E7">
        <w:rPr>
          <w:color w:val="000000"/>
        </w:rPr>
        <w:t xml:space="preserve">was </w:t>
      </w:r>
      <w:r w:rsidRPr="000620E7">
        <w:rPr>
          <w:color w:val="000000"/>
        </w:rPr>
        <w:t>that the eight-panel design w</w:t>
      </w:r>
      <w:r w:rsidR="00FF4382">
        <w:rPr>
          <w:color w:val="000000"/>
        </w:rPr>
        <w:t>ould</w:t>
      </w:r>
      <w:r w:rsidRPr="000620E7">
        <w:rPr>
          <w:color w:val="000000"/>
        </w:rPr>
        <w:t xml:space="preserve"> </w:t>
      </w:r>
      <w:r w:rsidR="00136299" w:rsidRPr="000620E7">
        <w:rPr>
          <w:color w:val="000000"/>
        </w:rPr>
        <w:t xml:space="preserve">help mitigate the cost increases </w:t>
      </w:r>
      <w:r w:rsidRPr="000620E7">
        <w:rPr>
          <w:color w:val="000000"/>
        </w:rPr>
        <w:t xml:space="preserve">when </w:t>
      </w:r>
      <w:r w:rsidR="005A4A60" w:rsidRPr="000620E7">
        <w:rPr>
          <w:color w:val="000000"/>
        </w:rPr>
        <w:t>fully implemented in the first quarter of 2017.</w:t>
      </w:r>
      <w:r w:rsidR="00AA61C2">
        <w:rPr>
          <w:color w:val="000000"/>
        </w:rPr>
        <w:t xml:space="preserve"> </w:t>
      </w:r>
      <w:r w:rsidR="00D90977">
        <w:rPr>
          <w:color w:val="000000"/>
        </w:rPr>
        <w:t>Any savings from the eight panel design, however, has not been realized because of decreasing response rates and higher costs per interview.</w:t>
      </w:r>
    </w:p>
    <w:p w14:paraId="6DC1B0F5" w14:textId="77777777" w:rsidR="005A4A60" w:rsidRDefault="005A4A6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p>
    <w:p w14:paraId="3AAE9021" w14:textId="18D3547A" w:rsidR="005A4A60" w:rsidRDefault="00FF438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r>
        <w:rPr>
          <w:color w:val="000000"/>
        </w:rPr>
        <w:t xml:space="preserve">In response to rising costs to conduct TPOPS, </w:t>
      </w:r>
      <w:r w:rsidR="005A4A60" w:rsidRPr="00FF4382">
        <w:rPr>
          <w:color w:val="000000"/>
        </w:rPr>
        <w:t xml:space="preserve">the target number of total interviews </w:t>
      </w:r>
      <w:r>
        <w:rPr>
          <w:color w:val="000000"/>
        </w:rPr>
        <w:t>was</w:t>
      </w:r>
      <w:r w:rsidR="005A4A60" w:rsidRPr="00FF4382">
        <w:rPr>
          <w:color w:val="000000"/>
        </w:rPr>
        <w:t xml:space="preserve"> reduced </w:t>
      </w:r>
      <w:r>
        <w:rPr>
          <w:color w:val="000000"/>
        </w:rPr>
        <w:t xml:space="preserve">in Q154 </w:t>
      </w:r>
      <w:r w:rsidR="005A4A60" w:rsidRPr="00FF4382">
        <w:rPr>
          <w:color w:val="000000"/>
        </w:rPr>
        <w:t xml:space="preserve">from 14,320 per quarter to 12,000 per quarter. This 16% reduction in completed interviews </w:t>
      </w:r>
      <w:r>
        <w:rPr>
          <w:color w:val="000000"/>
        </w:rPr>
        <w:t>was</w:t>
      </w:r>
      <w:r w:rsidRPr="00FF4382">
        <w:rPr>
          <w:color w:val="000000"/>
        </w:rPr>
        <w:t xml:space="preserve"> </w:t>
      </w:r>
      <w:r w:rsidR="00BD0FEF" w:rsidRPr="00FF4382">
        <w:rPr>
          <w:color w:val="000000"/>
        </w:rPr>
        <w:t xml:space="preserve">distributed </w:t>
      </w:r>
      <w:r w:rsidR="002E2243" w:rsidRPr="00FF4382">
        <w:rPr>
          <w:color w:val="000000"/>
        </w:rPr>
        <w:t xml:space="preserve">across PSUs </w:t>
      </w:r>
      <w:r w:rsidR="0089344D" w:rsidRPr="00FF4382">
        <w:rPr>
          <w:color w:val="000000"/>
        </w:rPr>
        <w:t>s</w:t>
      </w:r>
      <w:r w:rsidR="002E2243" w:rsidRPr="00FF4382">
        <w:rPr>
          <w:color w:val="000000"/>
        </w:rPr>
        <w:t>uch that disproportionately more interviews are removed from PSUs that on average exceed the outlet requirements for CPI sampling needs.</w:t>
      </w:r>
      <w:r w:rsidR="002E2243">
        <w:rPr>
          <w:color w:val="000000"/>
        </w:rPr>
        <w:t xml:space="preserve"> </w:t>
      </w:r>
      <w:r w:rsidR="00C73AE0">
        <w:rPr>
          <w:color w:val="000000"/>
        </w:rPr>
        <w:t>Beginning in Q163 the target number of completed interviews was again reduced to 10,000 per quarter. O</w:t>
      </w:r>
      <w:r w:rsidR="002E2243">
        <w:rPr>
          <w:color w:val="000000"/>
        </w:rPr>
        <w:t>utlet frame</w:t>
      </w:r>
      <w:r w:rsidR="00C73AE0">
        <w:rPr>
          <w:color w:val="000000"/>
        </w:rPr>
        <w:t xml:space="preserve">s </w:t>
      </w:r>
      <w:r w:rsidR="002A5C77">
        <w:rPr>
          <w:color w:val="000000"/>
        </w:rPr>
        <w:t xml:space="preserve">for the CPI survey </w:t>
      </w:r>
      <w:r w:rsidR="00C73AE0">
        <w:rPr>
          <w:color w:val="000000"/>
        </w:rPr>
        <w:t>are necessarily smaller as a result.</w:t>
      </w:r>
      <w:r w:rsidR="0089344D">
        <w:rPr>
          <w:color w:val="000000"/>
        </w:rPr>
        <w:t xml:space="preserve"> </w:t>
      </w:r>
    </w:p>
    <w:p w14:paraId="55DC15D5" w14:textId="77777777" w:rsidR="005A4A60" w:rsidRDefault="005A4A6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p>
    <w:p w14:paraId="773E7008" w14:textId="33C599A1" w:rsidR="005A4A60" w:rsidRDefault="005A4A6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r>
        <w:rPr>
          <w:color w:val="000000"/>
        </w:rPr>
        <w:t xml:space="preserve">The transition from the 1998 to the 2018 geographic design </w:t>
      </w:r>
      <w:r w:rsidR="00C73AE0">
        <w:rPr>
          <w:color w:val="000000"/>
        </w:rPr>
        <w:t>was designed to be</w:t>
      </w:r>
      <w:r>
        <w:rPr>
          <w:color w:val="000000"/>
        </w:rPr>
        <w:t xml:space="preserve"> cost neutral. </w:t>
      </w:r>
      <w:r w:rsidRPr="00ED270B">
        <w:rPr>
          <w:color w:val="000000"/>
        </w:rPr>
        <w:t>When fully implemented in the third quarter of 202</w:t>
      </w:r>
      <w:r w:rsidR="001B260C" w:rsidRPr="00B15DE8">
        <w:rPr>
          <w:color w:val="000000"/>
        </w:rPr>
        <w:t>3</w:t>
      </w:r>
      <w:r w:rsidRPr="00ED270B">
        <w:rPr>
          <w:color w:val="000000"/>
        </w:rPr>
        <w:t>,</w:t>
      </w:r>
      <w:r>
        <w:rPr>
          <w:color w:val="000000"/>
        </w:rPr>
        <w:t xml:space="preserve"> the reduction in the number of PSUs from 87 to 75 would result in cost savings if response rates do not decline further. </w:t>
      </w:r>
      <w:r w:rsidR="00D5665E">
        <w:rPr>
          <w:color w:val="000000"/>
        </w:rPr>
        <w:t>The transition schedule:</w:t>
      </w:r>
    </w:p>
    <w:p w14:paraId="33D3F43B" w14:textId="2D40C6EC" w:rsidR="006F08D4" w:rsidRPr="001B260C" w:rsidRDefault="006F08D4"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1B260C">
        <w:rPr>
          <w:b/>
          <w:color w:val="000000"/>
        </w:rPr>
        <w:t>Q174</w:t>
      </w:r>
      <w:r w:rsidRPr="001B260C">
        <w:rPr>
          <w:color w:val="000000"/>
        </w:rPr>
        <w:t xml:space="preserve">: </w:t>
      </w:r>
      <w:r w:rsidR="00B043A8" w:rsidRPr="001B260C">
        <w:rPr>
          <w:color w:val="000000"/>
        </w:rPr>
        <w:t>Regular i</w:t>
      </w:r>
      <w:r w:rsidRPr="001B260C">
        <w:rPr>
          <w:color w:val="000000"/>
        </w:rPr>
        <w:t xml:space="preserve">nterviewing resumes in the first set of six </w:t>
      </w:r>
      <w:r w:rsidR="001B260C" w:rsidRPr="001B260C">
        <w:rPr>
          <w:color w:val="000000"/>
        </w:rPr>
        <w:t xml:space="preserve">2018 </w:t>
      </w:r>
      <w:r w:rsidRPr="001B260C">
        <w:rPr>
          <w:color w:val="000000"/>
        </w:rPr>
        <w:t xml:space="preserve">PSUs that are </w:t>
      </w:r>
      <w:r w:rsidR="00C73AE0">
        <w:rPr>
          <w:color w:val="000000"/>
        </w:rPr>
        <w:t xml:space="preserve">new </w:t>
      </w:r>
      <w:r w:rsidRPr="001B260C">
        <w:rPr>
          <w:color w:val="000000"/>
        </w:rPr>
        <w:t xml:space="preserve">and will continue with </w:t>
      </w:r>
      <w:r w:rsidR="001B260C" w:rsidRPr="001B260C">
        <w:rPr>
          <w:color w:val="000000"/>
        </w:rPr>
        <w:t>regular</w:t>
      </w:r>
      <w:r w:rsidR="00D90977">
        <w:rPr>
          <w:color w:val="000000"/>
        </w:rPr>
        <w:t xml:space="preserve"> </w:t>
      </w:r>
      <w:r w:rsidRPr="001B260C">
        <w:rPr>
          <w:color w:val="000000"/>
        </w:rPr>
        <w:t>rotation.</w:t>
      </w:r>
      <w:r w:rsidR="00221C8B" w:rsidRPr="001B260C">
        <w:rPr>
          <w:color w:val="000000"/>
        </w:rPr>
        <w:t xml:space="preserve"> Interviewing occurs in </w:t>
      </w:r>
      <w:r w:rsidR="00C10849" w:rsidRPr="001B260C">
        <w:rPr>
          <w:color w:val="000000"/>
        </w:rPr>
        <w:t>66</w:t>
      </w:r>
      <w:r w:rsidR="00221C8B" w:rsidRPr="001B260C">
        <w:rPr>
          <w:color w:val="000000"/>
        </w:rPr>
        <w:t xml:space="preserve"> PSUs total.</w:t>
      </w:r>
    </w:p>
    <w:p w14:paraId="2FA0BB3E" w14:textId="35E24381" w:rsidR="00221C8B" w:rsidRPr="001B260C" w:rsidRDefault="00221C8B"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1B260C">
        <w:rPr>
          <w:b/>
          <w:color w:val="000000"/>
        </w:rPr>
        <w:t>Q182</w:t>
      </w:r>
      <w:r w:rsidRPr="001B260C">
        <w:rPr>
          <w:color w:val="000000"/>
        </w:rPr>
        <w:t xml:space="preserve">: </w:t>
      </w:r>
      <w:r w:rsidR="00C10849" w:rsidRPr="001B260C">
        <w:rPr>
          <w:color w:val="000000"/>
        </w:rPr>
        <w:t>Interviewing occurs in 6</w:t>
      </w:r>
      <w:r w:rsidR="001B260C" w:rsidRPr="00B15DE8">
        <w:rPr>
          <w:color w:val="000000"/>
        </w:rPr>
        <w:t>0</w:t>
      </w:r>
      <w:r w:rsidRPr="001B260C">
        <w:rPr>
          <w:color w:val="000000"/>
        </w:rPr>
        <w:t xml:space="preserve"> PSUs, total.</w:t>
      </w:r>
      <w:r w:rsidR="003C0590" w:rsidRPr="003C0590">
        <w:rPr>
          <w:color w:val="000000"/>
        </w:rPr>
        <w:t xml:space="preserve"> </w:t>
      </w:r>
      <w:r w:rsidR="003C0590" w:rsidRPr="001B260C">
        <w:rPr>
          <w:color w:val="000000"/>
        </w:rPr>
        <w:t xml:space="preserve">Interviewing is suspended in the </w:t>
      </w:r>
      <w:r w:rsidR="003C0590" w:rsidRPr="00B15DE8">
        <w:rPr>
          <w:color w:val="000000"/>
        </w:rPr>
        <w:t xml:space="preserve">third </w:t>
      </w:r>
      <w:r w:rsidR="003C0590" w:rsidRPr="001B260C">
        <w:rPr>
          <w:color w:val="000000"/>
        </w:rPr>
        <w:t>set of three PSUs that are new in the 2018 design.</w:t>
      </w:r>
    </w:p>
    <w:p w14:paraId="521C850C" w14:textId="3DF9E833" w:rsidR="00C10849" w:rsidRPr="001B260C" w:rsidRDefault="00C10849"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1B260C">
        <w:rPr>
          <w:b/>
          <w:color w:val="000000"/>
        </w:rPr>
        <w:t>Q192</w:t>
      </w:r>
      <w:r w:rsidRPr="001B260C">
        <w:rPr>
          <w:color w:val="000000"/>
        </w:rPr>
        <w:t xml:space="preserve">: </w:t>
      </w:r>
      <w:r w:rsidR="00B043A8" w:rsidRPr="00B15DE8">
        <w:rPr>
          <w:color w:val="000000"/>
        </w:rPr>
        <w:t xml:space="preserve">Interviewing begins in the remaining three PSUs that are new in the 2018 design. </w:t>
      </w:r>
      <w:r w:rsidRPr="001B260C">
        <w:rPr>
          <w:color w:val="000000"/>
        </w:rPr>
        <w:t xml:space="preserve">Interviewing will resume in six quarters. Interviewing occurs in </w:t>
      </w:r>
      <w:r w:rsidR="001B260C" w:rsidRPr="001B260C">
        <w:rPr>
          <w:color w:val="000000"/>
        </w:rPr>
        <w:t>6</w:t>
      </w:r>
      <w:r w:rsidR="001B260C" w:rsidRPr="00B15DE8">
        <w:rPr>
          <w:color w:val="000000"/>
        </w:rPr>
        <w:t>3</w:t>
      </w:r>
      <w:r w:rsidR="001B260C" w:rsidRPr="001B260C">
        <w:rPr>
          <w:color w:val="000000"/>
        </w:rPr>
        <w:t xml:space="preserve"> </w:t>
      </w:r>
      <w:r w:rsidRPr="001B260C">
        <w:rPr>
          <w:color w:val="000000"/>
        </w:rPr>
        <w:t>PSUs, total.</w:t>
      </w:r>
    </w:p>
    <w:p w14:paraId="273E84A2" w14:textId="159473B9" w:rsidR="00221C8B" w:rsidRPr="001B260C" w:rsidRDefault="00221C8B"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1B260C">
        <w:rPr>
          <w:b/>
          <w:color w:val="000000"/>
        </w:rPr>
        <w:t>Q194</w:t>
      </w:r>
      <w:r w:rsidRPr="001B260C">
        <w:rPr>
          <w:color w:val="000000"/>
        </w:rPr>
        <w:t xml:space="preserve">: </w:t>
      </w:r>
      <w:r w:rsidR="00B043A8" w:rsidRPr="00B15DE8">
        <w:rPr>
          <w:color w:val="000000"/>
        </w:rPr>
        <w:t xml:space="preserve">Interviewing resumes in the second set of six PSUs that are new in the 2018 design and will continue with regular rotation. Interviewing occurs in 69 PSUs, total. </w:t>
      </w:r>
    </w:p>
    <w:p w14:paraId="61DC57FD" w14:textId="0EBEDEBB" w:rsidR="001B260C" w:rsidRPr="001B260C" w:rsidRDefault="00221C8B" w:rsidP="00B043A8">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1B260C">
        <w:rPr>
          <w:b/>
          <w:color w:val="000000"/>
        </w:rPr>
        <w:t>Q204</w:t>
      </w:r>
      <w:r w:rsidRPr="001B260C">
        <w:rPr>
          <w:color w:val="000000"/>
        </w:rPr>
        <w:t xml:space="preserve">: Interviewing resumes in the </w:t>
      </w:r>
      <w:r w:rsidR="001B260C" w:rsidRPr="00B15DE8">
        <w:rPr>
          <w:color w:val="000000"/>
        </w:rPr>
        <w:t>third</w:t>
      </w:r>
      <w:r w:rsidR="001B260C" w:rsidRPr="001B260C">
        <w:rPr>
          <w:color w:val="000000"/>
        </w:rPr>
        <w:t xml:space="preserve"> </w:t>
      </w:r>
      <w:r w:rsidRPr="001B260C">
        <w:rPr>
          <w:color w:val="000000"/>
        </w:rPr>
        <w:t>set of three PSUs that are new in the 2018 design and will continue with regular rotation.</w:t>
      </w:r>
      <w:r w:rsidR="00C10849" w:rsidRPr="001B260C">
        <w:rPr>
          <w:color w:val="000000"/>
        </w:rPr>
        <w:t xml:space="preserve"> Interviewing occurs in </w:t>
      </w:r>
      <w:r w:rsidR="001B260C" w:rsidRPr="001B260C">
        <w:rPr>
          <w:color w:val="000000"/>
        </w:rPr>
        <w:t>7</w:t>
      </w:r>
      <w:r w:rsidR="001B260C" w:rsidRPr="00B15DE8">
        <w:rPr>
          <w:color w:val="000000"/>
        </w:rPr>
        <w:t>2</w:t>
      </w:r>
      <w:r w:rsidR="001B260C" w:rsidRPr="001B260C">
        <w:rPr>
          <w:color w:val="000000"/>
        </w:rPr>
        <w:t xml:space="preserve"> </w:t>
      </w:r>
      <w:r w:rsidR="00C10849" w:rsidRPr="001B260C">
        <w:rPr>
          <w:color w:val="000000"/>
        </w:rPr>
        <w:t>PSUs, total.</w:t>
      </w:r>
      <w:r w:rsidR="00AA61C2">
        <w:rPr>
          <w:color w:val="000000"/>
        </w:rPr>
        <w:t xml:space="preserve"> </w:t>
      </w:r>
    </w:p>
    <w:p w14:paraId="71CD6277" w14:textId="7F89EE66" w:rsidR="00B043A8" w:rsidRPr="00B15DE8" w:rsidRDefault="001B260C" w:rsidP="00B043A8">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B15DE8">
        <w:rPr>
          <w:b/>
          <w:color w:val="000000"/>
        </w:rPr>
        <w:t xml:space="preserve">Q214 </w:t>
      </w:r>
      <w:r w:rsidR="00B043A8" w:rsidRPr="00B15DE8">
        <w:rPr>
          <w:color w:val="000000"/>
        </w:rPr>
        <w:t xml:space="preserve">Interviewing resumes in the </w:t>
      </w:r>
      <w:r w:rsidRPr="00B15DE8">
        <w:rPr>
          <w:color w:val="000000"/>
        </w:rPr>
        <w:t>fourth</w:t>
      </w:r>
      <w:r w:rsidR="00B043A8" w:rsidRPr="00B15DE8">
        <w:rPr>
          <w:color w:val="000000"/>
        </w:rPr>
        <w:t xml:space="preserve"> set of </w:t>
      </w:r>
      <w:r w:rsidRPr="00B15DE8">
        <w:rPr>
          <w:color w:val="000000"/>
        </w:rPr>
        <w:t>three</w:t>
      </w:r>
      <w:r w:rsidR="00B043A8" w:rsidRPr="00B15DE8">
        <w:rPr>
          <w:color w:val="000000"/>
        </w:rPr>
        <w:t xml:space="preserve"> PSUs that are new in the 2018 design and will continue with regular rotation. Interviewing occurs in 7</w:t>
      </w:r>
      <w:r w:rsidRPr="00B15DE8">
        <w:rPr>
          <w:color w:val="000000"/>
        </w:rPr>
        <w:t>5</w:t>
      </w:r>
      <w:r w:rsidR="00B043A8" w:rsidRPr="00B15DE8">
        <w:rPr>
          <w:color w:val="000000"/>
        </w:rPr>
        <w:t xml:space="preserve"> PSUs, total.</w:t>
      </w:r>
    </w:p>
    <w:p w14:paraId="536C28A8" w14:textId="64A03991" w:rsidR="00221C8B" w:rsidRDefault="00221C8B"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p>
    <w:p w14:paraId="315CD313" w14:textId="77777777" w:rsidR="005A4A60" w:rsidRDefault="005A4A6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p>
    <w:p w14:paraId="511A5698" w14:textId="12880F0F" w:rsidR="008B4855" w:rsidRDefault="000868ED">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r>
        <w:rPr>
          <w:color w:val="000000"/>
        </w:rPr>
        <w:t xml:space="preserve">Costs of administering the </w:t>
      </w:r>
      <w:r w:rsidR="005A4A60">
        <w:rPr>
          <w:color w:val="000000"/>
        </w:rPr>
        <w:t xml:space="preserve">survey </w:t>
      </w:r>
      <w:r>
        <w:rPr>
          <w:color w:val="000000"/>
        </w:rPr>
        <w:t xml:space="preserve">will continue to be monitored. </w:t>
      </w:r>
      <w:r w:rsidR="005A4A60">
        <w:rPr>
          <w:color w:val="000000"/>
        </w:rPr>
        <w:t>Depending on the results of</w:t>
      </w:r>
      <w:r>
        <w:rPr>
          <w:color w:val="000000"/>
        </w:rPr>
        <w:t xml:space="preserve"> cost savings from </w:t>
      </w:r>
      <w:r w:rsidR="00030D53">
        <w:rPr>
          <w:color w:val="000000"/>
        </w:rPr>
        <w:t xml:space="preserve">sample design </w:t>
      </w:r>
      <w:r>
        <w:rPr>
          <w:color w:val="000000"/>
        </w:rPr>
        <w:t>changes</w:t>
      </w:r>
      <w:r w:rsidR="005A4A60">
        <w:rPr>
          <w:color w:val="000000"/>
        </w:rPr>
        <w:t xml:space="preserve">, </w:t>
      </w:r>
      <w:r>
        <w:rPr>
          <w:color w:val="000000"/>
        </w:rPr>
        <w:t xml:space="preserve">the target number of total completed interviews </w:t>
      </w:r>
      <w:r w:rsidR="005A4A60">
        <w:rPr>
          <w:color w:val="000000"/>
        </w:rPr>
        <w:t>will be increased or decreased appropriately</w:t>
      </w:r>
      <w:r>
        <w:rPr>
          <w:color w:val="000000"/>
        </w:rPr>
        <w:t>.</w:t>
      </w:r>
    </w:p>
    <w:p w14:paraId="1AF4BCE2" w14:textId="77777777" w:rsidR="00D5665E" w:rsidRDefault="00D5665E">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p>
    <w:p w14:paraId="7A78E520" w14:textId="77777777"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0289DC8F" w14:textId="714619C1" w:rsidR="00B41FC1" w:rsidRDefault="005604AB" w:rsidP="00B41FC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15.</w:t>
      </w:r>
      <w:r>
        <w:tab/>
      </w:r>
      <w:r w:rsidR="00F7633B">
        <w:rPr>
          <w:u w:val="single"/>
        </w:rPr>
        <w:t>Changes in Respondent Burden</w:t>
      </w:r>
      <w:r w:rsidR="00F7633B" w:rsidRPr="00E92E7F">
        <w:t xml:space="preserve"> </w:t>
      </w:r>
      <w:r w:rsidR="00F7633B">
        <w:br/>
      </w:r>
      <w:r w:rsidR="00F7633B">
        <w:br/>
      </w:r>
      <w:r w:rsidR="00B41FC1" w:rsidRPr="002A5C77">
        <w:t xml:space="preserve">The </w:t>
      </w:r>
      <w:r w:rsidR="00B41FC1">
        <w:t>three year average annual burden for 2018 to 2020 is 6,312 hours. The burden estimates for this clearance package are based on average interview time and the number of responses per respondent from the second quarter of 2015 through the first quarter of 2017. The TPOPS is currently approved for 11,</w:t>
      </w:r>
      <w:r w:rsidR="009070BE">
        <w:t>818</w:t>
      </w:r>
      <w:r w:rsidR="00B41FC1">
        <w:t xml:space="preserve"> burden hours. The estimate of 6,312 hours for this package is a decrease of 5,</w:t>
      </w:r>
      <w:r w:rsidR="009070BE">
        <w:t>506</w:t>
      </w:r>
      <w:r w:rsidR="00B41FC1">
        <w:t xml:space="preserve"> hours from the current burden. </w:t>
      </w:r>
    </w:p>
    <w:p w14:paraId="7DDF0D1F" w14:textId="77777777" w:rsidR="00B41FC1" w:rsidRDefault="00B41FC1" w:rsidP="00B41FC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14:paraId="710760C9" w14:textId="709267C4" w:rsidR="00B41FC1" w:rsidRDefault="00B41FC1" w:rsidP="00B41F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This decrease is caused by changes in the number of panel-1 respondents and the estimated average number of responses. First, the BLS decreased the target number of interviews about 30 percent since early 2015 because of increasing nonresponse. Second, the BLS projected the number of responses per respondent to increase to 3.25 when the eight panel design was fully implemented. The number of responses per respondent for this clearance package is lower (2.94) for two reasons. This clearance package estimates include the four panel design for the final three new PSUs for the CPI geographic revision that will be collected in the second quarter of 2019 through the first quarter of 2020. Because of the four panel design, the average number of responses per respondent for new PSUs is smaller than the eight panel design. Additionally, the eight panel design was implemented in the second quarter of 2015, and so the average number of responses per respondent is based on a small sample that was able to be tracked across all eight panels.</w:t>
      </w:r>
    </w:p>
    <w:p w14:paraId="3BA3B93F" w14:textId="77777777" w:rsidR="009C5B01" w:rsidRDefault="009C5B01" w:rsidP="00B41F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szCs w:val="24"/>
        </w:rPr>
      </w:pPr>
    </w:p>
    <w:p w14:paraId="502C0868" w14:textId="17A15521" w:rsidR="00B41FC1" w:rsidRPr="00B41FC1" w:rsidRDefault="00B41FC1" w:rsidP="00B41FC1">
      <w:pPr>
        <w:widowControl/>
        <w:tabs>
          <w:tab w:val="left" w:pos="0"/>
          <w:tab w:val="left" w:pos="474"/>
          <w:tab w:val="left" w:pos="90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szCs w:val="24"/>
        </w:rPr>
      </w:pPr>
      <w:r>
        <w:rPr>
          <w:szCs w:val="24"/>
        </w:rPr>
        <w:t>For more information about response rates that show the increasing number of non-contacts, please see attachment F, TPOPS Non-Response Bias Analysis.</w:t>
      </w:r>
    </w:p>
    <w:p w14:paraId="41528F30" w14:textId="76DC7538" w:rsidR="005604AB" w:rsidRDefault="005604AB" w:rsidP="00B41FC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14:paraId="234B8D36" w14:textId="77777777" w:rsidR="00B41FC1" w:rsidRDefault="00B41FC1" w:rsidP="00B41FC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14:paraId="174C01BA" w14:textId="455D7DA7"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16.</w:t>
      </w:r>
      <w:r>
        <w:tab/>
      </w:r>
      <w:r w:rsidR="00F7633B">
        <w:rPr>
          <w:u w:val="single"/>
        </w:rPr>
        <w:t>Time Schedule for Information Collection and Publication</w:t>
      </w:r>
      <w:r w:rsidR="00F7633B">
        <w:t xml:space="preserve"> </w:t>
      </w:r>
      <w:r w:rsidR="00F7633B">
        <w:br/>
      </w:r>
      <w:r w:rsidR="00F7633B">
        <w:br/>
      </w:r>
      <w:r>
        <w:t>Results from TPOPS will not be p</w:t>
      </w:r>
      <w:r w:rsidR="00ED15DB">
        <w:t>ublished.</w:t>
      </w:r>
      <w:r w:rsidR="00AA61C2">
        <w:t xml:space="preserve"> </w:t>
      </w:r>
      <w:r w:rsidR="00ED15DB">
        <w:t>Data will be used as the outlet universe for the Commodities and Services Survey for the CPI</w:t>
      </w:r>
      <w:r>
        <w:t>.</w:t>
      </w:r>
      <w:r w:rsidR="00AA61C2">
        <w:t xml:space="preserve"> </w:t>
      </w:r>
      <w:r>
        <w:t xml:space="preserve">Data </w:t>
      </w:r>
      <w:r w:rsidR="003B028B">
        <w:t>are</w:t>
      </w:r>
      <w:r>
        <w:t xml:space="preserve"> delivered to BLS from the Census Bureau approximately </w:t>
      </w:r>
      <w:r w:rsidR="0011659B">
        <w:t>seven</w:t>
      </w:r>
      <w:r w:rsidR="000E3C78">
        <w:t xml:space="preserve"> weeks</w:t>
      </w:r>
      <w:r>
        <w:t xml:space="preserve"> after the end of eac</w:t>
      </w:r>
      <w:r w:rsidR="00EC42FF">
        <w:t>h interviewing period.</w:t>
      </w:r>
      <w:r w:rsidR="00AA61C2">
        <w:t xml:space="preserve"> </w:t>
      </w:r>
      <w:r w:rsidR="00EC42FF">
        <w:t>BLS</w:t>
      </w:r>
      <w:r>
        <w:t xml:space="preserve"> process</w:t>
      </w:r>
      <w:r w:rsidR="00EC42FF">
        <w:t>es</w:t>
      </w:r>
      <w:r>
        <w:t xml:space="preserve"> the data and select</w:t>
      </w:r>
      <w:r w:rsidR="00EC42FF">
        <w:t>s</w:t>
      </w:r>
      <w:r>
        <w:t xml:space="preserve"> establishments for pricing during the </w:t>
      </w:r>
      <w:r w:rsidR="00432752">
        <w:t>following</w:t>
      </w:r>
      <w:r>
        <w:t xml:space="preserve"> </w:t>
      </w:r>
      <w:r w:rsidR="008B4855">
        <w:t xml:space="preserve">10 </w:t>
      </w:r>
      <w:r>
        <w:t xml:space="preserve">to </w:t>
      </w:r>
      <w:r w:rsidR="008B4855">
        <w:t>12</w:t>
      </w:r>
      <w:r>
        <w:t xml:space="preserve"> months.</w:t>
      </w:r>
      <w:r w:rsidR="00AA61C2">
        <w:t xml:space="preserve"> </w:t>
      </w:r>
      <w:r>
        <w:t>The initiation of pricing activities in outlets reported in TPOPS begin</w:t>
      </w:r>
      <w:r w:rsidR="00EC42FF">
        <w:t>s</w:t>
      </w:r>
      <w:r>
        <w:t xml:space="preserve"> approximately </w:t>
      </w:r>
      <w:r w:rsidR="008B4855">
        <w:t>12</w:t>
      </w:r>
      <w:r>
        <w:t xml:space="preserve"> to </w:t>
      </w:r>
      <w:r w:rsidR="008B4855">
        <w:t>16</w:t>
      </w:r>
      <w:r>
        <w:t xml:space="preserve"> months after the original data collection in TPOPS.</w:t>
      </w:r>
      <w:r w:rsidR="00AA61C2">
        <w:t xml:space="preserve"> </w:t>
      </w:r>
      <w:r>
        <w:t>This schedule operate</w:t>
      </w:r>
      <w:r w:rsidR="00EC42FF">
        <w:t>s</w:t>
      </w:r>
      <w:r>
        <w:t xml:space="preserve"> continuously, with new interviews beginning each calendar quarter.</w:t>
      </w:r>
    </w:p>
    <w:p w14:paraId="59EAF584" w14:textId="77777777" w:rsidR="00ED15DB" w:rsidRDefault="00ED15D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14:paraId="25D9A498" w14:textId="77777777" w:rsidR="007A30A1" w:rsidRDefault="007A30A1" w:rsidP="007A30A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14:paraId="298C1451" w14:textId="7740F254" w:rsidR="00BE10F0" w:rsidRDefault="005604AB" w:rsidP="009C5B01">
      <w:pPr>
        <w:keepNext/>
        <w:keepLines/>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50" w:hanging="475"/>
      </w:pPr>
      <w:r>
        <w:t>17.</w:t>
      </w:r>
      <w:r>
        <w:tab/>
      </w:r>
      <w:r w:rsidR="00F7633B">
        <w:rPr>
          <w:u w:val="single"/>
        </w:rPr>
        <w:t>Request to Not Display Expiration Date</w:t>
      </w:r>
      <w:r w:rsidR="00F7633B">
        <w:t xml:space="preserve"> </w:t>
      </w:r>
      <w:r w:rsidR="00F7633B">
        <w:br/>
      </w:r>
      <w:r w:rsidR="00F7633B">
        <w:br/>
      </w:r>
      <w:r w:rsidR="00496F83">
        <w:t>T</w:t>
      </w:r>
      <w:r>
        <w:t xml:space="preserve">he </w:t>
      </w:r>
      <w:r w:rsidR="001B260C" w:rsidRPr="00ED270B">
        <w:t>2018</w:t>
      </w:r>
      <w:r w:rsidR="000C15F3" w:rsidRPr="001B260C">
        <w:t>-</w:t>
      </w:r>
      <w:r w:rsidR="001B260C" w:rsidRPr="00ED270B">
        <w:t>2020</w:t>
      </w:r>
      <w:r w:rsidR="001B260C">
        <w:t xml:space="preserve"> </w:t>
      </w:r>
      <w:r>
        <w:t>TPOPS survey will be conducted via computer-assisted telephone interviewing</w:t>
      </w:r>
      <w:r w:rsidR="003510B3">
        <w:t xml:space="preserve">, there are no paper </w:t>
      </w:r>
      <w:r>
        <w:t>questionnaires.</w:t>
      </w:r>
      <w:r w:rsidR="00AA61C2">
        <w:t xml:space="preserve"> </w:t>
      </w:r>
      <w:r>
        <w:t>Instead, respondents are read statements and questions over the telephone</w:t>
      </w:r>
      <w:r w:rsidR="00BE10F0">
        <w:t>.</w:t>
      </w:r>
      <w:r w:rsidR="00AA61C2">
        <w:t xml:space="preserve"> </w:t>
      </w:r>
      <w:r>
        <w:t>Currently, the OMB clearance number is read to the respondent during the introdu</w:t>
      </w:r>
      <w:r w:rsidR="008261A2">
        <w:t>ct</w:t>
      </w:r>
      <w:r w:rsidR="006A33C8">
        <w:t xml:space="preserve">ory screens (see Attachment </w:t>
      </w:r>
      <w:r w:rsidR="00BF5065">
        <w:t>E</w:t>
      </w:r>
      <w:r>
        <w:t>).</w:t>
      </w:r>
      <w:r w:rsidR="00AA61C2">
        <w:t xml:space="preserve"> </w:t>
      </w:r>
      <w:r>
        <w:t xml:space="preserve">However, </w:t>
      </w:r>
      <w:r w:rsidR="00E374B8">
        <w:t xml:space="preserve">the BLS </w:t>
      </w:r>
      <w:r>
        <w:t>do</w:t>
      </w:r>
      <w:r w:rsidR="00E374B8">
        <w:t>es</w:t>
      </w:r>
      <w:r>
        <w:t xml:space="preserve"> not indicate the expiration date of the collection.</w:t>
      </w:r>
      <w:r w:rsidR="00AA61C2">
        <w:t xml:space="preserve"> </w:t>
      </w:r>
      <w:r>
        <w:t>Research has suggested that long, superfluous introductory statements are not only burdensome, but are likely to result in a refusal in a CATI environment.</w:t>
      </w:r>
      <w:r w:rsidR="00AA61C2">
        <w:t xml:space="preserve"> </w:t>
      </w:r>
      <w:r>
        <w:t xml:space="preserve">In an effort to minimize the likelihood of losing an interview, </w:t>
      </w:r>
      <w:r w:rsidR="00E374B8">
        <w:t>the BLS</w:t>
      </w:r>
      <w:r>
        <w:t xml:space="preserve"> would like to keep the introductory statement as short as possible.</w:t>
      </w:r>
      <w:r w:rsidR="00AA61C2">
        <w:t xml:space="preserve"> </w:t>
      </w:r>
      <w:r>
        <w:t>The expiration date of OMB approval will be provided to a respondent upon inquisition</w:t>
      </w:r>
      <w:r w:rsidR="00BE10F0">
        <w:t xml:space="preserve"> during the interview.</w:t>
      </w:r>
    </w:p>
    <w:p w14:paraId="7DF42AA2" w14:textId="77777777" w:rsidR="00BE10F0" w:rsidRDefault="00BE10F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14:paraId="1B14866F" w14:textId="1B879BF0" w:rsidR="005604AB" w:rsidRDefault="0075327D" w:rsidP="00BE10F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65"/>
      </w:pPr>
      <w:r>
        <w:t>The BLS</w:t>
      </w:r>
      <w:r w:rsidR="00BE10F0">
        <w:t xml:space="preserve"> currently </w:t>
      </w:r>
      <w:r>
        <w:t xml:space="preserve">sends </w:t>
      </w:r>
      <w:r w:rsidR="00BE10F0">
        <w:t>advance letter</w:t>
      </w:r>
      <w:r w:rsidR="00574658">
        <w:t>s</w:t>
      </w:r>
      <w:r w:rsidR="00BE10F0">
        <w:t xml:space="preserve"> </w:t>
      </w:r>
      <w:r>
        <w:t>to households for which an address can be obtained.</w:t>
      </w:r>
      <w:r w:rsidR="00AA61C2">
        <w:t xml:space="preserve"> </w:t>
      </w:r>
      <w:r w:rsidR="00E166F8">
        <w:t>Copies</w:t>
      </w:r>
      <w:r w:rsidR="00BE10F0">
        <w:t xml:space="preserve"> of the advance lett</w:t>
      </w:r>
      <w:r w:rsidR="00B759D4">
        <w:t>er</w:t>
      </w:r>
      <w:r w:rsidR="00E166F8">
        <w:t>s</w:t>
      </w:r>
      <w:r w:rsidR="00B759D4">
        <w:t xml:space="preserve"> </w:t>
      </w:r>
      <w:r w:rsidR="00E166F8">
        <w:t xml:space="preserve">are </w:t>
      </w:r>
      <w:r w:rsidR="00B759D4">
        <w:t xml:space="preserve">attached (see Attachment </w:t>
      </w:r>
      <w:r w:rsidR="00DC5377">
        <w:t>D</w:t>
      </w:r>
      <w:r w:rsidR="00BE10F0">
        <w:t>).</w:t>
      </w:r>
      <w:r w:rsidR="00574658">
        <w:t xml:space="preserve"> The letters include a space to indicate how many more times the household is expected to be contacted. This field is updated each quarter for each household.</w:t>
      </w:r>
      <w:r w:rsidR="00AA61C2">
        <w:t xml:space="preserve"> </w:t>
      </w:r>
      <w:r w:rsidR="00BE10F0">
        <w:t xml:space="preserve">The BLS requests that the expiration date </w:t>
      </w:r>
      <w:r w:rsidR="00281158">
        <w:t xml:space="preserve">is not printed </w:t>
      </w:r>
      <w:r w:rsidR="00BE10F0">
        <w:t>on our advance letters.</w:t>
      </w:r>
      <w:r w:rsidR="00AA61C2">
        <w:t xml:space="preserve"> </w:t>
      </w:r>
      <w:r w:rsidR="00BE10F0">
        <w:t>This will allow copies of old letters to be retained and used instead of discarded when an expiration date is met.</w:t>
      </w:r>
    </w:p>
    <w:p w14:paraId="7D761448" w14:textId="77777777"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35F504B2" w14:textId="211D6C52" w:rsidR="00F7633B" w:rsidRPr="007171AC" w:rsidRDefault="005604AB" w:rsidP="007171AC">
      <w:pPr>
        <w:ind w:left="990" w:hanging="540"/>
        <w:rPr>
          <w:szCs w:val="24"/>
        </w:rPr>
      </w:pPr>
      <w:r>
        <w:t>18.</w:t>
      </w:r>
      <w:r w:rsidR="00994A17">
        <w:t xml:space="preserve"> </w:t>
      </w:r>
      <w:r w:rsidR="007171AC">
        <w:t>E</w:t>
      </w:r>
      <w:r w:rsidR="00F7633B">
        <w:rPr>
          <w:u w:val="single"/>
        </w:rPr>
        <w:t>xceptions to the Certification</w:t>
      </w:r>
      <w:r w:rsidR="00F7633B">
        <w:t xml:space="preserve"> </w:t>
      </w:r>
      <w:r w:rsidR="00F7633B">
        <w:br/>
      </w:r>
      <w:r w:rsidR="00F7633B">
        <w:br/>
      </w:r>
      <w:r w:rsidRPr="007171AC">
        <w:rPr>
          <w:szCs w:val="24"/>
        </w:rPr>
        <w:t xml:space="preserve">There are no exceptions to the </w:t>
      </w:r>
      <w:r w:rsidR="00F7633B" w:rsidRPr="007171AC">
        <w:rPr>
          <w:szCs w:val="24"/>
        </w:rPr>
        <w:t>“Certificate for Paperwork Reduction Act Submissions” stat</w:t>
      </w:r>
      <w:r w:rsidR="00BF5065">
        <w:rPr>
          <w:szCs w:val="24"/>
        </w:rPr>
        <w:t>ement in Appendix A.</w:t>
      </w:r>
    </w:p>
    <w:p w14:paraId="13C1E1EE" w14:textId="77777777" w:rsidR="005604AB" w:rsidRDefault="005604AB" w:rsidP="00846F25">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sectPr w:rsidR="005604AB" w:rsidSect="00C83510">
      <w:head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18C1B" w14:textId="77777777" w:rsidR="004723EF" w:rsidRDefault="004723EF">
      <w:r>
        <w:separator/>
      </w:r>
    </w:p>
  </w:endnote>
  <w:endnote w:type="continuationSeparator" w:id="0">
    <w:p w14:paraId="155E59E6" w14:textId="77777777" w:rsidR="004723EF" w:rsidRDefault="0047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EEA17" w14:textId="77777777" w:rsidR="004723EF" w:rsidRDefault="004723EF">
      <w:r>
        <w:separator/>
      </w:r>
    </w:p>
  </w:footnote>
  <w:footnote w:type="continuationSeparator" w:id="0">
    <w:p w14:paraId="27E6BFC2" w14:textId="77777777" w:rsidR="004723EF" w:rsidRDefault="004723EF">
      <w:r>
        <w:continuationSeparator/>
      </w:r>
    </w:p>
  </w:footnote>
  <w:footnote w:id="1">
    <w:p w14:paraId="538A400D" w14:textId="77777777" w:rsidR="00B8472B" w:rsidRDefault="00B8472B">
      <w:pPr>
        <w:pStyle w:val="FootnoteText"/>
      </w:pPr>
      <w:r>
        <w:rPr>
          <w:rStyle w:val="FootnoteReference"/>
        </w:rPr>
        <w:footnoteRef/>
      </w:r>
      <w:r>
        <w:t xml:space="preserve"> Postcards are sent as reminders to respondents without the survey name to maintain confidentiality.</w:t>
      </w:r>
    </w:p>
  </w:footnote>
  <w:footnote w:id="2">
    <w:p w14:paraId="79C809F0" w14:textId="77777777" w:rsidR="00B8472B" w:rsidRDefault="00B8472B" w:rsidP="005C04A4">
      <w:pPr>
        <w:pStyle w:val="FootnoteText"/>
      </w:pPr>
      <w:r w:rsidRPr="00522F7F">
        <w:rPr>
          <w:rStyle w:val="FootnoteReference"/>
        </w:rPr>
        <w:footnoteRef/>
      </w:r>
      <w:r w:rsidRPr="00522F7F">
        <w:t xml:space="preserve"> </w:t>
      </w:r>
      <w:r w:rsidRPr="006B6DE0">
        <w:rPr>
          <w:bCs/>
          <w:snapToGrid/>
          <w:color w:val="000000"/>
          <w:spacing w:val="15"/>
          <w:kern w:val="36"/>
        </w:rPr>
        <w:t>Blumberg</w:t>
      </w:r>
      <w:r>
        <w:rPr>
          <w:bCs/>
          <w:snapToGrid/>
          <w:color w:val="000000"/>
          <w:spacing w:val="15"/>
          <w:kern w:val="36"/>
        </w:rPr>
        <w:t xml:space="preserve">, </w:t>
      </w:r>
      <w:r w:rsidRPr="006B6DE0">
        <w:rPr>
          <w:bCs/>
          <w:snapToGrid/>
          <w:color w:val="000000"/>
          <w:spacing w:val="15"/>
          <w:kern w:val="36"/>
        </w:rPr>
        <w:t>Stephen J., Ph.D., and Luke</w:t>
      </w:r>
      <w:r>
        <w:rPr>
          <w:bCs/>
          <w:snapToGrid/>
          <w:color w:val="000000"/>
          <w:spacing w:val="15"/>
          <w:kern w:val="36"/>
        </w:rPr>
        <w:t>,</w:t>
      </w:r>
      <w:r w:rsidRPr="006B6DE0">
        <w:rPr>
          <w:bCs/>
          <w:snapToGrid/>
          <w:color w:val="000000"/>
          <w:spacing w:val="15"/>
          <w:kern w:val="36"/>
        </w:rPr>
        <w:t xml:space="preserve"> Julian V. Wireless Substitution: Early Release of Estimates from the N</w:t>
      </w:r>
      <w:r>
        <w:rPr>
          <w:bCs/>
          <w:snapToGrid/>
          <w:color w:val="000000"/>
          <w:spacing w:val="15"/>
          <w:kern w:val="36"/>
        </w:rPr>
        <w:t>ational Health Interview Survey:</w:t>
      </w:r>
      <w:r w:rsidRPr="006B6DE0">
        <w:rPr>
          <w:bCs/>
          <w:snapToGrid/>
          <w:color w:val="000000"/>
          <w:spacing w:val="15"/>
          <w:kern w:val="36"/>
        </w:rPr>
        <w:t xml:space="preserve"> Division of Health Interview Statistics, National Center for Health Statistics</w:t>
      </w:r>
      <w:r>
        <w:rPr>
          <w:bCs/>
          <w:snapToGrid/>
          <w:color w:val="000000"/>
          <w:spacing w:val="15"/>
          <w:kern w:val="36"/>
        </w:rPr>
        <w:t>,</w:t>
      </w:r>
      <w:r w:rsidRPr="004B32C5">
        <w:rPr>
          <w:bCs/>
          <w:snapToGrid/>
          <w:color w:val="000000"/>
          <w:spacing w:val="15"/>
          <w:kern w:val="36"/>
        </w:rPr>
        <w:t xml:space="preserve"> </w:t>
      </w:r>
      <w:r>
        <w:rPr>
          <w:bCs/>
          <w:snapToGrid/>
          <w:color w:val="000000"/>
          <w:spacing w:val="15"/>
          <w:kern w:val="36"/>
        </w:rPr>
        <w:t>January-June</w:t>
      </w:r>
      <w:r w:rsidRPr="006B6DE0">
        <w:rPr>
          <w:bCs/>
          <w:snapToGrid/>
          <w:color w:val="000000"/>
          <w:spacing w:val="15"/>
          <w:kern w:val="36"/>
        </w:rPr>
        <w:t xml:space="preserve"> 2009</w:t>
      </w:r>
      <w:r>
        <w:rPr>
          <w:bCs/>
          <w:snapToGrid/>
          <w:color w:val="000000"/>
          <w:spacing w:val="15"/>
          <w:kern w:val="36"/>
        </w:rPr>
        <w:t>.</w:t>
      </w:r>
    </w:p>
  </w:footnote>
  <w:footnote w:id="3">
    <w:p w14:paraId="48CCD595" w14:textId="77777777" w:rsidR="00BD40F8" w:rsidRDefault="00BD40F8" w:rsidP="00BD40F8">
      <w:pPr>
        <w:pStyle w:val="FootnoteText"/>
      </w:pPr>
      <w:r>
        <w:rPr>
          <w:rStyle w:val="FootnoteReference"/>
        </w:rPr>
        <w:footnoteRef/>
      </w:r>
      <w:r>
        <w:t xml:space="preserve"> Stockburger, Anya. </w:t>
      </w:r>
      <w:r w:rsidRPr="00577E0B">
        <w:t>Memo to OMB:</w:t>
      </w:r>
      <w:r>
        <w:rPr>
          <w:u w:val="single"/>
        </w:rPr>
        <w:t xml:space="preserve"> </w:t>
      </w:r>
      <w:r w:rsidRPr="00503A23">
        <w:rPr>
          <w:u w:val="single"/>
        </w:rPr>
        <w:t>Update on the Telephone Point of Purchase Survey cell phone frame planning</w:t>
      </w:r>
      <w:r>
        <w:t>. June 6, 2012.</w:t>
      </w:r>
    </w:p>
  </w:footnote>
  <w:footnote w:id="4">
    <w:p w14:paraId="40FC3FD7" w14:textId="77777777" w:rsidR="00B8472B" w:rsidRDefault="00B8472B" w:rsidP="00170F73">
      <w:pPr>
        <w:pStyle w:val="FootnoteText"/>
      </w:pPr>
      <w:r>
        <w:rPr>
          <w:rStyle w:val="FootnoteReference"/>
        </w:rPr>
        <w:footnoteRef/>
      </w:r>
      <w:r>
        <w:t xml:space="preserve"> </w:t>
      </w:r>
      <w:r w:rsidRPr="00503A23">
        <w:rPr>
          <w:u w:val="single"/>
        </w:rPr>
        <w:t>Electronic Code of Federal Regulations Title 5: Administrative Personnel – Part 1320 Controlling Paperwork Burdens on The Public</w:t>
      </w:r>
      <w:r>
        <w:t xml:space="preserve">. 3July 2013. GPO.&lt; </w:t>
      </w:r>
      <w:hyperlink r:id="rId1" w:history="1">
        <w:r w:rsidRPr="00421234">
          <w:rPr>
            <w:rStyle w:val="Hyperlink"/>
          </w:rPr>
          <w:t>http://www.ecfr.gov/cgi-bin/text-idx?c=ecfr&amp;rgn=div5&amp;view=text&amp;node=5:3.0.2.3.9&amp;idno=5</w:t>
        </w:r>
      </w:hyperlink>
      <w:r>
        <w:t>&gt;.</w:t>
      </w:r>
    </w:p>
  </w:footnote>
  <w:footnote w:id="5">
    <w:p w14:paraId="142BD446" w14:textId="374BF50D" w:rsidR="00F73599" w:rsidRDefault="00F73599" w:rsidP="00F73599">
      <w:pPr>
        <w:pStyle w:val="FootnoteText"/>
      </w:pPr>
      <w:r>
        <w:rPr>
          <w:rStyle w:val="FootnoteReference"/>
        </w:rPr>
        <w:footnoteRef/>
      </w:r>
      <w:r>
        <w:t xml:space="preserve"> The American Association for Public Opinion Research.</w:t>
      </w:r>
      <w:r w:rsidR="00AA61C2">
        <w:t xml:space="preserve"> </w:t>
      </w:r>
      <w:r>
        <w:t xml:space="preserve">2011. </w:t>
      </w:r>
      <w:r>
        <w:rPr>
          <w:i/>
        </w:rPr>
        <w:t>Standard Definitions: Final Dispositions of Case Codes and Outcome Rates for Surveys. 7</w:t>
      </w:r>
      <w:r w:rsidRPr="00903A66">
        <w:rPr>
          <w:i/>
          <w:vertAlign w:val="superscript"/>
        </w:rPr>
        <w:t>th</w:t>
      </w:r>
      <w:r>
        <w:rPr>
          <w:i/>
        </w:rPr>
        <w:t xml:space="preserve"> edition</w:t>
      </w:r>
      <w:r>
        <w:t>.</w:t>
      </w:r>
      <w:r w:rsidR="00AA61C2">
        <w:t xml:space="preserve"> </w:t>
      </w:r>
      <w:r>
        <w:t>AAPOR</w:t>
      </w:r>
    </w:p>
    <w:p w14:paraId="707B43D0" w14:textId="77777777" w:rsidR="00F73599" w:rsidRDefault="00F7359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5A840" w14:textId="77777777" w:rsidR="000D307D" w:rsidRPr="00B4110F" w:rsidRDefault="000D307D" w:rsidP="000D307D">
    <w:pPr>
      <w:widowControl/>
      <w:pBdr>
        <w:bottom w:val="single" w:sz="6" w:space="4" w:color="auto"/>
      </w:pBdr>
      <w:tabs>
        <w:tab w:val="center" w:pos="4320"/>
        <w:tab w:val="right" w:pos="8640"/>
      </w:tabs>
      <w:rPr>
        <w:snapToGrid/>
        <w:sz w:val="20"/>
      </w:rPr>
    </w:pPr>
    <w:r>
      <w:rPr>
        <w:snapToGrid/>
        <w:sz w:val="20"/>
      </w:rPr>
      <w:t>Telephone Point-of-Purchase Survey (TPOPS)</w:t>
    </w:r>
    <w:r w:rsidRPr="00B4110F">
      <w:rPr>
        <w:snapToGrid/>
        <w:sz w:val="20"/>
      </w:rPr>
      <w:t xml:space="preserve">  </w:t>
    </w:r>
  </w:p>
  <w:p w14:paraId="69C44815" w14:textId="77777777" w:rsidR="000D307D" w:rsidRDefault="000D307D" w:rsidP="000D307D">
    <w:pPr>
      <w:widowControl/>
      <w:pBdr>
        <w:bottom w:val="single" w:sz="6" w:space="4" w:color="auto"/>
      </w:pBdr>
      <w:tabs>
        <w:tab w:val="center" w:pos="4320"/>
        <w:tab w:val="right" w:pos="8640"/>
      </w:tabs>
      <w:rPr>
        <w:snapToGrid/>
        <w:sz w:val="20"/>
      </w:rPr>
    </w:pPr>
    <w:r w:rsidRPr="00B4110F">
      <w:rPr>
        <w:snapToGrid/>
        <w:sz w:val="20"/>
      </w:rPr>
      <w:t>OMB Number 1220-00</w:t>
    </w:r>
    <w:r>
      <w:rPr>
        <w:snapToGrid/>
        <w:sz w:val="20"/>
      </w:rPr>
      <w:t>44</w:t>
    </w:r>
  </w:p>
  <w:p w14:paraId="01C41671" w14:textId="5A9DAC70" w:rsidR="000D307D" w:rsidRPr="00B4110F" w:rsidRDefault="000D307D" w:rsidP="000D307D">
    <w:pPr>
      <w:widowControl/>
      <w:pBdr>
        <w:bottom w:val="single" w:sz="6" w:space="4" w:color="auto"/>
      </w:pBdr>
      <w:tabs>
        <w:tab w:val="center" w:pos="4320"/>
        <w:tab w:val="right" w:pos="8640"/>
      </w:tabs>
      <w:rPr>
        <w:snapToGrid/>
        <w:sz w:val="20"/>
      </w:rPr>
    </w:pPr>
    <w:r>
      <w:rPr>
        <w:snapToGrid/>
        <w:sz w:val="20"/>
      </w:rPr>
      <w:t>November 2017</w:t>
    </w:r>
  </w:p>
  <w:p w14:paraId="200AA504" w14:textId="73C81ED9" w:rsidR="00B8472B" w:rsidRDefault="00B8472B" w:rsidP="000D307D">
    <w:pPr>
      <w:tabs>
        <w:tab w:val="right" w:pos="9360"/>
      </w:tabs>
      <w:jc w:val="both"/>
      <w:rPr>
        <w:sz w:val="22"/>
      </w:rPr>
    </w:pPr>
    <w:r>
      <w:rPr>
        <w:sz w:val="22"/>
      </w:rPr>
      <w:tab/>
    </w:r>
    <w:r>
      <w:rPr>
        <w:sz w:val="22"/>
      </w:rPr>
      <w:fldChar w:fldCharType="begin"/>
    </w:r>
    <w:r>
      <w:rPr>
        <w:sz w:val="22"/>
      </w:rPr>
      <w:instrText xml:space="preserve">PAGE </w:instrText>
    </w:r>
    <w:r>
      <w:rPr>
        <w:sz w:val="22"/>
      </w:rPr>
      <w:fldChar w:fldCharType="separate"/>
    </w:r>
    <w:r w:rsidR="00CF0882">
      <w:rPr>
        <w:noProof/>
        <w:sz w:val="22"/>
      </w:rPr>
      <w:t>1</w:t>
    </w:r>
    <w:r>
      <w:rPr>
        <w:sz w:val="22"/>
      </w:rPr>
      <w:fldChar w:fldCharType="end"/>
    </w:r>
  </w:p>
  <w:p w14:paraId="53694366" w14:textId="77777777" w:rsidR="00B8472B" w:rsidRDefault="00B8472B">
    <w:pPr>
      <w:spacing w:line="240" w:lineRule="exac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F4A90"/>
    <w:multiLevelType w:val="hybridMultilevel"/>
    <w:tmpl w:val="81BA5B30"/>
    <w:lvl w:ilvl="0" w:tplc="6944AF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32B3400E"/>
    <w:multiLevelType w:val="hybridMultilevel"/>
    <w:tmpl w:val="6A20F038"/>
    <w:lvl w:ilvl="0" w:tplc="BFD4CEAE">
      <w:start w:val="1"/>
      <w:numFmt w:val="lowerLetter"/>
      <w:lvlText w:val="%1."/>
      <w:lvlJc w:val="left"/>
      <w:pPr>
        <w:tabs>
          <w:tab w:val="num" w:pos="1429"/>
        </w:tabs>
        <w:ind w:left="1429" w:hanging="480"/>
      </w:pPr>
      <w:rPr>
        <w:rFonts w:hint="default"/>
        <w:u w:val="none"/>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
    <w:nsid w:val="34FE294C"/>
    <w:multiLevelType w:val="hybridMultilevel"/>
    <w:tmpl w:val="92A8A92E"/>
    <w:lvl w:ilvl="0" w:tplc="CF1CEE24">
      <w:start w:val="16"/>
      <w:numFmt w:val="bullet"/>
      <w:lvlText w:val=""/>
      <w:lvlJc w:val="left"/>
      <w:pPr>
        <w:tabs>
          <w:tab w:val="num" w:pos="1309"/>
        </w:tabs>
        <w:ind w:left="1309" w:hanging="360"/>
      </w:pPr>
      <w:rPr>
        <w:rFonts w:ascii="Wingdings" w:eastAsia="Times New Roman" w:hAnsi="Wingdings" w:cs="Times New Roman" w:hint="default"/>
      </w:rPr>
    </w:lvl>
    <w:lvl w:ilvl="1" w:tplc="04090003" w:tentative="1">
      <w:start w:val="1"/>
      <w:numFmt w:val="bullet"/>
      <w:lvlText w:val="o"/>
      <w:lvlJc w:val="left"/>
      <w:pPr>
        <w:tabs>
          <w:tab w:val="num" w:pos="2029"/>
        </w:tabs>
        <w:ind w:left="2029" w:hanging="360"/>
      </w:pPr>
      <w:rPr>
        <w:rFonts w:ascii="Courier New" w:hAnsi="Courier New" w:hint="default"/>
      </w:rPr>
    </w:lvl>
    <w:lvl w:ilvl="2" w:tplc="04090005" w:tentative="1">
      <w:start w:val="1"/>
      <w:numFmt w:val="bullet"/>
      <w:lvlText w:val=""/>
      <w:lvlJc w:val="left"/>
      <w:pPr>
        <w:tabs>
          <w:tab w:val="num" w:pos="2749"/>
        </w:tabs>
        <w:ind w:left="2749" w:hanging="360"/>
      </w:pPr>
      <w:rPr>
        <w:rFonts w:ascii="Wingdings" w:hAnsi="Wingdings" w:hint="default"/>
      </w:rPr>
    </w:lvl>
    <w:lvl w:ilvl="3" w:tplc="04090001" w:tentative="1">
      <w:start w:val="1"/>
      <w:numFmt w:val="bullet"/>
      <w:lvlText w:val=""/>
      <w:lvlJc w:val="left"/>
      <w:pPr>
        <w:tabs>
          <w:tab w:val="num" w:pos="3469"/>
        </w:tabs>
        <w:ind w:left="3469" w:hanging="360"/>
      </w:pPr>
      <w:rPr>
        <w:rFonts w:ascii="Symbol" w:hAnsi="Symbol" w:hint="default"/>
      </w:rPr>
    </w:lvl>
    <w:lvl w:ilvl="4" w:tplc="04090003" w:tentative="1">
      <w:start w:val="1"/>
      <w:numFmt w:val="bullet"/>
      <w:lvlText w:val="o"/>
      <w:lvlJc w:val="left"/>
      <w:pPr>
        <w:tabs>
          <w:tab w:val="num" w:pos="4189"/>
        </w:tabs>
        <w:ind w:left="4189" w:hanging="360"/>
      </w:pPr>
      <w:rPr>
        <w:rFonts w:ascii="Courier New" w:hAnsi="Courier New" w:hint="default"/>
      </w:rPr>
    </w:lvl>
    <w:lvl w:ilvl="5" w:tplc="04090005" w:tentative="1">
      <w:start w:val="1"/>
      <w:numFmt w:val="bullet"/>
      <w:lvlText w:val=""/>
      <w:lvlJc w:val="left"/>
      <w:pPr>
        <w:tabs>
          <w:tab w:val="num" w:pos="4909"/>
        </w:tabs>
        <w:ind w:left="4909" w:hanging="360"/>
      </w:pPr>
      <w:rPr>
        <w:rFonts w:ascii="Wingdings" w:hAnsi="Wingdings" w:hint="default"/>
      </w:rPr>
    </w:lvl>
    <w:lvl w:ilvl="6" w:tplc="04090001" w:tentative="1">
      <w:start w:val="1"/>
      <w:numFmt w:val="bullet"/>
      <w:lvlText w:val=""/>
      <w:lvlJc w:val="left"/>
      <w:pPr>
        <w:tabs>
          <w:tab w:val="num" w:pos="5629"/>
        </w:tabs>
        <w:ind w:left="5629" w:hanging="360"/>
      </w:pPr>
      <w:rPr>
        <w:rFonts w:ascii="Symbol" w:hAnsi="Symbol" w:hint="default"/>
      </w:rPr>
    </w:lvl>
    <w:lvl w:ilvl="7" w:tplc="04090003" w:tentative="1">
      <w:start w:val="1"/>
      <w:numFmt w:val="bullet"/>
      <w:lvlText w:val="o"/>
      <w:lvlJc w:val="left"/>
      <w:pPr>
        <w:tabs>
          <w:tab w:val="num" w:pos="6349"/>
        </w:tabs>
        <w:ind w:left="6349" w:hanging="360"/>
      </w:pPr>
      <w:rPr>
        <w:rFonts w:ascii="Courier New" w:hAnsi="Courier New" w:hint="default"/>
      </w:rPr>
    </w:lvl>
    <w:lvl w:ilvl="8" w:tplc="04090005" w:tentative="1">
      <w:start w:val="1"/>
      <w:numFmt w:val="bullet"/>
      <w:lvlText w:val=""/>
      <w:lvlJc w:val="left"/>
      <w:pPr>
        <w:tabs>
          <w:tab w:val="num" w:pos="7069"/>
        </w:tabs>
        <w:ind w:left="7069" w:hanging="360"/>
      </w:pPr>
      <w:rPr>
        <w:rFonts w:ascii="Wingdings" w:hAnsi="Wingdings" w:hint="default"/>
      </w:rPr>
    </w:lvl>
  </w:abstractNum>
  <w:abstractNum w:abstractNumId="3">
    <w:nsid w:val="5B656E58"/>
    <w:multiLevelType w:val="hybridMultilevel"/>
    <w:tmpl w:val="5388FE90"/>
    <w:lvl w:ilvl="0" w:tplc="A818353A">
      <w:start w:val="3"/>
      <w:numFmt w:val="decimal"/>
      <w:lvlText w:val="%1."/>
      <w:lvlJc w:val="left"/>
      <w:pPr>
        <w:tabs>
          <w:tab w:val="num" w:pos="834"/>
        </w:tabs>
        <w:ind w:left="834" w:hanging="360"/>
      </w:pPr>
      <w:rPr>
        <w:rFonts w:hint="default"/>
      </w:rPr>
    </w:lvl>
    <w:lvl w:ilvl="1" w:tplc="04090019" w:tentative="1">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4">
    <w:nsid w:val="63B0106D"/>
    <w:multiLevelType w:val="hybridMultilevel"/>
    <w:tmpl w:val="92A434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667A293D"/>
    <w:multiLevelType w:val="hybridMultilevel"/>
    <w:tmpl w:val="6E3EC93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6CBA777F"/>
    <w:multiLevelType w:val="multilevel"/>
    <w:tmpl w:val="0C80E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F4181D"/>
    <w:multiLevelType w:val="hybridMultilevel"/>
    <w:tmpl w:val="14B846CA"/>
    <w:lvl w:ilvl="0" w:tplc="D460FF3A">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77D15B51"/>
    <w:multiLevelType w:val="hybridMultilevel"/>
    <w:tmpl w:val="0FB60A7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4E"/>
    <w:rsid w:val="0000261D"/>
    <w:rsid w:val="00003221"/>
    <w:rsid w:val="00017E27"/>
    <w:rsid w:val="0002561F"/>
    <w:rsid w:val="00030D53"/>
    <w:rsid w:val="00031B88"/>
    <w:rsid w:val="00041C66"/>
    <w:rsid w:val="00051E97"/>
    <w:rsid w:val="0005429A"/>
    <w:rsid w:val="000620E7"/>
    <w:rsid w:val="00070128"/>
    <w:rsid w:val="00071FFA"/>
    <w:rsid w:val="000868ED"/>
    <w:rsid w:val="000910B5"/>
    <w:rsid w:val="000952ED"/>
    <w:rsid w:val="000B1B22"/>
    <w:rsid w:val="000B6790"/>
    <w:rsid w:val="000C15F3"/>
    <w:rsid w:val="000C226E"/>
    <w:rsid w:val="000C484B"/>
    <w:rsid w:val="000C4E6C"/>
    <w:rsid w:val="000C5C1B"/>
    <w:rsid w:val="000D307D"/>
    <w:rsid w:val="000D7612"/>
    <w:rsid w:val="000E3C78"/>
    <w:rsid w:val="000E5D10"/>
    <w:rsid w:val="000E65A5"/>
    <w:rsid w:val="000F76FC"/>
    <w:rsid w:val="00100DD9"/>
    <w:rsid w:val="001053FB"/>
    <w:rsid w:val="00107F86"/>
    <w:rsid w:val="001138F1"/>
    <w:rsid w:val="00115B79"/>
    <w:rsid w:val="0011659B"/>
    <w:rsid w:val="00120529"/>
    <w:rsid w:val="00122EE6"/>
    <w:rsid w:val="0012601D"/>
    <w:rsid w:val="00126E3B"/>
    <w:rsid w:val="00127885"/>
    <w:rsid w:val="001357BE"/>
    <w:rsid w:val="00136299"/>
    <w:rsid w:val="001401D7"/>
    <w:rsid w:val="00141474"/>
    <w:rsid w:val="001520E3"/>
    <w:rsid w:val="0015210C"/>
    <w:rsid w:val="001539BD"/>
    <w:rsid w:val="00154C64"/>
    <w:rsid w:val="00161153"/>
    <w:rsid w:val="0016117E"/>
    <w:rsid w:val="00170F73"/>
    <w:rsid w:val="00171504"/>
    <w:rsid w:val="0017251D"/>
    <w:rsid w:val="0017565A"/>
    <w:rsid w:val="00180EB7"/>
    <w:rsid w:val="00183BAA"/>
    <w:rsid w:val="00184A9F"/>
    <w:rsid w:val="00192541"/>
    <w:rsid w:val="001940D5"/>
    <w:rsid w:val="001977D3"/>
    <w:rsid w:val="001A375C"/>
    <w:rsid w:val="001A6BEB"/>
    <w:rsid w:val="001A6F2D"/>
    <w:rsid w:val="001B260C"/>
    <w:rsid w:val="001B2EDE"/>
    <w:rsid w:val="001B5E2A"/>
    <w:rsid w:val="001C1449"/>
    <w:rsid w:val="001C21A9"/>
    <w:rsid w:val="001C78C4"/>
    <w:rsid w:val="001D0833"/>
    <w:rsid w:val="001D3E51"/>
    <w:rsid w:val="001D6FF4"/>
    <w:rsid w:val="001E4279"/>
    <w:rsid w:val="002109C8"/>
    <w:rsid w:val="0021105F"/>
    <w:rsid w:val="00217590"/>
    <w:rsid w:val="00221C8B"/>
    <w:rsid w:val="00225B9A"/>
    <w:rsid w:val="00230ADE"/>
    <w:rsid w:val="002479D9"/>
    <w:rsid w:val="00251942"/>
    <w:rsid w:val="0025260E"/>
    <w:rsid w:val="00253C9B"/>
    <w:rsid w:val="00263E87"/>
    <w:rsid w:val="00265FE1"/>
    <w:rsid w:val="0026681F"/>
    <w:rsid w:val="0027350D"/>
    <w:rsid w:val="0027799C"/>
    <w:rsid w:val="00281158"/>
    <w:rsid w:val="00281640"/>
    <w:rsid w:val="0028721C"/>
    <w:rsid w:val="00290B38"/>
    <w:rsid w:val="00293CA5"/>
    <w:rsid w:val="00297B34"/>
    <w:rsid w:val="002A3EE8"/>
    <w:rsid w:val="002A455F"/>
    <w:rsid w:val="002A46F2"/>
    <w:rsid w:val="002A5C77"/>
    <w:rsid w:val="002B0856"/>
    <w:rsid w:val="002B4D98"/>
    <w:rsid w:val="002C149A"/>
    <w:rsid w:val="002C17E2"/>
    <w:rsid w:val="002C1C9A"/>
    <w:rsid w:val="002C212D"/>
    <w:rsid w:val="002C70C2"/>
    <w:rsid w:val="002C7EE2"/>
    <w:rsid w:val="002D2172"/>
    <w:rsid w:val="002E2243"/>
    <w:rsid w:val="002F09F6"/>
    <w:rsid w:val="00316B60"/>
    <w:rsid w:val="00320CFF"/>
    <w:rsid w:val="0032229A"/>
    <w:rsid w:val="00325284"/>
    <w:rsid w:val="00334647"/>
    <w:rsid w:val="00336EEB"/>
    <w:rsid w:val="00337709"/>
    <w:rsid w:val="00340421"/>
    <w:rsid w:val="003510B3"/>
    <w:rsid w:val="00351433"/>
    <w:rsid w:val="00353F33"/>
    <w:rsid w:val="00383067"/>
    <w:rsid w:val="00390058"/>
    <w:rsid w:val="00394384"/>
    <w:rsid w:val="003A6C27"/>
    <w:rsid w:val="003B028B"/>
    <w:rsid w:val="003C0590"/>
    <w:rsid w:val="003D1F4A"/>
    <w:rsid w:val="003D27D1"/>
    <w:rsid w:val="003E248D"/>
    <w:rsid w:val="003E348B"/>
    <w:rsid w:val="003E36BB"/>
    <w:rsid w:val="003E6EA5"/>
    <w:rsid w:val="003F054D"/>
    <w:rsid w:val="003F411B"/>
    <w:rsid w:val="003F7B28"/>
    <w:rsid w:val="0040283D"/>
    <w:rsid w:val="00406F6F"/>
    <w:rsid w:val="004110D4"/>
    <w:rsid w:val="00413CF8"/>
    <w:rsid w:val="00422AB2"/>
    <w:rsid w:val="00423BC1"/>
    <w:rsid w:val="004316CD"/>
    <w:rsid w:val="00432752"/>
    <w:rsid w:val="0043539F"/>
    <w:rsid w:val="00437B73"/>
    <w:rsid w:val="00453A04"/>
    <w:rsid w:val="00454291"/>
    <w:rsid w:val="00454B97"/>
    <w:rsid w:val="00455700"/>
    <w:rsid w:val="00466BB5"/>
    <w:rsid w:val="00471047"/>
    <w:rsid w:val="004723EF"/>
    <w:rsid w:val="004742FE"/>
    <w:rsid w:val="00475BB1"/>
    <w:rsid w:val="0048241E"/>
    <w:rsid w:val="00486E9B"/>
    <w:rsid w:val="004940F9"/>
    <w:rsid w:val="00496DA5"/>
    <w:rsid w:val="00496F83"/>
    <w:rsid w:val="0049712C"/>
    <w:rsid w:val="004A63C0"/>
    <w:rsid w:val="004A6965"/>
    <w:rsid w:val="004B32C5"/>
    <w:rsid w:val="004B36CD"/>
    <w:rsid w:val="004C5FA4"/>
    <w:rsid w:val="004C60CD"/>
    <w:rsid w:val="004D61C1"/>
    <w:rsid w:val="004E56F9"/>
    <w:rsid w:val="004E707C"/>
    <w:rsid w:val="004E78FF"/>
    <w:rsid w:val="004F0125"/>
    <w:rsid w:val="004F2EE7"/>
    <w:rsid w:val="004F7248"/>
    <w:rsid w:val="004F7614"/>
    <w:rsid w:val="00501D67"/>
    <w:rsid w:val="00502320"/>
    <w:rsid w:val="00503A23"/>
    <w:rsid w:val="00504732"/>
    <w:rsid w:val="00505030"/>
    <w:rsid w:val="00507A83"/>
    <w:rsid w:val="00514976"/>
    <w:rsid w:val="00517141"/>
    <w:rsid w:val="00522F7F"/>
    <w:rsid w:val="005237D8"/>
    <w:rsid w:val="00533034"/>
    <w:rsid w:val="0053716E"/>
    <w:rsid w:val="005458FB"/>
    <w:rsid w:val="00551FAE"/>
    <w:rsid w:val="005556F1"/>
    <w:rsid w:val="005604AB"/>
    <w:rsid w:val="00563B9D"/>
    <w:rsid w:val="00574658"/>
    <w:rsid w:val="00577E0B"/>
    <w:rsid w:val="005950B4"/>
    <w:rsid w:val="005963A9"/>
    <w:rsid w:val="005A1C3B"/>
    <w:rsid w:val="005A4A60"/>
    <w:rsid w:val="005A6038"/>
    <w:rsid w:val="005A7A08"/>
    <w:rsid w:val="005B24FF"/>
    <w:rsid w:val="005C04A4"/>
    <w:rsid w:val="005C08C1"/>
    <w:rsid w:val="005C635A"/>
    <w:rsid w:val="005D09C5"/>
    <w:rsid w:val="005D53AC"/>
    <w:rsid w:val="005D5E51"/>
    <w:rsid w:val="005D642B"/>
    <w:rsid w:val="005D76CA"/>
    <w:rsid w:val="005E0AB1"/>
    <w:rsid w:val="005E21F5"/>
    <w:rsid w:val="005E5443"/>
    <w:rsid w:val="005E7BE4"/>
    <w:rsid w:val="005F31F6"/>
    <w:rsid w:val="005F4EC1"/>
    <w:rsid w:val="005F7813"/>
    <w:rsid w:val="006140DC"/>
    <w:rsid w:val="00626402"/>
    <w:rsid w:val="00646D90"/>
    <w:rsid w:val="00664969"/>
    <w:rsid w:val="00666556"/>
    <w:rsid w:val="006851F8"/>
    <w:rsid w:val="00685FA8"/>
    <w:rsid w:val="0069524E"/>
    <w:rsid w:val="006A2458"/>
    <w:rsid w:val="006A33C8"/>
    <w:rsid w:val="006A3D8F"/>
    <w:rsid w:val="006A7C1A"/>
    <w:rsid w:val="006B1495"/>
    <w:rsid w:val="006B6DE0"/>
    <w:rsid w:val="006C27F8"/>
    <w:rsid w:val="006C4E84"/>
    <w:rsid w:val="006D4472"/>
    <w:rsid w:val="006D7A1F"/>
    <w:rsid w:val="006E10DC"/>
    <w:rsid w:val="006F08D4"/>
    <w:rsid w:val="007015B5"/>
    <w:rsid w:val="00701BE8"/>
    <w:rsid w:val="007141E3"/>
    <w:rsid w:val="0071525A"/>
    <w:rsid w:val="00715D66"/>
    <w:rsid w:val="007171AC"/>
    <w:rsid w:val="00731A27"/>
    <w:rsid w:val="007352A2"/>
    <w:rsid w:val="007421E0"/>
    <w:rsid w:val="007432C9"/>
    <w:rsid w:val="00750746"/>
    <w:rsid w:val="0075327D"/>
    <w:rsid w:val="00754382"/>
    <w:rsid w:val="007637E7"/>
    <w:rsid w:val="00763A94"/>
    <w:rsid w:val="007800B8"/>
    <w:rsid w:val="00784521"/>
    <w:rsid w:val="00787683"/>
    <w:rsid w:val="00794907"/>
    <w:rsid w:val="00796A8B"/>
    <w:rsid w:val="007A204F"/>
    <w:rsid w:val="007A2D20"/>
    <w:rsid w:val="007A30A1"/>
    <w:rsid w:val="007A3685"/>
    <w:rsid w:val="007A6D40"/>
    <w:rsid w:val="007A7C91"/>
    <w:rsid w:val="007B116F"/>
    <w:rsid w:val="007B1675"/>
    <w:rsid w:val="007B683D"/>
    <w:rsid w:val="007B75D1"/>
    <w:rsid w:val="007C57C6"/>
    <w:rsid w:val="007C7CDF"/>
    <w:rsid w:val="007D4467"/>
    <w:rsid w:val="007D5D04"/>
    <w:rsid w:val="007D7142"/>
    <w:rsid w:val="007D7AD9"/>
    <w:rsid w:val="007E05C1"/>
    <w:rsid w:val="007E4CC3"/>
    <w:rsid w:val="007E56CC"/>
    <w:rsid w:val="007E57FC"/>
    <w:rsid w:val="007F0132"/>
    <w:rsid w:val="0081244C"/>
    <w:rsid w:val="00816F43"/>
    <w:rsid w:val="00820763"/>
    <w:rsid w:val="008261A2"/>
    <w:rsid w:val="0083624F"/>
    <w:rsid w:val="00836302"/>
    <w:rsid w:val="00842D7D"/>
    <w:rsid w:val="00846F25"/>
    <w:rsid w:val="008608B7"/>
    <w:rsid w:val="008725D9"/>
    <w:rsid w:val="00874280"/>
    <w:rsid w:val="00882BBC"/>
    <w:rsid w:val="0088580D"/>
    <w:rsid w:val="0089344D"/>
    <w:rsid w:val="00894E34"/>
    <w:rsid w:val="008A0D67"/>
    <w:rsid w:val="008B1CC1"/>
    <w:rsid w:val="008B4844"/>
    <w:rsid w:val="008B4855"/>
    <w:rsid w:val="008B53FB"/>
    <w:rsid w:val="008B7CD3"/>
    <w:rsid w:val="008C0B06"/>
    <w:rsid w:val="008C1A7C"/>
    <w:rsid w:val="008C4F73"/>
    <w:rsid w:val="008D17FC"/>
    <w:rsid w:val="008E0788"/>
    <w:rsid w:val="008E568C"/>
    <w:rsid w:val="008E679E"/>
    <w:rsid w:val="008F3784"/>
    <w:rsid w:val="008F3843"/>
    <w:rsid w:val="0090038F"/>
    <w:rsid w:val="009070BE"/>
    <w:rsid w:val="00907507"/>
    <w:rsid w:val="00915627"/>
    <w:rsid w:val="009167F7"/>
    <w:rsid w:val="00940116"/>
    <w:rsid w:val="0095798A"/>
    <w:rsid w:val="00962903"/>
    <w:rsid w:val="00962DA8"/>
    <w:rsid w:val="00971E10"/>
    <w:rsid w:val="00972B74"/>
    <w:rsid w:val="0097474F"/>
    <w:rsid w:val="0097639C"/>
    <w:rsid w:val="009855E3"/>
    <w:rsid w:val="00991302"/>
    <w:rsid w:val="00991310"/>
    <w:rsid w:val="00994A17"/>
    <w:rsid w:val="009A1F4E"/>
    <w:rsid w:val="009A29EA"/>
    <w:rsid w:val="009A418B"/>
    <w:rsid w:val="009A6C1F"/>
    <w:rsid w:val="009B21A5"/>
    <w:rsid w:val="009B3AEE"/>
    <w:rsid w:val="009B5DE4"/>
    <w:rsid w:val="009C3998"/>
    <w:rsid w:val="009C5B01"/>
    <w:rsid w:val="009D0C74"/>
    <w:rsid w:val="009D7CD9"/>
    <w:rsid w:val="009E203C"/>
    <w:rsid w:val="009F6CC5"/>
    <w:rsid w:val="00A004C1"/>
    <w:rsid w:val="00A150FA"/>
    <w:rsid w:val="00A21D60"/>
    <w:rsid w:val="00A33D29"/>
    <w:rsid w:val="00A366BD"/>
    <w:rsid w:val="00A4196F"/>
    <w:rsid w:val="00A5652C"/>
    <w:rsid w:val="00A570A1"/>
    <w:rsid w:val="00A70774"/>
    <w:rsid w:val="00A754A7"/>
    <w:rsid w:val="00A85422"/>
    <w:rsid w:val="00A96753"/>
    <w:rsid w:val="00AA1AA3"/>
    <w:rsid w:val="00AA451C"/>
    <w:rsid w:val="00AA61C2"/>
    <w:rsid w:val="00AA635C"/>
    <w:rsid w:val="00AA6717"/>
    <w:rsid w:val="00AC3050"/>
    <w:rsid w:val="00AC4FB9"/>
    <w:rsid w:val="00AC6C98"/>
    <w:rsid w:val="00AC7062"/>
    <w:rsid w:val="00AD312D"/>
    <w:rsid w:val="00AD50F5"/>
    <w:rsid w:val="00AD7A37"/>
    <w:rsid w:val="00AE40CB"/>
    <w:rsid w:val="00B043A8"/>
    <w:rsid w:val="00B114A6"/>
    <w:rsid w:val="00B15DE8"/>
    <w:rsid w:val="00B16E13"/>
    <w:rsid w:val="00B22EF3"/>
    <w:rsid w:val="00B3066C"/>
    <w:rsid w:val="00B33C2E"/>
    <w:rsid w:val="00B35CD1"/>
    <w:rsid w:val="00B4072B"/>
    <w:rsid w:val="00B41FC1"/>
    <w:rsid w:val="00B56D43"/>
    <w:rsid w:val="00B63A27"/>
    <w:rsid w:val="00B64233"/>
    <w:rsid w:val="00B647AF"/>
    <w:rsid w:val="00B678BB"/>
    <w:rsid w:val="00B67FF2"/>
    <w:rsid w:val="00B759D4"/>
    <w:rsid w:val="00B8472B"/>
    <w:rsid w:val="00B91445"/>
    <w:rsid w:val="00B91741"/>
    <w:rsid w:val="00B953FB"/>
    <w:rsid w:val="00BB0DC4"/>
    <w:rsid w:val="00BB53EC"/>
    <w:rsid w:val="00BC1FFA"/>
    <w:rsid w:val="00BD0FEF"/>
    <w:rsid w:val="00BD40F8"/>
    <w:rsid w:val="00BE10F0"/>
    <w:rsid w:val="00BE1234"/>
    <w:rsid w:val="00BE3D61"/>
    <w:rsid w:val="00BE4316"/>
    <w:rsid w:val="00BF5065"/>
    <w:rsid w:val="00BF58BB"/>
    <w:rsid w:val="00C026D5"/>
    <w:rsid w:val="00C02F2C"/>
    <w:rsid w:val="00C0329A"/>
    <w:rsid w:val="00C06D9A"/>
    <w:rsid w:val="00C10625"/>
    <w:rsid w:val="00C10849"/>
    <w:rsid w:val="00C16EB0"/>
    <w:rsid w:val="00C203A1"/>
    <w:rsid w:val="00C204F8"/>
    <w:rsid w:val="00C21FD8"/>
    <w:rsid w:val="00C26F1A"/>
    <w:rsid w:val="00C278B3"/>
    <w:rsid w:val="00C304C6"/>
    <w:rsid w:val="00C30E69"/>
    <w:rsid w:val="00C35908"/>
    <w:rsid w:val="00C35962"/>
    <w:rsid w:val="00C37AEB"/>
    <w:rsid w:val="00C5095A"/>
    <w:rsid w:val="00C62102"/>
    <w:rsid w:val="00C62830"/>
    <w:rsid w:val="00C631C3"/>
    <w:rsid w:val="00C660DF"/>
    <w:rsid w:val="00C6730A"/>
    <w:rsid w:val="00C73AE0"/>
    <w:rsid w:val="00C756B9"/>
    <w:rsid w:val="00C768E4"/>
    <w:rsid w:val="00C77C1E"/>
    <w:rsid w:val="00C83510"/>
    <w:rsid w:val="00C91663"/>
    <w:rsid w:val="00C92F8A"/>
    <w:rsid w:val="00CB052E"/>
    <w:rsid w:val="00CC1FF4"/>
    <w:rsid w:val="00CC43A7"/>
    <w:rsid w:val="00CD6138"/>
    <w:rsid w:val="00CE0C06"/>
    <w:rsid w:val="00CE3F84"/>
    <w:rsid w:val="00CF0882"/>
    <w:rsid w:val="00CF343A"/>
    <w:rsid w:val="00D0483A"/>
    <w:rsid w:val="00D06D20"/>
    <w:rsid w:val="00D17087"/>
    <w:rsid w:val="00D509B8"/>
    <w:rsid w:val="00D536B6"/>
    <w:rsid w:val="00D5665E"/>
    <w:rsid w:val="00D57B8D"/>
    <w:rsid w:val="00D649F8"/>
    <w:rsid w:val="00D760D7"/>
    <w:rsid w:val="00D81FC4"/>
    <w:rsid w:val="00D85490"/>
    <w:rsid w:val="00D85C5B"/>
    <w:rsid w:val="00D860D3"/>
    <w:rsid w:val="00D90977"/>
    <w:rsid w:val="00D9623D"/>
    <w:rsid w:val="00DA5BE9"/>
    <w:rsid w:val="00DB045F"/>
    <w:rsid w:val="00DB1418"/>
    <w:rsid w:val="00DB6639"/>
    <w:rsid w:val="00DB6A4F"/>
    <w:rsid w:val="00DC5377"/>
    <w:rsid w:val="00DD0A9D"/>
    <w:rsid w:val="00DD552B"/>
    <w:rsid w:val="00DF0514"/>
    <w:rsid w:val="00DF2431"/>
    <w:rsid w:val="00E00302"/>
    <w:rsid w:val="00E012B5"/>
    <w:rsid w:val="00E0662E"/>
    <w:rsid w:val="00E14C1A"/>
    <w:rsid w:val="00E16499"/>
    <w:rsid w:val="00E166F8"/>
    <w:rsid w:val="00E16920"/>
    <w:rsid w:val="00E21780"/>
    <w:rsid w:val="00E230A2"/>
    <w:rsid w:val="00E26532"/>
    <w:rsid w:val="00E27F08"/>
    <w:rsid w:val="00E31443"/>
    <w:rsid w:val="00E33571"/>
    <w:rsid w:val="00E358AF"/>
    <w:rsid w:val="00E3676F"/>
    <w:rsid w:val="00E374B8"/>
    <w:rsid w:val="00E37A3F"/>
    <w:rsid w:val="00E421ED"/>
    <w:rsid w:val="00E533A9"/>
    <w:rsid w:val="00E546D3"/>
    <w:rsid w:val="00E6148B"/>
    <w:rsid w:val="00E632F3"/>
    <w:rsid w:val="00E65025"/>
    <w:rsid w:val="00E71963"/>
    <w:rsid w:val="00E80203"/>
    <w:rsid w:val="00E80491"/>
    <w:rsid w:val="00E81DD8"/>
    <w:rsid w:val="00E85542"/>
    <w:rsid w:val="00E92498"/>
    <w:rsid w:val="00E92E7F"/>
    <w:rsid w:val="00E969FF"/>
    <w:rsid w:val="00E97885"/>
    <w:rsid w:val="00EA566E"/>
    <w:rsid w:val="00EB16BF"/>
    <w:rsid w:val="00EB65F4"/>
    <w:rsid w:val="00EC20AD"/>
    <w:rsid w:val="00EC23FB"/>
    <w:rsid w:val="00EC42FF"/>
    <w:rsid w:val="00EC605B"/>
    <w:rsid w:val="00ED15DB"/>
    <w:rsid w:val="00ED270B"/>
    <w:rsid w:val="00ED7EBE"/>
    <w:rsid w:val="00EE743D"/>
    <w:rsid w:val="00F004BE"/>
    <w:rsid w:val="00F0120A"/>
    <w:rsid w:val="00F04BD9"/>
    <w:rsid w:val="00F1005E"/>
    <w:rsid w:val="00F172A0"/>
    <w:rsid w:val="00F21988"/>
    <w:rsid w:val="00F22CDD"/>
    <w:rsid w:val="00F24916"/>
    <w:rsid w:val="00F250C2"/>
    <w:rsid w:val="00F25200"/>
    <w:rsid w:val="00F27C13"/>
    <w:rsid w:val="00F33FD1"/>
    <w:rsid w:val="00F34E6A"/>
    <w:rsid w:val="00F55B39"/>
    <w:rsid w:val="00F615F7"/>
    <w:rsid w:val="00F616CD"/>
    <w:rsid w:val="00F61CE6"/>
    <w:rsid w:val="00F66F86"/>
    <w:rsid w:val="00F729E3"/>
    <w:rsid w:val="00F73599"/>
    <w:rsid w:val="00F7633B"/>
    <w:rsid w:val="00F845B2"/>
    <w:rsid w:val="00F8666A"/>
    <w:rsid w:val="00F86DD3"/>
    <w:rsid w:val="00F87AA9"/>
    <w:rsid w:val="00F93D33"/>
    <w:rsid w:val="00F97674"/>
    <w:rsid w:val="00FA2367"/>
    <w:rsid w:val="00FB08F3"/>
    <w:rsid w:val="00FB1FF8"/>
    <w:rsid w:val="00FC1342"/>
    <w:rsid w:val="00FD0E36"/>
    <w:rsid w:val="00FD1543"/>
    <w:rsid w:val="00FD578F"/>
    <w:rsid w:val="00FD62DF"/>
    <w:rsid w:val="00FE0B48"/>
    <w:rsid w:val="00FE0F98"/>
    <w:rsid w:val="00FE10D3"/>
    <w:rsid w:val="00FE21D4"/>
    <w:rsid w:val="00FF2543"/>
    <w:rsid w:val="00FF4382"/>
    <w:rsid w:val="00FF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date"/>
  <w:shapeDefaults>
    <o:shapedefaults v:ext="edit" spidmax="63489"/>
    <o:shapelayout v:ext="edit">
      <o:idmap v:ext="edit" data="1"/>
    </o:shapelayout>
  </w:shapeDefaults>
  <w:decimalSymbol w:val="."/>
  <w:listSeparator w:val=","/>
  <w14:docId w14:val="1B57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1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83510"/>
  </w:style>
  <w:style w:type="character" w:styleId="CommentReference">
    <w:name w:val="annotation reference"/>
    <w:basedOn w:val="DefaultParagraphFont"/>
    <w:semiHidden/>
    <w:rsid w:val="00C83510"/>
    <w:rPr>
      <w:sz w:val="16"/>
    </w:rPr>
  </w:style>
  <w:style w:type="paragraph" w:styleId="CommentText">
    <w:name w:val="annotation text"/>
    <w:basedOn w:val="Normal"/>
    <w:semiHidden/>
    <w:rsid w:val="00C83510"/>
    <w:rPr>
      <w:sz w:val="20"/>
    </w:rPr>
  </w:style>
  <w:style w:type="paragraph" w:styleId="BodyTextIndent">
    <w:name w:val="Body Text Indent"/>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outlineLvl w:val="0"/>
    </w:pPr>
  </w:style>
  <w:style w:type="paragraph" w:styleId="BodyTextIndent2">
    <w:name w:val="Body Text Indent 2"/>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style>
  <w:style w:type="paragraph" w:styleId="BodyTextIndent3">
    <w:name w:val="Body Text Indent 3"/>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style>
  <w:style w:type="paragraph" w:styleId="CommentSubject">
    <w:name w:val="annotation subject"/>
    <w:basedOn w:val="CommentText"/>
    <w:next w:val="CommentText"/>
    <w:semiHidden/>
    <w:rsid w:val="007A3685"/>
    <w:rPr>
      <w:b/>
      <w:bCs/>
    </w:rPr>
  </w:style>
  <w:style w:type="paragraph" w:styleId="BalloonText">
    <w:name w:val="Balloon Text"/>
    <w:basedOn w:val="Normal"/>
    <w:semiHidden/>
    <w:rsid w:val="007A3685"/>
    <w:rPr>
      <w:rFonts w:ascii="Tahoma" w:hAnsi="Tahoma" w:cs="Tahoma"/>
      <w:sz w:val="16"/>
      <w:szCs w:val="16"/>
    </w:rPr>
  </w:style>
  <w:style w:type="paragraph" w:styleId="NormalWeb">
    <w:name w:val="Normal (Web)"/>
    <w:basedOn w:val="Normal"/>
    <w:uiPriority w:val="99"/>
    <w:rsid w:val="00290B38"/>
    <w:pPr>
      <w:widowControl/>
      <w:spacing w:before="100" w:beforeAutospacing="1" w:after="100" w:afterAutospacing="1"/>
    </w:pPr>
    <w:rPr>
      <w:snapToGrid/>
      <w:szCs w:val="24"/>
    </w:rPr>
  </w:style>
  <w:style w:type="paragraph" w:styleId="FootnoteText">
    <w:name w:val="footnote text"/>
    <w:basedOn w:val="Normal"/>
    <w:link w:val="FootnoteTextChar"/>
    <w:rsid w:val="001539BD"/>
    <w:rPr>
      <w:sz w:val="20"/>
    </w:rPr>
  </w:style>
  <w:style w:type="character" w:customStyle="1" w:styleId="FootnoteTextChar">
    <w:name w:val="Footnote Text Char"/>
    <w:basedOn w:val="DefaultParagraphFont"/>
    <w:link w:val="FootnoteText"/>
    <w:rsid w:val="001539BD"/>
    <w:rPr>
      <w:snapToGrid w:val="0"/>
    </w:rPr>
  </w:style>
  <w:style w:type="paragraph" w:styleId="Header">
    <w:name w:val="header"/>
    <w:basedOn w:val="Normal"/>
    <w:link w:val="HeaderChar"/>
    <w:rsid w:val="006B6DE0"/>
    <w:pPr>
      <w:tabs>
        <w:tab w:val="center" w:pos="4680"/>
        <w:tab w:val="right" w:pos="9360"/>
      </w:tabs>
    </w:pPr>
  </w:style>
  <w:style w:type="character" w:customStyle="1" w:styleId="HeaderChar">
    <w:name w:val="Header Char"/>
    <w:basedOn w:val="DefaultParagraphFont"/>
    <w:link w:val="Header"/>
    <w:rsid w:val="006B6DE0"/>
    <w:rPr>
      <w:snapToGrid w:val="0"/>
      <w:sz w:val="24"/>
    </w:rPr>
  </w:style>
  <w:style w:type="paragraph" w:styleId="Footer">
    <w:name w:val="footer"/>
    <w:basedOn w:val="Normal"/>
    <w:link w:val="FooterChar"/>
    <w:uiPriority w:val="99"/>
    <w:rsid w:val="006B6DE0"/>
    <w:pPr>
      <w:tabs>
        <w:tab w:val="center" w:pos="4680"/>
        <w:tab w:val="right" w:pos="9360"/>
      </w:tabs>
    </w:pPr>
  </w:style>
  <w:style w:type="character" w:customStyle="1" w:styleId="FooterChar">
    <w:name w:val="Footer Char"/>
    <w:basedOn w:val="DefaultParagraphFont"/>
    <w:link w:val="Footer"/>
    <w:uiPriority w:val="99"/>
    <w:rsid w:val="006B6DE0"/>
    <w:rPr>
      <w:snapToGrid w:val="0"/>
      <w:sz w:val="24"/>
    </w:rPr>
  </w:style>
  <w:style w:type="paragraph" w:styleId="Revision">
    <w:name w:val="Revision"/>
    <w:hidden/>
    <w:uiPriority w:val="99"/>
    <w:semiHidden/>
    <w:rsid w:val="004A63C0"/>
    <w:rPr>
      <w:snapToGrid w:val="0"/>
      <w:sz w:val="24"/>
    </w:rPr>
  </w:style>
  <w:style w:type="paragraph" w:styleId="ListParagraph">
    <w:name w:val="List Paragraph"/>
    <w:basedOn w:val="Normal"/>
    <w:uiPriority w:val="34"/>
    <w:qFormat/>
    <w:rsid w:val="002A455F"/>
    <w:pPr>
      <w:ind w:left="720"/>
      <w:contextualSpacing/>
    </w:pPr>
  </w:style>
  <w:style w:type="character" w:styleId="Hyperlink">
    <w:name w:val="Hyperlink"/>
    <w:basedOn w:val="DefaultParagraphFont"/>
    <w:rsid w:val="00972B74"/>
    <w:rPr>
      <w:color w:val="0000FF" w:themeColor="hyperlink"/>
      <w:u w:val="single"/>
    </w:rPr>
  </w:style>
  <w:style w:type="character" w:styleId="FollowedHyperlink">
    <w:name w:val="FollowedHyperlink"/>
    <w:basedOn w:val="DefaultParagraphFont"/>
    <w:semiHidden/>
    <w:unhideWhenUsed/>
    <w:rsid w:val="00BB53EC"/>
    <w:rPr>
      <w:color w:val="800080" w:themeColor="followedHyperlink"/>
      <w:u w:val="single"/>
    </w:rPr>
  </w:style>
  <w:style w:type="table" w:styleId="TableGrid">
    <w:name w:val="Table Grid"/>
    <w:basedOn w:val="TableNormal"/>
    <w:rsid w:val="0042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249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4916"/>
    <w:rPr>
      <w:rFonts w:asciiTheme="minorHAnsi" w:eastAsiaTheme="minorEastAsia" w:hAnsiTheme="minorHAnsi" w:cstheme="minorBidi"/>
      <w:snapToGrid w:val="0"/>
      <w:color w:val="5A5A5A" w:themeColor="text1" w:themeTint="A5"/>
      <w:spacing w:val="15"/>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1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83510"/>
  </w:style>
  <w:style w:type="character" w:styleId="CommentReference">
    <w:name w:val="annotation reference"/>
    <w:basedOn w:val="DefaultParagraphFont"/>
    <w:semiHidden/>
    <w:rsid w:val="00C83510"/>
    <w:rPr>
      <w:sz w:val="16"/>
    </w:rPr>
  </w:style>
  <w:style w:type="paragraph" w:styleId="CommentText">
    <w:name w:val="annotation text"/>
    <w:basedOn w:val="Normal"/>
    <w:semiHidden/>
    <w:rsid w:val="00C83510"/>
    <w:rPr>
      <w:sz w:val="20"/>
    </w:rPr>
  </w:style>
  <w:style w:type="paragraph" w:styleId="BodyTextIndent">
    <w:name w:val="Body Text Indent"/>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outlineLvl w:val="0"/>
    </w:pPr>
  </w:style>
  <w:style w:type="paragraph" w:styleId="BodyTextIndent2">
    <w:name w:val="Body Text Indent 2"/>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style>
  <w:style w:type="paragraph" w:styleId="BodyTextIndent3">
    <w:name w:val="Body Text Indent 3"/>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style>
  <w:style w:type="paragraph" w:styleId="CommentSubject">
    <w:name w:val="annotation subject"/>
    <w:basedOn w:val="CommentText"/>
    <w:next w:val="CommentText"/>
    <w:semiHidden/>
    <w:rsid w:val="007A3685"/>
    <w:rPr>
      <w:b/>
      <w:bCs/>
    </w:rPr>
  </w:style>
  <w:style w:type="paragraph" w:styleId="BalloonText">
    <w:name w:val="Balloon Text"/>
    <w:basedOn w:val="Normal"/>
    <w:semiHidden/>
    <w:rsid w:val="007A3685"/>
    <w:rPr>
      <w:rFonts w:ascii="Tahoma" w:hAnsi="Tahoma" w:cs="Tahoma"/>
      <w:sz w:val="16"/>
      <w:szCs w:val="16"/>
    </w:rPr>
  </w:style>
  <w:style w:type="paragraph" w:styleId="NormalWeb">
    <w:name w:val="Normal (Web)"/>
    <w:basedOn w:val="Normal"/>
    <w:uiPriority w:val="99"/>
    <w:rsid w:val="00290B38"/>
    <w:pPr>
      <w:widowControl/>
      <w:spacing w:before="100" w:beforeAutospacing="1" w:after="100" w:afterAutospacing="1"/>
    </w:pPr>
    <w:rPr>
      <w:snapToGrid/>
      <w:szCs w:val="24"/>
    </w:rPr>
  </w:style>
  <w:style w:type="paragraph" w:styleId="FootnoteText">
    <w:name w:val="footnote text"/>
    <w:basedOn w:val="Normal"/>
    <w:link w:val="FootnoteTextChar"/>
    <w:rsid w:val="001539BD"/>
    <w:rPr>
      <w:sz w:val="20"/>
    </w:rPr>
  </w:style>
  <w:style w:type="character" w:customStyle="1" w:styleId="FootnoteTextChar">
    <w:name w:val="Footnote Text Char"/>
    <w:basedOn w:val="DefaultParagraphFont"/>
    <w:link w:val="FootnoteText"/>
    <w:rsid w:val="001539BD"/>
    <w:rPr>
      <w:snapToGrid w:val="0"/>
    </w:rPr>
  </w:style>
  <w:style w:type="paragraph" w:styleId="Header">
    <w:name w:val="header"/>
    <w:basedOn w:val="Normal"/>
    <w:link w:val="HeaderChar"/>
    <w:rsid w:val="006B6DE0"/>
    <w:pPr>
      <w:tabs>
        <w:tab w:val="center" w:pos="4680"/>
        <w:tab w:val="right" w:pos="9360"/>
      </w:tabs>
    </w:pPr>
  </w:style>
  <w:style w:type="character" w:customStyle="1" w:styleId="HeaderChar">
    <w:name w:val="Header Char"/>
    <w:basedOn w:val="DefaultParagraphFont"/>
    <w:link w:val="Header"/>
    <w:rsid w:val="006B6DE0"/>
    <w:rPr>
      <w:snapToGrid w:val="0"/>
      <w:sz w:val="24"/>
    </w:rPr>
  </w:style>
  <w:style w:type="paragraph" w:styleId="Footer">
    <w:name w:val="footer"/>
    <w:basedOn w:val="Normal"/>
    <w:link w:val="FooterChar"/>
    <w:uiPriority w:val="99"/>
    <w:rsid w:val="006B6DE0"/>
    <w:pPr>
      <w:tabs>
        <w:tab w:val="center" w:pos="4680"/>
        <w:tab w:val="right" w:pos="9360"/>
      </w:tabs>
    </w:pPr>
  </w:style>
  <w:style w:type="character" w:customStyle="1" w:styleId="FooterChar">
    <w:name w:val="Footer Char"/>
    <w:basedOn w:val="DefaultParagraphFont"/>
    <w:link w:val="Footer"/>
    <w:uiPriority w:val="99"/>
    <w:rsid w:val="006B6DE0"/>
    <w:rPr>
      <w:snapToGrid w:val="0"/>
      <w:sz w:val="24"/>
    </w:rPr>
  </w:style>
  <w:style w:type="paragraph" w:styleId="Revision">
    <w:name w:val="Revision"/>
    <w:hidden/>
    <w:uiPriority w:val="99"/>
    <w:semiHidden/>
    <w:rsid w:val="004A63C0"/>
    <w:rPr>
      <w:snapToGrid w:val="0"/>
      <w:sz w:val="24"/>
    </w:rPr>
  </w:style>
  <w:style w:type="paragraph" w:styleId="ListParagraph">
    <w:name w:val="List Paragraph"/>
    <w:basedOn w:val="Normal"/>
    <w:uiPriority w:val="34"/>
    <w:qFormat/>
    <w:rsid w:val="002A455F"/>
    <w:pPr>
      <w:ind w:left="720"/>
      <w:contextualSpacing/>
    </w:pPr>
  </w:style>
  <w:style w:type="character" w:styleId="Hyperlink">
    <w:name w:val="Hyperlink"/>
    <w:basedOn w:val="DefaultParagraphFont"/>
    <w:rsid w:val="00972B74"/>
    <w:rPr>
      <w:color w:val="0000FF" w:themeColor="hyperlink"/>
      <w:u w:val="single"/>
    </w:rPr>
  </w:style>
  <w:style w:type="character" w:styleId="FollowedHyperlink">
    <w:name w:val="FollowedHyperlink"/>
    <w:basedOn w:val="DefaultParagraphFont"/>
    <w:semiHidden/>
    <w:unhideWhenUsed/>
    <w:rsid w:val="00BB53EC"/>
    <w:rPr>
      <w:color w:val="800080" w:themeColor="followedHyperlink"/>
      <w:u w:val="single"/>
    </w:rPr>
  </w:style>
  <w:style w:type="table" w:styleId="TableGrid">
    <w:name w:val="Table Grid"/>
    <w:basedOn w:val="TableNormal"/>
    <w:rsid w:val="0042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249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4916"/>
    <w:rPr>
      <w:rFonts w:asciiTheme="minorHAnsi" w:eastAsiaTheme="minorEastAsia" w:hAnsiTheme="minorHAnsi" w:cstheme="minorBidi"/>
      <w:snapToGrid w:val="0"/>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16647">
      <w:bodyDiv w:val="1"/>
      <w:marLeft w:val="0"/>
      <w:marRight w:val="0"/>
      <w:marTop w:val="0"/>
      <w:marBottom w:val="0"/>
      <w:divBdr>
        <w:top w:val="none" w:sz="0" w:space="0" w:color="auto"/>
        <w:left w:val="none" w:sz="0" w:space="0" w:color="auto"/>
        <w:bottom w:val="none" w:sz="0" w:space="0" w:color="auto"/>
        <w:right w:val="none" w:sz="0" w:space="0" w:color="auto"/>
      </w:divBdr>
    </w:div>
    <w:div w:id="705984383">
      <w:bodyDiv w:val="1"/>
      <w:marLeft w:val="0"/>
      <w:marRight w:val="0"/>
      <w:marTop w:val="0"/>
      <w:marBottom w:val="0"/>
      <w:divBdr>
        <w:top w:val="none" w:sz="0" w:space="0" w:color="auto"/>
        <w:left w:val="none" w:sz="0" w:space="0" w:color="auto"/>
        <w:bottom w:val="none" w:sz="0" w:space="0" w:color="auto"/>
        <w:right w:val="none" w:sz="0" w:space="0" w:color="auto"/>
      </w:divBdr>
    </w:div>
    <w:div w:id="812679030">
      <w:bodyDiv w:val="1"/>
      <w:marLeft w:val="0"/>
      <w:marRight w:val="0"/>
      <w:marTop w:val="0"/>
      <w:marBottom w:val="0"/>
      <w:divBdr>
        <w:top w:val="none" w:sz="0" w:space="0" w:color="auto"/>
        <w:left w:val="none" w:sz="0" w:space="0" w:color="auto"/>
        <w:bottom w:val="none" w:sz="0" w:space="0" w:color="auto"/>
        <w:right w:val="none" w:sz="0" w:space="0" w:color="auto"/>
      </w:divBdr>
    </w:div>
    <w:div w:id="858198121">
      <w:bodyDiv w:val="1"/>
      <w:marLeft w:val="0"/>
      <w:marRight w:val="0"/>
      <w:marTop w:val="0"/>
      <w:marBottom w:val="0"/>
      <w:divBdr>
        <w:top w:val="none" w:sz="0" w:space="0" w:color="auto"/>
        <w:left w:val="none" w:sz="0" w:space="0" w:color="auto"/>
        <w:bottom w:val="none" w:sz="0" w:space="0" w:color="auto"/>
        <w:right w:val="none" w:sz="0" w:space="0" w:color="auto"/>
      </w:divBdr>
    </w:div>
    <w:div w:id="994257748">
      <w:bodyDiv w:val="1"/>
      <w:marLeft w:val="0"/>
      <w:marRight w:val="0"/>
      <w:marTop w:val="0"/>
      <w:marBottom w:val="0"/>
      <w:divBdr>
        <w:top w:val="none" w:sz="0" w:space="0" w:color="auto"/>
        <w:left w:val="none" w:sz="0" w:space="0" w:color="auto"/>
        <w:bottom w:val="none" w:sz="0" w:space="0" w:color="auto"/>
        <w:right w:val="none" w:sz="0" w:space="0" w:color="auto"/>
      </w:divBdr>
    </w:div>
    <w:div w:id="1085496032">
      <w:bodyDiv w:val="1"/>
      <w:marLeft w:val="0"/>
      <w:marRight w:val="0"/>
      <w:marTop w:val="0"/>
      <w:marBottom w:val="0"/>
      <w:divBdr>
        <w:top w:val="none" w:sz="0" w:space="0" w:color="auto"/>
        <w:left w:val="none" w:sz="0" w:space="0" w:color="auto"/>
        <w:bottom w:val="none" w:sz="0" w:space="0" w:color="auto"/>
        <w:right w:val="none" w:sz="0" w:space="0" w:color="auto"/>
      </w:divBdr>
    </w:div>
    <w:div w:id="1160344487">
      <w:bodyDiv w:val="1"/>
      <w:marLeft w:val="4"/>
      <w:marRight w:val="4"/>
      <w:marTop w:val="4"/>
      <w:marBottom w:val="4"/>
      <w:divBdr>
        <w:top w:val="none" w:sz="0" w:space="0" w:color="auto"/>
        <w:left w:val="none" w:sz="0" w:space="0" w:color="auto"/>
        <w:bottom w:val="none" w:sz="0" w:space="0" w:color="auto"/>
        <w:right w:val="none" w:sz="0" w:space="0" w:color="auto"/>
      </w:divBdr>
      <w:divsChild>
        <w:div w:id="2038503477">
          <w:marLeft w:val="0"/>
          <w:marRight w:val="0"/>
          <w:marTop w:val="0"/>
          <w:marBottom w:val="0"/>
          <w:divBdr>
            <w:top w:val="none" w:sz="0" w:space="0" w:color="auto"/>
            <w:left w:val="none" w:sz="0" w:space="0" w:color="auto"/>
            <w:bottom w:val="none" w:sz="0" w:space="0" w:color="auto"/>
            <w:right w:val="none" w:sz="0" w:space="0" w:color="auto"/>
          </w:divBdr>
          <w:divsChild>
            <w:div w:id="27610911">
              <w:marLeft w:val="0"/>
              <w:marRight w:val="0"/>
              <w:marTop w:val="0"/>
              <w:marBottom w:val="0"/>
              <w:divBdr>
                <w:top w:val="none" w:sz="0" w:space="0" w:color="auto"/>
                <w:left w:val="none" w:sz="0" w:space="0" w:color="auto"/>
                <w:bottom w:val="none" w:sz="0" w:space="0" w:color="auto"/>
                <w:right w:val="none" w:sz="0" w:space="0" w:color="auto"/>
              </w:divBdr>
              <w:divsChild>
                <w:div w:id="158735876">
                  <w:marLeft w:val="0"/>
                  <w:marRight w:val="0"/>
                  <w:marTop w:val="0"/>
                  <w:marBottom w:val="180"/>
                  <w:divBdr>
                    <w:top w:val="none" w:sz="0" w:space="0" w:color="auto"/>
                    <w:left w:val="none" w:sz="0" w:space="0" w:color="auto"/>
                    <w:bottom w:val="none" w:sz="0" w:space="0" w:color="auto"/>
                    <w:right w:val="none" w:sz="0" w:space="0" w:color="auto"/>
                  </w:divBdr>
                  <w:divsChild>
                    <w:div w:id="1885630432">
                      <w:marLeft w:val="0"/>
                      <w:marRight w:val="0"/>
                      <w:marTop w:val="0"/>
                      <w:marBottom w:val="0"/>
                      <w:divBdr>
                        <w:top w:val="none" w:sz="0" w:space="0" w:color="auto"/>
                        <w:left w:val="none" w:sz="0" w:space="0" w:color="auto"/>
                        <w:bottom w:val="none" w:sz="0" w:space="0" w:color="auto"/>
                        <w:right w:val="none" w:sz="0" w:space="0" w:color="auto"/>
                      </w:divBdr>
                      <w:divsChild>
                        <w:div w:id="874121953">
                          <w:marLeft w:val="0"/>
                          <w:marRight w:val="0"/>
                          <w:marTop w:val="0"/>
                          <w:marBottom w:val="0"/>
                          <w:divBdr>
                            <w:top w:val="none" w:sz="0" w:space="0" w:color="auto"/>
                            <w:left w:val="none" w:sz="0" w:space="0" w:color="auto"/>
                            <w:bottom w:val="none" w:sz="0" w:space="0" w:color="auto"/>
                            <w:right w:val="none" w:sz="0" w:space="0" w:color="auto"/>
                          </w:divBdr>
                          <w:divsChild>
                            <w:div w:id="18264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12838">
      <w:bodyDiv w:val="1"/>
      <w:marLeft w:val="0"/>
      <w:marRight w:val="0"/>
      <w:marTop w:val="0"/>
      <w:marBottom w:val="0"/>
      <w:divBdr>
        <w:top w:val="none" w:sz="0" w:space="0" w:color="auto"/>
        <w:left w:val="none" w:sz="0" w:space="0" w:color="auto"/>
        <w:bottom w:val="none" w:sz="0" w:space="0" w:color="auto"/>
        <w:right w:val="none" w:sz="0" w:space="0" w:color="auto"/>
      </w:divBdr>
    </w:div>
    <w:div w:id="1210533632">
      <w:bodyDiv w:val="1"/>
      <w:marLeft w:val="0"/>
      <w:marRight w:val="0"/>
      <w:marTop w:val="0"/>
      <w:marBottom w:val="0"/>
      <w:divBdr>
        <w:top w:val="none" w:sz="0" w:space="0" w:color="auto"/>
        <w:left w:val="none" w:sz="0" w:space="0" w:color="auto"/>
        <w:bottom w:val="none" w:sz="0" w:space="0" w:color="auto"/>
        <w:right w:val="none" w:sz="0" w:space="0" w:color="auto"/>
      </w:divBdr>
    </w:div>
    <w:div w:id="1376349654">
      <w:bodyDiv w:val="1"/>
      <w:marLeft w:val="0"/>
      <w:marRight w:val="0"/>
      <w:marTop w:val="0"/>
      <w:marBottom w:val="0"/>
      <w:divBdr>
        <w:top w:val="none" w:sz="0" w:space="0" w:color="auto"/>
        <w:left w:val="none" w:sz="0" w:space="0" w:color="auto"/>
        <w:bottom w:val="none" w:sz="0" w:space="0" w:color="auto"/>
        <w:right w:val="none" w:sz="0" w:space="0" w:color="auto"/>
      </w:divBdr>
      <w:divsChild>
        <w:div w:id="83846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904987">
      <w:bodyDiv w:val="1"/>
      <w:marLeft w:val="0"/>
      <w:marRight w:val="0"/>
      <w:marTop w:val="0"/>
      <w:marBottom w:val="0"/>
      <w:divBdr>
        <w:top w:val="none" w:sz="0" w:space="0" w:color="auto"/>
        <w:left w:val="none" w:sz="0" w:space="0" w:color="auto"/>
        <w:bottom w:val="none" w:sz="0" w:space="0" w:color="auto"/>
        <w:right w:val="none" w:sz="0" w:space="0" w:color="auto"/>
      </w:divBdr>
    </w:div>
    <w:div w:id="1616518338">
      <w:bodyDiv w:val="1"/>
      <w:marLeft w:val="0"/>
      <w:marRight w:val="0"/>
      <w:marTop w:val="0"/>
      <w:marBottom w:val="0"/>
      <w:divBdr>
        <w:top w:val="none" w:sz="0" w:space="0" w:color="auto"/>
        <w:left w:val="none" w:sz="0" w:space="0" w:color="auto"/>
        <w:bottom w:val="none" w:sz="0" w:space="0" w:color="auto"/>
        <w:right w:val="none" w:sz="0" w:space="0" w:color="auto"/>
      </w:divBdr>
      <w:divsChild>
        <w:div w:id="490603392">
          <w:marLeft w:val="0"/>
          <w:marRight w:val="0"/>
          <w:marTop w:val="0"/>
          <w:marBottom w:val="0"/>
          <w:divBdr>
            <w:top w:val="none" w:sz="0" w:space="0" w:color="auto"/>
            <w:left w:val="none" w:sz="0" w:space="0" w:color="auto"/>
            <w:bottom w:val="none" w:sz="0" w:space="0" w:color="auto"/>
            <w:right w:val="none" w:sz="0" w:space="0" w:color="auto"/>
          </w:divBdr>
        </w:div>
      </w:divsChild>
    </w:div>
    <w:div w:id="1754207379">
      <w:bodyDiv w:val="1"/>
      <w:marLeft w:val="0"/>
      <w:marRight w:val="0"/>
      <w:marTop w:val="0"/>
      <w:marBottom w:val="0"/>
      <w:divBdr>
        <w:top w:val="none" w:sz="0" w:space="0" w:color="auto"/>
        <w:left w:val="none" w:sz="0" w:space="0" w:color="auto"/>
        <w:bottom w:val="none" w:sz="0" w:space="0" w:color="auto"/>
        <w:right w:val="none" w:sz="0" w:space="0" w:color="auto"/>
      </w:divBdr>
    </w:div>
    <w:div w:id="1886477968">
      <w:bodyDiv w:val="1"/>
      <w:marLeft w:val="4"/>
      <w:marRight w:val="4"/>
      <w:marTop w:val="4"/>
      <w:marBottom w:val="4"/>
      <w:divBdr>
        <w:top w:val="none" w:sz="0" w:space="0" w:color="auto"/>
        <w:left w:val="none" w:sz="0" w:space="0" w:color="auto"/>
        <w:bottom w:val="none" w:sz="0" w:space="0" w:color="auto"/>
        <w:right w:val="none" w:sz="0" w:space="0" w:color="auto"/>
      </w:divBdr>
      <w:divsChild>
        <w:div w:id="1939947053">
          <w:marLeft w:val="0"/>
          <w:marRight w:val="0"/>
          <w:marTop w:val="0"/>
          <w:marBottom w:val="0"/>
          <w:divBdr>
            <w:top w:val="none" w:sz="0" w:space="0" w:color="auto"/>
            <w:left w:val="none" w:sz="0" w:space="0" w:color="auto"/>
            <w:bottom w:val="none" w:sz="0" w:space="0" w:color="auto"/>
            <w:right w:val="none" w:sz="0" w:space="0" w:color="auto"/>
          </w:divBdr>
          <w:divsChild>
            <w:div w:id="843011875">
              <w:marLeft w:val="0"/>
              <w:marRight w:val="0"/>
              <w:marTop w:val="0"/>
              <w:marBottom w:val="0"/>
              <w:divBdr>
                <w:top w:val="none" w:sz="0" w:space="0" w:color="auto"/>
                <w:left w:val="none" w:sz="0" w:space="0" w:color="auto"/>
                <w:bottom w:val="none" w:sz="0" w:space="0" w:color="auto"/>
                <w:right w:val="none" w:sz="0" w:space="0" w:color="auto"/>
              </w:divBdr>
              <w:divsChild>
                <w:div w:id="1838113673">
                  <w:marLeft w:val="0"/>
                  <w:marRight w:val="0"/>
                  <w:marTop w:val="0"/>
                  <w:marBottom w:val="180"/>
                  <w:divBdr>
                    <w:top w:val="none" w:sz="0" w:space="0" w:color="auto"/>
                    <w:left w:val="none" w:sz="0" w:space="0" w:color="auto"/>
                    <w:bottom w:val="none" w:sz="0" w:space="0" w:color="auto"/>
                    <w:right w:val="none" w:sz="0" w:space="0" w:color="auto"/>
                  </w:divBdr>
                  <w:divsChild>
                    <w:div w:id="1060443374">
                      <w:marLeft w:val="0"/>
                      <w:marRight w:val="0"/>
                      <w:marTop w:val="0"/>
                      <w:marBottom w:val="0"/>
                      <w:divBdr>
                        <w:top w:val="none" w:sz="0" w:space="0" w:color="auto"/>
                        <w:left w:val="none" w:sz="0" w:space="0" w:color="auto"/>
                        <w:bottom w:val="none" w:sz="0" w:space="0" w:color="auto"/>
                        <w:right w:val="none" w:sz="0" w:space="0" w:color="auto"/>
                      </w:divBdr>
                      <w:divsChild>
                        <w:div w:id="407460622">
                          <w:marLeft w:val="0"/>
                          <w:marRight w:val="0"/>
                          <w:marTop w:val="0"/>
                          <w:marBottom w:val="0"/>
                          <w:divBdr>
                            <w:top w:val="none" w:sz="0" w:space="0" w:color="auto"/>
                            <w:left w:val="none" w:sz="0" w:space="0" w:color="auto"/>
                            <w:bottom w:val="none" w:sz="0" w:space="0" w:color="auto"/>
                            <w:right w:val="none" w:sz="0" w:space="0" w:color="auto"/>
                          </w:divBdr>
                          <w:divsChild>
                            <w:div w:id="17453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cfr.gov/cgi-bin/text-idx?c=ecfr&amp;rgn=div5&amp;view=text&amp;node=5:3.0.2.3.9&amp;idno=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FDDB-413A-42EB-88B7-6FB866B1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PSB LAN Support</Company>
  <LinksUpToDate>false</LinksUpToDate>
  <CharactersWithSpaces>22228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Wirth_C</dc:creator>
  <cp:lastModifiedBy>SYSTEM</cp:lastModifiedBy>
  <cp:revision>2</cp:revision>
  <cp:lastPrinted>2017-10-18T14:16:00Z</cp:lastPrinted>
  <dcterms:created xsi:type="dcterms:W3CDTF">2017-11-08T20:26:00Z</dcterms:created>
  <dcterms:modified xsi:type="dcterms:W3CDTF">2017-11-08T20:26:00Z</dcterms:modified>
</cp:coreProperties>
</file>