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4DF4" w:rsidRDefault="00274DF4" w:rsidP="00AE3CDB">
      <w:pPr>
        <w:jc w:val="center"/>
        <w:rPr>
          <w:szCs w:val="24"/>
        </w:rPr>
      </w:pPr>
      <w:r w:rsidRPr="00274DF4">
        <w:rPr>
          <w:szCs w:val="24"/>
        </w:rPr>
        <w:fldChar w:fldCharType="begin"/>
      </w:r>
      <w:r w:rsidRPr="00274DF4">
        <w:rPr>
          <w:szCs w:val="24"/>
        </w:rPr>
        <w:instrText xml:space="preserve"> SEQ CHAPTER \h \r 1</w:instrText>
      </w:r>
      <w:r w:rsidRPr="00274DF4">
        <w:rPr>
          <w:szCs w:val="24"/>
        </w:rPr>
        <w:fldChar w:fldCharType="end"/>
      </w:r>
      <w:r w:rsidRPr="00274DF4">
        <w:rPr>
          <w:szCs w:val="24"/>
        </w:rPr>
        <w:t>Supporting Statement</w:t>
      </w:r>
    </w:p>
    <w:p w:rsidR="00353903" w:rsidRPr="00274DF4" w:rsidRDefault="00353903" w:rsidP="00AE3CDB">
      <w:pPr>
        <w:jc w:val="center"/>
        <w:rPr>
          <w:szCs w:val="24"/>
        </w:rPr>
      </w:pPr>
      <w:r>
        <w:rPr>
          <w:szCs w:val="24"/>
        </w:rPr>
        <w:t>Report of Cash Payment Over $10,000 Received in a Trade or Business</w:t>
      </w:r>
    </w:p>
    <w:p w:rsidR="00274DF4" w:rsidRPr="00274DF4" w:rsidRDefault="00353903" w:rsidP="00AE3CDB">
      <w:pPr>
        <w:jc w:val="center"/>
      </w:pPr>
      <w:r>
        <w:t xml:space="preserve">FinCEN </w:t>
      </w:r>
      <w:r w:rsidR="00274DF4" w:rsidRPr="00274DF4">
        <w:t>Form 8300</w:t>
      </w:r>
    </w:p>
    <w:p w:rsidR="00274DF4" w:rsidRPr="00274DF4" w:rsidRDefault="00353903" w:rsidP="00AE3CDB">
      <w:pPr>
        <w:jc w:val="center"/>
        <w:rPr>
          <w:szCs w:val="24"/>
        </w:rPr>
      </w:pPr>
      <w:r>
        <w:rPr>
          <w:szCs w:val="24"/>
        </w:rPr>
        <w:t>OMB Control Number 1506-0018</w:t>
      </w:r>
    </w:p>
    <w:p w:rsidR="00274DF4" w:rsidRPr="00274DF4" w:rsidRDefault="00274DF4" w:rsidP="00AE3CDB">
      <w:pPr>
        <w:jc w:val="center"/>
        <w:rPr>
          <w:szCs w:val="24"/>
        </w:rPr>
      </w:pPr>
    </w:p>
    <w:p w:rsidR="00274DF4" w:rsidRPr="00274DF4" w:rsidRDefault="00274DF4" w:rsidP="00274DF4">
      <w:pPr>
        <w:rPr>
          <w:szCs w:val="24"/>
        </w:rPr>
      </w:pPr>
    </w:p>
    <w:p w:rsidR="00274DF4" w:rsidRPr="00274DF4" w:rsidRDefault="00274DF4" w:rsidP="00274DF4">
      <w:pPr>
        <w:rPr>
          <w:szCs w:val="24"/>
        </w:rPr>
      </w:pP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1.</w:t>
      </w:r>
      <w:r w:rsidRPr="00274DF4">
        <w:rPr>
          <w:szCs w:val="24"/>
        </w:rPr>
        <w:tab/>
      </w:r>
      <w:r w:rsidRPr="00274DF4">
        <w:rPr>
          <w:szCs w:val="24"/>
          <w:u w:val="single"/>
        </w:rPr>
        <w:t>CIRCUMSTANCES NECESSITATING COLLECTION OF INFORMATION</w:t>
      </w:r>
    </w:p>
    <w:p w:rsidR="00274DF4" w:rsidRPr="00274DF4" w:rsidRDefault="00274DF4" w:rsidP="00274DF4">
      <w:pPr>
        <w:rPr>
          <w:szCs w:val="24"/>
        </w:rPr>
      </w:pPr>
    </w:p>
    <w:p w:rsidR="00274DF4" w:rsidRPr="00274DF4" w:rsidRDefault="00AE3CDB" w:rsidP="00274DF4">
      <w:pPr>
        <w:rPr>
          <w:szCs w:val="24"/>
        </w:rPr>
      </w:pPr>
      <w:r>
        <w:rPr>
          <w:szCs w:val="24"/>
        </w:rPr>
        <w:t>31</w:t>
      </w:r>
      <w:r w:rsidR="00283F63">
        <w:rPr>
          <w:szCs w:val="24"/>
        </w:rPr>
        <w:t xml:space="preserve"> </w:t>
      </w:r>
      <w:r w:rsidR="00785D55" w:rsidRPr="00274DF4">
        <w:rPr>
          <w:szCs w:val="24"/>
        </w:rPr>
        <w:t>CFR 10</w:t>
      </w:r>
      <w:r>
        <w:rPr>
          <w:szCs w:val="24"/>
        </w:rPr>
        <w:t>10.</w:t>
      </w:r>
      <w:r w:rsidR="00785D55" w:rsidRPr="00274DF4">
        <w:rPr>
          <w:szCs w:val="24"/>
        </w:rPr>
        <w:t xml:space="preserve">330 </w:t>
      </w:r>
      <w:r>
        <w:rPr>
          <w:szCs w:val="24"/>
        </w:rPr>
        <w:t>(</w:t>
      </w:r>
      <w:r w:rsidR="00A33911">
        <w:rPr>
          <w:szCs w:val="24"/>
        </w:rPr>
        <w:t>§</w:t>
      </w:r>
      <w:r>
        <w:rPr>
          <w:szCs w:val="24"/>
        </w:rPr>
        <w:t xml:space="preserve">1010.331 regarding bail received by court clerks) </w:t>
      </w:r>
      <w:r w:rsidR="00274DF4" w:rsidRPr="00274DF4">
        <w:rPr>
          <w:szCs w:val="24"/>
        </w:rPr>
        <w:t xml:space="preserve">requires any person in a trade or business who receives more than $10,000 in cash or foreign currency in the course </w:t>
      </w:r>
      <w:r w:rsidR="00AE5CD6">
        <w:rPr>
          <w:szCs w:val="24"/>
        </w:rPr>
        <w:t xml:space="preserve">of the business to file a </w:t>
      </w:r>
      <w:r w:rsidR="00785D55" w:rsidRPr="00274DF4">
        <w:rPr>
          <w:szCs w:val="24"/>
        </w:rPr>
        <w:t>form 8300</w:t>
      </w:r>
      <w:r w:rsidR="00274DF4" w:rsidRPr="00274DF4">
        <w:rPr>
          <w:szCs w:val="24"/>
        </w:rPr>
        <w:t xml:space="preserve"> with </w:t>
      </w:r>
      <w:r w:rsidR="00785D55" w:rsidRPr="00274DF4">
        <w:rPr>
          <w:szCs w:val="24"/>
        </w:rPr>
        <w:t>the Financial Crimes Enfor</w:t>
      </w:r>
      <w:r w:rsidR="00AE5CD6">
        <w:rPr>
          <w:szCs w:val="24"/>
        </w:rPr>
        <w:t xml:space="preserve">cement Network (FinCEN) </w:t>
      </w:r>
      <w:r w:rsidR="00274DF4" w:rsidRPr="00274DF4">
        <w:rPr>
          <w:szCs w:val="24"/>
        </w:rPr>
        <w:t>and to furnish the payer with a statement by January 31 of the year following the year of receipt.</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2.</w:t>
      </w:r>
      <w:r w:rsidRPr="00274DF4">
        <w:rPr>
          <w:szCs w:val="24"/>
        </w:rPr>
        <w:tab/>
      </w:r>
      <w:r w:rsidRPr="00274DF4">
        <w:rPr>
          <w:szCs w:val="24"/>
          <w:u w:val="single"/>
        </w:rPr>
        <w:t>USE OF DATA</w:t>
      </w:r>
    </w:p>
    <w:p w:rsidR="006C5172" w:rsidRPr="00274DF4" w:rsidRDefault="006C5172" w:rsidP="00274DF4">
      <w:pPr>
        <w:rPr>
          <w:szCs w:val="24"/>
        </w:rPr>
      </w:pPr>
    </w:p>
    <w:p w:rsidR="00274DF4" w:rsidRPr="00274DF4" w:rsidRDefault="006C5172" w:rsidP="00274DF4">
      <w:pPr>
        <w:rPr>
          <w:szCs w:val="24"/>
        </w:rPr>
      </w:pPr>
      <w:r w:rsidRPr="00274DF4">
        <w:rPr>
          <w:szCs w:val="24"/>
        </w:rPr>
        <w:t>The information contained on Form 8300 is used by criminal investigators, as well as taxation and regulatory enforcement authorities, during the course of investigations that involve money laundering, tax violations, fraud and other financial crimes.</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3.</w:t>
      </w:r>
      <w:r w:rsidRPr="00274DF4">
        <w:rPr>
          <w:szCs w:val="24"/>
        </w:rPr>
        <w:tab/>
      </w:r>
      <w:r w:rsidRPr="00274DF4">
        <w:rPr>
          <w:szCs w:val="24"/>
          <w:u w:val="single"/>
        </w:rPr>
        <w:t>USE OF IMPROVED INFORMATION TECHNOLOGY TO REDUCE BURDEN</w:t>
      </w:r>
    </w:p>
    <w:p w:rsidR="00274DF4" w:rsidRPr="00274DF4" w:rsidRDefault="00274DF4" w:rsidP="00274DF4">
      <w:pPr>
        <w:rPr>
          <w:szCs w:val="24"/>
        </w:rPr>
      </w:pPr>
    </w:p>
    <w:p w:rsidR="00274DF4" w:rsidRPr="00274DF4" w:rsidRDefault="00274DF4" w:rsidP="00274DF4">
      <w:pPr>
        <w:rPr>
          <w:szCs w:val="24"/>
        </w:rPr>
      </w:pPr>
      <w:r w:rsidRPr="00274DF4">
        <w:rPr>
          <w:szCs w:val="24"/>
        </w:rPr>
        <w:t>Form 8300 can</w:t>
      </w:r>
      <w:r w:rsidR="00D76093">
        <w:rPr>
          <w:szCs w:val="24"/>
        </w:rPr>
        <w:t xml:space="preserve"> be filed electronically through the </w:t>
      </w:r>
      <w:r w:rsidR="001B4A50">
        <w:rPr>
          <w:szCs w:val="24"/>
        </w:rPr>
        <w:t>Bank Secrecy Act (</w:t>
      </w:r>
      <w:r w:rsidR="00D76093">
        <w:rPr>
          <w:szCs w:val="24"/>
        </w:rPr>
        <w:t>BSA</w:t>
      </w:r>
      <w:r w:rsidR="001B4A50">
        <w:rPr>
          <w:szCs w:val="24"/>
        </w:rPr>
        <w:t>)</w:t>
      </w:r>
      <w:r w:rsidR="00D76093">
        <w:rPr>
          <w:szCs w:val="24"/>
        </w:rPr>
        <w:t xml:space="preserve"> E-Filing system. </w:t>
      </w:r>
      <w:r w:rsidR="00283F63">
        <w:rPr>
          <w:szCs w:val="24"/>
        </w:rPr>
        <w:t xml:space="preserve"> </w:t>
      </w:r>
      <w:r w:rsidR="00D76093">
        <w:rPr>
          <w:szCs w:val="24"/>
        </w:rPr>
        <w:t xml:space="preserve">BSA E-filing may be accessed at </w:t>
      </w:r>
      <w:hyperlink r:id="rId8" w:history="1">
        <w:r w:rsidR="00D76093" w:rsidRPr="00117537">
          <w:rPr>
            <w:rStyle w:val="Hyperlink"/>
            <w:szCs w:val="24"/>
          </w:rPr>
          <w:t>http://bsaefiling.fincen.treas.gov/main.html</w:t>
        </w:r>
      </w:hyperlink>
      <w:r w:rsidR="00D76093">
        <w:rPr>
          <w:szCs w:val="24"/>
        </w:rPr>
        <w:t xml:space="preserve">.  </w:t>
      </w:r>
      <w:r w:rsidR="00785D55" w:rsidRPr="00274DF4">
        <w:rPr>
          <w:szCs w:val="24"/>
        </w:rPr>
        <w:t xml:space="preserve">The form is available in a fill-in </w:t>
      </w:r>
      <w:r w:rsidR="00283F63">
        <w:rPr>
          <w:szCs w:val="24"/>
        </w:rPr>
        <w:t>.</w:t>
      </w:r>
      <w:r w:rsidR="00D76093">
        <w:rPr>
          <w:szCs w:val="24"/>
        </w:rPr>
        <w:t xml:space="preserve">pdf </w:t>
      </w:r>
      <w:r w:rsidR="00785D55" w:rsidRPr="00274DF4">
        <w:rPr>
          <w:szCs w:val="24"/>
        </w:rPr>
        <w:t>format for completion on a PC</w:t>
      </w:r>
      <w:r w:rsidR="00D76093">
        <w:rPr>
          <w:szCs w:val="24"/>
        </w:rPr>
        <w:t xml:space="preserve"> prior to its electronic submission.</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4.</w:t>
      </w:r>
      <w:r w:rsidRPr="00274DF4">
        <w:rPr>
          <w:szCs w:val="24"/>
        </w:rPr>
        <w:tab/>
      </w:r>
      <w:r w:rsidRPr="00274DF4">
        <w:rPr>
          <w:szCs w:val="24"/>
          <w:u w:val="single"/>
        </w:rPr>
        <w:t>EFFORTS TO IDENTIFY DUPLICATION</w:t>
      </w:r>
    </w:p>
    <w:p w:rsidR="00274DF4" w:rsidRPr="00274DF4" w:rsidRDefault="00274DF4" w:rsidP="00274DF4">
      <w:pPr>
        <w:rPr>
          <w:szCs w:val="24"/>
        </w:rPr>
      </w:pPr>
    </w:p>
    <w:p w:rsidR="00274DF4" w:rsidRPr="00274DF4" w:rsidRDefault="00AE3DA4" w:rsidP="00274DF4">
      <w:pPr>
        <w:rPr>
          <w:szCs w:val="24"/>
        </w:rPr>
      </w:pPr>
      <w:r>
        <w:rPr>
          <w:szCs w:val="24"/>
        </w:rPr>
        <w:t xml:space="preserve">FinCEN </w:t>
      </w:r>
      <w:r w:rsidR="00274DF4" w:rsidRPr="00274DF4">
        <w:rPr>
          <w:szCs w:val="24"/>
        </w:rPr>
        <w:t>relieve</w:t>
      </w:r>
      <w:r>
        <w:rPr>
          <w:szCs w:val="24"/>
        </w:rPr>
        <w:t>s</w:t>
      </w:r>
      <w:r w:rsidR="00274DF4" w:rsidRPr="00274DF4">
        <w:rPr>
          <w:szCs w:val="24"/>
        </w:rPr>
        <w:t xml:space="preserve"> financial institutions, who must report currency transactions in excess of $10,000 under Title 31 on </w:t>
      </w:r>
      <w:r w:rsidR="00D76093">
        <w:rPr>
          <w:szCs w:val="24"/>
        </w:rPr>
        <w:t xml:space="preserve">the </w:t>
      </w:r>
      <w:r w:rsidR="00785D55" w:rsidRPr="00274DF4">
        <w:rPr>
          <w:szCs w:val="24"/>
        </w:rPr>
        <w:t xml:space="preserve">FinCEN </w:t>
      </w:r>
      <w:r w:rsidR="00D76093">
        <w:rPr>
          <w:szCs w:val="24"/>
        </w:rPr>
        <w:t>CTR</w:t>
      </w:r>
      <w:r w:rsidR="00274DF4" w:rsidRPr="00274DF4">
        <w:rPr>
          <w:szCs w:val="24"/>
        </w:rPr>
        <w:t xml:space="preserve">, from filing Form 8300. </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5.</w:t>
      </w:r>
      <w:r w:rsidRPr="00274DF4">
        <w:rPr>
          <w:szCs w:val="24"/>
        </w:rPr>
        <w:tab/>
      </w:r>
      <w:r w:rsidRPr="00274DF4">
        <w:rPr>
          <w:szCs w:val="24"/>
          <w:u w:val="single"/>
        </w:rPr>
        <w:t>METHODS TO MINIMIZE BURDEN ON SMALL BUSINESSES OR OTHER SMALL ENTITIES</w:t>
      </w:r>
    </w:p>
    <w:p w:rsidR="00274DF4" w:rsidRPr="00274DF4" w:rsidRDefault="00274DF4" w:rsidP="00274DF4">
      <w:pPr>
        <w:rPr>
          <w:szCs w:val="24"/>
        </w:rPr>
      </w:pPr>
    </w:p>
    <w:p w:rsidR="00274DF4" w:rsidRPr="00274DF4" w:rsidRDefault="006C5172" w:rsidP="00274DF4">
      <w:pPr>
        <w:rPr>
          <w:szCs w:val="24"/>
        </w:rPr>
      </w:pPr>
      <w:r w:rsidRPr="00274DF4">
        <w:rPr>
          <w:szCs w:val="24"/>
        </w:rPr>
        <w:t xml:space="preserve">This collection of information does not </w:t>
      </w:r>
      <w:r w:rsidR="00FA2466" w:rsidRPr="00274DF4">
        <w:rPr>
          <w:szCs w:val="24"/>
        </w:rPr>
        <w:t>affect</w:t>
      </w:r>
      <w:r w:rsidRPr="00274DF4">
        <w:rPr>
          <w:szCs w:val="24"/>
        </w:rPr>
        <w:t xml:space="preserve"> small entities.</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6.</w:t>
      </w:r>
      <w:r w:rsidRPr="00274DF4">
        <w:rPr>
          <w:szCs w:val="24"/>
        </w:rPr>
        <w:tab/>
      </w:r>
      <w:r w:rsidRPr="00274DF4">
        <w:rPr>
          <w:szCs w:val="24"/>
          <w:u w:val="single"/>
        </w:rPr>
        <w:t>CONSEQUENCES OF LESS FREQUENT COLLECTION ON FEDERAL PROGRAMS OR POLICY ACTIVITIES</w:t>
      </w:r>
    </w:p>
    <w:p w:rsidR="00274DF4" w:rsidRPr="00274DF4" w:rsidRDefault="00274DF4" w:rsidP="00274DF4">
      <w:pPr>
        <w:rPr>
          <w:szCs w:val="24"/>
        </w:rPr>
      </w:pPr>
    </w:p>
    <w:p w:rsidR="00274DF4" w:rsidRPr="00274DF4" w:rsidRDefault="00274DF4" w:rsidP="00274DF4">
      <w:pPr>
        <w:rPr>
          <w:szCs w:val="24"/>
        </w:rPr>
      </w:pPr>
      <w:r w:rsidRPr="00274DF4">
        <w:rPr>
          <w:szCs w:val="24"/>
        </w:rPr>
        <w:lastRenderedPageBreak/>
        <w:t xml:space="preserve">The transaction must be reported within 15 days in order to </w:t>
      </w:r>
      <w:r w:rsidR="001B4A50">
        <w:rPr>
          <w:szCs w:val="24"/>
        </w:rPr>
        <w:t>ensure</w:t>
      </w:r>
      <w:r w:rsidR="001B4A50" w:rsidRPr="00274DF4">
        <w:rPr>
          <w:szCs w:val="24"/>
        </w:rPr>
        <w:t xml:space="preserve"> </w:t>
      </w:r>
      <w:r w:rsidR="001B4A50">
        <w:rPr>
          <w:szCs w:val="24"/>
        </w:rPr>
        <w:t xml:space="preserve">that </w:t>
      </w:r>
      <w:r w:rsidR="00B9315D" w:rsidRPr="00274DF4">
        <w:rPr>
          <w:szCs w:val="24"/>
        </w:rPr>
        <w:t>investigators, as well as taxation and regulatory enforcement authorities,</w:t>
      </w:r>
      <w:r w:rsidR="00B9315D">
        <w:rPr>
          <w:szCs w:val="24"/>
        </w:rPr>
        <w:t xml:space="preserve"> </w:t>
      </w:r>
      <w:r w:rsidR="001B4A50">
        <w:rPr>
          <w:szCs w:val="24"/>
        </w:rPr>
        <w:t xml:space="preserve">have </w:t>
      </w:r>
      <w:r w:rsidRPr="00274DF4">
        <w:rPr>
          <w:szCs w:val="24"/>
        </w:rPr>
        <w:t xml:space="preserve">current information.  Requiring filing less often may impose a burden on filers by requiring them to establish a system of retaining this information for a later filing.  By requiring transaction reporting, filers are less likely to forget to file.  </w:t>
      </w:r>
      <w:r w:rsidR="00FA2466" w:rsidRPr="00274DF4">
        <w:rPr>
          <w:szCs w:val="24"/>
        </w:rPr>
        <w:t>In addition</w:t>
      </w:r>
      <w:r w:rsidRPr="00274DF4">
        <w:rPr>
          <w:szCs w:val="24"/>
        </w:rPr>
        <w:t>, the information is received th</w:t>
      </w:r>
      <w:r w:rsidR="00F924BA" w:rsidRPr="00274DF4">
        <w:rPr>
          <w:szCs w:val="24"/>
        </w:rPr>
        <w:t>roughout the year</w:t>
      </w:r>
      <w:r w:rsidRPr="00274DF4">
        <w:rPr>
          <w:szCs w:val="24"/>
        </w:rPr>
        <w:t xml:space="preserve"> on a current basis.  </w:t>
      </w:r>
      <w:r w:rsidR="001B4A50">
        <w:rPr>
          <w:szCs w:val="24"/>
        </w:rPr>
        <w:t xml:space="preserve">The frequency of filing assists </w:t>
      </w:r>
      <w:r w:rsidR="00B9315D" w:rsidRPr="00274DF4">
        <w:rPr>
          <w:szCs w:val="24"/>
        </w:rPr>
        <w:t>investigators, as well as taxation and regulatory enforcement authorities,</w:t>
      </w:r>
      <w:r w:rsidR="00B9315D">
        <w:rPr>
          <w:szCs w:val="24"/>
        </w:rPr>
        <w:t xml:space="preserve"> </w:t>
      </w:r>
      <w:r w:rsidR="001B4A50">
        <w:rPr>
          <w:szCs w:val="24"/>
        </w:rPr>
        <w:t>in discovering t</w:t>
      </w:r>
      <w:r w:rsidR="001B4A50" w:rsidRPr="00274DF4">
        <w:rPr>
          <w:szCs w:val="24"/>
        </w:rPr>
        <w:t xml:space="preserve">rends </w:t>
      </w:r>
      <w:r w:rsidRPr="00274DF4">
        <w:rPr>
          <w:szCs w:val="24"/>
        </w:rPr>
        <w:t>and patterns.</w:t>
      </w:r>
    </w:p>
    <w:p w:rsidR="00274DF4" w:rsidRPr="00274DF4" w:rsidRDefault="00274DF4" w:rsidP="00274DF4">
      <w:pPr>
        <w:rPr>
          <w:szCs w:val="24"/>
        </w:rPr>
      </w:pPr>
    </w:p>
    <w:p w:rsidR="00274DF4" w:rsidRPr="00274DF4" w:rsidRDefault="00274DF4" w:rsidP="00274DF4">
      <w:pPr>
        <w:rPr>
          <w:szCs w:val="24"/>
        </w:rPr>
      </w:pPr>
      <w:r w:rsidRPr="00274DF4">
        <w:rPr>
          <w:szCs w:val="24"/>
        </w:rPr>
        <w:t xml:space="preserve"> 7.</w:t>
      </w:r>
      <w:r w:rsidRPr="00274DF4">
        <w:rPr>
          <w:szCs w:val="24"/>
        </w:rPr>
        <w:tab/>
      </w:r>
      <w:r w:rsidRPr="00274DF4">
        <w:rPr>
          <w:szCs w:val="24"/>
          <w:u w:val="single"/>
        </w:rPr>
        <w:t>SPECIAL CIRCUMSTANCES REQUIRING DATA COLLECTION TO BE INCONSISTENT WITH GUIDELINES</w:t>
      </w:r>
      <w:r w:rsidR="006C5172" w:rsidRPr="00274DF4">
        <w:rPr>
          <w:szCs w:val="24"/>
        </w:rPr>
        <w:t xml:space="preserve"> </w:t>
      </w:r>
    </w:p>
    <w:p w:rsidR="006C5172" w:rsidRPr="00274DF4" w:rsidRDefault="00274DF4" w:rsidP="00274DF4">
      <w:pPr>
        <w:rPr>
          <w:szCs w:val="24"/>
        </w:rPr>
      </w:pPr>
      <w:r w:rsidRPr="00274DF4">
        <w:rPr>
          <w:szCs w:val="24"/>
        </w:rPr>
        <w:tab/>
      </w:r>
    </w:p>
    <w:p w:rsidR="00274DF4" w:rsidRPr="00274DF4" w:rsidRDefault="006C5172" w:rsidP="00274DF4">
      <w:pPr>
        <w:rPr>
          <w:szCs w:val="24"/>
        </w:rPr>
      </w:pPr>
      <w:r w:rsidRPr="00274DF4">
        <w:rPr>
          <w:szCs w:val="24"/>
        </w:rPr>
        <w:t>There are no special circumstances</w:t>
      </w:r>
      <w:r w:rsidR="00274DF4" w:rsidRPr="00274DF4">
        <w:rPr>
          <w:szCs w:val="24"/>
        </w:rPr>
        <w:t>.</w:t>
      </w:r>
    </w:p>
    <w:p w:rsidR="00274DF4" w:rsidRPr="00274DF4" w:rsidRDefault="00274DF4" w:rsidP="00274DF4">
      <w:pPr>
        <w:rPr>
          <w:szCs w:val="24"/>
        </w:rPr>
      </w:pPr>
    </w:p>
    <w:p w:rsidR="00274DF4" w:rsidRPr="00274DF4" w:rsidRDefault="00274DF4" w:rsidP="00274DF4">
      <w:pPr>
        <w:rPr>
          <w:szCs w:val="24"/>
        </w:rPr>
      </w:pPr>
      <w:r w:rsidRPr="00274DF4">
        <w:rPr>
          <w:szCs w:val="24"/>
        </w:rPr>
        <w:t>8.</w:t>
      </w:r>
      <w:r w:rsidRPr="00274DF4">
        <w:rPr>
          <w:szCs w:val="24"/>
        </w:rPr>
        <w:tab/>
      </w:r>
      <w:r w:rsidRPr="00274DF4">
        <w:rPr>
          <w:szCs w:val="24"/>
          <w:u w:val="single"/>
        </w:rPr>
        <w:t>CONSULTATION WITH INDIVIDUALS OUTSIDE OF THE AGENCY ON AVAILABILITY OF DATA, FREQUENCY OF COLLECTION, CLARITY OF INSTRUCTIONS AND FORMS, AND DATA ELEMENTS</w:t>
      </w:r>
    </w:p>
    <w:p w:rsidR="00274DF4" w:rsidRPr="00274DF4" w:rsidRDefault="00274DF4" w:rsidP="00274DF4">
      <w:pPr>
        <w:rPr>
          <w:szCs w:val="24"/>
        </w:rPr>
      </w:pPr>
      <w:r w:rsidRPr="00274DF4">
        <w:rPr>
          <w:szCs w:val="24"/>
        </w:rPr>
        <w:t xml:space="preserve">  </w:t>
      </w:r>
    </w:p>
    <w:p w:rsidR="00274DF4" w:rsidRDefault="00274DF4" w:rsidP="00274DF4">
      <w:pPr>
        <w:rPr>
          <w:szCs w:val="24"/>
        </w:rPr>
      </w:pPr>
      <w:r w:rsidRPr="00274DF4">
        <w:rPr>
          <w:szCs w:val="24"/>
        </w:rPr>
        <w:t xml:space="preserve">In response to the </w:t>
      </w:r>
      <w:r w:rsidRPr="00274DF4">
        <w:rPr>
          <w:b/>
          <w:szCs w:val="24"/>
        </w:rPr>
        <w:t xml:space="preserve">Federal Register </w:t>
      </w:r>
      <w:r w:rsidR="008227AB">
        <w:rPr>
          <w:szCs w:val="24"/>
        </w:rPr>
        <w:t xml:space="preserve">notice dated </w:t>
      </w:r>
      <w:r w:rsidR="00AE5CD6">
        <w:rPr>
          <w:szCs w:val="24"/>
        </w:rPr>
        <w:t>A</w:t>
      </w:r>
      <w:r w:rsidR="006F2FF0">
        <w:rPr>
          <w:szCs w:val="24"/>
        </w:rPr>
        <w:t>ugust</w:t>
      </w:r>
      <w:r w:rsidR="00AE5CD6">
        <w:rPr>
          <w:szCs w:val="24"/>
        </w:rPr>
        <w:t xml:space="preserve"> </w:t>
      </w:r>
      <w:r w:rsidR="006F2FF0">
        <w:rPr>
          <w:szCs w:val="24"/>
        </w:rPr>
        <w:t>1</w:t>
      </w:r>
      <w:r w:rsidR="00AE5CD6">
        <w:rPr>
          <w:szCs w:val="24"/>
        </w:rPr>
        <w:t>, 201</w:t>
      </w:r>
      <w:r w:rsidR="006F2FF0">
        <w:rPr>
          <w:szCs w:val="24"/>
        </w:rPr>
        <w:t>7</w:t>
      </w:r>
      <w:r w:rsidRPr="00274DF4">
        <w:rPr>
          <w:szCs w:val="24"/>
        </w:rPr>
        <w:t xml:space="preserve">, </w:t>
      </w:r>
      <w:r w:rsidR="006F2FF0">
        <w:rPr>
          <w:szCs w:val="24"/>
        </w:rPr>
        <w:t>82</w:t>
      </w:r>
      <w:r w:rsidR="008227AB">
        <w:rPr>
          <w:szCs w:val="24"/>
        </w:rPr>
        <w:t xml:space="preserve"> FR </w:t>
      </w:r>
      <w:r w:rsidR="006F2FF0">
        <w:rPr>
          <w:szCs w:val="24"/>
        </w:rPr>
        <w:t>35869</w:t>
      </w:r>
      <w:r w:rsidR="008227AB">
        <w:rPr>
          <w:szCs w:val="24"/>
        </w:rPr>
        <w:t xml:space="preserve">, </w:t>
      </w:r>
      <w:r w:rsidR="00AE3DA4">
        <w:rPr>
          <w:szCs w:val="24"/>
        </w:rPr>
        <w:t>FinCEN</w:t>
      </w:r>
      <w:r w:rsidRPr="00274DF4">
        <w:rPr>
          <w:szCs w:val="24"/>
        </w:rPr>
        <w:t xml:space="preserve"> received </w:t>
      </w:r>
      <w:r w:rsidR="008227AB">
        <w:rPr>
          <w:szCs w:val="24"/>
        </w:rPr>
        <w:t>no</w:t>
      </w:r>
      <w:r w:rsidR="00F924BA" w:rsidRPr="00274DF4">
        <w:rPr>
          <w:szCs w:val="24"/>
        </w:rPr>
        <w:t xml:space="preserve"> comment</w:t>
      </w:r>
      <w:r w:rsidR="008227AB">
        <w:rPr>
          <w:szCs w:val="24"/>
        </w:rPr>
        <w:t>s</w:t>
      </w:r>
      <w:r w:rsidRPr="00274DF4">
        <w:rPr>
          <w:szCs w:val="24"/>
        </w:rPr>
        <w:t xml:space="preserve"> during the comment period regarding Form 8300.</w:t>
      </w:r>
      <w:r w:rsidR="00F924BA" w:rsidRPr="00274DF4">
        <w:rPr>
          <w:szCs w:val="24"/>
        </w:rPr>
        <w:t xml:space="preserve"> </w:t>
      </w:r>
    </w:p>
    <w:p w:rsidR="008227AB" w:rsidRPr="00274DF4" w:rsidRDefault="008227AB" w:rsidP="00274DF4">
      <w:pPr>
        <w:rPr>
          <w:szCs w:val="24"/>
        </w:rPr>
      </w:pPr>
    </w:p>
    <w:p w:rsidR="00274DF4" w:rsidRPr="00274DF4" w:rsidRDefault="00274DF4" w:rsidP="00274DF4">
      <w:pPr>
        <w:rPr>
          <w:szCs w:val="24"/>
        </w:rPr>
      </w:pPr>
      <w:r w:rsidRPr="00274DF4">
        <w:rPr>
          <w:szCs w:val="24"/>
        </w:rPr>
        <w:t>9.</w:t>
      </w:r>
      <w:r w:rsidRPr="00274DF4">
        <w:rPr>
          <w:szCs w:val="24"/>
        </w:rPr>
        <w:tab/>
      </w:r>
      <w:r w:rsidRPr="00274DF4">
        <w:rPr>
          <w:szCs w:val="24"/>
          <w:u w:val="single"/>
        </w:rPr>
        <w:t>EXPLANATION OF DECISION TO PROVIDE ANY PAYMENT OR GIFT TO RESPONDENTS</w:t>
      </w:r>
    </w:p>
    <w:p w:rsidR="00274DF4" w:rsidRDefault="00274DF4" w:rsidP="00274DF4">
      <w:pPr>
        <w:rPr>
          <w:szCs w:val="24"/>
        </w:rPr>
      </w:pPr>
    </w:p>
    <w:p w:rsidR="006C5172" w:rsidRPr="00274DF4" w:rsidRDefault="006C5172" w:rsidP="00274DF4">
      <w:pPr>
        <w:rPr>
          <w:szCs w:val="24"/>
        </w:rPr>
      </w:pPr>
      <w:r w:rsidRPr="00274DF4">
        <w:rPr>
          <w:szCs w:val="24"/>
        </w:rPr>
        <w:t xml:space="preserve">No payments or gifts were made to respondents. </w:t>
      </w:r>
    </w:p>
    <w:p w:rsidR="00274DF4" w:rsidRPr="00274DF4" w:rsidRDefault="00274DF4" w:rsidP="00274DF4">
      <w:pPr>
        <w:rPr>
          <w:szCs w:val="24"/>
        </w:rPr>
      </w:pPr>
    </w:p>
    <w:p w:rsidR="00274DF4" w:rsidRPr="00274DF4" w:rsidRDefault="00274DF4" w:rsidP="00274DF4">
      <w:pPr>
        <w:rPr>
          <w:szCs w:val="24"/>
        </w:rPr>
      </w:pPr>
      <w:r w:rsidRPr="00274DF4">
        <w:rPr>
          <w:szCs w:val="24"/>
        </w:rPr>
        <w:t>10.</w:t>
      </w:r>
      <w:r w:rsidRPr="00274DF4">
        <w:rPr>
          <w:szCs w:val="24"/>
        </w:rPr>
        <w:tab/>
      </w:r>
      <w:r w:rsidRPr="00274DF4">
        <w:rPr>
          <w:szCs w:val="24"/>
          <w:u w:val="single"/>
        </w:rPr>
        <w:t>ASSURANCE OF CONFIDENTIALITY OF RESPONSES</w:t>
      </w:r>
    </w:p>
    <w:p w:rsidR="00274DF4" w:rsidRPr="00274DF4" w:rsidRDefault="00274DF4" w:rsidP="00274DF4">
      <w:pPr>
        <w:rPr>
          <w:szCs w:val="24"/>
        </w:rPr>
      </w:pPr>
    </w:p>
    <w:p w:rsidR="00274DF4" w:rsidRPr="00274DF4" w:rsidRDefault="006C5172" w:rsidP="00274DF4">
      <w:pPr>
        <w:rPr>
          <w:szCs w:val="24"/>
        </w:rPr>
      </w:pPr>
      <w:r w:rsidRPr="00274DF4">
        <w:rPr>
          <w:szCs w:val="24"/>
        </w:rPr>
        <w:t>Information collected on Form 8300 is made available, in accordance with strict safeguards, to appropriate criminal law enforcement, regulatory, and taxation personnel solely in the official performance of their duties.</w:t>
      </w:r>
    </w:p>
    <w:p w:rsidR="006C5172" w:rsidRPr="00274DF4" w:rsidRDefault="006C5172" w:rsidP="00274DF4">
      <w:pPr>
        <w:rPr>
          <w:szCs w:val="24"/>
        </w:rPr>
      </w:pPr>
    </w:p>
    <w:p w:rsidR="00853727" w:rsidRDefault="00853727" w:rsidP="00853727">
      <w:r>
        <w:t>11.      </w:t>
      </w:r>
      <w:r>
        <w:rPr>
          <w:u w:val="single"/>
        </w:rPr>
        <w:t>JUSTIFICATION OF SENSITIVE QUESTIONS</w:t>
      </w:r>
    </w:p>
    <w:p w:rsidR="00853727" w:rsidRDefault="00853727" w:rsidP="00853727"/>
    <w:p w:rsidR="00853727" w:rsidRDefault="00853727" w:rsidP="00853727">
      <w:r>
        <w:t xml:space="preserve">Any Personal Identifying Information (PII) collected under the BSA is strictly controlled as outlined in the </w:t>
      </w:r>
      <w:r w:rsidRPr="00AE3DA4">
        <w:t>FinCEN’s Systems of Records Notice</w:t>
      </w:r>
      <w:r>
        <w:rPr>
          <w:color w:val="1F497D"/>
        </w:rPr>
        <w:t xml:space="preserve"> </w:t>
      </w:r>
      <w:hyperlink r:id="rId9" w:history="1">
        <w:r>
          <w:rPr>
            <w:rStyle w:val="Hyperlink"/>
          </w:rPr>
          <w:t>http://www.fincen.gov/foia/files/FinCEN_79_FR_20969.pdf</w:t>
        </w:r>
      </w:hyperlink>
      <w:r>
        <w:t>.</w:t>
      </w:r>
    </w:p>
    <w:p w:rsidR="00853727" w:rsidRDefault="00853727" w:rsidP="00853727"/>
    <w:p w:rsidR="006F203B" w:rsidRPr="00274DF4" w:rsidRDefault="00274DF4" w:rsidP="00274DF4">
      <w:pPr>
        <w:rPr>
          <w:szCs w:val="24"/>
        </w:rPr>
      </w:pPr>
      <w:r w:rsidRPr="00274DF4">
        <w:rPr>
          <w:szCs w:val="24"/>
        </w:rPr>
        <w:t>12.</w:t>
      </w:r>
      <w:r w:rsidRPr="00274DF4">
        <w:rPr>
          <w:szCs w:val="24"/>
        </w:rPr>
        <w:tab/>
      </w:r>
      <w:r w:rsidRPr="00274DF4">
        <w:rPr>
          <w:szCs w:val="24"/>
          <w:u w:val="single"/>
        </w:rPr>
        <w:t>ESTIMATED BURDEN OF INFORMATION COLLECTION</w:t>
      </w:r>
      <w:r w:rsidRPr="00274DF4">
        <w:rPr>
          <w:szCs w:val="24"/>
        </w:rPr>
        <w:t xml:space="preserve">                                 </w:t>
      </w:r>
    </w:p>
    <w:p w:rsidR="006F203B" w:rsidRPr="00274DF4" w:rsidRDefault="006F203B" w:rsidP="00274DF4">
      <w:pPr>
        <w:rPr>
          <w:szCs w:val="24"/>
        </w:rPr>
      </w:pPr>
    </w:p>
    <w:p w:rsidR="006F203B" w:rsidRPr="00274DF4" w:rsidRDefault="006F203B" w:rsidP="00274DF4">
      <w:pPr>
        <w:rPr>
          <w:szCs w:val="24"/>
        </w:rPr>
      </w:pPr>
      <w:r w:rsidRPr="00274DF4">
        <w:rPr>
          <w:szCs w:val="24"/>
        </w:rPr>
        <w:t xml:space="preserve">Frequency: As required. </w:t>
      </w:r>
    </w:p>
    <w:p w:rsidR="00274DF4" w:rsidRDefault="00274DF4" w:rsidP="00274DF4">
      <w:pPr>
        <w:rPr>
          <w:szCs w:val="24"/>
        </w:rPr>
      </w:pPr>
    </w:p>
    <w:p w:rsidR="006F203B" w:rsidRPr="00274DF4" w:rsidRDefault="006F203B" w:rsidP="00274DF4">
      <w:pPr>
        <w:rPr>
          <w:szCs w:val="24"/>
        </w:rPr>
      </w:pPr>
      <w:r w:rsidRPr="00274DF4">
        <w:rPr>
          <w:szCs w:val="24"/>
        </w:rPr>
        <w:t>Estimated Number of Respondents: 46,800</w:t>
      </w:r>
      <w:r w:rsidR="001B4A50">
        <w:rPr>
          <w:szCs w:val="24"/>
        </w:rPr>
        <w:t>.</w:t>
      </w:r>
    </w:p>
    <w:p w:rsidR="00274DF4" w:rsidRDefault="00274DF4" w:rsidP="00274DF4">
      <w:pPr>
        <w:rPr>
          <w:szCs w:val="24"/>
        </w:rPr>
      </w:pPr>
    </w:p>
    <w:p w:rsidR="006F203B" w:rsidRPr="00274DF4" w:rsidRDefault="006F203B" w:rsidP="00274DF4">
      <w:pPr>
        <w:rPr>
          <w:szCs w:val="24"/>
        </w:rPr>
      </w:pPr>
      <w:r w:rsidRPr="00274DF4">
        <w:rPr>
          <w:szCs w:val="24"/>
        </w:rPr>
        <w:lastRenderedPageBreak/>
        <w:t xml:space="preserve">Estimated Number of Annual Responses: </w:t>
      </w:r>
      <w:r w:rsidR="006F2FF0">
        <w:rPr>
          <w:szCs w:val="24"/>
        </w:rPr>
        <w:t>329,903</w:t>
      </w:r>
      <w:r w:rsidR="006F2FF0">
        <w:rPr>
          <w:rStyle w:val="FootnoteReference"/>
          <w:szCs w:val="24"/>
        </w:rPr>
        <w:footnoteReference w:id="1"/>
      </w:r>
      <w:r w:rsidRPr="00274DF4">
        <w:rPr>
          <w:szCs w:val="24"/>
        </w:rPr>
        <w:t xml:space="preserve">. </w:t>
      </w:r>
    </w:p>
    <w:p w:rsidR="00274DF4" w:rsidRDefault="00274DF4" w:rsidP="00274DF4">
      <w:pPr>
        <w:rPr>
          <w:szCs w:val="24"/>
        </w:rPr>
      </w:pPr>
    </w:p>
    <w:p w:rsidR="006F203B" w:rsidRPr="00274DF4" w:rsidRDefault="006F203B" w:rsidP="00274DF4">
      <w:pPr>
        <w:rPr>
          <w:szCs w:val="24"/>
        </w:rPr>
      </w:pPr>
      <w:r w:rsidRPr="00274DF4">
        <w:rPr>
          <w:szCs w:val="24"/>
        </w:rPr>
        <w:t>Estimate of Burden: Reporting average of 20 minutes per response; recordkeeping average of 10 minutes per response for a total of 30 minutes.</w:t>
      </w:r>
    </w:p>
    <w:p w:rsidR="00274DF4" w:rsidRDefault="00274DF4" w:rsidP="00274DF4">
      <w:pPr>
        <w:rPr>
          <w:szCs w:val="24"/>
        </w:rPr>
      </w:pPr>
    </w:p>
    <w:p w:rsidR="00274DF4" w:rsidRPr="00274DF4" w:rsidRDefault="006F203B" w:rsidP="00274DF4">
      <w:pPr>
        <w:rPr>
          <w:szCs w:val="24"/>
        </w:rPr>
      </w:pPr>
      <w:r w:rsidRPr="00274DF4">
        <w:rPr>
          <w:szCs w:val="24"/>
        </w:rPr>
        <w:t xml:space="preserve">Estimate of Total Annual Burden on Respondents: </w:t>
      </w:r>
      <w:r w:rsidR="007C1BF9">
        <w:rPr>
          <w:szCs w:val="24"/>
        </w:rPr>
        <w:t>1</w:t>
      </w:r>
      <w:r w:rsidR="00B66B20">
        <w:rPr>
          <w:szCs w:val="24"/>
        </w:rPr>
        <w:t>6</w:t>
      </w:r>
      <w:r w:rsidR="007C1BF9">
        <w:rPr>
          <w:szCs w:val="24"/>
        </w:rPr>
        <w:t>4</w:t>
      </w:r>
      <w:r w:rsidRPr="00274DF4">
        <w:rPr>
          <w:szCs w:val="24"/>
        </w:rPr>
        <w:t>,</w:t>
      </w:r>
      <w:r w:rsidR="00B66B20">
        <w:rPr>
          <w:szCs w:val="24"/>
        </w:rPr>
        <w:t>95</w:t>
      </w:r>
      <w:r w:rsidR="00453E07">
        <w:rPr>
          <w:szCs w:val="24"/>
        </w:rPr>
        <w:t>2</w:t>
      </w:r>
      <w:r w:rsidRPr="00274DF4">
        <w:rPr>
          <w:szCs w:val="24"/>
        </w:rPr>
        <w:t xml:space="preserve"> hours</w:t>
      </w:r>
      <w:r w:rsidR="001B4A50">
        <w:rPr>
          <w:szCs w:val="24"/>
        </w:rPr>
        <w:t>.</w:t>
      </w:r>
      <w:r w:rsidR="00274DF4" w:rsidRPr="00274DF4">
        <w:rPr>
          <w:szCs w:val="24"/>
        </w:rPr>
        <w:t xml:space="preserve">                              </w:t>
      </w:r>
    </w:p>
    <w:p w:rsidR="00274DF4" w:rsidRPr="00274DF4" w:rsidRDefault="00274DF4" w:rsidP="00274DF4">
      <w:pPr>
        <w:rPr>
          <w:szCs w:val="24"/>
        </w:rPr>
      </w:pPr>
    </w:p>
    <w:p w:rsidR="00B66B20" w:rsidRDefault="00B66B20" w:rsidP="00274DF4">
      <w:pPr>
        <w:rPr>
          <w:szCs w:val="24"/>
        </w:rPr>
      </w:pPr>
    </w:p>
    <w:p w:rsidR="00274DF4" w:rsidRPr="00274DF4" w:rsidRDefault="00274DF4" w:rsidP="00274DF4">
      <w:pPr>
        <w:rPr>
          <w:szCs w:val="24"/>
        </w:rPr>
      </w:pPr>
      <w:r w:rsidRPr="00274DF4">
        <w:rPr>
          <w:szCs w:val="24"/>
        </w:rPr>
        <w:t>13.</w:t>
      </w:r>
      <w:r w:rsidRPr="00274DF4">
        <w:rPr>
          <w:szCs w:val="24"/>
        </w:rPr>
        <w:tab/>
      </w:r>
      <w:r w:rsidRPr="00274DF4">
        <w:rPr>
          <w:szCs w:val="24"/>
          <w:u w:val="single"/>
        </w:rPr>
        <w:t>ESTIMATED TOTAL ANNUAL COST BURDEN TO RESPONDENTS</w:t>
      </w:r>
    </w:p>
    <w:p w:rsidR="00274DF4" w:rsidRPr="00274DF4" w:rsidRDefault="00274DF4" w:rsidP="00274DF4">
      <w:pPr>
        <w:rPr>
          <w:szCs w:val="24"/>
        </w:rPr>
      </w:pPr>
    </w:p>
    <w:p w:rsidR="00274DF4" w:rsidRPr="00274DF4" w:rsidRDefault="00B66B20" w:rsidP="00AC5FD2">
      <w:pPr>
        <w:rPr>
          <w:szCs w:val="24"/>
        </w:rPr>
      </w:pPr>
      <w:r>
        <w:rPr>
          <w:szCs w:val="24"/>
        </w:rPr>
        <w:t>164,951 hours X $17.91 per hour = $2,954,272</w:t>
      </w:r>
      <w:r>
        <w:rPr>
          <w:rStyle w:val="FootnoteReference"/>
          <w:szCs w:val="24"/>
        </w:rPr>
        <w:footnoteReference w:id="2"/>
      </w:r>
      <w:r w:rsidR="00F924BA" w:rsidRPr="00274DF4">
        <w:rPr>
          <w:szCs w:val="24"/>
        </w:rPr>
        <w:t>.</w:t>
      </w:r>
    </w:p>
    <w:p w:rsidR="00F924BA" w:rsidRPr="00274DF4" w:rsidRDefault="00F924BA" w:rsidP="00274DF4">
      <w:pPr>
        <w:rPr>
          <w:szCs w:val="24"/>
        </w:rPr>
      </w:pPr>
    </w:p>
    <w:p w:rsidR="00274DF4" w:rsidRPr="00274DF4" w:rsidRDefault="00274DF4" w:rsidP="00274DF4">
      <w:pPr>
        <w:rPr>
          <w:szCs w:val="24"/>
          <w:u w:val="single"/>
        </w:rPr>
      </w:pPr>
      <w:r w:rsidRPr="00274DF4">
        <w:rPr>
          <w:szCs w:val="24"/>
        </w:rPr>
        <w:t>14.</w:t>
      </w:r>
      <w:r w:rsidRPr="00274DF4">
        <w:rPr>
          <w:szCs w:val="24"/>
        </w:rPr>
        <w:tab/>
      </w:r>
      <w:r w:rsidRPr="00274DF4">
        <w:rPr>
          <w:szCs w:val="24"/>
          <w:u w:val="single"/>
        </w:rPr>
        <w:t>ESTIMATED ANNUALIZED COST TO THE FEDERAL GOVERNMENT</w:t>
      </w:r>
    </w:p>
    <w:p w:rsidR="00274DF4" w:rsidRPr="00274DF4" w:rsidRDefault="00274DF4" w:rsidP="00274DF4">
      <w:pPr>
        <w:rPr>
          <w:szCs w:val="24"/>
        </w:rPr>
      </w:pPr>
    </w:p>
    <w:p w:rsidR="00AC5FD2" w:rsidRPr="00537765" w:rsidRDefault="00AC5FD2" w:rsidP="001D4545">
      <w:pPr>
        <w:rPr>
          <w:szCs w:val="24"/>
        </w:rPr>
      </w:pPr>
      <w:r>
        <w:rPr>
          <w:szCs w:val="24"/>
        </w:rPr>
        <w:t>Electronic processing cost to the Federal Government 164,951 responses X $0.10 per response = $16,495</w:t>
      </w:r>
      <w:r>
        <w:rPr>
          <w:rStyle w:val="FootnoteReference"/>
          <w:szCs w:val="24"/>
        </w:rPr>
        <w:footnoteReference w:id="3"/>
      </w:r>
    </w:p>
    <w:p w:rsidR="006F203B" w:rsidRPr="00274DF4" w:rsidRDefault="006F203B" w:rsidP="00274DF4">
      <w:pPr>
        <w:rPr>
          <w:szCs w:val="24"/>
        </w:rPr>
      </w:pPr>
    </w:p>
    <w:p w:rsidR="00274DF4" w:rsidRPr="00274DF4" w:rsidRDefault="00274DF4" w:rsidP="00274DF4">
      <w:pPr>
        <w:rPr>
          <w:szCs w:val="24"/>
        </w:rPr>
      </w:pPr>
      <w:r w:rsidRPr="00274DF4">
        <w:rPr>
          <w:szCs w:val="24"/>
        </w:rPr>
        <w:t>15.</w:t>
      </w:r>
      <w:r w:rsidRPr="00274DF4">
        <w:rPr>
          <w:szCs w:val="24"/>
        </w:rPr>
        <w:tab/>
      </w:r>
      <w:r w:rsidRPr="00274DF4">
        <w:rPr>
          <w:szCs w:val="24"/>
          <w:u w:val="single"/>
        </w:rPr>
        <w:t>REASONS FOR CHANGE IN BURDEN</w:t>
      </w:r>
    </w:p>
    <w:p w:rsidR="00274DF4" w:rsidRPr="00274DF4" w:rsidRDefault="00274DF4" w:rsidP="00274DF4">
      <w:pPr>
        <w:rPr>
          <w:szCs w:val="24"/>
        </w:rPr>
      </w:pPr>
    </w:p>
    <w:p w:rsidR="00274DF4" w:rsidRPr="00274DF4" w:rsidRDefault="00453E07" w:rsidP="00274DF4">
      <w:pPr>
        <w:rPr>
          <w:szCs w:val="24"/>
        </w:rPr>
      </w:pPr>
      <w:r w:rsidRPr="00453E07">
        <w:rPr>
          <w:szCs w:val="24"/>
        </w:rPr>
        <w:t>The 8300 is a</w:t>
      </w:r>
      <w:r>
        <w:rPr>
          <w:szCs w:val="24"/>
        </w:rPr>
        <w:t xml:space="preserve"> joint FinCEN and IRS form. Out</w:t>
      </w:r>
      <w:r w:rsidRPr="00453E07">
        <w:rPr>
          <w:szCs w:val="24"/>
        </w:rPr>
        <w:t xml:space="preserve">reach efforts to the reporting industry has resulted in an increase in awareness of the requirement to report resulting in an increase in the number of reports filed.  </w:t>
      </w:r>
    </w:p>
    <w:p w:rsidR="00274DF4" w:rsidRPr="00274DF4" w:rsidRDefault="00274DF4" w:rsidP="00274DF4">
      <w:pPr>
        <w:rPr>
          <w:szCs w:val="24"/>
        </w:rPr>
      </w:pPr>
      <w:r w:rsidRPr="00274DF4">
        <w:rPr>
          <w:szCs w:val="24"/>
        </w:rPr>
        <w:t xml:space="preserve">16.     </w:t>
      </w:r>
      <w:r w:rsidRPr="00274DF4">
        <w:rPr>
          <w:szCs w:val="24"/>
          <w:u w:val="single"/>
        </w:rPr>
        <w:t>PLANS FOR TABULATION, STATISTICAL ANALYSIS AND PUBLICATION</w:t>
      </w:r>
    </w:p>
    <w:p w:rsidR="00274DF4" w:rsidRDefault="00274DF4" w:rsidP="00274DF4">
      <w:pPr>
        <w:rPr>
          <w:szCs w:val="24"/>
        </w:rPr>
      </w:pPr>
    </w:p>
    <w:p w:rsidR="00274DF4" w:rsidRPr="00274DF4" w:rsidRDefault="00274DF4" w:rsidP="00274DF4">
      <w:pPr>
        <w:rPr>
          <w:szCs w:val="24"/>
        </w:rPr>
      </w:pPr>
      <w:r w:rsidRPr="00274DF4">
        <w:rPr>
          <w:szCs w:val="24"/>
        </w:rPr>
        <w:t xml:space="preserve">This collection of information will not be published. </w:t>
      </w:r>
    </w:p>
    <w:p w:rsidR="00274DF4" w:rsidRDefault="00274DF4" w:rsidP="00274DF4">
      <w:pPr>
        <w:rPr>
          <w:szCs w:val="24"/>
        </w:rPr>
      </w:pPr>
    </w:p>
    <w:p w:rsidR="00274DF4" w:rsidRPr="00274DF4" w:rsidRDefault="00274DF4" w:rsidP="00274DF4">
      <w:pPr>
        <w:rPr>
          <w:szCs w:val="24"/>
        </w:rPr>
      </w:pPr>
      <w:r w:rsidRPr="00274DF4">
        <w:rPr>
          <w:szCs w:val="24"/>
        </w:rPr>
        <w:t>17.</w:t>
      </w:r>
      <w:r w:rsidR="00AC7B07">
        <w:rPr>
          <w:szCs w:val="24"/>
        </w:rPr>
        <w:t xml:space="preserve">     </w:t>
      </w:r>
      <w:r w:rsidR="00AC7B07" w:rsidRPr="00274DF4">
        <w:rPr>
          <w:szCs w:val="24"/>
          <w:u w:val="single"/>
        </w:rPr>
        <w:t>REQUEST NOT TO DISPLAY EXPIRATION DATE OF OMB CONTROL NUMBER</w:t>
      </w:r>
      <w:r w:rsidRPr="00274DF4">
        <w:rPr>
          <w:szCs w:val="24"/>
        </w:rPr>
        <w:t xml:space="preserve"> </w:t>
      </w:r>
    </w:p>
    <w:p w:rsidR="00274DF4" w:rsidRDefault="00274DF4" w:rsidP="00274DF4">
      <w:pPr>
        <w:rPr>
          <w:szCs w:val="24"/>
        </w:rPr>
      </w:pPr>
    </w:p>
    <w:p w:rsidR="00274DF4" w:rsidRPr="00274DF4" w:rsidRDefault="00274DF4" w:rsidP="00274DF4">
      <w:pPr>
        <w:rPr>
          <w:szCs w:val="24"/>
        </w:rPr>
      </w:pPr>
      <w:r w:rsidRPr="00274DF4">
        <w:rPr>
          <w:szCs w:val="24"/>
        </w:rPr>
        <w:t>To avoid having to reprint the form to show a new date, FinCEN is requesting permission not to display the OMB expiration date on the Form 8300.</w:t>
      </w:r>
    </w:p>
    <w:p w:rsidR="00274DF4" w:rsidRPr="00274DF4" w:rsidRDefault="00274DF4" w:rsidP="00274DF4">
      <w:pPr>
        <w:rPr>
          <w:szCs w:val="24"/>
        </w:rPr>
      </w:pPr>
    </w:p>
    <w:p w:rsidR="00274DF4" w:rsidRPr="00274DF4" w:rsidRDefault="00274DF4" w:rsidP="00274DF4">
      <w:pPr>
        <w:rPr>
          <w:szCs w:val="24"/>
          <w:u w:val="single"/>
        </w:rPr>
      </w:pPr>
      <w:r w:rsidRPr="00274DF4">
        <w:rPr>
          <w:szCs w:val="24"/>
        </w:rPr>
        <w:t>18.</w:t>
      </w:r>
      <w:r w:rsidRPr="00274DF4">
        <w:rPr>
          <w:szCs w:val="24"/>
        </w:rPr>
        <w:tab/>
      </w:r>
      <w:r w:rsidRPr="00274DF4">
        <w:rPr>
          <w:szCs w:val="24"/>
          <w:u w:val="single"/>
        </w:rPr>
        <w:t>EXCEPTION</w:t>
      </w:r>
      <w:r w:rsidR="00FA2466">
        <w:rPr>
          <w:szCs w:val="24"/>
          <w:u w:val="single"/>
        </w:rPr>
        <w:t>S</w:t>
      </w:r>
    </w:p>
    <w:p w:rsidR="00274DF4" w:rsidRPr="00274DF4" w:rsidRDefault="00274DF4" w:rsidP="00274DF4">
      <w:pPr>
        <w:rPr>
          <w:szCs w:val="24"/>
        </w:rPr>
      </w:pPr>
    </w:p>
    <w:p w:rsidR="00274DF4" w:rsidRPr="00274DF4" w:rsidRDefault="00453E07" w:rsidP="00274DF4">
      <w:pPr>
        <w:rPr>
          <w:szCs w:val="24"/>
        </w:rPr>
      </w:pPr>
      <w:r>
        <w:rPr>
          <w:szCs w:val="24"/>
        </w:rPr>
        <w:t>There are no exceptions to the certification statement.</w:t>
      </w:r>
      <w:r w:rsidR="00274DF4" w:rsidRPr="00274DF4">
        <w:rPr>
          <w:szCs w:val="24"/>
        </w:rPr>
        <w:tab/>
      </w:r>
    </w:p>
    <w:sectPr w:rsidR="00274DF4" w:rsidRPr="00274DF4" w:rsidSect="001D4545">
      <w:endnotePr>
        <w:numFmt w:val="lowerLetter"/>
      </w:endnotePr>
      <w:type w:val="continuous"/>
      <w:pgSz w:w="12240" w:h="15840"/>
      <w:pgMar w:top="2160" w:right="1440" w:bottom="1440" w:left="21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2C" w:rsidRDefault="009B6A2C" w:rsidP="006F2FF0">
      <w:r>
        <w:separator/>
      </w:r>
    </w:p>
  </w:endnote>
  <w:endnote w:type="continuationSeparator" w:id="0">
    <w:p w:rsidR="009B6A2C" w:rsidRDefault="009B6A2C" w:rsidP="006F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2C" w:rsidRDefault="009B6A2C" w:rsidP="006F2FF0">
      <w:r>
        <w:separator/>
      </w:r>
    </w:p>
  </w:footnote>
  <w:footnote w:type="continuationSeparator" w:id="0">
    <w:p w:rsidR="009B6A2C" w:rsidRDefault="009B6A2C" w:rsidP="006F2FF0">
      <w:r>
        <w:continuationSeparator/>
      </w:r>
    </w:p>
  </w:footnote>
  <w:footnote w:id="1">
    <w:p w:rsidR="006F2FF0" w:rsidRDefault="006F2FF0">
      <w:pPr>
        <w:pStyle w:val="FootnoteText"/>
      </w:pPr>
      <w:r>
        <w:rPr>
          <w:rStyle w:val="FootnoteReference"/>
        </w:rPr>
        <w:footnoteRef/>
      </w:r>
      <w:r>
        <w:t xml:space="preserve"> </w:t>
      </w:r>
      <w:r w:rsidR="00B66B20">
        <w:t>FinCEN system of Record (SOR) July 1, 2016 – June 30, 2017</w:t>
      </w:r>
    </w:p>
  </w:footnote>
  <w:footnote w:id="2">
    <w:p w:rsidR="00AC5FD2" w:rsidRPr="009732FD" w:rsidRDefault="00B66B20" w:rsidP="00AC5FD2">
      <w:pPr>
        <w:pStyle w:val="FootnoteText"/>
      </w:pPr>
      <w:r>
        <w:rPr>
          <w:rStyle w:val="FootnoteReference"/>
        </w:rPr>
        <w:footnoteRef/>
      </w:r>
      <w:r>
        <w:t xml:space="preserve"> </w:t>
      </w:r>
      <w:r w:rsidR="00AC5FD2" w:rsidRPr="009732FD">
        <w:rPr>
          <w:iCs/>
        </w:rPr>
        <w:t xml:space="preserve">The </w:t>
      </w:r>
      <w:r w:rsidR="00AC5FD2">
        <w:rPr>
          <w:iCs/>
        </w:rPr>
        <w:t>A</w:t>
      </w:r>
      <w:r w:rsidR="00AC5FD2" w:rsidRPr="009732FD">
        <w:rPr>
          <w:iCs/>
        </w:rPr>
        <w:t>verage Hourly Wage Rate is calculated from the May 2016 Bureau of Labor Statistics average wage for “Office and administrative Support Occupations” of $17.91.  </w:t>
      </w:r>
    </w:p>
    <w:p w:rsidR="00B66B20" w:rsidRDefault="00B66B20">
      <w:pPr>
        <w:pStyle w:val="FootnoteText"/>
      </w:pPr>
    </w:p>
  </w:footnote>
  <w:footnote w:id="3">
    <w:p w:rsidR="00AC5FD2" w:rsidRPr="00403FD1" w:rsidRDefault="00AC5FD2" w:rsidP="00AC5FD2">
      <w:pPr>
        <w:pStyle w:val="FootnoteText"/>
      </w:pPr>
      <w:r>
        <w:rPr>
          <w:rStyle w:val="FootnoteReference"/>
        </w:rPr>
        <w:footnoteRef/>
      </w:r>
      <w:r>
        <w:t xml:space="preserve"> </w:t>
      </w:r>
      <w:r w:rsidRPr="00403FD1">
        <w:t>Cost per response received as listed in the BSA E-Filing Federal contract for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de59a64-82de-4fd4-b395-da6050564197"/>
  </w:docVars>
  <w:rsids>
    <w:rsidRoot w:val="00785D55"/>
    <w:rsid w:val="000E1E3B"/>
    <w:rsid w:val="001B4A50"/>
    <w:rsid w:val="001D4545"/>
    <w:rsid w:val="00210BE7"/>
    <w:rsid w:val="00274DF4"/>
    <w:rsid w:val="00283F63"/>
    <w:rsid w:val="00353903"/>
    <w:rsid w:val="003D5AFF"/>
    <w:rsid w:val="00453E07"/>
    <w:rsid w:val="00563FE2"/>
    <w:rsid w:val="005D0B26"/>
    <w:rsid w:val="006C5172"/>
    <w:rsid w:val="006F203B"/>
    <w:rsid w:val="006F2FF0"/>
    <w:rsid w:val="00704C02"/>
    <w:rsid w:val="00743E5C"/>
    <w:rsid w:val="00785D55"/>
    <w:rsid w:val="007C1BF9"/>
    <w:rsid w:val="008227AB"/>
    <w:rsid w:val="00853727"/>
    <w:rsid w:val="009B6A2C"/>
    <w:rsid w:val="00A33911"/>
    <w:rsid w:val="00AC5FD2"/>
    <w:rsid w:val="00AC7B07"/>
    <w:rsid w:val="00AE3CDB"/>
    <w:rsid w:val="00AE3DA4"/>
    <w:rsid w:val="00AE5CD6"/>
    <w:rsid w:val="00B66B20"/>
    <w:rsid w:val="00B9315D"/>
    <w:rsid w:val="00BB19EC"/>
    <w:rsid w:val="00C6154D"/>
    <w:rsid w:val="00D76093"/>
    <w:rsid w:val="00E9253D"/>
    <w:rsid w:val="00F924BA"/>
    <w:rsid w:val="00FA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093"/>
    <w:rPr>
      <w:color w:val="0000FF"/>
      <w:u w:val="single"/>
    </w:rPr>
  </w:style>
  <w:style w:type="character" w:styleId="CommentReference">
    <w:name w:val="annotation reference"/>
    <w:uiPriority w:val="99"/>
    <w:semiHidden/>
    <w:unhideWhenUsed/>
    <w:rsid w:val="00563FE2"/>
    <w:rPr>
      <w:sz w:val="16"/>
      <w:szCs w:val="16"/>
    </w:rPr>
  </w:style>
  <w:style w:type="paragraph" w:styleId="CommentText">
    <w:name w:val="annotation text"/>
    <w:basedOn w:val="Normal"/>
    <w:link w:val="CommentTextChar"/>
    <w:uiPriority w:val="99"/>
    <w:semiHidden/>
    <w:unhideWhenUsed/>
    <w:rsid w:val="00563FE2"/>
    <w:rPr>
      <w:sz w:val="20"/>
    </w:rPr>
  </w:style>
  <w:style w:type="character" w:customStyle="1" w:styleId="CommentTextChar">
    <w:name w:val="Comment Text Char"/>
    <w:basedOn w:val="DefaultParagraphFont"/>
    <w:link w:val="CommentText"/>
    <w:uiPriority w:val="99"/>
    <w:semiHidden/>
    <w:rsid w:val="00563FE2"/>
  </w:style>
  <w:style w:type="paragraph" w:styleId="CommentSubject">
    <w:name w:val="annotation subject"/>
    <w:basedOn w:val="CommentText"/>
    <w:next w:val="CommentText"/>
    <w:link w:val="CommentSubjectChar"/>
    <w:uiPriority w:val="99"/>
    <w:semiHidden/>
    <w:unhideWhenUsed/>
    <w:rsid w:val="00563FE2"/>
    <w:rPr>
      <w:b/>
      <w:bCs/>
    </w:rPr>
  </w:style>
  <w:style w:type="character" w:customStyle="1" w:styleId="CommentSubjectChar">
    <w:name w:val="Comment Subject Char"/>
    <w:link w:val="CommentSubject"/>
    <w:uiPriority w:val="99"/>
    <w:semiHidden/>
    <w:rsid w:val="00563FE2"/>
    <w:rPr>
      <w:b/>
      <w:bCs/>
    </w:rPr>
  </w:style>
  <w:style w:type="paragraph" w:styleId="BalloonText">
    <w:name w:val="Balloon Text"/>
    <w:basedOn w:val="Normal"/>
    <w:link w:val="BalloonTextChar"/>
    <w:uiPriority w:val="99"/>
    <w:semiHidden/>
    <w:unhideWhenUsed/>
    <w:rsid w:val="00563FE2"/>
    <w:rPr>
      <w:rFonts w:ascii="Tahoma" w:hAnsi="Tahoma" w:cs="Tahoma"/>
      <w:sz w:val="16"/>
      <w:szCs w:val="16"/>
    </w:rPr>
  </w:style>
  <w:style w:type="character" w:customStyle="1" w:styleId="BalloonTextChar">
    <w:name w:val="Balloon Text Char"/>
    <w:link w:val="BalloonText"/>
    <w:uiPriority w:val="99"/>
    <w:semiHidden/>
    <w:rsid w:val="00563FE2"/>
    <w:rPr>
      <w:rFonts w:ascii="Tahoma" w:hAnsi="Tahoma" w:cs="Tahoma"/>
      <w:sz w:val="16"/>
      <w:szCs w:val="16"/>
    </w:rPr>
  </w:style>
  <w:style w:type="paragraph" w:styleId="FootnoteText">
    <w:name w:val="footnote text"/>
    <w:basedOn w:val="Normal"/>
    <w:link w:val="FootnoteTextChar"/>
    <w:unhideWhenUsed/>
    <w:rsid w:val="006F2FF0"/>
    <w:rPr>
      <w:sz w:val="20"/>
    </w:rPr>
  </w:style>
  <w:style w:type="character" w:customStyle="1" w:styleId="FootnoteTextChar">
    <w:name w:val="Footnote Text Char"/>
    <w:basedOn w:val="DefaultParagraphFont"/>
    <w:link w:val="FootnoteText"/>
    <w:rsid w:val="006F2FF0"/>
  </w:style>
  <w:style w:type="character" w:styleId="FootnoteReference">
    <w:name w:val="footnote reference"/>
    <w:basedOn w:val="DefaultParagraphFont"/>
    <w:semiHidden/>
    <w:unhideWhenUsed/>
    <w:rsid w:val="006F2F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093"/>
    <w:rPr>
      <w:color w:val="0000FF"/>
      <w:u w:val="single"/>
    </w:rPr>
  </w:style>
  <w:style w:type="character" w:styleId="CommentReference">
    <w:name w:val="annotation reference"/>
    <w:uiPriority w:val="99"/>
    <w:semiHidden/>
    <w:unhideWhenUsed/>
    <w:rsid w:val="00563FE2"/>
    <w:rPr>
      <w:sz w:val="16"/>
      <w:szCs w:val="16"/>
    </w:rPr>
  </w:style>
  <w:style w:type="paragraph" w:styleId="CommentText">
    <w:name w:val="annotation text"/>
    <w:basedOn w:val="Normal"/>
    <w:link w:val="CommentTextChar"/>
    <w:uiPriority w:val="99"/>
    <w:semiHidden/>
    <w:unhideWhenUsed/>
    <w:rsid w:val="00563FE2"/>
    <w:rPr>
      <w:sz w:val="20"/>
    </w:rPr>
  </w:style>
  <w:style w:type="character" w:customStyle="1" w:styleId="CommentTextChar">
    <w:name w:val="Comment Text Char"/>
    <w:basedOn w:val="DefaultParagraphFont"/>
    <w:link w:val="CommentText"/>
    <w:uiPriority w:val="99"/>
    <w:semiHidden/>
    <w:rsid w:val="00563FE2"/>
  </w:style>
  <w:style w:type="paragraph" w:styleId="CommentSubject">
    <w:name w:val="annotation subject"/>
    <w:basedOn w:val="CommentText"/>
    <w:next w:val="CommentText"/>
    <w:link w:val="CommentSubjectChar"/>
    <w:uiPriority w:val="99"/>
    <w:semiHidden/>
    <w:unhideWhenUsed/>
    <w:rsid w:val="00563FE2"/>
    <w:rPr>
      <w:b/>
      <w:bCs/>
    </w:rPr>
  </w:style>
  <w:style w:type="character" w:customStyle="1" w:styleId="CommentSubjectChar">
    <w:name w:val="Comment Subject Char"/>
    <w:link w:val="CommentSubject"/>
    <w:uiPriority w:val="99"/>
    <w:semiHidden/>
    <w:rsid w:val="00563FE2"/>
    <w:rPr>
      <w:b/>
      <w:bCs/>
    </w:rPr>
  </w:style>
  <w:style w:type="paragraph" w:styleId="BalloonText">
    <w:name w:val="Balloon Text"/>
    <w:basedOn w:val="Normal"/>
    <w:link w:val="BalloonTextChar"/>
    <w:uiPriority w:val="99"/>
    <w:semiHidden/>
    <w:unhideWhenUsed/>
    <w:rsid w:val="00563FE2"/>
    <w:rPr>
      <w:rFonts w:ascii="Tahoma" w:hAnsi="Tahoma" w:cs="Tahoma"/>
      <w:sz w:val="16"/>
      <w:szCs w:val="16"/>
    </w:rPr>
  </w:style>
  <w:style w:type="character" w:customStyle="1" w:styleId="BalloonTextChar">
    <w:name w:val="Balloon Text Char"/>
    <w:link w:val="BalloonText"/>
    <w:uiPriority w:val="99"/>
    <w:semiHidden/>
    <w:rsid w:val="00563FE2"/>
    <w:rPr>
      <w:rFonts w:ascii="Tahoma" w:hAnsi="Tahoma" w:cs="Tahoma"/>
      <w:sz w:val="16"/>
      <w:szCs w:val="16"/>
    </w:rPr>
  </w:style>
  <w:style w:type="paragraph" w:styleId="FootnoteText">
    <w:name w:val="footnote text"/>
    <w:basedOn w:val="Normal"/>
    <w:link w:val="FootnoteTextChar"/>
    <w:unhideWhenUsed/>
    <w:rsid w:val="006F2FF0"/>
    <w:rPr>
      <w:sz w:val="20"/>
    </w:rPr>
  </w:style>
  <w:style w:type="character" w:customStyle="1" w:styleId="FootnoteTextChar">
    <w:name w:val="Footnote Text Char"/>
    <w:basedOn w:val="DefaultParagraphFont"/>
    <w:link w:val="FootnoteText"/>
    <w:rsid w:val="006F2FF0"/>
  </w:style>
  <w:style w:type="character" w:styleId="FootnoteReference">
    <w:name w:val="footnote reference"/>
    <w:basedOn w:val="DefaultParagraphFont"/>
    <w:semiHidden/>
    <w:unhideWhenUsed/>
    <w:rsid w:val="006F2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3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cen.gov/foia/files/FinCEN_79_FR_20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A7E9-EF53-45BE-B4AF-173E42A4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4821</CharactersWithSpaces>
  <SharedDoc>false</SharedDoc>
  <HLinks>
    <vt:vector size="12" baseType="variant">
      <vt:variant>
        <vt:i4>2162714</vt:i4>
      </vt:variant>
      <vt:variant>
        <vt:i4>5</vt:i4>
      </vt:variant>
      <vt:variant>
        <vt:i4>0</vt:i4>
      </vt:variant>
      <vt:variant>
        <vt:i4>5</vt:i4>
      </vt:variant>
      <vt:variant>
        <vt:lpwstr>http://www.fincen.gov/foia/files/FinCEN_79_FR_20969.pdf</vt:lpwstr>
      </vt:variant>
      <vt:variant>
        <vt:lpwstr/>
      </vt:variant>
      <vt:variant>
        <vt:i4>4653132</vt:i4>
      </vt:variant>
      <vt:variant>
        <vt:i4>2</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StephR</dc:creator>
  <cp:lastModifiedBy>SYSTEM</cp:lastModifiedBy>
  <cp:revision>2</cp:revision>
  <cp:lastPrinted>2017-09-12T16:17:00Z</cp:lastPrinted>
  <dcterms:created xsi:type="dcterms:W3CDTF">2017-11-15T21:56:00Z</dcterms:created>
  <dcterms:modified xsi:type="dcterms:W3CDTF">2017-11-15T21:56:00Z</dcterms:modified>
</cp:coreProperties>
</file>