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8AB55" w14:textId="77777777" w:rsidR="001E2CF1" w:rsidRDefault="001E2CF1" w:rsidP="009565D4">
      <w:pPr>
        <w:pStyle w:val="CoverTextRed16pt"/>
        <w:rPr>
          <w:noProof/>
        </w:rPr>
      </w:pPr>
      <w:bookmarkStart w:id="0" w:name="_GoBack"/>
      <w:bookmarkEnd w:id="0"/>
      <w:r>
        <w:rPr>
          <w:noProof/>
        </w:rPr>
        <w:drawing>
          <wp:anchor distT="0" distB="0" distL="114300" distR="114300" simplePos="0" relativeHeight="251664384" behindDoc="0" locked="1" layoutInCell="1" allowOverlap="1" wp14:anchorId="7888A7A7" wp14:editId="2D94BBFD">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8C0ED7">
        <w:rPr>
          <w:noProof/>
        </w:rPr>
        <w:t>Supporting Statement for Information Collection Request</w:t>
      </w:r>
      <w:r w:rsidR="00341DA8">
        <w:rPr>
          <w:noProof/>
        </w:rPr>
        <w:t>—</w:t>
      </w:r>
      <w:r w:rsidR="001A601E" w:rsidRPr="001A601E">
        <w:rPr>
          <w:noProof/>
        </w:rPr>
        <w:t xml:space="preserve">Part </w:t>
      </w:r>
      <w:r w:rsidR="006718F3">
        <w:rPr>
          <w:noProof/>
        </w:rPr>
        <w:t>B</w:t>
      </w:r>
    </w:p>
    <w:p w14:paraId="1E51AA1B" w14:textId="77777777" w:rsidR="009565D4" w:rsidRDefault="009565D4" w:rsidP="009565D4">
      <w:pPr>
        <w:pStyle w:val="CoverText-Address"/>
        <w:rPr>
          <w:noProof/>
        </w:rPr>
      </w:pPr>
    </w:p>
    <w:p w14:paraId="3DF79990" w14:textId="77777777" w:rsidR="009565D4" w:rsidRDefault="009565D4" w:rsidP="009565D4">
      <w:pPr>
        <w:pStyle w:val="CoverText-Address"/>
        <w:rPr>
          <w:noProof/>
        </w:rPr>
      </w:pPr>
    </w:p>
    <w:p w14:paraId="5ECAF54A" w14:textId="77777777" w:rsidR="009565D4" w:rsidRPr="007631C7" w:rsidRDefault="001A601E" w:rsidP="009565D4">
      <w:pPr>
        <w:pStyle w:val="CoverTextRed16pt"/>
      </w:pPr>
      <w:r w:rsidRPr="001A601E">
        <w:rPr>
          <w:noProof/>
        </w:rPr>
        <w:t xml:space="preserve">Investing in Innovation (i3) </w:t>
      </w:r>
      <w:r w:rsidR="003865C2">
        <w:rPr>
          <w:noProof/>
        </w:rPr>
        <w:t>Technical Assistance and Evaluation Project</w:t>
      </w:r>
    </w:p>
    <w:p w14:paraId="2B30F8C4" w14:textId="77777777" w:rsidR="001E2CF1" w:rsidRDefault="001E2CF1" w:rsidP="00744E2C">
      <w:pPr>
        <w:pStyle w:val="CoverText-Address"/>
      </w:pPr>
    </w:p>
    <w:p w14:paraId="10C44BBA" w14:textId="77777777" w:rsidR="009565D4" w:rsidRDefault="009565D4" w:rsidP="009565D4">
      <w:pPr>
        <w:pStyle w:val="CoverTextGreyBold"/>
      </w:pPr>
    </w:p>
    <w:p w14:paraId="5599CDD9" w14:textId="77777777" w:rsidR="009565D4" w:rsidRDefault="009565D4" w:rsidP="009565D4">
      <w:pPr>
        <w:pStyle w:val="CoverText-Address"/>
      </w:pPr>
    </w:p>
    <w:p w14:paraId="087AEF47" w14:textId="04018148" w:rsidR="009565D4" w:rsidRDefault="00AB23C2" w:rsidP="009565D4">
      <w:pPr>
        <w:pStyle w:val="CoverText-Address"/>
      </w:pPr>
      <w:r>
        <w:rPr>
          <w:b/>
        </w:rPr>
        <w:t>January 8</w:t>
      </w:r>
      <w:r w:rsidR="00915CC1">
        <w:rPr>
          <w:b/>
        </w:rPr>
        <w:t>,</w:t>
      </w:r>
      <w:r w:rsidR="00184319" w:rsidRPr="000950CD">
        <w:rPr>
          <w:b/>
        </w:rPr>
        <w:t xml:space="preserve"> </w:t>
      </w:r>
      <w:r w:rsidR="00B952E4" w:rsidRPr="000950CD">
        <w:rPr>
          <w:b/>
        </w:rPr>
        <w:t>201</w:t>
      </w:r>
      <w:r>
        <w:rPr>
          <w:b/>
        </w:rPr>
        <w:t>8</w:t>
      </w:r>
    </w:p>
    <w:p w14:paraId="6F3A2A6A" w14:textId="77777777" w:rsidR="009565D4" w:rsidRPr="001E2CF1" w:rsidRDefault="009565D4" w:rsidP="009565D4">
      <w:pPr>
        <w:pStyle w:val="CoverText-Address"/>
      </w:pPr>
    </w:p>
    <w:p w14:paraId="257A2A7B" w14:textId="77777777" w:rsidR="009565D4" w:rsidRPr="001E2CF1" w:rsidRDefault="009565D4" w:rsidP="00744E2C">
      <w:pPr>
        <w:pStyle w:val="CoverText-Address"/>
      </w:pPr>
    </w:p>
    <w:p w14:paraId="5ABC81D4" w14:textId="77777777"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0CCD975B" w14:textId="77777777" w:rsidR="009565D4" w:rsidRDefault="001E2CF1" w:rsidP="009565D4">
      <w:pPr>
        <w:pStyle w:val="CoverText11pt"/>
      </w:pPr>
      <w:r w:rsidRPr="001E2CF1">
        <w:t>Prepared for:</w:t>
      </w:r>
    </w:p>
    <w:p w14:paraId="463442C5" w14:textId="77777777" w:rsidR="009565D4" w:rsidRPr="009565D4" w:rsidRDefault="001A601E" w:rsidP="009565D4">
      <w:pPr>
        <w:pStyle w:val="CoverText-Address"/>
        <w:rPr>
          <w:b/>
          <w:color w:val="DA291C"/>
        </w:rPr>
      </w:pPr>
      <w:r w:rsidRPr="001A601E">
        <w:rPr>
          <w:b/>
          <w:color w:val="DA291C"/>
        </w:rPr>
        <w:t>Tracy Rimdzius</w:t>
      </w:r>
    </w:p>
    <w:p w14:paraId="5DF248B2" w14:textId="77777777" w:rsidR="001A601E" w:rsidRDefault="001A601E" w:rsidP="001A601E">
      <w:pPr>
        <w:pStyle w:val="CoverText-Address"/>
      </w:pPr>
      <w:r>
        <w:t>Institute of Education Sciences</w:t>
      </w:r>
    </w:p>
    <w:p w14:paraId="32DBB94B" w14:textId="77777777" w:rsidR="001A601E" w:rsidRDefault="001A601E" w:rsidP="001A601E">
      <w:pPr>
        <w:pStyle w:val="CoverText-Address"/>
      </w:pPr>
      <w:r>
        <w:t>U.S. Department of Education</w:t>
      </w:r>
    </w:p>
    <w:p w14:paraId="326049EA" w14:textId="77777777" w:rsidR="00B952E4" w:rsidRDefault="00B952E4" w:rsidP="00B952E4">
      <w:pPr>
        <w:pStyle w:val="CoverText-Address"/>
      </w:pPr>
      <w:r>
        <w:t>550 12th Street, SW</w:t>
      </w:r>
    </w:p>
    <w:p w14:paraId="33005D6A" w14:textId="77777777" w:rsidR="00B952E4" w:rsidRDefault="00B952E4" w:rsidP="00B952E4">
      <w:pPr>
        <w:pStyle w:val="CoverText-Address"/>
      </w:pPr>
      <w:r>
        <w:t>Washington, DC 20024</w:t>
      </w:r>
    </w:p>
    <w:p w14:paraId="300C8952" w14:textId="77777777" w:rsidR="009565D4" w:rsidRDefault="009565D4" w:rsidP="009565D4">
      <w:pPr>
        <w:pStyle w:val="CoverText-Address"/>
      </w:pPr>
    </w:p>
    <w:p w14:paraId="6BFCD226" w14:textId="77777777" w:rsidR="009565D4" w:rsidRPr="001E2CF1" w:rsidRDefault="009565D4" w:rsidP="009565D4">
      <w:pPr>
        <w:pStyle w:val="CoverText-Address"/>
      </w:pPr>
    </w:p>
    <w:p w14:paraId="5D16E0F5" w14:textId="77777777" w:rsidR="001E2CF1" w:rsidRPr="001E2CF1" w:rsidRDefault="001E2CF1" w:rsidP="00744E2C">
      <w:pPr>
        <w:pStyle w:val="CoverText-Address"/>
      </w:pPr>
    </w:p>
    <w:p w14:paraId="51C0F93C" w14:textId="77777777" w:rsidR="001E2CF1" w:rsidRPr="001E2CF1" w:rsidRDefault="001E2CF1" w:rsidP="00354503">
      <w:pPr>
        <w:pStyle w:val="CoverText11pt"/>
      </w:pPr>
      <w:r w:rsidRPr="001E2CF1">
        <w:t>Submitted by:</w:t>
      </w:r>
    </w:p>
    <w:p w14:paraId="732651A7" w14:textId="77777777" w:rsidR="001E2CF1" w:rsidRPr="00354503" w:rsidRDefault="007E78C1" w:rsidP="00354503">
      <w:pPr>
        <w:pStyle w:val="CoverText-Address"/>
        <w:rPr>
          <w:b/>
          <w:color w:val="DA291C"/>
        </w:rPr>
      </w:pPr>
      <w:r>
        <w:rPr>
          <w:b/>
          <w:color w:val="DA291C"/>
        </w:rPr>
        <w:t xml:space="preserve">Abt Associates </w:t>
      </w:r>
    </w:p>
    <w:p w14:paraId="20177239" w14:textId="77777777" w:rsidR="001A601E" w:rsidRDefault="001A601E" w:rsidP="001A601E">
      <w:pPr>
        <w:pStyle w:val="CoverText-Address"/>
      </w:pPr>
      <w:r>
        <w:t>55 Wheeler Street</w:t>
      </w:r>
    </w:p>
    <w:p w14:paraId="3E85C69B" w14:textId="77777777" w:rsidR="001E2CF1" w:rsidRPr="001E2CF1" w:rsidRDefault="001A601E" w:rsidP="001A601E">
      <w:pPr>
        <w:pStyle w:val="CoverText-Address"/>
      </w:pPr>
      <w:r>
        <w:t>Cambridge, MA 02138</w:t>
      </w:r>
    </w:p>
    <w:p w14:paraId="2D20F03E" w14:textId="77777777" w:rsidR="001E2CF1" w:rsidRPr="001E2CF1" w:rsidRDefault="001E2CF1" w:rsidP="00354503">
      <w:pPr>
        <w:pStyle w:val="CoverText-Address"/>
      </w:pPr>
    </w:p>
    <w:p w14:paraId="63AD3C62" w14:textId="77777777" w:rsidR="001E2CF1" w:rsidRPr="001E2CF1" w:rsidRDefault="001E2CF1" w:rsidP="00354503">
      <w:pPr>
        <w:pStyle w:val="CoverText-Address"/>
      </w:pPr>
    </w:p>
    <w:p w14:paraId="07F26ED8" w14:textId="77777777" w:rsidR="00157E04" w:rsidRDefault="00157E04" w:rsidP="00D979EA">
      <w:pPr>
        <w:sectPr w:rsidR="00157E04" w:rsidSect="00B25390">
          <w:headerReference w:type="default" r:id="rId10"/>
          <w:footerReference w:type="default" r:id="rId11"/>
          <w:pgSz w:w="12240" w:h="15840" w:code="1"/>
          <w:pgMar w:top="1440" w:right="1440" w:bottom="1008" w:left="1440" w:header="720" w:footer="720" w:gutter="0"/>
          <w:pgNumType w:fmt="lowerRoman" w:start="1"/>
          <w:cols w:space="720"/>
          <w:docGrid w:linePitch="299"/>
        </w:sectPr>
      </w:pPr>
    </w:p>
    <w:p w14:paraId="5AEFA640" w14:textId="77777777" w:rsidR="0047464F" w:rsidRDefault="00CD2213">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503190239" w:history="1">
        <w:r w:rsidR="0047464F" w:rsidRPr="00B20DAC">
          <w:rPr>
            <w:rStyle w:val="Hyperlink"/>
          </w:rPr>
          <w:t>B.</w:t>
        </w:r>
        <w:r w:rsidR="0047464F">
          <w:rPr>
            <w:rFonts w:asciiTheme="minorHAnsi" w:eastAsiaTheme="minorEastAsia" w:hAnsiTheme="minorHAnsi" w:cstheme="minorBidi"/>
            <w:b w:val="0"/>
            <w:szCs w:val="22"/>
          </w:rPr>
          <w:tab/>
        </w:r>
        <w:r w:rsidR="0047464F" w:rsidRPr="00B20DAC">
          <w:rPr>
            <w:rStyle w:val="Hyperlink"/>
          </w:rPr>
          <w:t>Collections of Information Employing Statistical Methods</w:t>
        </w:r>
        <w:r w:rsidR="0047464F">
          <w:rPr>
            <w:webHidden/>
          </w:rPr>
          <w:tab/>
        </w:r>
        <w:r w:rsidR="0047464F">
          <w:rPr>
            <w:webHidden/>
          </w:rPr>
          <w:fldChar w:fldCharType="begin"/>
        </w:r>
        <w:r w:rsidR="0047464F">
          <w:rPr>
            <w:webHidden/>
          </w:rPr>
          <w:instrText xml:space="preserve"> PAGEREF _Toc503190239 \h </w:instrText>
        </w:r>
        <w:r w:rsidR="0047464F">
          <w:rPr>
            <w:webHidden/>
          </w:rPr>
        </w:r>
        <w:r w:rsidR="0047464F">
          <w:rPr>
            <w:webHidden/>
          </w:rPr>
          <w:fldChar w:fldCharType="separate"/>
        </w:r>
        <w:r w:rsidR="0047464F">
          <w:rPr>
            <w:webHidden/>
          </w:rPr>
          <w:t>1</w:t>
        </w:r>
        <w:r w:rsidR="0047464F">
          <w:rPr>
            <w:webHidden/>
          </w:rPr>
          <w:fldChar w:fldCharType="end"/>
        </w:r>
      </w:hyperlink>
    </w:p>
    <w:p w14:paraId="36C9BAF8" w14:textId="77777777" w:rsidR="0047464F" w:rsidRDefault="000163D6">
      <w:pPr>
        <w:pStyle w:val="TOC2"/>
        <w:rPr>
          <w:rFonts w:asciiTheme="minorHAnsi" w:eastAsiaTheme="minorEastAsia" w:hAnsiTheme="minorHAnsi" w:cstheme="minorBidi"/>
          <w:szCs w:val="22"/>
        </w:rPr>
      </w:pPr>
      <w:hyperlink w:anchor="_Toc503190240" w:history="1">
        <w:r w:rsidR="0047464F" w:rsidRPr="00B20DAC">
          <w:rPr>
            <w:rStyle w:val="Hyperlink"/>
          </w:rPr>
          <w:t>B.1</w:t>
        </w:r>
        <w:r w:rsidR="0047464F">
          <w:rPr>
            <w:rFonts w:asciiTheme="minorHAnsi" w:eastAsiaTheme="minorEastAsia" w:hAnsiTheme="minorHAnsi" w:cstheme="minorBidi"/>
            <w:szCs w:val="22"/>
          </w:rPr>
          <w:tab/>
        </w:r>
        <w:r w:rsidR="0047464F" w:rsidRPr="00B20DAC">
          <w:rPr>
            <w:rStyle w:val="Hyperlink"/>
          </w:rPr>
          <w:t>Respondent Universe and Sampling Methods</w:t>
        </w:r>
        <w:r w:rsidR="0047464F">
          <w:rPr>
            <w:webHidden/>
          </w:rPr>
          <w:tab/>
        </w:r>
        <w:r w:rsidR="0047464F">
          <w:rPr>
            <w:webHidden/>
          </w:rPr>
          <w:fldChar w:fldCharType="begin"/>
        </w:r>
        <w:r w:rsidR="0047464F">
          <w:rPr>
            <w:webHidden/>
          </w:rPr>
          <w:instrText xml:space="preserve"> PAGEREF _Toc503190240 \h </w:instrText>
        </w:r>
        <w:r w:rsidR="0047464F">
          <w:rPr>
            <w:webHidden/>
          </w:rPr>
        </w:r>
        <w:r w:rsidR="0047464F">
          <w:rPr>
            <w:webHidden/>
          </w:rPr>
          <w:fldChar w:fldCharType="separate"/>
        </w:r>
        <w:r w:rsidR="0047464F">
          <w:rPr>
            <w:webHidden/>
          </w:rPr>
          <w:t>1</w:t>
        </w:r>
        <w:r w:rsidR="0047464F">
          <w:rPr>
            <w:webHidden/>
          </w:rPr>
          <w:fldChar w:fldCharType="end"/>
        </w:r>
      </w:hyperlink>
    </w:p>
    <w:p w14:paraId="74168E23" w14:textId="77777777" w:rsidR="0047464F" w:rsidRDefault="000163D6">
      <w:pPr>
        <w:pStyle w:val="TOC2"/>
        <w:rPr>
          <w:rFonts w:asciiTheme="minorHAnsi" w:eastAsiaTheme="minorEastAsia" w:hAnsiTheme="minorHAnsi" w:cstheme="minorBidi"/>
          <w:szCs w:val="22"/>
        </w:rPr>
      </w:pPr>
      <w:hyperlink w:anchor="_Toc503190241" w:history="1">
        <w:r w:rsidR="0047464F" w:rsidRPr="00B20DAC">
          <w:rPr>
            <w:rStyle w:val="Hyperlink"/>
          </w:rPr>
          <w:t>B.2</w:t>
        </w:r>
        <w:r w:rsidR="0047464F">
          <w:rPr>
            <w:rFonts w:asciiTheme="minorHAnsi" w:eastAsiaTheme="minorEastAsia" w:hAnsiTheme="minorHAnsi" w:cstheme="minorBidi"/>
            <w:szCs w:val="22"/>
          </w:rPr>
          <w:tab/>
        </w:r>
        <w:r w:rsidR="0047464F" w:rsidRPr="00B20DAC">
          <w:rPr>
            <w:rStyle w:val="Hyperlink"/>
          </w:rPr>
          <w:t>Information Collection and Estimation Procedures</w:t>
        </w:r>
        <w:r w:rsidR="0047464F">
          <w:rPr>
            <w:webHidden/>
          </w:rPr>
          <w:tab/>
        </w:r>
        <w:r w:rsidR="0047464F">
          <w:rPr>
            <w:webHidden/>
          </w:rPr>
          <w:fldChar w:fldCharType="begin"/>
        </w:r>
        <w:r w:rsidR="0047464F">
          <w:rPr>
            <w:webHidden/>
          </w:rPr>
          <w:instrText xml:space="preserve"> PAGEREF _Toc503190241 \h </w:instrText>
        </w:r>
        <w:r w:rsidR="0047464F">
          <w:rPr>
            <w:webHidden/>
          </w:rPr>
        </w:r>
        <w:r w:rsidR="0047464F">
          <w:rPr>
            <w:webHidden/>
          </w:rPr>
          <w:fldChar w:fldCharType="separate"/>
        </w:r>
        <w:r w:rsidR="0047464F">
          <w:rPr>
            <w:webHidden/>
          </w:rPr>
          <w:t>1</w:t>
        </w:r>
        <w:r w:rsidR="0047464F">
          <w:rPr>
            <w:webHidden/>
          </w:rPr>
          <w:fldChar w:fldCharType="end"/>
        </w:r>
      </w:hyperlink>
    </w:p>
    <w:p w14:paraId="2057D0F3" w14:textId="77777777" w:rsidR="0047464F" w:rsidRDefault="000163D6">
      <w:pPr>
        <w:pStyle w:val="TOC2"/>
        <w:rPr>
          <w:rFonts w:asciiTheme="minorHAnsi" w:eastAsiaTheme="minorEastAsia" w:hAnsiTheme="minorHAnsi" w:cstheme="minorBidi"/>
          <w:szCs w:val="22"/>
        </w:rPr>
      </w:pPr>
      <w:hyperlink w:anchor="_Toc503190242" w:history="1">
        <w:r w:rsidR="0047464F" w:rsidRPr="00B20DAC">
          <w:rPr>
            <w:rStyle w:val="Hyperlink"/>
          </w:rPr>
          <w:t>B.3</w:t>
        </w:r>
        <w:r w:rsidR="0047464F">
          <w:rPr>
            <w:rFonts w:asciiTheme="minorHAnsi" w:eastAsiaTheme="minorEastAsia" w:hAnsiTheme="minorHAnsi" w:cstheme="minorBidi"/>
            <w:szCs w:val="22"/>
          </w:rPr>
          <w:tab/>
        </w:r>
        <w:r w:rsidR="0047464F" w:rsidRPr="00B20DAC">
          <w:rPr>
            <w:rStyle w:val="Hyperlink"/>
          </w:rPr>
          <w:t>Methods for Maximizing the Response Rate and Addressing Issues of Nonresponse</w:t>
        </w:r>
        <w:r w:rsidR="0047464F">
          <w:rPr>
            <w:webHidden/>
          </w:rPr>
          <w:tab/>
        </w:r>
        <w:r w:rsidR="0047464F">
          <w:rPr>
            <w:webHidden/>
          </w:rPr>
          <w:fldChar w:fldCharType="begin"/>
        </w:r>
        <w:r w:rsidR="0047464F">
          <w:rPr>
            <w:webHidden/>
          </w:rPr>
          <w:instrText xml:space="preserve"> PAGEREF _Toc503190242 \h </w:instrText>
        </w:r>
        <w:r w:rsidR="0047464F">
          <w:rPr>
            <w:webHidden/>
          </w:rPr>
        </w:r>
        <w:r w:rsidR="0047464F">
          <w:rPr>
            <w:webHidden/>
          </w:rPr>
          <w:fldChar w:fldCharType="separate"/>
        </w:r>
        <w:r w:rsidR="0047464F">
          <w:rPr>
            <w:webHidden/>
          </w:rPr>
          <w:t>3</w:t>
        </w:r>
        <w:r w:rsidR="0047464F">
          <w:rPr>
            <w:webHidden/>
          </w:rPr>
          <w:fldChar w:fldCharType="end"/>
        </w:r>
      </w:hyperlink>
    </w:p>
    <w:p w14:paraId="63F7B40C" w14:textId="77777777" w:rsidR="0047464F" w:rsidRDefault="000163D6">
      <w:pPr>
        <w:pStyle w:val="TOC2"/>
        <w:rPr>
          <w:rFonts w:asciiTheme="minorHAnsi" w:eastAsiaTheme="minorEastAsia" w:hAnsiTheme="minorHAnsi" w:cstheme="minorBidi"/>
          <w:szCs w:val="22"/>
        </w:rPr>
      </w:pPr>
      <w:hyperlink w:anchor="_Toc503190243" w:history="1">
        <w:r w:rsidR="0047464F" w:rsidRPr="00B20DAC">
          <w:rPr>
            <w:rStyle w:val="Hyperlink"/>
          </w:rPr>
          <w:t>B.4</w:t>
        </w:r>
        <w:r w:rsidR="0047464F">
          <w:rPr>
            <w:rFonts w:asciiTheme="minorHAnsi" w:eastAsiaTheme="minorEastAsia" w:hAnsiTheme="minorHAnsi" w:cstheme="minorBidi"/>
            <w:szCs w:val="22"/>
          </w:rPr>
          <w:tab/>
        </w:r>
        <w:r w:rsidR="0047464F" w:rsidRPr="00B20DAC">
          <w:rPr>
            <w:rStyle w:val="Hyperlink"/>
          </w:rPr>
          <w:t>Tests of Procedures or Methods</w:t>
        </w:r>
        <w:r w:rsidR="0047464F">
          <w:rPr>
            <w:webHidden/>
          </w:rPr>
          <w:tab/>
        </w:r>
        <w:r w:rsidR="0047464F">
          <w:rPr>
            <w:webHidden/>
          </w:rPr>
          <w:fldChar w:fldCharType="begin"/>
        </w:r>
        <w:r w:rsidR="0047464F">
          <w:rPr>
            <w:webHidden/>
          </w:rPr>
          <w:instrText xml:space="preserve"> PAGEREF _Toc503190243 \h </w:instrText>
        </w:r>
        <w:r w:rsidR="0047464F">
          <w:rPr>
            <w:webHidden/>
          </w:rPr>
        </w:r>
        <w:r w:rsidR="0047464F">
          <w:rPr>
            <w:webHidden/>
          </w:rPr>
          <w:fldChar w:fldCharType="separate"/>
        </w:r>
        <w:r w:rsidR="0047464F">
          <w:rPr>
            <w:webHidden/>
          </w:rPr>
          <w:t>4</w:t>
        </w:r>
        <w:r w:rsidR="0047464F">
          <w:rPr>
            <w:webHidden/>
          </w:rPr>
          <w:fldChar w:fldCharType="end"/>
        </w:r>
      </w:hyperlink>
    </w:p>
    <w:p w14:paraId="30C30BEC" w14:textId="77777777" w:rsidR="0047464F" w:rsidRDefault="000163D6">
      <w:pPr>
        <w:pStyle w:val="TOC2"/>
        <w:rPr>
          <w:rFonts w:asciiTheme="minorHAnsi" w:eastAsiaTheme="minorEastAsia" w:hAnsiTheme="minorHAnsi" w:cstheme="minorBidi"/>
          <w:szCs w:val="22"/>
        </w:rPr>
      </w:pPr>
      <w:hyperlink w:anchor="_Toc503190244" w:history="1">
        <w:r w:rsidR="0047464F" w:rsidRPr="00B20DAC">
          <w:rPr>
            <w:rStyle w:val="Hyperlink"/>
          </w:rPr>
          <w:t>B.5</w:t>
        </w:r>
        <w:r w:rsidR="0047464F">
          <w:rPr>
            <w:rFonts w:asciiTheme="minorHAnsi" w:eastAsiaTheme="minorEastAsia" w:hAnsiTheme="minorHAnsi" w:cstheme="minorBidi"/>
            <w:szCs w:val="22"/>
          </w:rPr>
          <w:tab/>
        </w:r>
        <w:r w:rsidR="0047464F" w:rsidRPr="00B20DAC">
          <w:rPr>
            <w:rStyle w:val="Hyperlink"/>
          </w:rPr>
          <w:t>Individuals Consulted on Statistical Aspects of the Design</w:t>
        </w:r>
        <w:r w:rsidR="0047464F">
          <w:rPr>
            <w:webHidden/>
          </w:rPr>
          <w:tab/>
        </w:r>
        <w:r w:rsidR="0047464F">
          <w:rPr>
            <w:webHidden/>
          </w:rPr>
          <w:fldChar w:fldCharType="begin"/>
        </w:r>
        <w:r w:rsidR="0047464F">
          <w:rPr>
            <w:webHidden/>
          </w:rPr>
          <w:instrText xml:space="preserve"> PAGEREF _Toc503190244 \h </w:instrText>
        </w:r>
        <w:r w:rsidR="0047464F">
          <w:rPr>
            <w:webHidden/>
          </w:rPr>
        </w:r>
        <w:r w:rsidR="0047464F">
          <w:rPr>
            <w:webHidden/>
          </w:rPr>
          <w:fldChar w:fldCharType="separate"/>
        </w:r>
        <w:r w:rsidR="0047464F">
          <w:rPr>
            <w:webHidden/>
          </w:rPr>
          <w:t>4</w:t>
        </w:r>
        <w:r w:rsidR="0047464F">
          <w:rPr>
            <w:webHidden/>
          </w:rPr>
          <w:fldChar w:fldCharType="end"/>
        </w:r>
      </w:hyperlink>
    </w:p>
    <w:p w14:paraId="1277FD54" w14:textId="77777777" w:rsidR="002D5525" w:rsidRDefault="00CD2213" w:rsidP="00D979EA">
      <w:pPr>
        <w:pStyle w:val="BodyText"/>
        <w:sectPr w:rsidR="002D5525" w:rsidSect="00B25390">
          <w:headerReference w:type="default" r:id="rId12"/>
          <w:footerReference w:type="default" r:id="rId13"/>
          <w:pgSz w:w="12240" w:h="15840" w:code="1"/>
          <w:pgMar w:top="1440" w:right="1440" w:bottom="1008" w:left="1440" w:header="1080" w:footer="720" w:gutter="0"/>
          <w:pgNumType w:fmt="lowerRoman" w:start="1"/>
          <w:cols w:space="720"/>
          <w:docGrid w:linePitch="299"/>
        </w:sectPr>
      </w:pPr>
      <w:r>
        <w:rPr>
          <w:b/>
          <w:noProof/>
        </w:rPr>
        <w:fldChar w:fldCharType="end"/>
      </w:r>
    </w:p>
    <w:p w14:paraId="203E2CED" w14:textId="77777777" w:rsidR="006718F3" w:rsidRPr="00204D13" w:rsidRDefault="006718F3" w:rsidP="006718F3">
      <w:pPr>
        <w:pStyle w:val="Heading1"/>
      </w:pPr>
      <w:bookmarkStart w:id="1" w:name="_Toc503190239"/>
      <w:r>
        <w:lastRenderedPageBreak/>
        <w:t>Collections of Information Employing Statistical Methods</w:t>
      </w:r>
      <w:bookmarkEnd w:id="1"/>
      <w:r>
        <w:t xml:space="preserve"> </w:t>
      </w:r>
    </w:p>
    <w:p w14:paraId="0C4E366D" w14:textId="72C0C696" w:rsidR="00705B7D" w:rsidRDefault="00705B7D" w:rsidP="00705B7D">
      <w:pPr>
        <w:pStyle w:val="BodyText"/>
      </w:pPr>
      <w:r w:rsidRPr="00482B5F">
        <w:t xml:space="preserve">The </w:t>
      </w:r>
      <w:r w:rsidRPr="003865C2">
        <w:t>Investing in Innovation (i3</w:t>
      </w:r>
      <w:r w:rsidRPr="003865C2">
        <w:rPr>
          <w:szCs w:val="22"/>
        </w:rPr>
        <w:t xml:space="preserve">) </w:t>
      </w:r>
      <w:r w:rsidR="003865C2" w:rsidRPr="00A0017D">
        <w:rPr>
          <w:rStyle w:val="PageNumber"/>
          <w:rFonts w:ascii="Times New Roman" w:hAnsi="Times New Roman"/>
          <w:b w:val="0"/>
          <w:color w:val="auto"/>
          <w:sz w:val="22"/>
          <w:szCs w:val="22"/>
        </w:rPr>
        <w:t xml:space="preserve">Technical Assistance and Evaluation Project </w:t>
      </w:r>
      <w:r w:rsidRPr="00A0017D">
        <w:t xml:space="preserve">is being conducted by Abt Associates Inc. and its subcontractors, </w:t>
      </w:r>
      <w:r w:rsidR="00BB29E2">
        <w:t>ANALYTICA</w:t>
      </w:r>
      <w:r w:rsidRPr="00A0017D">
        <w:t xml:space="preserve">, </w:t>
      </w:r>
      <w:r w:rsidR="00BB29E2">
        <w:t xml:space="preserve"> Measured Decisions Inc., and Mike Puma Associates, LLC</w:t>
      </w:r>
      <w:r w:rsidR="00BB29E2" w:rsidRPr="00A0017D" w:rsidDel="00BB29E2">
        <w:t xml:space="preserve"> </w:t>
      </w:r>
      <w:r w:rsidRPr="00A0017D">
        <w:t>(the i3 Evaluation Team) for the Institute of Education Sciences (IES), U.S. Department of Education. As indicated in Part A of this submission, the i3</w:t>
      </w:r>
      <w:r w:rsidR="001955C8" w:rsidRPr="00A0017D">
        <w:t xml:space="preserve"> </w:t>
      </w:r>
      <w:r w:rsidR="003865C2" w:rsidRPr="00A0017D">
        <w:rPr>
          <w:rStyle w:val="PageNumber"/>
          <w:rFonts w:ascii="Times New Roman" w:hAnsi="Times New Roman"/>
          <w:b w:val="0"/>
          <w:color w:val="auto"/>
          <w:sz w:val="22"/>
          <w:szCs w:val="22"/>
        </w:rPr>
        <w:t>Technical Assistance and Evaluation Project</w:t>
      </w:r>
      <w:r w:rsidRPr="00A0017D">
        <w:t xml:space="preserve"> has two </w:t>
      </w:r>
      <w:r w:rsidRPr="00793C49">
        <w:t xml:space="preserve">broad goals: </w:t>
      </w:r>
      <w:r w:rsidR="00341DA8">
        <w:t>(</w:t>
      </w:r>
      <w:r w:rsidRPr="00793C49">
        <w:t>1) to provide technical assistance (TA) to support the independent evaluators</w:t>
      </w:r>
      <w:r>
        <w:t xml:space="preserve"> of i3 projects</w:t>
      </w:r>
      <w:r w:rsidRPr="00793C49">
        <w:t xml:space="preserve"> in conducting evaluations that are well-designed and well-implemented and </w:t>
      </w:r>
      <w:r w:rsidR="00341DA8">
        <w:t>(</w:t>
      </w:r>
      <w:r w:rsidRPr="00793C49">
        <w:t>2) to summarize the strength of the evidence and findings from the independent evaluations.</w:t>
      </w:r>
      <w:r>
        <w:t xml:space="preserve">  </w:t>
      </w:r>
    </w:p>
    <w:p w14:paraId="2F8A9B29" w14:textId="77777777" w:rsidR="00705B7D" w:rsidRPr="00482B5F" w:rsidRDefault="00705B7D" w:rsidP="00705B7D">
      <w:pPr>
        <w:pStyle w:val="BodyText"/>
      </w:pPr>
      <w:r w:rsidRPr="00482B5F">
        <w:t xml:space="preserve">Data collection will be required in order to address </w:t>
      </w:r>
      <w:r w:rsidR="001955C8">
        <w:t>the second</w:t>
      </w:r>
      <w:r w:rsidRPr="00482B5F">
        <w:t xml:space="preserve"> goal of summarizing the quality </w:t>
      </w:r>
      <w:r>
        <w:t xml:space="preserve">of </w:t>
      </w:r>
      <w:r w:rsidRPr="00482B5F">
        <w:t xml:space="preserve">and findings </w:t>
      </w:r>
      <w:r>
        <w:t>from</w:t>
      </w:r>
      <w:r w:rsidRPr="00482B5F">
        <w:t xml:space="preserve"> the individual evaluations being conducted by independent evaluators contracted by each i3 grantee.  Part B describes the “Collection of Information Employing Statistical Methods” and Part A</w:t>
      </w:r>
      <w:r w:rsidR="001955C8">
        <w:t>, submitted under separate cover,</w:t>
      </w:r>
      <w:r w:rsidRPr="00482B5F">
        <w:t xml:space="preserve"> describes the justification for these data collection activities. </w:t>
      </w:r>
    </w:p>
    <w:p w14:paraId="736F4A22" w14:textId="77777777" w:rsidR="00705B7D" w:rsidRPr="003D0F48" w:rsidRDefault="00705B7D" w:rsidP="00705B7D">
      <w:pPr>
        <w:pStyle w:val="Heading2"/>
      </w:pPr>
      <w:bookmarkStart w:id="2" w:name="_Toc267663354"/>
      <w:bookmarkStart w:id="3" w:name="_Toc283628879"/>
      <w:bookmarkStart w:id="4" w:name="_Toc503190240"/>
      <w:r>
        <w:t>Respondent Universe</w:t>
      </w:r>
      <w:bookmarkEnd w:id="2"/>
      <w:bookmarkEnd w:id="3"/>
      <w:r>
        <w:t xml:space="preserve"> and Sampling Methods</w:t>
      </w:r>
      <w:bookmarkEnd w:id="4"/>
    </w:p>
    <w:p w14:paraId="0F7BFD2E" w14:textId="0CF8AEFB" w:rsidR="00705B7D" w:rsidRPr="00282866" w:rsidRDefault="00705B7D" w:rsidP="00705B7D">
      <w:pPr>
        <w:pStyle w:val="BodyText"/>
        <w:rPr>
          <w:szCs w:val="22"/>
        </w:rPr>
      </w:pPr>
      <w:r w:rsidRPr="00A0017D">
        <w:t xml:space="preserve">The </w:t>
      </w:r>
      <w:r w:rsidR="001955C8" w:rsidRPr="00A0017D">
        <w:t>i3</w:t>
      </w:r>
      <w:r w:rsidR="003865C2" w:rsidRPr="00A0017D">
        <w:t xml:space="preserve"> </w:t>
      </w:r>
      <w:r w:rsidR="003865C2" w:rsidRPr="00A0017D">
        <w:rPr>
          <w:rStyle w:val="PageNumber"/>
          <w:rFonts w:ascii="Times New Roman" w:hAnsi="Times New Roman"/>
          <w:b w:val="0"/>
          <w:color w:val="auto"/>
          <w:sz w:val="22"/>
          <w:szCs w:val="22"/>
        </w:rPr>
        <w:t>Technical Assistance and Evaluation Project</w:t>
      </w:r>
      <w:r w:rsidRPr="00A0017D">
        <w:t xml:space="preserve"> </w:t>
      </w:r>
      <w:r w:rsidR="00D23521" w:rsidRPr="00A0017D">
        <w:t>has</w:t>
      </w:r>
      <w:r w:rsidR="00A0017D">
        <w:t xml:space="preserve"> collected</w:t>
      </w:r>
      <w:r w:rsidR="00D23521" w:rsidRPr="00A0017D">
        <w:t xml:space="preserve"> or </w:t>
      </w:r>
      <w:r w:rsidRPr="00A0017D">
        <w:t xml:space="preserve">will </w:t>
      </w:r>
      <w:r w:rsidRPr="00E9369A">
        <w:t>collect</w:t>
      </w:r>
      <w:r w:rsidR="00EF0B00">
        <w:t xml:space="preserve"> data from the universe of all </w:t>
      </w:r>
      <w:r w:rsidRPr="00E9369A">
        <w:t xml:space="preserve">i3 projects funded under the i3 Program. </w:t>
      </w:r>
      <w:r w:rsidRPr="00E9369A">
        <w:rPr>
          <w:szCs w:val="22"/>
        </w:rPr>
        <w:t>We</w:t>
      </w:r>
      <w:r w:rsidR="00D23521">
        <w:rPr>
          <w:szCs w:val="22"/>
        </w:rPr>
        <w:t xml:space="preserve"> have already collected data from </w:t>
      </w:r>
      <w:r w:rsidR="00D23521" w:rsidRPr="00E9369A">
        <w:t xml:space="preserve">the independent </w:t>
      </w:r>
      <w:r w:rsidR="00D23521">
        <w:t xml:space="preserve">evaluators of </w:t>
      </w:r>
      <w:r w:rsidR="002C69D3">
        <w:t>9</w:t>
      </w:r>
      <w:r w:rsidR="00983FAC">
        <w:t>6</w:t>
      </w:r>
      <w:r w:rsidR="00F06795">
        <w:t xml:space="preserve"> grants from the FY 2010 through FY 201</w:t>
      </w:r>
      <w:r w:rsidR="00C24410">
        <w:t>4</w:t>
      </w:r>
      <w:r w:rsidR="00F06795">
        <w:t xml:space="preserve"> </w:t>
      </w:r>
      <w:r w:rsidR="00F06795">
        <w:rPr>
          <w:szCs w:val="22"/>
        </w:rPr>
        <w:t>cohorts</w:t>
      </w:r>
      <w:r w:rsidR="002C69D3">
        <w:rPr>
          <w:szCs w:val="22"/>
        </w:rPr>
        <w:t>. We</w:t>
      </w:r>
      <w:r w:rsidRPr="00E9369A">
        <w:rPr>
          <w:szCs w:val="22"/>
        </w:rPr>
        <w:t xml:space="preserve"> anticipat</w:t>
      </w:r>
      <w:r w:rsidR="00B81F5A">
        <w:rPr>
          <w:szCs w:val="22"/>
        </w:rPr>
        <w:t>e</w:t>
      </w:r>
      <w:r w:rsidRPr="00E9369A">
        <w:rPr>
          <w:szCs w:val="22"/>
        </w:rPr>
        <w:t xml:space="preserve"> </w:t>
      </w:r>
      <w:r w:rsidRPr="00E9369A">
        <w:t xml:space="preserve">that the </w:t>
      </w:r>
      <w:r>
        <w:t xml:space="preserve">evaluators of </w:t>
      </w:r>
      <w:r w:rsidR="00F06795">
        <w:t xml:space="preserve">approximately </w:t>
      </w:r>
      <w:r w:rsidR="00633087">
        <w:t>69</w:t>
      </w:r>
      <w:r w:rsidRPr="00E9369A">
        <w:t xml:space="preserve"> projects</w:t>
      </w:r>
      <w:r w:rsidR="00C24410">
        <w:t xml:space="preserve"> </w:t>
      </w:r>
      <w:r w:rsidRPr="00E9369A">
        <w:t xml:space="preserve">will participate in </w:t>
      </w:r>
      <w:r w:rsidR="00B81F5A">
        <w:t xml:space="preserve">the </w:t>
      </w:r>
      <w:r w:rsidRPr="00E9369A">
        <w:t>data collection</w:t>
      </w:r>
      <w:r w:rsidR="00B81F5A">
        <w:t xml:space="preserve"> </w:t>
      </w:r>
      <w:r w:rsidR="002764F4">
        <w:t>included</w:t>
      </w:r>
      <w:r w:rsidR="00B81F5A">
        <w:t xml:space="preserve"> in this clearance package</w:t>
      </w:r>
      <w:r w:rsidR="00D23521">
        <w:t xml:space="preserve">, while </w:t>
      </w:r>
      <w:r w:rsidR="00AA3496">
        <w:t>approximately s</w:t>
      </w:r>
      <w:r w:rsidR="00983FAC">
        <w:t>even</w:t>
      </w:r>
      <w:r w:rsidR="00AA3496">
        <w:t xml:space="preserve"> </w:t>
      </w:r>
      <w:r w:rsidR="00FA1946">
        <w:t>remaining projects</w:t>
      </w:r>
      <w:r w:rsidR="00D23521">
        <w:t xml:space="preserve"> will participate</w:t>
      </w:r>
      <w:r w:rsidR="00B81F5A">
        <w:t xml:space="preserve"> in data collection </w:t>
      </w:r>
      <w:r w:rsidR="00D23521">
        <w:t xml:space="preserve">covered by </w:t>
      </w:r>
      <w:r w:rsidR="00B81F5A">
        <w:t xml:space="preserve">a future OMB clearance package, </w:t>
      </w:r>
      <w:r w:rsidRPr="00E9369A">
        <w:t xml:space="preserve">since </w:t>
      </w:r>
      <w:r w:rsidR="00EC64E9">
        <w:t xml:space="preserve">cooperation with the </w:t>
      </w:r>
      <w:r w:rsidR="007E0081">
        <w:t xml:space="preserve">i3 </w:t>
      </w:r>
      <w:r w:rsidR="00AC6C8F">
        <w:t xml:space="preserve">Technical Assistance and Evaluation Project </w:t>
      </w:r>
      <w:r w:rsidR="007E0081" w:rsidRPr="00E9369A">
        <w:t>is</w:t>
      </w:r>
      <w:r w:rsidRPr="00E9369A">
        <w:t xml:space="preserve"> a requirement for all i3 grantees.</w:t>
      </w:r>
      <w:r w:rsidR="004E15F9">
        <w:t xml:space="preserve"> In the event that an evaluation is not received by the i3</w:t>
      </w:r>
      <w:r w:rsidR="00D23521">
        <w:t xml:space="preserve"> Technical Assistance and Evaluation Project</w:t>
      </w:r>
      <w:r w:rsidR="004E15F9">
        <w:t xml:space="preserve">, the </w:t>
      </w:r>
      <w:r w:rsidR="00D23521">
        <w:t xml:space="preserve">Project </w:t>
      </w:r>
      <w:r w:rsidR="004E15F9">
        <w:t xml:space="preserve">will not impute information about the missing </w:t>
      </w:r>
      <w:r w:rsidR="007E0081">
        <w:t>evaluation nor</w:t>
      </w:r>
      <w:r w:rsidR="004E15F9">
        <w:t xml:space="preserve"> will it conduct any statistical adjustment in its reporting on the overall outcomes of the i3 Program.  </w:t>
      </w:r>
    </w:p>
    <w:p w14:paraId="22AC86E2" w14:textId="72D13FD2" w:rsidR="00705B7D" w:rsidRDefault="00705B7D" w:rsidP="00705B7D">
      <w:pPr>
        <w:pStyle w:val="Heading2"/>
      </w:pPr>
      <w:bookmarkStart w:id="5" w:name="_Toc145743428"/>
      <w:bookmarkStart w:id="6" w:name="_Toc267663355"/>
      <w:bookmarkStart w:id="7" w:name="_Toc283628880"/>
      <w:bookmarkStart w:id="8" w:name="_Toc503190241"/>
      <w:r w:rsidRPr="006C43B2">
        <w:t>Information</w:t>
      </w:r>
      <w:bookmarkEnd w:id="5"/>
      <w:bookmarkEnd w:id="6"/>
      <w:bookmarkEnd w:id="7"/>
      <w:r w:rsidRPr="006C43B2">
        <w:t xml:space="preserve"> </w:t>
      </w:r>
      <w:r>
        <w:t xml:space="preserve">Collection </w:t>
      </w:r>
      <w:r w:rsidR="00AB23C2">
        <w:t xml:space="preserve">and Estimation </w:t>
      </w:r>
      <w:r>
        <w:t>Procedures</w:t>
      </w:r>
      <w:bookmarkEnd w:id="8"/>
    </w:p>
    <w:p w14:paraId="4FBF5648" w14:textId="77777777" w:rsidR="00FD46E0" w:rsidRPr="00482B5F" w:rsidRDefault="00705B7D" w:rsidP="00FD46E0">
      <w:pPr>
        <w:pStyle w:val="BodyText"/>
      </w:pPr>
      <w:r w:rsidRPr="00482B5F">
        <w:t xml:space="preserve">In this section we briefly describe the procedures for </w:t>
      </w:r>
      <w:r>
        <w:t xml:space="preserve">the </w:t>
      </w:r>
      <w:r w:rsidRPr="00482B5F">
        <w:t xml:space="preserve">collection of information for the </w:t>
      </w:r>
      <w:r w:rsidR="001955C8" w:rsidRPr="00A0017D">
        <w:t>i3</w:t>
      </w:r>
      <w:r w:rsidR="003865C2" w:rsidRPr="00A0017D">
        <w:t xml:space="preserve"> </w:t>
      </w:r>
      <w:r w:rsidR="003865C2" w:rsidRPr="00A0017D">
        <w:rPr>
          <w:rStyle w:val="PageNumber"/>
          <w:rFonts w:ascii="Times New Roman" w:hAnsi="Times New Roman"/>
          <w:b w:val="0"/>
          <w:color w:val="auto"/>
          <w:sz w:val="22"/>
          <w:szCs w:val="22"/>
        </w:rPr>
        <w:t>Technical Assistance and Evaluation Project</w:t>
      </w:r>
      <w:r w:rsidRPr="00A0017D">
        <w:t xml:space="preserve">. </w:t>
      </w:r>
      <w:r w:rsidR="00FD46E0" w:rsidRPr="00A0017D">
        <w:t xml:space="preserve">The information for this study is being collected on behalf of the Institute of Education Sciences (IES), U.S. Department of Education by </w:t>
      </w:r>
      <w:r w:rsidR="00FD46E0" w:rsidRPr="00482B5F">
        <w:t xml:space="preserve">Abt Associates Inc. (Abt) and </w:t>
      </w:r>
      <w:r w:rsidR="00FD46E0">
        <w:t xml:space="preserve">its </w:t>
      </w:r>
      <w:r w:rsidR="00FD46E0" w:rsidRPr="00482B5F">
        <w:t>subcontractors</w:t>
      </w:r>
      <w:r w:rsidR="00FD46E0">
        <w:t>.</w:t>
      </w:r>
      <w:r w:rsidR="00FD46E0" w:rsidRPr="00482B5F">
        <w:t xml:space="preserve">  The specific staff working on the data collection, analysis</w:t>
      </w:r>
      <w:r w:rsidR="00A0017D">
        <w:t>,</w:t>
      </w:r>
      <w:r w:rsidR="00FD46E0" w:rsidRPr="00482B5F">
        <w:t xml:space="preserve"> and report writing activities are known as the Analysis and Reporting (AR) team.  </w:t>
      </w:r>
    </w:p>
    <w:p w14:paraId="7A5DDB40" w14:textId="744B6114" w:rsidR="00A0017D" w:rsidRDefault="00705B7D" w:rsidP="00705B7D">
      <w:pPr>
        <w:pStyle w:val="BodyText"/>
      </w:pPr>
      <w:r>
        <w:t xml:space="preserve">The required data collection will call for each i3 evaluator to </w:t>
      </w:r>
      <w:r w:rsidR="00A0017D">
        <w:t xml:space="preserve">either </w:t>
      </w:r>
      <w:r w:rsidR="00633087">
        <w:t xml:space="preserve">(1) complete the data collection instrument shown in Appendix A or (2) submit a report (or other documents with sufficient data that the i3 Evaluation Team can complete the instrument based on the information provided) and complete </w:t>
      </w:r>
      <w:r w:rsidR="00FD5DF1">
        <w:t xml:space="preserve">questions 3, 4, 5, and 7 in the background section of </w:t>
      </w:r>
      <w:r w:rsidR="00633087">
        <w:t>the data collection instrument shown in Appendix A.</w:t>
      </w:r>
      <w:r w:rsidR="00AC6C8F">
        <w:t xml:space="preserve"> </w:t>
      </w:r>
      <w:r w:rsidR="00D23521">
        <w:t>E</w:t>
      </w:r>
      <w:r>
        <w:t>valuators wi</w:t>
      </w:r>
      <w:r w:rsidR="00EF0B00">
        <w:t xml:space="preserve">ll </w:t>
      </w:r>
      <w:r w:rsidR="00AC6C8F">
        <w:t xml:space="preserve">be asked </w:t>
      </w:r>
      <w:r w:rsidR="002D6F6F">
        <w:t>to submit f</w:t>
      </w:r>
      <w:r w:rsidR="004D5BED">
        <w:t xml:space="preserve">indings </w:t>
      </w:r>
      <w:r w:rsidR="00D23521">
        <w:t>once</w:t>
      </w:r>
      <w:r w:rsidR="00A34FDA">
        <w:t xml:space="preserve">. </w:t>
      </w:r>
      <w:r w:rsidR="00F04BED" w:rsidRPr="00A0017D">
        <w:t xml:space="preserve">During the data collection period covered by </w:t>
      </w:r>
      <w:r w:rsidR="00A0017D">
        <w:t>the prior</w:t>
      </w:r>
      <w:r w:rsidR="00A0017D" w:rsidRPr="00A0017D">
        <w:t xml:space="preserve"> </w:t>
      </w:r>
      <w:r w:rsidR="00F04BED" w:rsidRPr="00A0017D">
        <w:t>clearance package,</w:t>
      </w:r>
      <w:r w:rsidR="00A0017D">
        <w:t xml:space="preserve"> </w:t>
      </w:r>
      <w:r w:rsidR="00F04BED" w:rsidRPr="00A0017D">
        <w:t xml:space="preserve">i3 evaluators </w:t>
      </w:r>
      <w:r w:rsidR="00F04BED">
        <w:t xml:space="preserve">in the </w:t>
      </w:r>
      <w:r w:rsidR="00076355">
        <w:t>FY</w:t>
      </w:r>
      <w:r w:rsidR="002764F4">
        <w:t xml:space="preserve"> </w:t>
      </w:r>
      <w:r w:rsidR="00F04BED">
        <w:t>2010</w:t>
      </w:r>
      <w:r w:rsidR="00633087">
        <w:t xml:space="preserve">-FY 2014 </w:t>
      </w:r>
      <w:r w:rsidR="00F04BED">
        <w:t xml:space="preserve">cohorts </w:t>
      </w:r>
      <w:r w:rsidR="00633087">
        <w:t xml:space="preserve">will </w:t>
      </w:r>
      <w:r w:rsidR="00F04BED">
        <w:t xml:space="preserve">complete </w:t>
      </w:r>
      <w:r w:rsidR="00A0017D">
        <w:t xml:space="preserve">data collection for </w:t>
      </w:r>
      <w:r w:rsidR="00FA1946">
        <w:t xml:space="preserve">approximately </w:t>
      </w:r>
      <w:r w:rsidR="00633087">
        <w:t>9</w:t>
      </w:r>
      <w:r w:rsidR="00983FAC">
        <w:t>6</w:t>
      </w:r>
      <w:r w:rsidR="00FA1946">
        <w:t xml:space="preserve"> </w:t>
      </w:r>
      <w:r w:rsidR="00A0017D">
        <w:t>grants</w:t>
      </w:r>
      <w:r w:rsidR="00F04BED">
        <w:t xml:space="preserve">. </w:t>
      </w:r>
      <w:r w:rsidR="00A0017D">
        <w:t xml:space="preserve">During the data collection period covered by this clearance package, we expect evaluators for an additional </w:t>
      </w:r>
      <w:r w:rsidR="00633087">
        <w:t xml:space="preserve">69 </w:t>
      </w:r>
      <w:r w:rsidR="00A0017D">
        <w:t>grants</w:t>
      </w:r>
      <w:r w:rsidR="00633087">
        <w:t xml:space="preserve"> </w:t>
      </w:r>
      <w:r w:rsidR="00A0017D">
        <w:t xml:space="preserve">to complete data collection. </w:t>
      </w:r>
      <w:r w:rsidR="00AA3496">
        <w:t>Evaluators for the remaining s</w:t>
      </w:r>
      <w:r w:rsidR="00983FAC">
        <w:t>even</w:t>
      </w:r>
      <w:r w:rsidR="00AA3496">
        <w:t xml:space="preserve"> grants are expected to complete data collection covered by a future OMB clearance package. </w:t>
      </w:r>
    </w:p>
    <w:p w14:paraId="7DB110F2" w14:textId="77777777" w:rsidR="00705B7D" w:rsidRDefault="00283641" w:rsidP="00705B7D">
      <w:pPr>
        <w:pStyle w:val="BodyText"/>
      </w:pPr>
      <w:r>
        <w:t>This study will summarize t</w:t>
      </w:r>
      <w:r w:rsidR="0063093E">
        <w:t>he results of all</w:t>
      </w:r>
      <w:r w:rsidR="00936121">
        <w:t xml:space="preserve"> i3 evaluat</w:t>
      </w:r>
      <w:r>
        <w:t>ions</w:t>
      </w:r>
      <w:r w:rsidR="00936121">
        <w:t xml:space="preserve">, so no sample selection or stratification survey methods are applicable. </w:t>
      </w:r>
      <w:r w:rsidR="00935D67">
        <w:t xml:space="preserve">We will not adopt specialized sampling methods in the event of unusual data collection problems; rather, we will analyze and report solely the evaluation findings reported to us.  </w:t>
      </w:r>
    </w:p>
    <w:p w14:paraId="22EAAB69" w14:textId="77777777" w:rsidR="000D7922" w:rsidRPr="00A0017D" w:rsidRDefault="000D7922" w:rsidP="002F45CF">
      <w:pPr>
        <w:pStyle w:val="BodyText"/>
      </w:pPr>
      <w:bookmarkStart w:id="9" w:name="_Toc267663356"/>
      <w:bookmarkStart w:id="10" w:name="_Toc283628881"/>
      <w:r>
        <w:t xml:space="preserve">An important goal of the </w:t>
      </w:r>
      <w:r w:rsidRPr="00A0017D">
        <w:t>i3</w:t>
      </w:r>
      <w:r w:rsidR="003865C2" w:rsidRPr="00A0017D">
        <w:t xml:space="preserve"> </w:t>
      </w:r>
      <w:r w:rsidR="003865C2" w:rsidRPr="00A0017D">
        <w:rPr>
          <w:rStyle w:val="PageNumber"/>
          <w:rFonts w:ascii="Times New Roman" w:hAnsi="Times New Roman"/>
          <w:b w:val="0"/>
          <w:color w:val="auto"/>
          <w:sz w:val="22"/>
          <w:szCs w:val="22"/>
        </w:rPr>
        <w:t>Technical Assistance and Evaluation Project</w:t>
      </w:r>
      <w:r w:rsidRPr="00A0017D">
        <w:t xml:space="preserve"> is to ensure that the field learns more from the evaluations than could be learned from a separate assessment of each evaluation. </w:t>
      </w:r>
      <w:r w:rsidR="00531FC2" w:rsidRPr="00A0017D">
        <w:t>The</w:t>
      </w:r>
      <w:r w:rsidR="00C6792E">
        <w:t>refore, the</w:t>
      </w:r>
      <w:r w:rsidR="00531FC2" w:rsidRPr="00A0017D">
        <w:t xml:space="preserve"> </w:t>
      </w:r>
      <w:r w:rsidR="003865C2" w:rsidRPr="00A0017D">
        <w:rPr>
          <w:rStyle w:val="PageNumber"/>
          <w:rFonts w:ascii="Times New Roman" w:hAnsi="Times New Roman"/>
          <w:b w:val="0"/>
          <w:color w:val="auto"/>
          <w:sz w:val="22"/>
          <w:szCs w:val="22"/>
        </w:rPr>
        <w:t>Project</w:t>
      </w:r>
      <w:r w:rsidR="00531FC2" w:rsidRPr="00A0017D">
        <w:t xml:space="preserve"> wil</w:t>
      </w:r>
      <w:r w:rsidR="00897511" w:rsidRPr="00A0017D">
        <w:t>l describe the i3 interventions</w:t>
      </w:r>
      <w:r w:rsidR="00531FC2" w:rsidRPr="00A0017D">
        <w:t>, assess the strength of the evidence from each evaluation,</w:t>
      </w:r>
      <w:r w:rsidR="00C64609" w:rsidRPr="00A0017D">
        <w:t xml:space="preserve"> present the findings from the i3 independent evaluations</w:t>
      </w:r>
      <w:r w:rsidR="00C6792E">
        <w:t>,</w:t>
      </w:r>
      <w:r w:rsidR="00531FC2" w:rsidRPr="00A0017D">
        <w:t xml:space="preserve"> and conduct a cross-study analysis to assess the overall results of the i3 program.  </w:t>
      </w:r>
    </w:p>
    <w:p w14:paraId="1FBE918B" w14:textId="0AD824B8" w:rsidR="00531FC2" w:rsidRDefault="000D7922" w:rsidP="002F45CF">
      <w:pPr>
        <w:pStyle w:val="BodyText"/>
      </w:pPr>
      <w:r w:rsidRPr="00A0017D">
        <w:t>The accumulated evidence from i3 independent evaluations provides an opportunity to learn about the effects</w:t>
      </w:r>
      <w:r w:rsidR="00D172EE" w:rsidRPr="00A0017D">
        <w:t>/outcomes</w:t>
      </w:r>
      <w:r w:rsidRPr="00A0017D">
        <w:t xml:space="preserve"> of </w:t>
      </w:r>
      <w:r w:rsidR="00EF2387">
        <w:t>the i3-funded</w:t>
      </w:r>
      <w:r w:rsidRPr="00A0017D">
        <w:t xml:space="preserve"> interventions. </w:t>
      </w:r>
      <w:r w:rsidR="00531FC2" w:rsidRPr="00A0017D">
        <w:t>The i3</w:t>
      </w:r>
      <w:r w:rsidR="003865C2" w:rsidRPr="00A0017D">
        <w:t xml:space="preserve"> </w:t>
      </w:r>
      <w:r w:rsidR="003865C2" w:rsidRPr="00A0017D">
        <w:rPr>
          <w:rStyle w:val="PageNumber"/>
          <w:rFonts w:ascii="Times New Roman" w:hAnsi="Times New Roman"/>
          <w:b w:val="0"/>
          <w:color w:val="auto"/>
          <w:sz w:val="22"/>
          <w:szCs w:val="22"/>
        </w:rPr>
        <w:t>Technical Assistance and Evaluation Project</w:t>
      </w:r>
      <w:r w:rsidR="00531FC2" w:rsidRPr="00A0017D">
        <w:t xml:space="preserve"> </w:t>
      </w:r>
      <w:r w:rsidR="00531FC2">
        <w:t>will:</w:t>
      </w:r>
    </w:p>
    <w:p w14:paraId="6CE25663" w14:textId="77777777" w:rsidR="00531FC2" w:rsidRDefault="00531FC2" w:rsidP="00C451B1">
      <w:pPr>
        <w:pStyle w:val="BodyText"/>
        <w:numPr>
          <w:ilvl w:val="0"/>
          <w:numId w:val="31"/>
        </w:numPr>
      </w:pPr>
      <w:r>
        <w:t xml:space="preserve">Review evaluators’ written descriptions of the intervention and its components, </w:t>
      </w:r>
      <w:r w:rsidR="00C24AD2">
        <w:t>intermediate outcomes</w:t>
      </w:r>
      <w:r>
        <w:t xml:space="preserve">, and </w:t>
      </w:r>
      <w:r w:rsidR="00C24AD2">
        <w:t xml:space="preserve">ultimate </w:t>
      </w:r>
      <w:r>
        <w:t>outcome</w:t>
      </w:r>
      <w:r w:rsidR="00C6792E">
        <w:t>s</w:t>
      </w:r>
      <w:r>
        <w:t xml:space="preserve"> and summariz</w:t>
      </w:r>
      <w:r w:rsidR="0073123F">
        <w:t>e</w:t>
      </w:r>
      <w:r>
        <w:t xml:space="preserve"> them succinctly and with a common lexicon</w:t>
      </w:r>
      <w:r w:rsidR="0073123F">
        <w:t>.</w:t>
      </w:r>
    </w:p>
    <w:p w14:paraId="42190C73" w14:textId="77777777" w:rsidR="00531FC2" w:rsidRDefault="00531FC2" w:rsidP="00531FC2">
      <w:pPr>
        <w:pStyle w:val="BodyText"/>
        <w:numPr>
          <w:ilvl w:val="0"/>
          <w:numId w:val="31"/>
        </w:numPr>
      </w:pPr>
      <w:r>
        <w:t xml:space="preserve">Apply the most recent </w:t>
      </w:r>
      <w:r w:rsidR="00BB29E2">
        <w:t xml:space="preserve">What Works </w:t>
      </w:r>
      <w:r w:rsidR="00BB29E2" w:rsidRPr="00BB5A44">
        <w:t>Clearinghouse™ (WWC)</w:t>
      </w:r>
      <w:r w:rsidR="00BB29E2">
        <w:t xml:space="preserve"> Evidence Standards</w:t>
      </w:r>
      <w:r w:rsidR="00BB29E2" w:rsidDel="00BB29E2">
        <w:t xml:space="preserve"> </w:t>
      </w:r>
      <w:r>
        <w:t>to review each evaluation</w:t>
      </w:r>
      <w:r w:rsidR="000954EC">
        <w:t>, employing WWC-certified reviewers to conduct the reviews. This practice can involve some simple statistical procedures, such as the need to apply adjustments for clustering or for multiple comparisons, or to compute effect sizes</w:t>
      </w:r>
      <w:r w:rsidR="009F1DFB">
        <w:t xml:space="preserve">; </w:t>
      </w:r>
      <w:r w:rsidR="000954EC">
        <w:t xml:space="preserve">however, these methods are common and </w:t>
      </w:r>
      <w:r w:rsidR="00897511">
        <w:t xml:space="preserve">will </w:t>
      </w:r>
      <w:r w:rsidR="000954EC">
        <w:t xml:space="preserve">follow the latest WWC guidelines.    </w:t>
      </w:r>
    </w:p>
    <w:p w14:paraId="55FF749D" w14:textId="77777777" w:rsidR="00531FC2" w:rsidRDefault="00531FC2" w:rsidP="00C451B1">
      <w:pPr>
        <w:pStyle w:val="BodyText"/>
        <w:numPr>
          <w:ilvl w:val="0"/>
          <w:numId w:val="31"/>
        </w:numPr>
      </w:pPr>
      <w:r>
        <w:t>Apply simple decision rules to assess the independence, adherence to scientific process</w:t>
      </w:r>
      <w:r w:rsidR="00BE082A">
        <w:t xml:space="preserve">, </w:t>
      </w:r>
      <w:r>
        <w:t xml:space="preserve"> implementation </w:t>
      </w:r>
      <w:r w:rsidR="00BE082A">
        <w:t>fidelity, and relevance</w:t>
      </w:r>
      <w:r>
        <w:t xml:space="preserve"> </w:t>
      </w:r>
      <w:r w:rsidR="00381155">
        <w:t>of each evaluation:</w:t>
      </w:r>
    </w:p>
    <w:p w14:paraId="442986E6" w14:textId="3999AD73" w:rsidR="00381155" w:rsidRDefault="00381155" w:rsidP="00C451B1">
      <w:pPr>
        <w:pStyle w:val="BodyText"/>
        <w:numPr>
          <w:ilvl w:val="1"/>
          <w:numId w:val="31"/>
        </w:numPr>
      </w:pPr>
      <w:r w:rsidRPr="00C6792E">
        <w:t xml:space="preserve">The </w:t>
      </w:r>
      <w:r w:rsidR="00C6792E">
        <w:t xml:space="preserve">AR Team </w:t>
      </w:r>
      <w:r w:rsidRPr="00C6792E">
        <w:t xml:space="preserve">will assess whether the data collection, analysis, and reporting efforts were independent based </w:t>
      </w:r>
      <w:r w:rsidR="007575B3" w:rsidRPr="00C6792E">
        <w:t xml:space="preserve">on </w:t>
      </w:r>
      <w:r w:rsidRPr="00C6792E">
        <w:t xml:space="preserve">whether </w:t>
      </w:r>
      <w:r>
        <w:t>the parties conducting the data collection, analysis, and reporting efforts were the same parties responsible for the development or ultimate success of the intervention.</w:t>
      </w:r>
    </w:p>
    <w:p w14:paraId="0828F38F" w14:textId="7BCD258A" w:rsidR="00381155" w:rsidRDefault="00381155" w:rsidP="00C451B1">
      <w:pPr>
        <w:pStyle w:val="BodyText"/>
        <w:numPr>
          <w:ilvl w:val="1"/>
          <w:numId w:val="31"/>
        </w:numPr>
      </w:pPr>
      <w:r>
        <w:t xml:space="preserve">The </w:t>
      </w:r>
      <w:r w:rsidR="00C6792E">
        <w:t xml:space="preserve">AR Team </w:t>
      </w:r>
      <w:r>
        <w:t>will conclude adherence to scientific process if the evaluator submitted an evaluation plan prior to collecting outcome data</w:t>
      </w:r>
      <w:r w:rsidR="00EF2387">
        <w:t xml:space="preserve"> and</w:t>
      </w:r>
      <w:r>
        <w:t xml:space="preserve"> the evaluation </w:t>
      </w:r>
      <w:r w:rsidR="00FE63F9">
        <w:t xml:space="preserve">findings </w:t>
      </w:r>
      <w:r>
        <w:t>address all of the confirmatory, or primary, research questions specified a priori.</w:t>
      </w:r>
    </w:p>
    <w:p w14:paraId="26146BCC" w14:textId="77777777" w:rsidR="00BE082A" w:rsidRDefault="00381155" w:rsidP="00CD6126">
      <w:pPr>
        <w:pStyle w:val="BodyText"/>
        <w:numPr>
          <w:ilvl w:val="1"/>
          <w:numId w:val="31"/>
        </w:numPr>
        <w:spacing w:after="0" w:line="240" w:lineRule="auto"/>
      </w:pPr>
      <w:r>
        <w:t xml:space="preserve">The </w:t>
      </w:r>
      <w:r w:rsidR="00C6792E">
        <w:t xml:space="preserve">AR Team </w:t>
      </w:r>
      <w:r>
        <w:t xml:space="preserve">will ask evaluators to report their criteria for assessing whether each </w:t>
      </w:r>
      <w:r w:rsidR="00516335">
        <w:t xml:space="preserve">intervention </w:t>
      </w:r>
      <w:r>
        <w:t>component was implemented with fidelity. In addition, we will ask evaluators to report annual fidelity estimates</w:t>
      </w:r>
      <w:r w:rsidR="00A96D22">
        <w:t xml:space="preserve"> for each intervention component</w:t>
      </w:r>
      <w:r>
        <w:t xml:space="preserve"> so that the </w:t>
      </w:r>
      <w:r w:rsidR="00FE63F9">
        <w:t xml:space="preserve">AR Team </w:t>
      </w:r>
      <w:r>
        <w:t xml:space="preserve">can assess whether or not the </w:t>
      </w:r>
      <w:r w:rsidR="00A96D22">
        <w:t xml:space="preserve">component </w:t>
      </w:r>
      <w:r>
        <w:t>was implemented with fidelity. We will state that</w:t>
      </w:r>
      <w:r w:rsidR="00A96D22">
        <w:t>, overall,</w:t>
      </w:r>
      <w:r>
        <w:t xml:space="preserve"> an intervention was implemented with fidelity if the thresholds for</w:t>
      </w:r>
      <w:r w:rsidR="001B0540">
        <w:t xml:space="preserve"> fidelity were met for </w:t>
      </w:r>
      <w:r w:rsidR="00A96D22">
        <w:t>the majority of the intervention’s key components in at least 50 percent of the years of measurement</w:t>
      </w:r>
      <w:r w:rsidR="001B0540">
        <w:t>.</w:t>
      </w:r>
    </w:p>
    <w:p w14:paraId="78784972" w14:textId="77777777" w:rsidR="00BE082A" w:rsidRDefault="00BE082A" w:rsidP="005E5320">
      <w:pPr>
        <w:pStyle w:val="BodyText"/>
        <w:spacing w:after="0" w:line="240" w:lineRule="auto"/>
        <w:ind w:left="1440"/>
      </w:pPr>
    </w:p>
    <w:p w14:paraId="39A6A089" w14:textId="5A31E28F" w:rsidR="00BE082A" w:rsidRDefault="00BE082A" w:rsidP="00CD6126">
      <w:pPr>
        <w:pStyle w:val="BodyText"/>
        <w:numPr>
          <w:ilvl w:val="1"/>
          <w:numId w:val="31"/>
        </w:numPr>
        <w:spacing w:after="0" w:line="240" w:lineRule="auto"/>
      </w:pPr>
      <w:r>
        <w:t xml:space="preserve">The </w:t>
      </w:r>
      <w:r w:rsidR="00C6792E">
        <w:t xml:space="preserve">AR Team </w:t>
      </w:r>
      <w:r>
        <w:t xml:space="preserve">will compare the </w:t>
      </w:r>
      <w:r w:rsidR="009A10D5">
        <w:t>sample of schools and students included in the impact evaluation to the schools and students served by the i3-funded intervention.</w:t>
      </w:r>
      <w:r w:rsidR="002942E1">
        <w:t xml:space="preserve">  </w:t>
      </w:r>
      <w:r w:rsidR="009A10D5">
        <w:t xml:space="preserve">The evaluation sample will be considered representative of those served if 1) less than 25 percent of </w:t>
      </w:r>
      <w:r w:rsidR="008C2BDB">
        <w:t xml:space="preserve">districts or </w:t>
      </w:r>
      <w:r w:rsidR="009A10D5">
        <w:t xml:space="preserve">schools served are excluded from the impact evaluation and 2) </w:t>
      </w:r>
      <w:r w:rsidR="008C2BDB">
        <w:t xml:space="preserve">less than 10 percent of teachers or </w:t>
      </w:r>
      <w:r w:rsidR="009A10D5">
        <w:t>students served by the intervention are not excluded from the impact evaluation based on characteristics that are expected to be related to outcomes</w:t>
      </w:r>
      <w:r w:rsidR="008C2BDB">
        <w:t>. These include but are not limited to teacher experience, prior student achievement, prior academic performance, race or ethnicity, income (e.g., FRPL), English language proficiency, and special education status</w:t>
      </w:r>
      <w:r w:rsidR="009A10D5">
        <w:t>.</w:t>
      </w:r>
      <w:r w:rsidR="002942E1">
        <w:t xml:space="preserve">  </w:t>
      </w:r>
    </w:p>
    <w:p w14:paraId="48698701" w14:textId="77777777" w:rsidR="00B26DD3" w:rsidRDefault="00B26DD3" w:rsidP="005E5320">
      <w:pPr>
        <w:pStyle w:val="BodyText"/>
        <w:spacing w:after="0" w:line="240" w:lineRule="auto"/>
      </w:pPr>
    </w:p>
    <w:p w14:paraId="136D0609" w14:textId="77777777" w:rsidR="002F45CF" w:rsidRDefault="00381155" w:rsidP="002F45CF">
      <w:pPr>
        <w:pStyle w:val="BodyText"/>
        <w:numPr>
          <w:ilvl w:val="0"/>
          <w:numId w:val="31"/>
        </w:numPr>
      </w:pPr>
      <w:r>
        <w:t>Tabulat</w:t>
      </w:r>
      <w:r w:rsidR="00DE6150">
        <w:t>e</w:t>
      </w:r>
      <w:r>
        <w:t xml:space="preserve"> the ratings, findings, </w:t>
      </w:r>
      <w:r w:rsidR="00856648">
        <w:t>educational levels (e.g., elementary school, middle school)</w:t>
      </w:r>
      <w:r>
        <w:t>, and outcome domains across all of the studies.</w:t>
      </w:r>
      <w:r w:rsidR="00901A8B">
        <w:t xml:space="preserve">  </w:t>
      </w:r>
    </w:p>
    <w:p w14:paraId="3E89323F" w14:textId="01295060" w:rsidR="002F45CF" w:rsidRDefault="00915CC1" w:rsidP="00376873">
      <w:pPr>
        <w:pStyle w:val="BodyText"/>
      </w:pPr>
      <w:r>
        <w:t>We</w:t>
      </w:r>
      <w:r w:rsidR="002F45CF">
        <w:t xml:space="preserve"> will produce </w:t>
      </w:r>
      <w:r w:rsidR="009A10D5">
        <w:t xml:space="preserve">a </w:t>
      </w:r>
      <w:r w:rsidR="002F45CF">
        <w:t xml:space="preserve">list of </w:t>
      </w:r>
      <w:r w:rsidR="009A10D5">
        <w:t xml:space="preserve">the </w:t>
      </w:r>
      <w:r w:rsidR="002F45CF">
        <w:t xml:space="preserve">interventions </w:t>
      </w:r>
      <w:r w:rsidR="009A10D5">
        <w:t xml:space="preserve">for which the i3 evaluation found </w:t>
      </w:r>
      <w:r w:rsidR="002F45CF">
        <w:t>positive effects</w:t>
      </w:r>
      <w:r w:rsidR="009A10D5">
        <w:t xml:space="preserve"> on student academic </w:t>
      </w:r>
      <w:r w:rsidR="00D172EE">
        <w:t>outcomes</w:t>
      </w:r>
      <w:r w:rsidR="002F45CF">
        <w:t>.</w:t>
      </w:r>
      <w:r w:rsidR="000D337F">
        <w:t xml:space="preserve"> </w:t>
      </w:r>
      <w:r w:rsidR="009A10D5">
        <w:t>The</w:t>
      </w:r>
      <w:r w:rsidR="002F45CF">
        <w:t xml:space="preserve"> list will include the names of the i3</w:t>
      </w:r>
      <w:r w:rsidR="00341DA8">
        <w:t>-</w:t>
      </w:r>
      <w:r w:rsidR="002F45CF">
        <w:t xml:space="preserve">funded interventions that produced positive effects, based on i3 </w:t>
      </w:r>
      <w:r w:rsidR="009A10D5">
        <w:t xml:space="preserve">evaluations </w:t>
      </w:r>
      <w:r w:rsidR="002F45CF">
        <w:t xml:space="preserve">that </w:t>
      </w:r>
      <w:r w:rsidR="00435E43">
        <w:t>m</w:t>
      </w:r>
      <w:r w:rsidR="002F45CF">
        <w:t xml:space="preserve">eet </w:t>
      </w:r>
      <w:r w:rsidR="00435E43">
        <w:t xml:space="preserve">WWC </w:t>
      </w:r>
      <w:r w:rsidR="00AB1748">
        <w:t>evidence</w:t>
      </w:r>
      <w:r w:rsidR="00435E43">
        <w:t xml:space="preserve"> standards </w:t>
      </w:r>
      <w:r w:rsidR="002F45CF">
        <w:t>(with or without reservations). This list will answer Q7: Which i3-funded interventions were found to be effective at improving student outcomes?</w:t>
      </w:r>
    </w:p>
    <w:p w14:paraId="730253B0" w14:textId="77777777" w:rsidR="00856648" w:rsidRDefault="002F45CF" w:rsidP="002F45CF">
      <w:pPr>
        <w:pStyle w:val="BodyText"/>
      </w:pPr>
      <w:r>
        <w:t>In defining what constitutes evidence of a positive effect, we will adopt the convention from the WWC.  In particular, we will consider an impact estimate as evidence of a positive effect if the impact estimate is positive and statistically significant at the 5-percent level, after accounting for clusterin</w:t>
      </w:r>
      <w:r w:rsidR="000D337F">
        <w:t xml:space="preserve">g and multiple comparisons.  </w:t>
      </w:r>
      <w:r>
        <w:t xml:space="preserve">For more details on our plan for clustering and multiple comparisons adjustments, see the </w:t>
      </w:r>
      <w:r w:rsidR="00F260D1">
        <w:t xml:space="preserve">WWC </w:t>
      </w:r>
      <w:r w:rsidR="00AB1748">
        <w:t>Evidence</w:t>
      </w:r>
      <w:r w:rsidR="00F260D1">
        <w:t xml:space="preserve"> Standards</w:t>
      </w:r>
      <w:r>
        <w:t>.</w:t>
      </w:r>
      <w:r w:rsidR="00004CB1">
        <w:rPr>
          <w:rStyle w:val="FootnoteReference"/>
        </w:rPr>
        <w:footnoteReference w:id="1"/>
      </w:r>
      <w:r>
        <w:t xml:space="preserve"> </w:t>
      </w:r>
    </w:p>
    <w:p w14:paraId="3B517B9A" w14:textId="77777777" w:rsidR="002F45CF" w:rsidRDefault="002F45CF" w:rsidP="002F45CF">
      <w:pPr>
        <w:pStyle w:val="BodyText"/>
      </w:pPr>
      <w:r>
        <w:t xml:space="preserve">We propose to inform federal policymakers by summarizing the contribution of the i3 program.  From an evaluation perspective, the contribution of i3 can be measured in terms of the amount of useful research that it produced, </w:t>
      </w:r>
      <w:r w:rsidR="003D7EAE">
        <w:t>measured by</w:t>
      </w:r>
      <w:r w:rsidR="00D00E02">
        <w:t xml:space="preserve"> the percentage of</w:t>
      </w:r>
      <w:r>
        <w:t xml:space="preserve"> studies that meet reasonable standards for demonstrating the effectiveness or promise of the intervention.  From a policy perspective, the contribution of i3 can be measured in terms of the effective interventions that were implemented by i3 grantees.  To characterize the contribution of i3 from a policy perspective, we will calculate and present the number and share of i3 evaluations that implemented an effective intervention.  To characterize the contribution of i3 from an evaluation perspective, we </w:t>
      </w:r>
      <w:r w:rsidR="003866FF">
        <w:t>will</w:t>
      </w:r>
      <w:r>
        <w:t xml:space="preserve"> measure and report the number and share of grants and of i3 funding that meet </w:t>
      </w:r>
      <w:r w:rsidR="00435E43">
        <w:t xml:space="preserve">WWC </w:t>
      </w:r>
      <w:r w:rsidR="009E4669">
        <w:t>evidence</w:t>
      </w:r>
      <w:r w:rsidR="00435E43">
        <w:t xml:space="preserve"> standards and </w:t>
      </w:r>
      <w:r>
        <w:t xml:space="preserve">i3 </w:t>
      </w:r>
      <w:r w:rsidR="00341DA8">
        <w:t>c</w:t>
      </w:r>
      <w:r>
        <w:t xml:space="preserve">riteria and that produced credible evidence of implementation fidelity. </w:t>
      </w:r>
    </w:p>
    <w:p w14:paraId="3FFF95BE" w14:textId="77777777" w:rsidR="00705B7D" w:rsidRPr="000064FD" w:rsidRDefault="00705B7D" w:rsidP="00705B7D">
      <w:pPr>
        <w:pStyle w:val="Heading2"/>
      </w:pPr>
      <w:bookmarkStart w:id="11" w:name="_Toc503190242"/>
      <w:r w:rsidRPr="000064FD">
        <w:t xml:space="preserve">Methods </w:t>
      </w:r>
      <w:r>
        <w:t>for</w:t>
      </w:r>
      <w:r w:rsidRPr="000064FD">
        <w:t xml:space="preserve"> Maximiz</w:t>
      </w:r>
      <w:r>
        <w:t xml:space="preserve">ing the </w:t>
      </w:r>
      <w:r w:rsidRPr="000064FD">
        <w:t xml:space="preserve">Response Rate and </w:t>
      </w:r>
      <w:r>
        <w:t>Addressing</w:t>
      </w:r>
      <w:r w:rsidRPr="000064FD">
        <w:t xml:space="preserve"> Issues of Nonresponse</w:t>
      </w:r>
      <w:bookmarkEnd w:id="9"/>
      <w:bookmarkEnd w:id="10"/>
      <w:bookmarkEnd w:id="11"/>
      <w:r w:rsidRPr="000064FD">
        <w:t xml:space="preserve"> </w:t>
      </w:r>
    </w:p>
    <w:p w14:paraId="4B2068D9" w14:textId="77777777" w:rsidR="00705B7D" w:rsidRDefault="00705B7D" w:rsidP="00705B7D">
      <w:pPr>
        <w:pStyle w:val="BodyText"/>
        <w:rPr>
          <w:color w:val="000000"/>
        </w:rPr>
      </w:pPr>
      <w:r w:rsidRPr="000064FD">
        <w:t>In this section, we describe the strategies that will be used to maximize response rates</w:t>
      </w:r>
      <w:r>
        <w:t xml:space="preserve"> and deal with issues of </w:t>
      </w:r>
      <w:r w:rsidR="00341DA8">
        <w:t>non</w:t>
      </w:r>
      <w:r>
        <w:t xml:space="preserve">response. </w:t>
      </w:r>
      <w:r>
        <w:rPr>
          <w:color w:val="000000"/>
        </w:rPr>
        <w:t xml:space="preserve">Section B.2 describes the procedures that we use to </w:t>
      </w:r>
      <w:r w:rsidR="00856648">
        <w:rPr>
          <w:color w:val="000000"/>
        </w:rPr>
        <w:t>collect data from evaluators</w:t>
      </w:r>
      <w:r>
        <w:rPr>
          <w:color w:val="000000"/>
        </w:rPr>
        <w:t>.</w:t>
      </w:r>
      <w:r w:rsidRPr="009B208E">
        <w:rPr>
          <w:color w:val="000000"/>
        </w:rPr>
        <w:t xml:space="preserve"> </w:t>
      </w:r>
      <w:r>
        <w:rPr>
          <w:color w:val="000000"/>
        </w:rPr>
        <w:t xml:space="preserve"> These</w:t>
      </w:r>
      <w:r w:rsidRPr="009B208E">
        <w:rPr>
          <w:color w:val="000000"/>
        </w:rPr>
        <w:t xml:space="preserve"> procedures were developed</w:t>
      </w:r>
      <w:r>
        <w:rPr>
          <w:color w:val="000000"/>
        </w:rPr>
        <w:t xml:space="preserve"> </w:t>
      </w:r>
      <w:r w:rsidRPr="009B208E">
        <w:rPr>
          <w:color w:val="000000"/>
        </w:rPr>
        <w:t xml:space="preserve">to </w:t>
      </w:r>
      <w:r w:rsidR="004B19C8">
        <w:rPr>
          <w:color w:val="000000"/>
        </w:rPr>
        <w:t xml:space="preserve">minimize burden and </w:t>
      </w:r>
      <w:r w:rsidRPr="009B208E">
        <w:rPr>
          <w:color w:val="000000"/>
        </w:rPr>
        <w:t xml:space="preserve">encourage cooperation and completion of the </w:t>
      </w:r>
      <w:r>
        <w:rPr>
          <w:color w:val="000000"/>
        </w:rPr>
        <w:t xml:space="preserve">data collection </w:t>
      </w:r>
      <w:r w:rsidR="00220788">
        <w:rPr>
          <w:color w:val="000000"/>
        </w:rPr>
        <w:t>process by the end of each grant’s funding</w:t>
      </w:r>
      <w:r w:rsidR="000E6F78">
        <w:rPr>
          <w:color w:val="000000"/>
        </w:rPr>
        <w:t xml:space="preserve"> period</w:t>
      </w:r>
      <w:r>
        <w:rPr>
          <w:color w:val="000000"/>
        </w:rPr>
        <w:t xml:space="preserve">.  </w:t>
      </w:r>
    </w:p>
    <w:p w14:paraId="356329F8" w14:textId="77777777" w:rsidR="00705B7D" w:rsidRDefault="004B19C8" w:rsidP="00705B7D">
      <w:pPr>
        <w:pStyle w:val="BodyText"/>
      </w:pPr>
      <w:r>
        <w:t xml:space="preserve">Data collection </w:t>
      </w:r>
      <w:r w:rsidR="00705B7D">
        <w:t>procedures involve obtaining the support of TA liaisons</w:t>
      </w:r>
      <w:r>
        <w:t xml:space="preserve"> </w:t>
      </w:r>
      <w:r w:rsidR="000E6F78">
        <w:t>who</w:t>
      </w:r>
      <w:r>
        <w:t xml:space="preserve"> ensure that evaluators are systematically collecting and recording the information contained in the </w:t>
      </w:r>
      <w:r w:rsidR="00633087">
        <w:t>data collection instrument</w:t>
      </w:r>
      <w:r w:rsidR="00705B7D">
        <w:t xml:space="preserve">. As described in Section A of this OMB submission, the TA liaisons’ role is to maintain relationships with the independent evaluators of all of the i3 projects throughout their tenure and provide the independent evaluators valuable suggestions, information, and resources that will support and strengthen their evaluations. As a result of this strong, ongoing relationship, the TA liaisons </w:t>
      </w:r>
      <w:r w:rsidR="000E6F78">
        <w:t>are</w:t>
      </w:r>
      <w:r w:rsidR="00705B7D">
        <w:t xml:space="preserve"> a key factor in</w:t>
      </w:r>
      <w:r>
        <w:t xml:space="preserve"> ensuring that evaluators </w:t>
      </w:r>
      <w:r w:rsidR="00633087">
        <w:t>collect information contained in the data collection instrument and complete these instruments (or submit a report)</w:t>
      </w:r>
      <w:r>
        <w:t>, thereby</w:t>
      </w:r>
      <w:r w:rsidR="00705B7D">
        <w:t xml:space="preserve"> maximizing the response rates of the independent evaluators in the </w:t>
      </w:r>
      <w:r>
        <w:t>i3</w:t>
      </w:r>
      <w:r w:rsidRPr="004B19C8">
        <w:rPr>
          <w:rStyle w:val="PageNumber"/>
          <w:rFonts w:ascii="Times New Roman" w:hAnsi="Times New Roman"/>
          <w:b w:val="0"/>
          <w:color w:val="auto"/>
          <w:sz w:val="22"/>
          <w:szCs w:val="22"/>
        </w:rPr>
        <w:t xml:space="preserve"> </w:t>
      </w:r>
      <w:r w:rsidRPr="00220788">
        <w:rPr>
          <w:rStyle w:val="PageNumber"/>
          <w:rFonts w:ascii="Times New Roman" w:hAnsi="Times New Roman"/>
          <w:b w:val="0"/>
          <w:color w:val="auto"/>
          <w:sz w:val="22"/>
          <w:szCs w:val="22"/>
        </w:rPr>
        <w:t>Technical Assistance and Evaluation Project</w:t>
      </w:r>
      <w:r>
        <w:rPr>
          <w:rStyle w:val="PageNumber"/>
          <w:rFonts w:ascii="Times New Roman" w:hAnsi="Times New Roman"/>
          <w:b w:val="0"/>
          <w:color w:val="auto"/>
          <w:sz w:val="22"/>
          <w:szCs w:val="22"/>
        </w:rPr>
        <w:t>’s data collection</w:t>
      </w:r>
      <w:r w:rsidR="00705B7D">
        <w:t>.</w:t>
      </w:r>
    </w:p>
    <w:p w14:paraId="384DE077" w14:textId="49222C1D" w:rsidR="00705B7D" w:rsidRDefault="004B19C8" w:rsidP="00705B7D">
      <w:pPr>
        <w:pStyle w:val="BodyText"/>
      </w:pPr>
      <w:r>
        <w:t>T</w:t>
      </w:r>
      <w:r w:rsidR="00705B7D">
        <w:t xml:space="preserve">he study team will also enlist the support of the OII program staff to contact the i3 grantees about independent evaluators who are nonresponsive. OII provides funding for the i3 grantees and requires i3 grantees to cooperate with the i3 </w:t>
      </w:r>
      <w:r w:rsidR="000E6F78" w:rsidRPr="00220788">
        <w:rPr>
          <w:rStyle w:val="PageNumber"/>
          <w:rFonts w:ascii="Times New Roman" w:hAnsi="Times New Roman"/>
          <w:b w:val="0"/>
          <w:color w:val="auto"/>
          <w:sz w:val="22"/>
          <w:szCs w:val="22"/>
        </w:rPr>
        <w:t xml:space="preserve">Technical Assistance and Evaluation Project </w:t>
      </w:r>
      <w:r w:rsidR="00705B7D">
        <w:t>and</w:t>
      </w:r>
      <w:r w:rsidR="000E6F78">
        <w:t>,</w:t>
      </w:r>
      <w:r w:rsidR="00705B7D">
        <w:t xml:space="preserve"> therefore</w:t>
      </w:r>
      <w:r w:rsidR="000E6F78">
        <w:t>,</w:t>
      </w:r>
      <w:r w:rsidR="00705B7D">
        <w:t xml:space="preserve"> may be in the best position to influence i3 grantees with incomplete </w:t>
      </w:r>
      <w:r w:rsidR="000E6F78">
        <w:t>data</w:t>
      </w:r>
      <w:r w:rsidR="00705B7D">
        <w:t>.</w:t>
      </w:r>
      <w:r w:rsidR="000E6F78">
        <w:t xml:space="preserve"> To date, only one i3 grantee</w:t>
      </w:r>
      <w:r w:rsidR="00EF2387">
        <w:t xml:space="preserve"> from among completed grants</w:t>
      </w:r>
      <w:r w:rsidR="000E6F78">
        <w:t xml:space="preserve"> has not shared all of the data requ</w:t>
      </w:r>
      <w:r w:rsidR="00EF2387">
        <w:t>ested</w:t>
      </w:r>
      <w:r w:rsidR="000E6F78">
        <w:t xml:space="preserve"> by the i3 AR Team. </w:t>
      </w:r>
    </w:p>
    <w:p w14:paraId="1EA9191D" w14:textId="77777777" w:rsidR="00705B7D" w:rsidRDefault="00705B7D" w:rsidP="00705B7D">
      <w:pPr>
        <w:pStyle w:val="BodyText"/>
      </w:pPr>
      <w:r>
        <w:t xml:space="preserve">Exhibit B.1 highlights these steps and other specific strategies we will employ to maximize response rates and deal with issues of </w:t>
      </w:r>
      <w:r w:rsidR="00341DA8">
        <w:t>non</w:t>
      </w:r>
      <w:r>
        <w:t xml:space="preserve">response. </w:t>
      </w:r>
    </w:p>
    <w:p w14:paraId="583525E1" w14:textId="77777777" w:rsidR="00705B7D" w:rsidRPr="00F6259C" w:rsidRDefault="00705B7D" w:rsidP="00705B7D">
      <w:pPr>
        <w:pStyle w:val="Caption"/>
      </w:pPr>
      <w:bookmarkStart w:id="12" w:name="_Toc189222879"/>
      <w:bookmarkStart w:id="13" w:name="_Toc189280512"/>
      <w:r w:rsidRPr="00F6259C">
        <w:t xml:space="preserve">Exhibit B.1: Strategies to Maximize </w:t>
      </w:r>
      <w:r>
        <w:t xml:space="preserve">Survey </w:t>
      </w:r>
      <w:r w:rsidRPr="00F6259C">
        <w:t xml:space="preserve">Response </w:t>
      </w:r>
      <w:bookmarkEnd w:id="12"/>
      <w:bookmarkEnd w:id="13"/>
    </w:p>
    <w:tbl>
      <w:tblPr>
        <w:tblW w:w="9360"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1E0" w:firstRow="1" w:lastRow="1" w:firstColumn="1" w:lastColumn="1" w:noHBand="0" w:noVBand="0"/>
      </w:tblPr>
      <w:tblGrid>
        <w:gridCol w:w="2167"/>
        <w:gridCol w:w="7193"/>
      </w:tblGrid>
      <w:tr w:rsidR="00705B7D" w:rsidRPr="00705B7D" w14:paraId="40DA95D7" w14:textId="77777777" w:rsidTr="00705B7D">
        <w:tc>
          <w:tcPr>
            <w:tcW w:w="2167" w:type="dxa"/>
            <w:shd w:val="clear" w:color="auto" w:fill="C3C6A8" w:themeFill="accent4"/>
            <w:vAlign w:val="center"/>
          </w:tcPr>
          <w:p w14:paraId="09FB195C" w14:textId="77777777" w:rsidR="00705B7D" w:rsidRPr="00705B7D" w:rsidRDefault="00705B7D" w:rsidP="000E6F78">
            <w:pPr>
              <w:spacing w:before="40" w:after="40"/>
              <w:rPr>
                <w:rFonts w:ascii="Arial Narrow" w:hAnsi="Arial Narrow" w:cs="Arial"/>
                <w:b/>
                <w:sz w:val="20"/>
                <w:szCs w:val="18"/>
              </w:rPr>
            </w:pPr>
            <w:r w:rsidRPr="00705B7D">
              <w:rPr>
                <w:rFonts w:ascii="Arial Narrow" w:hAnsi="Arial Narrow" w:cs="Arial"/>
                <w:b/>
                <w:sz w:val="20"/>
                <w:szCs w:val="18"/>
              </w:rPr>
              <w:t xml:space="preserve">Advance notification of </w:t>
            </w:r>
            <w:r w:rsidR="000E6F78">
              <w:rPr>
                <w:rFonts w:ascii="Arial Narrow" w:hAnsi="Arial Narrow" w:cs="Arial"/>
                <w:b/>
                <w:sz w:val="20"/>
                <w:szCs w:val="18"/>
              </w:rPr>
              <w:t>data collection</w:t>
            </w:r>
            <w:r w:rsidR="000E6F78" w:rsidRPr="00705B7D">
              <w:rPr>
                <w:rFonts w:ascii="Arial Narrow" w:hAnsi="Arial Narrow" w:cs="Arial"/>
                <w:b/>
                <w:sz w:val="20"/>
                <w:szCs w:val="18"/>
              </w:rPr>
              <w:t xml:space="preserve"> </w:t>
            </w:r>
          </w:p>
        </w:tc>
        <w:tc>
          <w:tcPr>
            <w:tcW w:w="7193" w:type="dxa"/>
            <w:vAlign w:val="center"/>
          </w:tcPr>
          <w:p w14:paraId="01089220" w14:textId="77777777" w:rsidR="00705B7D" w:rsidRPr="00705B7D" w:rsidRDefault="00705B7D" w:rsidP="00995A9B">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 xml:space="preserve">Gain support and cooperation of respondents by providing advance notice of the </w:t>
            </w:r>
            <w:r w:rsidR="000E6F78">
              <w:rPr>
                <w:rFonts w:ascii="Arial Narrow" w:hAnsi="Arial Narrow" w:cs="Arial"/>
                <w:sz w:val="20"/>
                <w:szCs w:val="18"/>
              </w:rPr>
              <w:t xml:space="preserve">data collection process and asking respondents to </w:t>
            </w:r>
            <w:r w:rsidR="00995A9B">
              <w:rPr>
                <w:rFonts w:ascii="Arial Narrow" w:hAnsi="Arial Narrow" w:cs="Arial"/>
                <w:sz w:val="20"/>
                <w:szCs w:val="18"/>
              </w:rPr>
              <w:t>determine</w:t>
            </w:r>
            <w:r w:rsidR="000E6F78">
              <w:rPr>
                <w:rFonts w:ascii="Arial Narrow" w:hAnsi="Arial Narrow" w:cs="Arial"/>
                <w:sz w:val="20"/>
                <w:szCs w:val="18"/>
              </w:rPr>
              <w:t xml:space="preserve"> when </w:t>
            </w:r>
            <w:r w:rsidR="00995A9B">
              <w:rPr>
                <w:rFonts w:ascii="Arial Narrow" w:hAnsi="Arial Narrow" w:cs="Arial"/>
                <w:sz w:val="20"/>
                <w:szCs w:val="18"/>
              </w:rPr>
              <w:t>they will submit</w:t>
            </w:r>
            <w:r w:rsidR="000E6F78">
              <w:rPr>
                <w:rFonts w:ascii="Arial Narrow" w:hAnsi="Arial Narrow" w:cs="Arial"/>
                <w:sz w:val="20"/>
                <w:szCs w:val="18"/>
              </w:rPr>
              <w:t xml:space="preserve"> their findings.</w:t>
            </w:r>
            <w:r w:rsidR="000E6F78" w:rsidRPr="00705B7D">
              <w:rPr>
                <w:rFonts w:ascii="Arial Narrow" w:hAnsi="Arial Narrow" w:cs="Arial"/>
                <w:sz w:val="20"/>
                <w:szCs w:val="18"/>
              </w:rPr>
              <w:t xml:space="preserve"> </w:t>
            </w:r>
          </w:p>
        </w:tc>
      </w:tr>
      <w:tr w:rsidR="00705B7D" w:rsidRPr="00705B7D" w14:paraId="406147CB" w14:textId="77777777" w:rsidTr="00705B7D">
        <w:tc>
          <w:tcPr>
            <w:tcW w:w="2167" w:type="dxa"/>
            <w:shd w:val="clear" w:color="auto" w:fill="C3C6A8" w:themeFill="accent4"/>
            <w:vAlign w:val="center"/>
          </w:tcPr>
          <w:p w14:paraId="1CB32623" w14:textId="77777777"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Provide clear instructions and user-friendly materials</w:t>
            </w:r>
          </w:p>
        </w:tc>
        <w:tc>
          <w:tcPr>
            <w:tcW w:w="7193" w:type="dxa"/>
            <w:vAlign w:val="center"/>
          </w:tcPr>
          <w:p w14:paraId="1FCAC12B" w14:textId="77777777" w:rsidR="00705B7D" w:rsidRPr="00705B7D" w:rsidRDefault="00995A9B" w:rsidP="00880CC3">
            <w:pPr>
              <w:numPr>
                <w:ilvl w:val="0"/>
                <w:numId w:val="28"/>
              </w:numPr>
              <w:tabs>
                <w:tab w:val="clear" w:pos="720"/>
                <w:tab w:val="left" w:pos="216"/>
                <w:tab w:val="num" w:pos="453"/>
              </w:tabs>
              <w:spacing w:before="40" w:after="40" w:line="240" w:lineRule="auto"/>
              <w:ind w:left="216" w:hanging="216"/>
              <w:rPr>
                <w:rFonts w:ascii="Arial Narrow" w:hAnsi="Arial Narrow" w:cs="Arial"/>
                <w:b/>
                <w:sz w:val="20"/>
                <w:szCs w:val="18"/>
              </w:rPr>
            </w:pPr>
            <w:r>
              <w:rPr>
                <w:rFonts w:ascii="Arial Narrow" w:hAnsi="Arial Narrow" w:cs="Arial"/>
                <w:sz w:val="20"/>
                <w:szCs w:val="18"/>
              </w:rPr>
              <w:t>TA liaisons will suggest using standardized tools and t</w:t>
            </w:r>
            <w:r w:rsidR="000E6F78">
              <w:rPr>
                <w:rFonts w:ascii="Arial Narrow" w:hAnsi="Arial Narrow" w:cs="Arial"/>
                <w:sz w:val="20"/>
                <w:szCs w:val="18"/>
              </w:rPr>
              <w:t>emplates</w:t>
            </w:r>
            <w:r w:rsidR="000E6F78" w:rsidRPr="00705B7D">
              <w:rPr>
                <w:rFonts w:ascii="Arial Narrow" w:hAnsi="Arial Narrow" w:cs="Arial"/>
                <w:sz w:val="20"/>
                <w:szCs w:val="18"/>
              </w:rPr>
              <w:t xml:space="preserve"> </w:t>
            </w:r>
            <w:r>
              <w:rPr>
                <w:rFonts w:ascii="Arial Narrow" w:hAnsi="Arial Narrow" w:cs="Arial"/>
                <w:sz w:val="20"/>
                <w:szCs w:val="18"/>
              </w:rPr>
              <w:t>to track the progress of the evaluation</w:t>
            </w:r>
            <w:r w:rsidR="00705B7D" w:rsidRPr="00705B7D">
              <w:rPr>
                <w:rFonts w:ascii="Arial Narrow" w:hAnsi="Arial Narrow" w:cs="Arial"/>
                <w:sz w:val="20"/>
                <w:szCs w:val="18"/>
              </w:rPr>
              <w:t>.</w:t>
            </w:r>
          </w:p>
        </w:tc>
      </w:tr>
      <w:tr w:rsidR="00705B7D" w:rsidRPr="00705B7D" w14:paraId="34F9DD93" w14:textId="77777777" w:rsidTr="00705B7D">
        <w:tc>
          <w:tcPr>
            <w:tcW w:w="2167" w:type="dxa"/>
            <w:shd w:val="clear" w:color="auto" w:fill="C3C6A8" w:themeFill="accent4"/>
            <w:vAlign w:val="center"/>
          </w:tcPr>
          <w:p w14:paraId="6F0C00EC" w14:textId="77777777" w:rsidR="00705B7D" w:rsidRPr="00705B7D" w:rsidRDefault="00705B7D" w:rsidP="00995A9B">
            <w:pPr>
              <w:spacing w:before="40" w:after="40"/>
              <w:rPr>
                <w:rFonts w:ascii="Arial Narrow" w:hAnsi="Arial Narrow" w:cs="Arial"/>
                <w:b/>
                <w:sz w:val="20"/>
                <w:szCs w:val="18"/>
              </w:rPr>
            </w:pPr>
            <w:r w:rsidRPr="00705B7D">
              <w:rPr>
                <w:rFonts w:ascii="Arial Narrow" w:hAnsi="Arial Narrow" w:cs="Arial"/>
                <w:b/>
                <w:sz w:val="20"/>
                <w:szCs w:val="18"/>
              </w:rPr>
              <w:t xml:space="preserve">Offer to </w:t>
            </w:r>
            <w:r w:rsidR="00995A9B">
              <w:rPr>
                <w:rFonts w:ascii="Arial Narrow" w:hAnsi="Arial Narrow" w:cs="Arial"/>
                <w:b/>
                <w:sz w:val="20"/>
                <w:szCs w:val="18"/>
              </w:rPr>
              <w:t>review any</w:t>
            </w:r>
            <w:r w:rsidRPr="00705B7D">
              <w:rPr>
                <w:rFonts w:ascii="Arial Narrow" w:hAnsi="Arial Narrow" w:cs="Arial"/>
                <w:b/>
                <w:sz w:val="20"/>
                <w:szCs w:val="18"/>
              </w:rPr>
              <w:t xml:space="preserve"> information provided by respondents</w:t>
            </w:r>
          </w:p>
        </w:tc>
        <w:tc>
          <w:tcPr>
            <w:tcW w:w="7193" w:type="dxa"/>
            <w:vAlign w:val="center"/>
          </w:tcPr>
          <w:p w14:paraId="3A8C5732" w14:textId="77777777" w:rsidR="00705B7D" w:rsidRPr="00705B7D" w:rsidRDefault="00995A9B" w:rsidP="00880CC3">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Pr>
                <w:rFonts w:ascii="Arial Narrow" w:hAnsi="Arial Narrow" w:cs="Arial"/>
                <w:sz w:val="20"/>
                <w:szCs w:val="18"/>
              </w:rPr>
              <w:t xml:space="preserve">If evaluators are not </w:t>
            </w:r>
            <w:r w:rsidR="00633087">
              <w:rPr>
                <w:rFonts w:ascii="Arial Narrow" w:hAnsi="Arial Narrow" w:cs="Arial"/>
                <w:sz w:val="20"/>
                <w:szCs w:val="18"/>
              </w:rPr>
              <w:t>completing the data collection instrument</w:t>
            </w:r>
            <w:r>
              <w:rPr>
                <w:rFonts w:ascii="Arial Narrow" w:hAnsi="Arial Narrow" w:cs="Arial"/>
                <w:sz w:val="20"/>
                <w:szCs w:val="18"/>
              </w:rPr>
              <w:t>, i</w:t>
            </w:r>
            <w:r w:rsidR="00705B7D" w:rsidRPr="00705B7D">
              <w:rPr>
                <w:rFonts w:ascii="Arial Narrow" w:hAnsi="Arial Narrow" w:cs="Arial"/>
                <w:sz w:val="20"/>
                <w:szCs w:val="18"/>
              </w:rPr>
              <w:t xml:space="preserve">nvite </w:t>
            </w:r>
            <w:r>
              <w:rPr>
                <w:rFonts w:ascii="Arial Narrow" w:hAnsi="Arial Narrow" w:cs="Arial"/>
                <w:sz w:val="20"/>
                <w:szCs w:val="18"/>
              </w:rPr>
              <w:t>them</w:t>
            </w:r>
            <w:r w:rsidRPr="00705B7D">
              <w:rPr>
                <w:rFonts w:ascii="Arial Narrow" w:hAnsi="Arial Narrow" w:cs="Arial"/>
                <w:sz w:val="20"/>
                <w:szCs w:val="18"/>
              </w:rPr>
              <w:t xml:space="preserve"> </w:t>
            </w:r>
            <w:r w:rsidR="00705B7D" w:rsidRPr="00705B7D">
              <w:rPr>
                <w:rFonts w:ascii="Arial Narrow" w:hAnsi="Arial Narrow" w:cs="Arial"/>
                <w:sz w:val="20"/>
                <w:szCs w:val="18"/>
              </w:rPr>
              <w:t xml:space="preserve">to submit relevant information </w:t>
            </w:r>
            <w:r w:rsidR="00633087">
              <w:rPr>
                <w:rFonts w:ascii="Arial Narrow" w:hAnsi="Arial Narrow" w:cs="Arial"/>
                <w:sz w:val="20"/>
                <w:szCs w:val="18"/>
              </w:rPr>
              <w:t xml:space="preserve">through a report, which they are required by their grant to produce.  </w:t>
            </w:r>
            <w:r w:rsidR="00705B7D" w:rsidRPr="00705B7D">
              <w:rPr>
                <w:rFonts w:ascii="Arial Narrow" w:hAnsi="Arial Narrow" w:cs="Arial"/>
                <w:sz w:val="20"/>
                <w:szCs w:val="18"/>
              </w:rPr>
              <w:t xml:space="preserve">  </w:t>
            </w:r>
          </w:p>
        </w:tc>
      </w:tr>
      <w:tr w:rsidR="00705B7D" w:rsidRPr="00705B7D" w14:paraId="6EEC5394" w14:textId="77777777" w:rsidTr="00705B7D">
        <w:tc>
          <w:tcPr>
            <w:tcW w:w="2167" w:type="dxa"/>
            <w:shd w:val="clear" w:color="auto" w:fill="C3C6A8" w:themeFill="accent4"/>
            <w:vAlign w:val="center"/>
          </w:tcPr>
          <w:p w14:paraId="70B62405" w14:textId="77777777"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 xml:space="preserve">Monitor progress regularly </w:t>
            </w:r>
          </w:p>
        </w:tc>
        <w:tc>
          <w:tcPr>
            <w:tcW w:w="7193" w:type="dxa"/>
            <w:vAlign w:val="center"/>
          </w:tcPr>
          <w:p w14:paraId="1690C8EF" w14:textId="77777777"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 xml:space="preserve">Produce </w:t>
            </w:r>
            <w:r w:rsidR="00633087">
              <w:rPr>
                <w:rFonts w:ascii="Arial Narrow" w:hAnsi="Arial Narrow" w:cs="Arial"/>
                <w:sz w:val="20"/>
                <w:szCs w:val="18"/>
              </w:rPr>
              <w:t>monthly</w:t>
            </w:r>
            <w:r w:rsidRPr="00705B7D">
              <w:rPr>
                <w:rFonts w:ascii="Arial Narrow" w:hAnsi="Arial Narrow" w:cs="Arial"/>
                <w:sz w:val="20"/>
                <w:szCs w:val="18"/>
              </w:rPr>
              <w:t xml:space="preserve"> report</w:t>
            </w:r>
            <w:r w:rsidR="000E6F78">
              <w:rPr>
                <w:rFonts w:ascii="Arial Narrow" w:hAnsi="Arial Narrow" w:cs="Arial"/>
                <w:sz w:val="20"/>
                <w:szCs w:val="18"/>
              </w:rPr>
              <w:t>s</w:t>
            </w:r>
            <w:r w:rsidRPr="00705B7D">
              <w:rPr>
                <w:rFonts w:ascii="Arial Narrow" w:hAnsi="Arial Narrow" w:cs="Arial"/>
                <w:sz w:val="20"/>
                <w:szCs w:val="18"/>
              </w:rPr>
              <w:t xml:space="preserve"> of completed </w:t>
            </w:r>
            <w:r w:rsidR="000E6F78">
              <w:rPr>
                <w:rFonts w:ascii="Arial Narrow" w:hAnsi="Arial Narrow" w:cs="Arial"/>
                <w:sz w:val="20"/>
                <w:szCs w:val="18"/>
              </w:rPr>
              <w:t>data collection</w:t>
            </w:r>
            <w:r w:rsidR="00341DA8">
              <w:rPr>
                <w:rFonts w:ascii="Arial Narrow" w:hAnsi="Arial Narrow" w:cs="Arial"/>
                <w:sz w:val="20"/>
                <w:szCs w:val="18"/>
              </w:rPr>
              <w:t>.</w:t>
            </w:r>
          </w:p>
          <w:p w14:paraId="4B7928B4" w14:textId="77777777"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 xml:space="preserve">Maintain regular contact between study team members to monitor response rates, identify </w:t>
            </w:r>
            <w:r w:rsidR="00341DA8">
              <w:rPr>
                <w:rFonts w:ascii="Arial Narrow" w:hAnsi="Arial Narrow" w:cs="Arial"/>
                <w:sz w:val="20"/>
                <w:szCs w:val="18"/>
              </w:rPr>
              <w:t>non</w:t>
            </w:r>
            <w:r w:rsidRPr="00705B7D">
              <w:rPr>
                <w:rFonts w:ascii="Arial Narrow" w:hAnsi="Arial Narrow" w:cs="Arial"/>
                <w:sz w:val="20"/>
                <w:szCs w:val="18"/>
              </w:rPr>
              <w:t>respondents, and resolve problems</w:t>
            </w:r>
            <w:r w:rsidR="00341DA8">
              <w:rPr>
                <w:rFonts w:ascii="Arial Narrow" w:hAnsi="Arial Narrow" w:cs="Arial"/>
                <w:sz w:val="20"/>
                <w:szCs w:val="18"/>
              </w:rPr>
              <w:t>.</w:t>
            </w:r>
          </w:p>
          <w:p w14:paraId="021B5DDB" w14:textId="77777777" w:rsidR="00705B7D" w:rsidRPr="00705B7D" w:rsidRDefault="00451C2C" w:rsidP="002E59B6">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Pr>
                <w:rFonts w:ascii="Arial Narrow" w:hAnsi="Arial Narrow" w:cs="Arial"/>
                <w:sz w:val="20"/>
                <w:szCs w:val="18"/>
              </w:rPr>
              <w:t>Conduct</w:t>
            </w:r>
            <w:r w:rsidRPr="00705B7D">
              <w:rPr>
                <w:rFonts w:ascii="Arial Narrow" w:hAnsi="Arial Narrow" w:cs="Arial"/>
                <w:sz w:val="20"/>
                <w:szCs w:val="18"/>
              </w:rPr>
              <w:t xml:space="preserve"> </w:t>
            </w:r>
            <w:r w:rsidR="00705B7D" w:rsidRPr="00705B7D">
              <w:rPr>
                <w:rFonts w:ascii="Arial Narrow" w:hAnsi="Arial Narrow" w:cs="Arial"/>
                <w:sz w:val="20"/>
                <w:szCs w:val="18"/>
              </w:rPr>
              <w:t xml:space="preserve">follow-up and reminder calls and e-mails to </w:t>
            </w:r>
            <w:r w:rsidR="00341DA8">
              <w:rPr>
                <w:rFonts w:ascii="Arial Narrow" w:hAnsi="Arial Narrow" w:cs="Arial"/>
                <w:sz w:val="20"/>
                <w:szCs w:val="18"/>
              </w:rPr>
              <w:t>non</w:t>
            </w:r>
            <w:r w:rsidR="00705B7D" w:rsidRPr="00705B7D">
              <w:rPr>
                <w:rFonts w:ascii="Arial Narrow" w:hAnsi="Arial Narrow" w:cs="Arial"/>
                <w:sz w:val="20"/>
                <w:szCs w:val="18"/>
              </w:rPr>
              <w:t>respondents</w:t>
            </w:r>
            <w:r w:rsidR="00633087">
              <w:rPr>
                <w:rFonts w:ascii="Arial Narrow" w:hAnsi="Arial Narrow" w:cs="Arial"/>
                <w:sz w:val="20"/>
                <w:szCs w:val="18"/>
              </w:rPr>
              <w:t>, as necessary</w:t>
            </w:r>
            <w:r w:rsidR="00341DA8">
              <w:rPr>
                <w:rFonts w:ascii="Arial Narrow" w:hAnsi="Arial Narrow" w:cs="Arial"/>
                <w:sz w:val="20"/>
                <w:szCs w:val="18"/>
              </w:rPr>
              <w:t>.</w:t>
            </w:r>
          </w:p>
        </w:tc>
      </w:tr>
      <w:tr w:rsidR="00705B7D" w:rsidRPr="00705B7D" w14:paraId="52B15106" w14:textId="77777777" w:rsidTr="00705B7D">
        <w:tc>
          <w:tcPr>
            <w:tcW w:w="2167" w:type="dxa"/>
            <w:shd w:val="clear" w:color="auto" w:fill="C3C6A8" w:themeFill="accent4"/>
            <w:vAlign w:val="center"/>
          </w:tcPr>
          <w:p w14:paraId="7B4F375F" w14:textId="77777777"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Obtain support of TA liaisons and OII staff</w:t>
            </w:r>
          </w:p>
        </w:tc>
        <w:tc>
          <w:tcPr>
            <w:tcW w:w="7193" w:type="dxa"/>
            <w:vAlign w:val="center"/>
          </w:tcPr>
          <w:p w14:paraId="290C29EE" w14:textId="77777777"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For nonresponsive independent evaluators: contact the TA liaison and OII program staff working with these grantees and ask them to intervene</w:t>
            </w:r>
            <w:r w:rsidR="00341DA8">
              <w:rPr>
                <w:rFonts w:ascii="Arial Narrow" w:hAnsi="Arial Narrow" w:cs="Arial"/>
                <w:sz w:val="20"/>
                <w:szCs w:val="18"/>
              </w:rPr>
              <w:t>.</w:t>
            </w:r>
          </w:p>
        </w:tc>
      </w:tr>
    </w:tbl>
    <w:p w14:paraId="777E2A8B" w14:textId="77777777" w:rsidR="00D975AA" w:rsidRDefault="00D975AA" w:rsidP="00705B7D"/>
    <w:p w14:paraId="3E330EC2" w14:textId="1CCD47FE" w:rsidR="004711D9" w:rsidRDefault="00880CC3" w:rsidP="00705B7D">
      <w:r>
        <w:t>Ninety-</w:t>
      </w:r>
      <w:r w:rsidR="009A6CB6">
        <w:t>six</w:t>
      </w:r>
      <w:r w:rsidR="009A6CB6" w:rsidRPr="003866FF">
        <w:t xml:space="preserve"> </w:t>
      </w:r>
      <w:r w:rsidR="00EF2387">
        <w:t xml:space="preserve">of 172 </w:t>
      </w:r>
      <w:r w:rsidR="004711D9" w:rsidRPr="003866FF">
        <w:t>grant</w:t>
      </w:r>
      <w:r w:rsidR="00915CC1">
        <w:t>s</w:t>
      </w:r>
      <w:r w:rsidR="004711D9" w:rsidRPr="003866FF">
        <w:t xml:space="preserve"> </w:t>
      </w:r>
      <w:r w:rsidR="00995A9B">
        <w:t>have already</w:t>
      </w:r>
      <w:r w:rsidR="00995A9B" w:rsidRPr="003866FF">
        <w:t xml:space="preserve"> </w:t>
      </w:r>
      <w:r w:rsidR="004711D9" w:rsidRPr="003866FF">
        <w:t>participate</w:t>
      </w:r>
      <w:r w:rsidR="00995A9B">
        <w:t>d</w:t>
      </w:r>
      <w:r w:rsidR="004711D9" w:rsidRPr="003866FF">
        <w:t xml:space="preserve"> in </w:t>
      </w:r>
      <w:r w:rsidR="00995A9B">
        <w:t>d</w:t>
      </w:r>
      <w:r w:rsidR="004711D9" w:rsidRPr="003866FF">
        <w:t xml:space="preserve">ata </w:t>
      </w:r>
      <w:r w:rsidR="00995A9B">
        <w:t>c</w:t>
      </w:r>
      <w:r w:rsidR="004711D9" w:rsidRPr="003866FF">
        <w:t>ollection</w:t>
      </w:r>
      <w:r w:rsidR="00995A9B">
        <w:t xml:space="preserve">; for these grants, the response rate was </w:t>
      </w:r>
      <w:r w:rsidR="00915CC1">
        <w:t xml:space="preserve">99 </w:t>
      </w:r>
      <w:r w:rsidR="00995A9B">
        <w:t>percent.</w:t>
      </w:r>
      <w:r w:rsidR="004711D9" w:rsidRPr="003866FF">
        <w:t xml:space="preserve"> </w:t>
      </w:r>
      <w:r w:rsidR="00EF2387">
        <w:t>Th</w:t>
      </w:r>
      <w:r w:rsidR="009A6CB6">
        <w:t>e 9</w:t>
      </w:r>
      <w:r w:rsidR="00654E52">
        <w:t>6</w:t>
      </w:r>
      <w:r w:rsidR="009A6CB6">
        <w:t xml:space="preserve"> grants include 49 from the FY 2010 cohort, 2</w:t>
      </w:r>
      <w:r w:rsidR="00654E52">
        <w:t>1</w:t>
      </w:r>
      <w:r w:rsidR="009A6CB6">
        <w:t xml:space="preserve"> grants from the FY 2011 cohort, 1</w:t>
      </w:r>
      <w:r w:rsidR="00654E52">
        <w:t>7</w:t>
      </w:r>
      <w:r w:rsidR="009A6CB6">
        <w:t xml:space="preserve"> grants from the FY 2012 cohort, </w:t>
      </w:r>
      <w:r w:rsidR="00654E52">
        <w:t>8</w:t>
      </w:r>
      <w:r w:rsidR="009A6CB6">
        <w:t xml:space="preserve"> grants from the FY 2013 cohort</w:t>
      </w:r>
      <w:r w:rsidR="00654E52">
        <w:t>,</w:t>
      </w:r>
      <w:r w:rsidR="009A6CB6">
        <w:t xml:space="preserve"> and 1 grant from the FY 2014 cohort.</w:t>
      </w:r>
      <w:r w:rsidR="00EF2387">
        <w:t xml:space="preserve"> </w:t>
      </w:r>
      <w:r w:rsidR="00995A9B">
        <w:t>Therefore, a</w:t>
      </w:r>
      <w:r w:rsidR="00F424B3" w:rsidRPr="00F424B3">
        <w:t xml:space="preserve">mong </w:t>
      </w:r>
      <w:r w:rsidR="00995A9B">
        <w:t>the</w:t>
      </w:r>
      <w:r w:rsidR="00995A9B" w:rsidRPr="00F424B3">
        <w:t xml:space="preserve"> </w:t>
      </w:r>
      <w:r w:rsidR="00F424B3" w:rsidRPr="00F424B3">
        <w:t>grants that we expect to participate in data collection during the period covered by this OMB package, we anticipate a 100 percent response rate.</w:t>
      </w:r>
    </w:p>
    <w:p w14:paraId="47C9F07C" w14:textId="77777777" w:rsidR="00705B7D" w:rsidRPr="00C61930" w:rsidRDefault="00705B7D" w:rsidP="00705B7D">
      <w:pPr>
        <w:pStyle w:val="Heading2"/>
      </w:pPr>
      <w:bookmarkStart w:id="14" w:name="_Toc267663357"/>
      <w:bookmarkStart w:id="15" w:name="_Toc283628882"/>
      <w:bookmarkStart w:id="16" w:name="_Toc503190243"/>
      <w:r w:rsidRPr="00C61930">
        <w:t>Tests of Procedures or Methods</w:t>
      </w:r>
      <w:bookmarkEnd w:id="14"/>
      <w:bookmarkEnd w:id="15"/>
      <w:bookmarkEnd w:id="16"/>
    </w:p>
    <w:p w14:paraId="291B8DE1" w14:textId="77777777" w:rsidR="00705B7D" w:rsidRPr="004873AB" w:rsidRDefault="00995A9B" w:rsidP="00705B7D">
      <w:pPr>
        <w:pStyle w:val="BodyText"/>
      </w:pPr>
      <w:r>
        <w:t>The data collection instruments and procedures have already been used with evaluators participating in data collection covered by the prior OMB package. Prior to use with all evaluators,</w:t>
      </w:r>
      <w:r w:rsidR="00B22435">
        <w:t xml:space="preserve"> the </w:t>
      </w:r>
      <w:r>
        <w:t xml:space="preserve">instrument </w:t>
      </w:r>
      <w:r w:rsidR="00B22435">
        <w:t>w</w:t>
      </w:r>
      <w:r w:rsidR="0077326B">
        <w:t>as</w:t>
      </w:r>
      <w:r w:rsidR="00B22435">
        <w:t xml:space="preserve"> pilot tested</w:t>
      </w:r>
      <w:r w:rsidR="00162289">
        <w:t xml:space="preserve"> by Abt staff and </w:t>
      </w:r>
      <w:r w:rsidR="0077326B">
        <w:t>one FY 2010 cohort grant</w:t>
      </w:r>
      <w:r w:rsidR="00B22435">
        <w:t xml:space="preserve">. The pilot test </w:t>
      </w:r>
      <w:r w:rsidR="0077326B">
        <w:t xml:space="preserve">helped to </w:t>
      </w:r>
      <w:r w:rsidR="00B22435">
        <w:t xml:space="preserve">ensure that the instructions are understandable, the content is comprehensible, and the technology functions appropriately. </w:t>
      </w:r>
      <w:r w:rsidR="0077326B">
        <w:t xml:space="preserve">In response to </w:t>
      </w:r>
      <w:r w:rsidR="00880AD7">
        <w:t xml:space="preserve">our </w:t>
      </w:r>
      <w:r w:rsidR="0077326B">
        <w:t>pilot test</w:t>
      </w:r>
      <w:r w:rsidR="00880AD7">
        <w:t>ing</w:t>
      </w:r>
      <w:r w:rsidR="0077326B">
        <w:t xml:space="preserve">, we clarified some of the </w:t>
      </w:r>
      <w:r w:rsidR="00880CC3">
        <w:t xml:space="preserve">instrument’s </w:t>
      </w:r>
      <w:r w:rsidR="0077326B">
        <w:t xml:space="preserve">questions and instructions, and added additional programming to the survey. </w:t>
      </w:r>
      <w:r w:rsidR="00880AD7">
        <w:t>While</w:t>
      </w:r>
      <w:r w:rsidR="00162289">
        <w:t xml:space="preserve"> our pilot test was limited, it did </w:t>
      </w:r>
      <w:r w:rsidR="00E3512C" w:rsidRPr="00E3512C">
        <w:t xml:space="preserve">help us identify sections of the </w:t>
      </w:r>
      <w:r w:rsidR="00B64E8D">
        <w:t>instrument</w:t>
      </w:r>
      <w:r w:rsidR="00E3512C" w:rsidRPr="00E3512C">
        <w:t xml:space="preserve"> that are not applicable to some evaluations so that we could include skip patterns to reduce burden in those cases.  Further, the pilot provided a more accurate indication of the burden experienced by people </w:t>
      </w:r>
      <w:r w:rsidR="00B64E8D">
        <w:t>completing the instrument</w:t>
      </w:r>
      <w:r w:rsidR="00E3512C" w:rsidRPr="00E3512C">
        <w:t xml:space="preserve"> and allowed us to revise our burden est</w:t>
      </w:r>
      <w:r w:rsidR="00E3512C">
        <w:t>imates accordingly</w:t>
      </w:r>
      <w:r w:rsidR="00880AD7">
        <w:t xml:space="preserve">. </w:t>
      </w:r>
      <w:r w:rsidR="00162289">
        <w:t xml:space="preserve"> </w:t>
      </w:r>
      <w:r w:rsidR="0077326B">
        <w:t xml:space="preserve"> </w:t>
      </w:r>
    </w:p>
    <w:p w14:paraId="211EB97F" w14:textId="77777777" w:rsidR="00705B7D" w:rsidRDefault="00705B7D" w:rsidP="00705B7D">
      <w:pPr>
        <w:pStyle w:val="Heading2"/>
      </w:pPr>
      <w:bookmarkStart w:id="17" w:name="_Toc145743431"/>
      <w:bookmarkStart w:id="18" w:name="_Toc267663358"/>
      <w:bookmarkStart w:id="19" w:name="_Toc283628883"/>
      <w:bookmarkStart w:id="20" w:name="_Toc503190244"/>
      <w:r w:rsidRPr="00E3562C">
        <w:t>Individuals Consulted</w:t>
      </w:r>
      <w:bookmarkEnd w:id="17"/>
      <w:bookmarkEnd w:id="18"/>
      <w:bookmarkEnd w:id="19"/>
      <w:r w:rsidR="00B22435">
        <w:t xml:space="preserve"> on Statistical Aspects of the Design</w:t>
      </w:r>
      <w:bookmarkEnd w:id="20"/>
    </w:p>
    <w:p w14:paraId="32BEFEED" w14:textId="77777777" w:rsidR="00705B7D" w:rsidRDefault="00705B7D" w:rsidP="00705B7D">
      <w:pPr>
        <w:pStyle w:val="BodyText"/>
      </w:pPr>
      <w:r>
        <w:t xml:space="preserve">The </w:t>
      </w:r>
      <w:r w:rsidRPr="00220788">
        <w:t xml:space="preserve">i3 </w:t>
      </w:r>
      <w:r w:rsidR="007868BB" w:rsidRPr="00220788">
        <w:rPr>
          <w:rStyle w:val="PageNumber"/>
          <w:rFonts w:ascii="Times New Roman" w:hAnsi="Times New Roman"/>
          <w:b w:val="0"/>
          <w:color w:val="auto"/>
          <w:sz w:val="22"/>
          <w:szCs w:val="22"/>
        </w:rPr>
        <w:t xml:space="preserve">Technical Assistance and Evaluation Project </w:t>
      </w:r>
      <w:r>
        <w:t xml:space="preserve">is being conducted by Abt Associates Inc., </w:t>
      </w:r>
      <w:r w:rsidRPr="00482B5F">
        <w:t>and its subcontractors</w:t>
      </w:r>
      <w:r>
        <w:t xml:space="preserve">, </w:t>
      </w:r>
      <w:r w:rsidR="00FA1946">
        <w:t>ANALYTICA</w:t>
      </w:r>
      <w:r w:rsidRPr="00482B5F">
        <w:t xml:space="preserve">, </w:t>
      </w:r>
      <w:r w:rsidR="001955C8">
        <w:t>Century Analy</w:t>
      </w:r>
      <w:r w:rsidR="00581A32">
        <w:t>t</w:t>
      </w:r>
      <w:r w:rsidR="001955C8">
        <w:t>ics</w:t>
      </w:r>
      <w:r w:rsidR="00341DA8">
        <w:t>,</w:t>
      </w:r>
      <w:r w:rsidR="001955C8">
        <w:t xml:space="preserve"> </w:t>
      </w:r>
      <w:r w:rsidR="00FA1946">
        <w:t>Measured Decisions Inc., and Mike Puma Associates, LLC</w:t>
      </w:r>
      <w:r w:rsidR="00FA1946" w:rsidRPr="00482B5F" w:rsidDel="00FA1946">
        <w:t xml:space="preserve"> </w:t>
      </w:r>
      <w:r w:rsidRPr="00482B5F">
        <w:t xml:space="preserve">(the i3 Evaluation Team) for the Institute of Education Sciences (IES), U.S. </w:t>
      </w:r>
      <w:r w:rsidRPr="00793C49">
        <w:t>Department of Education.</w:t>
      </w:r>
      <w:r>
        <w:t xml:space="preserve"> With IES oversight, the contractors for the evaluation are responsible </w:t>
      </w:r>
      <w:r w:rsidR="00341DA8">
        <w:t xml:space="preserve">for </w:t>
      </w:r>
      <w:r>
        <w:t>study design, instrument development, data collection, analysis, and report preparation.</w:t>
      </w:r>
    </w:p>
    <w:p w14:paraId="64469001" w14:textId="77777777" w:rsidR="00705B7D" w:rsidRDefault="00705B7D" w:rsidP="00705B7D">
      <w:pPr>
        <w:pStyle w:val="BodyText"/>
      </w:pPr>
      <w:r>
        <w:t xml:space="preserve">The individuals listed in Exhibit B.2 worked closely in developing the </w:t>
      </w:r>
      <w:r w:rsidR="00BD7597">
        <w:t xml:space="preserve">data collection </w:t>
      </w:r>
      <w:r>
        <w:t>instruments and will have primary responsibility for the data collection and data analysis. Contact information for these individuals is provided below.</w:t>
      </w:r>
    </w:p>
    <w:p w14:paraId="020F6244" w14:textId="77777777" w:rsidR="00705B7D" w:rsidRPr="00F6259C" w:rsidRDefault="00705B7D" w:rsidP="00705B7D">
      <w:pPr>
        <w:pStyle w:val="Caption"/>
      </w:pPr>
      <w:r w:rsidRPr="00F6259C">
        <w:t xml:space="preserve">Exhibit B.2: Key </w:t>
      </w:r>
      <w:r>
        <w:t>Individuals Consulted</w:t>
      </w:r>
    </w:p>
    <w:tbl>
      <w:tblPr>
        <w:tblW w:w="954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2160"/>
        <w:gridCol w:w="5760"/>
        <w:gridCol w:w="1620"/>
      </w:tblGrid>
      <w:tr w:rsidR="00705B7D" w:rsidRPr="00E265BC" w14:paraId="3976ED60" w14:textId="77777777" w:rsidTr="00705B7D">
        <w:trPr>
          <w:cantSplit/>
        </w:trPr>
        <w:tc>
          <w:tcPr>
            <w:tcW w:w="2160" w:type="dxa"/>
            <w:shd w:val="clear" w:color="auto" w:fill="C3C6A8" w:themeFill="accent4"/>
            <w:vAlign w:val="bottom"/>
          </w:tcPr>
          <w:p w14:paraId="23396D66" w14:textId="77777777" w:rsidR="00705B7D" w:rsidRPr="00E265BC" w:rsidRDefault="00705B7D" w:rsidP="009F0171">
            <w:pPr>
              <w:pStyle w:val="Table"/>
              <w:spacing w:before="60" w:after="40"/>
              <w:rPr>
                <w:b/>
              </w:rPr>
            </w:pPr>
            <w:r w:rsidRPr="00E265BC">
              <w:rPr>
                <w:b/>
              </w:rPr>
              <w:t>Name</w:t>
            </w:r>
          </w:p>
        </w:tc>
        <w:tc>
          <w:tcPr>
            <w:tcW w:w="5760" w:type="dxa"/>
            <w:shd w:val="clear" w:color="auto" w:fill="C3C6A8" w:themeFill="accent4"/>
            <w:vAlign w:val="bottom"/>
          </w:tcPr>
          <w:p w14:paraId="6D26995A" w14:textId="77777777" w:rsidR="00705B7D" w:rsidRPr="00E265BC" w:rsidRDefault="00705B7D" w:rsidP="009F0171">
            <w:pPr>
              <w:pStyle w:val="Table"/>
              <w:spacing w:before="60" w:after="40"/>
              <w:rPr>
                <w:b/>
              </w:rPr>
            </w:pPr>
            <w:r w:rsidRPr="00E265BC">
              <w:rPr>
                <w:b/>
              </w:rPr>
              <w:t>Title/Affiliation</w:t>
            </w:r>
          </w:p>
        </w:tc>
        <w:tc>
          <w:tcPr>
            <w:tcW w:w="1620" w:type="dxa"/>
            <w:shd w:val="clear" w:color="auto" w:fill="C3C6A8" w:themeFill="accent4"/>
            <w:vAlign w:val="bottom"/>
          </w:tcPr>
          <w:p w14:paraId="7CD6047B" w14:textId="77777777" w:rsidR="00705B7D" w:rsidRPr="00E265BC" w:rsidRDefault="00705B7D" w:rsidP="009F0171">
            <w:pPr>
              <w:pStyle w:val="Table"/>
              <w:spacing w:before="60" w:after="40"/>
              <w:rPr>
                <w:b/>
              </w:rPr>
            </w:pPr>
            <w:r w:rsidRPr="00E265BC">
              <w:rPr>
                <w:b/>
              </w:rPr>
              <w:t>Telephone</w:t>
            </w:r>
          </w:p>
        </w:tc>
      </w:tr>
      <w:tr w:rsidR="00705B7D" w:rsidRPr="00E265BC" w14:paraId="18CEF6E3" w14:textId="77777777" w:rsidTr="00705B7D">
        <w:trPr>
          <w:cantSplit/>
        </w:trPr>
        <w:tc>
          <w:tcPr>
            <w:tcW w:w="2160" w:type="dxa"/>
            <w:shd w:val="clear" w:color="auto" w:fill="auto"/>
          </w:tcPr>
          <w:p w14:paraId="227D5E1C" w14:textId="77777777" w:rsidR="00705B7D" w:rsidRPr="00E265BC" w:rsidRDefault="00705B7D" w:rsidP="009F0171">
            <w:pPr>
              <w:pStyle w:val="Table"/>
              <w:spacing w:before="40" w:after="40"/>
              <w:rPr>
                <w:rFonts w:cs="Arial"/>
              </w:rPr>
            </w:pPr>
            <w:r w:rsidRPr="00E265BC">
              <w:rPr>
                <w:rFonts w:cs="Arial"/>
              </w:rPr>
              <w:t xml:space="preserve">Beth Boulay </w:t>
            </w:r>
          </w:p>
        </w:tc>
        <w:tc>
          <w:tcPr>
            <w:tcW w:w="5760" w:type="dxa"/>
            <w:shd w:val="clear" w:color="auto" w:fill="auto"/>
          </w:tcPr>
          <w:p w14:paraId="3E9010AB" w14:textId="77777777" w:rsidR="00705B7D" w:rsidRPr="00E265BC" w:rsidRDefault="00705B7D" w:rsidP="009F0171">
            <w:pPr>
              <w:pStyle w:val="Table"/>
              <w:spacing w:before="40" w:after="40"/>
              <w:rPr>
                <w:rFonts w:cs="Arial"/>
              </w:rPr>
            </w:pPr>
            <w:r w:rsidRPr="00E265BC">
              <w:rPr>
                <w:rFonts w:cs="Arial"/>
              </w:rPr>
              <w:t>Project Director, Abt</w:t>
            </w:r>
            <w:r>
              <w:rPr>
                <w:rFonts w:cs="Arial"/>
              </w:rPr>
              <w:t xml:space="preserve"> Associates</w:t>
            </w:r>
          </w:p>
        </w:tc>
        <w:tc>
          <w:tcPr>
            <w:tcW w:w="1620" w:type="dxa"/>
            <w:shd w:val="clear" w:color="auto" w:fill="auto"/>
          </w:tcPr>
          <w:p w14:paraId="37DC4850" w14:textId="77777777" w:rsidR="00705B7D" w:rsidRPr="00E265BC" w:rsidRDefault="00705B7D" w:rsidP="009F0171">
            <w:pPr>
              <w:pStyle w:val="Table"/>
              <w:spacing w:before="40" w:after="40"/>
              <w:rPr>
                <w:rFonts w:cs="Arial"/>
              </w:rPr>
            </w:pPr>
            <w:r w:rsidRPr="00E265BC">
              <w:rPr>
                <w:rFonts w:cs="Arial"/>
              </w:rPr>
              <w:t>617-520-</w:t>
            </w:r>
            <w:r>
              <w:rPr>
                <w:rFonts w:cs="Arial"/>
              </w:rPr>
              <w:t>2903</w:t>
            </w:r>
          </w:p>
        </w:tc>
      </w:tr>
      <w:tr w:rsidR="00705B7D" w:rsidRPr="00E265BC" w14:paraId="5D0755CE" w14:textId="77777777" w:rsidTr="00705B7D">
        <w:trPr>
          <w:cantSplit/>
          <w:trHeight w:val="315"/>
        </w:trPr>
        <w:tc>
          <w:tcPr>
            <w:tcW w:w="2160" w:type="dxa"/>
            <w:shd w:val="clear" w:color="auto" w:fill="auto"/>
          </w:tcPr>
          <w:p w14:paraId="56E2236D" w14:textId="77777777" w:rsidR="00705B7D" w:rsidRPr="00E265BC" w:rsidRDefault="00705B7D" w:rsidP="009F0171">
            <w:pPr>
              <w:pStyle w:val="Table"/>
              <w:spacing w:before="40" w:after="40"/>
              <w:rPr>
                <w:rFonts w:cs="Arial"/>
              </w:rPr>
            </w:pPr>
            <w:r w:rsidRPr="00E265BC">
              <w:rPr>
                <w:rFonts w:cs="Arial"/>
              </w:rPr>
              <w:t>Barbara Goodson</w:t>
            </w:r>
          </w:p>
        </w:tc>
        <w:tc>
          <w:tcPr>
            <w:tcW w:w="5760" w:type="dxa"/>
            <w:shd w:val="clear" w:color="auto" w:fill="auto"/>
          </w:tcPr>
          <w:p w14:paraId="3C75F8F2" w14:textId="77777777" w:rsidR="00705B7D" w:rsidRPr="00E265BC" w:rsidRDefault="00705B7D" w:rsidP="00B952E4">
            <w:pPr>
              <w:pStyle w:val="Table"/>
              <w:spacing w:before="40" w:after="40"/>
              <w:rPr>
                <w:rFonts w:cs="Arial"/>
              </w:rPr>
            </w:pPr>
            <w:r>
              <w:rPr>
                <w:rFonts w:cs="Arial"/>
              </w:rPr>
              <w:t xml:space="preserve">Principal Investigator, </w:t>
            </w:r>
            <w:r w:rsidR="00B952E4">
              <w:rPr>
                <w:rFonts w:cs="Arial"/>
              </w:rPr>
              <w:t>Abt Associates</w:t>
            </w:r>
          </w:p>
        </w:tc>
        <w:tc>
          <w:tcPr>
            <w:tcW w:w="1620" w:type="dxa"/>
            <w:shd w:val="clear" w:color="auto" w:fill="auto"/>
          </w:tcPr>
          <w:p w14:paraId="14DC286B" w14:textId="77777777" w:rsidR="00705B7D" w:rsidRPr="00E265BC" w:rsidRDefault="00705B7D" w:rsidP="009F0171">
            <w:pPr>
              <w:pStyle w:val="Table"/>
              <w:spacing w:before="40" w:after="40"/>
              <w:rPr>
                <w:rFonts w:cs="Arial"/>
              </w:rPr>
            </w:pPr>
            <w:r w:rsidRPr="00E265BC">
              <w:rPr>
                <w:rFonts w:cs="Arial"/>
              </w:rPr>
              <w:t>617-</w:t>
            </w:r>
            <w:r>
              <w:rPr>
                <w:rFonts w:cs="Arial"/>
              </w:rPr>
              <w:t>349-2811</w:t>
            </w:r>
          </w:p>
        </w:tc>
      </w:tr>
      <w:tr w:rsidR="00705B7D" w:rsidRPr="00E265BC" w14:paraId="17CCAF14" w14:textId="77777777" w:rsidTr="00705B7D">
        <w:trPr>
          <w:cantSplit/>
        </w:trPr>
        <w:tc>
          <w:tcPr>
            <w:tcW w:w="2160" w:type="dxa"/>
            <w:shd w:val="clear" w:color="auto" w:fill="auto"/>
          </w:tcPr>
          <w:p w14:paraId="7D739DDE" w14:textId="77777777" w:rsidR="00705B7D" w:rsidRPr="00E265BC" w:rsidRDefault="00705B7D" w:rsidP="009F0171">
            <w:pPr>
              <w:pStyle w:val="Table"/>
              <w:spacing w:before="40" w:after="40"/>
              <w:rPr>
                <w:rFonts w:cs="Arial"/>
              </w:rPr>
            </w:pPr>
            <w:r>
              <w:rPr>
                <w:rFonts w:cs="Arial"/>
              </w:rPr>
              <w:t>Rachel McCormick</w:t>
            </w:r>
          </w:p>
        </w:tc>
        <w:tc>
          <w:tcPr>
            <w:tcW w:w="5760" w:type="dxa"/>
            <w:shd w:val="clear" w:color="auto" w:fill="auto"/>
          </w:tcPr>
          <w:p w14:paraId="577C4C47" w14:textId="77777777" w:rsidR="00705B7D" w:rsidRPr="00E265BC" w:rsidRDefault="00705B7D" w:rsidP="009F0171">
            <w:pPr>
              <w:pStyle w:val="Table"/>
              <w:spacing w:before="40" w:after="40"/>
              <w:rPr>
                <w:rFonts w:cs="Arial"/>
              </w:rPr>
            </w:pPr>
            <w:r w:rsidRPr="00E265BC">
              <w:rPr>
                <w:rFonts w:cs="Arial"/>
              </w:rPr>
              <w:t>Deputy Project Director, Abt</w:t>
            </w:r>
            <w:r>
              <w:rPr>
                <w:rFonts w:cs="Arial"/>
              </w:rPr>
              <w:t xml:space="preserve"> Associates</w:t>
            </w:r>
          </w:p>
        </w:tc>
        <w:tc>
          <w:tcPr>
            <w:tcW w:w="1620" w:type="dxa"/>
            <w:shd w:val="clear" w:color="auto" w:fill="auto"/>
          </w:tcPr>
          <w:p w14:paraId="568718BB" w14:textId="77777777" w:rsidR="00705B7D" w:rsidRPr="00E265BC" w:rsidRDefault="00705B7D" w:rsidP="00BA170A">
            <w:pPr>
              <w:pStyle w:val="Table"/>
              <w:spacing w:before="40" w:after="40"/>
              <w:rPr>
                <w:rFonts w:cs="Arial"/>
              </w:rPr>
            </w:pPr>
            <w:r w:rsidRPr="00E265BC">
              <w:rPr>
                <w:rFonts w:cs="Arial"/>
              </w:rPr>
              <w:t>617-</w:t>
            </w:r>
            <w:r w:rsidR="00BA170A">
              <w:rPr>
                <w:rFonts w:cs="Arial"/>
              </w:rPr>
              <w:t>520</w:t>
            </w:r>
            <w:r>
              <w:rPr>
                <w:rFonts w:cs="Arial"/>
              </w:rPr>
              <w:t>-</w:t>
            </w:r>
            <w:r w:rsidR="00BA170A">
              <w:rPr>
                <w:rFonts w:cs="Arial"/>
              </w:rPr>
              <w:t>2668</w:t>
            </w:r>
          </w:p>
        </w:tc>
      </w:tr>
      <w:tr w:rsidR="00705B7D" w:rsidRPr="00B952E4" w14:paraId="5892851A" w14:textId="77777777" w:rsidTr="00705B7D">
        <w:trPr>
          <w:cantSplit/>
        </w:trPr>
        <w:tc>
          <w:tcPr>
            <w:tcW w:w="2160" w:type="dxa"/>
            <w:shd w:val="clear" w:color="auto" w:fill="auto"/>
          </w:tcPr>
          <w:p w14:paraId="22655062" w14:textId="77777777" w:rsidR="00705B7D" w:rsidRPr="00BA170A" w:rsidRDefault="00705B7D" w:rsidP="009F0171">
            <w:pPr>
              <w:pStyle w:val="Table"/>
              <w:spacing w:before="40" w:after="40"/>
              <w:rPr>
                <w:rFonts w:cs="Arial"/>
              </w:rPr>
            </w:pPr>
            <w:r w:rsidRPr="00BA170A">
              <w:rPr>
                <w:rFonts w:cs="Arial"/>
              </w:rPr>
              <w:t>Rob Olsen</w:t>
            </w:r>
          </w:p>
        </w:tc>
        <w:tc>
          <w:tcPr>
            <w:tcW w:w="5760" w:type="dxa"/>
            <w:shd w:val="clear" w:color="auto" w:fill="auto"/>
          </w:tcPr>
          <w:p w14:paraId="23C98955" w14:textId="77777777" w:rsidR="00705B7D" w:rsidRPr="00BA170A" w:rsidRDefault="00705B7D" w:rsidP="00BA170A">
            <w:pPr>
              <w:pStyle w:val="Table"/>
              <w:spacing w:before="40" w:after="40"/>
              <w:rPr>
                <w:rFonts w:cs="Arial"/>
              </w:rPr>
            </w:pPr>
            <w:r w:rsidRPr="00BA170A">
              <w:t>Analysis and Reporting Leader</w:t>
            </w:r>
            <w:r w:rsidRPr="00BA170A">
              <w:rPr>
                <w:rFonts w:cs="Arial"/>
              </w:rPr>
              <w:t xml:space="preserve">, </w:t>
            </w:r>
            <w:r w:rsidR="00BA170A">
              <w:rPr>
                <w:rFonts w:cs="Arial"/>
              </w:rPr>
              <w:t>Rob Olsen, LLC</w:t>
            </w:r>
          </w:p>
        </w:tc>
        <w:tc>
          <w:tcPr>
            <w:tcW w:w="1620" w:type="dxa"/>
            <w:shd w:val="clear" w:color="auto" w:fill="auto"/>
          </w:tcPr>
          <w:p w14:paraId="05A65188" w14:textId="77777777" w:rsidR="00705B7D" w:rsidRPr="00BA170A" w:rsidRDefault="006349C5" w:rsidP="009F0171">
            <w:pPr>
              <w:pStyle w:val="Table"/>
              <w:spacing w:before="40" w:after="40"/>
              <w:rPr>
                <w:rFonts w:cs="Arial"/>
              </w:rPr>
            </w:pPr>
            <w:r>
              <w:rPr>
                <w:rFonts w:cs="Arial"/>
              </w:rPr>
              <w:t>240-461-0503</w:t>
            </w:r>
          </w:p>
        </w:tc>
      </w:tr>
      <w:tr w:rsidR="00672311" w:rsidRPr="00E265BC" w:rsidDel="00220788" w14:paraId="5C767312" w14:textId="77777777" w:rsidTr="00705B7D">
        <w:trPr>
          <w:cantSplit/>
        </w:trPr>
        <w:tc>
          <w:tcPr>
            <w:tcW w:w="2160" w:type="dxa"/>
            <w:shd w:val="clear" w:color="auto" w:fill="auto"/>
          </w:tcPr>
          <w:p w14:paraId="08092737" w14:textId="77777777" w:rsidR="00672311" w:rsidRPr="00BA170A" w:rsidDel="00BA170A" w:rsidRDefault="00672311" w:rsidP="009F0171">
            <w:pPr>
              <w:pStyle w:val="Table"/>
              <w:spacing w:before="40" w:after="40"/>
              <w:rPr>
                <w:rFonts w:cs="Arial"/>
              </w:rPr>
            </w:pPr>
            <w:r>
              <w:rPr>
                <w:rFonts w:cs="Arial"/>
              </w:rPr>
              <w:t>Eleanor Harvill</w:t>
            </w:r>
          </w:p>
        </w:tc>
        <w:tc>
          <w:tcPr>
            <w:tcW w:w="5760" w:type="dxa"/>
            <w:shd w:val="clear" w:color="auto" w:fill="auto"/>
          </w:tcPr>
          <w:p w14:paraId="62322A9E" w14:textId="77777777" w:rsidR="00672311" w:rsidRPr="00BA170A" w:rsidDel="00BA170A" w:rsidRDefault="00672311" w:rsidP="009F0171">
            <w:pPr>
              <w:pStyle w:val="Table"/>
              <w:spacing w:before="40" w:after="40"/>
              <w:rPr>
                <w:rFonts w:cs="Arial"/>
              </w:rPr>
            </w:pPr>
            <w:r>
              <w:rPr>
                <w:rFonts w:cs="Arial"/>
              </w:rPr>
              <w:t>Associate, Abt Associates</w:t>
            </w:r>
          </w:p>
        </w:tc>
        <w:tc>
          <w:tcPr>
            <w:tcW w:w="1620" w:type="dxa"/>
            <w:shd w:val="clear" w:color="auto" w:fill="auto"/>
          </w:tcPr>
          <w:p w14:paraId="3999CDBC" w14:textId="77777777" w:rsidR="00672311" w:rsidRPr="00BA170A" w:rsidDel="00BA170A" w:rsidRDefault="00672311" w:rsidP="009F0171">
            <w:pPr>
              <w:pStyle w:val="Table"/>
              <w:spacing w:before="40" w:after="40"/>
              <w:rPr>
                <w:rFonts w:cs="Arial"/>
              </w:rPr>
            </w:pPr>
            <w:r>
              <w:rPr>
                <w:rFonts w:cs="Arial"/>
              </w:rPr>
              <w:t>301-347-5638</w:t>
            </w:r>
          </w:p>
        </w:tc>
      </w:tr>
      <w:tr w:rsidR="00705B7D" w:rsidRPr="00600EB4" w14:paraId="5CF1BCDD" w14:textId="77777777" w:rsidTr="00705B7D">
        <w:trPr>
          <w:cantSplit/>
        </w:trPr>
        <w:tc>
          <w:tcPr>
            <w:tcW w:w="2160" w:type="dxa"/>
          </w:tcPr>
          <w:p w14:paraId="47296835" w14:textId="77777777" w:rsidR="00705B7D" w:rsidRPr="00E265BC" w:rsidRDefault="00705B7D" w:rsidP="009F0171">
            <w:pPr>
              <w:pStyle w:val="Table"/>
              <w:spacing w:before="40" w:after="40"/>
              <w:rPr>
                <w:rFonts w:cs="Arial"/>
              </w:rPr>
            </w:pPr>
            <w:r>
              <w:rPr>
                <w:rFonts w:cs="Arial"/>
              </w:rPr>
              <w:t>Catherine Darrow</w:t>
            </w:r>
          </w:p>
        </w:tc>
        <w:tc>
          <w:tcPr>
            <w:tcW w:w="5760" w:type="dxa"/>
          </w:tcPr>
          <w:p w14:paraId="1A8F9DF6" w14:textId="77777777" w:rsidR="00705B7D" w:rsidRPr="00EA6694" w:rsidRDefault="00B952E4" w:rsidP="009F0171">
            <w:pPr>
              <w:pStyle w:val="Table"/>
              <w:spacing w:before="40" w:after="40"/>
              <w:rPr>
                <w:rFonts w:cs="Arial"/>
              </w:rPr>
            </w:pPr>
            <w:r>
              <w:rPr>
                <w:rFonts w:cs="Arial"/>
              </w:rPr>
              <w:t xml:space="preserve">Senior </w:t>
            </w:r>
            <w:r w:rsidR="00705B7D">
              <w:rPr>
                <w:rFonts w:cs="Arial"/>
              </w:rPr>
              <w:t>Associate, Abt Associates</w:t>
            </w:r>
          </w:p>
        </w:tc>
        <w:tc>
          <w:tcPr>
            <w:tcW w:w="1620" w:type="dxa"/>
          </w:tcPr>
          <w:p w14:paraId="12AB9EA4" w14:textId="77777777" w:rsidR="00705B7D" w:rsidRPr="00EA6694" w:rsidRDefault="00705B7D" w:rsidP="009F0171">
            <w:pPr>
              <w:pStyle w:val="Table"/>
              <w:spacing w:before="40" w:after="40"/>
              <w:rPr>
                <w:rFonts w:cs="Arial"/>
              </w:rPr>
            </w:pPr>
            <w:r w:rsidRPr="00882A9A">
              <w:rPr>
                <w:rFonts w:cs="Arial"/>
              </w:rPr>
              <w:t>617-520-3034</w:t>
            </w:r>
          </w:p>
        </w:tc>
      </w:tr>
    </w:tbl>
    <w:p w14:paraId="40E74878" w14:textId="77777777" w:rsidR="00705B7D" w:rsidRPr="00B94569" w:rsidRDefault="00705B7D" w:rsidP="00705B7D">
      <w:pPr>
        <w:pStyle w:val="BodyText"/>
      </w:pPr>
    </w:p>
    <w:p w14:paraId="03D409CD" w14:textId="77777777" w:rsidR="00705B7D" w:rsidRPr="008D5B0D" w:rsidRDefault="00705B7D" w:rsidP="00705B7D">
      <w:pPr>
        <w:pStyle w:val="BodyText"/>
      </w:pPr>
    </w:p>
    <w:sectPr w:rsidR="00705B7D" w:rsidRPr="008D5B0D" w:rsidSect="00076355">
      <w:headerReference w:type="default" r:id="rId14"/>
      <w:footerReference w:type="default" r:id="rId15"/>
      <w:type w:val="continuous"/>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B3009" w14:textId="77777777" w:rsidR="00427144" w:rsidRDefault="00427144" w:rsidP="00D979EA">
      <w:r>
        <w:separator/>
      </w:r>
    </w:p>
  </w:endnote>
  <w:endnote w:type="continuationSeparator" w:id="0">
    <w:p w14:paraId="1D7D6151" w14:textId="77777777" w:rsidR="00427144" w:rsidRDefault="0042714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ITC Franklin Gothic Std MedCd">
    <w:altName w:val="ITC Franklin Gothic Std Med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4FCA4" w14:textId="77777777" w:rsidR="00B25390" w:rsidRDefault="00B25390"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E830" w14:textId="77777777" w:rsidR="00B25390" w:rsidRPr="0066134E" w:rsidRDefault="00B25390" w:rsidP="001A601E">
    <w:pPr>
      <w:pStyle w:val="Footer"/>
      <w:tabs>
        <w:tab w:val="clear" w:pos="4507"/>
        <w:tab w:val="clear" w:pos="9000"/>
        <w:tab w:val="right" w:pos="9360"/>
      </w:tabs>
    </w:pPr>
    <w:r w:rsidRPr="00967D7C">
      <w:rPr>
        <w:color w:val="DA291C"/>
      </w:rPr>
      <w:t>Abt Associ</w:t>
    </w:r>
    <w:r>
      <w:rPr>
        <w:color w:val="DA291C"/>
      </w:rPr>
      <w:t xml:space="preserve">ates </w:t>
    </w:r>
    <w:r w:rsidRPr="0066134E">
      <w:rPr>
        <w:rStyle w:val="PageNumber"/>
        <w:b/>
      </w:rPr>
      <w:tab/>
    </w:r>
    <w:r w:rsidR="001A601E" w:rsidRPr="001A601E">
      <w:rPr>
        <w:rStyle w:val="PageNumber"/>
        <w:b/>
      </w:rPr>
      <w:t>i3</w:t>
    </w:r>
    <w:r w:rsidR="001A601E" w:rsidRPr="003865C2">
      <w:rPr>
        <w:rStyle w:val="PageNumber"/>
        <w:rFonts w:cs="Arial"/>
        <w:b/>
        <w:szCs w:val="18"/>
      </w:rPr>
      <w:t xml:space="preserve"> </w:t>
    </w:r>
    <w:r w:rsidR="003865C2" w:rsidRPr="003865C2">
      <w:rPr>
        <w:rStyle w:val="PageNumber"/>
        <w:rFonts w:cs="Arial"/>
        <w:b/>
        <w:szCs w:val="18"/>
      </w:rPr>
      <w:t>Technical Assistance and Evaluation Project</w:t>
    </w:r>
    <w:r w:rsidR="003865C2" w:rsidRPr="007614D5">
      <w:rPr>
        <w:rStyle w:val="PageNumber"/>
        <w:rFonts w:ascii="Times New Roman" w:hAnsi="Times New Roman"/>
        <w:b/>
        <w:sz w:val="22"/>
        <w:szCs w:val="22"/>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163D6">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64D80" w14:textId="77777777" w:rsidR="00564185" w:rsidRPr="00564185" w:rsidRDefault="00564185" w:rsidP="001A601E">
    <w:pPr>
      <w:pStyle w:val="Footer"/>
      <w:tabs>
        <w:tab w:val="clear" w:pos="4507"/>
        <w:tab w:val="clear" w:pos="9000"/>
        <w:tab w:val="right" w:pos="9360"/>
        <w:tab w:val="right" w:pos="12960"/>
      </w:tabs>
    </w:pPr>
    <w:r>
      <w:rPr>
        <w:color w:val="DA291C"/>
      </w:rPr>
      <w:t xml:space="preserve">Abt Associates </w:t>
    </w:r>
    <w:r w:rsidRPr="0066134E">
      <w:tab/>
    </w:r>
    <w:r w:rsidR="001A601E" w:rsidRPr="001A601E">
      <w:rPr>
        <w:rStyle w:val="PageNumber"/>
        <w:b/>
      </w:rPr>
      <w:t xml:space="preserve">i3 </w:t>
    </w:r>
    <w:r w:rsidR="003865C2" w:rsidRPr="003865C2">
      <w:rPr>
        <w:rStyle w:val="PageNumber"/>
        <w:rFonts w:cs="Arial"/>
        <w:b/>
        <w:szCs w:val="18"/>
      </w:rPr>
      <w:t>Technical Assistance and Evaluation Project</w:t>
    </w:r>
    <w:r w:rsidR="003865C2" w:rsidRPr="007614D5">
      <w:rPr>
        <w:rStyle w:val="PageNumber"/>
        <w:rFonts w:ascii="Times New Roman" w:hAnsi="Times New Roman"/>
        <w:b/>
        <w:sz w:val="22"/>
        <w:szCs w:val="22"/>
      </w:rPr>
      <w:t xml:space="preserve">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47464F">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152B2" w14:textId="77777777" w:rsidR="00427144" w:rsidRDefault="00427144" w:rsidP="00D979EA">
      <w:r>
        <w:separator/>
      </w:r>
    </w:p>
  </w:footnote>
  <w:footnote w:type="continuationSeparator" w:id="0">
    <w:p w14:paraId="15ECFA6B" w14:textId="77777777" w:rsidR="00427144" w:rsidRDefault="00427144" w:rsidP="00D979EA">
      <w:r>
        <w:continuationSeparator/>
      </w:r>
    </w:p>
  </w:footnote>
  <w:footnote w:id="1">
    <w:p w14:paraId="206E8E62" w14:textId="77777777" w:rsidR="00004CB1" w:rsidRDefault="00004CB1">
      <w:pPr>
        <w:pStyle w:val="FootnoteText"/>
      </w:pPr>
      <w:r>
        <w:rPr>
          <w:rStyle w:val="FootnoteReference"/>
        </w:rPr>
        <w:footnoteRef/>
      </w:r>
      <w:r>
        <w:t xml:space="preserve"> See </w:t>
      </w:r>
      <w:hyperlink r:id="rId1" w:history="1">
        <w:r w:rsidRPr="00D51F7A">
          <w:rPr>
            <w:rStyle w:val="Hyperlink"/>
          </w:rPr>
          <w:t>http://ies.ed.gov/ncee/wwc/pdf/reference_resources/wwc_procedures_v3_0_draft_standards_handbook.pdf</w:t>
        </w:r>
      </w:hyperlink>
      <w:r>
        <w:t xml:space="preserve"> for WWC evidence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4BD30" w14:textId="77777777" w:rsidR="001A601E" w:rsidRDefault="001A601E" w:rsidP="001A60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A01D6" w14:textId="77777777" w:rsidR="00B25390" w:rsidRPr="007E78C1" w:rsidRDefault="00B25390" w:rsidP="00133465">
    <w:pPr>
      <w:pStyle w:val="Header"/>
    </w:pPr>
    <w:r w:rsidRPr="007E78C1">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2525" w14:textId="77777777" w:rsidR="00B25390" w:rsidRPr="007E78C1" w:rsidRDefault="001A601E" w:rsidP="00133465">
    <w:pPr>
      <w:pStyle w:val="Header"/>
    </w:pPr>
    <w:r w:rsidRPr="001A601E">
      <w:t xml:space="preserve">OMB Clearance Package – Part </w:t>
    </w:r>
    <w:r w:rsidR="006718F3">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CD4"/>
    <w:multiLevelType w:val="hybridMultilevel"/>
    <w:tmpl w:val="2D463C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D4475"/>
    <w:multiLevelType w:val="hybridMultilevel"/>
    <w:tmpl w:val="E4CA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13363"/>
    <w:multiLevelType w:val="hybridMultilevel"/>
    <w:tmpl w:val="A13AB726"/>
    <w:lvl w:ilvl="0" w:tplc="04090001">
      <w:start w:val="1"/>
      <w:numFmt w:val="bullet"/>
      <w:lvlText w:val=""/>
      <w:lvlJc w:val="left"/>
      <w:pPr>
        <w:tabs>
          <w:tab w:val="num" w:pos="720"/>
        </w:tabs>
        <w:ind w:left="720" w:hanging="360"/>
      </w:pPr>
      <w:rPr>
        <w:rFonts w:ascii="Symbol" w:hAnsi="Symbol" w:hint="default"/>
      </w:rPr>
    </w:lvl>
    <w:lvl w:ilvl="1" w:tplc="21901678">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0B016B"/>
    <w:multiLevelType w:val="hybridMultilevel"/>
    <w:tmpl w:val="0346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53884"/>
    <w:multiLevelType w:val="hybridMultilevel"/>
    <w:tmpl w:val="E1EE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92E79"/>
    <w:multiLevelType w:val="hybridMultilevel"/>
    <w:tmpl w:val="2B884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91A7E83"/>
    <w:multiLevelType w:val="hybridMultilevel"/>
    <w:tmpl w:val="52FAB7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806D3"/>
    <w:multiLevelType w:val="hybridMultilevel"/>
    <w:tmpl w:val="81926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42528B"/>
    <w:multiLevelType w:val="hybridMultilevel"/>
    <w:tmpl w:val="C6D8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63513"/>
    <w:multiLevelType w:val="hybridMultilevel"/>
    <w:tmpl w:val="B9021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294395"/>
    <w:multiLevelType w:val="hybridMultilevel"/>
    <w:tmpl w:val="D868A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425F7"/>
    <w:multiLevelType w:val="multilevel"/>
    <w:tmpl w:val="F1F62A8C"/>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0B8141C"/>
    <w:multiLevelType w:val="hybridMultilevel"/>
    <w:tmpl w:val="25489052"/>
    <w:lvl w:ilvl="0" w:tplc="2F8686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35D92"/>
    <w:multiLevelType w:val="hybridMultilevel"/>
    <w:tmpl w:val="0BF63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A46A69"/>
    <w:multiLevelType w:val="hybridMultilevel"/>
    <w:tmpl w:val="F0B4F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A17DD7"/>
    <w:multiLevelType w:val="hybridMultilevel"/>
    <w:tmpl w:val="D78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578E1"/>
    <w:multiLevelType w:val="hybridMultilevel"/>
    <w:tmpl w:val="36B2A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0037D3"/>
    <w:multiLevelType w:val="hybridMultilevel"/>
    <w:tmpl w:val="E01AE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4D2310"/>
    <w:multiLevelType w:val="hybridMultilevel"/>
    <w:tmpl w:val="F538243A"/>
    <w:lvl w:ilvl="0" w:tplc="80C6C2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C62C62"/>
    <w:multiLevelType w:val="hybridMultilevel"/>
    <w:tmpl w:val="CD105B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ECE45B3"/>
    <w:multiLevelType w:val="hybridMultilevel"/>
    <w:tmpl w:val="36A27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9D1A00"/>
    <w:multiLevelType w:val="hybridMultilevel"/>
    <w:tmpl w:val="425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221A1D"/>
    <w:multiLevelType w:val="hybridMultilevel"/>
    <w:tmpl w:val="4B427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EBE1EF4">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7B4E0A"/>
    <w:multiLevelType w:val="hybridMultilevel"/>
    <w:tmpl w:val="1C00A7EA"/>
    <w:lvl w:ilvl="0" w:tplc="65C6CD6A">
      <w:start w:val="1"/>
      <w:numFmt w:val="bullet"/>
      <w:lvlText w:val=""/>
      <w:lvlJc w:val="left"/>
      <w:pPr>
        <w:tabs>
          <w:tab w:val="num" w:pos="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AE747D"/>
    <w:multiLevelType w:val="hybridMultilevel"/>
    <w:tmpl w:val="B19E882C"/>
    <w:lvl w:ilvl="0" w:tplc="86B09D82">
      <w:start w:val="1"/>
      <w:numFmt w:val="bullet"/>
      <w:pStyle w:val="Bullets"/>
      <w:lvlText w:val=""/>
      <w:lvlJc w:val="left"/>
      <w:pPr>
        <w:tabs>
          <w:tab w:val="num" w:pos="720"/>
        </w:tabs>
        <w:ind w:left="720" w:hanging="360"/>
      </w:pPr>
      <w:rPr>
        <w:rFonts w:ascii="Symbol" w:hAnsi="Symbol" w:hint="default"/>
        <w:color w:val="DA0E1C"/>
      </w:rPr>
    </w:lvl>
    <w:lvl w:ilvl="1" w:tplc="04090003">
      <w:start w:val="1"/>
      <w:numFmt w:val="bullet"/>
      <w:lvlText w:val="o"/>
      <w:lvlJc w:val="left"/>
      <w:pPr>
        <w:tabs>
          <w:tab w:val="num" w:pos="1440"/>
        </w:tabs>
        <w:ind w:left="1440" w:hanging="360"/>
      </w:pPr>
      <w:rPr>
        <w:rFonts w:ascii="Courier New" w:hAnsi="Courier New" w:cs="Courier New" w:hint="default"/>
      </w:rPr>
    </w:lvl>
    <w:lvl w:ilvl="2" w:tplc="810883F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abstractNum w:abstractNumId="29">
    <w:nsid w:val="7E7B0961"/>
    <w:multiLevelType w:val="hybridMultilevel"/>
    <w:tmpl w:val="8C005520"/>
    <w:lvl w:ilvl="0" w:tplc="1B8C14BC">
      <w:start w:val="1"/>
      <w:numFmt w:val="bullet"/>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F753D"/>
    <w:multiLevelType w:val="hybridMultilevel"/>
    <w:tmpl w:val="78EEE0FE"/>
    <w:lvl w:ilvl="0" w:tplc="210C4094">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7"/>
  </w:num>
  <w:num w:numId="3">
    <w:abstractNumId w:val="28"/>
  </w:num>
  <w:num w:numId="4">
    <w:abstractNumId w:val="30"/>
  </w:num>
  <w:num w:numId="5">
    <w:abstractNumId w:val="15"/>
  </w:num>
  <w:num w:numId="6">
    <w:abstractNumId w:val="8"/>
  </w:num>
  <w:num w:numId="7">
    <w:abstractNumId w:val="2"/>
  </w:num>
  <w:num w:numId="8">
    <w:abstractNumId w:val="18"/>
  </w:num>
  <w:num w:numId="9">
    <w:abstractNumId w:val="25"/>
  </w:num>
  <w:num w:numId="10">
    <w:abstractNumId w:val="24"/>
  </w:num>
  <w:num w:numId="11">
    <w:abstractNumId w:val="1"/>
  </w:num>
  <w:num w:numId="12">
    <w:abstractNumId w:val="17"/>
  </w:num>
  <w:num w:numId="13">
    <w:abstractNumId w:val="13"/>
  </w:num>
  <w:num w:numId="14">
    <w:abstractNumId w:val="3"/>
  </w:num>
  <w:num w:numId="15">
    <w:abstractNumId w:val="22"/>
  </w:num>
  <w:num w:numId="16">
    <w:abstractNumId w:val="4"/>
  </w:num>
  <w:num w:numId="17">
    <w:abstractNumId w:val="0"/>
  </w:num>
  <w:num w:numId="18">
    <w:abstractNumId w:val="9"/>
  </w:num>
  <w:num w:numId="19">
    <w:abstractNumId w:val="21"/>
  </w:num>
  <w:num w:numId="20">
    <w:abstractNumId w:val="11"/>
  </w:num>
  <w:num w:numId="21">
    <w:abstractNumId w:val="14"/>
  </w:num>
  <w:num w:numId="22">
    <w:abstractNumId w:val="7"/>
  </w:num>
  <w:num w:numId="23">
    <w:abstractNumId w:val="10"/>
  </w:num>
  <w:num w:numId="24">
    <w:abstractNumId w:val="5"/>
  </w:num>
  <w:num w:numId="25">
    <w:abstractNumId w:val="20"/>
  </w:num>
  <w:num w:numId="26">
    <w:abstractNumId w:val="12"/>
  </w:num>
  <w:num w:numId="27">
    <w:abstractNumId w:val="26"/>
  </w:num>
  <w:num w:numId="28">
    <w:abstractNumId w:val="23"/>
  </w:num>
  <w:num w:numId="29">
    <w:abstractNumId w:val="26"/>
  </w:num>
  <w:num w:numId="30">
    <w:abstractNumId w:val="16"/>
  </w:num>
  <w:num w:numId="31">
    <w:abstractNumId w:val="19"/>
  </w:num>
  <w:num w:numId="3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84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AE1"/>
    <w:rsid w:val="00004CB1"/>
    <w:rsid w:val="00005A77"/>
    <w:rsid w:val="00006B3A"/>
    <w:rsid w:val="000136F3"/>
    <w:rsid w:val="000163D6"/>
    <w:rsid w:val="00016E17"/>
    <w:rsid w:val="00020E37"/>
    <w:rsid w:val="0002216E"/>
    <w:rsid w:val="00040E00"/>
    <w:rsid w:val="00041243"/>
    <w:rsid w:val="00046728"/>
    <w:rsid w:val="000525E0"/>
    <w:rsid w:val="00053EEF"/>
    <w:rsid w:val="000543DC"/>
    <w:rsid w:val="00055022"/>
    <w:rsid w:val="0005750B"/>
    <w:rsid w:val="0006045E"/>
    <w:rsid w:val="0006587B"/>
    <w:rsid w:val="00070322"/>
    <w:rsid w:val="00076355"/>
    <w:rsid w:val="00082C63"/>
    <w:rsid w:val="00082D01"/>
    <w:rsid w:val="00087856"/>
    <w:rsid w:val="000902AA"/>
    <w:rsid w:val="00091C6A"/>
    <w:rsid w:val="000950CD"/>
    <w:rsid w:val="000954EC"/>
    <w:rsid w:val="00095D40"/>
    <w:rsid w:val="000A00A2"/>
    <w:rsid w:val="000A1C6D"/>
    <w:rsid w:val="000A5BB9"/>
    <w:rsid w:val="000A674E"/>
    <w:rsid w:val="000A7D69"/>
    <w:rsid w:val="000A7F2A"/>
    <w:rsid w:val="000B33D1"/>
    <w:rsid w:val="000B5F94"/>
    <w:rsid w:val="000C0A39"/>
    <w:rsid w:val="000C3040"/>
    <w:rsid w:val="000D3333"/>
    <w:rsid w:val="000D337F"/>
    <w:rsid w:val="000D4F74"/>
    <w:rsid w:val="000D53F1"/>
    <w:rsid w:val="000D5777"/>
    <w:rsid w:val="000D7922"/>
    <w:rsid w:val="000E639A"/>
    <w:rsid w:val="000E6B75"/>
    <w:rsid w:val="000E6F78"/>
    <w:rsid w:val="000F53F4"/>
    <w:rsid w:val="001034D7"/>
    <w:rsid w:val="00104F2A"/>
    <w:rsid w:val="00106043"/>
    <w:rsid w:val="001075EC"/>
    <w:rsid w:val="00107A04"/>
    <w:rsid w:val="00110D65"/>
    <w:rsid w:val="0011170B"/>
    <w:rsid w:val="001178CA"/>
    <w:rsid w:val="001307A5"/>
    <w:rsid w:val="00133465"/>
    <w:rsid w:val="00137FA1"/>
    <w:rsid w:val="00143665"/>
    <w:rsid w:val="00152153"/>
    <w:rsid w:val="00152AB4"/>
    <w:rsid w:val="00157E04"/>
    <w:rsid w:val="00160657"/>
    <w:rsid w:val="00160B87"/>
    <w:rsid w:val="00162289"/>
    <w:rsid w:val="00166459"/>
    <w:rsid w:val="001677DC"/>
    <w:rsid w:val="00172119"/>
    <w:rsid w:val="0017771C"/>
    <w:rsid w:val="00184319"/>
    <w:rsid w:val="001955C8"/>
    <w:rsid w:val="001A04CE"/>
    <w:rsid w:val="001A0E0A"/>
    <w:rsid w:val="001A23B5"/>
    <w:rsid w:val="001A403F"/>
    <w:rsid w:val="001A4633"/>
    <w:rsid w:val="001A601E"/>
    <w:rsid w:val="001B0540"/>
    <w:rsid w:val="001B4509"/>
    <w:rsid w:val="001C0221"/>
    <w:rsid w:val="001C0891"/>
    <w:rsid w:val="001C10AF"/>
    <w:rsid w:val="001D4FDD"/>
    <w:rsid w:val="001E2CF1"/>
    <w:rsid w:val="001F4AC0"/>
    <w:rsid w:val="001F4EC1"/>
    <w:rsid w:val="00200E58"/>
    <w:rsid w:val="002064D3"/>
    <w:rsid w:val="002106BF"/>
    <w:rsid w:val="002176B8"/>
    <w:rsid w:val="00220788"/>
    <w:rsid w:val="002216AD"/>
    <w:rsid w:val="00221D99"/>
    <w:rsid w:val="00223A9F"/>
    <w:rsid w:val="0022674D"/>
    <w:rsid w:val="00226FAA"/>
    <w:rsid w:val="00227977"/>
    <w:rsid w:val="0023449A"/>
    <w:rsid w:val="00235F88"/>
    <w:rsid w:val="00255975"/>
    <w:rsid w:val="00266BF2"/>
    <w:rsid w:val="002702F7"/>
    <w:rsid w:val="0027329F"/>
    <w:rsid w:val="00273EAA"/>
    <w:rsid w:val="00274069"/>
    <w:rsid w:val="002764F4"/>
    <w:rsid w:val="00276702"/>
    <w:rsid w:val="0028328D"/>
    <w:rsid w:val="00283641"/>
    <w:rsid w:val="002838F5"/>
    <w:rsid w:val="00285BB6"/>
    <w:rsid w:val="0029103D"/>
    <w:rsid w:val="00293834"/>
    <w:rsid w:val="002942E1"/>
    <w:rsid w:val="0029491C"/>
    <w:rsid w:val="002A4078"/>
    <w:rsid w:val="002A497A"/>
    <w:rsid w:val="002A5CE0"/>
    <w:rsid w:val="002B2F3C"/>
    <w:rsid w:val="002C32AB"/>
    <w:rsid w:val="002C41F9"/>
    <w:rsid w:val="002C4495"/>
    <w:rsid w:val="002C5AC8"/>
    <w:rsid w:val="002C69D3"/>
    <w:rsid w:val="002C76AB"/>
    <w:rsid w:val="002D251F"/>
    <w:rsid w:val="002D4536"/>
    <w:rsid w:val="002D5525"/>
    <w:rsid w:val="002D6F6F"/>
    <w:rsid w:val="002E59B6"/>
    <w:rsid w:val="002F45CF"/>
    <w:rsid w:val="002F46B9"/>
    <w:rsid w:val="002F48C8"/>
    <w:rsid w:val="002F55CE"/>
    <w:rsid w:val="002F76F5"/>
    <w:rsid w:val="00314A8A"/>
    <w:rsid w:val="00324EC2"/>
    <w:rsid w:val="003279F2"/>
    <w:rsid w:val="00341DA8"/>
    <w:rsid w:val="00342BA9"/>
    <w:rsid w:val="003455BC"/>
    <w:rsid w:val="00352FE7"/>
    <w:rsid w:val="00354503"/>
    <w:rsid w:val="003623F0"/>
    <w:rsid w:val="00370164"/>
    <w:rsid w:val="003711CD"/>
    <w:rsid w:val="00376873"/>
    <w:rsid w:val="00380DB1"/>
    <w:rsid w:val="00381155"/>
    <w:rsid w:val="00383BFC"/>
    <w:rsid w:val="00384611"/>
    <w:rsid w:val="00384CA0"/>
    <w:rsid w:val="003865C2"/>
    <w:rsid w:val="003866FF"/>
    <w:rsid w:val="003870BA"/>
    <w:rsid w:val="00395A89"/>
    <w:rsid w:val="003A2FA8"/>
    <w:rsid w:val="003A3403"/>
    <w:rsid w:val="003B4770"/>
    <w:rsid w:val="003B482B"/>
    <w:rsid w:val="003C14F1"/>
    <w:rsid w:val="003C20BF"/>
    <w:rsid w:val="003C578D"/>
    <w:rsid w:val="003D5616"/>
    <w:rsid w:val="003D7EAE"/>
    <w:rsid w:val="003E666B"/>
    <w:rsid w:val="003F3E19"/>
    <w:rsid w:val="003F52CB"/>
    <w:rsid w:val="00405B53"/>
    <w:rsid w:val="00412726"/>
    <w:rsid w:val="00423092"/>
    <w:rsid w:val="004253E8"/>
    <w:rsid w:val="00427144"/>
    <w:rsid w:val="00427EA9"/>
    <w:rsid w:val="004319BC"/>
    <w:rsid w:val="004350B0"/>
    <w:rsid w:val="00435D60"/>
    <w:rsid w:val="00435DEE"/>
    <w:rsid w:val="00435E43"/>
    <w:rsid w:val="00436CE5"/>
    <w:rsid w:val="00445AB5"/>
    <w:rsid w:val="00451C2C"/>
    <w:rsid w:val="00453FE3"/>
    <w:rsid w:val="00470AB4"/>
    <w:rsid w:val="004711D9"/>
    <w:rsid w:val="00472E16"/>
    <w:rsid w:val="004734DF"/>
    <w:rsid w:val="0047464F"/>
    <w:rsid w:val="00486943"/>
    <w:rsid w:val="00492494"/>
    <w:rsid w:val="00495B91"/>
    <w:rsid w:val="004A2664"/>
    <w:rsid w:val="004A5408"/>
    <w:rsid w:val="004B19C8"/>
    <w:rsid w:val="004B5DC5"/>
    <w:rsid w:val="004C18DF"/>
    <w:rsid w:val="004C29E5"/>
    <w:rsid w:val="004C2B46"/>
    <w:rsid w:val="004D4C6D"/>
    <w:rsid w:val="004D5BED"/>
    <w:rsid w:val="004E01A4"/>
    <w:rsid w:val="004E15F9"/>
    <w:rsid w:val="004F6742"/>
    <w:rsid w:val="004F709B"/>
    <w:rsid w:val="004F7BCF"/>
    <w:rsid w:val="00503049"/>
    <w:rsid w:val="0051002A"/>
    <w:rsid w:val="00516335"/>
    <w:rsid w:val="00531FC2"/>
    <w:rsid w:val="00534B03"/>
    <w:rsid w:val="00534C33"/>
    <w:rsid w:val="00536DB4"/>
    <w:rsid w:val="0054025D"/>
    <w:rsid w:val="005405B1"/>
    <w:rsid w:val="0055123E"/>
    <w:rsid w:val="005573A2"/>
    <w:rsid w:val="00564185"/>
    <w:rsid w:val="00566866"/>
    <w:rsid w:val="00574572"/>
    <w:rsid w:val="00581A32"/>
    <w:rsid w:val="00585CA4"/>
    <w:rsid w:val="00597948"/>
    <w:rsid w:val="005B0581"/>
    <w:rsid w:val="005B1AC5"/>
    <w:rsid w:val="005B301C"/>
    <w:rsid w:val="005B312C"/>
    <w:rsid w:val="005B6A25"/>
    <w:rsid w:val="005C4647"/>
    <w:rsid w:val="005C66A5"/>
    <w:rsid w:val="005C6821"/>
    <w:rsid w:val="005C75F2"/>
    <w:rsid w:val="005C76E4"/>
    <w:rsid w:val="005D5549"/>
    <w:rsid w:val="005E0CF2"/>
    <w:rsid w:val="005E2AEA"/>
    <w:rsid w:val="005E5320"/>
    <w:rsid w:val="005E6B70"/>
    <w:rsid w:val="005F7991"/>
    <w:rsid w:val="00604D58"/>
    <w:rsid w:val="006122D8"/>
    <w:rsid w:val="0061247A"/>
    <w:rsid w:val="00615938"/>
    <w:rsid w:val="0063014E"/>
    <w:rsid w:val="0063093E"/>
    <w:rsid w:val="00633087"/>
    <w:rsid w:val="00633AB9"/>
    <w:rsid w:val="006349C5"/>
    <w:rsid w:val="0065112D"/>
    <w:rsid w:val="00654E52"/>
    <w:rsid w:val="0066134E"/>
    <w:rsid w:val="006718F3"/>
    <w:rsid w:val="00672311"/>
    <w:rsid w:val="006814BB"/>
    <w:rsid w:val="006840EB"/>
    <w:rsid w:val="006846AE"/>
    <w:rsid w:val="00690E75"/>
    <w:rsid w:val="00692172"/>
    <w:rsid w:val="0069342C"/>
    <w:rsid w:val="006A3E7E"/>
    <w:rsid w:val="006A541C"/>
    <w:rsid w:val="006A5B3B"/>
    <w:rsid w:val="006A6B2F"/>
    <w:rsid w:val="006B1DA6"/>
    <w:rsid w:val="006B49D4"/>
    <w:rsid w:val="006B54DD"/>
    <w:rsid w:val="006C53E2"/>
    <w:rsid w:val="006C7A4C"/>
    <w:rsid w:val="006D174A"/>
    <w:rsid w:val="006D406B"/>
    <w:rsid w:val="006E0A45"/>
    <w:rsid w:val="006E2B32"/>
    <w:rsid w:val="006F2B34"/>
    <w:rsid w:val="007057ED"/>
    <w:rsid w:val="00705B7D"/>
    <w:rsid w:val="0070672F"/>
    <w:rsid w:val="007105A6"/>
    <w:rsid w:val="00715417"/>
    <w:rsid w:val="00726DD4"/>
    <w:rsid w:val="00730F56"/>
    <w:rsid w:val="0073123F"/>
    <w:rsid w:val="00744E2C"/>
    <w:rsid w:val="007517F3"/>
    <w:rsid w:val="00752119"/>
    <w:rsid w:val="00754408"/>
    <w:rsid w:val="007575B3"/>
    <w:rsid w:val="007631C7"/>
    <w:rsid w:val="00763CCC"/>
    <w:rsid w:val="0077326B"/>
    <w:rsid w:val="00776C72"/>
    <w:rsid w:val="0078258F"/>
    <w:rsid w:val="007846BC"/>
    <w:rsid w:val="007868BB"/>
    <w:rsid w:val="00794B6E"/>
    <w:rsid w:val="007969A4"/>
    <w:rsid w:val="007A0114"/>
    <w:rsid w:val="007B1321"/>
    <w:rsid w:val="007B1904"/>
    <w:rsid w:val="007C3373"/>
    <w:rsid w:val="007C3C6B"/>
    <w:rsid w:val="007C6B6A"/>
    <w:rsid w:val="007D2FE3"/>
    <w:rsid w:val="007D6370"/>
    <w:rsid w:val="007E0081"/>
    <w:rsid w:val="007E092F"/>
    <w:rsid w:val="007E51F3"/>
    <w:rsid w:val="007E5EC0"/>
    <w:rsid w:val="007E78C1"/>
    <w:rsid w:val="007F2463"/>
    <w:rsid w:val="007F5021"/>
    <w:rsid w:val="0080098A"/>
    <w:rsid w:val="00801761"/>
    <w:rsid w:val="008111EB"/>
    <w:rsid w:val="008130C9"/>
    <w:rsid w:val="00813D02"/>
    <w:rsid w:val="00814833"/>
    <w:rsid w:val="0082033D"/>
    <w:rsid w:val="008222AD"/>
    <w:rsid w:val="00822307"/>
    <w:rsid w:val="0083104D"/>
    <w:rsid w:val="008349AE"/>
    <w:rsid w:val="00846D77"/>
    <w:rsid w:val="00852480"/>
    <w:rsid w:val="00856632"/>
    <w:rsid w:val="00856648"/>
    <w:rsid w:val="00867308"/>
    <w:rsid w:val="00867DD6"/>
    <w:rsid w:val="00880AD7"/>
    <w:rsid w:val="00880CC3"/>
    <w:rsid w:val="0089296F"/>
    <w:rsid w:val="00897511"/>
    <w:rsid w:val="008A0ED5"/>
    <w:rsid w:val="008B0543"/>
    <w:rsid w:val="008C0888"/>
    <w:rsid w:val="008C0ED7"/>
    <w:rsid w:val="008C2BDB"/>
    <w:rsid w:val="008C3505"/>
    <w:rsid w:val="008D09A8"/>
    <w:rsid w:val="008D2C7E"/>
    <w:rsid w:val="008D30EA"/>
    <w:rsid w:val="008D55C8"/>
    <w:rsid w:val="008E050E"/>
    <w:rsid w:val="008E20DE"/>
    <w:rsid w:val="008F1770"/>
    <w:rsid w:val="009013C5"/>
    <w:rsid w:val="00901A8B"/>
    <w:rsid w:val="009061A4"/>
    <w:rsid w:val="00912B5D"/>
    <w:rsid w:val="00912E02"/>
    <w:rsid w:val="00915CC1"/>
    <w:rsid w:val="00935D67"/>
    <w:rsid w:val="00936121"/>
    <w:rsid w:val="00942024"/>
    <w:rsid w:val="0094404D"/>
    <w:rsid w:val="00944550"/>
    <w:rsid w:val="009550AD"/>
    <w:rsid w:val="009565D4"/>
    <w:rsid w:val="00967D7C"/>
    <w:rsid w:val="00977D73"/>
    <w:rsid w:val="00983FAC"/>
    <w:rsid w:val="0099262A"/>
    <w:rsid w:val="00992CE2"/>
    <w:rsid w:val="00995A9B"/>
    <w:rsid w:val="00996B18"/>
    <w:rsid w:val="009A05F3"/>
    <w:rsid w:val="009A10D5"/>
    <w:rsid w:val="009A6CB6"/>
    <w:rsid w:val="009B2FB9"/>
    <w:rsid w:val="009B3B50"/>
    <w:rsid w:val="009B3D0C"/>
    <w:rsid w:val="009B56DA"/>
    <w:rsid w:val="009D13BB"/>
    <w:rsid w:val="009D50EB"/>
    <w:rsid w:val="009E0383"/>
    <w:rsid w:val="009E32F5"/>
    <w:rsid w:val="009E4669"/>
    <w:rsid w:val="009E6279"/>
    <w:rsid w:val="009F0F98"/>
    <w:rsid w:val="009F1DFB"/>
    <w:rsid w:val="009F2649"/>
    <w:rsid w:val="009F704C"/>
    <w:rsid w:val="00A0017D"/>
    <w:rsid w:val="00A0215D"/>
    <w:rsid w:val="00A06666"/>
    <w:rsid w:val="00A105E0"/>
    <w:rsid w:val="00A3018B"/>
    <w:rsid w:val="00A3128D"/>
    <w:rsid w:val="00A324EA"/>
    <w:rsid w:val="00A33A46"/>
    <w:rsid w:val="00A34FDA"/>
    <w:rsid w:val="00A367E3"/>
    <w:rsid w:val="00A45B43"/>
    <w:rsid w:val="00A4794A"/>
    <w:rsid w:val="00A533DE"/>
    <w:rsid w:val="00A53E2B"/>
    <w:rsid w:val="00A646D7"/>
    <w:rsid w:val="00A77E96"/>
    <w:rsid w:val="00A81300"/>
    <w:rsid w:val="00A817CE"/>
    <w:rsid w:val="00A85E24"/>
    <w:rsid w:val="00A928FA"/>
    <w:rsid w:val="00A96D22"/>
    <w:rsid w:val="00AA3496"/>
    <w:rsid w:val="00AA7B0B"/>
    <w:rsid w:val="00AB1748"/>
    <w:rsid w:val="00AB23C2"/>
    <w:rsid w:val="00AB32CF"/>
    <w:rsid w:val="00AC37F4"/>
    <w:rsid w:val="00AC59EB"/>
    <w:rsid w:val="00AC6C8F"/>
    <w:rsid w:val="00AD2235"/>
    <w:rsid w:val="00AE5530"/>
    <w:rsid w:val="00AE67AC"/>
    <w:rsid w:val="00AE6E30"/>
    <w:rsid w:val="00AF3725"/>
    <w:rsid w:val="00AF6E38"/>
    <w:rsid w:val="00B02599"/>
    <w:rsid w:val="00B14060"/>
    <w:rsid w:val="00B16B3C"/>
    <w:rsid w:val="00B22435"/>
    <w:rsid w:val="00B25390"/>
    <w:rsid w:val="00B25EE3"/>
    <w:rsid w:val="00B269D4"/>
    <w:rsid w:val="00B26DD3"/>
    <w:rsid w:val="00B3357C"/>
    <w:rsid w:val="00B518F2"/>
    <w:rsid w:val="00B576F1"/>
    <w:rsid w:val="00B61C4A"/>
    <w:rsid w:val="00B61EC9"/>
    <w:rsid w:val="00B64E8D"/>
    <w:rsid w:val="00B679AD"/>
    <w:rsid w:val="00B67DBE"/>
    <w:rsid w:val="00B7744A"/>
    <w:rsid w:val="00B81F5A"/>
    <w:rsid w:val="00B82D4D"/>
    <w:rsid w:val="00B87EE6"/>
    <w:rsid w:val="00B90523"/>
    <w:rsid w:val="00B92083"/>
    <w:rsid w:val="00B9260A"/>
    <w:rsid w:val="00B952E4"/>
    <w:rsid w:val="00B9594F"/>
    <w:rsid w:val="00B96ABD"/>
    <w:rsid w:val="00BA170A"/>
    <w:rsid w:val="00BA7B43"/>
    <w:rsid w:val="00BB040D"/>
    <w:rsid w:val="00BB29E2"/>
    <w:rsid w:val="00BD7597"/>
    <w:rsid w:val="00BE082A"/>
    <w:rsid w:val="00BF18DC"/>
    <w:rsid w:val="00BF1E8B"/>
    <w:rsid w:val="00BF6CB2"/>
    <w:rsid w:val="00C04B4F"/>
    <w:rsid w:val="00C13DE2"/>
    <w:rsid w:val="00C14408"/>
    <w:rsid w:val="00C14776"/>
    <w:rsid w:val="00C17F58"/>
    <w:rsid w:val="00C24410"/>
    <w:rsid w:val="00C24AD2"/>
    <w:rsid w:val="00C307E7"/>
    <w:rsid w:val="00C34A92"/>
    <w:rsid w:val="00C35829"/>
    <w:rsid w:val="00C36245"/>
    <w:rsid w:val="00C370A7"/>
    <w:rsid w:val="00C40BFF"/>
    <w:rsid w:val="00C43C98"/>
    <w:rsid w:val="00C451B1"/>
    <w:rsid w:val="00C508DD"/>
    <w:rsid w:val="00C525EF"/>
    <w:rsid w:val="00C57E90"/>
    <w:rsid w:val="00C60C55"/>
    <w:rsid w:val="00C62F1C"/>
    <w:rsid w:val="00C6380F"/>
    <w:rsid w:val="00C64609"/>
    <w:rsid w:val="00C6792E"/>
    <w:rsid w:val="00C67B29"/>
    <w:rsid w:val="00C7263E"/>
    <w:rsid w:val="00C744A3"/>
    <w:rsid w:val="00C81DB5"/>
    <w:rsid w:val="00C900FF"/>
    <w:rsid w:val="00C970DA"/>
    <w:rsid w:val="00CB3FC8"/>
    <w:rsid w:val="00CB442A"/>
    <w:rsid w:val="00CB5B31"/>
    <w:rsid w:val="00CD2213"/>
    <w:rsid w:val="00CD4B2E"/>
    <w:rsid w:val="00CD4DE4"/>
    <w:rsid w:val="00CD596A"/>
    <w:rsid w:val="00CD6126"/>
    <w:rsid w:val="00CD6527"/>
    <w:rsid w:val="00CD6B3F"/>
    <w:rsid w:val="00CE49A3"/>
    <w:rsid w:val="00CF3E63"/>
    <w:rsid w:val="00CF561E"/>
    <w:rsid w:val="00CF6979"/>
    <w:rsid w:val="00D00E02"/>
    <w:rsid w:val="00D07A02"/>
    <w:rsid w:val="00D143BA"/>
    <w:rsid w:val="00D172EE"/>
    <w:rsid w:val="00D20DD2"/>
    <w:rsid w:val="00D23521"/>
    <w:rsid w:val="00D2443D"/>
    <w:rsid w:val="00D30634"/>
    <w:rsid w:val="00D33F1D"/>
    <w:rsid w:val="00D34EEE"/>
    <w:rsid w:val="00D37BAF"/>
    <w:rsid w:val="00D432C1"/>
    <w:rsid w:val="00D455D9"/>
    <w:rsid w:val="00D51B1E"/>
    <w:rsid w:val="00D60C23"/>
    <w:rsid w:val="00D7147E"/>
    <w:rsid w:val="00D73083"/>
    <w:rsid w:val="00D80782"/>
    <w:rsid w:val="00D96598"/>
    <w:rsid w:val="00D975AA"/>
    <w:rsid w:val="00D979EA"/>
    <w:rsid w:val="00D97A91"/>
    <w:rsid w:val="00DA02B9"/>
    <w:rsid w:val="00DA42EA"/>
    <w:rsid w:val="00DA7FEA"/>
    <w:rsid w:val="00DB269B"/>
    <w:rsid w:val="00DC02B5"/>
    <w:rsid w:val="00DD27D1"/>
    <w:rsid w:val="00DE221A"/>
    <w:rsid w:val="00DE2334"/>
    <w:rsid w:val="00DE5C1E"/>
    <w:rsid w:val="00DE6150"/>
    <w:rsid w:val="00DF68F0"/>
    <w:rsid w:val="00DF6CDE"/>
    <w:rsid w:val="00E0113D"/>
    <w:rsid w:val="00E039CB"/>
    <w:rsid w:val="00E05375"/>
    <w:rsid w:val="00E1423B"/>
    <w:rsid w:val="00E1601C"/>
    <w:rsid w:val="00E317E1"/>
    <w:rsid w:val="00E33231"/>
    <w:rsid w:val="00E3512C"/>
    <w:rsid w:val="00E356C8"/>
    <w:rsid w:val="00E6186E"/>
    <w:rsid w:val="00E72F03"/>
    <w:rsid w:val="00E7429A"/>
    <w:rsid w:val="00E75D89"/>
    <w:rsid w:val="00E84434"/>
    <w:rsid w:val="00E94641"/>
    <w:rsid w:val="00EA0512"/>
    <w:rsid w:val="00EB3035"/>
    <w:rsid w:val="00EB30F5"/>
    <w:rsid w:val="00EB5C8B"/>
    <w:rsid w:val="00EC3CC1"/>
    <w:rsid w:val="00EC44A9"/>
    <w:rsid w:val="00EC47CA"/>
    <w:rsid w:val="00EC64E9"/>
    <w:rsid w:val="00ED263C"/>
    <w:rsid w:val="00ED2A92"/>
    <w:rsid w:val="00ED503D"/>
    <w:rsid w:val="00EE11FD"/>
    <w:rsid w:val="00EE1D07"/>
    <w:rsid w:val="00EF0B00"/>
    <w:rsid w:val="00EF2387"/>
    <w:rsid w:val="00F04BED"/>
    <w:rsid w:val="00F06795"/>
    <w:rsid w:val="00F11CC5"/>
    <w:rsid w:val="00F13235"/>
    <w:rsid w:val="00F1494E"/>
    <w:rsid w:val="00F23798"/>
    <w:rsid w:val="00F24F86"/>
    <w:rsid w:val="00F260AC"/>
    <w:rsid w:val="00F260D1"/>
    <w:rsid w:val="00F26DFB"/>
    <w:rsid w:val="00F27043"/>
    <w:rsid w:val="00F32C54"/>
    <w:rsid w:val="00F32E6E"/>
    <w:rsid w:val="00F424B3"/>
    <w:rsid w:val="00F4263A"/>
    <w:rsid w:val="00F44D96"/>
    <w:rsid w:val="00F46044"/>
    <w:rsid w:val="00F47E96"/>
    <w:rsid w:val="00F50A3A"/>
    <w:rsid w:val="00F62A1E"/>
    <w:rsid w:val="00F649F4"/>
    <w:rsid w:val="00F64DB9"/>
    <w:rsid w:val="00F65513"/>
    <w:rsid w:val="00F7792C"/>
    <w:rsid w:val="00F823AD"/>
    <w:rsid w:val="00F85399"/>
    <w:rsid w:val="00F93183"/>
    <w:rsid w:val="00F96F85"/>
    <w:rsid w:val="00FA035F"/>
    <w:rsid w:val="00FA0C50"/>
    <w:rsid w:val="00FA1946"/>
    <w:rsid w:val="00FA686C"/>
    <w:rsid w:val="00FA6932"/>
    <w:rsid w:val="00FB3972"/>
    <w:rsid w:val="00FB70DE"/>
    <w:rsid w:val="00FC2BD1"/>
    <w:rsid w:val="00FD17C2"/>
    <w:rsid w:val="00FD3ACE"/>
    <w:rsid w:val="00FD46E0"/>
    <w:rsid w:val="00FD51CB"/>
    <w:rsid w:val="00FD5DF1"/>
    <w:rsid w:val="00FD634F"/>
    <w:rsid w:val="00FE0A7C"/>
    <w:rsid w:val="00FE2611"/>
    <w:rsid w:val="00FE4FEF"/>
    <w:rsid w:val="00FE63F9"/>
    <w:rsid w:val="00FF0649"/>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1e1ff,#069,#bad1e8,#afd787,#cde6b4,#d1e8ba,#0000ac"/>
    </o:shapedefaults>
    <o:shapelayout v:ext="edit">
      <o:idmap v:ext="edit" data="1"/>
    </o:shapelayout>
  </w:shapeDefaults>
  <w:decimalSymbol w:val="."/>
  <w:listSeparator w:val=","/>
  <w14:docId w14:val="0946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6"/>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6"/>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6"/>
      </w:numPr>
      <w:spacing w:before="60" w:after="60"/>
      <w:outlineLvl w:val="3"/>
    </w:pPr>
    <w:rPr>
      <w:b/>
      <w:i/>
      <w:sz w:val="20"/>
    </w:rPr>
  </w:style>
  <w:style w:type="paragraph" w:styleId="Heading5">
    <w:name w:val="heading 5"/>
    <w:basedOn w:val="Normal"/>
    <w:next w:val="BodyText"/>
    <w:qFormat/>
    <w:rsid w:val="00106043"/>
    <w:pPr>
      <w:keepNext/>
      <w:keepLines/>
      <w:numPr>
        <w:ilvl w:val="4"/>
        <w:numId w:val="26"/>
      </w:numPr>
      <w:spacing w:before="60" w:after="60"/>
      <w:outlineLvl w:val="4"/>
    </w:pPr>
    <w:rPr>
      <w:b/>
      <w:i/>
      <w:color w:val="DA291C"/>
    </w:rPr>
  </w:style>
  <w:style w:type="paragraph" w:styleId="Heading6">
    <w:name w:val="heading 6"/>
    <w:basedOn w:val="Normal"/>
    <w:next w:val="Normal"/>
    <w:qFormat/>
    <w:rsid w:val="00495B91"/>
    <w:pPr>
      <w:numPr>
        <w:ilvl w:val="5"/>
        <w:numId w:val="26"/>
      </w:numPr>
      <w:spacing w:before="60" w:after="60"/>
      <w:outlineLvl w:val="5"/>
    </w:pPr>
    <w:rPr>
      <w:b/>
      <w:bCs/>
      <w:szCs w:val="22"/>
    </w:rPr>
  </w:style>
  <w:style w:type="paragraph" w:styleId="Heading7">
    <w:name w:val="heading 7"/>
    <w:basedOn w:val="Normal"/>
    <w:next w:val="Normal"/>
    <w:qFormat/>
    <w:rsid w:val="003A3403"/>
    <w:pPr>
      <w:numPr>
        <w:ilvl w:val="6"/>
        <w:numId w:val="26"/>
      </w:numPr>
      <w:spacing w:before="240" w:after="60"/>
      <w:outlineLvl w:val="6"/>
    </w:pPr>
    <w:rPr>
      <w:sz w:val="24"/>
      <w:szCs w:val="24"/>
    </w:rPr>
  </w:style>
  <w:style w:type="paragraph" w:styleId="Heading8">
    <w:name w:val="heading 8"/>
    <w:basedOn w:val="Normal"/>
    <w:next w:val="Normal"/>
    <w:qFormat/>
    <w:rsid w:val="003A3403"/>
    <w:pPr>
      <w:numPr>
        <w:ilvl w:val="7"/>
        <w:numId w:val="26"/>
      </w:numPr>
      <w:spacing w:before="240" w:after="60"/>
      <w:outlineLvl w:val="7"/>
    </w:pPr>
    <w:rPr>
      <w:i/>
      <w:iCs/>
      <w:sz w:val="24"/>
      <w:szCs w:val="24"/>
    </w:rPr>
  </w:style>
  <w:style w:type="paragraph" w:styleId="Heading9">
    <w:name w:val="heading 9"/>
    <w:basedOn w:val="Normal"/>
    <w:next w:val="Normal"/>
    <w:qFormat/>
    <w:rsid w:val="003A3403"/>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705B7D"/>
    <w:pPr>
      <w:numPr>
        <w:numId w:val="27"/>
      </w:numPr>
      <w:tabs>
        <w:tab w:val="left" w:pos="1080"/>
        <w:tab w:val="left" w:pos="1440"/>
        <w:tab w:val="left" w:pos="1800"/>
      </w:tabs>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character" w:customStyle="1" w:styleId="FootnoteTextChar">
    <w:name w:val="Footnote Text Char"/>
    <w:aliases w:val="F1 Char"/>
    <w:basedOn w:val="DefaultParagraphFont"/>
    <w:link w:val="FootnoteText"/>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705B7D"/>
    <w:pPr>
      <w:numPr>
        <w:numId w:val="4"/>
      </w:numPr>
      <w:spacing w:after="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6"/>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6"/>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6"/>
      </w:numPr>
      <w:spacing w:before="60" w:after="60"/>
      <w:outlineLvl w:val="3"/>
    </w:pPr>
    <w:rPr>
      <w:b/>
      <w:i/>
      <w:sz w:val="20"/>
    </w:rPr>
  </w:style>
  <w:style w:type="paragraph" w:styleId="Heading5">
    <w:name w:val="heading 5"/>
    <w:basedOn w:val="Normal"/>
    <w:next w:val="BodyText"/>
    <w:qFormat/>
    <w:rsid w:val="00106043"/>
    <w:pPr>
      <w:keepNext/>
      <w:keepLines/>
      <w:numPr>
        <w:ilvl w:val="4"/>
        <w:numId w:val="26"/>
      </w:numPr>
      <w:spacing w:before="60" w:after="60"/>
      <w:outlineLvl w:val="4"/>
    </w:pPr>
    <w:rPr>
      <w:b/>
      <w:i/>
      <w:color w:val="DA291C"/>
    </w:rPr>
  </w:style>
  <w:style w:type="paragraph" w:styleId="Heading6">
    <w:name w:val="heading 6"/>
    <w:basedOn w:val="Normal"/>
    <w:next w:val="Normal"/>
    <w:qFormat/>
    <w:rsid w:val="00495B91"/>
    <w:pPr>
      <w:numPr>
        <w:ilvl w:val="5"/>
        <w:numId w:val="26"/>
      </w:numPr>
      <w:spacing w:before="60" w:after="60"/>
      <w:outlineLvl w:val="5"/>
    </w:pPr>
    <w:rPr>
      <w:b/>
      <w:bCs/>
      <w:szCs w:val="22"/>
    </w:rPr>
  </w:style>
  <w:style w:type="paragraph" w:styleId="Heading7">
    <w:name w:val="heading 7"/>
    <w:basedOn w:val="Normal"/>
    <w:next w:val="Normal"/>
    <w:qFormat/>
    <w:rsid w:val="003A3403"/>
    <w:pPr>
      <w:numPr>
        <w:ilvl w:val="6"/>
        <w:numId w:val="26"/>
      </w:numPr>
      <w:spacing w:before="240" w:after="60"/>
      <w:outlineLvl w:val="6"/>
    </w:pPr>
    <w:rPr>
      <w:sz w:val="24"/>
      <w:szCs w:val="24"/>
    </w:rPr>
  </w:style>
  <w:style w:type="paragraph" w:styleId="Heading8">
    <w:name w:val="heading 8"/>
    <w:basedOn w:val="Normal"/>
    <w:next w:val="Normal"/>
    <w:qFormat/>
    <w:rsid w:val="003A3403"/>
    <w:pPr>
      <w:numPr>
        <w:ilvl w:val="7"/>
        <w:numId w:val="26"/>
      </w:numPr>
      <w:spacing w:before="240" w:after="60"/>
      <w:outlineLvl w:val="7"/>
    </w:pPr>
    <w:rPr>
      <w:i/>
      <w:iCs/>
      <w:sz w:val="24"/>
      <w:szCs w:val="24"/>
    </w:rPr>
  </w:style>
  <w:style w:type="paragraph" w:styleId="Heading9">
    <w:name w:val="heading 9"/>
    <w:basedOn w:val="Normal"/>
    <w:next w:val="Normal"/>
    <w:qFormat/>
    <w:rsid w:val="003A3403"/>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705B7D"/>
    <w:pPr>
      <w:numPr>
        <w:numId w:val="27"/>
      </w:numPr>
      <w:tabs>
        <w:tab w:val="left" w:pos="1080"/>
        <w:tab w:val="left" w:pos="1440"/>
        <w:tab w:val="left" w:pos="1800"/>
      </w:tabs>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character" w:customStyle="1" w:styleId="FootnoteTextChar">
    <w:name w:val="Footnote Text Char"/>
    <w:aliases w:val="F1 Char"/>
    <w:basedOn w:val="DefaultParagraphFont"/>
    <w:link w:val="FootnoteText"/>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705B7D"/>
    <w:pPr>
      <w:numPr>
        <w:numId w:val="4"/>
      </w:numPr>
      <w:spacing w:after="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8068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ies.ed.gov/ncee/wwc/pdf/reference_resources/wwc_procedures_v3_0_draft_standards_handbook.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FD30-F3AB-44AE-9DBD-36173A12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15996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2014-10-23T17:57:00Z</cp:lastPrinted>
  <dcterms:created xsi:type="dcterms:W3CDTF">2018-01-09T16:51:00Z</dcterms:created>
  <dcterms:modified xsi:type="dcterms:W3CDTF">2018-01-09T16:51:00Z</dcterms:modified>
  <cp:category>Templates</cp:category>
</cp:coreProperties>
</file>