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F61D1" w14:textId="7C5CA933" w:rsidR="001D224D" w:rsidRPr="00687F9A" w:rsidRDefault="001D224D" w:rsidP="00606852">
      <w:pPr>
        <w:widowControl w:val="0"/>
        <w:tabs>
          <w:tab w:val="center" w:pos="4680"/>
        </w:tabs>
        <w:jc w:val="center"/>
        <w:rPr>
          <w:b/>
          <w:szCs w:val="24"/>
        </w:rPr>
      </w:pPr>
      <w:bookmarkStart w:id="0" w:name="_GoBack"/>
      <w:bookmarkEnd w:id="0"/>
      <w:r w:rsidRPr="00687F9A">
        <w:rPr>
          <w:b/>
          <w:szCs w:val="24"/>
        </w:rPr>
        <w:t xml:space="preserve">SUPPORTING </w:t>
      </w:r>
      <w:r w:rsidR="00311384" w:rsidRPr="00687F9A">
        <w:rPr>
          <w:b/>
          <w:szCs w:val="24"/>
        </w:rPr>
        <w:t>STATEMENT</w:t>
      </w:r>
      <w:r w:rsidR="00EF15B3">
        <w:rPr>
          <w:b/>
          <w:szCs w:val="24"/>
        </w:rPr>
        <w:t xml:space="preserve"> A</w:t>
      </w:r>
    </w:p>
    <w:p w14:paraId="0B388CA9" w14:textId="77777777" w:rsidR="00606852" w:rsidRPr="00687F9A" w:rsidRDefault="00606852">
      <w:pPr>
        <w:widowControl w:val="0"/>
        <w:tabs>
          <w:tab w:val="center" w:pos="4680"/>
        </w:tabs>
        <w:rPr>
          <w:b/>
          <w:szCs w:val="24"/>
        </w:rPr>
      </w:pPr>
    </w:p>
    <w:p w14:paraId="1378DAEE" w14:textId="77777777" w:rsidR="007759D1" w:rsidRPr="00687F9A" w:rsidRDefault="00B0481D" w:rsidP="00B0481D">
      <w:pPr>
        <w:widowControl w:val="0"/>
        <w:tabs>
          <w:tab w:val="center" w:pos="4680"/>
        </w:tabs>
        <w:jc w:val="center"/>
        <w:rPr>
          <w:szCs w:val="24"/>
        </w:rPr>
      </w:pPr>
      <w:r w:rsidRPr="00687F9A">
        <w:rPr>
          <w:szCs w:val="24"/>
        </w:rPr>
        <w:t xml:space="preserve">ASSESSMENT OF TRANSPORTATION PLANNING </w:t>
      </w:r>
    </w:p>
    <w:p w14:paraId="1E73A465" w14:textId="77777777" w:rsidR="001D224D" w:rsidRPr="00687F9A" w:rsidRDefault="00B0481D" w:rsidP="00B0481D">
      <w:pPr>
        <w:widowControl w:val="0"/>
        <w:tabs>
          <w:tab w:val="center" w:pos="4680"/>
        </w:tabs>
        <w:jc w:val="center"/>
        <w:rPr>
          <w:b/>
          <w:szCs w:val="24"/>
        </w:rPr>
      </w:pPr>
      <w:r w:rsidRPr="00687F9A">
        <w:rPr>
          <w:szCs w:val="24"/>
        </w:rPr>
        <w:t>AGENCY NEEDS, CAPABILITIES AND CAPACITY</w:t>
      </w:r>
    </w:p>
    <w:p w14:paraId="5576788D" w14:textId="77777777" w:rsidR="00606852" w:rsidRPr="00687F9A" w:rsidRDefault="00606852" w:rsidP="00A37A22">
      <w:pPr>
        <w:widowControl w:val="0"/>
        <w:tabs>
          <w:tab w:val="center" w:pos="4680"/>
        </w:tabs>
        <w:jc w:val="center"/>
        <w:rPr>
          <w:b/>
          <w:szCs w:val="24"/>
        </w:rPr>
      </w:pPr>
    </w:p>
    <w:p w14:paraId="3CFBAC76" w14:textId="77777777" w:rsidR="00EC23D6" w:rsidRPr="00687F9A" w:rsidRDefault="00EC23D6" w:rsidP="00EC23D6">
      <w:pPr>
        <w:rPr>
          <w:b/>
          <w:szCs w:val="24"/>
          <w:u w:val="single"/>
        </w:rPr>
      </w:pPr>
      <w:r w:rsidRPr="00687F9A">
        <w:rPr>
          <w:b/>
          <w:szCs w:val="24"/>
          <w:u w:val="single"/>
        </w:rPr>
        <w:t>INTRODUCTION</w:t>
      </w:r>
    </w:p>
    <w:p w14:paraId="1E1412A5" w14:textId="77777777" w:rsidR="00EC23D6" w:rsidRPr="00687F9A" w:rsidRDefault="00EC23D6" w:rsidP="00EC23D6">
      <w:pPr>
        <w:rPr>
          <w:b/>
          <w:szCs w:val="24"/>
          <w:u w:val="single"/>
        </w:rPr>
      </w:pPr>
    </w:p>
    <w:p w14:paraId="031C0D60" w14:textId="77777777" w:rsidR="00EC23D6" w:rsidRPr="00687F9A" w:rsidRDefault="00991AD2" w:rsidP="00EC23D6">
      <w:pPr>
        <w:rPr>
          <w:szCs w:val="24"/>
        </w:rPr>
      </w:pPr>
      <w:r w:rsidRPr="00687F9A">
        <w:rPr>
          <w:szCs w:val="24"/>
        </w:rPr>
        <w:t xml:space="preserve">This is to request the Office of Management and Budget’s (OMB) three-year approval for the information collection entitled, Assessment of Transportation Performance Management Needs, Capabilities and Capacity.  </w:t>
      </w:r>
    </w:p>
    <w:p w14:paraId="6639CFA6" w14:textId="77777777" w:rsidR="00991AD2" w:rsidRPr="00687F9A" w:rsidRDefault="00991AD2" w:rsidP="00EC23D6">
      <w:pPr>
        <w:rPr>
          <w:b/>
          <w:szCs w:val="24"/>
        </w:rPr>
      </w:pPr>
    </w:p>
    <w:p w14:paraId="52E000DA" w14:textId="77777777" w:rsidR="00EC23D6" w:rsidRPr="007B2E4C" w:rsidRDefault="00EC23D6" w:rsidP="007B2E4C">
      <w:pPr>
        <w:pStyle w:val="Heading1"/>
        <w:rPr>
          <w:rFonts w:ascii="Times New Roman" w:hAnsi="Times New Roman"/>
          <w:sz w:val="24"/>
          <w:szCs w:val="24"/>
        </w:rPr>
      </w:pPr>
      <w:r w:rsidRPr="007B2E4C">
        <w:rPr>
          <w:rFonts w:ascii="Times New Roman" w:hAnsi="Times New Roman"/>
          <w:sz w:val="24"/>
          <w:szCs w:val="24"/>
        </w:rPr>
        <w:t>Part A. Justification</w:t>
      </w:r>
    </w:p>
    <w:p w14:paraId="768D8B1A" w14:textId="77777777" w:rsidR="00EC23D6" w:rsidRPr="007B2E4C" w:rsidRDefault="00EC23D6" w:rsidP="00EC23D6">
      <w:pPr>
        <w:jc w:val="center"/>
        <w:rPr>
          <w:b/>
          <w:szCs w:val="24"/>
        </w:rPr>
      </w:pPr>
    </w:p>
    <w:p w14:paraId="2F1E5178" w14:textId="77777777" w:rsidR="00EC23D6" w:rsidRPr="007B2E4C" w:rsidRDefault="00EC23D6" w:rsidP="00027217">
      <w:pPr>
        <w:numPr>
          <w:ilvl w:val="0"/>
          <w:numId w:val="4"/>
        </w:numPr>
        <w:tabs>
          <w:tab w:val="clear" w:pos="720"/>
          <w:tab w:val="num" w:pos="0"/>
          <w:tab w:val="left" w:pos="540"/>
        </w:tabs>
        <w:ind w:left="0" w:firstLine="0"/>
        <w:rPr>
          <w:szCs w:val="24"/>
        </w:rPr>
      </w:pPr>
      <w:r w:rsidRPr="007B2E4C">
        <w:rPr>
          <w:b/>
          <w:szCs w:val="24"/>
          <w:u w:val="single"/>
        </w:rPr>
        <w:t>Circumstances that make the collection of information necessary</w:t>
      </w:r>
      <w:r w:rsidRPr="007B2E4C">
        <w:rPr>
          <w:b/>
          <w:szCs w:val="24"/>
        </w:rPr>
        <w:t xml:space="preserve">.  </w:t>
      </w:r>
    </w:p>
    <w:p w14:paraId="39282729" w14:textId="77777777" w:rsidR="00EC23D6" w:rsidRPr="007B2E4C" w:rsidRDefault="00EC23D6" w:rsidP="000A6210">
      <w:pPr>
        <w:tabs>
          <w:tab w:val="left" w:pos="540"/>
        </w:tabs>
        <w:rPr>
          <w:szCs w:val="24"/>
        </w:rPr>
      </w:pPr>
    </w:p>
    <w:p w14:paraId="54731D12" w14:textId="77777777" w:rsidR="00991AD2" w:rsidRPr="007B2E4C" w:rsidRDefault="00991AD2" w:rsidP="00991AD2">
      <w:pPr>
        <w:widowControl w:val="0"/>
        <w:tabs>
          <w:tab w:val="left" w:pos="204"/>
        </w:tabs>
        <w:autoSpaceDE w:val="0"/>
        <w:autoSpaceDN w:val="0"/>
        <w:adjustRightInd w:val="0"/>
        <w:rPr>
          <w:bCs/>
          <w:iCs/>
          <w:szCs w:val="24"/>
        </w:rPr>
      </w:pPr>
    </w:p>
    <w:p w14:paraId="03143BA0" w14:textId="3D080156" w:rsidR="00861A16" w:rsidRDefault="00991AD2" w:rsidP="00991AD2">
      <w:pPr>
        <w:widowControl w:val="0"/>
        <w:tabs>
          <w:tab w:val="left" w:pos="204"/>
        </w:tabs>
        <w:autoSpaceDE w:val="0"/>
        <w:autoSpaceDN w:val="0"/>
        <w:adjustRightInd w:val="0"/>
        <w:rPr>
          <w:bCs/>
          <w:iCs/>
          <w:szCs w:val="24"/>
        </w:rPr>
      </w:pPr>
      <w:r w:rsidRPr="007B2E4C">
        <w:rPr>
          <w:bCs/>
          <w:iCs/>
          <w:szCs w:val="24"/>
        </w:rPr>
        <w:t>The FHWA will collect i</w:t>
      </w:r>
      <w:r w:rsidR="009B26F4">
        <w:rPr>
          <w:bCs/>
          <w:iCs/>
          <w:szCs w:val="24"/>
        </w:rPr>
        <w:t>nformation on the current state-of-the-</w:t>
      </w:r>
      <w:r w:rsidRPr="007B2E4C">
        <w:rPr>
          <w:bCs/>
          <w:iCs/>
          <w:szCs w:val="24"/>
        </w:rPr>
        <w:t xml:space="preserve">practice, data, methods, and systems used by state, metropolitan, regional, local, and tribal transportation agencies entities to support their transportation performance </w:t>
      </w:r>
      <w:r w:rsidR="00EF15B3" w:rsidRPr="007B2E4C">
        <w:rPr>
          <w:bCs/>
          <w:iCs/>
          <w:szCs w:val="24"/>
        </w:rPr>
        <w:t>management</w:t>
      </w:r>
      <w:r w:rsidRPr="007B2E4C">
        <w:rPr>
          <w:bCs/>
          <w:iCs/>
          <w:szCs w:val="24"/>
        </w:rPr>
        <w:t xml:space="preserve"> </w:t>
      </w:r>
      <w:r w:rsidR="0056076A">
        <w:rPr>
          <w:bCs/>
          <w:iCs/>
          <w:szCs w:val="24"/>
        </w:rPr>
        <w:t xml:space="preserve">(TPM) </w:t>
      </w:r>
      <w:r w:rsidRPr="007B2E4C">
        <w:rPr>
          <w:bCs/>
          <w:iCs/>
          <w:szCs w:val="24"/>
        </w:rPr>
        <w:t>processes in accordance with Moving Ahead for Progress in the 21st Century (MAP-21) §§1106, 1112-1113, 1201-1203; 23 USC 119, 134-135, and 148-150</w:t>
      </w:r>
      <w:r w:rsidR="001937B4">
        <w:rPr>
          <w:bCs/>
          <w:iCs/>
          <w:szCs w:val="24"/>
        </w:rPr>
        <w:t xml:space="preserve">, as amended by the </w:t>
      </w:r>
      <w:r w:rsidR="001937B4" w:rsidRPr="001937B4">
        <w:rPr>
          <w:bCs/>
          <w:iCs/>
          <w:szCs w:val="24"/>
        </w:rPr>
        <w:t xml:space="preserve">Fixing America's Surface Transportation </w:t>
      </w:r>
      <w:r w:rsidR="001937B4">
        <w:rPr>
          <w:bCs/>
          <w:iCs/>
          <w:szCs w:val="24"/>
        </w:rPr>
        <w:t>(FAST)</w:t>
      </w:r>
      <w:r w:rsidR="001937B4" w:rsidRPr="001937B4">
        <w:rPr>
          <w:bCs/>
          <w:iCs/>
          <w:szCs w:val="24"/>
        </w:rPr>
        <w:t xml:space="preserve"> Act</w:t>
      </w:r>
      <w:r w:rsidRPr="007B2E4C">
        <w:rPr>
          <w:bCs/>
          <w:iCs/>
          <w:szCs w:val="24"/>
        </w:rPr>
        <w:t>.  This information will also be used to develop and deliver existing and future Federal Highway Programs through successful partnerships, value-added stewardship, and risk-based oversight.  Underpinning this effort will be a renewed focus on enhancing organizational capacity, which translates into having a skilled workforce and supporting systems that are optimally positioned and equipped to deliver the FHWA's mission.</w:t>
      </w:r>
    </w:p>
    <w:p w14:paraId="32B46B98" w14:textId="77777777" w:rsidR="00861A16" w:rsidRDefault="00861A16" w:rsidP="00991AD2">
      <w:pPr>
        <w:widowControl w:val="0"/>
        <w:tabs>
          <w:tab w:val="left" w:pos="204"/>
        </w:tabs>
        <w:autoSpaceDE w:val="0"/>
        <w:autoSpaceDN w:val="0"/>
        <w:adjustRightInd w:val="0"/>
        <w:rPr>
          <w:bCs/>
          <w:iCs/>
          <w:szCs w:val="24"/>
        </w:rPr>
      </w:pPr>
    </w:p>
    <w:p w14:paraId="28861E6F" w14:textId="1D13419F" w:rsidR="00861A16" w:rsidRDefault="00861A16" w:rsidP="00861A16">
      <w:pPr>
        <w:widowControl w:val="0"/>
        <w:tabs>
          <w:tab w:val="left" w:pos="204"/>
        </w:tabs>
        <w:autoSpaceDE w:val="0"/>
        <w:autoSpaceDN w:val="0"/>
        <w:adjustRightInd w:val="0"/>
      </w:pPr>
      <w:r>
        <w:rPr>
          <w:bCs/>
          <w:iCs/>
          <w:szCs w:val="24"/>
        </w:rPr>
        <w:t xml:space="preserve">In sum, this collection of information is necessary to </w:t>
      </w:r>
      <w:r>
        <w:t>establish a baseline to assess</w:t>
      </w:r>
      <w:r w:rsidR="00961EE9">
        <w:t xml:space="preserve"> the following three research questions</w:t>
      </w:r>
      <w:r>
        <w:t>:</w:t>
      </w:r>
    </w:p>
    <w:p w14:paraId="3C4A507B" w14:textId="3160E28A" w:rsidR="00861A16" w:rsidRDefault="00EF15B3" w:rsidP="00027217">
      <w:pPr>
        <w:widowControl w:val="0"/>
        <w:numPr>
          <w:ilvl w:val="0"/>
          <w:numId w:val="11"/>
        </w:numPr>
        <w:tabs>
          <w:tab w:val="left" w:pos="204"/>
        </w:tabs>
        <w:autoSpaceDE w:val="0"/>
        <w:autoSpaceDN w:val="0"/>
        <w:adjustRightInd w:val="0"/>
      </w:pPr>
      <w:r>
        <w:t xml:space="preserve">Is </w:t>
      </w:r>
      <w:r w:rsidR="00861A16">
        <w:t>FHWA and its partners</w:t>
      </w:r>
      <w:r w:rsidR="0056076A">
        <w:t xml:space="preserve"> are making</w:t>
      </w:r>
      <w:r w:rsidR="00861A16">
        <w:t xml:space="preserve"> progress implementing </w:t>
      </w:r>
      <w:r w:rsidR="0056076A">
        <w:t xml:space="preserve">TPM best practices that relate to </w:t>
      </w:r>
      <w:r>
        <w:t xml:space="preserve">MAP-21 and </w:t>
      </w:r>
      <w:r w:rsidR="00861A16">
        <w:t>FAST-</w:t>
      </w:r>
      <w:r>
        <w:t>Act performance provisions?</w:t>
      </w:r>
    </w:p>
    <w:p w14:paraId="3509F9D1" w14:textId="5616F3DA" w:rsidR="0056076A" w:rsidRDefault="0056076A" w:rsidP="00027217">
      <w:pPr>
        <w:widowControl w:val="0"/>
        <w:numPr>
          <w:ilvl w:val="0"/>
          <w:numId w:val="11"/>
        </w:numPr>
        <w:tabs>
          <w:tab w:val="left" w:pos="204"/>
        </w:tabs>
        <w:autoSpaceDE w:val="0"/>
        <w:autoSpaceDN w:val="0"/>
        <w:adjustRightInd w:val="0"/>
      </w:pPr>
      <w:r>
        <w:t>What is t</w:t>
      </w:r>
      <w:r w:rsidR="00861A16">
        <w:t xml:space="preserve">he effectiveness of </w:t>
      </w:r>
      <w:r>
        <w:t>both 1)</w:t>
      </w:r>
      <w:r w:rsidR="00EF15B3">
        <w:t xml:space="preserve"> </w:t>
      </w:r>
      <w:r w:rsidR="00861A16">
        <w:t xml:space="preserve">performance-based planning and programming processes and </w:t>
      </w:r>
      <w:r>
        <w:t>2)</w:t>
      </w:r>
      <w:r w:rsidR="00EF15B3">
        <w:t xml:space="preserve"> TPM</w:t>
      </w:r>
      <w:r>
        <w:t xml:space="preserve"> processes</w:t>
      </w:r>
      <w:r w:rsidR="00EF15B3">
        <w:t>, and 3) asset management Processes</w:t>
      </w:r>
      <w:r w:rsidR="00861A16">
        <w:t>.</w:t>
      </w:r>
    </w:p>
    <w:p w14:paraId="57B88F78" w14:textId="0EC44EF4" w:rsidR="00142233" w:rsidRDefault="00142233" w:rsidP="00027217">
      <w:pPr>
        <w:widowControl w:val="0"/>
        <w:numPr>
          <w:ilvl w:val="0"/>
          <w:numId w:val="11"/>
        </w:numPr>
        <w:tabs>
          <w:tab w:val="left" w:pos="204"/>
        </w:tabs>
        <w:autoSpaceDE w:val="0"/>
        <w:autoSpaceDN w:val="0"/>
        <w:adjustRightInd w:val="0"/>
      </w:pPr>
      <w:r>
        <w:t>What additional resources do FHWA’s partner agencies need to adv</w:t>
      </w:r>
      <w:r w:rsidR="009B26F4">
        <w:t>ance the state-of-the-</w:t>
      </w:r>
      <w:r w:rsidR="00EF15B3">
        <w:t>practice?</w:t>
      </w:r>
    </w:p>
    <w:p w14:paraId="09FE5574" w14:textId="680F7BB7" w:rsidR="00861A16" w:rsidRDefault="00861A16" w:rsidP="004A0CCD">
      <w:pPr>
        <w:widowControl w:val="0"/>
        <w:tabs>
          <w:tab w:val="left" w:pos="204"/>
        </w:tabs>
        <w:autoSpaceDE w:val="0"/>
        <w:autoSpaceDN w:val="0"/>
        <w:adjustRightInd w:val="0"/>
        <w:ind w:left="720"/>
      </w:pPr>
      <w:r>
        <w:t xml:space="preserve">  </w:t>
      </w:r>
    </w:p>
    <w:p w14:paraId="1A9BA14A" w14:textId="0B8793B4" w:rsidR="0056076A" w:rsidRDefault="00EF15B3" w:rsidP="004A0CCD">
      <w:pPr>
        <w:widowControl w:val="0"/>
        <w:tabs>
          <w:tab w:val="left" w:pos="204"/>
        </w:tabs>
        <w:autoSpaceDE w:val="0"/>
        <w:autoSpaceDN w:val="0"/>
        <w:adjustRightInd w:val="0"/>
      </w:pPr>
      <w:r>
        <w:t>Currently</w:t>
      </w:r>
      <w:r w:rsidR="0056076A">
        <w:t>, FHWA and its partners are unable to satisfactorily answer those qu</w:t>
      </w:r>
      <w:r>
        <w:t>e</w:t>
      </w:r>
      <w:r w:rsidR="0056076A">
        <w:t>stions us</w:t>
      </w:r>
      <w:r>
        <w:t>ing empirical data because FHWA and its partners do</w:t>
      </w:r>
      <w:r w:rsidR="0056076A">
        <w:t xml:space="preserve"> not have good research data on the processes transportation agencies use to achieve their desired performance outcomes.</w:t>
      </w:r>
      <w:r w:rsidR="008D6927">
        <w:t xml:space="preserve"> It </w:t>
      </w:r>
      <w:r w:rsidR="008D6927" w:rsidRPr="008D6927">
        <w:t>is believed that</w:t>
      </w:r>
      <w:r>
        <w:t xml:space="preserve"> while</w:t>
      </w:r>
      <w:r w:rsidR="008D6927" w:rsidRPr="008D6927">
        <w:t xml:space="preserve"> </w:t>
      </w:r>
      <w:r w:rsidRPr="008D6927">
        <w:t>state d</w:t>
      </w:r>
      <w:r>
        <w:t>epartments of transportation and</w:t>
      </w:r>
      <w:r w:rsidR="008D6927">
        <w:t xml:space="preserve"> </w:t>
      </w:r>
      <w:r>
        <w:t>metropolitan planning organizations</w:t>
      </w:r>
      <w:r w:rsidRPr="008D6927">
        <w:t xml:space="preserve"> </w:t>
      </w:r>
      <w:r w:rsidR="008D6927" w:rsidRPr="008D6927">
        <w:t xml:space="preserve">have a general understanding of TPM practices and </w:t>
      </w:r>
      <w:r>
        <w:t xml:space="preserve">have begun implementation, </w:t>
      </w:r>
      <w:r w:rsidR="008D6927" w:rsidRPr="008D6927">
        <w:t xml:space="preserve">it will be beneficial to have a better understanding of </w:t>
      </w:r>
      <w:r w:rsidR="008D6927">
        <w:t xml:space="preserve">their </w:t>
      </w:r>
      <w:r w:rsidR="008D6927" w:rsidRPr="008D6927">
        <w:t>specific capabili</w:t>
      </w:r>
      <w:r w:rsidR="008D6927">
        <w:t>ties, progress, and challenges.</w:t>
      </w:r>
    </w:p>
    <w:p w14:paraId="51780A59" w14:textId="2B461CA3" w:rsidR="00050318" w:rsidRDefault="00050318" w:rsidP="004A0CCD">
      <w:pPr>
        <w:widowControl w:val="0"/>
        <w:tabs>
          <w:tab w:val="left" w:pos="204"/>
        </w:tabs>
        <w:autoSpaceDE w:val="0"/>
        <w:autoSpaceDN w:val="0"/>
        <w:adjustRightInd w:val="0"/>
      </w:pPr>
    </w:p>
    <w:p w14:paraId="38E2CA61" w14:textId="33E89384" w:rsidR="004A0CCD" w:rsidRDefault="00502859" w:rsidP="004A0CCD">
      <w:pPr>
        <w:widowControl w:val="0"/>
        <w:tabs>
          <w:tab w:val="left" w:pos="204"/>
        </w:tabs>
        <w:autoSpaceDE w:val="0"/>
        <w:autoSpaceDN w:val="0"/>
        <w:adjustRightInd w:val="0"/>
      </w:pPr>
      <w:r>
        <w:t>In t</w:t>
      </w:r>
      <w:r w:rsidRPr="004A0CCD">
        <w:t>he document</w:t>
      </w:r>
      <w:r w:rsidR="00050318" w:rsidRPr="004A0CCD">
        <w:t>, “National TPM Implementation Review Survey Design and Questions,” which was included as part of th</w:t>
      </w:r>
      <w:r w:rsidR="00447874">
        <w:t>is information collection request</w:t>
      </w:r>
      <w:r w:rsidR="00A61F4F" w:rsidRPr="004A0CCD">
        <w:t xml:space="preserve">, </w:t>
      </w:r>
      <w:r w:rsidR="00871DB9" w:rsidRPr="004A0CCD">
        <w:t>survey questions are listed by sections (sections A-J) and further broken down by sub</w:t>
      </w:r>
      <w:r>
        <w:t>-s</w:t>
      </w:r>
      <w:r w:rsidR="00871DB9" w:rsidRPr="004A0CCD">
        <w:t>ections</w:t>
      </w:r>
      <w:r w:rsidR="00961EE9" w:rsidRPr="004A0CCD">
        <w:t>. Sections A (TPM General), B (Performance-based Programming), and C</w:t>
      </w:r>
      <w:r w:rsidR="004A0CCD" w:rsidRPr="004A0CCD">
        <w:t xml:space="preserve"> (Asset Management) </w:t>
      </w:r>
      <w:r w:rsidR="004A0CCD">
        <w:t>g</w:t>
      </w:r>
      <w:r w:rsidR="00961EE9" w:rsidRPr="004A0CCD">
        <w:t>et to the heart of answering research question</w:t>
      </w:r>
      <w:r w:rsidR="00B65DCC">
        <w:t>s</w:t>
      </w:r>
      <w:r w:rsidR="00961EE9" w:rsidRPr="004A0CCD">
        <w:t xml:space="preserve"> </w:t>
      </w:r>
      <w:r w:rsidR="004A0CCD" w:rsidRPr="004A0CCD">
        <w:t>#</w:t>
      </w:r>
      <w:r w:rsidR="00961EE9" w:rsidRPr="004A0CCD">
        <w:t xml:space="preserve">1, </w:t>
      </w:r>
      <w:r w:rsidR="004A0CCD" w:rsidRPr="004A0CCD">
        <w:t>#</w:t>
      </w:r>
      <w:r w:rsidR="00961EE9" w:rsidRPr="004A0CCD">
        <w:t xml:space="preserve">2, and </w:t>
      </w:r>
      <w:r w:rsidR="004A0CCD" w:rsidRPr="004A0CCD">
        <w:t>#</w:t>
      </w:r>
      <w:r w:rsidR="004A0CCD">
        <w:t>3 by seeking information that will illustrate the quality of the proc</w:t>
      </w:r>
      <w:r>
        <w:t>esses FHWA’s partners are using to achieve performance outcomes.</w:t>
      </w:r>
      <w:r w:rsidR="004A0CCD">
        <w:t xml:space="preserve"> </w:t>
      </w:r>
    </w:p>
    <w:p w14:paraId="50F45F5B" w14:textId="77777777" w:rsidR="004A0CCD" w:rsidRDefault="004A0CCD" w:rsidP="004A0CCD">
      <w:pPr>
        <w:widowControl w:val="0"/>
        <w:tabs>
          <w:tab w:val="left" w:pos="204"/>
        </w:tabs>
        <w:autoSpaceDE w:val="0"/>
        <w:autoSpaceDN w:val="0"/>
        <w:adjustRightInd w:val="0"/>
      </w:pPr>
    </w:p>
    <w:p w14:paraId="5F78BC83" w14:textId="3E992D5A" w:rsidR="00050318" w:rsidRDefault="00961EE9" w:rsidP="004A0CCD">
      <w:pPr>
        <w:widowControl w:val="0"/>
        <w:tabs>
          <w:tab w:val="left" w:pos="204"/>
        </w:tabs>
        <w:autoSpaceDE w:val="0"/>
        <w:autoSpaceDN w:val="0"/>
        <w:adjustRightInd w:val="0"/>
        <w:rPr>
          <w:i/>
        </w:rPr>
      </w:pPr>
      <w:r w:rsidRPr="004A0CCD">
        <w:t>Sections D-J (</w:t>
      </w:r>
      <w:r w:rsidR="00502859">
        <w:t>performance measure a</w:t>
      </w:r>
      <w:r w:rsidRPr="004A0CCD">
        <w:t xml:space="preserve">reas such as Safety, Pavement, Bridge, etc.), </w:t>
      </w:r>
      <w:r w:rsidR="004A0CCD">
        <w:t>s</w:t>
      </w:r>
      <w:r w:rsidRPr="004A0CCD">
        <w:t>eek</w:t>
      </w:r>
      <w:r w:rsidR="004A0CCD">
        <w:t>s</w:t>
      </w:r>
      <w:r w:rsidRPr="004A0CCD">
        <w:t xml:space="preserve"> to provide more nuanced answers to </w:t>
      </w:r>
      <w:r w:rsidR="004A0CCD" w:rsidRPr="004A0CCD">
        <w:t xml:space="preserve">research </w:t>
      </w:r>
      <w:r w:rsidRPr="004A0CCD">
        <w:t>question</w:t>
      </w:r>
      <w:r w:rsidR="004A0CCD" w:rsidRPr="004A0CCD">
        <w:t>s</w:t>
      </w:r>
      <w:r w:rsidRPr="004A0CCD">
        <w:t xml:space="preserve"> </w:t>
      </w:r>
      <w:r w:rsidR="004A0CCD" w:rsidRPr="004A0CCD">
        <w:t>#</w:t>
      </w:r>
      <w:r w:rsidRPr="004A0CCD">
        <w:t xml:space="preserve">1 and </w:t>
      </w:r>
      <w:r w:rsidR="004A0CCD" w:rsidRPr="004A0CCD">
        <w:t>#</w:t>
      </w:r>
      <w:r w:rsidRPr="004A0CCD">
        <w:t>3</w:t>
      </w:r>
      <w:r w:rsidR="004A0CCD" w:rsidRPr="004A0CCD">
        <w:t xml:space="preserve"> by asking </w:t>
      </w:r>
      <w:r w:rsidR="00502859">
        <w:t xml:space="preserve">technical, subject-matter specific </w:t>
      </w:r>
      <w:r w:rsidR="004A0CCD">
        <w:t>performance measure related q</w:t>
      </w:r>
      <w:r w:rsidR="004A0CCD" w:rsidRPr="004A0CCD">
        <w:t>uestions</w:t>
      </w:r>
      <w:r w:rsidR="00502859">
        <w:t>. Within sections D-J, those type of questions are</w:t>
      </w:r>
      <w:r w:rsidR="004A0CCD" w:rsidRPr="004A0CCD">
        <w:t xml:space="preserve"> grouped into the </w:t>
      </w:r>
      <w:r w:rsidR="00EF15B3" w:rsidRPr="004A0CCD">
        <w:t>following</w:t>
      </w:r>
      <w:r w:rsidRPr="004A0CCD">
        <w:t xml:space="preserve"> </w:t>
      </w:r>
      <w:r w:rsidR="004A0CCD" w:rsidRPr="004A0CCD">
        <w:t xml:space="preserve">five </w:t>
      </w:r>
      <w:r w:rsidR="00EF15B3" w:rsidRPr="004A0CCD">
        <w:t>subsections</w:t>
      </w:r>
      <w:r w:rsidR="004A0CCD" w:rsidRPr="004A0CCD">
        <w:t>:</w:t>
      </w:r>
    </w:p>
    <w:p w14:paraId="7AE61E59" w14:textId="6EE5B31D" w:rsidR="00961EE9" w:rsidRDefault="00502859" w:rsidP="004A0CCD">
      <w:pPr>
        <w:widowControl w:val="0"/>
        <w:tabs>
          <w:tab w:val="left" w:pos="204"/>
        </w:tabs>
        <w:autoSpaceDE w:val="0"/>
        <w:autoSpaceDN w:val="0"/>
        <w:adjustRightInd w:val="0"/>
        <w:rPr>
          <w:i/>
        </w:rPr>
      </w:pPr>
      <w:r>
        <w:rPr>
          <w:i/>
        </w:rPr>
        <w:lastRenderedPageBreak/>
        <w:tab/>
        <w:t>Staffing</w:t>
      </w:r>
    </w:p>
    <w:p w14:paraId="3A9B1F1F" w14:textId="483AD584" w:rsidR="00961EE9" w:rsidRDefault="00961EE9" w:rsidP="004A0CCD">
      <w:pPr>
        <w:widowControl w:val="0"/>
        <w:tabs>
          <w:tab w:val="left" w:pos="204"/>
        </w:tabs>
        <w:autoSpaceDE w:val="0"/>
        <w:autoSpaceDN w:val="0"/>
        <w:adjustRightInd w:val="0"/>
        <w:rPr>
          <w:i/>
        </w:rPr>
      </w:pPr>
      <w:r>
        <w:rPr>
          <w:i/>
        </w:rPr>
        <w:tab/>
        <w:t xml:space="preserve">Performance </w:t>
      </w:r>
    </w:p>
    <w:p w14:paraId="7E37F9BD" w14:textId="1F7A6E75" w:rsidR="00961EE9" w:rsidRDefault="00961EE9" w:rsidP="004A0CCD">
      <w:pPr>
        <w:widowControl w:val="0"/>
        <w:tabs>
          <w:tab w:val="left" w:pos="204"/>
        </w:tabs>
        <w:autoSpaceDE w:val="0"/>
        <w:autoSpaceDN w:val="0"/>
        <w:adjustRightInd w:val="0"/>
        <w:rPr>
          <w:i/>
        </w:rPr>
      </w:pPr>
      <w:r>
        <w:rPr>
          <w:i/>
        </w:rPr>
        <w:tab/>
      </w:r>
      <w:r w:rsidR="00EF15B3">
        <w:rPr>
          <w:i/>
        </w:rPr>
        <w:t>Measures</w:t>
      </w:r>
    </w:p>
    <w:p w14:paraId="2D800F12" w14:textId="67E3B7E4" w:rsidR="00961EE9" w:rsidRDefault="00502859" w:rsidP="004A0CCD">
      <w:pPr>
        <w:widowControl w:val="0"/>
        <w:tabs>
          <w:tab w:val="left" w:pos="204"/>
        </w:tabs>
        <w:autoSpaceDE w:val="0"/>
        <w:autoSpaceDN w:val="0"/>
        <w:adjustRightInd w:val="0"/>
        <w:rPr>
          <w:i/>
        </w:rPr>
      </w:pPr>
      <w:r>
        <w:rPr>
          <w:i/>
        </w:rPr>
        <w:tab/>
        <w:t>Target Setting</w:t>
      </w:r>
    </w:p>
    <w:p w14:paraId="3271DFCE" w14:textId="4EC85547" w:rsidR="00961EE9" w:rsidRDefault="00502859" w:rsidP="004A0CCD">
      <w:pPr>
        <w:widowControl w:val="0"/>
        <w:tabs>
          <w:tab w:val="left" w:pos="204"/>
        </w:tabs>
        <w:autoSpaceDE w:val="0"/>
        <w:autoSpaceDN w:val="0"/>
        <w:adjustRightInd w:val="0"/>
        <w:rPr>
          <w:i/>
        </w:rPr>
      </w:pPr>
      <w:r>
        <w:rPr>
          <w:i/>
        </w:rPr>
        <w:tab/>
        <w:t>Planning and Programming</w:t>
      </w:r>
    </w:p>
    <w:p w14:paraId="69D97F93" w14:textId="60FA8F30" w:rsidR="00961EE9" w:rsidRDefault="00961EE9" w:rsidP="004A0CCD">
      <w:pPr>
        <w:widowControl w:val="0"/>
        <w:tabs>
          <w:tab w:val="left" w:pos="204"/>
        </w:tabs>
        <w:autoSpaceDE w:val="0"/>
        <w:autoSpaceDN w:val="0"/>
        <w:adjustRightInd w:val="0"/>
        <w:rPr>
          <w:i/>
        </w:rPr>
      </w:pPr>
      <w:r>
        <w:rPr>
          <w:i/>
        </w:rPr>
        <w:tab/>
      </w:r>
      <w:r w:rsidR="00502859">
        <w:rPr>
          <w:i/>
        </w:rPr>
        <w:t>Monitoring and R</w:t>
      </w:r>
      <w:r w:rsidR="004A0CCD">
        <w:rPr>
          <w:i/>
        </w:rPr>
        <w:t>eporting</w:t>
      </w:r>
    </w:p>
    <w:p w14:paraId="4C2A0C33" w14:textId="6CADB3AC" w:rsidR="004A0CCD" w:rsidRDefault="004A0CCD" w:rsidP="004A0CCD">
      <w:pPr>
        <w:widowControl w:val="0"/>
        <w:tabs>
          <w:tab w:val="left" w:pos="204"/>
        </w:tabs>
        <w:autoSpaceDE w:val="0"/>
        <w:autoSpaceDN w:val="0"/>
        <w:adjustRightInd w:val="0"/>
        <w:rPr>
          <w:i/>
        </w:rPr>
      </w:pPr>
    </w:p>
    <w:p w14:paraId="5ED2CB70" w14:textId="33885B56" w:rsidR="004A0CCD" w:rsidRPr="00502859" w:rsidRDefault="004A0CCD" w:rsidP="004A0CCD">
      <w:pPr>
        <w:widowControl w:val="0"/>
        <w:tabs>
          <w:tab w:val="left" w:pos="204"/>
        </w:tabs>
        <w:autoSpaceDE w:val="0"/>
        <w:autoSpaceDN w:val="0"/>
        <w:adjustRightInd w:val="0"/>
      </w:pPr>
      <w:r w:rsidRPr="00502859">
        <w:t xml:space="preserve">The information collected will illustrate which performance measure areas are further along with implementing best practices and which will need greater technical assistance </w:t>
      </w:r>
      <w:r w:rsidR="00F67DF6">
        <w:t>and investments in tools/resources.</w:t>
      </w:r>
    </w:p>
    <w:p w14:paraId="5C90800F" w14:textId="6E058363" w:rsidR="00961EE9" w:rsidRDefault="00F67DF6" w:rsidP="00F67DF6">
      <w:pPr>
        <w:widowControl w:val="0"/>
        <w:tabs>
          <w:tab w:val="left" w:pos="3492"/>
        </w:tabs>
        <w:autoSpaceDE w:val="0"/>
        <w:autoSpaceDN w:val="0"/>
        <w:adjustRightInd w:val="0"/>
        <w:rPr>
          <w:i/>
        </w:rPr>
      </w:pPr>
      <w:r>
        <w:rPr>
          <w:i/>
        </w:rPr>
        <w:tab/>
      </w:r>
    </w:p>
    <w:p w14:paraId="2CD835F6" w14:textId="77777777" w:rsidR="004F2288" w:rsidRPr="007B2E4C" w:rsidRDefault="004F2288" w:rsidP="000A6210">
      <w:pPr>
        <w:widowControl w:val="0"/>
        <w:tabs>
          <w:tab w:val="left" w:pos="540"/>
        </w:tabs>
        <w:ind w:left="1440"/>
        <w:rPr>
          <w:b/>
          <w:szCs w:val="24"/>
        </w:rPr>
      </w:pPr>
    </w:p>
    <w:p w14:paraId="7D9AFA00" w14:textId="77777777" w:rsidR="001D224D" w:rsidRPr="007B2E4C" w:rsidRDefault="001D224D" w:rsidP="000A6210">
      <w:pPr>
        <w:widowControl w:val="0"/>
        <w:tabs>
          <w:tab w:val="left" w:pos="540"/>
        </w:tabs>
        <w:rPr>
          <w:b/>
          <w:szCs w:val="24"/>
        </w:rPr>
      </w:pPr>
      <w:r w:rsidRPr="007B2E4C">
        <w:rPr>
          <w:b/>
          <w:szCs w:val="24"/>
        </w:rPr>
        <w:t>2.</w:t>
      </w:r>
      <w:r w:rsidR="00F45271" w:rsidRPr="007B2E4C">
        <w:rPr>
          <w:b/>
          <w:szCs w:val="24"/>
        </w:rPr>
        <w:t xml:space="preserve"> </w:t>
      </w:r>
      <w:r w:rsidR="00F45271" w:rsidRPr="007B2E4C">
        <w:rPr>
          <w:b/>
          <w:szCs w:val="24"/>
        </w:rPr>
        <w:tab/>
      </w:r>
      <w:r w:rsidR="00F45271" w:rsidRPr="007B2E4C">
        <w:rPr>
          <w:b/>
          <w:szCs w:val="24"/>
          <w:u w:val="single"/>
        </w:rPr>
        <w:t xml:space="preserve">How, by whom, and for what purpose </w:t>
      </w:r>
      <w:r w:rsidR="00BB1A46" w:rsidRPr="007B2E4C">
        <w:rPr>
          <w:b/>
          <w:szCs w:val="24"/>
          <w:u w:val="single"/>
        </w:rPr>
        <w:t xml:space="preserve">is </w:t>
      </w:r>
      <w:r w:rsidR="00F45271" w:rsidRPr="007B2E4C">
        <w:rPr>
          <w:b/>
          <w:szCs w:val="24"/>
          <w:u w:val="single"/>
        </w:rPr>
        <w:t>the information to be used</w:t>
      </w:r>
      <w:r w:rsidR="00F45271" w:rsidRPr="007B2E4C">
        <w:rPr>
          <w:b/>
          <w:szCs w:val="24"/>
        </w:rPr>
        <w:t>.</w:t>
      </w:r>
      <w:r w:rsidR="00F45271" w:rsidRPr="007B2E4C">
        <w:rPr>
          <w:szCs w:val="24"/>
        </w:rPr>
        <w:t xml:space="preserve">  </w:t>
      </w:r>
      <w:r w:rsidR="00606852" w:rsidRPr="007B2E4C">
        <w:rPr>
          <w:b/>
          <w:szCs w:val="24"/>
        </w:rPr>
        <w:t xml:space="preserve"> </w:t>
      </w:r>
    </w:p>
    <w:p w14:paraId="3D75D7D3" w14:textId="77777777" w:rsidR="00F45271" w:rsidRPr="007B2E4C" w:rsidRDefault="00F45271" w:rsidP="000A6210">
      <w:pPr>
        <w:widowControl w:val="0"/>
        <w:tabs>
          <w:tab w:val="left" w:pos="540"/>
        </w:tabs>
        <w:rPr>
          <w:b/>
          <w:szCs w:val="24"/>
        </w:rPr>
      </w:pPr>
    </w:p>
    <w:p w14:paraId="0DAD72D4" w14:textId="627AFB27" w:rsidR="004A0CCD" w:rsidRPr="00050318" w:rsidRDefault="00991AD2" w:rsidP="004A0CCD">
      <w:pPr>
        <w:widowControl w:val="0"/>
        <w:tabs>
          <w:tab w:val="left" w:pos="204"/>
        </w:tabs>
        <w:autoSpaceDE w:val="0"/>
        <w:autoSpaceDN w:val="0"/>
        <w:adjustRightInd w:val="0"/>
        <w:rPr>
          <w:i/>
        </w:rPr>
      </w:pPr>
      <w:r w:rsidRPr="007B2E4C">
        <w:rPr>
          <w:bCs/>
          <w:iCs/>
          <w:szCs w:val="24"/>
        </w:rPr>
        <w:t>The information will be collected via</w:t>
      </w:r>
      <w:r w:rsidR="0056076A">
        <w:rPr>
          <w:bCs/>
          <w:iCs/>
          <w:szCs w:val="24"/>
        </w:rPr>
        <w:t xml:space="preserve"> an</w:t>
      </w:r>
      <w:r w:rsidRPr="007B2E4C">
        <w:rPr>
          <w:bCs/>
          <w:iCs/>
          <w:szCs w:val="24"/>
        </w:rPr>
        <w:t xml:space="preserve"> internet-based survey and will be used to better understand agency </w:t>
      </w:r>
      <w:r w:rsidR="0056076A">
        <w:rPr>
          <w:bCs/>
          <w:iCs/>
          <w:szCs w:val="24"/>
        </w:rPr>
        <w:t xml:space="preserve">processes, TPM </w:t>
      </w:r>
      <w:r w:rsidRPr="007B2E4C">
        <w:rPr>
          <w:bCs/>
          <w:iCs/>
          <w:szCs w:val="24"/>
        </w:rPr>
        <w:t>capabilities</w:t>
      </w:r>
      <w:r w:rsidR="0056076A">
        <w:rPr>
          <w:bCs/>
          <w:iCs/>
          <w:szCs w:val="24"/>
        </w:rPr>
        <w:t>,</w:t>
      </w:r>
      <w:r w:rsidRPr="007B2E4C">
        <w:rPr>
          <w:bCs/>
          <w:iCs/>
          <w:szCs w:val="24"/>
        </w:rPr>
        <w:t xml:space="preserve"> and </w:t>
      </w:r>
      <w:r w:rsidR="0056076A">
        <w:rPr>
          <w:bCs/>
          <w:iCs/>
          <w:szCs w:val="24"/>
        </w:rPr>
        <w:t xml:space="preserve">current technical </w:t>
      </w:r>
      <w:r w:rsidR="00EF15B3">
        <w:rPr>
          <w:bCs/>
          <w:iCs/>
          <w:szCs w:val="24"/>
        </w:rPr>
        <w:t>assistance</w:t>
      </w:r>
      <w:r w:rsidR="0056076A">
        <w:rPr>
          <w:bCs/>
          <w:iCs/>
          <w:szCs w:val="24"/>
        </w:rPr>
        <w:t xml:space="preserve"> </w:t>
      </w:r>
      <w:r w:rsidRPr="007B2E4C">
        <w:rPr>
          <w:bCs/>
          <w:iCs/>
          <w:szCs w:val="24"/>
        </w:rPr>
        <w:t xml:space="preserve">needs so that FHWA can provide targeted and effective support to </w:t>
      </w:r>
      <w:r w:rsidRPr="0094388C">
        <w:rPr>
          <w:bCs/>
          <w:iCs/>
          <w:szCs w:val="24"/>
        </w:rPr>
        <w:t>these agencies.</w:t>
      </w:r>
      <w:r w:rsidR="0056076A" w:rsidRPr="0094388C">
        <w:rPr>
          <w:bCs/>
          <w:iCs/>
          <w:szCs w:val="24"/>
        </w:rPr>
        <w:t xml:space="preserve"> Technical assistance developed from</w:t>
      </w:r>
      <w:r w:rsidR="0094388C">
        <w:rPr>
          <w:bCs/>
          <w:iCs/>
          <w:szCs w:val="24"/>
        </w:rPr>
        <w:t xml:space="preserve"> the</w:t>
      </w:r>
      <w:r w:rsidR="0056076A" w:rsidRPr="0094388C">
        <w:rPr>
          <w:bCs/>
          <w:iCs/>
          <w:szCs w:val="24"/>
        </w:rPr>
        <w:t xml:space="preserve"> information collected will take the form of guidance, </w:t>
      </w:r>
      <w:r w:rsidR="00EF15B3" w:rsidRPr="0094388C">
        <w:rPr>
          <w:bCs/>
          <w:iCs/>
          <w:szCs w:val="24"/>
        </w:rPr>
        <w:t>additional</w:t>
      </w:r>
      <w:r w:rsidR="0056076A" w:rsidRPr="0094388C">
        <w:rPr>
          <w:bCs/>
          <w:iCs/>
          <w:szCs w:val="24"/>
        </w:rPr>
        <w:t xml:space="preserve"> research, peer excha</w:t>
      </w:r>
      <w:r w:rsidR="00844005" w:rsidRPr="0094388C">
        <w:rPr>
          <w:bCs/>
          <w:iCs/>
          <w:szCs w:val="24"/>
        </w:rPr>
        <w:t xml:space="preserve">nges and training, tool development, and </w:t>
      </w:r>
      <w:r w:rsidR="0094388C">
        <w:rPr>
          <w:bCs/>
          <w:iCs/>
          <w:szCs w:val="24"/>
        </w:rPr>
        <w:t xml:space="preserve">applied </w:t>
      </w:r>
      <w:r w:rsidR="00844005" w:rsidRPr="0094388C">
        <w:rPr>
          <w:bCs/>
          <w:iCs/>
          <w:szCs w:val="24"/>
        </w:rPr>
        <w:t xml:space="preserve">research. </w:t>
      </w:r>
      <w:r w:rsidR="004A0CCD" w:rsidRPr="0094388C">
        <w:t xml:space="preserve">FHWA’s contractor has built a </w:t>
      </w:r>
      <w:hyperlink r:id="rId14" w:history="1">
        <w:r w:rsidR="004A0CCD" w:rsidRPr="0094388C">
          <w:rPr>
            <w:rStyle w:val="Hyperlink"/>
          </w:rPr>
          <w:t>draft survey instrument using survey gizmo</w:t>
        </w:r>
      </w:hyperlink>
      <w:r w:rsidR="004A0CCD" w:rsidRPr="0094388C">
        <w:t xml:space="preserve">, which is ready </w:t>
      </w:r>
      <w:r w:rsidR="0094388C">
        <w:t xml:space="preserve">for testing </w:t>
      </w:r>
      <w:r w:rsidR="004A0CCD" w:rsidRPr="0094388C">
        <w:t>with partners prior to deploying the survey.</w:t>
      </w:r>
    </w:p>
    <w:p w14:paraId="1FF1D102" w14:textId="32EFBE39" w:rsidR="00844005" w:rsidRDefault="00844005" w:rsidP="000D6E91">
      <w:pPr>
        <w:widowControl w:val="0"/>
        <w:tabs>
          <w:tab w:val="left" w:pos="204"/>
        </w:tabs>
        <w:autoSpaceDE w:val="0"/>
        <w:autoSpaceDN w:val="0"/>
        <w:adjustRightInd w:val="0"/>
        <w:rPr>
          <w:bCs/>
          <w:iCs/>
          <w:szCs w:val="24"/>
        </w:rPr>
      </w:pPr>
    </w:p>
    <w:p w14:paraId="32615A70" w14:textId="600E0DB6" w:rsidR="00844005" w:rsidRDefault="00844005" w:rsidP="000D6E91">
      <w:pPr>
        <w:widowControl w:val="0"/>
        <w:tabs>
          <w:tab w:val="left" w:pos="204"/>
        </w:tabs>
        <w:autoSpaceDE w:val="0"/>
        <w:autoSpaceDN w:val="0"/>
        <w:adjustRightInd w:val="0"/>
        <w:rPr>
          <w:bCs/>
          <w:iCs/>
          <w:szCs w:val="24"/>
        </w:rPr>
      </w:pPr>
      <w:r>
        <w:rPr>
          <w:bCs/>
          <w:iCs/>
          <w:szCs w:val="24"/>
        </w:rPr>
        <w:t>FHWA will also use the information collected to inform how it implements the performance provisions of MA</w:t>
      </w:r>
      <w:r w:rsidR="0094388C">
        <w:rPr>
          <w:bCs/>
          <w:iCs/>
          <w:szCs w:val="24"/>
        </w:rPr>
        <w:t>P-21 and the FAST Act</w:t>
      </w:r>
      <w:r>
        <w:rPr>
          <w:bCs/>
          <w:iCs/>
          <w:szCs w:val="24"/>
        </w:rPr>
        <w:t xml:space="preserve">, making programmatic changes in how it provides stewardship and deploys technical assistance to its partnerships. </w:t>
      </w:r>
    </w:p>
    <w:p w14:paraId="3754E41C" w14:textId="77777777" w:rsidR="00861A16" w:rsidRDefault="00861A16" w:rsidP="000D6E91">
      <w:pPr>
        <w:widowControl w:val="0"/>
        <w:tabs>
          <w:tab w:val="left" w:pos="204"/>
        </w:tabs>
        <w:autoSpaceDE w:val="0"/>
        <w:autoSpaceDN w:val="0"/>
        <w:adjustRightInd w:val="0"/>
        <w:rPr>
          <w:bCs/>
          <w:iCs/>
          <w:szCs w:val="24"/>
        </w:rPr>
      </w:pPr>
    </w:p>
    <w:p w14:paraId="6CE57CDC" w14:textId="31142033" w:rsidR="0031139E" w:rsidRPr="007B2E4C" w:rsidRDefault="00EF15B3" w:rsidP="000D6E91">
      <w:pPr>
        <w:widowControl w:val="0"/>
        <w:tabs>
          <w:tab w:val="left" w:pos="204"/>
        </w:tabs>
        <w:autoSpaceDE w:val="0"/>
        <w:autoSpaceDN w:val="0"/>
        <w:adjustRightInd w:val="0"/>
        <w:rPr>
          <w:bCs/>
          <w:iCs/>
          <w:szCs w:val="24"/>
        </w:rPr>
      </w:pPr>
      <w:r>
        <w:rPr>
          <w:bCs/>
          <w:iCs/>
          <w:szCs w:val="24"/>
        </w:rPr>
        <w:t>Additionally</w:t>
      </w:r>
      <w:r w:rsidR="00844005">
        <w:rPr>
          <w:bCs/>
          <w:iCs/>
          <w:szCs w:val="24"/>
        </w:rPr>
        <w:t>, i</w:t>
      </w:r>
      <w:r w:rsidR="000D6E91" w:rsidRPr="007B2E4C">
        <w:rPr>
          <w:bCs/>
          <w:iCs/>
          <w:szCs w:val="24"/>
        </w:rPr>
        <w:t xml:space="preserve">nformation collected will </w:t>
      </w:r>
      <w:r w:rsidR="00861A16">
        <w:rPr>
          <w:bCs/>
          <w:iCs/>
          <w:szCs w:val="24"/>
        </w:rPr>
        <w:t xml:space="preserve">also </w:t>
      </w:r>
      <w:r w:rsidR="000D6E91" w:rsidRPr="007B2E4C">
        <w:rPr>
          <w:bCs/>
          <w:iCs/>
          <w:szCs w:val="24"/>
        </w:rPr>
        <w:t xml:space="preserve">be used to help FHWA </w:t>
      </w:r>
      <w:r w:rsidR="00861A16">
        <w:rPr>
          <w:bCs/>
          <w:iCs/>
          <w:szCs w:val="24"/>
        </w:rPr>
        <w:t xml:space="preserve">supplement </w:t>
      </w:r>
      <w:r w:rsidR="0031139E" w:rsidRPr="007B2E4C">
        <w:rPr>
          <w:bCs/>
          <w:iCs/>
          <w:szCs w:val="24"/>
        </w:rPr>
        <w:t xml:space="preserve">the following </w:t>
      </w:r>
      <w:r w:rsidR="000D6E91" w:rsidRPr="007B2E4C">
        <w:rPr>
          <w:bCs/>
          <w:iCs/>
          <w:szCs w:val="24"/>
        </w:rPr>
        <w:t xml:space="preserve">statutory reports to Congress </w:t>
      </w:r>
      <w:r w:rsidR="0094388C">
        <w:rPr>
          <w:bCs/>
          <w:iCs/>
          <w:szCs w:val="24"/>
        </w:rPr>
        <w:t xml:space="preserve">that were </w:t>
      </w:r>
      <w:r w:rsidR="000D6E91" w:rsidRPr="007B2E4C">
        <w:rPr>
          <w:bCs/>
          <w:iCs/>
          <w:szCs w:val="24"/>
        </w:rPr>
        <w:t xml:space="preserve">due in </w:t>
      </w:r>
      <w:r w:rsidR="0031139E" w:rsidRPr="007B2E4C">
        <w:rPr>
          <w:bCs/>
          <w:iCs/>
          <w:szCs w:val="24"/>
        </w:rPr>
        <w:t xml:space="preserve">October </w:t>
      </w:r>
      <w:r w:rsidR="000D6E91" w:rsidRPr="007B2E4C">
        <w:rPr>
          <w:bCs/>
          <w:iCs/>
          <w:szCs w:val="24"/>
        </w:rPr>
        <w:t>2017 on the effectiveness of performance-based planning and programming processes and transportation performance management</w:t>
      </w:r>
      <w:r w:rsidR="0031139E" w:rsidRPr="007B2E4C">
        <w:rPr>
          <w:bCs/>
          <w:iCs/>
          <w:szCs w:val="24"/>
        </w:rPr>
        <w:t>:</w:t>
      </w:r>
    </w:p>
    <w:p w14:paraId="3AF40181" w14:textId="77777777" w:rsidR="0031139E" w:rsidRPr="007B2E4C" w:rsidRDefault="0031139E" w:rsidP="000D6E91">
      <w:pPr>
        <w:widowControl w:val="0"/>
        <w:tabs>
          <w:tab w:val="left" w:pos="204"/>
        </w:tabs>
        <w:autoSpaceDE w:val="0"/>
        <w:autoSpaceDN w:val="0"/>
        <w:adjustRightInd w:val="0"/>
        <w:rPr>
          <w:bCs/>
          <w:iCs/>
          <w:szCs w:val="24"/>
        </w:rPr>
      </w:pPr>
    </w:p>
    <w:p w14:paraId="3DEA75D3" w14:textId="77777777" w:rsidR="0031139E" w:rsidRPr="007B2E4C" w:rsidRDefault="0031139E" w:rsidP="007B2E4C">
      <w:pPr>
        <w:widowControl w:val="0"/>
        <w:tabs>
          <w:tab w:val="left" w:pos="204"/>
        </w:tabs>
        <w:autoSpaceDE w:val="0"/>
        <w:autoSpaceDN w:val="0"/>
        <w:adjustRightInd w:val="0"/>
        <w:ind w:left="204"/>
        <w:rPr>
          <w:b/>
          <w:bCs/>
          <w:i/>
          <w:iCs/>
          <w:szCs w:val="24"/>
        </w:rPr>
      </w:pPr>
      <w:r w:rsidRPr="007B2E4C">
        <w:rPr>
          <w:b/>
          <w:bCs/>
          <w:i/>
          <w:iCs/>
          <w:szCs w:val="24"/>
        </w:rPr>
        <w:t>Report on Performance-based Planning Processes:  23 U.S.C. §§ 134(l)(2)</w:t>
      </w:r>
    </w:p>
    <w:p w14:paraId="66B6EFD3" w14:textId="77777777" w:rsidR="0031139E" w:rsidRPr="007B2E4C" w:rsidRDefault="0031139E" w:rsidP="0031139E">
      <w:pPr>
        <w:widowControl w:val="0"/>
        <w:tabs>
          <w:tab w:val="left" w:pos="204"/>
        </w:tabs>
        <w:autoSpaceDE w:val="0"/>
        <w:autoSpaceDN w:val="0"/>
        <w:adjustRightInd w:val="0"/>
        <w:ind w:left="204"/>
        <w:rPr>
          <w:b/>
          <w:bCs/>
          <w:i/>
          <w:iCs/>
          <w:szCs w:val="24"/>
        </w:rPr>
      </w:pPr>
      <w:r w:rsidRPr="007B2E4C">
        <w:rPr>
          <w:b/>
          <w:bCs/>
          <w:i/>
          <w:iCs/>
          <w:szCs w:val="24"/>
        </w:rPr>
        <w:t>2) Report. -Not later than 5 years after the date of enactment of the MAP–21, the Secretary shall submit to Congress a report evaluating—</w:t>
      </w:r>
    </w:p>
    <w:p w14:paraId="131B5922" w14:textId="77777777" w:rsidR="0031139E" w:rsidRPr="007B2E4C" w:rsidRDefault="0031139E" w:rsidP="00027217">
      <w:pPr>
        <w:widowControl w:val="0"/>
        <w:numPr>
          <w:ilvl w:val="0"/>
          <w:numId w:val="10"/>
        </w:numPr>
        <w:tabs>
          <w:tab w:val="left" w:pos="204"/>
        </w:tabs>
        <w:autoSpaceDE w:val="0"/>
        <w:autoSpaceDN w:val="0"/>
        <w:adjustRightInd w:val="0"/>
        <w:rPr>
          <w:bCs/>
          <w:iCs/>
          <w:szCs w:val="24"/>
        </w:rPr>
      </w:pPr>
      <w:r w:rsidRPr="007B2E4C">
        <w:rPr>
          <w:bCs/>
          <w:iCs/>
          <w:szCs w:val="24"/>
        </w:rPr>
        <w:t>the overall effectiveness of performance-based planning as a tool for guiding transportation investments;</w:t>
      </w:r>
    </w:p>
    <w:p w14:paraId="1B371AE9" w14:textId="77777777" w:rsidR="0031139E" w:rsidRPr="007B2E4C" w:rsidRDefault="0031139E" w:rsidP="00027217">
      <w:pPr>
        <w:widowControl w:val="0"/>
        <w:numPr>
          <w:ilvl w:val="0"/>
          <w:numId w:val="10"/>
        </w:numPr>
        <w:tabs>
          <w:tab w:val="left" w:pos="204"/>
        </w:tabs>
        <w:autoSpaceDE w:val="0"/>
        <w:autoSpaceDN w:val="0"/>
        <w:adjustRightInd w:val="0"/>
        <w:rPr>
          <w:bCs/>
          <w:iCs/>
          <w:szCs w:val="24"/>
        </w:rPr>
      </w:pPr>
      <w:r w:rsidRPr="007B2E4C">
        <w:rPr>
          <w:bCs/>
          <w:iCs/>
          <w:szCs w:val="24"/>
        </w:rPr>
        <w:t>the effectiveness of the performance-based planning process of each metropolitan planning organization under this section;</w:t>
      </w:r>
    </w:p>
    <w:p w14:paraId="2C1020E8" w14:textId="77777777" w:rsidR="0031139E" w:rsidRPr="007B2E4C" w:rsidRDefault="0031139E" w:rsidP="00027217">
      <w:pPr>
        <w:widowControl w:val="0"/>
        <w:numPr>
          <w:ilvl w:val="0"/>
          <w:numId w:val="10"/>
        </w:numPr>
        <w:tabs>
          <w:tab w:val="left" w:pos="204"/>
        </w:tabs>
        <w:autoSpaceDE w:val="0"/>
        <w:autoSpaceDN w:val="0"/>
        <w:adjustRightInd w:val="0"/>
        <w:rPr>
          <w:bCs/>
          <w:iCs/>
          <w:szCs w:val="24"/>
        </w:rPr>
      </w:pPr>
      <w:r w:rsidRPr="007B2E4C">
        <w:rPr>
          <w:bCs/>
          <w:iCs/>
          <w:szCs w:val="24"/>
        </w:rPr>
        <w:t>the extent to which metropolitan planning organizations have achieved, or are currently making substantial progress toward achieving, the performance targets specified under this section and whether metropolitan planning organizations are developing meaningful performance targets; and</w:t>
      </w:r>
    </w:p>
    <w:p w14:paraId="01CB29F8" w14:textId="77777777" w:rsidR="0031139E" w:rsidRPr="007B2E4C" w:rsidRDefault="0031139E" w:rsidP="00027217">
      <w:pPr>
        <w:widowControl w:val="0"/>
        <w:numPr>
          <w:ilvl w:val="0"/>
          <w:numId w:val="10"/>
        </w:numPr>
        <w:tabs>
          <w:tab w:val="left" w:pos="204"/>
        </w:tabs>
        <w:autoSpaceDE w:val="0"/>
        <w:autoSpaceDN w:val="0"/>
        <w:adjustRightInd w:val="0"/>
        <w:rPr>
          <w:bCs/>
          <w:iCs/>
          <w:szCs w:val="24"/>
        </w:rPr>
      </w:pPr>
      <w:r w:rsidRPr="007B2E4C">
        <w:rPr>
          <w:bCs/>
          <w:iCs/>
          <w:szCs w:val="24"/>
        </w:rPr>
        <w:t>the technical capacity of metropolitan planning organizations that operate within a metropolitan planning area of less than 200,000 and their ability to carry out the requirements of this section.</w:t>
      </w:r>
    </w:p>
    <w:p w14:paraId="6A15BFB8" w14:textId="77777777" w:rsidR="0031139E" w:rsidRPr="007B2E4C" w:rsidRDefault="0031139E" w:rsidP="007B2E4C">
      <w:pPr>
        <w:widowControl w:val="0"/>
        <w:tabs>
          <w:tab w:val="left" w:pos="204"/>
        </w:tabs>
        <w:autoSpaceDE w:val="0"/>
        <w:autoSpaceDN w:val="0"/>
        <w:adjustRightInd w:val="0"/>
        <w:ind w:left="204"/>
        <w:rPr>
          <w:b/>
          <w:bCs/>
          <w:i/>
          <w:iCs/>
          <w:szCs w:val="24"/>
        </w:rPr>
      </w:pPr>
    </w:p>
    <w:p w14:paraId="5F68F1A0" w14:textId="77777777" w:rsidR="0031139E" w:rsidRPr="007B2E4C" w:rsidRDefault="0031139E" w:rsidP="007B2E4C">
      <w:pPr>
        <w:widowControl w:val="0"/>
        <w:tabs>
          <w:tab w:val="left" w:pos="204"/>
        </w:tabs>
        <w:autoSpaceDE w:val="0"/>
        <w:autoSpaceDN w:val="0"/>
        <w:adjustRightInd w:val="0"/>
        <w:ind w:left="204"/>
        <w:rPr>
          <w:b/>
          <w:bCs/>
          <w:iCs/>
          <w:szCs w:val="24"/>
        </w:rPr>
      </w:pPr>
      <w:r w:rsidRPr="007B2E4C">
        <w:rPr>
          <w:b/>
          <w:bCs/>
          <w:i/>
          <w:iCs/>
          <w:szCs w:val="24"/>
        </w:rPr>
        <w:t>Performance-based Planning Processes Evaluation Report:  23 U.S.C. §§ 135(h)(2))</w:t>
      </w:r>
      <w:r w:rsidRPr="007B2E4C">
        <w:rPr>
          <w:b/>
          <w:bCs/>
          <w:iCs/>
          <w:szCs w:val="24"/>
        </w:rPr>
        <w:t xml:space="preserve"> </w:t>
      </w:r>
    </w:p>
    <w:p w14:paraId="580A7AAA" w14:textId="77777777" w:rsidR="0031139E" w:rsidRPr="007B2E4C" w:rsidRDefault="0031139E" w:rsidP="007B2E4C">
      <w:pPr>
        <w:widowControl w:val="0"/>
        <w:tabs>
          <w:tab w:val="left" w:pos="204"/>
        </w:tabs>
        <w:autoSpaceDE w:val="0"/>
        <w:autoSpaceDN w:val="0"/>
        <w:adjustRightInd w:val="0"/>
        <w:ind w:left="204"/>
        <w:rPr>
          <w:bCs/>
          <w:iCs/>
          <w:szCs w:val="24"/>
        </w:rPr>
      </w:pPr>
      <w:r w:rsidRPr="007B2E4C">
        <w:rPr>
          <w:bCs/>
          <w:iCs/>
          <w:szCs w:val="24"/>
        </w:rPr>
        <w:t>(2) In general.—Not later than 5 years after the date of enactment of the MAP–21, the Secretary shall submit to Congress a report evaluating—</w:t>
      </w:r>
    </w:p>
    <w:p w14:paraId="2510A90C" w14:textId="77777777" w:rsidR="00ED2FEB" w:rsidRPr="007B2E4C" w:rsidRDefault="0031139E" w:rsidP="00027217">
      <w:pPr>
        <w:widowControl w:val="0"/>
        <w:numPr>
          <w:ilvl w:val="0"/>
          <w:numId w:val="9"/>
        </w:numPr>
        <w:tabs>
          <w:tab w:val="left" w:pos="204"/>
        </w:tabs>
        <w:autoSpaceDE w:val="0"/>
        <w:autoSpaceDN w:val="0"/>
        <w:adjustRightInd w:val="0"/>
        <w:rPr>
          <w:bCs/>
          <w:iCs/>
          <w:szCs w:val="24"/>
        </w:rPr>
      </w:pPr>
      <w:r w:rsidRPr="007B2E4C">
        <w:rPr>
          <w:bCs/>
          <w:iCs/>
          <w:szCs w:val="24"/>
        </w:rPr>
        <w:t>the overall effectiveness of performance-based planning as a tool for guiding transportation investments; and</w:t>
      </w:r>
    </w:p>
    <w:p w14:paraId="0B31EA4F" w14:textId="77777777" w:rsidR="00ED2FEB" w:rsidRPr="007B2E4C" w:rsidRDefault="0031139E" w:rsidP="00027217">
      <w:pPr>
        <w:widowControl w:val="0"/>
        <w:numPr>
          <w:ilvl w:val="0"/>
          <w:numId w:val="9"/>
        </w:numPr>
        <w:tabs>
          <w:tab w:val="left" w:pos="204"/>
        </w:tabs>
        <w:autoSpaceDE w:val="0"/>
        <w:autoSpaceDN w:val="0"/>
        <w:adjustRightInd w:val="0"/>
        <w:rPr>
          <w:bCs/>
          <w:iCs/>
          <w:szCs w:val="24"/>
        </w:rPr>
      </w:pPr>
      <w:r w:rsidRPr="007B2E4C">
        <w:rPr>
          <w:bCs/>
          <w:iCs/>
          <w:szCs w:val="24"/>
        </w:rPr>
        <w:t>the effectiveness of the performance-based planning process of each State.</w:t>
      </w:r>
    </w:p>
    <w:p w14:paraId="14F68DFA" w14:textId="77777777" w:rsidR="001D224D" w:rsidRPr="007B2E4C" w:rsidRDefault="001D224D" w:rsidP="000A6210">
      <w:pPr>
        <w:widowControl w:val="0"/>
        <w:tabs>
          <w:tab w:val="left" w:pos="540"/>
        </w:tabs>
        <w:rPr>
          <w:b/>
          <w:szCs w:val="24"/>
        </w:rPr>
      </w:pPr>
    </w:p>
    <w:p w14:paraId="51B168EA" w14:textId="77777777" w:rsidR="001D224D" w:rsidRPr="007B2E4C" w:rsidRDefault="001D224D" w:rsidP="000A6210">
      <w:pPr>
        <w:widowControl w:val="0"/>
        <w:tabs>
          <w:tab w:val="left" w:pos="540"/>
        </w:tabs>
        <w:rPr>
          <w:b/>
          <w:szCs w:val="24"/>
        </w:rPr>
      </w:pPr>
      <w:r w:rsidRPr="007B2E4C">
        <w:rPr>
          <w:b/>
          <w:szCs w:val="24"/>
        </w:rPr>
        <w:t>3.</w:t>
      </w:r>
      <w:r w:rsidRPr="007B2E4C">
        <w:rPr>
          <w:b/>
          <w:szCs w:val="24"/>
        </w:rPr>
        <w:tab/>
      </w:r>
      <w:r w:rsidR="00F45271" w:rsidRPr="007B2E4C">
        <w:rPr>
          <w:b/>
          <w:szCs w:val="24"/>
          <w:u w:val="single"/>
        </w:rPr>
        <w:t>Extent of automated information collection</w:t>
      </w:r>
      <w:r w:rsidR="00F45271" w:rsidRPr="007B2E4C">
        <w:rPr>
          <w:b/>
          <w:szCs w:val="24"/>
        </w:rPr>
        <w:t xml:space="preserve">.  </w:t>
      </w:r>
    </w:p>
    <w:p w14:paraId="1E12C296" w14:textId="77777777" w:rsidR="001D224D" w:rsidRPr="007B2E4C" w:rsidRDefault="001D224D" w:rsidP="000A6210">
      <w:pPr>
        <w:widowControl w:val="0"/>
        <w:tabs>
          <w:tab w:val="left" w:pos="540"/>
        </w:tabs>
        <w:rPr>
          <w:b/>
          <w:szCs w:val="24"/>
        </w:rPr>
      </w:pPr>
    </w:p>
    <w:p w14:paraId="50BFA558" w14:textId="77777777" w:rsidR="00B6362D" w:rsidRPr="007B2E4C" w:rsidRDefault="00B6362D" w:rsidP="00B6362D">
      <w:pPr>
        <w:widowControl w:val="0"/>
        <w:tabs>
          <w:tab w:val="left" w:pos="540"/>
        </w:tabs>
        <w:rPr>
          <w:szCs w:val="24"/>
        </w:rPr>
      </w:pPr>
      <w:r w:rsidRPr="007B2E4C">
        <w:rPr>
          <w:szCs w:val="24"/>
        </w:rPr>
        <w:t xml:space="preserve">The information will be collected via </w:t>
      </w:r>
      <w:r w:rsidR="00005AC8" w:rsidRPr="007B2E4C">
        <w:rPr>
          <w:szCs w:val="24"/>
        </w:rPr>
        <w:t xml:space="preserve">an </w:t>
      </w:r>
      <w:r w:rsidRPr="007B2E4C">
        <w:rPr>
          <w:szCs w:val="24"/>
        </w:rPr>
        <w:t xml:space="preserve">internet-based survey and </w:t>
      </w:r>
      <w:r w:rsidR="000D6E91" w:rsidRPr="007B2E4C">
        <w:rPr>
          <w:szCs w:val="24"/>
        </w:rPr>
        <w:t>automated self-</w:t>
      </w:r>
      <w:r w:rsidRPr="007B2E4C">
        <w:rPr>
          <w:szCs w:val="24"/>
        </w:rPr>
        <w:t>assessment</w:t>
      </w:r>
      <w:r w:rsidR="000D6E91" w:rsidRPr="007B2E4C">
        <w:rPr>
          <w:szCs w:val="24"/>
        </w:rPr>
        <w:t xml:space="preserve"> tool</w:t>
      </w:r>
      <w:r w:rsidR="00005AC8" w:rsidRPr="007B2E4C">
        <w:rPr>
          <w:szCs w:val="24"/>
        </w:rPr>
        <w:t>s.</w:t>
      </w:r>
      <w:r w:rsidRPr="007B2E4C">
        <w:rPr>
          <w:szCs w:val="24"/>
        </w:rPr>
        <w:t xml:space="preserve"> </w:t>
      </w:r>
      <w:r w:rsidR="000D6E91" w:rsidRPr="007B2E4C">
        <w:rPr>
          <w:szCs w:val="24"/>
        </w:rPr>
        <w:t xml:space="preserve">All information will be collected and stored electronically. </w:t>
      </w:r>
    </w:p>
    <w:p w14:paraId="63370B4A" w14:textId="77777777" w:rsidR="00B6362D" w:rsidRPr="007B2E4C" w:rsidRDefault="00B6362D" w:rsidP="00B6362D">
      <w:pPr>
        <w:widowControl w:val="0"/>
        <w:tabs>
          <w:tab w:val="left" w:pos="540"/>
        </w:tabs>
        <w:rPr>
          <w:szCs w:val="24"/>
        </w:rPr>
      </w:pPr>
    </w:p>
    <w:p w14:paraId="51B90C6B" w14:textId="77777777" w:rsidR="001D224D" w:rsidRPr="007B2E4C" w:rsidRDefault="000A6210" w:rsidP="00027217">
      <w:pPr>
        <w:widowControl w:val="0"/>
        <w:numPr>
          <w:ilvl w:val="0"/>
          <w:numId w:val="3"/>
        </w:numPr>
        <w:tabs>
          <w:tab w:val="clear" w:pos="720"/>
          <w:tab w:val="num" w:pos="-90"/>
          <w:tab w:val="left" w:pos="0"/>
          <w:tab w:val="left" w:pos="540"/>
        </w:tabs>
        <w:ind w:left="-90" w:firstLine="0"/>
        <w:rPr>
          <w:b/>
          <w:szCs w:val="24"/>
        </w:rPr>
      </w:pPr>
      <w:r w:rsidRPr="007B2E4C">
        <w:rPr>
          <w:b/>
          <w:szCs w:val="24"/>
          <w:u w:val="single"/>
        </w:rPr>
        <w:t>Describe efforts to identify duplication.</w:t>
      </w:r>
      <w:r w:rsidRPr="007B2E4C">
        <w:rPr>
          <w:b/>
          <w:szCs w:val="24"/>
        </w:rPr>
        <w:t xml:space="preserve">   </w:t>
      </w:r>
    </w:p>
    <w:p w14:paraId="431E4C59" w14:textId="77777777" w:rsidR="00720D5B" w:rsidRPr="007B2E4C" w:rsidRDefault="00720D5B" w:rsidP="00720D5B">
      <w:pPr>
        <w:widowControl w:val="0"/>
        <w:tabs>
          <w:tab w:val="left" w:pos="0"/>
          <w:tab w:val="left" w:pos="540"/>
        </w:tabs>
        <w:ind w:left="-90"/>
        <w:rPr>
          <w:b/>
          <w:szCs w:val="24"/>
          <w:u w:val="single"/>
        </w:rPr>
      </w:pPr>
    </w:p>
    <w:p w14:paraId="7C63C640" w14:textId="77777777" w:rsidR="008E62AF" w:rsidRPr="007B2E4C" w:rsidRDefault="008E62AF" w:rsidP="008E62AF">
      <w:pPr>
        <w:widowControl w:val="0"/>
        <w:tabs>
          <w:tab w:val="left" w:pos="0"/>
          <w:tab w:val="left" w:pos="540"/>
        </w:tabs>
        <w:ind w:left="-90"/>
        <w:rPr>
          <w:szCs w:val="24"/>
        </w:rPr>
      </w:pPr>
      <w:r w:rsidRPr="007B2E4C">
        <w:rPr>
          <w:szCs w:val="24"/>
        </w:rPr>
        <w:t>There is no duplication or existing source for the information to be collected. FHWA has conducted an extensive literature review of previously collected data and found no uniform source of data available for all agencies.</w:t>
      </w:r>
    </w:p>
    <w:p w14:paraId="1AB96FE0" w14:textId="77777777" w:rsidR="000907D5" w:rsidRPr="007B2E4C" w:rsidRDefault="000907D5" w:rsidP="000A6210">
      <w:pPr>
        <w:widowControl w:val="0"/>
        <w:tabs>
          <w:tab w:val="left" w:pos="540"/>
        </w:tabs>
        <w:ind w:left="360"/>
        <w:rPr>
          <w:b/>
          <w:szCs w:val="24"/>
        </w:rPr>
      </w:pPr>
    </w:p>
    <w:p w14:paraId="5705AA22" w14:textId="77777777" w:rsidR="001D224D" w:rsidRPr="007B2E4C" w:rsidRDefault="001D224D" w:rsidP="000A6210">
      <w:pPr>
        <w:widowControl w:val="0"/>
        <w:tabs>
          <w:tab w:val="left" w:pos="540"/>
        </w:tabs>
        <w:ind w:left="720"/>
        <w:rPr>
          <w:szCs w:val="24"/>
        </w:rPr>
      </w:pPr>
      <w:r w:rsidRPr="007B2E4C">
        <w:rPr>
          <w:szCs w:val="24"/>
        </w:rPr>
        <w:t xml:space="preserve">                      </w:t>
      </w:r>
    </w:p>
    <w:p w14:paraId="0F5CB851" w14:textId="77777777" w:rsidR="001D224D" w:rsidRPr="007B2E4C" w:rsidRDefault="001D224D" w:rsidP="000A6210">
      <w:pPr>
        <w:widowControl w:val="0"/>
        <w:tabs>
          <w:tab w:val="left" w:pos="540"/>
        </w:tabs>
        <w:rPr>
          <w:b/>
          <w:szCs w:val="24"/>
        </w:rPr>
      </w:pPr>
      <w:r w:rsidRPr="007B2E4C">
        <w:rPr>
          <w:b/>
          <w:szCs w:val="24"/>
        </w:rPr>
        <w:t>5.</w:t>
      </w:r>
      <w:r w:rsidRPr="007B2E4C">
        <w:rPr>
          <w:b/>
          <w:szCs w:val="24"/>
        </w:rPr>
        <w:tab/>
      </w:r>
      <w:r w:rsidR="000A6210" w:rsidRPr="007B2E4C">
        <w:rPr>
          <w:b/>
          <w:szCs w:val="24"/>
          <w:u w:val="single"/>
        </w:rPr>
        <w:t xml:space="preserve">Efforts to minimize the </w:t>
      </w:r>
      <w:r w:rsidR="00CB30D6" w:rsidRPr="007B2E4C">
        <w:rPr>
          <w:b/>
          <w:szCs w:val="24"/>
          <w:u w:val="single"/>
        </w:rPr>
        <w:t>burden on</w:t>
      </w:r>
      <w:r w:rsidR="000A6210" w:rsidRPr="007B2E4C">
        <w:rPr>
          <w:b/>
          <w:szCs w:val="24"/>
          <w:u w:val="single"/>
        </w:rPr>
        <w:t xml:space="preserve"> small businesses</w:t>
      </w:r>
      <w:r w:rsidR="000A6210" w:rsidRPr="007B2E4C">
        <w:rPr>
          <w:szCs w:val="24"/>
        </w:rPr>
        <w:t xml:space="preserve">.  </w:t>
      </w:r>
    </w:p>
    <w:p w14:paraId="7317A65B" w14:textId="77777777" w:rsidR="005024B4" w:rsidRPr="007B2E4C" w:rsidRDefault="005024B4" w:rsidP="000A6210">
      <w:pPr>
        <w:widowControl w:val="0"/>
        <w:tabs>
          <w:tab w:val="left" w:pos="540"/>
        </w:tabs>
        <w:rPr>
          <w:b/>
          <w:szCs w:val="24"/>
        </w:rPr>
      </w:pPr>
    </w:p>
    <w:p w14:paraId="6D55F455" w14:textId="77777777" w:rsidR="00DC0105" w:rsidRPr="007B2E4C" w:rsidRDefault="00DC0105" w:rsidP="00DC0105">
      <w:pPr>
        <w:rPr>
          <w:szCs w:val="24"/>
        </w:rPr>
      </w:pPr>
      <w:r w:rsidRPr="007B2E4C">
        <w:rPr>
          <w:szCs w:val="24"/>
        </w:rPr>
        <w:t>This information collection does not involve small businesses.</w:t>
      </w:r>
    </w:p>
    <w:p w14:paraId="158B43B6" w14:textId="77777777" w:rsidR="005024B4" w:rsidRPr="007B2E4C" w:rsidRDefault="005024B4" w:rsidP="00720D5B">
      <w:pPr>
        <w:widowControl w:val="0"/>
        <w:tabs>
          <w:tab w:val="left" w:pos="0"/>
          <w:tab w:val="left" w:pos="540"/>
        </w:tabs>
        <w:ind w:left="-90"/>
        <w:rPr>
          <w:szCs w:val="24"/>
        </w:rPr>
      </w:pPr>
    </w:p>
    <w:p w14:paraId="1AB16713" w14:textId="77777777" w:rsidR="001D224D" w:rsidRPr="007B2E4C" w:rsidRDefault="001D224D" w:rsidP="000A6210">
      <w:pPr>
        <w:widowControl w:val="0"/>
        <w:tabs>
          <w:tab w:val="left" w:pos="540"/>
        </w:tabs>
        <w:rPr>
          <w:b/>
          <w:szCs w:val="24"/>
        </w:rPr>
      </w:pPr>
      <w:r w:rsidRPr="007B2E4C">
        <w:rPr>
          <w:b/>
          <w:szCs w:val="24"/>
        </w:rPr>
        <w:t>6.</w:t>
      </w:r>
      <w:r w:rsidRPr="007B2E4C">
        <w:rPr>
          <w:b/>
          <w:szCs w:val="24"/>
        </w:rPr>
        <w:tab/>
      </w:r>
      <w:r w:rsidR="0014478D" w:rsidRPr="007B2E4C">
        <w:rPr>
          <w:b/>
          <w:szCs w:val="24"/>
          <w:u w:val="single"/>
        </w:rPr>
        <w:t>Impact of less frequent collection of information</w:t>
      </w:r>
      <w:r w:rsidRPr="007B2E4C">
        <w:rPr>
          <w:b/>
          <w:szCs w:val="24"/>
        </w:rPr>
        <w:t>.</w:t>
      </w:r>
    </w:p>
    <w:p w14:paraId="22CC0218" w14:textId="77777777" w:rsidR="003340B0" w:rsidRPr="007B2E4C" w:rsidRDefault="003340B0" w:rsidP="003340B0">
      <w:pPr>
        <w:widowControl w:val="0"/>
        <w:tabs>
          <w:tab w:val="left" w:pos="540"/>
        </w:tabs>
        <w:rPr>
          <w:color w:val="FF0000"/>
          <w:szCs w:val="24"/>
        </w:rPr>
      </w:pPr>
    </w:p>
    <w:p w14:paraId="0779236C" w14:textId="23357266" w:rsidR="003340B0" w:rsidRPr="007B2E4C" w:rsidRDefault="003340B0" w:rsidP="003340B0">
      <w:pPr>
        <w:widowControl w:val="0"/>
        <w:tabs>
          <w:tab w:val="left" w:pos="540"/>
        </w:tabs>
        <w:rPr>
          <w:szCs w:val="24"/>
        </w:rPr>
      </w:pPr>
      <w:r w:rsidRPr="007B2E4C">
        <w:rPr>
          <w:szCs w:val="24"/>
        </w:rPr>
        <w:t>Without these data FHWA will not be in a position to properly support state and regional agencies.</w:t>
      </w:r>
      <w:r w:rsidR="006F30E9" w:rsidRPr="007B2E4C">
        <w:rPr>
          <w:szCs w:val="24"/>
        </w:rPr>
        <w:t xml:space="preserve"> </w:t>
      </w:r>
      <w:r w:rsidRPr="007B2E4C">
        <w:rPr>
          <w:szCs w:val="24"/>
        </w:rPr>
        <w:t xml:space="preserve"> Instead, data will have to be collected on </w:t>
      </w:r>
      <w:r w:rsidR="00EF15B3" w:rsidRPr="007B2E4C">
        <w:rPr>
          <w:szCs w:val="24"/>
        </w:rPr>
        <w:t>an</w:t>
      </w:r>
      <w:r w:rsidRPr="007B2E4C">
        <w:rPr>
          <w:szCs w:val="24"/>
        </w:rPr>
        <w:t xml:space="preserve"> agency-by-agency bases causing massive inefficiencies.</w:t>
      </w:r>
      <w:r w:rsidR="006F30E9" w:rsidRPr="007B2E4C">
        <w:rPr>
          <w:szCs w:val="24"/>
        </w:rPr>
        <w:t xml:space="preserve"> Collection of this data would also be duplicated by several non-governmental agencies interested in using such data if FHWA does </w:t>
      </w:r>
      <w:r w:rsidR="00A80D9B" w:rsidRPr="007B2E4C">
        <w:rPr>
          <w:szCs w:val="24"/>
        </w:rPr>
        <w:t xml:space="preserve">not </w:t>
      </w:r>
      <w:r w:rsidR="006F30E9" w:rsidRPr="007B2E4C">
        <w:rPr>
          <w:szCs w:val="24"/>
        </w:rPr>
        <w:t xml:space="preserve">step in and standardize the </w:t>
      </w:r>
      <w:r w:rsidR="00A80D9B" w:rsidRPr="007B2E4C">
        <w:rPr>
          <w:szCs w:val="24"/>
        </w:rPr>
        <w:t xml:space="preserve">information </w:t>
      </w:r>
      <w:r w:rsidR="006F30E9" w:rsidRPr="007B2E4C">
        <w:rPr>
          <w:szCs w:val="24"/>
        </w:rPr>
        <w:t xml:space="preserve">collection process. </w:t>
      </w:r>
      <w:r w:rsidR="009B26F4">
        <w:rPr>
          <w:szCs w:val="24"/>
        </w:rPr>
        <w:t xml:space="preserve">FHWA will also not be in a position to satisfactorily answer the numerous inquiries it receives from the Government Accountability Office on how well FHWA’s partners are implementing transportation performance management. </w:t>
      </w:r>
    </w:p>
    <w:p w14:paraId="4D508B66" w14:textId="77777777" w:rsidR="001D224D" w:rsidRPr="007B2E4C" w:rsidRDefault="001D224D" w:rsidP="000A6210">
      <w:pPr>
        <w:widowControl w:val="0"/>
        <w:tabs>
          <w:tab w:val="left" w:pos="540"/>
        </w:tabs>
        <w:rPr>
          <w:b/>
          <w:szCs w:val="24"/>
        </w:rPr>
      </w:pPr>
      <w:r w:rsidRPr="007B2E4C">
        <w:rPr>
          <w:b/>
          <w:szCs w:val="24"/>
        </w:rPr>
        <w:tab/>
      </w:r>
    </w:p>
    <w:p w14:paraId="2600A57E" w14:textId="77777777" w:rsidR="001D224D" w:rsidRPr="007B2E4C" w:rsidRDefault="001D224D" w:rsidP="000A6210">
      <w:pPr>
        <w:widowControl w:val="0"/>
        <w:tabs>
          <w:tab w:val="left" w:pos="540"/>
        </w:tabs>
        <w:rPr>
          <w:b/>
          <w:szCs w:val="24"/>
        </w:rPr>
      </w:pPr>
      <w:r w:rsidRPr="007B2E4C">
        <w:rPr>
          <w:b/>
          <w:szCs w:val="24"/>
        </w:rPr>
        <w:t>7.</w:t>
      </w:r>
      <w:r w:rsidRPr="007B2E4C">
        <w:rPr>
          <w:b/>
          <w:szCs w:val="24"/>
        </w:rPr>
        <w:tab/>
      </w:r>
      <w:r w:rsidR="0014478D" w:rsidRPr="007B2E4C">
        <w:rPr>
          <w:b/>
          <w:szCs w:val="24"/>
          <w:u w:val="single"/>
        </w:rPr>
        <w:t>Special Circumstances</w:t>
      </w:r>
      <w:r w:rsidR="0014478D" w:rsidRPr="007B2E4C">
        <w:rPr>
          <w:b/>
          <w:szCs w:val="24"/>
        </w:rPr>
        <w:t xml:space="preserve">.  </w:t>
      </w:r>
      <w:r w:rsidRPr="007B2E4C">
        <w:rPr>
          <w:b/>
          <w:szCs w:val="24"/>
        </w:rPr>
        <w:t>EXPLAIN ANY SPECIAL CIRCUMSTANCES THAT WOULD CAUSE AN INFORMATION COLLECTION TO BE CONDUCTED IN A MANNER:</w:t>
      </w:r>
    </w:p>
    <w:p w14:paraId="01D999A9" w14:textId="77777777" w:rsidR="001D224D" w:rsidRPr="007B2E4C" w:rsidRDefault="001D224D" w:rsidP="000A6210">
      <w:pPr>
        <w:widowControl w:val="0"/>
        <w:tabs>
          <w:tab w:val="left" w:pos="540"/>
        </w:tabs>
        <w:rPr>
          <w:b/>
          <w:szCs w:val="24"/>
        </w:rPr>
      </w:pPr>
    </w:p>
    <w:p w14:paraId="13E8956E" w14:textId="77777777" w:rsidR="00DC0105" w:rsidRPr="007B2E4C" w:rsidRDefault="00DC0105" w:rsidP="00DC0105">
      <w:pPr>
        <w:rPr>
          <w:szCs w:val="24"/>
        </w:rPr>
      </w:pPr>
      <w:r w:rsidRPr="007B2E4C">
        <w:rPr>
          <w:szCs w:val="24"/>
        </w:rPr>
        <w:t>There are no special circumstances associated with this information collection.</w:t>
      </w:r>
    </w:p>
    <w:p w14:paraId="5CB956CE" w14:textId="77777777" w:rsidR="001D224D" w:rsidRPr="007B2E4C" w:rsidRDefault="001D224D" w:rsidP="000A6210">
      <w:pPr>
        <w:widowControl w:val="0"/>
        <w:tabs>
          <w:tab w:val="left" w:pos="540"/>
        </w:tabs>
        <w:rPr>
          <w:szCs w:val="24"/>
        </w:rPr>
      </w:pPr>
    </w:p>
    <w:p w14:paraId="4D44165E" w14:textId="77777777" w:rsidR="008E62AF" w:rsidRPr="007B2E4C" w:rsidRDefault="001D224D" w:rsidP="00946FB5">
      <w:pPr>
        <w:widowControl w:val="0"/>
        <w:tabs>
          <w:tab w:val="left" w:pos="540"/>
        </w:tabs>
        <w:rPr>
          <w:b/>
          <w:szCs w:val="24"/>
        </w:rPr>
      </w:pPr>
      <w:r w:rsidRPr="007B2E4C">
        <w:rPr>
          <w:b/>
          <w:szCs w:val="24"/>
        </w:rPr>
        <w:t>8.</w:t>
      </w:r>
      <w:r w:rsidRPr="007B2E4C">
        <w:rPr>
          <w:b/>
          <w:szCs w:val="24"/>
        </w:rPr>
        <w:tab/>
      </w:r>
      <w:r w:rsidR="0026419F" w:rsidRPr="007B2E4C">
        <w:rPr>
          <w:b/>
          <w:szCs w:val="24"/>
          <w:u w:val="single"/>
        </w:rPr>
        <w:t>Compliance with 5 CFR 1320.8(d)</w:t>
      </w:r>
      <w:r w:rsidR="0026419F" w:rsidRPr="007B2E4C">
        <w:rPr>
          <w:b/>
          <w:szCs w:val="24"/>
        </w:rPr>
        <w:t>.</w:t>
      </w:r>
      <w:r w:rsidR="0026419F" w:rsidRPr="007B2E4C">
        <w:rPr>
          <w:szCs w:val="24"/>
        </w:rPr>
        <w:t xml:space="preserve"> </w:t>
      </w:r>
      <w:r w:rsidR="00946FB5" w:rsidRPr="007B2E4C">
        <w:rPr>
          <w:szCs w:val="24"/>
        </w:rPr>
        <w:t xml:space="preserve"> </w:t>
      </w:r>
      <w:r w:rsidR="0026419F" w:rsidRPr="007B2E4C">
        <w:rPr>
          <w:szCs w:val="24"/>
        </w:rPr>
        <w:t xml:space="preserve"> </w:t>
      </w:r>
    </w:p>
    <w:p w14:paraId="481B05D1" w14:textId="77777777" w:rsidR="00946FB5" w:rsidRPr="007B2E4C" w:rsidRDefault="00946FB5" w:rsidP="00946FB5">
      <w:pPr>
        <w:widowControl w:val="0"/>
        <w:tabs>
          <w:tab w:val="left" w:pos="540"/>
        </w:tabs>
        <w:rPr>
          <w:color w:val="FF0000"/>
          <w:szCs w:val="24"/>
        </w:rPr>
      </w:pPr>
    </w:p>
    <w:p w14:paraId="4FBAEB75" w14:textId="7147FD06" w:rsidR="00946FB5" w:rsidRDefault="00946FB5" w:rsidP="00946FB5">
      <w:pPr>
        <w:rPr>
          <w:szCs w:val="24"/>
        </w:rPr>
      </w:pPr>
      <w:r w:rsidRPr="007B2E4C">
        <w:rPr>
          <w:szCs w:val="24"/>
        </w:rPr>
        <w:t>The FHWA published a</w:t>
      </w:r>
      <w:r w:rsidR="00A80D9B" w:rsidRPr="007B2E4C">
        <w:rPr>
          <w:szCs w:val="24"/>
        </w:rPr>
        <w:t xml:space="preserve"> 60-d</w:t>
      </w:r>
      <w:r w:rsidR="00747FDA" w:rsidRPr="007B2E4C">
        <w:rPr>
          <w:szCs w:val="24"/>
        </w:rPr>
        <w:t xml:space="preserve">ay Federal Register notice </w:t>
      </w:r>
      <w:r w:rsidR="008760B3" w:rsidRPr="007B2E4C">
        <w:rPr>
          <w:szCs w:val="24"/>
        </w:rPr>
        <w:t xml:space="preserve">(Docket No. FHWA-2015-0013) </w:t>
      </w:r>
      <w:r w:rsidR="00747FDA" w:rsidRPr="007B2E4C">
        <w:rPr>
          <w:szCs w:val="24"/>
        </w:rPr>
        <w:t xml:space="preserve">on  June 23, 2015 </w:t>
      </w:r>
      <w:r w:rsidR="008760B3" w:rsidRPr="007B2E4C">
        <w:rPr>
          <w:szCs w:val="24"/>
        </w:rPr>
        <w:t xml:space="preserve">(80 FR, pages 36039 – 36040) </w:t>
      </w:r>
      <w:r w:rsidR="00747FDA" w:rsidRPr="007B2E4C">
        <w:rPr>
          <w:szCs w:val="24"/>
        </w:rPr>
        <w:t xml:space="preserve">and a follow-up </w:t>
      </w:r>
      <w:r w:rsidRPr="007B2E4C">
        <w:rPr>
          <w:szCs w:val="24"/>
        </w:rPr>
        <w:t xml:space="preserve"> </w:t>
      </w:r>
      <w:r w:rsidR="008760B3" w:rsidRPr="007B2E4C">
        <w:rPr>
          <w:szCs w:val="24"/>
        </w:rPr>
        <w:t>30-</w:t>
      </w:r>
      <w:r w:rsidR="00A80D9B" w:rsidRPr="007B2E4C">
        <w:rPr>
          <w:szCs w:val="24"/>
        </w:rPr>
        <w:t>d</w:t>
      </w:r>
      <w:r w:rsidR="00747FDA" w:rsidRPr="007B2E4C">
        <w:rPr>
          <w:szCs w:val="24"/>
        </w:rPr>
        <w:t xml:space="preserve">ay </w:t>
      </w:r>
      <w:r w:rsidRPr="007B2E4C">
        <w:rPr>
          <w:szCs w:val="24"/>
        </w:rPr>
        <w:t>Federal Register</w:t>
      </w:r>
      <w:r w:rsidR="009D030B" w:rsidRPr="007B2E4C">
        <w:rPr>
          <w:szCs w:val="24"/>
        </w:rPr>
        <w:t xml:space="preserve"> </w:t>
      </w:r>
      <w:r w:rsidRPr="007B2E4C">
        <w:rPr>
          <w:szCs w:val="24"/>
        </w:rPr>
        <w:t xml:space="preserve"> notice </w:t>
      </w:r>
      <w:r w:rsidR="009D030B" w:rsidRPr="007B2E4C">
        <w:rPr>
          <w:szCs w:val="24"/>
        </w:rPr>
        <w:t>(Docket No. FHWA-2016-0010)</w:t>
      </w:r>
      <w:r w:rsidR="00747FDA" w:rsidRPr="007B2E4C">
        <w:rPr>
          <w:szCs w:val="24"/>
        </w:rPr>
        <w:t xml:space="preserve"> </w:t>
      </w:r>
      <w:r w:rsidRPr="007B2E4C">
        <w:rPr>
          <w:szCs w:val="24"/>
        </w:rPr>
        <w:t xml:space="preserve">on </w:t>
      </w:r>
      <w:r w:rsidR="009D030B" w:rsidRPr="007B2E4C">
        <w:rPr>
          <w:szCs w:val="24"/>
        </w:rPr>
        <w:t xml:space="preserve">March 30, 2016  </w:t>
      </w:r>
      <w:r w:rsidRPr="007B2E4C">
        <w:rPr>
          <w:szCs w:val="24"/>
        </w:rPr>
        <w:t>(</w:t>
      </w:r>
      <w:r w:rsidR="009D030B" w:rsidRPr="007B2E4C">
        <w:rPr>
          <w:szCs w:val="24"/>
        </w:rPr>
        <w:t xml:space="preserve">81 FR, pages 17758-17760 </w:t>
      </w:r>
      <w:r w:rsidRPr="007B2E4C">
        <w:rPr>
          <w:szCs w:val="24"/>
        </w:rPr>
        <w:t xml:space="preserve">), which </w:t>
      </w:r>
      <w:r w:rsidR="00747FDA" w:rsidRPr="007B2E4C">
        <w:rPr>
          <w:szCs w:val="24"/>
        </w:rPr>
        <w:t xml:space="preserve">both </w:t>
      </w:r>
      <w:r w:rsidRPr="007B2E4C">
        <w:rPr>
          <w:szCs w:val="24"/>
        </w:rPr>
        <w:t xml:space="preserve">solicited public comments on our intent to seek approval for this information collection.  </w:t>
      </w:r>
      <w:r w:rsidR="00747FDA" w:rsidRPr="007B2E4C">
        <w:rPr>
          <w:szCs w:val="24"/>
        </w:rPr>
        <w:t xml:space="preserve">The ICR has been revised to address comments </w:t>
      </w:r>
      <w:r w:rsidR="00EF15B3" w:rsidRPr="007B2E4C">
        <w:rPr>
          <w:szCs w:val="24"/>
        </w:rPr>
        <w:t>received</w:t>
      </w:r>
      <w:r w:rsidR="00747FDA" w:rsidRPr="007B2E4C">
        <w:rPr>
          <w:szCs w:val="24"/>
        </w:rPr>
        <w:t xml:space="preserve"> during both the 30</w:t>
      </w:r>
      <w:r w:rsidR="00A80D9B" w:rsidRPr="007B2E4C">
        <w:rPr>
          <w:szCs w:val="24"/>
        </w:rPr>
        <w:t>-d</w:t>
      </w:r>
      <w:r w:rsidR="00747FDA" w:rsidRPr="007B2E4C">
        <w:rPr>
          <w:szCs w:val="24"/>
        </w:rPr>
        <w:t>ay and 60</w:t>
      </w:r>
      <w:r w:rsidR="00A80D9B" w:rsidRPr="007B2E4C">
        <w:rPr>
          <w:szCs w:val="24"/>
        </w:rPr>
        <w:t>-d</w:t>
      </w:r>
      <w:r w:rsidR="00747FDA" w:rsidRPr="007B2E4C">
        <w:rPr>
          <w:szCs w:val="24"/>
        </w:rPr>
        <w:t>ay federal register notices. To allow for additional stakeholder comments, FHWA extended the second federal register notice an additional 30 days</w:t>
      </w:r>
      <w:r w:rsidR="008760B3" w:rsidRPr="007B2E4C">
        <w:rPr>
          <w:szCs w:val="24"/>
        </w:rPr>
        <w:t xml:space="preserve"> (the docket closed on May 31, 2016)</w:t>
      </w:r>
      <w:r w:rsidR="00747FDA" w:rsidRPr="007B2E4C">
        <w:rPr>
          <w:szCs w:val="24"/>
        </w:rPr>
        <w:t xml:space="preserve">.  </w:t>
      </w:r>
      <w:r w:rsidR="00CF325B" w:rsidRPr="00CF325B">
        <w:rPr>
          <w:szCs w:val="24"/>
        </w:rPr>
        <w:t>As part of the supporting documents</w:t>
      </w:r>
      <w:r w:rsidR="00CF325B">
        <w:rPr>
          <w:szCs w:val="24"/>
        </w:rPr>
        <w:t xml:space="preserve"> section for this ICR</w:t>
      </w:r>
      <w:r w:rsidR="00CF325B" w:rsidRPr="00CF325B">
        <w:rPr>
          <w:szCs w:val="24"/>
        </w:rPr>
        <w:t>, FHWA provided a document summarizing public comments on this ICR.</w:t>
      </w:r>
    </w:p>
    <w:p w14:paraId="3BD4C469" w14:textId="7F47A804" w:rsidR="005747D5" w:rsidRDefault="005747D5" w:rsidP="00946FB5">
      <w:pPr>
        <w:rPr>
          <w:szCs w:val="24"/>
        </w:rPr>
      </w:pPr>
    </w:p>
    <w:p w14:paraId="7B05AB3E" w14:textId="37B6BD84" w:rsidR="005747D5" w:rsidRPr="007B2E4C" w:rsidRDefault="005747D5" w:rsidP="00946FB5">
      <w:pPr>
        <w:rPr>
          <w:szCs w:val="24"/>
        </w:rPr>
      </w:pPr>
      <w:r w:rsidRPr="005747D5">
        <w:rPr>
          <w:szCs w:val="24"/>
        </w:rPr>
        <w:t>Throughout the survey and the ICR</w:t>
      </w:r>
      <w:r w:rsidR="009B26F4">
        <w:rPr>
          <w:szCs w:val="24"/>
        </w:rPr>
        <w:t>, FHWA carefully refers to the “state-</w:t>
      </w:r>
      <w:r w:rsidRPr="005747D5">
        <w:rPr>
          <w:szCs w:val="24"/>
        </w:rPr>
        <w:t>of</w:t>
      </w:r>
      <w:r w:rsidR="009B26F4">
        <w:rPr>
          <w:szCs w:val="24"/>
        </w:rPr>
        <w:t>-the-practice” or “performance provisions” not “r</w:t>
      </w:r>
      <w:r w:rsidRPr="005747D5">
        <w:rPr>
          <w:szCs w:val="24"/>
        </w:rPr>
        <w:t>ulemaking</w:t>
      </w:r>
      <w:r w:rsidR="009B26F4">
        <w:rPr>
          <w:szCs w:val="24"/>
        </w:rPr>
        <w:t xml:space="preserve"> implementation</w:t>
      </w:r>
      <w:r w:rsidRPr="005747D5">
        <w:rPr>
          <w:szCs w:val="24"/>
        </w:rPr>
        <w:t>.” This was done intentionally to separate the complex rulemaking activities from the survey design conversations with stakeh</w:t>
      </w:r>
      <w:r w:rsidR="009B26F4">
        <w:rPr>
          <w:szCs w:val="24"/>
        </w:rPr>
        <w:t xml:space="preserve">olders. Activities related to rulemaking could not </w:t>
      </w:r>
      <w:r w:rsidRPr="005747D5">
        <w:rPr>
          <w:szCs w:val="24"/>
        </w:rPr>
        <w:t xml:space="preserve">be discussed at that time due to open NPRM comment periods.  </w:t>
      </w:r>
      <w:r w:rsidR="009B26F4">
        <w:rPr>
          <w:szCs w:val="24"/>
        </w:rPr>
        <w:t>However, w</w:t>
      </w:r>
      <w:r w:rsidRPr="005747D5">
        <w:rPr>
          <w:szCs w:val="24"/>
        </w:rPr>
        <w:t xml:space="preserve">e made it clear to stakeholders that regardless of what the finally rulemakings where, FHWA </w:t>
      </w:r>
      <w:r w:rsidR="009B26F4">
        <w:rPr>
          <w:szCs w:val="24"/>
        </w:rPr>
        <w:t xml:space="preserve">intended </w:t>
      </w:r>
      <w:r w:rsidRPr="005747D5">
        <w:rPr>
          <w:szCs w:val="24"/>
        </w:rPr>
        <w:t>to supp</w:t>
      </w:r>
      <w:r w:rsidR="009B26F4">
        <w:rPr>
          <w:szCs w:val="24"/>
        </w:rPr>
        <w:t>ort them in advancing the state-</w:t>
      </w:r>
      <w:r w:rsidRPr="005747D5">
        <w:rPr>
          <w:szCs w:val="24"/>
        </w:rPr>
        <w:t>of</w:t>
      </w:r>
      <w:r w:rsidR="009B26F4">
        <w:rPr>
          <w:szCs w:val="24"/>
        </w:rPr>
        <w:t>-</w:t>
      </w:r>
      <w:r w:rsidRPr="005747D5">
        <w:rPr>
          <w:szCs w:val="24"/>
        </w:rPr>
        <w:t>the practice f</w:t>
      </w:r>
      <w:r w:rsidR="002C50CB">
        <w:rPr>
          <w:szCs w:val="24"/>
        </w:rPr>
        <w:t xml:space="preserve">or TPM because that was the intent of MAP-21 and the FAST Act. </w:t>
      </w:r>
    </w:p>
    <w:p w14:paraId="50E7BAC0" w14:textId="77777777" w:rsidR="008E62AF" w:rsidRPr="007B2E4C" w:rsidRDefault="008E62AF" w:rsidP="00492398">
      <w:pPr>
        <w:widowControl w:val="0"/>
        <w:tabs>
          <w:tab w:val="left" w:pos="540"/>
        </w:tabs>
        <w:rPr>
          <w:szCs w:val="24"/>
        </w:rPr>
      </w:pPr>
    </w:p>
    <w:p w14:paraId="64F42A05" w14:textId="77777777" w:rsidR="001D224D" w:rsidRPr="007B2E4C" w:rsidRDefault="0026419F" w:rsidP="00027217">
      <w:pPr>
        <w:widowControl w:val="0"/>
        <w:numPr>
          <w:ilvl w:val="0"/>
          <w:numId w:val="1"/>
        </w:numPr>
        <w:tabs>
          <w:tab w:val="clear" w:pos="720"/>
          <w:tab w:val="num" w:pos="90"/>
          <w:tab w:val="left" w:pos="540"/>
        </w:tabs>
        <w:ind w:left="0" w:firstLine="0"/>
        <w:rPr>
          <w:b/>
          <w:szCs w:val="24"/>
        </w:rPr>
      </w:pPr>
      <w:r w:rsidRPr="007B2E4C">
        <w:rPr>
          <w:b/>
          <w:szCs w:val="24"/>
          <w:u w:val="single"/>
        </w:rPr>
        <w:t>Payment or gifts to respondents.</w:t>
      </w:r>
      <w:r w:rsidRPr="007B2E4C">
        <w:rPr>
          <w:b/>
          <w:szCs w:val="24"/>
        </w:rPr>
        <w:t xml:space="preserve">   </w:t>
      </w:r>
      <w:r w:rsidR="00946FB5" w:rsidRPr="007B2E4C">
        <w:rPr>
          <w:b/>
          <w:szCs w:val="24"/>
        </w:rPr>
        <w:t xml:space="preserve"> </w:t>
      </w:r>
    </w:p>
    <w:p w14:paraId="05FCEC98" w14:textId="77777777" w:rsidR="001D224D" w:rsidRPr="007B2E4C" w:rsidRDefault="001D224D" w:rsidP="000A6210">
      <w:pPr>
        <w:widowControl w:val="0"/>
        <w:tabs>
          <w:tab w:val="left" w:pos="540"/>
        </w:tabs>
        <w:ind w:left="720"/>
        <w:rPr>
          <w:szCs w:val="24"/>
        </w:rPr>
      </w:pPr>
    </w:p>
    <w:p w14:paraId="530D3079" w14:textId="77777777" w:rsidR="00946FB5" w:rsidRPr="007B2E4C" w:rsidRDefault="00946FB5" w:rsidP="00946FB5">
      <w:pPr>
        <w:rPr>
          <w:szCs w:val="24"/>
        </w:rPr>
      </w:pPr>
      <w:r w:rsidRPr="007B2E4C">
        <w:rPr>
          <w:szCs w:val="24"/>
        </w:rPr>
        <w:t>No payments or gifts are provided to respondents.</w:t>
      </w:r>
    </w:p>
    <w:p w14:paraId="3C098712" w14:textId="77777777" w:rsidR="008E62AF" w:rsidRPr="007B2E4C" w:rsidRDefault="008E62AF" w:rsidP="000A6210">
      <w:pPr>
        <w:widowControl w:val="0"/>
        <w:tabs>
          <w:tab w:val="left" w:pos="540"/>
        </w:tabs>
        <w:rPr>
          <w:szCs w:val="24"/>
        </w:rPr>
      </w:pPr>
    </w:p>
    <w:p w14:paraId="548F93B5" w14:textId="77777777" w:rsidR="001D224D" w:rsidRPr="007B2E4C" w:rsidRDefault="001D224D" w:rsidP="00AA1704">
      <w:pPr>
        <w:widowControl w:val="0"/>
        <w:tabs>
          <w:tab w:val="left" w:pos="540"/>
        </w:tabs>
        <w:rPr>
          <w:b/>
          <w:szCs w:val="24"/>
        </w:rPr>
      </w:pPr>
      <w:r w:rsidRPr="007B2E4C">
        <w:rPr>
          <w:b/>
          <w:szCs w:val="24"/>
        </w:rPr>
        <w:t>10.</w:t>
      </w:r>
      <w:r w:rsidRPr="007B2E4C">
        <w:rPr>
          <w:b/>
          <w:szCs w:val="24"/>
        </w:rPr>
        <w:tab/>
      </w:r>
      <w:r w:rsidR="0026419F" w:rsidRPr="007B2E4C">
        <w:rPr>
          <w:b/>
          <w:szCs w:val="24"/>
          <w:u w:val="single"/>
        </w:rPr>
        <w:t>Assurance of confidentiality</w:t>
      </w:r>
      <w:r w:rsidR="0026419F" w:rsidRPr="007B2E4C">
        <w:rPr>
          <w:b/>
          <w:szCs w:val="24"/>
        </w:rPr>
        <w:t xml:space="preserve">.  </w:t>
      </w:r>
      <w:r w:rsidR="00946FB5" w:rsidRPr="007B2E4C">
        <w:rPr>
          <w:b/>
          <w:szCs w:val="24"/>
        </w:rPr>
        <w:t xml:space="preserve"> </w:t>
      </w:r>
    </w:p>
    <w:p w14:paraId="23225C40" w14:textId="77777777" w:rsidR="001D224D" w:rsidRPr="007B2E4C" w:rsidRDefault="001D224D" w:rsidP="000A6210">
      <w:pPr>
        <w:widowControl w:val="0"/>
        <w:tabs>
          <w:tab w:val="left" w:pos="540"/>
        </w:tabs>
        <w:rPr>
          <w:b/>
          <w:szCs w:val="24"/>
        </w:rPr>
      </w:pPr>
    </w:p>
    <w:p w14:paraId="7839C063" w14:textId="67C1AC22" w:rsidR="00946FB5" w:rsidRPr="007B2E4C" w:rsidRDefault="00217F29" w:rsidP="00946FB5">
      <w:pPr>
        <w:rPr>
          <w:szCs w:val="24"/>
        </w:rPr>
      </w:pPr>
      <w:r w:rsidRPr="007B2E4C">
        <w:rPr>
          <w:szCs w:val="24"/>
        </w:rPr>
        <w:t>Respondents</w:t>
      </w:r>
      <w:r w:rsidR="001F7F63" w:rsidRPr="007B2E4C">
        <w:rPr>
          <w:szCs w:val="24"/>
        </w:rPr>
        <w:t>’</w:t>
      </w:r>
      <w:r w:rsidRPr="007B2E4C">
        <w:rPr>
          <w:szCs w:val="24"/>
        </w:rPr>
        <w:t xml:space="preserve"> individual responses are considered confidential and will not be shared with the public </w:t>
      </w:r>
      <w:r w:rsidR="001F7F63" w:rsidRPr="007B2E4C">
        <w:rPr>
          <w:szCs w:val="24"/>
        </w:rPr>
        <w:t xml:space="preserve">or non-essential USDOT staff </w:t>
      </w:r>
      <w:r w:rsidRPr="007B2E4C">
        <w:rPr>
          <w:szCs w:val="24"/>
        </w:rPr>
        <w:t xml:space="preserve">unless permission is provided by the respondent. While the </w:t>
      </w:r>
      <w:r w:rsidR="009D030B" w:rsidRPr="007B2E4C">
        <w:rPr>
          <w:szCs w:val="24"/>
        </w:rPr>
        <w:t xml:space="preserve">data collected will be </w:t>
      </w:r>
      <w:r w:rsidR="001F7F63" w:rsidRPr="007B2E4C">
        <w:rPr>
          <w:szCs w:val="24"/>
        </w:rPr>
        <w:t>formatted to produce different types of reports</w:t>
      </w:r>
      <w:r w:rsidR="009D030B" w:rsidRPr="007B2E4C">
        <w:rPr>
          <w:szCs w:val="24"/>
        </w:rPr>
        <w:t xml:space="preserve">, the identity of the responding agencies will be protected unless permission to disclose is provided by the agency. </w:t>
      </w:r>
      <w:r w:rsidRPr="007B2E4C">
        <w:rPr>
          <w:szCs w:val="24"/>
        </w:rPr>
        <w:t xml:space="preserve"> </w:t>
      </w:r>
      <w:r w:rsidR="009D030B" w:rsidRPr="007B2E4C">
        <w:rPr>
          <w:szCs w:val="24"/>
        </w:rPr>
        <w:t>This is necessary to protect the integrity of the responses. During our public comments, several stakeholders expressed that confidentially was important if</w:t>
      </w:r>
      <w:r w:rsidR="001D21A4" w:rsidRPr="007B2E4C">
        <w:rPr>
          <w:szCs w:val="24"/>
        </w:rPr>
        <w:t xml:space="preserve"> </w:t>
      </w:r>
      <w:r w:rsidR="009D030B" w:rsidRPr="007B2E4C">
        <w:rPr>
          <w:szCs w:val="24"/>
        </w:rPr>
        <w:t xml:space="preserve">USDOT wanted to receive “honest” responses. </w:t>
      </w:r>
    </w:p>
    <w:p w14:paraId="5A969E8F" w14:textId="77777777" w:rsidR="00AA1704" w:rsidRPr="007B2E4C" w:rsidRDefault="00AA1704" w:rsidP="000A6210">
      <w:pPr>
        <w:widowControl w:val="0"/>
        <w:tabs>
          <w:tab w:val="left" w:pos="540"/>
        </w:tabs>
        <w:rPr>
          <w:b/>
          <w:szCs w:val="24"/>
        </w:rPr>
      </w:pPr>
    </w:p>
    <w:p w14:paraId="5F4DB2E2" w14:textId="77777777" w:rsidR="001D224D" w:rsidRPr="007B2E4C" w:rsidRDefault="001D224D" w:rsidP="00AA1704">
      <w:pPr>
        <w:widowControl w:val="0"/>
        <w:tabs>
          <w:tab w:val="left" w:pos="540"/>
        </w:tabs>
        <w:rPr>
          <w:b/>
          <w:szCs w:val="24"/>
        </w:rPr>
      </w:pPr>
      <w:r w:rsidRPr="007B2E4C">
        <w:rPr>
          <w:b/>
          <w:szCs w:val="24"/>
        </w:rPr>
        <w:t>11.</w:t>
      </w:r>
      <w:r w:rsidRPr="007B2E4C">
        <w:rPr>
          <w:b/>
          <w:szCs w:val="24"/>
        </w:rPr>
        <w:tab/>
      </w:r>
      <w:r w:rsidR="006C0638" w:rsidRPr="007B2E4C">
        <w:rPr>
          <w:b/>
          <w:szCs w:val="24"/>
          <w:u w:val="single"/>
        </w:rPr>
        <w:t>Justification for collection of sensitive information</w:t>
      </w:r>
      <w:r w:rsidR="006C0638" w:rsidRPr="007B2E4C">
        <w:rPr>
          <w:b/>
          <w:szCs w:val="24"/>
        </w:rPr>
        <w:t xml:space="preserve">.  </w:t>
      </w:r>
      <w:r w:rsidR="00946FB5" w:rsidRPr="007B2E4C">
        <w:rPr>
          <w:b/>
          <w:szCs w:val="24"/>
        </w:rPr>
        <w:t xml:space="preserve"> </w:t>
      </w:r>
    </w:p>
    <w:p w14:paraId="42D46743" w14:textId="77777777" w:rsidR="001D224D" w:rsidRPr="007B2E4C" w:rsidRDefault="001D224D" w:rsidP="000A6210">
      <w:pPr>
        <w:widowControl w:val="0"/>
        <w:tabs>
          <w:tab w:val="left" w:pos="540"/>
        </w:tabs>
        <w:rPr>
          <w:b/>
          <w:szCs w:val="24"/>
        </w:rPr>
      </w:pPr>
    </w:p>
    <w:p w14:paraId="698A430A" w14:textId="77777777" w:rsidR="00946FB5" w:rsidRPr="007B2E4C" w:rsidRDefault="00946FB5" w:rsidP="00946FB5">
      <w:pPr>
        <w:rPr>
          <w:szCs w:val="24"/>
        </w:rPr>
      </w:pPr>
      <w:r w:rsidRPr="007B2E4C">
        <w:rPr>
          <w:szCs w:val="24"/>
        </w:rPr>
        <w:t>None of the information required is of a sensitive or private nature.</w:t>
      </w:r>
    </w:p>
    <w:p w14:paraId="783ABE55" w14:textId="77777777" w:rsidR="008E62AF" w:rsidRPr="007B2E4C" w:rsidRDefault="008E62AF" w:rsidP="000A6210">
      <w:pPr>
        <w:widowControl w:val="0"/>
        <w:tabs>
          <w:tab w:val="left" w:pos="540"/>
        </w:tabs>
        <w:rPr>
          <w:b/>
          <w:szCs w:val="24"/>
        </w:rPr>
      </w:pPr>
    </w:p>
    <w:p w14:paraId="00A4ABB5" w14:textId="77777777" w:rsidR="00946FB5" w:rsidRPr="007B2E4C" w:rsidRDefault="001D224D" w:rsidP="00AA1704">
      <w:pPr>
        <w:widowControl w:val="0"/>
        <w:tabs>
          <w:tab w:val="left" w:pos="540"/>
        </w:tabs>
        <w:rPr>
          <w:b/>
          <w:szCs w:val="24"/>
        </w:rPr>
      </w:pPr>
      <w:r w:rsidRPr="007B2E4C">
        <w:rPr>
          <w:b/>
          <w:szCs w:val="24"/>
        </w:rPr>
        <w:t>12.</w:t>
      </w:r>
      <w:r w:rsidRPr="007B2E4C">
        <w:rPr>
          <w:b/>
          <w:szCs w:val="24"/>
        </w:rPr>
        <w:tab/>
      </w:r>
      <w:r w:rsidR="006C0638" w:rsidRPr="007B2E4C">
        <w:rPr>
          <w:b/>
          <w:szCs w:val="24"/>
          <w:u w:val="single"/>
        </w:rPr>
        <w:t xml:space="preserve">Estimate of burden hours for information </w:t>
      </w:r>
      <w:r w:rsidR="00946FB5" w:rsidRPr="007B2E4C">
        <w:rPr>
          <w:b/>
          <w:szCs w:val="24"/>
          <w:u w:val="single"/>
        </w:rPr>
        <w:t>requested</w:t>
      </w:r>
      <w:r w:rsidR="00946FB5" w:rsidRPr="007B2E4C">
        <w:rPr>
          <w:b/>
          <w:szCs w:val="24"/>
        </w:rPr>
        <w:t>.</w:t>
      </w:r>
    </w:p>
    <w:p w14:paraId="485BF6BA" w14:textId="77777777" w:rsidR="00DE2E07" w:rsidRPr="007B2E4C" w:rsidRDefault="00DE2E07" w:rsidP="00AD05BD">
      <w:pPr>
        <w:widowControl w:val="0"/>
        <w:tabs>
          <w:tab w:val="left" w:pos="270"/>
          <w:tab w:val="left" w:pos="540"/>
        </w:tabs>
        <w:rPr>
          <w:b/>
          <w:szCs w:val="24"/>
        </w:rPr>
      </w:pPr>
    </w:p>
    <w:p w14:paraId="0B150B5A" w14:textId="019D3CDF"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Respondents:</w:t>
      </w:r>
      <w:r w:rsidRPr="007B2E4C">
        <w:rPr>
          <w:szCs w:val="24"/>
        </w:rPr>
        <w:t xml:space="preserve"> The 460 respondents estimate is based on soliciting input from 52</w:t>
      </w:r>
      <w:r w:rsidR="007078AE">
        <w:rPr>
          <w:szCs w:val="24"/>
        </w:rPr>
        <w:t xml:space="preserve"> State Transportation Agencies (</w:t>
      </w:r>
      <w:r w:rsidRPr="007B2E4C">
        <w:rPr>
          <w:szCs w:val="24"/>
        </w:rPr>
        <w:t>STA</w:t>
      </w:r>
      <w:r w:rsidR="007078AE">
        <w:rPr>
          <w:szCs w:val="24"/>
        </w:rPr>
        <w:t>)</w:t>
      </w:r>
      <w:r w:rsidRPr="007B2E4C">
        <w:rPr>
          <w:szCs w:val="24"/>
        </w:rPr>
        <w:t xml:space="preserve"> and 408 </w:t>
      </w:r>
      <w:r w:rsidR="007078AE">
        <w:rPr>
          <w:szCs w:val="24"/>
        </w:rPr>
        <w:t>Metropolitan Transportation Organizations (</w:t>
      </w:r>
      <w:r w:rsidRPr="007B2E4C">
        <w:rPr>
          <w:szCs w:val="24"/>
        </w:rPr>
        <w:t>MPO</w:t>
      </w:r>
      <w:r w:rsidR="007078AE">
        <w:rPr>
          <w:szCs w:val="24"/>
        </w:rPr>
        <w:t>s)</w:t>
      </w:r>
      <w:r w:rsidRPr="007B2E4C">
        <w:rPr>
          <w:szCs w:val="24"/>
        </w:rPr>
        <w:t xml:space="preserve">.  </w:t>
      </w:r>
    </w:p>
    <w:p w14:paraId="4161291A"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Frequency:</w:t>
      </w:r>
      <w:r w:rsidRPr="007B2E4C">
        <w:rPr>
          <w:szCs w:val="24"/>
        </w:rPr>
        <w:t xml:space="preserve"> Agencies will be solicited to provide information via a survey 1 time every two years. </w:t>
      </w:r>
    </w:p>
    <w:p w14:paraId="4772A722"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Estimated Average Burden per Response:</w:t>
      </w:r>
      <w:r w:rsidRPr="007B2E4C">
        <w:rPr>
          <w:szCs w:val="24"/>
        </w:rPr>
        <w:t xml:space="preserve"> The estimated average annual burden hours is up to 2</w:t>
      </w:r>
      <w:r w:rsidR="00446964" w:rsidRPr="007B2E4C">
        <w:rPr>
          <w:szCs w:val="24"/>
        </w:rPr>
        <w:t>2</w:t>
      </w:r>
      <w:r w:rsidRPr="007B2E4C">
        <w:rPr>
          <w:szCs w:val="24"/>
        </w:rPr>
        <w:t xml:space="preserve"> hours per response during a year with a survey/questionnaire request.</w:t>
      </w:r>
    </w:p>
    <w:p w14:paraId="14829148" w14:textId="77777777" w:rsidR="00C5366F" w:rsidRPr="007B2E4C" w:rsidRDefault="00C5366F" w:rsidP="00C5366F">
      <w:pPr>
        <w:widowControl w:val="0"/>
        <w:tabs>
          <w:tab w:val="left" w:pos="204"/>
        </w:tabs>
        <w:autoSpaceDE w:val="0"/>
        <w:autoSpaceDN w:val="0"/>
        <w:adjustRightInd w:val="0"/>
        <w:spacing w:line="480" w:lineRule="auto"/>
        <w:rPr>
          <w:szCs w:val="24"/>
        </w:rPr>
      </w:pPr>
      <w:r w:rsidRPr="007B2E4C">
        <w:rPr>
          <w:i/>
          <w:iCs/>
          <w:szCs w:val="24"/>
        </w:rPr>
        <w:t>Estimated Total Annual Burden Hours:</w:t>
      </w:r>
      <w:r w:rsidRPr="007B2E4C">
        <w:rPr>
          <w:szCs w:val="24"/>
        </w:rPr>
        <w:t xml:space="preserve"> The estimated total annual burden hours for all respondents (52 states and 408 MPOs) is estimated to be 9,200 burden hours (460 respondents (each State/MPO agency is treated as a single response) x</w:t>
      </w:r>
      <w:r w:rsidRPr="007B2E4C">
        <w:rPr>
          <w:i/>
          <w:szCs w:val="24"/>
        </w:rPr>
        <w:t xml:space="preserve"> </w:t>
      </w:r>
      <w:r w:rsidRPr="007B2E4C">
        <w:rPr>
          <w:szCs w:val="24"/>
        </w:rPr>
        <w:t>2</w:t>
      </w:r>
      <w:r w:rsidR="00BD65CD">
        <w:rPr>
          <w:szCs w:val="24"/>
        </w:rPr>
        <w:t>2</w:t>
      </w:r>
      <w:r w:rsidRPr="007B2E4C">
        <w:rPr>
          <w:szCs w:val="24"/>
        </w:rPr>
        <w:t xml:space="preserve"> burden hours) per year with survey/questionnaire requests. </w:t>
      </w:r>
    </w:p>
    <w:p w14:paraId="700C2708"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Professional Staff Time during a Survey Year:</w:t>
      </w:r>
    </w:p>
    <w:p w14:paraId="1D4260BC" w14:textId="77777777" w:rsidR="00C5366F" w:rsidRPr="007B2E4C" w:rsidRDefault="00C5366F" w:rsidP="00027217">
      <w:pPr>
        <w:widowControl w:val="0"/>
        <w:numPr>
          <w:ilvl w:val="0"/>
          <w:numId w:val="6"/>
        </w:numPr>
        <w:tabs>
          <w:tab w:val="left" w:pos="204"/>
        </w:tabs>
        <w:autoSpaceDE w:val="0"/>
        <w:autoSpaceDN w:val="0"/>
        <w:adjustRightInd w:val="0"/>
        <w:spacing w:line="480" w:lineRule="auto"/>
        <w:rPr>
          <w:szCs w:val="24"/>
        </w:rPr>
      </w:pPr>
      <w:r w:rsidRPr="007B2E4C">
        <w:rPr>
          <w:szCs w:val="24"/>
        </w:rPr>
        <w:t>20 hours/respondent × 460 respondents × 1 questionnaire during a survey year =</w:t>
      </w:r>
      <w:r w:rsidRPr="007B2E4C">
        <w:rPr>
          <w:i/>
          <w:iCs/>
          <w:szCs w:val="24"/>
        </w:rPr>
        <w:t>9,200 hours</w:t>
      </w:r>
      <w:r w:rsidRPr="007B2E4C">
        <w:rPr>
          <w:szCs w:val="24"/>
        </w:rPr>
        <w:t xml:space="preserve"> </w:t>
      </w:r>
    </w:p>
    <w:p w14:paraId="1685C552"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Clerical Staff Time during a Survey Year:</w:t>
      </w:r>
    </w:p>
    <w:p w14:paraId="24EF9709" w14:textId="77777777" w:rsidR="00C5366F" w:rsidRDefault="00C5366F" w:rsidP="00027217">
      <w:pPr>
        <w:widowControl w:val="0"/>
        <w:numPr>
          <w:ilvl w:val="0"/>
          <w:numId w:val="6"/>
        </w:numPr>
        <w:tabs>
          <w:tab w:val="left" w:pos="204"/>
        </w:tabs>
        <w:autoSpaceDE w:val="0"/>
        <w:autoSpaceDN w:val="0"/>
        <w:adjustRightInd w:val="0"/>
        <w:spacing w:line="480" w:lineRule="auto"/>
        <w:rPr>
          <w:szCs w:val="24"/>
        </w:rPr>
      </w:pPr>
      <w:r w:rsidRPr="007B2E4C">
        <w:rPr>
          <w:szCs w:val="24"/>
        </w:rPr>
        <w:t>2 hours/respondent × 460 respondents × 1 questionnaire during a survey year =</w:t>
      </w:r>
      <w:r w:rsidRPr="007B2E4C">
        <w:rPr>
          <w:i/>
          <w:iCs/>
          <w:szCs w:val="24"/>
        </w:rPr>
        <w:t>920 hours</w:t>
      </w:r>
      <w:r w:rsidRPr="007B2E4C">
        <w:rPr>
          <w:szCs w:val="24"/>
        </w:rPr>
        <w:t xml:space="preserve"> </w:t>
      </w:r>
    </w:p>
    <w:p w14:paraId="1681E93F" w14:textId="79AF2F9F" w:rsidR="00BD65CD" w:rsidRDefault="00BD65CD" w:rsidP="00BD65CD">
      <w:pPr>
        <w:widowControl w:val="0"/>
        <w:tabs>
          <w:tab w:val="left" w:pos="204"/>
        </w:tabs>
        <w:autoSpaceDE w:val="0"/>
        <w:autoSpaceDN w:val="0"/>
        <w:adjustRightInd w:val="0"/>
        <w:spacing w:line="480" w:lineRule="auto"/>
        <w:rPr>
          <w:b/>
          <w:szCs w:val="24"/>
        </w:rPr>
      </w:pPr>
      <w:r w:rsidRPr="00BD65CD">
        <w:rPr>
          <w:b/>
          <w:szCs w:val="24"/>
        </w:rPr>
        <w:t>Total: 10,120</w:t>
      </w:r>
      <w:r w:rsidR="000A0277">
        <w:rPr>
          <w:b/>
          <w:szCs w:val="24"/>
        </w:rPr>
        <w:t xml:space="preserve"> hours during a survey year.</w:t>
      </w:r>
    </w:p>
    <w:p w14:paraId="50C2CD7D" w14:textId="73FAFC4C" w:rsidR="000A0277" w:rsidRPr="000A0277" w:rsidRDefault="000A0277" w:rsidP="000A0277">
      <w:pPr>
        <w:widowControl w:val="0"/>
        <w:tabs>
          <w:tab w:val="left" w:pos="204"/>
        </w:tabs>
        <w:autoSpaceDE w:val="0"/>
        <w:autoSpaceDN w:val="0"/>
        <w:adjustRightInd w:val="0"/>
        <w:rPr>
          <w:szCs w:val="24"/>
        </w:rPr>
      </w:pPr>
      <w:r w:rsidRPr="000A0277">
        <w:rPr>
          <w:b/>
          <w:szCs w:val="24"/>
          <w:u w:val="single"/>
        </w:rPr>
        <w:t>NOTE:</w:t>
      </w:r>
      <w:r w:rsidRPr="000A0277">
        <w:rPr>
          <w:szCs w:val="24"/>
        </w:rPr>
        <w:t xml:space="preserve">  For this OMB approval cycle we will collect information in year 1 and again in year 3, for a total of 20,240 hours. For</w:t>
      </w:r>
      <w:r w:rsidR="00F10964">
        <w:rPr>
          <w:szCs w:val="24"/>
        </w:rPr>
        <w:t xml:space="preserve"> ROCIS entry purposes we will di</w:t>
      </w:r>
      <w:r w:rsidRPr="000A0277">
        <w:rPr>
          <w:szCs w:val="24"/>
        </w:rPr>
        <w:t>vide all totals by 3.</w:t>
      </w:r>
    </w:p>
    <w:p w14:paraId="551B26DA" w14:textId="6F6C9701" w:rsidR="000A0277" w:rsidRPr="000A0277" w:rsidRDefault="000A0277" w:rsidP="000A0277">
      <w:pPr>
        <w:widowControl w:val="0"/>
        <w:tabs>
          <w:tab w:val="left" w:pos="204"/>
        </w:tabs>
        <w:autoSpaceDE w:val="0"/>
        <w:autoSpaceDN w:val="0"/>
        <w:adjustRightInd w:val="0"/>
        <w:rPr>
          <w:szCs w:val="24"/>
        </w:rPr>
      </w:pPr>
      <w:r w:rsidRPr="000A0277">
        <w:rPr>
          <w:szCs w:val="24"/>
        </w:rPr>
        <w:t>Total Respondents = 920 (307 annually)</w:t>
      </w:r>
    </w:p>
    <w:p w14:paraId="73BA1770" w14:textId="50547C71" w:rsidR="000A0277" w:rsidRPr="000A0277" w:rsidRDefault="000A0277" w:rsidP="000A0277">
      <w:pPr>
        <w:widowControl w:val="0"/>
        <w:tabs>
          <w:tab w:val="left" w:pos="204"/>
        </w:tabs>
        <w:autoSpaceDE w:val="0"/>
        <w:autoSpaceDN w:val="0"/>
        <w:adjustRightInd w:val="0"/>
        <w:rPr>
          <w:szCs w:val="24"/>
        </w:rPr>
      </w:pPr>
      <w:r w:rsidRPr="000A0277">
        <w:rPr>
          <w:szCs w:val="24"/>
        </w:rPr>
        <w:t>Burden Response = 22 hours</w:t>
      </w:r>
    </w:p>
    <w:p w14:paraId="33E9E3AC" w14:textId="5DDACE9F" w:rsidR="000A0277" w:rsidRPr="000A0277" w:rsidRDefault="000A0277" w:rsidP="000A0277">
      <w:pPr>
        <w:widowControl w:val="0"/>
        <w:tabs>
          <w:tab w:val="left" w:pos="204"/>
        </w:tabs>
        <w:autoSpaceDE w:val="0"/>
        <w:autoSpaceDN w:val="0"/>
        <w:adjustRightInd w:val="0"/>
        <w:rPr>
          <w:szCs w:val="24"/>
        </w:rPr>
      </w:pPr>
      <w:r w:rsidRPr="000A0277">
        <w:rPr>
          <w:szCs w:val="24"/>
        </w:rPr>
        <w:t>Total Hours = 20,240 hours (6,7</w:t>
      </w:r>
      <w:r w:rsidR="007211A6">
        <w:rPr>
          <w:szCs w:val="24"/>
        </w:rPr>
        <w:t>54</w:t>
      </w:r>
      <w:r w:rsidRPr="000A0277">
        <w:rPr>
          <w:szCs w:val="24"/>
        </w:rPr>
        <w:t xml:space="preserve"> </w:t>
      </w:r>
      <w:r w:rsidR="00EF15B3" w:rsidRPr="000A0277">
        <w:rPr>
          <w:szCs w:val="24"/>
        </w:rPr>
        <w:t>annually</w:t>
      </w:r>
      <w:r w:rsidRPr="000A0277">
        <w:rPr>
          <w:szCs w:val="24"/>
        </w:rPr>
        <w:t>)</w:t>
      </w:r>
    </w:p>
    <w:p w14:paraId="10DDD97A" w14:textId="77777777" w:rsidR="004F6075" w:rsidRPr="007B2E4C" w:rsidRDefault="004F6075" w:rsidP="00AD05BD">
      <w:pPr>
        <w:widowControl w:val="0"/>
        <w:tabs>
          <w:tab w:val="left" w:pos="270"/>
          <w:tab w:val="left" w:pos="540"/>
        </w:tabs>
        <w:rPr>
          <w:color w:val="FF0000"/>
          <w:szCs w:val="24"/>
        </w:rPr>
      </w:pPr>
    </w:p>
    <w:p w14:paraId="29ECCAA7" w14:textId="77777777" w:rsidR="001D224D" w:rsidRPr="007B2E4C" w:rsidRDefault="001D224D" w:rsidP="00E575D6">
      <w:pPr>
        <w:widowControl w:val="0"/>
        <w:tabs>
          <w:tab w:val="left" w:pos="540"/>
        </w:tabs>
        <w:rPr>
          <w:b/>
          <w:szCs w:val="24"/>
        </w:rPr>
      </w:pPr>
      <w:r w:rsidRPr="007B2E4C">
        <w:rPr>
          <w:b/>
          <w:szCs w:val="24"/>
        </w:rPr>
        <w:t>13.</w:t>
      </w:r>
      <w:r w:rsidRPr="007B2E4C">
        <w:rPr>
          <w:b/>
          <w:szCs w:val="24"/>
        </w:rPr>
        <w:tab/>
      </w:r>
      <w:r w:rsidR="006C0638" w:rsidRPr="007B2E4C">
        <w:rPr>
          <w:b/>
          <w:szCs w:val="24"/>
          <w:u w:val="single"/>
        </w:rPr>
        <w:t>Estimate of the total annual costs burden</w:t>
      </w:r>
      <w:r w:rsidR="006C0638" w:rsidRPr="007B2E4C">
        <w:rPr>
          <w:b/>
          <w:szCs w:val="24"/>
        </w:rPr>
        <w:t xml:space="preserve">.  </w:t>
      </w:r>
      <w:r w:rsidR="00E575D6" w:rsidRPr="007B2E4C">
        <w:rPr>
          <w:b/>
          <w:szCs w:val="24"/>
        </w:rPr>
        <w:t xml:space="preserve"> </w:t>
      </w:r>
    </w:p>
    <w:p w14:paraId="7C273E62" w14:textId="77777777" w:rsidR="001D224D" w:rsidRPr="007B2E4C" w:rsidRDefault="001D224D" w:rsidP="000A6210">
      <w:pPr>
        <w:widowControl w:val="0"/>
        <w:tabs>
          <w:tab w:val="left" w:pos="540"/>
        </w:tabs>
        <w:rPr>
          <w:b/>
          <w:szCs w:val="24"/>
        </w:rPr>
      </w:pPr>
    </w:p>
    <w:p w14:paraId="227D6C5A" w14:textId="3EDB2DD7" w:rsidR="00136BCE" w:rsidRDefault="00C5366F" w:rsidP="00C5366F">
      <w:pPr>
        <w:widowControl w:val="0"/>
        <w:tabs>
          <w:tab w:val="left" w:pos="204"/>
        </w:tabs>
        <w:autoSpaceDE w:val="0"/>
        <w:autoSpaceDN w:val="0"/>
        <w:adjustRightInd w:val="0"/>
        <w:spacing w:line="480" w:lineRule="auto"/>
        <w:rPr>
          <w:szCs w:val="24"/>
        </w:rPr>
      </w:pPr>
      <w:r w:rsidRPr="007B2E4C">
        <w:rPr>
          <w:szCs w:val="24"/>
        </w:rPr>
        <w:t>The aggregated associated salary cost to all respondents (460) during a survey year is estimated to be $486,993 based on an average salary of $38 per hour (approximately $79,000 per year) for professional staff and $18 per hour (approximately $37,000 per year) for clerical staff.</w:t>
      </w:r>
      <w:r w:rsidR="00993884">
        <w:rPr>
          <w:szCs w:val="24"/>
        </w:rPr>
        <w:t xml:space="preserve"> </w:t>
      </w:r>
      <w:r w:rsidR="00136BCE" w:rsidRPr="00136BCE">
        <w:rPr>
          <w:szCs w:val="24"/>
        </w:rPr>
        <w:t xml:space="preserve">Disaggregated, the total average annual cost per respondent during a survey year is estimated to be $1,058.68. </w:t>
      </w:r>
    </w:p>
    <w:p w14:paraId="2AC66E04" w14:textId="7213A5E8" w:rsidR="00340FE1" w:rsidRDefault="00993884" w:rsidP="00C5366F">
      <w:pPr>
        <w:widowControl w:val="0"/>
        <w:tabs>
          <w:tab w:val="left" w:pos="204"/>
        </w:tabs>
        <w:autoSpaceDE w:val="0"/>
        <w:autoSpaceDN w:val="0"/>
        <w:adjustRightInd w:val="0"/>
        <w:spacing w:line="480" w:lineRule="auto"/>
        <w:rPr>
          <w:szCs w:val="24"/>
        </w:rPr>
      </w:pPr>
      <w:r w:rsidRPr="00993884">
        <w:rPr>
          <w:szCs w:val="24"/>
        </w:rPr>
        <w:t xml:space="preserve">The 2015 </w:t>
      </w:r>
      <w:r>
        <w:rPr>
          <w:szCs w:val="24"/>
        </w:rPr>
        <w:t>m</w:t>
      </w:r>
      <w:r w:rsidRPr="00993884">
        <w:rPr>
          <w:szCs w:val="24"/>
        </w:rPr>
        <w:t xml:space="preserve">ean hourly rate for transportation professionals is the  average of </w:t>
      </w:r>
      <w:r>
        <w:rPr>
          <w:szCs w:val="24"/>
        </w:rPr>
        <w:t>the</w:t>
      </w:r>
      <w:r w:rsidRPr="00993884">
        <w:rPr>
          <w:szCs w:val="24"/>
        </w:rPr>
        <w:t xml:space="preserve"> Bureau of Labor </w:t>
      </w:r>
      <w:r w:rsidR="00EF15B3" w:rsidRPr="00993884">
        <w:rPr>
          <w:szCs w:val="24"/>
        </w:rPr>
        <w:t>Statistics’</w:t>
      </w:r>
      <w:r w:rsidR="00EF15B3">
        <w:rPr>
          <w:szCs w:val="24"/>
        </w:rPr>
        <w:t xml:space="preserve"> </w:t>
      </w:r>
      <w:r w:rsidRPr="00993884">
        <w:rPr>
          <w:szCs w:val="24"/>
        </w:rPr>
        <w:t xml:space="preserve">median hourly rates  for </w:t>
      </w:r>
      <w:hyperlink r:id="rId15" w:history="1">
        <w:r w:rsidRPr="00993884">
          <w:rPr>
            <w:rStyle w:val="Hyperlink"/>
            <w:szCs w:val="24"/>
          </w:rPr>
          <w:t>Urban and Regional Planners</w:t>
        </w:r>
      </w:hyperlink>
      <w:r w:rsidRPr="00993884">
        <w:rPr>
          <w:szCs w:val="24"/>
        </w:rPr>
        <w:t xml:space="preserve"> ($32.80), </w:t>
      </w:r>
      <w:hyperlink r:id="rId16" w:history="1">
        <w:r w:rsidRPr="00993884">
          <w:rPr>
            <w:rStyle w:val="Hyperlink"/>
            <w:szCs w:val="24"/>
          </w:rPr>
          <w:t>Civil Engineers</w:t>
        </w:r>
      </w:hyperlink>
      <w:r w:rsidRPr="00993884">
        <w:rPr>
          <w:szCs w:val="24"/>
        </w:rPr>
        <w:t xml:space="preserve"> ($39.53), and </w:t>
      </w:r>
      <w:hyperlink r:id="rId17" w:history="1">
        <w:r w:rsidRPr="00993884">
          <w:rPr>
            <w:rStyle w:val="Hyperlink"/>
            <w:szCs w:val="24"/>
          </w:rPr>
          <w:t>Management Analysts</w:t>
        </w:r>
      </w:hyperlink>
      <w:r w:rsidRPr="00993884">
        <w:rPr>
          <w:szCs w:val="24"/>
        </w:rPr>
        <w:t xml:space="preserve"> ($39.10)</w:t>
      </w:r>
      <w:r>
        <w:rPr>
          <w:szCs w:val="24"/>
        </w:rPr>
        <w:t>, rounded up to the nearest whole dollar.</w:t>
      </w:r>
      <w:r w:rsidRPr="00993884">
        <w:rPr>
          <w:szCs w:val="24"/>
        </w:rPr>
        <w:t xml:space="preserve"> </w:t>
      </w:r>
      <w:r>
        <w:rPr>
          <w:szCs w:val="24"/>
        </w:rPr>
        <w:t xml:space="preserve"> </w:t>
      </w:r>
      <w:r w:rsidRPr="00993884">
        <w:rPr>
          <w:szCs w:val="24"/>
        </w:rPr>
        <w:t>The 2015 mean hourly rate for clerical staff</w:t>
      </w:r>
      <w:r>
        <w:rPr>
          <w:szCs w:val="24"/>
        </w:rPr>
        <w:t xml:space="preserve"> is the </w:t>
      </w:r>
      <w:r w:rsidRPr="00993884">
        <w:rPr>
          <w:szCs w:val="24"/>
        </w:rPr>
        <w:t xml:space="preserve">Bureau of Labor </w:t>
      </w:r>
      <w:r w:rsidR="00EF15B3" w:rsidRPr="00993884">
        <w:rPr>
          <w:szCs w:val="24"/>
        </w:rPr>
        <w:t>Statistics’</w:t>
      </w:r>
      <w:r w:rsidRPr="00993884">
        <w:rPr>
          <w:szCs w:val="24"/>
        </w:rPr>
        <w:t xml:space="preserve"> median hourly rate</w:t>
      </w:r>
      <w:r w:rsidR="00340FE1">
        <w:rPr>
          <w:szCs w:val="24"/>
        </w:rPr>
        <w:t xml:space="preserve"> for </w:t>
      </w:r>
      <w:hyperlink r:id="rId18" w:history="1">
        <w:r w:rsidR="00340FE1" w:rsidRPr="00340FE1">
          <w:rPr>
            <w:rStyle w:val="Hyperlink"/>
            <w:szCs w:val="24"/>
          </w:rPr>
          <w:t>Secretaries and A</w:t>
        </w:r>
        <w:r w:rsidRPr="00340FE1">
          <w:rPr>
            <w:rStyle w:val="Hyperlink"/>
            <w:szCs w:val="24"/>
          </w:rPr>
          <w:t>dministrative Assistants</w:t>
        </w:r>
      </w:hyperlink>
      <w:r w:rsidR="00340FE1">
        <w:rPr>
          <w:szCs w:val="24"/>
        </w:rPr>
        <w:t xml:space="preserve"> ($17.55) rounded up to the nearest whole dollar.</w:t>
      </w:r>
      <w:r w:rsidRPr="00993884">
        <w:rPr>
          <w:szCs w:val="24"/>
        </w:rPr>
        <w:t xml:space="preserve">  </w:t>
      </w:r>
    </w:p>
    <w:p w14:paraId="08912E04" w14:textId="505F922C" w:rsidR="00C5366F" w:rsidRPr="007B2E4C" w:rsidRDefault="00C5366F" w:rsidP="00C5366F">
      <w:pPr>
        <w:widowControl w:val="0"/>
        <w:tabs>
          <w:tab w:val="left" w:pos="204"/>
        </w:tabs>
        <w:autoSpaceDE w:val="0"/>
        <w:autoSpaceDN w:val="0"/>
        <w:adjustRightInd w:val="0"/>
        <w:spacing w:line="480" w:lineRule="auto"/>
        <w:rPr>
          <w:szCs w:val="24"/>
        </w:rPr>
      </w:pPr>
      <w:r w:rsidRPr="007B2E4C">
        <w:rPr>
          <w:szCs w:val="24"/>
        </w:rPr>
        <w:t xml:space="preserve">The burden hours and costs are illustrated below. </w:t>
      </w:r>
    </w:p>
    <w:p w14:paraId="449EFF08"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Professional Staff Cost during a Survey Year:</w:t>
      </w:r>
    </w:p>
    <w:p w14:paraId="22AABCDC" w14:textId="77777777" w:rsidR="00C5366F" w:rsidRPr="007B2E4C" w:rsidRDefault="00C5366F" w:rsidP="00027217">
      <w:pPr>
        <w:widowControl w:val="0"/>
        <w:numPr>
          <w:ilvl w:val="0"/>
          <w:numId w:val="7"/>
        </w:numPr>
        <w:tabs>
          <w:tab w:val="left" w:pos="204"/>
        </w:tabs>
        <w:autoSpaceDE w:val="0"/>
        <w:autoSpaceDN w:val="0"/>
        <w:adjustRightInd w:val="0"/>
        <w:spacing w:line="480" w:lineRule="auto"/>
        <w:rPr>
          <w:szCs w:val="24"/>
        </w:rPr>
      </w:pPr>
      <w:r w:rsidRPr="007B2E4C">
        <w:rPr>
          <w:szCs w:val="24"/>
        </w:rPr>
        <w:t>All respondents: 9,200 hours × $38 per hour = $349,600</w:t>
      </w:r>
    </w:p>
    <w:p w14:paraId="0B1C0D6E" w14:textId="77777777" w:rsidR="00C5366F" w:rsidRPr="007B2E4C" w:rsidRDefault="00C5366F" w:rsidP="00027217">
      <w:pPr>
        <w:widowControl w:val="0"/>
        <w:numPr>
          <w:ilvl w:val="1"/>
          <w:numId w:val="7"/>
        </w:numPr>
        <w:tabs>
          <w:tab w:val="left" w:pos="204"/>
        </w:tabs>
        <w:autoSpaceDE w:val="0"/>
        <w:autoSpaceDN w:val="0"/>
        <w:adjustRightInd w:val="0"/>
        <w:spacing w:line="480" w:lineRule="auto"/>
        <w:rPr>
          <w:szCs w:val="24"/>
        </w:rPr>
      </w:pPr>
      <w:r w:rsidRPr="007B2E4C">
        <w:rPr>
          <w:szCs w:val="24"/>
        </w:rPr>
        <w:t>Per respondent: (20 x $38= $760)</w:t>
      </w:r>
    </w:p>
    <w:p w14:paraId="4E3BEFB4"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Clerical Staff Cost during a Survey Year:</w:t>
      </w:r>
    </w:p>
    <w:p w14:paraId="6C67B5D0" w14:textId="77777777" w:rsidR="00C5366F" w:rsidRPr="007B2E4C" w:rsidRDefault="00C5366F" w:rsidP="00027217">
      <w:pPr>
        <w:widowControl w:val="0"/>
        <w:numPr>
          <w:ilvl w:val="0"/>
          <w:numId w:val="8"/>
        </w:numPr>
        <w:tabs>
          <w:tab w:val="left" w:pos="204"/>
        </w:tabs>
        <w:autoSpaceDE w:val="0"/>
        <w:autoSpaceDN w:val="0"/>
        <w:adjustRightInd w:val="0"/>
        <w:spacing w:line="480" w:lineRule="auto"/>
        <w:rPr>
          <w:szCs w:val="24"/>
        </w:rPr>
      </w:pPr>
      <w:r w:rsidRPr="007B2E4C">
        <w:rPr>
          <w:szCs w:val="24"/>
        </w:rPr>
        <w:t>All respondents: 920 hours × $18 per hour = $16,560</w:t>
      </w:r>
    </w:p>
    <w:p w14:paraId="61B6DC34" w14:textId="77777777" w:rsidR="00C5366F" w:rsidRPr="007B2E4C" w:rsidRDefault="00C5366F" w:rsidP="00027217">
      <w:pPr>
        <w:widowControl w:val="0"/>
        <w:numPr>
          <w:ilvl w:val="1"/>
          <w:numId w:val="8"/>
        </w:numPr>
        <w:tabs>
          <w:tab w:val="left" w:pos="204"/>
        </w:tabs>
        <w:autoSpaceDE w:val="0"/>
        <w:autoSpaceDN w:val="0"/>
        <w:adjustRightInd w:val="0"/>
        <w:spacing w:line="480" w:lineRule="auto"/>
        <w:rPr>
          <w:szCs w:val="24"/>
        </w:rPr>
      </w:pPr>
      <w:r w:rsidRPr="007B2E4C">
        <w:rPr>
          <w:szCs w:val="24"/>
        </w:rPr>
        <w:t>Per respondent (2 hours × $18 per hour = $36)</w:t>
      </w:r>
    </w:p>
    <w:p w14:paraId="3F2AA975" w14:textId="77777777" w:rsidR="00C5366F" w:rsidRPr="007B2E4C" w:rsidRDefault="00C5366F" w:rsidP="00C5366F">
      <w:pPr>
        <w:widowControl w:val="0"/>
        <w:tabs>
          <w:tab w:val="left" w:pos="204"/>
        </w:tabs>
        <w:autoSpaceDE w:val="0"/>
        <w:autoSpaceDN w:val="0"/>
        <w:adjustRightInd w:val="0"/>
        <w:spacing w:line="480" w:lineRule="auto"/>
        <w:rPr>
          <w:b/>
          <w:bCs/>
          <w:szCs w:val="24"/>
        </w:rPr>
      </w:pPr>
      <w:r w:rsidRPr="007B2E4C">
        <w:rPr>
          <w:b/>
          <w:bCs/>
          <w:szCs w:val="24"/>
        </w:rPr>
        <w:t>Total Annual Cost during a Survey Year:</w:t>
      </w:r>
    </w:p>
    <w:p w14:paraId="62B3BCED" w14:textId="77777777" w:rsidR="00C5366F" w:rsidRPr="007B2E4C" w:rsidRDefault="00C5366F" w:rsidP="00027217">
      <w:pPr>
        <w:widowControl w:val="0"/>
        <w:numPr>
          <w:ilvl w:val="0"/>
          <w:numId w:val="8"/>
        </w:numPr>
        <w:tabs>
          <w:tab w:val="left" w:pos="204"/>
        </w:tabs>
        <w:autoSpaceDE w:val="0"/>
        <w:autoSpaceDN w:val="0"/>
        <w:adjustRightInd w:val="0"/>
        <w:spacing w:line="480" w:lineRule="auto"/>
        <w:rPr>
          <w:szCs w:val="24"/>
        </w:rPr>
      </w:pPr>
      <w:r w:rsidRPr="007B2E4C">
        <w:rPr>
          <w:szCs w:val="24"/>
        </w:rPr>
        <w:t>Subtotal Direct Salaries (Professional + Clerical) $366,160</w:t>
      </w:r>
    </w:p>
    <w:p w14:paraId="2463BE9E" w14:textId="77777777" w:rsidR="00C5366F" w:rsidRPr="007B2E4C" w:rsidRDefault="00C5366F" w:rsidP="00027217">
      <w:pPr>
        <w:widowControl w:val="0"/>
        <w:numPr>
          <w:ilvl w:val="0"/>
          <w:numId w:val="8"/>
        </w:numPr>
        <w:tabs>
          <w:tab w:val="left" w:pos="204"/>
        </w:tabs>
        <w:autoSpaceDE w:val="0"/>
        <w:autoSpaceDN w:val="0"/>
        <w:adjustRightInd w:val="0"/>
        <w:spacing w:line="480" w:lineRule="auto"/>
        <w:rPr>
          <w:szCs w:val="24"/>
        </w:rPr>
      </w:pPr>
      <w:r w:rsidRPr="007B2E4C">
        <w:rPr>
          <w:szCs w:val="24"/>
        </w:rPr>
        <w:t xml:space="preserve">Overhead/fringe benefits at 33%: </w:t>
      </w:r>
      <w:r w:rsidRPr="007B2E4C">
        <w:rPr>
          <w:iCs/>
          <w:szCs w:val="24"/>
        </w:rPr>
        <w:t>$120,833</w:t>
      </w:r>
      <w:r w:rsidRPr="007B2E4C">
        <w:rPr>
          <w:szCs w:val="24"/>
        </w:rPr>
        <w:t xml:space="preserve"> </w:t>
      </w:r>
    </w:p>
    <w:p w14:paraId="21948A2B" w14:textId="77777777" w:rsidR="00C5366F" w:rsidRPr="007B2E4C" w:rsidRDefault="00C5366F" w:rsidP="00027217">
      <w:pPr>
        <w:widowControl w:val="0"/>
        <w:numPr>
          <w:ilvl w:val="0"/>
          <w:numId w:val="8"/>
        </w:numPr>
        <w:tabs>
          <w:tab w:val="left" w:pos="204"/>
        </w:tabs>
        <w:autoSpaceDE w:val="0"/>
        <w:autoSpaceDN w:val="0"/>
        <w:adjustRightInd w:val="0"/>
        <w:spacing w:line="480" w:lineRule="auto"/>
        <w:rPr>
          <w:szCs w:val="24"/>
        </w:rPr>
      </w:pPr>
      <w:r w:rsidRPr="007B2E4C">
        <w:rPr>
          <w:szCs w:val="24"/>
        </w:rPr>
        <w:t>Total annual respondents cost during survey year: $486,993</w:t>
      </w:r>
    </w:p>
    <w:p w14:paraId="5A855422" w14:textId="315D4396" w:rsidR="00C5366F" w:rsidRPr="007B2E4C" w:rsidRDefault="00C5366F" w:rsidP="00027217">
      <w:pPr>
        <w:widowControl w:val="0"/>
        <w:numPr>
          <w:ilvl w:val="1"/>
          <w:numId w:val="8"/>
        </w:numPr>
        <w:tabs>
          <w:tab w:val="left" w:pos="204"/>
        </w:tabs>
        <w:autoSpaceDE w:val="0"/>
        <w:autoSpaceDN w:val="0"/>
        <w:adjustRightInd w:val="0"/>
        <w:spacing w:line="480" w:lineRule="auto"/>
        <w:rPr>
          <w:szCs w:val="24"/>
        </w:rPr>
      </w:pPr>
      <w:r w:rsidRPr="007B2E4C">
        <w:rPr>
          <w:szCs w:val="24"/>
        </w:rPr>
        <w:t>Total average annual cost per respondent during survey year: $1,058.68</w:t>
      </w:r>
      <w:r w:rsidR="00D16243">
        <w:rPr>
          <w:szCs w:val="24"/>
        </w:rPr>
        <w:t>, multiplied by 2 survey years = 2,117.36</w:t>
      </w:r>
    </w:p>
    <w:p w14:paraId="47F98540" w14:textId="77777777" w:rsidR="00E575D6" w:rsidRPr="007B2E4C" w:rsidRDefault="00E575D6" w:rsidP="000A6210">
      <w:pPr>
        <w:widowControl w:val="0"/>
        <w:tabs>
          <w:tab w:val="left" w:pos="540"/>
        </w:tabs>
        <w:rPr>
          <w:b/>
          <w:szCs w:val="24"/>
        </w:rPr>
      </w:pPr>
    </w:p>
    <w:p w14:paraId="4A79CD7A" w14:textId="77777777" w:rsidR="001D224D" w:rsidRPr="007B2E4C" w:rsidRDefault="001D224D" w:rsidP="006C0638">
      <w:pPr>
        <w:widowControl w:val="0"/>
        <w:tabs>
          <w:tab w:val="left" w:pos="540"/>
        </w:tabs>
        <w:rPr>
          <w:b/>
          <w:szCs w:val="24"/>
        </w:rPr>
      </w:pPr>
      <w:r w:rsidRPr="007B2E4C">
        <w:rPr>
          <w:b/>
          <w:szCs w:val="24"/>
        </w:rPr>
        <w:t>14.</w:t>
      </w:r>
      <w:r w:rsidRPr="007B2E4C">
        <w:rPr>
          <w:b/>
          <w:szCs w:val="24"/>
        </w:rPr>
        <w:tab/>
      </w:r>
      <w:r w:rsidR="006C0638" w:rsidRPr="007B2E4C">
        <w:rPr>
          <w:b/>
          <w:szCs w:val="24"/>
          <w:u w:val="single"/>
        </w:rPr>
        <w:t>Estimates of costs to the Federal Government</w:t>
      </w:r>
      <w:r w:rsidR="006C0638" w:rsidRPr="007B2E4C">
        <w:rPr>
          <w:b/>
          <w:szCs w:val="24"/>
        </w:rPr>
        <w:t xml:space="preserve">.  </w:t>
      </w:r>
      <w:r w:rsidR="007759D1" w:rsidRPr="007B2E4C">
        <w:rPr>
          <w:b/>
          <w:szCs w:val="24"/>
        </w:rPr>
        <w:t xml:space="preserve"> </w:t>
      </w:r>
      <w:r w:rsidRPr="007B2E4C">
        <w:rPr>
          <w:b/>
          <w:szCs w:val="24"/>
        </w:rPr>
        <w:t xml:space="preserve">   </w:t>
      </w:r>
    </w:p>
    <w:p w14:paraId="3DCCAA5F" w14:textId="77777777" w:rsidR="00515209" w:rsidRPr="007B2E4C" w:rsidRDefault="00515209" w:rsidP="000A6210">
      <w:pPr>
        <w:widowControl w:val="0"/>
        <w:tabs>
          <w:tab w:val="left" w:pos="540"/>
        </w:tabs>
        <w:rPr>
          <w:b/>
          <w:szCs w:val="24"/>
        </w:rPr>
      </w:pPr>
    </w:p>
    <w:p w14:paraId="6FB0CB50" w14:textId="77777777" w:rsidR="007759D1" w:rsidRPr="007B2E4C" w:rsidRDefault="007759D1" w:rsidP="007759D1">
      <w:pPr>
        <w:rPr>
          <w:szCs w:val="24"/>
        </w:rPr>
      </w:pPr>
      <w:r w:rsidRPr="007B2E4C">
        <w:rPr>
          <w:szCs w:val="24"/>
        </w:rPr>
        <w:t>The cost to the Federal Government consists of the staff time and related expenses to review survey responses</w:t>
      </w:r>
      <w:r w:rsidR="000836D6" w:rsidRPr="007B2E4C">
        <w:rPr>
          <w:szCs w:val="24"/>
        </w:rPr>
        <w:t xml:space="preserve"> and provide</w:t>
      </w:r>
      <w:r w:rsidRPr="007B2E4C">
        <w:rPr>
          <w:szCs w:val="24"/>
        </w:rPr>
        <w:t xml:space="preserve"> general oversight.  The Government will incur an annual estimated cost </w:t>
      </w:r>
      <w:r w:rsidR="00E05B44" w:rsidRPr="007B2E4C">
        <w:rPr>
          <w:szCs w:val="24"/>
        </w:rPr>
        <w:t xml:space="preserve">per survey </w:t>
      </w:r>
      <w:r w:rsidRPr="007B2E4C">
        <w:rPr>
          <w:szCs w:val="24"/>
        </w:rPr>
        <w:t>of approximately $</w:t>
      </w:r>
      <w:r w:rsidR="00E05B44" w:rsidRPr="007B2E4C">
        <w:rPr>
          <w:szCs w:val="24"/>
        </w:rPr>
        <w:t>102,805</w:t>
      </w:r>
      <w:r w:rsidRPr="007B2E4C">
        <w:rPr>
          <w:szCs w:val="24"/>
        </w:rPr>
        <w:t>, as follows:</w:t>
      </w:r>
    </w:p>
    <w:p w14:paraId="6C749CDE" w14:textId="77777777" w:rsidR="007759D1" w:rsidRPr="007B2E4C" w:rsidRDefault="007759D1" w:rsidP="007759D1">
      <w:pPr>
        <w:rPr>
          <w:szCs w:val="24"/>
        </w:rPr>
      </w:pPr>
    </w:p>
    <w:p w14:paraId="50B2E490" w14:textId="77777777" w:rsidR="007759D1" w:rsidRPr="007B2E4C" w:rsidRDefault="00661905" w:rsidP="007759D1">
      <w:pPr>
        <w:ind w:left="720"/>
        <w:rPr>
          <w:szCs w:val="24"/>
        </w:rPr>
      </w:pPr>
      <w:r w:rsidRPr="007B2E4C">
        <w:rPr>
          <w:szCs w:val="24"/>
        </w:rPr>
        <w:t xml:space="preserve">Federal </w:t>
      </w:r>
      <w:r w:rsidR="007759D1" w:rsidRPr="007B2E4C">
        <w:rPr>
          <w:szCs w:val="24"/>
        </w:rPr>
        <w:t>Professional staff time:</w:t>
      </w:r>
    </w:p>
    <w:p w14:paraId="79F74226" w14:textId="77777777" w:rsidR="007759D1" w:rsidRPr="007B2E4C" w:rsidRDefault="007759D1" w:rsidP="007759D1">
      <w:pPr>
        <w:rPr>
          <w:szCs w:val="24"/>
        </w:rPr>
      </w:pPr>
    </w:p>
    <w:p w14:paraId="1DB1A3D8" w14:textId="13E55663" w:rsidR="007759D1" w:rsidRPr="007B2E4C" w:rsidRDefault="000836D6" w:rsidP="007759D1">
      <w:pPr>
        <w:ind w:left="1440"/>
        <w:rPr>
          <w:szCs w:val="24"/>
        </w:rPr>
      </w:pPr>
      <w:r w:rsidRPr="007B2E4C">
        <w:rPr>
          <w:szCs w:val="24"/>
        </w:rPr>
        <w:t xml:space="preserve">1/12 </w:t>
      </w:r>
      <w:r w:rsidR="007759D1" w:rsidRPr="007B2E4C">
        <w:rPr>
          <w:szCs w:val="24"/>
        </w:rPr>
        <w:t xml:space="preserve"> </w:t>
      </w:r>
      <w:r w:rsidR="00C5366F" w:rsidRPr="007B2E4C">
        <w:rPr>
          <w:szCs w:val="24"/>
        </w:rPr>
        <w:t>FTE</w:t>
      </w:r>
      <w:r w:rsidR="007759D1" w:rsidRPr="007B2E4C">
        <w:rPr>
          <w:szCs w:val="24"/>
        </w:rPr>
        <w:t xml:space="preserve"> per </w:t>
      </w:r>
      <w:r w:rsidRPr="007B2E4C">
        <w:rPr>
          <w:szCs w:val="24"/>
        </w:rPr>
        <w:t>year</w:t>
      </w:r>
      <w:r w:rsidR="00661905" w:rsidRPr="007B2E4C">
        <w:rPr>
          <w:szCs w:val="24"/>
        </w:rPr>
        <w:t xml:space="preserve"> (173.33 hours)</w:t>
      </w:r>
      <w:r w:rsidRPr="007B2E4C">
        <w:rPr>
          <w:szCs w:val="24"/>
        </w:rPr>
        <w:t xml:space="preserve"> at an</w:t>
      </w:r>
      <w:r w:rsidR="007759D1" w:rsidRPr="007B2E4C">
        <w:rPr>
          <w:szCs w:val="24"/>
        </w:rPr>
        <w:t xml:space="preserve"> average salary of $</w:t>
      </w:r>
      <w:r w:rsidRPr="007B2E4C">
        <w:rPr>
          <w:szCs w:val="24"/>
        </w:rPr>
        <w:t>115,544</w:t>
      </w:r>
      <w:r w:rsidR="00661905" w:rsidRPr="007B2E4C">
        <w:rPr>
          <w:szCs w:val="24"/>
        </w:rPr>
        <w:t xml:space="preserve"> ($55.55 per hour)</w:t>
      </w:r>
      <w:r w:rsidR="0071038A">
        <w:rPr>
          <w:szCs w:val="24"/>
        </w:rPr>
        <w:t xml:space="preserve"> for a GS-14</w:t>
      </w:r>
      <w:r w:rsidRPr="007B2E4C">
        <w:rPr>
          <w:szCs w:val="24"/>
        </w:rPr>
        <w:t xml:space="preserve">. </w:t>
      </w:r>
    </w:p>
    <w:p w14:paraId="42E7487F" w14:textId="77777777" w:rsidR="007759D1" w:rsidRPr="007B2E4C" w:rsidRDefault="007759D1" w:rsidP="007759D1">
      <w:pPr>
        <w:rPr>
          <w:szCs w:val="24"/>
        </w:rPr>
      </w:pPr>
    </w:p>
    <w:p w14:paraId="3DD4FE5D" w14:textId="77777777" w:rsidR="007759D1" w:rsidRPr="007B2E4C" w:rsidRDefault="007759D1" w:rsidP="007759D1">
      <w:pPr>
        <w:ind w:left="720"/>
        <w:rPr>
          <w:szCs w:val="24"/>
        </w:rPr>
      </w:pPr>
      <w:r w:rsidRPr="007B2E4C">
        <w:rPr>
          <w:szCs w:val="24"/>
        </w:rPr>
        <w:tab/>
        <w:t>Federal direct salary cost per year:</w:t>
      </w:r>
      <w:r w:rsidRPr="007B2E4C">
        <w:rPr>
          <w:szCs w:val="24"/>
        </w:rPr>
        <w:tab/>
        <w:t xml:space="preserve">$  </w:t>
      </w:r>
      <w:r w:rsidR="000836D6" w:rsidRPr="007B2E4C">
        <w:rPr>
          <w:szCs w:val="24"/>
        </w:rPr>
        <w:t>9</w:t>
      </w:r>
      <w:r w:rsidR="00015F6A" w:rsidRPr="007B2E4C">
        <w:rPr>
          <w:szCs w:val="24"/>
        </w:rPr>
        <w:t>,</w:t>
      </w:r>
      <w:r w:rsidR="000836D6" w:rsidRPr="007B2E4C">
        <w:rPr>
          <w:szCs w:val="24"/>
        </w:rPr>
        <w:t>62</w:t>
      </w:r>
      <w:r w:rsidR="00661905" w:rsidRPr="007B2E4C">
        <w:rPr>
          <w:szCs w:val="24"/>
        </w:rPr>
        <w:t>8.48</w:t>
      </w:r>
      <w:r w:rsidR="000836D6" w:rsidRPr="007B2E4C">
        <w:rPr>
          <w:szCs w:val="24"/>
        </w:rPr>
        <w:t xml:space="preserve"> (173.33 hours x $55.55)</w:t>
      </w:r>
    </w:p>
    <w:p w14:paraId="2F2F018A" w14:textId="77777777" w:rsidR="007759D1" w:rsidRPr="007B2E4C" w:rsidRDefault="007759D1" w:rsidP="007759D1">
      <w:pPr>
        <w:rPr>
          <w:szCs w:val="24"/>
        </w:rPr>
      </w:pPr>
      <w:r w:rsidRPr="007B2E4C">
        <w:rPr>
          <w:szCs w:val="24"/>
        </w:rPr>
        <w:tab/>
      </w:r>
      <w:r w:rsidRPr="007B2E4C">
        <w:rPr>
          <w:szCs w:val="24"/>
        </w:rPr>
        <w:tab/>
        <w:t>Overhead/fringe benefits at 33%:</w:t>
      </w:r>
      <w:r w:rsidRPr="007B2E4C">
        <w:rPr>
          <w:szCs w:val="24"/>
        </w:rPr>
        <w:tab/>
      </w:r>
      <w:r w:rsidRPr="007B2E4C">
        <w:rPr>
          <w:szCs w:val="24"/>
          <w:u w:val="single"/>
        </w:rPr>
        <w:t xml:space="preserve">    </w:t>
      </w:r>
      <w:r w:rsidR="00661905" w:rsidRPr="007B2E4C">
        <w:rPr>
          <w:szCs w:val="24"/>
          <w:u w:val="single"/>
        </w:rPr>
        <w:t>3</w:t>
      </w:r>
      <w:r w:rsidR="00015F6A" w:rsidRPr="007B2E4C">
        <w:rPr>
          <w:szCs w:val="24"/>
          <w:u w:val="single"/>
        </w:rPr>
        <w:t>,</w:t>
      </w:r>
      <w:r w:rsidR="00661905" w:rsidRPr="007B2E4C">
        <w:rPr>
          <w:szCs w:val="24"/>
          <w:u w:val="single"/>
        </w:rPr>
        <w:t>177.40</w:t>
      </w:r>
    </w:p>
    <w:p w14:paraId="395AD71C" w14:textId="6557671A" w:rsidR="007759D1" w:rsidRPr="007B2E4C" w:rsidRDefault="007759D1" w:rsidP="007759D1">
      <w:pPr>
        <w:rPr>
          <w:szCs w:val="24"/>
        </w:rPr>
      </w:pPr>
      <w:r w:rsidRPr="007B2E4C">
        <w:rPr>
          <w:szCs w:val="24"/>
        </w:rPr>
        <w:tab/>
      </w:r>
      <w:r w:rsidRPr="007B2E4C">
        <w:rPr>
          <w:szCs w:val="24"/>
        </w:rPr>
        <w:tab/>
        <w:t xml:space="preserve">Total annual  </w:t>
      </w:r>
      <w:r w:rsidR="00661905" w:rsidRPr="007B2E4C">
        <w:rPr>
          <w:szCs w:val="24"/>
        </w:rPr>
        <w:t xml:space="preserve">professional staff </w:t>
      </w:r>
      <w:r w:rsidRPr="007B2E4C">
        <w:rPr>
          <w:szCs w:val="24"/>
        </w:rPr>
        <w:t>cost:</w:t>
      </w:r>
      <w:r w:rsidRPr="007B2E4C">
        <w:rPr>
          <w:szCs w:val="24"/>
        </w:rPr>
        <w:tab/>
        <w:t xml:space="preserve">$  </w:t>
      </w:r>
      <w:r w:rsidR="00661905" w:rsidRPr="007B2E4C">
        <w:rPr>
          <w:szCs w:val="24"/>
        </w:rPr>
        <w:t>12</w:t>
      </w:r>
      <w:r w:rsidRPr="007B2E4C">
        <w:rPr>
          <w:szCs w:val="24"/>
        </w:rPr>
        <w:t>,</w:t>
      </w:r>
      <w:r w:rsidR="00661905" w:rsidRPr="007B2E4C">
        <w:rPr>
          <w:szCs w:val="24"/>
        </w:rPr>
        <w:t>805</w:t>
      </w:r>
      <w:r w:rsidR="00D16243" w:rsidRPr="00D16243">
        <w:t xml:space="preserve"> </w:t>
      </w:r>
      <w:r w:rsidR="00D16243" w:rsidRPr="00D16243">
        <w:rPr>
          <w:szCs w:val="24"/>
        </w:rPr>
        <w:t xml:space="preserve">multiplied by 2 survey years = </w:t>
      </w:r>
      <w:r w:rsidR="00D16243">
        <w:rPr>
          <w:szCs w:val="24"/>
        </w:rPr>
        <w:t>25,610</w:t>
      </w:r>
    </w:p>
    <w:p w14:paraId="6CFB2E0D" w14:textId="77777777" w:rsidR="000836D6" w:rsidRPr="007B2E4C" w:rsidRDefault="000836D6" w:rsidP="007759D1">
      <w:pPr>
        <w:rPr>
          <w:szCs w:val="24"/>
        </w:rPr>
      </w:pPr>
      <w:r w:rsidRPr="007B2E4C">
        <w:rPr>
          <w:szCs w:val="24"/>
        </w:rPr>
        <w:t xml:space="preserve">        </w:t>
      </w:r>
    </w:p>
    <w:p w14:paraId="7B22A39A" w14:textId="77777777" w:rsidR="000836D6" w:rsidRPr="007B2E4C" w:rsidRDefault="000836D6" w:rsidP="007B2E4C">
      <w:pPr>
        <w:ind w:firstLine="720"/>
        <w:rPr>
          <w:szCs w:val="24"/>
        </w:rPr>
      </w:pPr>
      <w:r w:rsidRPr="007B2E4C">
        <w:rPr>
          <w:szCs w:val="24"/>
        </w:rPr>
        <w:t xml:space="preserve"> Firm-fixed price contract</w:t>
      </w:r>
      <w:r w:rsidR="00E05B44" w:rsidRPr="007B2E4C">
        <w:rPr>
          <w:szCs w:val="24"/>
        </w:rPr>
        <w:t xml:space="preserve"> cost </w:t>
      </w:r>
      <w:r w:rsidR="00661905" w:rsidRPr="007B2E4C">
        <w:rPr>
          <w:szCs w:val="24"/>
        </w:rPr>
        <w:t xml:space="preserve"> </w:t>
      </w:r>
      <w:r w:rsidR="00E05B44" w:rsidRPr="007B2E4C">
        <w:rPr>
          <w:szCs w:val="24"/>
        </w:rPr>
        <w:t xml:space="preserve">for related </w:t>
      </w:r>
      <w:r w:rsidR="00661905" w:rsidRPr="007B2E4C">
        <w:rPr>
          <w:szCs w:val="24"/>
        </w:rPr>
        <w:t>task cost</w:t>
      </w:r>
      <w:r w:rsidRPr="007B2E4C">
        <w:rPr>
          <w:szCs w:val="24"/>
        </w:rPr>
        <w:t>:</w:t>
      </w:r>
      <w:r w:rsidR="00661905" w:rsidRPr="007B2E4C">
        <w:rPr>
          <w:szCs w:val="24"/>
        </w:rPr>
        <w:t xml:space="preserve"> $90, 000</w:t>
      </w:r>
    </w:p>
    <w:p w14:paraId="7AEB46F3" w14:textId="77777777" w:rsidR="00661905" w:rsidRPr="007B2E4C" w:rsidRDefault="00661905" w:rsidP="007B2E4C">
      <w:pPr>
        <w:ind w:firstLine="720"/>
        <w:rPr>
          <w:szCs w:val="24"/>
        </w:rPr>
      </w:pPr>
    </w:p>
    <w:p w14:paraId="2F0DC9CC" w14:textId="5DD430DF" w:rsidR="00661905" w:rsidRPr="007B2E4C" w:rsidRDefault="00661905" w:rsidP="007B2E4C">
      <w:pPr>
        <w:ind w:firstLine="720"/>
        <w:rPr>
          <w:szCs w:val="24"/>
        </w:rPr>
      </w:pPr>
      <w:r w:rsidRPr="007B2E4C">
        <w:rPr>
          <w:szCs w:val="24"/>
        </w:rPr>
        <w:t>Total cost estimated to federal government: $</w:t>
      </w:r>
      <w:r w:rsidR="00D16243">
        <w:rPr>
          <w:szCs w:val="24"/>
        </w:rPr>
        <w:t>115,610</w:t>
      </w:r>
      <w:r w:rsidR="0015740B">
        <w:rPr>
          <w:szCs w:val="24"/>
        </w:rPr>
        <w:t xml:space="preserve"> (divided by 3 = 38,537)</w:t>
      </w:r>
    </w:p>
    <w:p w14:paraId="3F0351C7" w14:textId="77777777" w:rsidR="00661905" w:rsidRPr="007B2E4C" w:rsidRDefault="00661905" w:rsidP="007B2E4C">
      <w:pPr>
        <w:ind w:firstLine="720"/>
        <w:rPr>
          <w:szCs w:val="24"/>
        </w:rPr>
      </w:pPr>
    </w:p>
    <w:p w14:paraId="7D6521BF" w14:textId="77777777" w:rsidR="008E62AF" w:rsidRPr="007B2E4C" w:rsidRDefault="00F67FCC" w:rsidP="00027217">
      <w:pPr>
        <w:widowControl w:val="0"/>
        <w:numPr>
          <w:ilvl w:val="0"/>
          <w:numId w:val="2"/>
        </w:numPr>
        <w:tabs>
          <w:tab w:val="clear" w:pos="720"/>
          <w:tab w:val="num" w:pos="0"/>
          <w:tab w:val="left" w:pos="540"/>
        </w:tabs>
        <w:ind w:left="0" w:firstLine="0"/>
        <w:rPr>
          <w:b/>
          <w:szCs w:val="24"/>
        </w:rPr>
      </w:pPr>
      <w:r w:rsidRPr="007B2E4C">
        <w:rPr>
          <w:b/>
          <w:szCs w:val="24"/>
          <w:u w:val="single"/>
        </w:rPr>
        <w:t>Explanation of the program change or adjustments</w:t>
      </w:r>
      <w:r w:rsidRPr="007B2E4C">
        <w:rPr>
          <w:b/>
          <w:szCs w:val="24"/>
        </w:rPr>
        <w:t xml:space="preserve">.  </w:t>
      </w:r>
    </w:p>
    <w:p w14:paraId="2BCC9027" w14:textId="77777777" w:rsidR="007759D1" w:rsidRPr="007B2E4C" w:rsidRDefault="007759D1" w:rsidP="007759D1">
      <w:pPr>
        <w:rPr>
          <w:szCs w:val="24"/>
        </w:rPr>
      </w:pPr>
      <w:r w:rsidRPr="007B2E4C">
        <w:rPr>
          <w:szCs w:val="24"/>
        </w:rPr>
        <w:t>There are no program changes or adjustments.</w:t>
      </w:r>
    </w:p>
    <w:p w14:paraId="61C2F412" w14:textId="77777777" w:rsidR="001D224D" w:rsidRPr="007B2E4C" w:rsidRDefault="001D224D" w:rsidP="000A6210">
      <w:pPr>
        <w:widowControl w:val="0"/>
        <w:tabs>
          <w:tab w:val="left" w:pos="540"/>
        </w:tabs>
        <w:rPr>
          <w:szCs w:val="24"/>
        </w:rPr>
      </w:pPr>
    </w:p>
    <w:p w14:paraId="0F1A3075" w14:textId="77777777" w:rsidR="001D224D" w:rsidRPr="007B2E4C" w:rsidRDefault="001D224D" w:rsidP="007B68C6">
      <w:pPr>
        <w:widowControl w:val="0"/>
        <w:tabs>
          <w:tab w:val="left" w:pos="540"/>
        </w:tabs>
        <w:rPr>
          <w:b/>
          <w:szCs w:val="24"/>
        </w:rPr>
      </w:pPr>
      <w:r w:rsidRPr="007B2E4C">
        <w:rPr>
          <w:b/>
          <w:szCs w:val="24"/>
        </w:rPr>
        <w:t>16.</w:t>
      </w:r>
      <w:r w:rsidRPr="007B2E4C">
        <w:rPr>
          <w:b/>
          <w:szCs w:val="24"/>
        </w:rPr>
        <w:tab/>
      </w:r>
      <w:r w:rsidR="007B68C6" w:rsidRPr="007B2E4C">
        <w:rPr>
          <w:b/>
          <w:szCs w:val="24"/>
          <w:u w:val="single"/>
        </w:rPr>
        <w:t>Publication of results of data collection</w:t>
      </w:r>
      <w:r w:rsidR="007B68C6" w:rsidRPr="007B2E4C">
        <w:rPr>
          <w:b/>
          <w:szCs w:val="24"/>
        </w:rPr>
        <w:t xml:space="preserve">.  </w:t>
      </w:r>
    </w:p>
    <w:p w14:paraId="7AC1AAC7" w14:textId="77777777" w:rsidR="008E62AF" w:rsidRPr="007B2E4C" w:rsidRDefault="008E62AF" w:rsidP="008E62AF">
      <w:pPr>
        <w:widowControl w:val="0"/>
        <w:tabs>
          <w:tab w:val="left" w:pos="540"/>
        </w:tabs>
        <w:rPr>
          <w:szCs w:val="24"/>
        </w:rPr>
      </w:pPr>
    </w:p>
    <w:p w14:paraId="72C18FEC" w14:textId="77777777" w:rsidR="008E62AF" w:rsidRPr="007B2E4C" w:rsidRDefault="008E62AF" w:rsidP="00661905">
      <w:pPr>
        <w:widowControl w:val="0"/>
        <w:tabs>
          <w:tab w:val="left" w:pos="540"/>
        </w:tabs>
        <w:rPr>
          <w:szCs w:val="24"/>
        </w:rPr>
      </w:pPr>
      <w:r w:rsidRPr="007B2E4C">
        <w:rPr>
          <w:szCs w:val="24"/>
        </w:rPr>
        <w:t>The</w:t>
      </w:r>
      <w:r w:rsidR="00A80D9B" w:rsidRPr="007B2E4C">
        <w:rPr>
          <w:szCs w:val="24"/>
        </w:rPr>
        <w:t xml:space="preserve"> aggregated</w:t>
      </w:r>
      <w:r w:rsidRPr="007B2E4C">
        <w:rPr>
          <w:szCs w:val="24"/>
        </w:rPr>
        <w:t xml:space="preserve"> results of the survey will be published </w:t>
      </w:r>
      <w:r w:rsidR="007759D1" w:rsidRPr="007B2E4C">
        <w:rPr>
          <w:szCs w:val="24"/>
        </w:rPr>
        <w:t xml:space="preserve">and publicized </w:t>
      </w:r>
      <w:r w:rsidRPr="007B2E4C">
        <w:rPr>
          <w:szCs w:val="24"/>
        </w:rPr>
        <w:t>on the FHWA website</w:t>
      </w:r>
      <w:r w:rsidR="00217F29" w:rsidRPr="007B2E4C">
        <w:rPr>
          <w:szCs w:val="24"/>
        </w:rPr>
        <w:t>, and to the extent practicable, incorporated with</w:t>
      </w:r>
      <w:r w:rsidR="00A80D9B" w:rsidRPr="007B2E4C">
        <w:rPr>
          <w:szCs w:val="24"/>
        </w:rPr>
        <w:t>in</w:t>
      </w:r>
      <w:r w:rsidR="00217F29" w:rsidRPr="007B2E4C">
        <w:rPr>
          <w:szCs w:val="24"/>
        </w:rPr>
        <w:t xml:space="preserve"> FHWA’s TPM Toolbox website (underdevelopment</w:t>
      </w:r>
      <w:r w:rsidR="00A80D9B" w:rsidRPr="007B2E4C">
        <w:rPr>
          <w:szCs w:val="24"/>
        </w:rPr>
        <w:t xml:space="preserve"> at www.tpmtools.org</w:t>
      </w:r>
      <w:r w:rsidR="00217F29" w:rsidRPr="007B2E4C">
        <w:rPr>
          <w:szCs w:val="24"/>
        </w:rPr>
        <w:t xml:space="preserve">). </w:t>
      </w:r>
      <w:r w:rsidR="00661905" w:rsidRPr="007B2E4C">
        <w:rPr>
          <w:szCs w:val="24"/>
        </w:rPr>
        <w:t xml:space="preserve"> An analysis report will summarize the results of the assessment including key findings that can be used to inform the TPM Implementation effort</w:t>
      </w:r>
      <w:r w:rsidR="00E32F02" w:rsidRPr="007B2E4C">
        <w:rPr>
          <w:szCs w:val="24"/>
        </w:rPr>
        <w:t>.  Given that the report audience is internal and external stakeholders, only aggregated information will be included in the assessment report. Reports for individual respondents will</w:t>
      </w:r>
      <w:r w:rsidR="00A80D9B" w:rsidRPr="007B2E4C">
        <w:rPr>
          <w:szCs w:val="24"/>
        </w:rPr>
        <w:t xml:space="preserve"> be</w:t>
      </w:r>
      <w:r w:rsidR="00E32F02" w:rsidRPr="007B2E4C">
        <w:rPr>
          <w:szCs w:val="24"/>
        </w:rPr>
        <w:t xml:space="preserve"> develop</w:t>
      </w:r>
      <w:r w:rsidR="00A80D9B" w:rsidRPr="007B2E4C">
        <w:rPr>
          <w:szCs w:val="24"/>
        </w:rPr>
        <w:t>ed</w:t>
      </w:r>
      <w:r w:rsidR="00E32F02" w:rsidRPr="007B2E4C">
        <w:rPr>
          <w:szCs w:val="24"/>
        </w:rPr>
        <w:t xml:space="preserve"> as needed and shared upon request to those outside of USDOT upon receiving permission from the respondents. </w:t>
      </w:r>
    </w:p>
    <w:p w14:paraId="06BB45B4" w14:textId="77777777" w:rsidR="001D224D" w:rsidRPr="007B2E4C" w:rsidRDefault="001D224D" w:rsidP="000A6210">
      <w:pPr>
        <w:widowControl w:val="0"/>
        <w:tabs>
          <w:tab w:val="left" w:pos="540"/>
        </w:tabs>
        <w:ind w:left="720"/>
        <w:rPr>
          <w:b/>
          <w:szCs w:val="24"/>
        </w:rPr>
      </w:pPr>
    </w:p>
    <w:p w14:paraId="596DAC55" w14:textId="77777777" w:rsidR="001D224D" w:rsidRPr="007B2E4C" w:rsidRDefault="007759D1" w:rsidP="007B68C6">
      <w:pPr>
        <w:widowControl w:val="0"/>
        <w:tabs>
          <w:tab w:val="left" w:pos="540"/>
        </w:tabs>
        <w:rPr>
          <w:b/>
          <w:szCs w:val="24"/>
        </w:rPr>
      </w:pPr>
      <w:r w:rsidRPr="007B2E4C">
        <w:rPr>
          <w:color w:val="FF0000"/>
          <w:szCs w:val="24"/>
        </w:rPr>
        <w:t xml:space="preserve"> </w:t>
      </w:r>
      <w:r w:rsidR="001D224D" w:rsidRPr="007B2E4C">
        <w:rPr>
          <w:b/>
          <w:szCs w:val="24"/>
        </w:rPr>
        <w:t>17.</w:t>
      </w:r>
      <w:r w:rsidR="001D224D" w:rsidRPr="007B2E4C">
        <w:rPr>
          <w:b/>
          <w:szCs w:val="24"/>
        </w:rPr>
        <w:tab/>
      </w:r>
      <w:r w:rsidR="007B68C6" w:rsidRPr="007B2E4C">
        <w:rPr>
          <w:b/>
          <w:szCs w:val="24"/>
          <w:u w:val="single"/>
        </w:rPr>
        <w:t>Approval for not displaying the expiration date of OMB approval</w:t>
      </w:r>
      <w:r w:rsidR="007B68C6" w:rsidRPr="007B2E4C">
        <w:rPr>
          <w:b/>
          <w:szCs w:val="24"/>
        </w:rPr>
        <w:t xml:space="preserve">.  </w:t>
      </w:r>
      <w:r w:rsidRPr="007B2E4C">
        <w:rPr>
          <w:b/>
          <w:szCs w:val="24"/>
        </w:rPr>
        <w:t xml:space="preserve"> </w:t>
      </w:r>
    </w:p>
    <w:p w14:paraId="5F791D95" w14:textId="77777777" w:rsidR="001D224D" w:rsidRPr="007B2E4C" w:rsidRDefault="001D224D" w:rsidP="000A6210">
      <w:pPr>
        <w:widowControl w:val="0"/>
        <w:tabs>
          <w:tab w:val="left" w:pos="540"/>
        </w:tabs>
        <w:rPr>
          <w:b/>
          <w:szCs w:val="24"/>
        </w:rPr>
      </w:pPr>
    </w:p>
    <w:p w14:paraId="4470BBC3" w14:textId="77777777" w:rsidR="007759D1" w:rsidRPr="007B2E4C" w:rsidRDefault="007759D1" w:rsidP="007759D1">
      <w:pPr>
        <w:rPr>
          <w:szCs w:val="24"/>
        </w:rPr>
      </w:pPr>
      <w:r w:rsidRPr="007B2E4C">
        <w:rPr>
          <w:szCs w:val="24"/>
        </w:rPr>
        <w:t>Approval for not displaying the expiration date is not being requested.</w:t>
      </w:r>
    </w:p>
    <w:p w14:paraId="33E0117D" w14:textId="77777777" w:rsidR="007B68C6" w:rsidRPr="007B2E4C" w:rsidRDefault="007B68C6" w:rsidP="000A6210">
      <w:pPr>
        <w:widowControl w:val="0"/>
        <w:tabs>
          <w:tab w:val="left" w:pos="540"/>
        </w:tabs>
        <w:rPr>
          <w:b/>
          <w:szCs w:val="24"/>
        </w:rPr>
      </w:pPr>
    </w:p>
    <w:p w14:paraId="360BC699" w14:textId="77777777" w:rsidR="001D224D" w:rsidRPr="007B2E4C" w:rsidRDefault="007B68C6" w:rsidP="00027217">
      <w:pPr>
        <w:widowControl w:val="0"/>
        <w:numPr>
          <w:ilvl w:val="0"/>
          <w:numId w:val="5"/>
        </w:numPr>
        <w:tabs>
          <w:tab w:val="clear" w:pos="900"/>
          <w:tab w:val="num" w:pos="0"/>
          <w:tab w:val="left" w:pos="540"/>
        </w:tabs>
        <w:ind w:left="0" w:firstLine="0"/>
        <w:rPr>
          <w:b/>
          <w:szCs w:val="24"/>
        </w:rPr>
      </w:pPr>
      <w:r w:rsidRPr="007B2E4C">
        <w:rPr>
          <w:b/>
          <w:szCs w:val="24"/>
          <w:u w:val="single"/>
        </w:rPr>
        <w:t>Exceptions to the certification statement</w:t>
      </w:r>
      <w:r w:rsidRPr="007B2E4C">
        <w:rPr>
          <w:b/>
          <w:szCs w:val="24"/>
        </w:rPr>
        <w:t xml:space="preserve">.  </w:t>
      </w:r>
    </w:p>
    <w:p w14:paraId="7CCE9B6B" w14:textId="77777777" w:rsidR="00671D37" w:rsidRPr="007B2E4C" w:rsidRDefault="00671D37" w:rsidP="00811808">
      <w:pPr>
        <w:widowControl w:val="0"/>
        <w:ind w:left="720"/>
        <w:rPr>
          <w:szCs w:val="24"/>
        </w:rPr>
      </w:pPr>
    </w:p>
    <w:p w14:paraId="25D75CB9" w14:textId="66CF0246" w:rsidR="00E467E3" w:rsidRPr="007B2E4C" w:rsidRDefault="007759D1" w:rsidP="00536D8A">
      <w:pPr>
        <w:rPr>
          <w:szCs w:val="24"/>
        </w:rPr>
      </w:pPr>
      <w:r w:rsidRPr="007B2E4C">
        <w:rPr>
          <w:szCs w:val="24"/>
        </w:rPr>
        <w:t>There are no exceptions to the certification statement for this information collection.</w:t>
      </w:r>
    </w:p>
    <w:sectPr w:rsidR="00E467E3" w:rsidRPr="007B2E4C" w:rsidSect="00502859">
      <w:headerReference w:type="even" r:id="rId19"/>
      <w:headerReference w:type="default" r:id="rId20"/>
      <w:footerReference w:type="even" r:id="rId21"/>
      <w:footerReference w:type="default" r:id="rId22"/>
      <w:footerReference w:type="first" r:id="rId23"/>
      <w:footnotePr>
        <w:numFmt w:val="lowerLetter"/>
      </w:footnotePr>
      <w:endnotePr>
        <w:numFmt w:val="lowerLetter"/>
      </w:endnotePr>
      <w:pgSz w:w="12240" w:h="15840"/>
      <w:pgMar w:top="630" w:right="720" w:bottom="720" w:left="720" w:header="1440" w:footer="79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4B509" w14:textId="77777777" w:rsidR="00680E30" w:rsidRDefault="00680E30">
      <w:r>
        <w:separator/>
      </w:r>
    </w:p>
  </w:endnote>
  <w:endnote w:type="continuationSeparator" w:id="0">
    <w:p w14:paraId="0CE27613" w14:textId="77777777" w:rsidR="00680E30" w:rsidRDefault="0068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70D3" w14:textId="77777777" w:rsidR="00E575D6" w:rsidRDefault="00E575D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034C" w14:textId="77777777" w:rsidR="00E575D6" w:rsidRDefault="00E575D6">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5BA0" w14:textId="7C074BC7" w:rsidR="00502859" w:rsidRDefault="00502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F4A75" w14:textId="77777777" w:rsidR="00680E30" w:rsidRDefault="00680E30">
      <w:r>
        <w:separator/>
      </w:r>
    </w:p>
  </w:footnote>
  <w:footnote w:type="continuationSeparator" w:id="0">
    <w:p w14:paraId="1D72A52A" w14:textId="77777777" w:rsidR="00680E30" w:rsidRDefault="00680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EF52" w14:textId="68F2CBB9" w:rsidR="00E575D6" w:rsidRDefault="00E575D6"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C06">
      <w:rPr>
        <w:rStyle w:val="PageNumber"/>
        <w:noProof/>
      </w:rPr>
      <w:t>2</w:t>
    </w:r>
    <w:r>
      <w:rPr>
        <w:rStyle w:val="PageNumber"/>
      </w:rPr>
      <w:fldChar w:fldCharType="end"/>
    </w:r>
  </w:p>
  <w:p w14:paraId="4D4DD6C8" w14:textId="77777777" w:rsidR="00E575D6" w:rsidRDefault="00E575D6">
    <w:pPr>
      <w:widowControl w:val="0"/>
    </w:pPr>
  </w:p>
  <w:p w14:paraId="3E35A720" w14:textId="77777777" w:rsidR="00E575D6" w:rsidRDefault="00E575D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AE92" w14:textId="77777777" w:rsidR="00E575D6" w:rsidRDefault="00E575D6">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2F32"/>
    <w:multiLevelType w:val="hybridMultilevel"/>
    <w:tmpl w:val="DBD0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FF7A13"/>
    <w:multiLevelType w:val="hybridMultilevel"/>
    <w:tmpl w:val="FB245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851F48"/>
    <w:multiLevelType w:val="hybridMultilevel"/>
    <w:tmpl w:val="B8A414E0"/>
    <w:lvl w:ilvl="0" w:tplc="0BFAD00A">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4">
    <w:nsid w:val="35F64CB7"/>
    <w:multiLevelType w:val="hybridMultilevel"/>
    <w:tmpl w:val="91C4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EE59E4"/>
    <w:multiLevelType w:val="multilevel"/>
    <w:tmpl w:val="97E6D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1D545D"/>
    <w:multiLevelType w:val="hybridMultilevel"/>
    <w:tmpl w:val="2BE20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6600D3"/>
    <w:multiLevelType w:val="hybridMultilevel"/>
    <w:tmpl w:val="AFF4D7C6"/>
    <w:lvl w:ilvl="0" w:tplc="0409001B">
      <w:start w:val="1"/>
      <w:numFmt w:val="lowerRoman"/>
      <w:lvlText w:val="%1."/>
      <w:lvlJc w:val="right"/>
      <w:pPr>
        <w:ind w:left="1644" w:hanging="360"/>
      </w:pPr>
    </w:lvl>
    <w:lvl w:ilvl="1" w:tplc="04090019">
      <w:start w:val="1"/>
      <w:numFmt w:val="lowerLetter"/>
      <w:lvlText w:val="%2."/>
      <w:lvlJc w:val="left"/>
      <w:pPr>
        <w:ind w:left="2364" w:hanging="360"/>
      </w:pPr>
    </w:lvl>
    <w:lvl w:ilvl="2" w:tplc="0409001B">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10"/>
  </w:num>
  <w:num w:numId="2">
    <w:abstractNumId w:val="6"/>
  </w:num>
  <w:num w:numId="3">
    <w:abstractNumId w:val="8"/>
  </w:num>
  <w:num w:numId="4">
    <w:abstractNumId w:val="1"/>
  </w:num>
  <w:num w:numId="5">
    <w:abstractNumId w:val="5"/>
  </w:num>
  <w:num w:numId="6">
    <w:abstractNumId w:val="0"/>
  </w:num>
  <w:num w:numId="7">
    <w:abstractNumId w:val="4"/>
  </w:num>
  <w:num w:numId="8">
    <w:abstractNumId w:val="9"/>
  </w:num>
  <w:num w:numId="9">
    <w:abstractNumId w:val="11"/>
  </w:num>
  <w:num w:numId="10">
    <w:abstractNumId w:val="3"/>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05AC8"/>
    <w:rsid w:val="0001363C"/>
    <w:rsid w:val="00014628"/>
    <w:rsid w:val="00015F6A"/>
    <w:rsid w:val="00016E42"/>
    <w:rsid w:val="00027217"/>
    <w:rsid w:val="000409E2"/>
    <w:rsid w:val="00044C4B"/>
    <w:rsid w:val="00046647"/>
    <w:rsid w:val="00050318"/>
    <w:rsid w:val="000525A0"/>
    <w:rsid w:val="000673B2"/>
    <w:rsid w:val="000736A7"/>
    <w:rsid w:val="000738F3"/>
    <w:rsid w:val="0007609B"/>
    <w:rsid w:val="000773D0"/>
    <w:rsid w:val="00082B4A"/>
    <w:rsid w:val="000836D6"/>
    <w:rsid w:val="00086A03"/>
    <w:rsid w:val="000907D5"/>
    <w:rsid w:val="0009490E"/>
    <w:rsid w:val="000A0277"/>
    <w:rsid w:val="000A6210"/>
    <w:rsid w:val="000A6237"/>
    <w:rsid w:val="000A6651"/>
    <w:rsid w:val="000B3E9A"/>
    <w:rsid w:val="000C5B12"/>
    <w:rsid w:val="000D16E2"/>
    <w:rsid w:val="000D2714"/>
    <w:rsid w:val="000D3A31"/>
    <w:rsid w:val="000D6E91"/>
    <w:rsid w:val="000E0200"/>
    <w:rsid w:val="000E129F"/>
    <w:rsid w:val="000F02F0"/>
    <w:rsid w:val="0010553F"/>
    <w:rsid w:val="00105786"/>
    <w:rsid w:val="00111C90"/>
    <w:rsid w:val="0012012B"/>
    <w:rsid w:val="00125C17"/>
    <w:rsid w:val="00132CD9"/>
    <w:rsid w:val="00134B26"/>
    <w:rsid w:val="00136BCE"/>
    <w:rsid w:val="00142233"/>
    <w:rsid w:val="00143869"/>
    <w:rsid w:val="0014478D"/>
    <w:rsid w:val="00145724"/>
    <w:rsid w:val="00145EE7"/>
    <w:rsid w:val="0015740B"/>
    <w:rsid w:val="001602BD"/>
    <w:rsid w:val="00162850"/>
    <w:rsid w:val="00166914"/>
    <w:rsid w:val="001937B4"/>
    <w:rsid w:val="001A268A"/>
    <w:rsid w:val="001C56C9"/>
    <w:rsid w:val="001D1C24"/>
    <w:rsid w:val="001D21A4"/>
    <w:rsid w:val="001D224D"/>
    <w:rsid w:val="001F5E5D"/>
    <w:rsid w:val="001F680E"/>
    <w:rsid w:val="001F7F63"/>
    <w:rsid w:val="00206491"/>
    <w:rsid w:val="00211A1A"/>
    <w:rsid w:val="00214EA1"/>
    <w:rsid w:val="00216BBD"/>
    <w:rsid w:val="00217F29"/>
    <w:rsid w:val="00220896"/>
    <w:rsid w:val="002231EF"/>
    <w:rsid w:val="00234AF0"/>
    <w:rsid w:val="00243260"/>
    <w:rsid w:val="00250CAF"/>
    <w:rsid w:val="00254AB4"/>
    <w:rsid w:val="00262265"/>
    <w:rsid w:val="0026368B"/>
    <w:rsid w:val="0026419F"/>
    <w:rsid w:val="00271E38"/>
    <w:rsid w:val="002761C0"/>
    <w:rsid w:val="00282AD5"/>
    <w:rsid w:val="00282BA0"/>
    <w:rsid w:val="00282E6B"/>
    <w:rsid w:val="0028302E"/>
    <w:rsid w:val="002843AF"/>
    <w:rsid w:val="00285BC2"/>
    <w:rsid w:val="002874C2"/>
    <w:rsid w:val="00290CB3"/>
    <w:rsid w:val="00291331"/>
    <w:rsid w:val="002929B0"/>
    <w:rsid w:val="002958AA"/>
    <w:rsid w:val="002A1CB8"/>
    <w:rsid w:val="002A4DFE"/>
    <w:rsid w:val="002A5A16"/>
    <w:rsid w:val="002B1289"/>
    <w:rsid w:val="002B54A1"/>
    <w:rsid w:val="002B6B54"/>
    <w:rsid w:val="002C50CB"/>
    <w:rsid w:val="002D0646"/>
    <w:rsid w:val="002D2A3F"/>
    <w:rsid w:val="002E154D"/>
    <w:rsid w:val="002E3119"/>
    <w:rsid w:val="002E6631"/>
    <w:rsid w:val="002F283D"/>
    <w:rsid w:val="003029DB"/>
    <w:rsid w:val="0030347C"/>
    <w:rsid w:val="0030454E"/>
    <w:rsid w:val="0030713B"/>
    <w:rsid w:val="00311384"/>
    <w:rsid w:val="0031139E"/>
    <w:rsid w:val="0031308A"/>
    <w:rsid w:val="00323F3E"/>
    <w:rsid w:val="003340B0"/>
    <w:rsid w:val="00340C51"/>
    <w:rsid w:val="00340FE1"/>
    <w:rsid w:val="00342AD1"/>
    <w:rsid w:val="003520AC"/>
    <w:rsid w:val="003533E1"/>
    <w:rsid w:val="00354869"/>
    <w:rsid w:val="0035553B"/>
    <w:rsid w:val="00364904"/>
    <w:rsid w:val="00366AB0"/>
    <w:rsid w:val="00366EDD"/>
    <w:rsid w:val="003825DD"/>
    <w:rsid w:val="00383C3D"/>
    <w:rsid w:val="003848F8"/>
    <w:rsid w:val="00385DEC"/>
    <w:rsid w:val="0039412D"/>
    <w:rsid w:val="0039436D"/>
    <w:rsid w:val="00397165"/>
    <w:rsid w:val="00397F24"/>
    <w:rsid w:val="003F21BC"/>
    <w:rsid w:val="003F7601"/>
    <w:rsid w:val="00400889"/>
    <w:rsid w:val="004072DB"/>
    <w:rsid w:val="00412866"/>
    <w:rsid w:val="00414833"/>
    <w:rsid w:val="0042768F"/>
    <w:rsid w:val="00427866"/>
    <w:rsid w:val="00431B7C"/>
    <w:rsid w:val="00436CC2"/>
    <w:rsid w:val="00446964"/>
    <w:rsid w:val="00447874"/>
    <w:rsid w:val="00447A44"/>
    <w:rsid w:val="004547EA"/>
    <w:rsid w:val="00463C8A"/>
    <w:rsid w:val="004722AC"/>
    <w:rsid w:val="0048262A"/>
    <w:rsid w:val="0048271C"/>
    <w:rsid w:val="004845F1"/>
    <w:rsid w:val="00490FF0"/>
    <w:rsid w:val="00492398"/>
    <w:rsid w:val="004A0CCD"/>
    <w:rsid w:val="004A133B"/>
    <w:rsid w:val="004A2D90"/>
    <w:rsid w:val="004B0581"/>
    <w:rsid w:val="004B41D5"/>
    <w:rsid w:val="004C5215"/>
    <w:rsid w:val="004C5C06"/>
    <w:rsid w:val="004D1083"/>
    <w:rsid w:val="004D1AA9"/>
    <w:rsid w:val="004D7BD3"/>
    <w:rsid w:val="004E0A52"/>
    <w:rsid w:val="004E26A0"/>
    <w:rsid w:val="004F164A"/>
    <w:rsid w:val="004F2288"/>
    <w:rsid w:val="004F248A"/>
    <w:rsid w:val="004F6075"/>
    <w:rsid w:val="005024B4"/>
    <w:rsid w:val="00502859"/>
    <w:rsid w:val="00503686"/>
    <w:rsid w:val="00507C0F"/>
    <w:rsid w:val="00510A26"/>
    <w:rsid w:val="005150DF"/>
    <w:rsid w:val="00515209"/>
    <w:rsid w:val="00517784"/>
    <w:rsid w:val="00520F03"/>
    <w:rsid w:val="00521940"/>
    <w:rsid w:val="00525138"/>
    <w:rsid w:val="0052547C"/>
    <w:rsid w:val="0053423B"/>
    <w:rsid w:val="00535F6A"/>
    <w:rsid w:val="00536D8A"/>
    <w:rsid w:val="00542E46"/>
    <w:rsid w:val="005432AF"/>
    <w:rsid w:val="0055023E"/>
    <w:rsid w:val="00554A13"/>
    <w:rsid w:val="0056076A"/>
    <w:rsid w:val="00561E7E"/>
    <w:rsid w:val="00571076"/>
    <w:rsid w:val="005747D5"/>
    <w:rsid w:val="00576631"/>
    <w:rsid w:val="00581334"/>
    <w:rsid w:val="0058459E"/>
    <w:rsid w:val="00591081"/>
    <w:rsid w:val="00594053"/>
    <w:rsid w:val="005A0377"/>
    <w:rsid w:val="005A5526"/>
    <w:rsid w:val="005B0506"/>
    <w:rsid w:val="005C1E2C"/>
    <w:rsid w:val="005E0EDE"/>
    <w:rsid w:val="005E3952"/>
    <w:rsid w:val="005F0AE8"/>
    <w:rsid w:val="005F422D"/>
    <w:rsid w:val="00602613"/>
    <w:rsid w:val="00606852"/>
    <w:rsid w:val="00607316"/>
    <w:rsid w:val="00620F79"/>
    <w:rsid w:val="00624048"/>
    <w:rsid w:val="006306BD"/>
    <w:rsid w:val="00636AA0"/>
    <w:rsid w:val="0064519E"/>
    <w:rsid w:val="0064782C"/>
    <w:rsid w:val="00647958"/>
    <w:rsid w:val="0065710F"/>
    <w:rsid w:val="00661905"/>
    <w:rsid w:val="00662FEA"/>
    <w:rsid w:val="00671D37"/>
    <w:rsid w:val="00680E30"/>
    <w:rsid w:val="00681E37"/>
    <w:rsid w:val="0068484D"/>
    <w:rsid w:val="00687C73"/>
    <w:rsid w:val="00687F9A"/>
    <w:rsid w:val="00691922"/>
    <w:rsid w:val="0069242A"/>
    <w:rsid w:val="00693C31"/>
    <w:rsid w:val="006A0320"/>
    <w:rsid w:val="006B5210"/>
    <w:rsid w:val="006B749B"/>
    <w:rsid w:val="006C0638"/>
    <w:rsid w:val="006C1DBB"/>
    <w:rsid w:val="006D527E"/>
    <w:rsid w:val="006F30E9"/>
    <w:rsid w:val="007078AE"/>
    <w:rsid w:val="0071038A"/>
    <w:rsid w:val="00720D5B"/>
    <w:rsid w:val="007211A6"/>
    <w:rsid w:val="0072371F"/>
    <w:rsid w:val="00724627"/>
    <w:rsid w:val="00730606"/>
    <w:rsid w:val="007310A2"/>
    <w:rsid w:val="00731CCC"/>
    <w:rsid w:val="00731F93"/>
    <w:rsid w:val="00733E58"/>
    <w:rsid w:val="00743112"/>
    <w:rsid w:val="00747FDA"/>
    <w:rsid w:val="00752227"/>
    <w:rsid w:val="00763417"/>
    <w:rsid w:val="007666F7"/>
    <w:rsid w:val="007759D1"/>
    <w:rsid w:val="0078271D"/>
    <w:rsid w:val="00785360"/>
    <w:rsid w:val="00786565"/>
    <w:rsid w:val="00787F4D"/>
    <w:rsid w:val="00791079"/>
    <w:rsid w:val="007975AF"/>
    <w:rsid w:val="007A0E8B"/>
    <w:rsid w:val="007A11F2"/>
    <w:rsid w:val="007A2754"/>
    <w:rsid w:val="007B2E4C"/>
    <w:rsid w:val="007B3022"/>
    <w:rsid w:val="007B6267"/>
    <w:rsid w:val="007B68C6"/>
    <w:rsid w:val="007C2F1C"/>
    <w:rsid w:val="007D7EDD"/>
    <w:rsid w:val="007E0401"/>
    <w:rsid w:val="007E2D7F"/>
    <w:rsid w:val="007E7F05"/>
    <w:rsid w:val="007F19C7"/>
    <w:rsid w:val="0080049A"/>
    <w:rsid w:val="00802D6E"/>
    <w:rsid w:val="0080405D"/>
    <w:rsid w:val="00811808"/>
    <w:rsid w:val="00824623"/>
    <w:rsid w:val="00827A2E"/>
    <w:rsid w:val="00843930"/>
    <w:rsid w:val="00844005"/>
    <w:rsid w:val="00861A16"/>
    <w:rsid w:val="0086678B"/>
    <w:rsid w:val="00871DB9"/>
    <w:rsid w:val="008760B3"/>
    <w:rsid w:val="00884CD2"/>
    <w:rsid w:val="008870E3"/>
    <w:rsid w:val="008B1820"/>
    <w:rsid w:val="008B5371"/>
    <w:rsid w:val="008D6927"/>
    <w:rsid w:val="008E62AF"/>
    <w:rsid w:val="009038BD"/>
    <w:rsid w:val="009056D7"/>
    <w:rsid w:val="00910FC7"/>
    <w:rsid w:val="00912BA0"/>
    <w:rsid w:val="009131C5"/>
    <w:rsid w:val="0093512C"/>
    <w:rsid w:val="00936CC3"/>
    <w:rsid w:val="00936FE9"/>
    <w:rsid w:val="0094084B"/>
    <w:rsid w:val="0094388C"/>
    <w:rsid w:val="00946FB5"/>
    <w:rsid w:val="00954038"/>
    <w:rsid w:val="009544FB"/>
    <w:rsid w:val="00961EE9"/>
    <w:rsid w:val="00970D00"/>
    <w:rsid w:val="00977EE8"/>
    <w:rsid w:val="00981917"/>
    <w:rsid w:val="009857FB"/>
    <w:rsid w:val="00990FC4"/>
    <w:rsid w:val="00991AD2"/>
    <w:rsid w:val="00993884"/>
    <w:rsid w:val="00997784"/>
    <w:rsid w:val="00997834"/>
    <w:rsid w:val="009A3299"/>
    <w:rsid w:val="009B15A7"/>
    <w:rsid w:val="009B26F4"/>
    <w:rsid w:val="009B2BA9"/>
    <w:rsid w:val="009B3673"/>
    <w:rsid w:val="009B37F9"/>
    <w:rsid w:val="009C2178"/>
    <w:rsid w:val="009C7C41"/>
    <w:rsid w:val="009D030B"/>
    <w:rsid w:val="009D7683"/>
    <w:rsid w:val="009E1D59"/>
    <w:rsid w:val="009E26B1"/>
    <w:rsid w:val="009E2B72"/>
    <w:rsid w:val="009E49DB"/>
    <w:rsid w:val="009E4A89"/>
    <w:rsid w:val="009F3D0A"/>
    <w:rsid w:val="00A1037E"/>
    <w:rsid w:val="00A148D1"/>
    <w:rsid w:val="00A32459"/>
    <w:rsid w:val="00A32E48"/>
    <w:rsid w:val="00A3435C"/>
    <w:rsid w:val="00A37A22"/>
    <w:rsid w:val="00A40753"/>
    <w:rsid w:val="00A45FCC"/>
    <w:rsid w:val="00A46ADB"/>
    <w:rsid w:val="00A61F4F"/>
    <w:rsid w:val="00A71EC0"/>
    <w:rsid w:val="00A75487"/>
    <w:rsid w:val="00A80D9B"/>
    <w:rsid w:val="00A81529"/>
    <w:rsid w:val="00A86046"/>
    <w:rsid w:val="00AA1704"/>
    <w:rsid w:val="00AA2D42"/>
    <w:rsid w:val="00AB5155"/>
    <w:rsid w:val="00AB7AC4"/>
    <w:rsid w:val="00AC512B"/>
    <w:rsid w:val="00AD05BD"/>
    <w:rsid w:val="00AD24E5"/>
    <w:rsid w:val="00AE19BD"/>
    <w:rsid w:val="00AF0344"/>
    <w:rsid w:val="00AF2582"/>
    <w:rsid w:val="00AF7D52"/>
    <w:rsid w:val="00B029B8"/>
    <w:rsid w:val="00B0326B"/>
    <w:rsid w:val="00B0481D"/>
    <w:rsid w:val="00B06DFA"/>
    <w:rsid w:val="00B114B5"/>
    <w:rsid w:val="00B11502"/>
    <w:rsid w:val="00B15410"/>
    <w:rsid w:val="00B15EA9"/>
    <w:rsid w:val="00B16435"/>
    <w:rsid w:val="00B16A3B"/>
    <w:rsid w:val="00B2436D"/>
    <w:rsid w:val="00B34D95"/>
    <w:rsid w:val="00B40E11"/>
    <w:rsid w:val="00B623C2"/>
    <w:rsid w:val="00B6362D"/>
    <w:rsid w:val="00B65DCC"/>
    <w:rsid w:val="00B67CA5"/>
    <w:rsid w:val="00B9721F"/>
    <w:rsid w:val="00B97699"/>
    <w:rsid w:val="00BA457D"/>
    <w:rsid w:val="00BA5F1A"/>
    <w:rsid w:val="00BB1A46"/>
    <w:rsid w:val="00BD65CD"/>
    <w:rsid w:val="00BD7C75"/>
    <w:rsid w:val="00BE2C8F"/>
    <w:rsid w:val="00BF16E9"/>
    <w:rsid w:val="00C0163B"/>
    <w:rsid w:val="00C03498"/>
    <w:rsid w:val="00C2648A"/>
    <w:rsid w:val="00C314A7"/>
    <w:rsid w:val="00C32B31"/>
    <w:rsid w:val="00C3484D"/>
    <w:rsid w:val="00C37979"/>
    <w:rsid w:val="00C41424"/>
    <w:rsid w:val="00C433E6"/>
    <w:rsid w:val="00C50B19"/>
    <w:rsid w:val="00C50BFC"/>
    <w:rsid w:val="00C52453"/>
    <w:rsid w:val="00C5366F"/>
    <w:rsid w:val="00C56F3F"/>
    <w:rsid w:val="00C65AE6"/>
    <w:rsid w:val="00C67722"/>
    <w:rsid w:val="00C71187"/>
    <w:rsid w:val="00C8096E"/>
    <w:rsid w:val="00C861B2"/>
    <w:rsid w:val="00C95090"/>
    <w:rsid w:val="00CA2F7A"/>
    <w:rsid w:val="00CA2F8F"/>
    <w:rsid w:val="00CA5901"/>
    <w:rsid w:val="00CB1903"/>
    <w:rsid w:val="00CB1F75"/>
    <w:rsid w:val="00CB30D6"/>
    <w:rsid w:val="00CC4C8E"/>
    <w:rsid w:val="00CE14A5"/>
    <w:rsid w:val="00CE48C3"/>
    <w:rsid w:val="00CE7782"/>
    <w:rsid w:val="00CF168D"/>
    <w:rsid w:val="00CF325B"/>
    <w:rsid w:val="00CF4CB1"/>
    <w:rsid w:val="00D05F3A"/>
    <w:rsid w:val="00D06745"/>
    <w:rsid w:val="00D14093"/>
    <w:rsid w:val="00D1476A"/>
    <w:rsid w:val="00D16243"/>
    <w:rsid w:val="00D214A4"/>
    <w:rsid w:val="00D25907"/>
    <w:rsid w:val="00D25987"/>
    <w:rsid w:val="00D37B6D"/>
    <w:rsid w:val="00D404C6"/>
    <w:rsid w:val="00D50419"/>
    <w:rsid w:val="00D51244"/>
    <w:rsid w:val="00D546F8"/>
    <w:rsid w:val="00D55503"/>
    <w:rsid w:val="00D7060E"/>
    <w:rsid w:val="00D75901"/>
    <w:rsid w:val="00D759FC"/>
    <w:rsid w:val="00DA1B86"/>
    <w:rsid w:val="00DA2E75"/>
    <w:rsid w:val="00DA71F7"/>
    <w:rsid w:val="00DB4683"/>
    <w:rsid w:val="00DB6B96"/>
    <w:rsid w:val="00DB6E97"/>
    <w:rsid w:val="00DC0105"/>
    <w:rsid w:val="00DC04EE"/>
    <w:rsid w:val="00DE110A"/>
    <w:rsid w:val="00DE2E07"/>
    <w:rsid w:val="00DE3587"/>
    <w:rsid w:val="00DE3BB2"/>
    <w:rsid w:val="00E03924"/>
    <w:rsid w:val="00E05B44"/>
    <w:rsid w:val="00E07CCF"/>
    <w:rsid w:val="00E11316"/>
    <w:rsid w:val="00E15198"/>
    <w:rsid w:val="00E16B93"/>
    <w:rsid w:val="00E25C4A"/>
    <w:rsid w:val="00E26EDA"/>
    <w:rsid w:val="00E27B6B"/>
    <w:rsid w:val="00E31627"/>
    <w:rsid w:val="00E32F02"/>
    <w:rsid w:val="00E35C6E"/>
    <w:rsid w:val="00E3745C"/>
    <w:rsid w:val="00E37575"/>
    <w:rsid w:val="00E459F0"/>
    <w:rsid w:val="00E467E3"/>
    <w:rsid w:val="00E50617"/>
    <w:rsid w:val="00E50DA4"/>
    <w:rsid w:val="00E575D6"/>
    <w:rsid w:val="00E66A09"/>
    <w:rsid w:val="00E67ED3"/>
    <w:rsid w:val="00E76DB5"/>
    <w:rsid w:val="00EA0394"/>
    <w:rsid w:val="00EA4541"/>
    <w:rsid w:val="00EA591D"/>
    <w:rsid w:val="00EA7689"/>
    <w:rsid w:val="00EB4240"/>
    <w:rsid w:val="00EB5BD9"/>
    <w:rsid w:val="00EC23D6"/>
    <w:rsid w:val="00EC7D44"/>
    <w:rsid w:val="00ED24F2"/>
    <w:rsid w:val="00ED2FEB"/>
    <w:rsid w:val="00ED4F84"/>
    <w:rsid w:val="00EE1E06"/>
    <w:rsid w:val="00EE490C"/>
    <w:rsid w:val="00EE5390"/>
    <w:rsid w:val="00EE6BBC"/>
    <w:rsid w:val="00EF15B3"/>
    <w:rsid w:val="00EF35BB"/>
    <w:rsid w:val="00EF4FFB"/>
    <w:rsid w:val="00F03BBF"/>
    <w:rsid w:val="00F10964"/>
    <w:rsid w:val="00F12098"/>
    <w:rsid w:val="00F1338F"/>
    <w:rsid w:val="00F138FF"/>
    <w:rsid w:val="00F31288"/>
    <w:rsid w:val="00F415DF"/>
    <w:rsid w:val="00F422CF"/>
    <w:rsid w:val="00F42E08"/>
    <w:rsid w:val="00F45141"/>
    <w:rsid w:val="00F45271"/>
    <w:rsid w:val="00F4544F"/>
    <w:rsid w:val="00F45A57"/>
    <w:rsid w:val="00F57B41"/>
    <w:rsid w:val="00F62F1E"/>
    <w:rsid w:val="00F64012"/>
    <w:rsid w:val="00F67DF6"/>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FB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0B3E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467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9242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924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 w:type="character" w:styleId="Hyperlink">
    <w:name w:val="Hyperlink"/>
    <w:uiPriority w:val="99"/>
    <w:unhideWhenUsed/>
    <w:rsid w:val="000B3E9A"/>
    <w:rPr>
      <w:color w:val="0000FF"/>
      <w:u w:val="single"/>
    </w:rPr>
  </w:style>
  <w:style w:type="character" w:customStyle="1" w:styleId="ListParagraphChar">
    <w:name w:val="List Paragraph Char"/>
    <w:link w:val="ListParagraph"/>
    <w:uiPriority w:val="34"/>
    <w:locked/>
    <w:rsid w:val="000B3E9A"/>
    <w:rPr>
      <w:rFonts w:ascii="Calibri" w:eastAsia="Calibri" w:hAnsi="Calibri"/>
      <w:sz w:val="22"/>
      <w:szCs w:val="22"/>
    </w:rPr>
  </w:style>
  <w:style w:type="paragraph" w:styleId="ListParagraph">
    <w:name w:val="List Paragraph"/>
    <w:basedOn w:val="Normal"/>
    <w:link w:val="ListParagraphChar"/>
    <w:uiPriority w:val="34"/>
    <w:qFormat/>
    <w:rsid w:val="000B3E9A"/>
    <w:pPr>
      <w:spacing w:after="200" w:line="276" w:lineRule="auto"/>
      <w:ind w:left="720"/>
      <w:contextualSpacing/>
    </w:pPr>
    <w:rPr>
      <w:rFonts w:ascii="Calibri" w:eastAsia="Calibri" w:hAnsi="Calibri"/>
      <w:sz w:val="22"/>
      <w:szCs w:val="22"/>
    </w:rPr>
  </w:style>
  <w:style w:type="paragraph" w:customStyle="1" w:styleId="rsgBody">
    <w:name w:val="+rsg_Body"/>
    <w:uiPriority w:val="99"/>
    <w:rsid w:val="000B3E9A"/>
    <w:pPr>
      <w:spacing w:before="120" w:line="240" w:lineRule="atLeast"/>
    </w:pPr>
    <w:rPr>
      <w:rFonts w:ascii="Cambria" w:hAnsi="Cambria"/>
      <w:sz w:val="22"/>
      <w:szCs w:val="24"/>
    </w:rPr>
  </w:style>
  <w:style w:type="paragraph" w:customStyle="1" w:styleId="rfpBody">
    <w:name w:val="+rfp_Body"/>
    <w:rsid w:val="000B3E9A"/>
    <w:pPr>
      <w:suppressAutoHyphens/>
      <w:spacing w:before="120" w:line="240" w:lineRule="atLeast"/>
    </w:pPr>
    <w:rPr>
      <w:rFonts w:ascii="Cambria" w:hAnsi="Cambria"/>
      <w:sz w:val="24"/>
      <w:szCs w:val="24"/>
    </w:rPr>
  </w:style>
  <w:style w:type="character" w:customStyle="1" w:styleId="Heading1Char">
    <w:name w:val="Heading 1 Char"/>
    <w:link w:val="Heading1"/>
    <w:rsid w:val="000B3E9A"/>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69242A"/>
    <w:rPr>
      <w:rFonts w:ascii="Calibri" w:eastAsia="Calibri" w:hAnsi="Calibri"/>
      <w:sz w:val="20"/>
    </w:rPr>
  </w:style>
  <w:style w:type="character" w:customStyle="1" w:styleId="FootnoteTextChar">
    <w:name w:val="Footnote Text Char"/>
    <w:link w:val="FootnoteText"/>
    <w:uiPriority w:val="99"/>
    <w:rsid w:val="0069242A"/>
    <w:rPr>
      <w:rFonts w:ascii="Calibri" w:eastAsia="Calibri" w:hAnsi="Calibri"/>
    </w:rPr>
  </w:style>
  <w:style w:type="character" w:styleId="FootnoteReference">
    <w:name w:val="footnote reference"/>
    <w:uiPriority w:val="99"/>
    <w:unhideWhenUsed/>
    <w:rsid w:val="0069242A"/>
  </w:style>
  <w:style w:type="character" w:customStyle="1" w:styleId="Heading4Char">
    <w:name w:val="Heading 4 Char"/>
    <w:link w:val="Heading4"/>
    <w:semiHidden/>
    <w:rsid w:val="0069242A"/>
    <w:rPr>
      <w:rFonts w:ascii="Calibri" w:eastAsia="Times New Roman" w:hAnsi="Calibri" w:cs="Times New Roman"/>
      <w:b/>
      <w:bCs/>
      <w:sz w:val="28"/>
      <w:szCs w:val="28"/>
    </w:rPr>
  </w:style>
  <w:style w:type="character" w:customStyle="1" w:styleId="Heading3Char">
    <w:name w:val="Heading 3 Char"/>
    <w:link w:val="Heading3"/>
    <w:uiPriority w:val="9"/>
    <w:semiHidden/>
    <w:rsid w:val="0069242A"/>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69242A"/>
    <w:pPr>
      <w:spacing w:after="200"/>
    </w:pPr>
    <w:rPr>
      <w:rFonts w:ascii="Calibri" w:eastAsia="Calibri" w:hAnsi="Calibri"/>
      <w:sz w:val="20"/>
    </w:rPr>
  </w:style>
  <w:style w:type="character" w:customStyle="1" w:styleId="CommentTextChar">
    <w:name w:val="Comment Text Char"/>
    <w:link w:val="CommentText"/>
    <w:uiPriority w:val="99"/>
    <w:rsid w:val="0069242A"/>
    <w:rPr>
      <w:rFonts w:ascii="Calibri" w:eastAsia="Calibri" w:hAnsi="Calibri"/>
    </w:rPr>
  </w:style>
  <w:style w:type="character" w:styleId="CommentReference">
    <w:name w:val="annotation reference"/>
    <w:uiPriority w:val="99"/>
    <w:unhideWhenUsed/>
    <w:rsid w:val="0069242A"/>
    <w:rPr>
      <w:sz w:val="16"/>
      <w:szCs w:val="16"/>
    </w:rPr>
  </w:style>
  <w:style w:type="character" w:customStyle="1" w:styleId="Heading2Char">
    <w:name w:val="Heading 2 Char"/>
    <w:link w:val="Heading2"/>
    <w:semiHidden/>
    <w:rsid w:val="00E467E3"/>
    <w:rPr>
      <w:rFonts w:ascii="Cambria" w:eastAsia="Times New Roman" w:hAnsi="Cambria" w:cs="Times New Roman"/>
      <w:b/>
      <w:bCs/>
      <w:i/>
      <w:iCs/>
      <w:sz w:val="28"/>
      <w:szCs w:val="28"/>
    </w:rPr>
  </w:style>
  <w:style w:type="character" w:customStyle="1" w:styleId="FooterChar">
    <w:name w:val="Footer Char"/>
    <w:link w:val="Footer"/>
    <w:uiPriority w:val="99"/>
    <w:rsid w:val="007B2E4C"/>
    <w:rPr>
      <w:sz w:val="24"/>
    </w:rPr>
  </w:style>
  <w:style w:type="paragraph" w:styleId="CommentSubject">
    <w:name w:val="annotation subject"/>
    <w:basedOn w:val="CommentText"/>
    <w:next w:val="CommentText"/>
    <w:link w:val="CommentSubjectChar"/>
    <w:semiHidden/>
    <w:unhideWhenUsed/>
    <w:rsid w:val="00F640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F64012"/>
    <w:rPr>
      <w:rFonts w:ascii="Calibri" w:eastAsia="Calibri" w:hAnsi="Calibri"/>
      <w:b/>
      <w:bCs/>
    </w:rPr>
  </w:style>
  <w:style w:type="character" w:customStyle="1" w:styleId="Mention">
    <w:name w:val="Mention"/>
    <w:basedOn w:val="DefaultParagraphFont"/>
    <w:uiPriority w:val="99"/>
    <w:semiHidden/>
    <w:unhideWhenUsed/>
    <w:rsid w:val="0005031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0B3E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467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9242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924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 w:type="character" w:styleId="Hyperlink">
    <w:name w:val="Hyperlink"/>
    <w:uiPriority w:val="99"/>
    <w:unhideWhenUsed/>
    <w:rsid w:val="000B3E9A"/>
    <w:rPr>
      <w:color w:val="0000FF"/>
      <w:u w:val="single"/>
    </w:rPr>
  </w:style>
  <w:style w:type="character" w:customStyle="1" w:styleId="ListParagraphChar">
    <w:name w:val="List Paragraph Char"/>
    <w:link w:val="ListParagraph"/>
    <w:uiPriority w:val="34"/>
    <w:locked/>
    <w:rsid w:val="000B3E9A"/>
    <w:rPr>
      <w:rFonts w:ascii="Calibri" w:eastAsia="Calibri" w:hAnsi="Calibri"/>
      <w:sz w:val="22"/>
      <w:szCs w:val="22"/>
    </w:rPr>
  </w:style>
  <w:style w:type="paragraph" w:styleId="ListParagraph">
    <w:name w:val="List Paragraph"/>
    <w:basedOn w:val="Normal"/>
    <w:link w:val="ListParagraphChar"/>
    <w:uiPriority w:val="34"/>
    <w:qFormat/>
    <w:rsid w:val="000B3E9A"/>
    <w:pPr>
      <w:spacing w:after="200" w:line="276" w:lineRule="auto"/>
      <w:ind w:left="720"/>
      <w:contextualSpacing/>
    </w:pPr>
    <w:rPr>
      <w:rFonts w:ascii="Calibri" w:eastAsia="Calibri" w:hAnsi="Calibri"/>
      <w:sz w:val="22"/>
      <w:szCs w:val="22"/>
    </w:rPr>
  </w:style>
  <w:style w:type="paragraph" w:customStyle="1" w:styleId="rsgBody">
    <w:name w:val="+rsg_Body"/>
    <w:uiPriority w:val="99"/>
    <w:rsid w:val="000B3E9A"/>
    <w:pPr>
      <w:spacing w:before="120" w:line="240" w:lineRule="atLeast"/>
    </w:pPr>
    <w:rPr>
      <w:rFonts w:ascii="Cambria" w:hAnsi="Cambria"/>
      <w:sz w:val="22"/>
      <w:szCs w:val="24"/>
    </w:rPr>
  </w:style>
  <w:style w:type="paragraph" w:customStyle="1" w:styleId="rfpBody">
    <w:name w:val="+rfp_Body"/>
    <w:rsid w:val="000B3E9A"/>
    <w:pPr>
      <w:suppressAutoHyphens/>
      <w:spacing w:before="120" w:line="240" w:lineRule="atLeast"/>
    </w:pPr>
    <w:rPr>
      <w:rFonts w:ascii="Cambria" w:hAnsi="Cambria"/>
      <w:sz w:val="24"/>
      <w:szCs w:val="24"/>
    </w:rPr>
  </w:style>
  <w:style w:type="character" w:customStyle="1" w:styleId="Heading1Char">
    <w:name w:val="Heading 1 Char"/>
    <w:link w:val="Heading1"/>
    <w:rsid w:val="000B3E9A"/>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69242A"/>
    <w:rPr>
      <w:rFonts w:ascii="Calibri" w:eastAsia="Calibri" w:hAnsi="Calibri"/>
      <w:sz w:val="20"/>
    </w:rPr>
  </w:style>
  <w:style w:type="character" w:customStyle="1" w:styleId="FootnoteTextChar">
    <w:name w:val="Footnote Text Char"/>
    <w:link w:val="FootnoteText"/>
    <w:uiPriority w:val="99"/>
    <w:rsid w:val="0069242A"/>
    <w:rPr>
      <w:rFonts w:ascii="Calibri" w:eastAsia="Calibri" w:hAnsi="Calibri"/>
    </w:rPr>
  </w:style>
  <w:style w:type="character" w:styleId="FootnoteReference">
    <w:name w:val="footnote reference"/>
    <w:uiPriority w:val="99"/>
    <w:unhideWhenUsed/>
    <w:rsid w:val="0069242A"/>
  </w:style>
  <w:style w:type="character" w:customStyle="1" w:styleId="Heading4Char">
    <w:name w:val="Heading 4 Char"/>
    <w:link w:val="Heading4"/>
    <w:semiHidden/>
    <w:rsid w:val="0069242A"/>
    <w:rPr>
      <w:rFonts w:ascii="Calibri" w:eastAsia="Times New Roman" w:hAnsi="Calibri" w:cs="Times New Roman"/>
      <w:b/>
      <w:bCs/>
      <w:sz w:val="28"/>
      <w:szCs w:val="28"/>
    </w:rPr>
  </w:style>
  <w:style w:type="character" w:customStyle="1" w:styleId="Heading3Char">
    <w:name w:val="Heading 3 Char"/>
    <w:link w:val="Heading3"/>
    <w:uiPriority w:val="9"/>
    <w:semiHidden/>
    <w:rsid w:val="0069242A"/>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69242A"/>
    <w:pPr>
      <w:spacing w:after="200"/>
    </w:pPr>
    <w:rPr>
      <w:rFonts w:ascii="Calibri" w:eastAsia="Calibri" w:hAnsi="Calibri"/>
      <w:sz w:val="20"/>
    </w:rPr>
  </w:style>
  <w:style w:type="character" w:customStyle="1" w:styleId="CommentTextChar">
    <w:name w:val="Comment Text Char"/>
    <w:link w:val="CommentText"/>
    <w:uiPriority w:val="99"/>
    <w:rsid w:val="0069242A"/>
    <w:rPr>
      <w:rFonts w:ascii="Calibri" w:eastAsia="Calibri" w:hAnsi="Calibri"/>
    </w:rPr>
  </w:style>
  <w:style w:type="character" w:styleId="CommentReference">
    <w:name w:val="annotation reference"/>
    <w:uiPriority w:val="99"/>
    <w:unhideWhenUsed/>
    <w:rsid w:val="0069242A"/>
    <w:rPr>
      <w:sz w:val="16"/>
      <w:szCs w:val="16"/>
    </w:rPr>
  </w:style>
  <w:style w:type="character" w:customStyle="1" w:styleId="Heading2Char">
    <w:name w:val="Heading 2 Char"/>
    <w:link w:val="Heading2"/>
    <w:semiHidden/>
    <w:rsid w:val="00E467E3"/>
    <w:rPr>
      <w:rFonts w:ascii="Cambria" w:eastAsia="Times New Roman" w:hAnsi="Cambria" w:cs="Times New Roman"/>
      <w:b/>
      <w:bCs/>
      <w:i/>
      <w:iCs/>
      <w:sz w:val="28"/>
      <w:szCs w:val="28"/>
    </w:rPr>
  </w:style>
  <w:style w:type="character" w:customStyle="1" w:styleId="FooterChar">
    <w:name w:val="Footer Char"/>
    <w:link w:val="Footer"/>
    <w:uiPriority w:val="99"/>
    <w:rsid w:val="007B2E4C"/>
    <w:rPr>
      <w:sz w:val="24"/>
    </w:rPr>
  </w:style>
  <w:style w:type="paragraph" w:styleId="CommentSubject">
    <w:name w:val="annotation subject"/>
    <w:basedOn w:val="CommentText"/>
    <w:next w:val="CommentText"/>
    <w:link w:val="CommentSubjectChar"/>
    <w:semiHidden/>
    <w:unhideWhenUsed/>
    <w:rsid w:val="00F640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F64012"/>
    <w:rPr>
      <w:rFonts w:ascii="Calibri" w:eastAsia="Calibri" w:hAnsi="Calibri"/>
      <w:b/>
      <w:bCs/>
    </w:rPr>
  </w:style>
  <w:style w:type="character" w:customStyle="1" w:styleId="Mention">
    <w:name w:val="Mention"/>
    <w:basedOn w:val="DefaultParagraphFont"/>
    <w:uiPriority w:val="99"/>
    <w:semiHidden/>
    <w:unhideWhenUsed/>
    <w:rsid w:val="000503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656">
      <w:bodyDiv w:val="1"/>
      <w:marLeft w:val="0"/>
      <w:marRight w:val="0"/>
      <w:marTop w:val="0"/>
      <w:marBottom w:val="0"/>
      <w:divBdr>
        <w:top w:val="none" w:sz="0" w:space="0" w:color="auto"/>
        <w:left w:val="none" w:sz="0" w:space="0" w:color="auto"/>
        <w:bottom w:val="none" w:sz="0" w:space="0" w:color="auto"/>
        <w:right w:val="none" w:sz="0" w:space="0" w:color="auto"/>
      </w:divBdr>
    </w:div>
    <w:div w:id="148718043">
      <w:bodyDiv w:val="1"/>
      <w:marLeft w:val="0"/>
      <w:marRight w:val="0"/>
      <w:marTop w:val="0"/>
      <w:marBottom w:val="0"/>
      <w:divBdr>
        <w:top w:val="none" w:sz="0" w:space="0" w:color="auto"/>
        <w:left w:val="none" w:sz="0" w:space="0" w:color="auto"/>
        <w:bottom w:val="none" w:sz="0" w:space="0" w:color="auto"/>
        <w:right w:val="none" w:sz="0" w:space="0" w:color="auto"/>
      </w:divBdr>
    </w:div>
    <w:div w:id="180516495">
      <w:bodyDiv w:val="1"/>
      <w:marLeft w:val="0"/>
      <w:marRight w:val="0"/>
      <w:marTop w:val="0"/>
      <w:marBottom w:val="0"/>
      <w:divBdr>
        <w:top w:val="none" w:sz="0" w:space="0" w:color="auto"/>
        <w:left w:val="none" w:sz="0" w:space="0" w:color="auto"/>
        <w:bottom w:val="none" w:sz="0" w:space="0" w:color="auto"/>
        <w:right w:val="none" w:sz="0" w:space="0" w:color="auto"/>
      </w:divBdr>
    </w:div>
    <w:div w:id="286084277">
      <w:bodyDiv w:val="1"/>
      <w:marLeft w:val="0"/>
      <w:marRight w:val="0"/>
      <w:marTop w:val="0"/>
      <w:marBottom w:val="0"/>
      <w:divBdr>
        <w:top w:val="none" w:sz="0" w:space="0" w:color="auto"/>
        <w:left w:val="none" w:sz="0" w:space="0" w:color="auto"/>
        <w:bottom w:val="none" w:sz="0" w:space="0" w:color="auto"/>
        <w:right w:val="none" w:sz="0" w:space="0" w:color="auto"/>
      </w:divBdr>
    </w:div>
    <w:div w:id="525339000">
      <w:bodyDiv w:val="1"/>
      <w:marLeft w:val="0"/>
      <w:marRight w:val="0"/>
      <w:marTop w:val="0"/>
      <w:marBottom w:val="0"/>
      <w:divBdr>
        <w:top w:val="none" w:sz="0" w:space="0" w:color="auto"/>
        <w:left w:val="none" w:sz="0" w:space="0" w:color="auto"/>
        <w:bottom w:val="none" w:sz="0" w:space="0" w:color="auto"/>
        <w:right w:val="none" w:sz="0" w:space="0" w:color="auto"/>
      </w:divBdr>
    </w:div>
    <w:div w:id="543097330">
      <w:bodyDiv w:val="1"/>
      <w:marLeft w:val="0"/>
      <w:marRight w:val="0"/>
      <w:marTop w:val="0"/>
      <w:marBottom w:val="0"/>
      <w:divBdr>
        <w:top w:val="none" w:sz="0" w:space="0" w:color="auto"/>
        <w:left w:val="none" w:sz="0" w:space="0" w:color="auto"/>
        <w:bottom w:val="none" w:sz="0" w:space="0" w:color="auto"/>
        <w:right w:val="none" w:sz="0" w:space="0" w:color="auto"/>
      </w:divBdr>
    </w:div>
    <w:div w:id="564604050">
      <w:bodyDiv w:val="1"/>
      <w:marLeft w:val="0"/>
      <w:marRight w:val="0"/>
      <w:marTop w:val="0"/>
      <w:marBottom w:val="0"/>
      <w:divBdr>
        <w:top w:val="none" w:sz="0" w:space="0" w:color="auto"/>
        <w:left w:val="none" w:sz="0" w:space="0" w:color="auto"/>
        <w:bottom w:val="none" w:sz="0" w:space="0" w:color="auto"/>
        <w:right w:val="none" w:sz="0" w:space="0" w:color="auto"/>
      </w:divBdr>
    </w:div>
    <w:div w:id="578905832">
      <w:bodyDiv w:val="1"/>
      <w:marLeft w:val="0"/>
      <w:marRight w:val="0"/>
      <w:marTop w:val="0"/>
      <w:marBottom w:val="0"/>
      <w:divBdr>
        <w:top w:val="none" w:sz="0" w:space="0" w:color="auto"/>
        <w:left w:val="none" w:sz="0" w:space="0" w:color="auto"/>
        <w:bottom w:val="none" w:sz="0" w:space="0" w:color="auto"/>
        <w:right w:val="none" w:sz="0" w:space="0" w:color="auto"/>
      </w:divBdr>
    </w:div>
    <w:div w:id="624384648">
      <w:bodyDiv w:val="1"/>
      <w:marLeft w:val="0"/>
      <w:marRight w:val="0"/>
      <w:marTop w:val="0"/>
      <w:marBottom w:val="0"/>
      <w:divBdr>
        <w:top w:val="none" w:sz="0" w:space="0" w:color="auto"/>
        <w:left w:val="none" w:sz="0" w:space="0" w:color="auto"/>
        <w:bottom w:val="none" w:sz="0" w:space="0" w:color="auto"/>
        <w:right w:val="none" w:sz="0" w:space="0" w:color="auto"/>
      </w:divBdr>
    </w:div>
    <w:div w:id="647050133">
      <w:bodyDiv w:val="1"/>
      <w:marLeft w:val="0"/>
      <w:marRight w:val="0"/>
      <w:marTop w:val="0"/>
      <w:marBottom w:val="0"/>
      <w:divBdr>
        <w:top w:val="none" w:sz="0" w:space="0" w:color="auto"/>
        <w:left w:val="none" w:sz="0" w:space="0" w:color="auto"/>
        <w:bottom w:val="none" w:sz="0" w:space="0" w:color="auto"/>
        <w:right w:val="none" w:sz="0" w:space="0" w:color="auto"/>
      </w:divBdr>
    </w:div>
    <w:div w:id="663434716">
      <w:bodyDiv w:val="1"/>
      <w:marLeft w:val="0"/>
      <w:marRight w:val="0"/>
      <w:marTop w:val="0"/>
      <w:marBottom w:val="0"/>
      <w:divBdr>
        <w:top w:val="none" w:sz="0" w:space="0" w:color="auto"/>
        <w:left w:val="none" w:sz="0" w:space="0" w:color="auto"/>
        <w:bottom w:val="none" w:sz="0" w:space="0" w:color="auto"/>
        <w:right w:val="none" w:sz="0" w:space="0" w:color="auto"/>
      </w:divBdr>
    </w:div>
    <w:div w:id="808665870">
      <w:bodyDiv w:val="1"/>
      <w:marLeft w:val="0"/>
      <w:marRight w:val="0"/>
      <w:marTop w:val="0"/>
      <w:marBottom w:val="0"/>
      <w:divBdr>
        <w:top w:val="none" w:sz="0" w:space="0" w:color="auto"/>
        <w:left w:val="none" w:sz="0" w:space="0" w:color="auto"/>
        <w:bottom w:val="none" w:sz="0" w:space="0" w:color="auto"/>
        <w:right w:val="none" w:sz="0" w:space="0" w:color="auto"/>
      </w:divBdr>
    </w:div>
    <w:div w:id="854342492">
      <w:bodyDiv w:val="1"/>
      <w:marLeft w:val="0"/>
      <w:marRight w:val="0"/>
      <w:marTop w:val="0"/>
      <w:marBottom w:val="0"/>
      <w:divBdr>
        <w:top w:val="none" w:sz="0" w:space="0" w:color="auto"/>
        <w:left w:val="none" w:sz="0" w:space="0" w:color="auto"/>
        <w:bottom w:val="none" w:sz="0" w:space="0" w:color="auto"/>
        <w:right w:val="none" w:sz="0" w:space="0" w:color="auto"/>
      </w:divBdr>
    </w:div>
    <w:div w:id="900746686">
      <w:bodyDiv w:val="1"/>
      <w:marLeft w:val="0"/>
      <w:marRight w:val="0"/>
      <w:marTop w:val="0"/>
      <w:marBottom w:val="0"/>
      <w:divBdr>
        <w:top w:val="none" w:sz="0" w:space="0" w:color="auto"/>
        <w:left w:val="none" w:sz="0" w:space="0" w:color="auto"/>
        <w:bottom w:val="none" w:sz="0" w:space="0" w:color="auto"/>
        <w:right w:val="none" w:sz="0" w:space="0" w:color="auto"/>
      </w:divBdr>
    </w:div>
    <w:div w:id="1029792688">
      <w:bodyDiv w:val="1"/>
      <w:marLeft w:val="0"/>
      <w:marRight w:val="0"/>
      <w:marTop w:val="0"/>
      <w:marBottom w:val="0"/>
      <w:divBdr>
        <w:top w:val="none" w:sz="0" w:space="0" w:color="auto"/>
        <w:left w:val="none" w:sz="0" w:space="0" w:color="auto"/>
        <w:bottom w:val="none" w:sz="0" w:space="0" w:color="auto"/>
        <w:right w:val="none" w:sz="0" w:space="0" w:color="auto"/>
      </w:divBdr>
    </w:div>
    <w:div w:id="1211041561">
      <w:bodyDiv w:val="1"/>
      <w:marLeft w:val="0"/>
      <w:marRight w:val="0"/>
      <w:marTop w:val="0"/>
      <w:marBottom w:val="0"/>
      <w:divBdr>
        <w:top w:val="none" w:sz="0" w:space="0" w:color="auto"/>
        <w:left w:val="none" w:sz="0" w:space="0" w:color="auto"/>
        <w:bottom w:val="none" w:sz="0" w:space="0" w:color="auto"/>
        <w:right w:val="none" w:sz="0" w:space="0" w:color="auto"/>
      </w:divBdr>
    </w:div>
    <w:div w:id="1242255893">
      <w:bodyDiv w:val="1"/>
      <w:marLeft w:val="0"/>
      <w:marRight w:val="0"/>
      <w:marTop w:val="0"/>
      <w:marBottom w:val="0"/>
      <w:divBdr>
        <w:top w:val="none" w:sz="0" w:space="0" w:color="auto"/>
        <w:left w:val="none" w:sz="0" w:space="0" w:color="auto"/>
        <w:bottom w:val="none" w:sz="0" w:space="0" w:color="auto"/>
        <w:right w:val="none" w:sz="0" w:space="0" w:color="auto"/>
      </w:divBdr>
      <w:divsChild>
        <w:div w:id="117722223">
          <w:marLeft w:val="907"/>
          <w:marRight w:val="0"/>
          <w:marTop w:val="144"/>
          <w:marBottom w:val="0"/>
          <w:divBdr>
            <w:top w:val="none" w:sz="0" w:space="0" w:color="auto"/>
            <w:left w:val="none" w:sz="0" w:space="0" w:color="auto"/>
            <w:bottom w:val="none" w:sz="0" w:space="0" w:color="auto"/>
            <w:right w:val="none" w:sz="0" w:space="0" w:color="auto"/>
          </w:divBdr>
        </w:div>
        <w:div w:id="475415348">
          <w:marLeft w:val="907"/>
          <w:marRight w:val="0"/>
          <w:marTop w:val="144"/>
          <w:marBottom w:val="0"/>
          <w:divBdr>
            <w:top w:val="none" w:sz="0" w:space="0" w:color="auto"/>
            <w:left w:val="none" w:sz="0" w:space="0" w:color="auto"/>
            <w:bottom w:val="none" w:sz="0" w:space="0" w:color="auto"/>
            <w:right w:val="none" w:sz="0" w:space="0" w:color="auto"/>
          </w:divBdr>
        </w:div>
      </w:divsChild>
    </w:div>
    <w:div w:id="1526793512">
      <w:bodyDiv w:val="1"/>
      <w:marLeft w:val="0"/>
      <w:marRight w:val="0"/>
      <w:marTop w:val="0"/>
      <w:marBottom w:val="0"/>
      <w:divBdr>
        <w:top w:val="none" w:sz="0" w:space="0" w:color="auto"/>
        <w:left w:val="none" w:sz="0" w:space="0" w:color="auto"/>
        <w:bottom w:val="none" w:sz="0" w:space="0" w:color="auto"/>
        <w:right w:val="none" w:sz="0" w:space="0" w:color="auto"/>
      </w:divBdr>
    </w:div>
    <w:div w:id="1667443212">
      <w:bodyDiv w:val="1"/>
      <w:marLeft w:val="0"/>
      <w:marRight w:val="0"/>
      <w:marTop w:val="0"/>
      <w:marBottom w:val="0"/>
      <w:divBdr>
        <w:top w:val="none" w:sz="0" w:space="0" w:color="auto"/>
        <w:left w:val="none" w:sz="0" w:space="0" w:color="auto"/>
        <w:bottom w:val="none" w:sz="0" w:space="0" w:color="auto"/>
        <w:right w:val="none" w:sz="0" w:space="0" w:color="auto"/>
      </w:divBdr>
    </w:div>
    <w:div w:id="1677730594">
      <w:bodyDiv w:val="1"/>
      <w:marLeft w:val="0"/>
      <w:marRight w:val="0"/>
      <w:marTop w:val="0"/>
      <w:marBottom w:val="0"/>
      <w:divBdr>
        <w:top w:val="none" w:sz="0" w:space="0" w:color="auto"/>
        <w:left w:val="none" w:sz="0" w:space="0" w:color="auto"/>
        <w:bottom w:val="none" w:sz="0" w:space="0" w:color="auto"/>
        <w:right w:val="none" w:sz="0" w:space="0" w:color="auto"/>
      </w:divBdr>
      <w:divsChild>
        <w:div w:id="854616257">
          <w:marLeft w:val="0"/>
          <w:marRight w:val="0"/>
          <w:marTop w:val="0"/>
          <w:marBottom w:val="0"/>
          <w:divBdr>
            <w:top w:val="none" w:sz="0" w:space="0" w:color="auto"/>
            <w:left w:val="none" w:sz="0" w:space="0" w:color="auto"/>
            <w:bottom w:val="none" w:sz="0" w:space="0" w:color="auto"/>
            <w:right w:val="none" w:sz="0" w:space="0" w:color="auto"/>
          </w:divBdr>
          <w:divsChild>
            <w:div w:id="1813401550">
              <w:marLeft w:val="0"/>
              <w:marRight w:val="0"/>
              <w:marTop w:val="0"/>
              <w:marBottom w:val="0"/>
              <w:divBdr>
                <w:top w:val="none" w:sz="0" w:space="0" w:color="auto"/>
                <w:left w:val="none" w:sz="0" w:space="0" w:color="auto"/>
                <w:bottom w:val="none" w:sz="0" w:space="0" w:color="auto"/>
                <w:right w:val="none" w:sz="0" w:space="0" w:color="auto"/>
              </w:divBdr>
              <w:divsChild>
                <w:div w:id="1784107704">
                  <w:marLeft w:val="0"/>
                  <w:marRight w:val="0"/>
                  <w:marTop w:val="0"/>
                  <w:marBottom w:val="0"/>
                  <w:divBdr>
                    <w:top w:val="none" w:sz="0" w:space="0" w:color="auto"/>
                    <w:left w:val="none" w:sz="0" w:space="0" w:color="auto"/>
                    <w:bottom w:val="none" w:sz="0" w:space="0" w:color="auto"/>
                    <w:right w:val="none" w:sz="0" w:space="0" w:color="auto"/>
                  </w:divBdr>
                  <w:divsChild>
                    <w:div w:id="2332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28348">
      <w:bodyDiv w:val="1"/>
      <w:marLeft w:val="0"/>
      <w:marRight w:val="0"/>
      <w:marTop w:val="0"/>
      <w:marBottom w:val="0"/>
      <w:divBdr>
        <w:top w:val="none" w:sz="0" w:space="0" w:color="auto"/>
        <w:left w:val="none" w:sz="0" w:space="0" w:color="auto"/>
        <w:bottom w:val="none" w:sz="0" w:space="0" w:color="auto"/>
        <w:right w:val="none" w:sz="0" w:space="0" w:color="auto"/>
      </w:divBdr>
    </w:div>
    <w:div w:id="1828326876">
      <w:bodyDiv w:val="1"/>
      <w:marLeft w:val="0"/>
      <w:marRight w:val="0"/>
      <w:marTop w:val="0"/>
      <w:marBottom w:val="0"/>
      <w:divBdr>
        <w:top w:val="none" w:sz="0" w:space="0" w:color="auto"/>
        <w:left w:val="none" w:sz="0" w:space="0" w:color="auto"/>
        <w:bottom w:val="none" w:sz="0" w:space="0" w:color="auto"/>
        <w:right w:val="none" w:sz="0" w:space="0" w:color="auto"/>
      </w:divBdr>
    </w:div>
    <w:div w:id="1835030666">
      <w:bodyDiv w:val="1"/>
      <w:marLeft w:val="0"/>
      <w:marRight w:val="0"/>
      <w:marTop w:val="0"/>
      <w:marBottom w:val="0"/>
      <w:divBdr>
        <w:top w:val="none" w:sz="0" w:space="0" w:color="auto"/>
        <w:left w:val="none" w:sz="0" w:space="0" w:color="auto"/>
        <w:bottom w:val="none" w:sz="0" w:space="0" w:color="auto"/>
        <w:right w:val="none" w:sz="0" w:space="0" w:color="auto"/>
      </w:divBdr>
    </w:div>
    <w:div w:id="1949584112">
      <w:bodyDiv w:val="1"/>
      <w:marLeft w:val="0"/>
      <w:marRight w:val="0"/>
      <w:marTop w:val="0"/>
      <w:marBottom w:val="0"/>
      <w:divBdr>
        <w:top w:val="none" w:sz="0" w:space="0" w:color="auto"/>
        <w:left w:val="none" w:sz="0" w:space="0" w:color="auto"/>
        <w:bottom w:val="none" w:sz="0" w:space="0" w:color="auto"/>
        <w:right w:val="none" w:sz="0" w:space="0" w:color="auto"/>
      </w:divBdr>
    </w:div>
    <w:div w:id="1975744659">
      <w:bodyDiv w:val="1"/>
      <w:marLeft w:val="0"/>
      <w:marRight w:val="0"/>
      <w:marTop w:val="0"/>
      <w:marBottom w:val="0"/>
      <w:divBdr>
        <w:top w:val="none" w:sz="0" w:space="0" w:color="auto"/>
        <w:left w:val="none" w:sz="0" w:space="0" w:color="auto"/>
        <w:bottom w:val="none" w:sz="0" w:space="0" w:color="auto"/>
        <w:right w:val="none" w:sz="0" w:space="0" w:color="auto"/>
      </w:divBdr>
    </w:div>
    <w:div w:id="1994984443">
      <w:bodyDiv w:val="1"/>
      <w:marLeft w:val="0"/>
      <w:marRight w:val="0"/>
      <w:marTop w:val="0"/>
      <w:marBottom w:val="0"/>
      <w:divBdr>
        <w:top w:val="none" w:sz="0" w:space="0" w:color="auto"/>
        <w:left w:val="none" w:sz="0" w:space="0" w:color="auto"/>
        <w:bottom w:val="none" w:sz="0" w:space="0" w:color="auto"/>
        <w:right w:val="none" w:sz="0" w:space="0" w:color="auto"/>
      </w:divBdr>
    </w:div>
    <w:div w:id="2018118935">
      <w:bodyDiv w:val="1"/>
      <w:marLeft w:val="0"/>
      <w:marRight w:val="0"/>
      <w:marTop w:val="0"/>
      <w:marBottom w:val="0"/>
      <w:divBdr>
        <w:top w:val="none" w:sz="0" w:space="0" w:color="auto"/>
        <w:left w:val="none" w:sz="0" w:space="0" w:color="auto"/>
        <w:bottom w:val="none" w:sz="0" w:space="0" w:color="auto"/>
        <w:right w:val="none" w:sz="0" w:space="0" w:color="auto"/>
      </w:divBdr>
    </w:div>
    <w:div w:id="2018656352">
      <w:bodyDiv w:val="1"/>
      <w:marLeft w:val="0"/>
      <w:marRight w:val="0"/>
      <w:marTop w:val="0"/>
      <w:marBottom w:val="0"/>
      <w:divBdr>
        <w:top w:val="none" w:sz="0" w:space="0" w:color="auto"/>
        <w:left w:val="none" w:sz="0" w:space="0" w:color="auto"/>
        <w:bottom w:val="none" w:sz="0" w:space="0" w:color="auto"/>
        <w:right w:val="none" w:sz="0" w:space="0" w:color="auto"/>
      </w:divBdr>
    </w:div>
    <w:div w:id="2055736252">
      <w:bodyDiv w:val="1"/>
      <w:marLeft w:val="0"/>
      <w:marRight w:val="0"/>
      <w:marTop w:val="0"/>
      <w:marBottom w:val="0"/>
      <w:divBdr>
        <w:top w:val="none" w:sz="0" w:space="0" w:color="auto"/>
        <w:left w:val="none" w:sz="0" w:space="0" w:color="auto"/>
        <w:bottom w:val="none" w:sz="0" w:space="0" w:color="auto"/>
        <w:right w:val="none" w:sz="0" w:space="0" w:color="auto"/>
      </w:divBdr>
      <w:divsChild>
        <w:div w:id="1003557012">
          <w:marLeft w:val="0"/>
          <w:marRight w:val="0"/>
          <w:marTop w:val="0"/>
          <w:marBottom w:val="0"/>
          <w:divBdr>
            <w:top w:val="none" w:sz="0" w:space="0" w:color="auto"/>
            <w:left w:val="none" w:sz="0" w:space="0" w:color="auto"/>
            <w:bottom w:val="none" w:sz="0" w:space="0" w:color="auto"/>
            <w:right w:val="none" w:sz="0" w:space="0" w:color="auto"/>
          </w:divBdr>
          <w:divsChild>
            <w:div w:id="1012949978">
              <w:marLeft w:val="0"/>
              <w:marRight w:val="0"/>
              <w:marTop w:val="0"/>
              <w:marBottom w:val="0"/>
              <w:divBdr>
                <w:top w:val="none" w:sz="0" w:space="0" w:color="auto"/>
                <w:left w:val="none" w:sz="0" w:space="0" w:color="auto"/>
                <w:bottom w:val="none" w:sz="0" w:space="0" w:color="auto"/>
                <w:right w:val="none" w:sz="0" w:space="0" w:color="auto"/>
              </w:divBdr>
              <w:divsChild>
                <w:div w:id="1901864537">
                  <w:marLeft w:val="0"/>
                  <w:marRight w:val="0"/>
                  <w:marTop w:val="0"/>
                  <w:marBottom w:val="0"/>
                  <w:divBdr>
                    <w:top w:val="none" w:sz="0" w:space="0" w:color="auto"/>
                    <w:left w:val="none" w:sz="0" w:space="0" w:color="auto"/>
                    <w:bottom w:val="none" w:sz="0" w:space="0" w:color="auto"/>
                    <w:right w:val="none" w:sz="0" w:space="0" w:color="auto"/>
                  </w:divBdr>
                  <w:divsChild>
                    <w:div w:id="14147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bls.gov/ooh/office-and-administrative-support/secretaries-and-administrative-assistants.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bls.gov/oes/current/oes131111.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172051.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s.gov/oes/current/oes193051.htm"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urveygizmo.com/s3/3461069/FHWA-Partners-TPM-Readiness-Assessment-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8E77E49D660342A4E56AFA1AEF5430" ma:contentTypeVersion="9" ma:contentTypeDescription="Create a new document." ma:contentTypeScope="" ma:versionID="bfe82d9997146b3b5c9fb329815a79a0">
  <xsd:schema xmlns:xsd="http://www.w3.org/2001/XMLSchema" xmlns:xs="http://www.w3.org/2001/XMLSchema" xmlns:p="http://schemas.microsoft.com/office/2006/metadata/properties" xmlns:ns1="http://schemas.microsoft.com/sharepoint/v3" xmlns:ns2="f4250004-c30e-449a-afe0-666d3ac9f6a5" xmlns:ns3="http://schemas.microsoft.com/sharepoint/v4" xmlns:ns4="3e2fbb12-4cd6-4296-b54c-845d39b60089" targetNamespace="http://schemas.microsoft.com/office/2006/metadata/properties" ma:root="true" ma:fieldsID="49d0c0fb5ddc585bc5b55ce7ad7b8877" ns1:_="" ns2:_="" ns3:_="" ns4:_="">
    <xsd:import namespace="http://schemas.microsoft.com/sharepoint/v3"/>
    <xsd:import namespace="f4250004-c30e-449a-afe0-666d3ac9f6a5"/>
    <xsd:import namespace="http://schemas.microsoft.com/sharepoint/v4"/>
    <xsd:import namespace="3e2fbb12-4cd6-4296-b54c-845d39b6008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Description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50004-c30e-449a-afe0-666d3ac9f6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element name="EmailHeaders" ma:index="19"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fbb12-4cd6-4296-b54c-845d39b60089"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scription0 xmlns="3e2fbb12-4cd6-4296-b54c-845d39b60089" xsi:nil="true"/>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_dlc_DocId xmlns="f4250004-c30e-449a-afe0-666d3ac9f6a5">7E7EFUKAKD22-472-2384</_dlc_DocId>
    <_dlc_DocIdUrl xmlns="f4250004-c30e-449a-afe0-666d3ac9f6a5">
      <Url>http://our.dot.gov/office/fhwa.hq/OfficeofInfrastructure/tpm/ar/_layouts/DocIdRedir.aspx?ID=7E7EFUKAKD22-472-2384</Url>
      <Description>7E7EFUKAKD22-472-2384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DFE3-7735-4F94-B9D0-C7A9993D055C}">
  <ds:schemaRefs>
    <ds:schemaRef ds:uri="http://schemas.microsoft.com/sharepoint/event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C95104E8-6B83-4A8F-BACA-4777D870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250004-c30e-449a-afe0-666d3ac9f6a5"/>
    <ds:schemaRef ds:uri="http://schemas.microsoft.com/sharepoint/v4"/>
    <ds:schemaRef ds:uri="3e2fbb12-4cd6-4296-b54c-845d39b60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521F5-F9DB-4070-8A8A-44B20E63CD8F}">
  <ds:schemaRefs>
    <ds:schemaRef ds:uri="http://schemas.microsoft.com/office/2006/metadata/longProperties"/>
  </ds:schemaRefs>
</ds:datastoreItem>
</file>

<file path=customXml/itemProps5.xml><?xml version="1.0" encoding="utf-8"?>
<ds:datastoreItem xmlns:ds="http://schemas.openxmlformats.org/officeDocument/2006/customXml" ds:itemID="{0A561B74-1565-4196-AD43-C38264682682}">
  <ds:schemaRefs>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3e2fbb12-4cd6-4296-b54c-845d39b60089"/>
    <ds:schemaRef ds:uri="http://schemas.microsoft.com/sharepoint/v4"/>
    <ds:schemaRef ds:uri="f4250004-c30e-449a-afe0-666d3ac9f6a5"/>
    <ds:schemaRef ds:uri="http://purl.org/dc/dcmitype/"/>
  </ds:schemaRefs>
</ds:datastoreItem>
</file>

<file path=customXml/itemProps6.xml><?xml version="1.0" encoding="utf-8"?>
<ds:datastoreItem xmlns:ds="http://schemas.openxmlformats.org/officeDocument/2006/customXml" ds:itemID="{BF2386ED-391C-4916-AAA4-2A6DEFCF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SYSTEM</cp:lastModifiedBy>
  <cp:revision>2</cp:revision>
  <cp:lastPrinted>2016-11-28T18:57:00Z</cp:lastPrinted>
  <dcterms:created xsi:type="dcterms:W3CDTF">2017-10-19T12:16:00Z</dcterms:created>
  <dcterms:modified xsi:type="dcterms:W3CDTF">2017-10-19T12:16:00Z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0x010100F68E77E49D660342A4E56AFA1AEF5430</vt:lpwstr>
  </property>
  <property fmtid="{D5CDD505-2E9C-101B-9397-08002B2CF9AE}" pid="3" name="_dlc_DocId">
    <vt:lpwstr>7E7EFUKAKD22-472-2226</vt:lpwstr>
  </property>
  <property fmtid="{D5CDD505-2E9C-101B-9397-08002B2CF9AE}" pid="4" name="_dlc_DocIdItemGuid">
    <vt:lpwstr>ced4cee5-0d56-47f4-ac18-3ea729849a27</vt:lpwstr>
  </property>
  <property fmtid="{D5CDD505-2E9C-101B-9397-08002B2CF9AE}" pid="5" name="_dlc_DocIdUrl">
    <vt:lpwstr>http://our.dot.gov/office/fhwa.hq/OfficeofInfrastructure/tpm/ar/_layouts/DocIdRedir.aspx?ID=7E7EFUKAKD22-472-2226, 7E7EFUKAKD22-472-2226</vt:lpwstr>
  </property>
</Properties>
</file>